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04857" w14:textId="77777777" w:rsidR="003324F1" w:rsidRDefault="003324F1" w:rsidP="00E04121">
      <w:pPr>
        <w:jc w:val="center"/>
        <w:rPr>
          <w:rFonts w:ascii="Verdana" w:hAnsi="Verdana"/>
          <w:b/>
          <w:sz w:val="20"/>
          <w:szCs w:val="20"/>
        </w:rPr>
      </w:pPr>
    </w:p>
    <w:p w14:paraId="0C704858" w14:textId="77777777" w:rsidR="00646E22" w:rsidRDefault="00646E22" w:rsidP="00E04121">
      <w:pPr>
        <w:jc w:val="center"/>
        <w:rPr>
          <w:rFonts w:ascii="Verdana" w:hAnsi="Verdana"/>
          <w:b/>
          <w:sz w:val="20"/>
          <w:szCs w:val="20"/>
        </w:rPr>
      </w:pPr>
    </w:p>
    <w:p w14:paraId="0C704859" w14:textId="77777777" w:rsidR="00646E22" w:rsidRDefault="00646E22" w:rsidP="00E04121">
      <w:pPr>
        <w:jc w:val="center"/>
        <w:rPr>
          <w:rFonts w:ascii="Verdana" w:hAnsi="Verdana"/>
          <w:b/>
          <w:sz w:val="20"/>
          <w:szCs w:val="20"/>
        </w:rPr>
      </w:pPr>
    </w:p>
    <w:p w14:paraId="0C70485A" w14:textId="77777777" w:rsidR="003324F1" w:rsidRDefault="003324F1" w:rsidP="00E04121">
      <w:pPr>
        <w:jc w:val="center"/>
        <w:rPr>
          <w:rFonts w:ascii="Verdana" w:hAnsi="Verdana"/>
          <w:b/>
          <w:sz w:val="20"/>
          <w:szCs w:val="20"/>
        </w:rPr>
      </w:pPr>
    </w:p>
    <w:p w14:paraId="0C70485B" w14:textId="77777777" w:rsidR="003324F1" w:rsidRDefault="003324F1" w:rsidP="00E04121">
      <w:pPr>
        <w:jc w:val="center"/>
        <w:rPr>
          <w:rFonts w:ascii="Verdana" w:hAnsi="Verdana"/>
          <w:b/>
          <w:sz w:val="20"/>
          <w:szCs w:val="20"/>
        </w:rPr>
      </w:pPr>
    </w:p>
    <w:p w14:paraId="0C70485C" w14:textId="77777777" w:rsidR="003324F1" w:rsidRDefault="003324F1" w:rsidP="00E04121">
      <w:pPr>
        <w:jc w:val="center"/>
        <w:rPr>
          <w:rFonts w:ascii="Verdana" w:hAnsi="Verdana"/>
          <w:b/>
          <w:sz w:val="20"/>
          <w:szCs w:val="20"/>
        </w:rPr>
      </w:pPr>
    </w:p>
    <w:p w14:paraId="0C70485D" w14:textId="6EA0137F" w:rsidR="00E04121" w:rsidRPr="000A16A4" w:rsidRDefault="00E04121" w:rsidP="00E04121">
      <w:pPr>
        <w:jc w:val="center"/>
        <w:rPr>
          <w:rFonts w:ascii="Verdana" w:hAnsi="Verdana"/>
          <w:b/>
          <w:sz w:val="20"/>
          <w:szCs w:val="20"/>
        </w:rPr>
      </w:pPr>
      <w:r w:rsidRPr="000A16A4">
        <w:rPr>
          <w:rFonts w:ascii="Verdana" w:hAnsi="Verdana"/>
          <w:b/>
          <w:sz w:val="20"/>
          <w:szCs w:val="20"/>
        </w:rPr>
        <w:t>CORTE INTERAMERICANA DE DERECHOS HUMANO</w:t>
      </w:r>
      <w:r w:rsidR="00537ECE">
        <w:rPr>
          <w:rFonts w:ascii="Verdana" w:hAnsi="Verdana"/>
          <w:b/>
          <w:sz w:val="20"/>
          <w:szCs w:val="20"/>
        </w:rPr>
        <w:t>S</w:t>
      </w:r>
    </w:p>
    <w:p w14:paraId="0C70485E" w14:textId="77777777" w:rsidR="00E04121" w:rsidRPr="000A16A4" w:rsidRDefault="00E04121" w:rsidP="00E04121">
      <w:pPr>
        <w:jc w:val="center"/>
        <w:rPr>
          <w:rFonts w:ascii="Verdana" w:hAnsi="Verdana"/>
          <w:b/>
          <w:sz w:val="20"/>
          <w:szCs w:val="20"/>
        </w:rPr>
      </w:pPr>
      <w:r>
        <w:rPr>
          <w:rFonts w:ascii="Verdana" w:hAnsi="Verdana"/>
          <w:b/>
          <w:sz w:val="20"/>
          <w:szCs w:val="20"/>
        </w:rPr>
        <w:t xml:space="preserve"> </w:t>
      </w:r>
    </w:p>
    <w:p w14:paraId="0C70485F" w14:textId="77777777" w:rsidR="00E04121" w:rsidRPr="000A16A4" w:rsidRDefault="00E04121" w:rsidP="00E04121">
      <w:pPr>
        <w:jc w:val="center"/>
        <w:rPr>
          <w:rFonts w:ascii="Verdana" w:hAnsi="Verdana"/>
          <w:b/>
          <w:sz w:val="20"/>
          <w:szCs w:val="20"/>
        </w:rPr>
      </w:pPr>
    </w:p>
    <w:p w14:paraId="0C704860" w14:textId="77777777" w:rsidR="00E04121" w:rsidRPr="000A16A4" w:rsidRDefault="00E04121" w:rsidP="00E04121">
      <w:pPr>
        <w:jc w:val="center"/>
        <w:rPr>
          <w:rFonts w:ascii="Verdana" w:hAnsi="Verdana"/>
          <w:b/>
          <w:sz w:val="20"/>
          <w:szCs w:val="20"/>
        </w:rPr>
      </w:pPr>
      <w:r w:rsidRPr="000A16A4">
        <w:rPr>
          <w:rFonts w:ascii="Verdana" w:hAnsi="Verdana"/>
          <w:b/>
          <w:sz w:val="20"/>
          <w:szCs w:val="20"/>
        </w:rPr>
        <w:t xml:space="preserve">CASO COMUNIDAD GARÍFUNA </w:t>
      </w:r>
      <w:r>
        <w:rPr>
          <w:rFonts w:ascii="Verdana" w:hAnsi="Verdana"/>
          <w:b/>
          <w:sz w:val="20"/>
          <w:szCs w:val="20"/>
        </w:rPr>
        <w:t xml:space="preserve">DE PUNTA PIEDRA </w:t>
      </w:r>
      <w:r w:rsidRPr="000A16A4">
        <w:rPr>
          <w:rFonts w:ascii="Verdana" w:hAnsi="Verdana"/>
          <w:b/>
          <w:sz w:val="20"/>
          <w:szCs w:val="20"/>
        </w:rPr>
        <w:t>Y SUS MIEMBROS VS. HONDURAS</w:t>
      </w:r>
    </w:p>
    <w:p w14:paraId="0C704861" w14:textId="77777777" w:rsidR="00E04121" w:rsidRPr="000A16A4" w:rsidRDefault="00E04121" w:rsidP="00E04121">
      <w:pPr>
        <w:jc w:val="center"/>
        <w:rPr>
          <w:rFonts w:ascii="Verdana" w:hAnsi="Verdana"/>
          <w:b/>
          <w:sz w:val="20"/>
          <w:szCs w:val="20"/>
        </w:rPr>
      </w:pPr>
    </w:p>
    <w:p w14:paraId="0C704862" w14:textId="77777777" w:rsidR="00E04121" w:rsidRPr="000A16A4" w:rsidRDefault="00E04121" w:rsidP="00E04121">
      <w:pPr>
        <w:jc w:val="center"/>
        <w:rPr>
          <w:rFonts w:ascii="Verdana" w:hAnsi="Verdana"/>
          <w:b/>
          <w:sz w:val="20"/>
          <w:szCs w:val="20"/>
        </w:rPr>
      </w:pPr>
    </w:p>
    <w:p w14:paraId="0C704863" w14:textId="77777777" w:rsidR="00E04121" w:rsidRPr="000A16A4" w:rsidRDefault="00491F49" w:rsidP="00E04121">
      <w:pPr>
        <w:jc w:val="center"/>
        <w:rPr>
          <w:rFonts w:ascii="Verdana" w:hAnsi="Verdana"/>
          <w:b/>
          <w:sz w:val="20"/>
          <w:szCs w:val="20"/>
        </w:rPr>
      </w:pPr>
      <w:r>
        <w:rPr>
          <w:rFonts w:ascii="Verdana" w:hAnsi="Verdana"/>
          <w:b/>
          <w:sz w:val="20"/>
          <w:szCs w:val="20"/>
        </w:rPr>
        <w:t>SENTENCIA DE 8 DE OCTUBRE</w:t>
      </w:r>
      <w:r w:rsidR="00E04121" w:rsidRPr="000A16A4">
        <w:rPr>
          <w:rFonts w:ascii="Verdana" w:hAnsi="Verdana"/>
          <w:b/>
          <w:sz w:val="20"/>
          <w:szCs w:val="20"/>
        </w:rPr>
        <w:t xml:space="preserve"> DE 2015</w:t>
      </w:r>
    </w:p>
    <w:p w14:paraId="0C704864" w14:textId="0E18F14A" w:rsidR="00E04121" w:rsidRPr="000A16A4" w:rsidRDefault="00E04121" w:rsidP="00E04121">
      <w:pPr>
        <w:jc w:val="center"/>
        <w:rPr>
          <w:rFonts w:ascii="Verdana" w:hAnsi="Verdana"/>
          <w:b/>
          <w:sz w:val="20"/>
          <w:szCs w:val="20"/>
        </w:rPr>
      </w:pPr>
      <w:r w:rsidRPr="000A16A4">
        <w:rPr>
          <w:rFonts w:ascii="Verdana" w:hAnsi="Verdana"/>
          <w:b/>
          <w:sz w:val="20"/>
          <w:szCs w:val="20"/>
        </w:rPr>
        <w:t>(</w:t>
      </w:r>
      <w:r w:rsidR="0086236B" w:rsidRPr="00A0324F">
        <w:rPr>
          <w:rFonts w:ascii="Verdana" w:hAnsi="Verdana"/>
          <w:b/>
          <w:i/>
          <w:sz w:val="20"/>
          <w:szCs w:val="20"/>
        </w:rPr>
        <w:t>Excepciones Preliminares, Fondo, Reparaciones y Costas</w:t>
      </w:r>
      <w:r w:rsidR="009D4572">
        <w:rPr>
          <w:rFonts w:ascii="Verdana" w:hAnsi="Verdana"/>
          <w:b/>
          <w:i/>
          <w:sz w:val="20"/>
          <w:szCs w:val="20"/>
        </w:rPr>
        <w:t>)</w:t>
      </w:r>
    </w:p>
    <w:p w14:paraId="0C704865" w14:textId="77777777" w:rsidR="00E04121" w:rsidRPr="000A16A4" w:rsidRDefault="00E04121" w:rsidP="00E04121">
      <w:pPr>
        <w:jc w:val="both"/>
        <w:rPr>
          <w:rFonts w:ascii="Verdana" w:hAnsi="Verdana"/>
          <w:sz w:val="20"/>
          <w:szCs w:val="20"/>
        </w:rPr>
      </w:pPr>
    </w:p>
    <w:p w14:paraId="0C704866" w14:textId="77777777" w:rsidR="00E04121" w:rsidRPr="000A16A4" w:rsidRDefault="00E04121" w:rsidP="00E04121">
      <w:pPr>
        <w:jc w:val="both"/>
        <w:rPr>
          <w:rFonts w:ascii="Verdana" w:hAnsi="Verdana"/>
          <w:sz w:val="20"/>
          <w:szCs w:val="20"/>
        </w:rPr>
      </w:pPr>
    </w:p>
    <w:p w14:paraId="0C704867" w14:textId="77777777" w:rsidR="00E04121" w:rsidRPr="000A16A4" w:rsidRDefault="00E04121" w:rsidP="00E04121">
      <w:pPr>
        <w:jc w:val="both"/>
        <w:rPr>
          <w:rFonts w:ascii="Verdana" w:hAnsi="Verdana"/>
          <w:sz w:val="20"/>
          <w:szCs w:val="20"/>
        </w:rPr>
      </w:pPr>
      <w:r w:rsidRPr="000A16A4">
        <w:rPr>
          <w:rFonts w:ascii="Verdana" w:hAnsi="Verdana"/>
          <w:sz w:val="20"/>
          <w:szCs w:val="20"/>
        </w:rPr>
        <w:t xml:space="preserve">En el caso </w:t>
      </w:r>
      <w:r>
        <w:rPr>
          <w:rFonts w:ascii="Verdana" w:hAnsi="Verdana"/>
          <w:sz w:val="20"/>
          <w:szCs w:val="20"/>
        </w:rPr>
        <w:t xml:space="preserve">de la </w:t>
      </w:r>
      <w:r w:rsidRPr="000A16A4">
        <w:rPr>
          <w:rFonts w:ascii="Verdana" w:hAnsi="Verdana"/>
          <w:i/>
          <w:sz w:val="20"/>
          <w:szCs w:val="20"/>
        </w:rPr>
        <w:t>Comunidad Garífuna</w:t>
      </w:r>
      <w:r>
        <w:rPr>
          <w:rFonts w:ascii="Verdana" w:hAnsi="Verdana"/>
          <w:i/>
          <w:sz w:val="20"/>
          <w:szCs w:val="20"/>
        </w:rPr>
        <w:t xml:space="preserve"> de Punta Piedra</w:t>
      </w:r>
      <w:r w:rsidRPr="000A16A4">
        <w:rPr>
          <w:rFonts w:ascii="Verdana" w:hAnsi="Verdana"/>
          <w:i/>
          <w:sz w:val="20"/>
          <w:szCs w:val="20"/>
        </w:rPr>
        <w:t xml:space="preserve"> y sus miembros</w:t>
      </w:r>
      <w:r w:rsidRPr="000A16A4">
        <w:rPr>
          <w:rFonts w:ascii="Verdana" w:hAnsi="Verdana"/>
          <w:sz w:val="20"/>
          <w:szCs w:val="20"/>
        </w:rPr>
        <w:t>,</w:t>
      </w:r>
    </w:p>
    <w:p w14:paraId="0C704868" w14:textId="77777777" w:rsidR="00E04121" w:rsidRPr="000A16A4" w:rsidRDefault="00E04121" w:rsidP="00E04121">
      <w:pPr>
        <w:jc w:val="both"/>
        <w:rPr>
          <w:rFonts w:ascii="Verdana" w:hAnsi="Verdana"/>
          <w:sz w:val="20"/>
          <w:szCs w:val="20"/>
        </w:rPr>
      </w:pPr>
    </w:p>
    <w:p w14:paraId="0C704869" w14:textId="482E5436" w:rsidR="00E04121" w:rsidRPr="000A16A4" w:rsidRDefault="00E04121" w:rsidP="00E04121">
      <w:pPr>
        <w:jc w:val="both"/>
        <w:rPr>
          <w:rFonts w:ascii="Verdana" w:hAnsi="Verdana"/>
          <w:sz w:val="20"/>
          <w:szCs w:val="20"/>
        </w:rPr>
      </w:pPr>
      <w:proofErr w:type="gramStart"/>
      <w:r w:rsidRPr="000A16A4">
        <w:rPr>
          <w:rFonts w:ascii="Verdana" w:hAnsi="Verdana"/>
          <w:sz w:val="20"/>
          <w:szCs w:val="20"/>
        </w:rPr>
        <w:t>la</w:t>
      </w:r>
      <w:proofErr w:type="gramEnd"/>
      <w:r w:rsidRPr="000A16A4">
        <w:rPr>
          <w:rFonts w:ascii="Verdana" w:hAnsi="Verdana"/>
          <w:sz w:val="20"/>
          <w:szCs w:val="20"/>
        </w:rPr>
        <w:t xml:space="preserve"> Corte Interamericana de Derechos Humanos </w:t>
      </w:r>
      <w:r w:rsidR="00FD39FC">
        <w:rPr>
          <w:rFonts w:ascii="Verdana" w:hAnsi="Verdana"/>
          <w:sz w:val="20"/>
          <w:szCs w:val="20"/>
        </w:rPr>
        <w:t>(en adelante,</w:t>
      </w:r>
      <w:r w:rsidRPr="000A16A4">
        <w:rPr>
          <w:rFonts w:ascii="Verdana" w:hAnsi="Verdana"/>
          <w:sz w:val="20"/>
          <w:szCs w:val="20"/>
        </w:rPr>
        <w:t xml:space="preserve"> “la Corte Interamericana”, “la Corte” o “el Tribunal”), integrada por los siguientes </w:t>
      </w:r>
      <w:r w:rsidR="00FD39FC">
        <w:rPr>
          <w:rFonts w:ascii="Verdana" w:hAnsi="Verdana"/>
          <w:sz w:val="20"/>
          <w:szCs w:val="20"/>
        </w:rPr>
        <w:t>J</w:t>
      </w:r>
      <w:r w:rsidRPr="000A16A4">
        <w:rPr>
          <w:rFonts w:ascii="Verdana" w:hAnsi="Verdana"/>
          <w:sz w:val="20"/>
          <w:szCs w:val="20"/>
        </w:rPr>
        <w:t>ueces:</w:t>
      </w:r>
    </w:p>
    <w:p w14:paraId="0C70486A" w14:textId="77777777" w:rsidR="00E04121" w:rsidRPr="000A16A4" w:rsidRDefault="00E04121" w:rsidP="00E04121">
      <w:pPr>
        <w:jc w:val="both"/>
        <w:rPr>
          <w:rFonts w:ascii="Verdana" w:hAnsi="Verdana"/>
          <w:sz w:val="20"/>
          <w:szCs w:val="20"/>
        </w:rPr>
      </w:pPr>
    </w:p>
    <w:p w14:paraId="0C70486B" w14:textId="77777777" w:rsidR="00E04121" w:rsidRPr="000A16A4" w:rsidRDefault="00E04121" w:rsidP="00E04121">
      <w:pPr>
        <w:jc w:val="both"/>
        <w:rPr>
          <w:rFonts w:ascii="Verdana" w:hAnsi="Verdana"/>
          <w:sz w:val="20"/>
          <w:szCs w:val="20"/>
        </w:rPr>
      </w:pPr>
      <w:r w:rsidRPr="000A16A4">
        <w:rPr>
          <w:rFonts w:ascii="Verdana" w:hAnsi="Verdana"/>
          <w:sz w:val="20"/>
          <w:szCs w:val="20"/>
        </w:rPr>
        <w:t>Humberto Antonio Sierra Porto, Presidente;</w:t>
      </w:r>
    </w:p>
    <w:p w14:paraId="0C70486C" w14:textId="77777777" w:rsidR="00E04121" w:rsidRPr="00A55822" w:rsidRDefault="00E04121" w:rsidP="00E04121">
      <w:pPr>
        <w:jc w:val="both"/>
        <w:rPr>
          <w:rFonts w:ascii="Verdana" w:hAnsi="Verdana"/>
          <w:sz w:val="20"/>
          <w:szCs w:val="20"/>
        </w:rPr>
      </w:pPr>
      <w:r w:rsidRPr="00A55822">
        <w:rPr>
          <w:rFonts w:ascii="Verdana" w:hAnsi="Verdana"/>
          <w:sz w:val="20"/>
          <w:szCs w:val="20"/>
        </w:rPr>
        <w:t>Roberto F. Caldas, Vicepresidente;</w:t>
      </w:r>
    </w:p>
    <w:p w14:paraId="0C70486D" w14:textId="77777777" w:rsidR="00E04121" w:rsidRPr="0093146C" w:rsidRDefault="00E04121" w:rsidP="00E04121">
      <w:pPr>
        <w:jc w:val="both"/>
        <w:rPr>
          <w:rFonts w:ascii="Verdana" w:hAnsi="Verdana"/>
          <w:sz w:val="20"/>
          <w:szCs w:val="20"/>
        </w:rPr>
      </w:pPr>
      <w:r w:rsidRPr="0093146C">
        <w:rPr>
          <w:rFonts w:ascii="Verdana" w:hAnsi="Verdana"/>
          <w:sz w:val="20"/>
          <w:szCs w:val="20"/>
        </w:rPr>
        <w:t>Manuel E. Ventura Robles, Juez;</w:t>
      </w:r>
    </w:p>
    <w:p w14:paraId="0C70486E" w14:textId="77777777" w:rsidR="00E04121" w:rsidRPr="0093146C" w:rsidRDefault="00E04121" w:rsidP="00E04121">
      <w:pPr>
        <w:jc w:val="both"/>
        <w:rPr>
          <w:rFonts w:ascii="Verdana" w:hAnsi="Verdana"/>
          <w:sz w:val="20"/>
          <w:szCs w:val="20"/>
        </w:rPr>
      </w:pPr>
      <w:r w:rsidRPr="0093146C">
        <w:rPr>
          <w:rFonts w:ascii="Verdana" w:hAnsi="Verdana"/>
          <w:sz w:val="20"/>
          <w:szCs w:val="20"/>
        </w:rPr>
        <w:t>Diego García-Sayán, Juez;</w:t>
      </w:r>
    </w:p>
    <w:p w14:paraId="0C70486F" w14:textId="77777777" w:rsidR="00E04121" w:rsidRPr="00A55822" w:rsidRDefault="00E04121" w:rsidP="00E04121">
      <w:pPr>
        <w:jc w:val="both"/>
        <w:rPr>
          <w:rFonts w:ascii="Verdana" w:hAnsi="Verdana"/>
          <w:sz w:val="20"/>
          <w:szCs w:val="20"/>
        </w:rPr>
      </w:pPr>
      <w:r w:rsidRPr="0093146C">
        <w:rPr>
          <w:rFonts w:ascii="Verdana" w:hAnsi="Verdana"/>
          <w:sz w:val="20"/>
          <w:szCs w:val="20"/>
        </w:rPr>
        <w:t xml:space="preserve">Alberto Pérez </w:t>
      </w:r>
      <w:proofErr w:type="spellStart"/>
      <w:r w:rsidRPr="0093146C">
        <w:rPr>
          <w:rFonts w:ascii="Verdana" w:hAnsi="Verdana"/>
          <w:sz w:val="20"/>
          <w:szCs w:val="20"/>
        </w:rPr>
        <w:t>Pérez</w:t>
      </w:r>
      <w:proofErr w:type="spellEnd"/>
      <w:r w:rsidRPr="0093146C">
        <w:rPr>
          <w:rFonts w:ascii="Verdana" w:hAnsi="Verdana"/>
          <w:sz w:val="20"/>
          <w:szCs w:val="20"/>
        </w:rPr>
        <w:t>, Juez;</w:t>
      </w:r>
    </w:p>
    <w:p w14:paraId="0C704870" w14:textId="77777777" w:rsidR="00E04121" w:rsidRPr="000A16A4" w:rsidRDefault="00E04121" w:rsidP="00E04121">
      <w:pPr>
        <w:jc w:val="both"/>
        <w:rPr>
          <w:rFonts w:ascii="Verdana" w:hAnsi="Verdana"/>
          <w:sz w:val="20"/>
          <w:szCs w:val="20"/>
        </w:rPr>
      </w:pPr>
      <w:r w:rsidRPr="0013793D">
        <w:rPr>
          <w:rFonts w:ascii="Verdana" w:hAnsi="Verdana"/>
          <w:sz w:val="20"/>
          <w:szCs w:val="20"/>
        </w:rPr>
        <w:t>Eduardo Vio Grossi, Juez, y</w:t>
      </w:r>
    </w:p>
    <w:p w14:paraId="0C704871" w14:textId="77777777" w:rsidR="00E04121" w:rsidRPr="001D2BE2" w:rsidRDefault="00E04121" w:rsidP="00E04121">
      <w:pPr>
        <w:jc w:val="both"/>
        <w:rPr>
          <w:rFonts w:ascii="Verdana" w:hAnsi="Verdana"/>
          <w:sz w:val="20"/>
          <w:szCs w:val="20"/>
        </w:rPr>
      </w:pPr>
      <w:r w:rsidRPr="001D2BE2">
        <w:rPr>
          <w:rFonts w:ascii="Verdana" w:hAnsi="Verdana"/>
          <w:sz w:val="20"/>
          <w:szCs w:val="20"/>
        </w:rPr>
        <w:t>Eduardo Ferrer Mac-Gregor Poisot, Juez;</w:t>
      </w:r>
    </w:p>
    <w:p w14:paraId="0C704872" w14:textId="77777777" w:rsidR="00E04121" w:rsidRPr="001D2BE2" w:rsidRDefault="00E04121" w:rsidP="00E04121">
      <w:pPr>
        <w:jc w:val="both"/>
        <w:rPr>
          <w:rFonts w:ascii="Verdana" w:hAnsi="Verdana"/>
          <w:sz w:val="20"/>
          <w:szCs w:val="20"/>
        </w:rPr>
      </w:pPr>
    </w:p>
    <w:p w14:paraId="0C704873" w14:textId="77777777" w:rsidR="00E04121" w:rsidRPr="000A16A4" w:rsidRDefault="00FD39FC" w:rsidP="00E04121">
      <w:pPr>
        <w:jc w:val="both"/>
        <w:rPr>
          <w:rFonts w:ascii="Verdana" w:hAnsi="Verdana"/>
          <w:sz w:val="20"/>
          <w:szCs w:val="20"/>
        </w:rPr>
      </w:pPr>
      <w:r w:rsidRPr="000A16A4">
        <w:rPr>
          <w:rFonts w:ascii="Verdana" w:hAnsi="Verdana"/>
          <w:sz w:val="20"/>
          <w:szCs w:val="20"/>
        </w:rPr>
        <w:t>P</w:t>
      </w:r>
      <w:r w:rsidR="00E04121" w:rsidRPr="000A16A4">
        <w:rPr>
          <w:rFonts w:ascii="Verdana" w:hAnsi="Verdana"/>
          <w:sz w:val="20"/>
          <w:szCs w:val="20"/>
        </w:rPr>
        <w:t>resentes</w:t>
      </w:r>
      <w:r>
        <w:rPr>
          <w:rFonts w:ascii="Verdana" w:hAnsi="Verdana"/>
          <w:sz w:val="20"/>
          <w:szCs w:val="20"/>
        </w:rPr>
        <w:t>,</w:t>
      </w:r>
      <w:r w:rsidR="00E04121" w:rsidRPr="000A16A4">
        <w:rPr>
          <w:rFonts w:ascii="Verdana" w:hAnsi="Verdana"/>
          <w:sz w:val="20"/>
          <w:szCs w:val="20"/>
        </w:rPr>
        <w:t xml:space="preserve"> además, </w:t>
      </w:r>
    </w:p>
    <w:p w14:paraId="0C704874" w14:textId="77777777" w:rsidR="00E04121" w:rsidRPr="000A16A4" w:rsidRDefault="00E04121" w:rsidP="00E04121">
      <w:pPr>
        <w:jc w:val="both"/>
        <w:rPr>
          <w:rFonts w:ascii="Verdana" w:hAnsi="Verdana"/>
          <w:sz w:val="20"/>
          <w:szCs w:val="20"/>
        </w:rPr>
      </w:pPr>
    </w:p>
    <w:p w14:paraId="0C704875" w14:textId="77777777" w:rsidR="00E04121" w:rsidRPr="000A16A4" w:rsidRDefault="00E04121" w:rsidP="00E04121">
      <w:pPr>
        <w:jc w:val="both"/>
        <w:rPr>
          <w:rFonts w:ascii="Verdana" w:hAnsi="Verdana"/>
          <w:sz w:val="20"/>
          <w:szCs w:val="20"/>
        </w:rPr>
      </w:pPr>
      <w:r w:rsidRPr="000A16A4">
        <w:rPr>
          <w:rFonts w:ascii="Verdana" w:hAnsi="Verdana"/>
          <w:sz w:val="20"/>
          <w:szCs w:val="20"/>
        </w:rPr>
        <w:t>Pablo Saavedra Alessandri, Secretario, y</w:t>
      </w:r>
    </w:p>
    <w:p w14:paraId="0C704876" w14:textId="77777777" w:rsidR="00E04121" w:rsidRPr="000A16A4" w:rsidRDefault="00E04121" w:rsidP="00E04121">
      <w:pPr>
        <w:jc w:val="both"/>
        <w:rPr>
          <w:rFonts w:ascii="Verdana" w:hAnsi="Verdana"/>
          <w:sz w:val="20"/>
          <w:szCs w:val="20"/>
        </w:rPr>
      </w:pPr>
      <w:r w:rsidRPr="000A16A4">
        <w:rPr>
          <w:rFonts w:ascii="Verdana" w:hAnsi="Verdana"/>
          <w:sz w:val="20"/>
          <w:szCs w:val="20"/>
        </w:rPr>
        <w:t>Emilia Segares Rodríguez, Secretaria Adjunta,</w:t>
      </w:r>
    </w:p>
    <w:p w14:paraId="0C704877" w14:textId="77777777" w:rsidR="00E04121" w:rsidRPr="000A16A4" w:rsidRDefault="00E04121" w:rsidP="00E04121">
      <w:pPr>
        <w:jc w:val="both"/>
        <w:rPr>
          <w:rFonts w:ascii="Verdana" w:hAnsi="Verdana"/>
          <w:sz w:val="20"/>
          <w:szCs w:val="20"/>
        </w:rPr>
      </w:pPr>
    </w:p>
    <w:p w14:paraId="0C704878" w14:textId="436DDEAA" w:rsidR="00E04121" w:rsidRPr="000A16A4" w:rsidRDefault="00E04121" w:rsidP="00E04121">
      <w:pPr>
        <w:jc w:val="both"/>
        <w:rPr>
          <w:rFonts w:ascii="Verdana" w:hAnsi="Verdana"/>
          <w:sz w:val="20"/>
          <w:szCs w:val="20"/>
        </w:rPr>
      </w:pPr>
      <w:proofErr w:type="gramStart"/>
      <w:r w:rsidRPr="000A16A4">
        <w:rPr>
          <w:rFonts w:ascii="Verdana" w:hAnsi="Verdana"/>
          <w:sz w:val="20"/>
          <w:szCs w:val="20"/>
        </w:rPr>
        <w:t>de</w:t>
      </w:r>
      <w:proofErr w:type="gramEnd"/>
      <w:r w:rsidRPr="000A16A4">
        <w:rPr>
          <w:rFonts w:ascii="Verdana" w:hAnsi="Verdana"/>
          <w:sz w:val="20"/>
          <w:szCs w:val="20"/>
        </w:rPr>
        <w:t xml:space="preserve"> conformidad con los artículos 62.3 y 63.1 de la Convención Americana sobre Derechos Humanos </w:t>
      </w:r>
      <w:r w:rsidR="00FD39FC">
        <w:rPr>
          <w:rFonts w:ascii="Verdana" w:hAnsi="Verdana"/>
          <w:sz w:val="20"/>
          <w:szCs w:val="20"/>
        </w:rPr>
        <w:t>(en adelante,</w:t>
      </w:r>
      <w:r w:rsidRPr="000A16A4">
        <w:rPr>
          <w:rFonts w:ascii="Verdana" w:hAnsi="Verdana"/>
          <w:sz w:val="20"/>
          <w:szCs w:val="20"/>
        </w:rPr>
        <w:t xml:space="preserve"> “la Convención Americana” o “la Convención”) y con los artículos 31, 32, 42, 65 y 67 del Reglamento de la Corte </w:t>
      </w:r>
      <w:r w:rsidR="00FD39FC">
        <w:rPr>
          <w:rFonts w:ascii="Verdana" w:hAnsi="Verdana"/>
          <w:sz w:val="20"/>
          <w:szCs w:val="20"/>
        </w:rPr>
        <w:t>(en adelante,</w:t>
      </w:r>
      <w:r w:rsidRPr="000A16A4">
        <w:rPr>
          <w:rFonts w:ascii="Verdana" w:hAnsi="Verdana"/>
          <w:sz w:val="20"/>
          <w:szCs w:val="20"/>
        </w:rPr>
        <w:t xml:space="preserve"> “el Reglamento”), dicta la presente Sentencia, que se estructura en el siguiente orden:</w:t>
      </w:r>
    </w:p>
    <w:p w14:paraId="0C704879" w14:textId="77777777" w:rsidR="00E04121" w:rsidRPr="000A16A4" w:rsidRDefault="00E04121" w:rsidP="00E04121">
      <w:pPr>
        <w:jc w:val="both"/>
        <w:rPr>
          <w:rFonts w:ascii="Verdana" w:hAnsi="Verdana"/>
          <w:sz w:val="20"/>
          <w:szCs w:val="20"/>
        </w:rPr>
      </w:pPr>
    </w:p>
    <w:p w14:paraId="0C70487A" w14:textId="77777777" w:rsidR="00E04121" w:rsidRPr="000A16A4" w:rsidRDefault="00E04121" w:rsidP="00E04121">
      <w:pPr>
        <w:jc w:val="center"/>
        <w:rPr>
          <w:rFonts w:ascii="Verdana" w:hAnsi="Verdana"/>
          <w:sz w:val="20"/>
          <w:szCs w:val="20"/>
        </w:rPr>
      </w:pPr>
    </w:p>
    <w:p w14:paraId="0C70487B" w14:textId="77777777" w:rsidR="00E04121" w:rsidRDefault="00E04121" w:rsidP="00E04121">
      <w:pPr>
        <w:jc w:val="both"/>
        <w:rPr>
          <w:rFonts w:ascii="Verdana" w:hAnsi="Verdana"/>
          <w:sz w:val="20"/>
          <w:szCs w:val="20"/>
        </w:rPr>
      </w:pPr>
    </w:p>
    <w:p w14:paraId="0C70487C" w14:textId="77777777" w:rsidR="00E04121" w:rsidRDefault="00E04121" w:rsidP="00E04121">
      <w:pPr>
        <w:jc w:val="both"/>
        <w:rPr>
          <w:rFonts w:ascii="Verdana" w:hAnsi="Verdana"/>
          <w:sz w:val="20"/>
          <w:szCs w:val="20"/>
        </w:rPr>
      </w:pPr>
    </w:p>
    <w:p w14:paraId="0C70487D" w14:textId="77777777" w:rsidR="00E04121" w:rsidRDefault="00E04121" w:rsidP="00E04121">
      <w:pPr>
        <w:jc w:val="both"/>
        <w:rPr>
          <w:rFonts w:ascii="Verdana" w:hAnsi="Verdana"/>
          <w:sz w:val="20"/>
          <w:szCs w:val="20"/>
        </w:rPr>
      </w:pPr>
    </w:p>
    <w:p w14:paraId="0C70487E" w14:textId="77777777" w:rsidR="00E04121" w:rsidRPr="000A16A4" w:rsidRDefault="00E04121" w:rsidP="00E04121">
      <w:pPr>
        <w:jc w:val="both"/>
        <w:rPr>
          <w:rFonts w:ascii="Verdana" w:hAnsi="Verdana"/>
          <w:sz w:val="20"/>
          <w:szCs w:val="20"/>
        </w:rPr>
      </w:pPr>
    </w:p>
    <w:p w14:paraId="0C70487F" w14:textId="77777777" w:rsidR="00E04121" w:rsidRPr="000A16A4" w:rsidRDefault="00E04121" w:rsidP="00E04121">
      <w:pPr>
        <w:jc w:val="both"/>
        <w:rPr>
          <w:rFonts w:ascii="Verdana" w:hAnsi="Verdana"/>
          <w:sz w:val="20"/>
          <w:szCs w:val="20"/>
        </w:rPr>
      </w:pPr>
      <w:r w:rsidRPr="000A16A4">
        <w:rPr>
          <w:rFonts w:ascii="Verdana" w:hAnsi="Verdana"/>
          <w:sz w:val="20"/>
          <w:szCs w:val="20"/>
        </w:rPr>
        <w:br w:type="page"/>
      </w:r>
    </w:p>
    <w:p w14:paraId="0C704880" w14:textId="77777777" w:rsidR="00E04121" w:rsidRPr="0019552C" w:rsidRDefault="00E04121" w:rsidP="00E04121">
      <w:pPr>
        <w:jc w:val="center"/>
        <w:rPr>
          <w:rFonts w:ascii="Verdana" w:hAnsi="Verdana"/>
          <w:b/>
          <w:sz w:val="18"/>
          <w:szCs w:val="18"/>
        </w:rPr>
      </w:pPr>
      <w:r w:rsidRPr="005C11E9">
        <w:rPr>
          <w:rFonts w:ascii="Verdana" w:hAnsi="Verdana"/>
          <w:b/>
          <w:sz w:val="18"/>
          <w:szCs w:val="18"/>
        </w:rPr>
        <w:lastRenderedPageBreak/>
        <w:t>CASO COMUNIDAD GARÍFUNA DE PUNT</w:t>
      </w:r>
      <w:r w:rsidRPr="0019552C">
        <w:rPr>
          <w:rFonts w:ascii="Verdana" w:hAnsi="Verdana"/>
          <w:b/>
          <w:sz w:val="18"/>
          <w:szCs w:val="18"/>
        </w:rPr>
        <w:t xml:space="preserve">A PIEDRA Y SUS MIEMBROS </w:t>
      </w:r>
      <w:r w:rsidRPr="0019552C">
        <w:rPr>
          <w:rFonts w:ascii="Verdana" w:hAnsi="Verdana"/>
          <w:b/>
          <w:i/>
          <w:sz w:val="18"/>
          <w:szCs w:val="18"/>
        </w:rPr>
        <w:t>VS.</w:t>
      </w:r>
      <w:r w:rsidRPr="0019552C">
        <w:rPr>
          <w:rFonts w:ascii="Verdana" w:hAnsi="Verdana"/>
          <w:b/>
          <w:sz w:val="18"/>
          <w:szCs w:val="18"/>
        </w:rPr>
        <w:t xml:space="preserve"> HONDURAS</w:t>
      </w:r>
    </w:p>
    <w:p w14:paraId="0C704881" w14:textId="1BAB04F5" w:rsidR="00E04121" w:rsidRPr="005C11E9" w:rsidRDefault="00E04121" w:rsidP="00E04121">
      <w:pPr>
        <w:jc w:val="center"/>
        <w:rPr>
          <w:rFonts w:ascii="Verdana" w:hAnsi="Verdana"/>
          <w:b/>
          <w:sz w:val="18"/>
          <w:szCs w:val="18"/>
        </w:rPr>
      </w:pPr>
      <w:r w:rsidRPr="0019552C">
        <w:rPr>
          <w:rFonts w:ascii="Verdana" w:hAnsi="Verdana"/>
          <w:b/>
          <w:sz w:val="18"/>
          <w:szCs w:val="18"/>
        </w:rPr>
        <w:t>ÍNDICE</w:t>
      </w:r>
      <w:r w:rsidR="00A0324F">
        <w:rPr>
          <w:rFonts w:ascii="Verdana" w:hAnsi="Verdana"/>
          <w:b/>
          <w:sz w:val="18"/>
          <w:szCs w:val="18"/>
        </w:rPr>
        <w:t xml:space="preserve"> </w:t>
      </w:r>
      <w:r w:rsidR="00673F4B">
        <w:rPr>
          <w:rFonts w:ascii="Verdana" w:hAnsi="Verdana"/>
          <w:b/>
          <w:sz w:val="18"/>
          <w:szCs w:val="18"/>
        </w:rPr>
        <w:t xml:space="preserve"> </w:t>
      </w:r>
    </w:p>
    <w:p w14:paraId="0C704882" w14:textId="77777777" w:rsidR="00E04121" w:rsidRPr="005C11E9" w:rsidRDefault="00E04121" w:rsidP="00E04121">
      <w:pPr>
        <w:jc w:val="both"/>
        <w:rPr>
          <w:rFonts w:ascii="Verdana" w:hAnsi="Verdana"/>
          <w:b/>
          <w:sz w:val="18"/>
          <w:szCs w:val="18"/>
        </w:rPr>
      </w:pPr>
    </w:p>
    <w:bookmarkStart w:id="0" w:name="_Toc390328152"/>
    <w:p w14:paraId="4EEC6429" w14:textId="77777777" w:rsidR="001D2BE2" w:rsidRPr="001D2BE2" w:rsidRDefault="0086236B" w:rsidP="001D2BE2">
      <w:pPr>
        <w:pStyle w:val="TOC1"/>
        <w:rPr>
          <w:rFonts w:eastAsiaTheme="minorEastAsia" w:cstheme="minorBidi"/>
          <w:snapToGrid/>
          <w:lang w:val="es-CR" w:eastAsia="es-CR"/>
        </w:rPr>
      </w:pPr>
      <w:r w:rsidRPr="001D2BE2">
        <w:fldChar w:fldCharType="begin"/>
      </w:r>
      <w:r w:rsidR="00E04121" w:rsidRPr="001D2BE2">
        <w:instrText xml:space="preserve"> TOC \o "1-5" \h \z \u </w:instrText>
      </w:r>
      <w:r w:rsidRPr="001D2BE2">
        <w:fldChar w:fldCharType="separate"/>
      </w:r>
      <w:hyperlink w:anchor="_Toc437247300" w:history="1">
        <w:r w:rsidR="001D2BE2" w:rsidRPr="001D2BE2">
          <w:rPr>
            <w:rStyle w:val="Hyperlink"/>
            <w:rFonts w:cs="Verdana"/>
          </w:rPr>
          <w:t>I INTRODUCCIÓN DE LA CAUSA Y OBJETO DE LA CONTROVERSIA</w:t>
        </w:r>
        <w:r w:rsidR="001D2BE2" w:rsidRPr="001D2BE2">
          <w:rPr>
            <w:webHidden/>
          </w:rPr>
          <w:tab/>
        </w:r>
        <w:r w:rsidR="001D2BE2" w:rsidRPr="001D2BE2">
          <w:rPr>
            <w:webHidden/>
          </w:rPr>
          <w:fldChar w:fldCharType="begin"/>
        </w:r>
        <w:r w:rsidR="001D2BE2" w:rsidRPr="001D2BE2">
          <w:rPr>
            <w:webHidden/>
          </w:rPr>
          <w:instrText xml:space="preserve"> PAGEREF _Toc437247300 \h </w:instrText>
        </w:r>
        <w:r w:rsidR="001D2BE2" w:rsidRPr="001D2BE2">
          <w:rPr>
            <w:webHidden/>
          </w:rPr>
        </w:r>
        <w:r w:rsidR="001D2BE2" w:rsidRPr="001D2BE2">
          <w:rPr>
            <w:webHidden/>
          </w:rPr>
          <w:fldChar w:fldCharType="separate"/>
        </w:r>
        <w:r w:rsidR="006B4260">
          <w:rPr>
            <w:webHidden/>
          </w:rPr>
          <w:t>5</w:t>
        </w:r>
        <w:r w:rsidR="001D2BE2" w:rsidRPr="001D2BE2">
          <w:rPr>
            <w:webHidden/>
          </w:rPr>
          <w:fldChar w:fldCharType="end"/>
        </w:r>
      </w:hyperlink>
    </w:p>
    <w:p w14:paraId="5DCB6670" w14:textId="77777777" w:rsidR="001D2BE2" w:rsidRPr="001D2BE2" w:rsidRDefault="00A90A01" w:rsidP="001D2BE2">
      <w:pPr>
        <w:pStyle w:val="TOC1"/>
        <w:rPr>
          <w:rFonts w:eastAsiaTheme="minorEastAsia" w:cstheme="minorBidi"/>
          <w:snapToGrid/>
          <w:lang w:val="es-CR" w:eastAsia="es-CR"/>
        </w:rPr>
      </w:pPr>
      <w:hyperlink w:anchor="_Toc437247301" w:history="1">
        <w:r w:rsidR="001D2BE2" w:rsidRPr="001D2BE2">
          <w:rPr>
            <w:rStyle w:val="Hyperlink"/>
            <w:rFonts w:cs="Verdana"/>
          </w:rPr>
          <w:t>II PROCEDIMIENTO ANTE LA CORTE</w:t>
        </w:r>
        <w:r w:rsidR="001D2BE2" w:rsidRPr="001D2BE2">
          <w:rPr>
            <w:webHidden/>
          </w:rPr>
          <w:tab/>
        </w:r>
        <w:r w:rsidR="001D2BE2" w:rsidRPr="001D2BE2">
          <w:rPr>
            <w:webHidden/>
          </w:rPr>
          <w:fldChar w:fldCharType="begin"/>
        </w:r>
        <w:r w:rsidR="001D2BE2" w:rsidRPr="001D2BE2">
          <w:rPr>
            <w:webHidden/>
          </w:rPr>
          <w:instrText xml:space="preserve"> PAGEREF _Toc437247301 \h </w:instrText>
        </w:r>
        <w:r w:rsidR="001D2BE2" w:rsidRPr="001D2BE2">
          <w:rPr>
            <w:webHidden/>
          </w:rPr>
        </w:r>
        <w:r w:rsidR="001D2BE2" w:rsidRPr="001D2BE2">
          <w:rPr>
            <w:webHidden/>
          </w:rPr>
          <w:fldChar w:fldCharType="separate"/>
        </w:r>
        <w:r w:rsidR="006B4260">
          <w:rPr>
            <w:webHidden/>
          </w:rPr>
          <w:t>6</w:t>
        </w:r>
        <w:r w:rsidR="001D2BE2" w:rsidRPr="001D2BE2">
          <w:rPr>
            <w:webHidden/>
          </w:rPr>
          <w:fldChar w:fldCharType="end"/>
        </w:r>
      </w:hyperlink>
    </w:p>
    <w:p w14:paraId="5F25C5F4" w14:textId="77777777" w:rsidR="001D2BE2" w:rsidRPr="001D2BE2" w:rsidRDefault="00A90A01" w:rsidP="001D2BE2">
      <w:pPr>
        <w:pStyle w:val="TOC1"/>
        <w:rPr>
          <w:rFonts w:eastAsiaTheme="minorEastAsia" w:cstheme="minorBidi"/>
          <w:snapToGrid/>
          <w:lang w:val="es-CR" w:eastAsia="es-CR"/>
        </w:rPr>
      </w:pPr>
      <w:hyperlink w:anchor="_Toc437247302" w:history="1">
        <w:r w:rsidR="001D2BE2" w:rsidRPr="001D2BE2">
          <w:rPr>
            <w:rStyle w:val="Hyperlink"/>
            <w:rFonts w:cs="Verdana"/>
          </w:rPr>
          <w:t>III COMPETENCIA</w:t>
        </w:r>
        <w:r w:rsidR="001D2BE2" w:rsidRPr="001D2BE2">
          <w:rPr>
            <w:webHidden/>
          </w:rPr>
          <w:tab/>
        </w:r>
        <w:r w:rsidR="001D2BE2" w:rsidRPr="001D2BE2">
          <w:rPr>
            <w:webHidden/>
          </w:rPr>
          <w:fldChar w:fldCharType="begin"/>
        </w:r>
        <w:r w:rsidR="001D2BE2" w:rsidRPr="001D2BE2">
          <w:rPr>
            <w:webHidden/>
          </w:rPr>
          <w:instrText xml:space="preserve"> PAGEREF _Toc437247302 \h </w:instrText>
        </w:r>
        <w:r w:rsidR="001D2BE2" w:rsidRPr="001D2BE2">
          <w:rPr>
            <w:webHidden/>
          </w:rPr>
        </w:r>
        <w:r w:rsidR="001D2BE2" w:rsidRPr="001D2BE2">
          <w:rPr>
            <w:webHidden/>
          </w:rPr>
          <w:fldChar w:fldCharType="separate"/>
        </w:r>
        <w:r w:rsidR="006B4260">
          <w:rPr>
            <w:webHidden/>
          </w:rPr>
          <w:t>10</w:t>
        </w:r>
        <w:r w:rsidR="001D2BE2" w:rsidRPr="001D2BE2">
          <w:rPr>
            <w:webHidden/>
          </w:rPr>
          <w:fldChar w:fldCharType="end"/>
        </w:r>
      </w:hyperlink>
    </w:p>
    <w:p w14:paraId="68231E99" w14:textId="6B67E40B" w:rsidR="001D2BE2" w:rsidRPr="001D2BE2" w:rsidRDefault="001D2BE2" w:rsidP="001D2BE2">
      <w:pPr>
        <w:pStyle w:val="TOC1"/>
        <w:rPr>
          <w:rFonts w:eastAsiaTheme="minorEastAsia" w:cstheme="minorBidi"/>
          <w:snapToGrid/>
          <w:lang w:val="es-CR" w:eastAsia="es-CR"/>
        </w:rPr>
      </w:pPr>
      <w:r w:rsidRPr="001D2BE2">
        <w:rPr>
          <w:rStyle w:val="Hyperlink"/>
          <w:color w:val="auto"/>
          <w:u w:val="none"/>
        </w:rPr>
        <w:t xml:space="preserve">iV EXCEPCIÓN PRELIMINAR </w:t>
      </w:r>
      <w:hyperlink w:anchor="_Toc437247304" w:history="1">
        <w:r w:rsidRPr="001D2BE2">
          <w:rPr>
            <w:rStyle w:val="Hyperlink"/>
            <w:rFonts w:cs="Verdana"/>
            <w:color w:val="auto"/>
            <w:u w:val="none"/>
          </w:rPr>
          <w:t>ALEGADA FALTA DE AGOTAMIENTO DE LOS RECURSOS INTERNOS</w:t>
        </w:r>
        <w:r w:rsidRPr="001D2BE2">
          <w:rPr>
            <w:webHidden/>
          </w:rPr>
          <w:tab/>
        </w:r>
        <w:r w:rsidRPr="001D2BE2">
          <w:rPr>
            <w:webHidden/>
          </w:rPr>
          <w:fldChar w:fldCharType="begin"/>
        </w:r>
        <w:r w:rsidRPr="001D2BE2">
          <w:rPr>
            <w:webHidden/>
          </w:rPr>
          <w:instrText xml:space="preserve"> PAGEREF _Toc437247304 \h </w:instrText>
        </w:r>
        <w:r w:rsidRPr="001D2BE2">
          <w:rPr>
            <w:webHidden/>
          </w:rPr>
        </w:r>
        <w:r w:rsidRPr="001D2BE2">
          <w:rPr>
            <w:webHidden/>
          </w:rPr>
          <w:fldChar w:fldCharType="separate"/>
        </w:r>
        <w:r w:rsidR="006B4260">
          <w:rPr>
            <w:webHidden/>
          </w:rPr>
          <w:t>10</w:t>
        </w:r>
        <w:r w:rsidRPr="001D2BE2">
          <w:rPr>
            <w:webHidden/>
          </w:rPr>
          <w:fldChar w:fldCharType="end"/>
        </w:r>
      </w:hyperlink>
    </w:p>
    <w:p w14:paraId="2659C03B"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05"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_Toc437247305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w:t>
        </w:r>
        <w:r w:rsidR="001D2BE2" w:rsidRPr="001D2BE2">
          <w:rPr>
            <w:rFonts w:ascii="Verdana" w:hAnsi="Verdana"/>
            <w:noProof/>
            <w:webHidden/>
            <w:sz w:val="18"/>
            <w:szCs w:val="18"/>
          </w:rPr>
          <w:fldChar w:fldCharType="end"/>
        </w:r>
      </w:hyperlink>
    </w:p>
    <w:p w14:paraId="5C305972"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06"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_Toc437247306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11</w:t>
        </w:r>
        <w:r w:rsidR="001D2BE2" w:rsidRPr="001D2BE2">
          <w:rPr>
            <w:rFonts w:ascii="Verdana" w:hAnsi="Verdana"/>
            <w:noProof/>
            <w:webHidden/>
            <w:sz w:val="18"/>
            <w:szCs w:val="18"/>
          </w:rPr>
          <w:fldChar w:fldCharType="end"/>
        </w:r>
      </w:hyperlink>
    </w:p>
    <w:p w14:paraId="45E4453A" w14:textId="77777777" w:rsidR="001D2BE2" w:rsidRPr="001D2BE2" w:rsidRDefault="00A90A01" w:rsidP="001D2BE2">
      <w:pPr>
        <w:pStyle w:val="TOC1"/>
        <w:rPr>
          <w:rFonts w:eastAsiaTheme="minorEastAsia" w:cstheme="minorBidi"/>
          <w:snapToGrid/>
          <w:lang w:val="es-CR" w:eastAsia="es-CR"/>
        </w:rPr>
      </w:pPr>
      <w:hyperlink w:anchor="_Toc437247307" w:history="1">
        <w:r w:rsidR="001D2BE2" w:rsidRPr="001D2BE2">
          <w:rPr>
            <w:rStyle w:val="Hyperlink"/>
            <w:rFonts w:cs="Verdana"/>
          </w:rPr>
          <w:t>V RECONOCIMIENTO PARCIAL DE RESPONSABILIDAD POR parte dEL ESTADO</w:t>
        </w:r>
        <w:r w:rsidR="001D2BE2" w:rsidRPr="001D2BE2">
          <w:rPr>
            <w:webHidden/>
          </w:rPr>
          <w:tab/>
        </w:r>
        <w:r w:rsidR="001D2BE2" w:rsidRPr="001D2BE2">
          <w:rPr>
            <w:webHidden/>
          </w:rPr>
          <w:fldChar w:fldCharType="begin"/>
        </w:r>
        <w:r w:rsidR="001D2BE2" w:rsidRPr="001D2BE2">
          <w:rPr>
            <w:webHidden/>
          </w:rPr>
          <w:instrText xml:space="preserve"> PAGEREF _Toc437247307 \h </w:instrText>
        </w:r>
        <w:r w:rsidR="001D2BE2" w:rsidRPr="001D2BE2">
          <w:rPr>
            <w:webHidden/>
          </w:rPr>
        </w:r>
        <w:r w:rsidR="001D2BE2" w:rsidRPr="001D2BE2">
          <w:rPr>
            <w:webHidden/>
          </w:rPr>
          <w:fldChar w:fldCharType="separate"/>
        </w:r>
        <w:r w:rsidR="006B4260">
          <w:rPr>
            <w:webHidden/>
          </w:rPr>
          <w:t>13</w:t>
        </w:r>
        <w:r w:rsidR="001D2BE2" w:rsidRPr="001D2BE2">
          <w:rPr>
            <w:webHidden/>
          </w:rPr>
          <w:fldChar w:fldCharType="end"/>
        </w:r>
      </w:hyperlink>
    </w:p>
    <w:p w14:paraId="6140A19A"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08"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_Toc437247308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13</w:t>
        </w:r>
        <w:r w:rsidR="001D2BE2" w:rsidRPr="001D2BE2">
          <w:rPr>
            <w:rFonts w:ascii="Verdana" w:hAnsi="Verdana"/>
            <w:noProof/>
            <w:webHidden/>
            <w:sz w:val="18"/>
            <w:szCs w:val="18"/>
          </w:rPr>
          <w:fldChar w:fldCharType="end"/>
        </w:r>
      </w:hyperlink>
    </w:p>
    <w:p w14:paraId="0784817E"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09"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_Toc437247309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15</w:t>
        </w:r>
        <w:r w:rsidR="001D2BE2" w:rsidRPr="001D2BE2">
          <w:rPr>
            <w:rFonts w:ascii="Verdana" w:hAnsi="Verdana"/>
            <w:noProof/>
            <w:webHidden/>
            <w:sz w:val="18"/>
            <w:szCs w:val="18"/>
          </w:rPr>
          <w:fldChar w:fldCharType="end"/>
        </w:r>
      </w:hyperlink>
    </w:p>
    <w:p w14:paraId="01686B83" w14:textId="77777777" w:rsidR="001D2BE2" w:rsidRPr="001D2BE2" w:rsidRDefault="00A90A01" w:rsidP="001D2BE2">
      <w:pPr>
        <w:pStyle w:val="TOC1"/>
        <w:rPr>
          <w:rFonts w:eastAsiaTheme="minorEastAsia" w:cstheme="minorBidi"/>
          <w:snapToGrid/>
          <w:lang w:val="es-CR" w:eastAsia="es-CR"/>
        </w:rPr>
      </w:pPr>
      <w:hyperlink w:anchor="_Toc437247310" w:history="1">
        <w:r w:rsidR="001D2BE2" w:rsidRPr="001D2BE2">
          <w:rPr>
            <w:rStyle w:val="Hyperlink"/>
            <w:rFonts w:cs="Verdana"/>
          </w:rPr>
          <w:t>VI CONSIDERACIONES PREVIAS</w:t>
        </w:r>
        <w:r w:rsidR="001D2BE2" w:rsidRPr="001D2BE2">
          <w:rPr>
            <w:webHidden/>
          </w:rPr>
          <w:tab/>
        </w:r>
        <w:r w:rsidR="001D2BE2" w:rsidRPr="001D2BE2">
          <w:rPr>
            <w:webHidden/>
          </w:rPr>
          <w:fldChar w:fldCharType="begin"/>
        </w:r>
        <w:r w:rsidR="001D2BE2" w:rsidRPr="001D2BE2">
          <w:rPr>
            <w:webHidden/>
          </w:rPr>
          <w:instrText xml:space="preserve"> PAGEREF _Toc437247310 \h </w:instrText>
        </w:r>
        <w:r w:rsidR="001D2BE2" w:rsidRPr="001D2BE2">
          <w:rPr>
            <w:webHidden/>
          </w:rPr>
        </w:r>
        <w:r w:rsidR="001D2BE2" w:rsidRPr="001D2BE2">
          <w:rPr>
            <w:webHidden/>
          </w:rPr>
          <w:fldChar w:fldCharType="separate"/>
        </w:r>
        <w:r w:rsidR="006B4260">
          <w:rPr>
            <w:webHidden/>
          </w:rPr>
          <w:t>16</w:t>
        </w:r>
        <w:r w:rsidR="001D2BE2" w:rsidRPr="001D2BE2">
          <w:rPr>
            <w:webHidden/>
          </w:rPr>
          <w:fldChar w:fldCharType="end"/>
        </w:r>
      </w:hyperlink>
    </w:p>
    <w:p w14:paraId="1DF11E90"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11"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Sobre el alegado desconocimiento por parte del Estado de la Comunidad Garífuna de Punta Piedra como pueblo originario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17</w:t>
        </w:r>
        <w:r w:rsidR="001D2BE2" w:rsidRPr="001D2BE2">
          <w:rPr>
            <w:rFonts w:ascii="Verdana" w:hAnsi="Verdana"/>
            <w:noProof/>
            <w:webHidden/>
            <w:sz w:val="18"/>
            <w:szCs w:val="18"/>
          </w:rPr>
          <w:fldChar w:fldCharType="end"/>
        </w:r>
      </w:hyperlink>
    </w:p>
    <w:p w14:paraId="462E46F7"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12"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Sobre la admisibilidad de algunos hechos del marco fáctico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18</w:t>
        </w:r>
        <w:r w:rsidR="001D2BE2" w:rsidRPr="001D2BE2">
          <w:rPr>
            <w:rFonts w:ascii="Verdana" w:hAnsi="Verdana"/>
            <w:noProof/>
            <w:webHidden/>
            <w:sz w:val="18"/>
            <w:szCs w:val="18"/>
          </w:rPr>
          <w:fldChar w:fldCharType="end"/>
        </w:r>
      </w:hyperlink>
    </w:p>
    <w:p w14:paraId="78655019"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13" w:history="1">
        <w:r w:rsidR="001D2BE2" w:rsidRPr="001D2BE2">
          <w:rPr>
            <w:rStyle w:val="Hyperlink"/>
            <w:rFonts w:ascii="Verdana" w:hAnsi="Verdana"/>
            <w:noProof/>
            <w:sz w:val="18"/>
            <w:szCs w:val="18"/>
          </w:rPr>
          <w:t>B.1 Exclusión de los hechos y alegatos relacionados con el Parque Nacional “Sierra Río Tinto”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18</w:t>
        </w:r>
        <w:r w:rsidR="001D2BE2" w:rsidRPr="001D2BE2">
          <w:rPr>
            <w:rFonts w:ascii="Verdana" w:hAnsi="Verdana"/>
            <w:noProof/>
            <w:webHidden/>
            <w:sz w:val="18"/>
            <w:szCs w:val="18"/>
          </w:rPr>
          <w:fldChar w:fldCharType="end"/>
        </w:r>
      </w:hyperlink>
    </w:p>
    <w:p w14:paraId="61BED9EC"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14" w:history="1">
        <w:r w:rsidR="001D2BE2" w:rsidRPr="001D2BE2">
          <w:rPr>
            <w:rStyle w:val="Hyperlink"/>
            <w:rFonts w:ascii="Verdana" w:hAnsi="Verdana"/>
            <w:noProof/>
            <w:sz w:val="18"/>
            <w:szCs w:val="18"/>
          </w:rPr>
          <w:t>B.2 Solicitud de inclusión de hechos relacionados con el proyecto Hidroeléctrico “Los Chorros”; actividades de exploración y explotación petrolera, y la Ley de Pesca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19</w:t>
        </w:r>
        <w:r w:rsidR="001D2BE2" w:rsidRPr="001D2BE2">
          <w:rPr>
            <w:rFonts w:ascii="Verdana" w:hAnsi="Verdana"/>
            <w:noProof/>
            <w:webHidden/>
            <w:sz w:val="18"/>
            <w:szCs w:val="18"/>
          </w:rPr>
          <w:fldChar w:fldCharType="end"/>
        </w:r>
      </w:hyperlink>
    </w:p>
    <w:p w14:paraId="71BB22E6" w14:textId="77777777" w:rsidR="001D2BE2" w:rsidRPr="001D2BE2" w:rsidRDefault="00A90A01" w:rsidP="001D2BE2">
      <w:pPr>
        <w:pStyle w:val="TOC1"/>
        <w:rPr>
          <w:rFonts w:eastAsiaTheme="minorEastAsia" w:cstheme="minorBidi"/>
          <w:snapToGrid/>
          <w:lang w:val="es-CR" w:eastAsia="es-CR"/>
        </w:rPr>
      </w:pPr>
      <w:hyperlink w:anchor="_Toc437247315" w:history="1">
        <w:r w:rsidR="001D2BE2" w:rsidRPr="001D2BE2">
          <w:rPr>
            <w:rStyle w:val="Hyperlink"/>
            <w:rFonts w:cs="Verdana"/>
          </w:rPr>
          <w:t>Vii PRUEBA</w:t>
        </w:r>
        <w:r w:rsidR="001D2BE2" w:rsidRPr="001D2BE2">
          <w:rPr>
            <w:webHidden/>
          </w:rPr>
          <w:tab/>
        </w:r>
        <w:r w:rsidR="001D2BE2" w:rsidRPr="001D2BE2">
          <w:rPr>
            <w:webHidden/>
          </w:rPr>
          <w:fldChar w:fldCharType="begin"/>
        </w:r>
        <w:r w:rsidR="001D2BE2" w:rsidRPr="001D2BE2">
          <w:rPr>
            <w:webHidden/>
          </w:rPr>
          <w:instrText xml:space="preserve"> PAGEREF _Toc437247315 \h </w:instrText>
        </w:r>
        <w:r w:rsidR="001D2BE2" w:rsidRPr="001D2BE2">
          <w:rPr>
            <w:webHidden/>
          </w:rPr>
        </w:r>
        <w:r w:rsidR="001D2BE2" w:rsidRPr="001D2BE2">
          <w:rPr>
            <w:webHidden/>
          </w:rPr>
          <w:fldChar w:fldCharType="separate"/>
        </w:r>
        <w:r w:rsidR="006B4260">
          <w:rPr>
            <w:webHidden/>
          </w:rPr>
          <w:t>20</w:t>
        </w:r>
        <w:r w:rsidR="001D2BE2" w:rsidRPr="001D2BE2">
          <w:rPr>
            <w:webHidden/>
          </w:rPr>
          <w:fldChar w:fldCharType="end"/>
        </w:r>
      </w:hyperlink>
    </w:p>
    <w:p w14:paraId="3336CE89"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16"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Prueba documental, testimonial y pericial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20</w:t>
        </w:r>
        <w:r w:rsidR="001D2BE2" w:rsidRPr="001D2BE2">
          <w:rPr>
            <w:rFonts w:ascii="Verdana" w:hAnsi="Verdana"/>
            <w:noProof/>
            <w:webHidden/>
            <w:sz w:val="18"/>
            <w:szCs w:val="18"/>
          </w:rPr>
          <w:fldChar w:fldCharType="end"/>
        </w:r>
      </w:hyperlink>
    </w:p>
    <w:p w14:paraId="589E36B5"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17"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Admisión de la prueba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21</w:t>
        </w:r>
        <w:r w:rsidR="001D2BE2" w:rsidRPr="001D2BE2">
          <w:rPr>
            <w:rFonts w:ascii="Verdana" w:hAnsi="Verdana"/>
            <w:noProof/>
            <w:webHidden/>
            <w:sz w:val="18"/>
            <w:szCs w:val="18"/>
          </w:rPr>
          <w:fldChar w:fldCharType="end"/>
        </w:r>
      </w:hyperlink>
    </w:p>
    <w:p w14:paraId="48A5AEE5"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18" w:history="1">
        <w:r w:rsidR="001D2BE2" w:rsidRPr="001D2BE2">
          <w:rPr>
            <w:rStyle w:val="Hyperlink"/>
            <w:rFonts w:ascii="Verdana" w:hAnsi="Verdana"/>
            <w:noProof/>
            <w:sz w:val="18"/>
            <w:szCs w:val="18"/>
          </w:rPr>
          <w:t>B.1 Admisión de la prueba documental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21</w:t>
        </w:r>
        <w:r w:rsidR="001D2BE2" w:rsidRPr="001D2BE2">
          <w:rPr>
            <w:rFonts w:ascii="Verdana" w:hAnsi="Verdana"/>
            <w:noProof/>
            <w:webHidden/>
            <w:sz w:val="18"/>
            <w:szCs w:val="18"/>
          </w:rPr>
          <w:fldChar w:fldCharType="end"/>
        </w:r>
      </w:hyperlink>
    </w:p>
    <w:p w14:paraId="17336BAC"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19" w:history="1">
        <w:r w:rsidR="001D2BE2" w:rsidRPr="001D2BE2">
          <w:rPr>
            <w:rStyle w:val="Hyperlink"/>
            <w:rFonts w:ascii="Verdana" w:hAnsi="Verdana"/>
            <w:noProof/>
            <w:sz w:val="18"/>
            <w:szCs w:val="18"/>
          </w:rPr>
          <w:t>B.2 Admisión de la prueba testimonial y pericial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_Toc437247319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22</w:t>
        </w:r>
        <w:r w:rsidR="001D2BE2" w:rsidRPr="001D2BE2">
          <w:rPr>
            <w:rFonts w:ascii="Verdana" w:hAnsi="Verdana"/>
            <w:noProof/>
            <w:webHidden/>
            <w:sz w:val="18"/>
            <w:szCs w:val="18"/>
          </w:rPr>
          <w:fldChar w:fldCharType="end"/>
        </w:r>
      </w:hyperlink>
    </w:p>
    <w:p w14:paraId="2AB66F37"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20" w:history="1">
        <w:r w:rsidR="001D2BE2" w:rsidRPr="001D2BE2">
          <w:rPr>
            <w:rStyle w:val="Hyperlink"/>
            <w:rFonts w:ascii="Verdana" w:hAnsi="Verdana"/>
            <w:noProof/>
            <w:sz w:val="18"/>
            <w:szCs w:val="18"/>
          </w:rPr>
          <w:t>B.3 Admisión de la prueba relacionada con actividades de exploración minera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22</w:t>
        </w:r>
        <w:r w:rsidR="001D2BE2" w:rsidRPr="001D2BE2">
          <w:rPr>
            <w:rFonts w:ascii="Verdana" w:hAnsi="Verdana"/>
            <w:noProof/>
            <w:webHidden/>
            <w:sz w:val="18"/>
            <w:szCs w:val="18"/>
          </w:rPr>
          <w:fldChar w:fldCharType="end"/>
        </w:r>
      </w:hyperlink>
    </w:p>
    <w:p w14:paraId="33D560A1"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21" w:history="1">
        <w:r w:rsidR="001D2BE2" w:rsidRPr="001D2BE2">
          <w:rPr>
            <w:rStyle w:val="Hyperlink"/>
            <w:rFonts w:ascii="Verdana" w:hAnsi="Verdana"/>
            <w:noProof/>
            <w:sz w:val="18"/>
            <w:szCs w:val="18"/>
          </w:rPr>
          <w:t>C.</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Valoración de la prueba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22</w:t>
        </w:r>
        <w:r w:rsidR="001D2BE2" w:rsidRPr="001D2BE2">
          <w:rPr>
            <w:rFonts w:ascii="Verdana" w:hAnsi="Verdana"/>
            <w:noProof/>
            <w:webHidden/>
            <w:sz w:val="18"/>
            <w:szCs w:val="18"/>
          </w:rPr>
          <w:fldChar w:fldCharType="end"/>
        </w:r>
      </w:hyperlink>
    </w:p>
    <w:p w14:paraId="1BE8DD8D" w14:textId="77777777" w:rsidR="001D2BE2" w:rsidRPr="001D2BE2" w:rsidRDefault="00A90A01" w:rsidP="001D2BE2">
      <w:pPr>
        <w:pStyle w:val="TOC1"/>
        <w:rPr>
          <w:rFonts w:eastAsiaTheme="minorEastAsia" w:cstheme="minorBidi"/>
          <w:snapToGrid/>
          <w:lang w:val="es-CR" w:eastAsia="es-CR"/>
        </w:rPr>
      </w:pPr>
      <w:hyperlink w:anchor="_Toc437247322" w:history="1">
        <w:r w:rsidR="001D2BE2" w:rsidRPr="001D2BE2">
          <w:rPr>
            <w:rStyle w:val="Hyperlink"/>
            <w:rFonts w:cs="Verdana"/>
          </w:rPr>
          <w:t>VIII HECHOS</w:t>
        </w:r>
        <w:r w:rsidR="001D2BE2" w:rsidRPr="001D2BE2">
          <w:rPr>
            <w:webHidden/>
          </w:rPr>
          <w:tab/>
        </w:r>
        <w:r w:rsidR="001D2BE2" w:rsidRPr="001D2BE2">
          <w:rPr>
            <w:webHidden/>
          </w:rPr>
          <w:fldChar w:fldCharType="begin"/>
        </w:r>
        <w:r w:rsidR="001D2BE2" w:rsidRPr="001D2BE2">
          <w:rPr>
            <w:webHidden/>
          </w:rPr>
          <w:instrText xml:space="preserve"> PAGEREF _Toc437247322 \h </w:instrText>
        </w:r>
        <w:r w:rsidR="001D2BE2" w:rsidRPr="001D2BE2">
          <w:rPr>
            <w:webHidden/>
          </w:rPr>
        </w:r>
        <w:r w:rsidR="001D2BE2" w:rsidRPr="001D2BE2">
          <w:rPr>
            <w:webHidden/>
          </w:rPr>
          <w:fldChar w:fldCharType="separate"/>
        </w:r>
        <w:r w:rsidR="006B4260">
          <w:rPr>
            <w:webHidden/>
          </w:rPr>
          <w:t>23</w:t>
        </w:r>
        <w:r w:rsidR="001D2BE2" w:rsidRPr="001D2BE2">
          <w:rPr>
            <w:webHidden/>
          </w:rPr>
          <w:fldChar w:fldCharType="end"/>
        </w:r>
      </w:hyperlink>
    </w:p>
    <w:p w14:paraId="4F8834A0"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23"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El Pueblo Garífuna en Honduras y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23</w:t>
        </w:r>
        <w:r w:rsidR="001D2BE2" w:rsidRPr="001D2BE2">
          <w:rPr>
            <w:rFonts w:ascii="Verdana" w:hAnsi="Verdana"/>
            <w:noProof/>
            <w:webHidden/>
            <w:sz w:val="18"/>
            <w:szCs w:val="18"/>
          </w:rPr>
          <w:fldChar w:fldCharType="end"/>
        </w:r>
      </w:hyperlink>
    </w:p>
    <w:p w14:paraId="3757C620"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24" w:history="1">
        <w:r w:rsidR="001D2BE2" w:rsidRPr="001D2BE2">
          <w:rPr>
            <w:rStyle w:val="Hyperlink"/>
            <w:rFonts w:ascii="Verdana" w:hAnsi="Verdana"/>
            <w:noProof/>
            <w:sz w:val="18"/>
            <w:szCs w:val="18"/>
          </w:rPr>
          <w:t>A.1 Antecedentes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23</w:t>
        </w:r>
        <w:r w:rsidR="001D2BE2" w:rsidRPr="001D2BE2">
          <w:rPr>
            <w:rFonts w:ascii="Verdana" w:hAnsi="Verdana"/>
            <w:noProof/>
            <w:webHidden/>
            <w:sz w:val="18"/>
            <w:szCs w:val="18"/>
          </w:rPr>
          <w:fldChar w:fldCharType="end"/>
        </w:r>
      </w:hyperlink>
    </w:p>
    <w:p w14:paraId="3D5897F6"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25"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Reconocimiento y titulación por el Estado del territorio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27</w:t>
        </w:r>
        <w:r w:rsidR="001D2BE2" w:rsidRPr="001D2BE2">
          <w:rPr>
            <w:rFonts w:ascii="Verdana" w:hAnsi="Verdana"/>
            <w:noProof/>
            <w:webHidden/>
            <w:sz w:val="18"/>
            <w:szCs w:val="18"/>
          </w:rPr>
          <w:fldChar w:fldCharType="end"/>
        </w:r>
      </w:hyperlink>
    </w:p>
    <w:p w14:paraId="0ACA8625"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26" w:history="1">
        <w:r w:rsidR="001D2BE2" w:rsidRPr="001D2BE2">
          <w:rPr>
            <w:rStyle w:val="Hyperlink"/>
            <w:rFonts w:ascii="Verdana" w:hAnsi="Verdana"/>
            <w:noProof/>
            <w:sz w:val="18"/>
            <w:szCs w:val="18"/>
          </w:rPr>
          <w:t>B.1 Título definitivo de dominio pleno del año 1993 (800 ha 74 a 8 ca)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28</w:t>
        </w:r>
        <w:r w:rsidR="001D2BE2" w:rsidRPr="001D2BE2">
          <w:rPr>
            <w:rFonts w:ascii="Verdana" w:hAnsi="Verdana"/>
            <w:noProof/>
            <w:webHidden/>
            <w:sz w:val="18"/>
            <w:szCs w:val="18"/>
          </w:rPr>
          <w:fldChar w:fldCharType="end"/>
        </w:r>
      </w:hyperlink>
    </w:p>
    <w:p w14:paraId="168901C0"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27" w:history="1">
        <w:r w:rsidR="001D2BE2" w:rsidRPr="001D2BE2">
          <w:rPr>
            <w:rStyle w:val="Hyperlink"/>
            <w:rFonts w:ascii="Verdana" w:hAnsi="Verdana"/>
            <w:noProof/>
            <w:sz w:val="18"/>
            <w:szCs w:val="18"/>
          </w:rPr>
          <w:t>B.2 Título definitivo de dominio pleno del año 1999 (1,513 ha 54 a 45.03 ca)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29</w:t>
        </w:r>
        <w:r w:rsidR="001D2BE2" w:rsidRPr="001D2BE2">
          <w:rPr>
            <w:rFonts w:ascii="Verdana" w:hAnsi="Verdana"/>
            <w:noProof/>
            <w:webHidden/>
            <w:sz w:val="18"/>
            <w:szCs w:val="18"/>
          </w:rPr>
          <w:fldChar w:fldCharType="end"/>
        </w:r>
      </w:hyperlink>
    </w:p>
    <w:p w14:paraId="2114E118"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28" w:history="1">
        <w:r w:rsidR="001D2BE2" w:rsidRPr="001D2BE2">
          <w:rPr>
            <w:rStyle w:val="Hyperlink"/>
            <w:rFonts w:ascii="Verdana" w:hAnsi="Verdana"/>
            <w:noProof/>
            <w:sz w:val="18"/>
            <w:szCs w:val="18"/>
          </w:rPr>
          <w:t>C.</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La ocupación de los pobladores de la Aldea de Río Miel en el territorio titulado a favor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31</w:t>
        </w:r>
        <w:r w:rsidR="001D2BE2" w:rsidRPr="001D2BE2">
          <w:rPr>
            <w:rFonts w:ascii="Verdana" w:hAnsi="Verdana"/>
            <w:noProof/>
            <w:webHidden/>
            <w:sz w:val="18"/>
            <w:szCs w:val="18"/>
          </w:rPr>
          <w:fldChar w:fldCharType="end"/>
        </w:r>
      </w:hyperlink>
    </w:p>
    <w:p w14:paraId="390C0DFE"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29" w:history="1">
        <w:r w:rsidR="001D2BE2" w:rsidRPr="001D2BE2">
          <w:rPr>
            <w:rStyle w:val="Hyperlink"/>
            <w:rFonts w:ascii="Verdana" w:hAnsi="Verdana"/>
            <w:noProof/>
            <w:sz w:val="18"/>
            <w:szCs w:val="18"/>
          </w:rPr>
          <w:t>D.</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Gestiones realizadas para lograr el saneamiento del territorio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_Toc437247329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35</w:t>
        </w:r>
        <w:r w:rsidR="001D2BE2" w:rsidRPr="001D2BE2">
          <w:rPr>
            <w:rFonts w:ascii="Verdana" w:hAnsi="Verdana"/>
            <w:noProof/>
            <w:webHidden/>
            <w:sz w:val="18"/>
            <w:szCs w:val="18"/>
          </w:rPr>
          <w:fldChar w:fldCharType="end"/>
        </w:r>
      </w:hyperlink>
    </w:p>
    <w:p w14:paraId="1E818C90"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30" w:history="1">
        <w:r w:rsidR="001D2BE2" w:rsidRPr="001D2BE2">
          <w:rPr>
            <w:rStyle w:val="Hyperlink"/>
            <w:rFonts w:ascii="Verdana" w:hAnsi="Verdana"/>
            <w:noProof/>
            <w:sz w:val="18"/>
            <w:szCs w:val="18"/>
          </w:rPr>
          <w:t>D.1 Comisión Interinstitucional Ad-Hoc y Acta de compromiso de 13 de diciembre de 2001</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36</w:t>
        </w:r>
        <w:r w:rsidR="001D2BE2" w:rsidRPr="001D2BE2">
          <w:rPr>
            <w:rFonts w:ascii="Verdana" w:hAnsi="Verdana"/>
            <w:noProof/>
            <w:webHidden/>
            <w:sz w:val="18"/>
            <w:szCs w:val="18"/>
          </w:rPr>
          <w:fldChar w:fldCharType="end"/>
        </w:r>
      </w:hyperlink>
    </w:p>
    <w:p w14:paraId="6AFA2822"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31" w:history="1">
        <w:r w:rsidR="001D2BE2" w:rsidRPr="001D2BE2">
          <w:rPr>
            <w:rStyle w:val="Hyperlink"/>
            <w:rFonts w:ascii="Verdana" w:hAnsi="Verdana"/>
            <w:noProof/>
            <w:sz w:val="18"/>
            <w:szCs w:val="18"/>
          </w:rPr>
          <w:t>D.2 Acta de Entendimiento de 2006, Acta Especial con la Aldea de Río Miel de 20 de abril de 2007 y gestiones posteriores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38</w:t>
        </w:r>
        <w:r w:rsidR="001D2BE2" w:rsidRPr="001D2BE2">
          <w:rPr>
            <w:rFonts w:ascii="Verdana" w:hAnsi="Verdana"/>
            <w:noProof/>
            <w:webHidden/>
            <w:sz w:val="18"/>
            <w:szCs w:val="18"/>
          </w:rPr>
          <w:fldChar w:fldCharType="end"/>
        </w:r>
      </w:hyperlink>
    </w:p>
    <w:p w14:paraId="19E2868E"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32" w:history="1">
        <w:r w:rsidR="001D2BE2" w:rsidRPr="001D2BE2">
          <w:rPr>
            <w:rStyle w:val="Hyperlink"/>
            <w:rFonts w:ascii="Verdana" w:hAnsi="Verdana"/>
            <w:noProof/>
            <w:sz w:val="18"/>
            <w:szCs w:val="18"/>
          </w:rPr>
          <w:t>E.</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Concesión minera no metálica “Punta Piedra II”</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40</w:t>
        </w:r>
        <w:r w:rsidR="001D2BE2" w:rsidRPr="001D2BE2">
          <w:rPr>
            <w:rFonts w:ascii="Verdana" w:hAnsi="Verdana"/>
            <w:noProof/>
            <w:webHidden/>
            <w:sz w:val="18"/>
            <w:szCs w:val="18"/>
          </w:rPr>
          <w:fldChar w:fldCharType="end"/>
        </w:r>
      </w:hyperlink>
    </w:p>
    <w:p w14:paraId="2250C623"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33" w:history="1">
        <w:r w:rsidR="001D2BE2" w:rsidRPr="001D2BE2">
          <w:rPr>
            <w:rStyle w:val="Hyperlink"/>
            <w:rFonts w:ascii="Verdana" w:hAnsi="Verdana"/>
            <w:noProof/>
            <w:sz w:val="18"/>
            <w:szCs w:val="18"/>
          </w:rPr>
          <w:t>F.</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Denuncias interpuestas a nivel interno derivadas de la situación de conflicto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41</w:t>
        </w:r>
        <w:r w:rsidR="001D2BE2" w:rsidRPr="001D2BE2">
          <w:rPr>
            <w:rFonts w:ascii="Verdana" w:hAnsi="Verdana"/>
            <w:noProof/>
            <w:webHidden/>
            <w:sz w:val="18"/>
            <w:szCs w:val="18"/>
          </w:rPr>
          <w:fldChar w:fldCharType="end"/>
        </w:r>
      </w:hyperlink>
    </w:p>
    <w:p w14:paraId="0FCDEA4F"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34" w:history="1">
        <w:r w:rsidR="001D2BE2" w:rsidRPr="001D2BE2">
          <w:rPr>
            <w:rStyle w:val="Hyperlink"/>
            <w:rFonts w:ascii="Verdana" w:hAnsi="Verdana"/>
            <w:noProof/>
            <w:sz w:val="18"/>
            <w:szCs w:val="18"/>
          </w:rPr>
          <w:t>F.1. Denuncia por delito de usurpación, e investigación y proceso penal por la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42</w:t>
        </w:r>
        <w:r w:rsidR="001D2BE2" w:rsidRPr="001D2BE2">
          <w:rPr>
            <w:rFonts w:ascii="Verdana" w:hAnsi="Verdana"/>
            <w:noProof/>
            <w:webHidden/>
            <w:sz w:val="18"/>
            <w:szCs w:val="18"/>
          </w:rPr>
          <w:fldChar w:fldCharType="end"/>
        </w:r>
      </w:hyperlink>
    </w:p>
    <w:p w14:paraId="69A29803"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35" w:history="1">
        <w:r w:rsidR="001D2BE2" w:rsidRPr="001D2BE2">
          <w:rPr>
            <w:rStyle w:val="Hyperlink"/>
            <w:rFonts w:ascii="Verdana" w:hAnsi="Verdana"/>
            <w:noProof/>
            <w:sz w:val="18"/>
            <w:szCs w:val="18"/>
          </w:rPr>
          <w:t>F.1.1 Denuncia por delito de usurpación de 2003</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42</w:t>
        </w:r>
        <w:r w:rsidR="001D2BE2" w:rsidRPr="001D2BE2">
          <w:rPr>
            <w:rFonts w:ascii="Verdana" w:hAnsi="Verdana"/>
            <w:noProof/>
            <w:webHidden/>
            <w:sz w:val="18"/>
            <w:szCs w:val="18"/>
          </w:rPr>
          <w:fldChar w:fldCharType="end"/>
        </w:r>
      </w:hyperlink>
    </w:p>
    <w:p w14:paraId="1DAE9797"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36" w:history="1">
        <w:r w:rsidR="001D2BE2" w:rsidRPr="001D2BE2">
          <w:rPr>
            <w:rStyle w:val="Hyperlink"/>
            <w:rFonts w:ascii="Verdana" w:hAnsi="Verdana"/>
            <w:noProof/>
            <w:sz w:val="18"/>
            <w:szCs w:val="18"/>
          </w:rPr>
          <w:t>F.1.2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43</w:t>
        </w:r>
        <w:r w:rsidR="001D2BE2" w:rsidRPr="001D2BE2">
          <w:rPr>
            <w:rFonts w:ascii="Verdana" w:hAnsi="Verdana"/>
            <w:noProof/>
            <w:webHidden/>
            <w:sz w:val="18"/>
            <w:szCs w:val="18"/>
          </w:rPr>
          <w:fldChar w:fldCharType="end"/>
        </w:r>
      </w:hyperlink>
    </w:p>
    <w:p w14:paraId="4DFA2FEE"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37" w:history="1">
        <w:r w:rsidR="001D2BE2" w:rsidRPr="001D2BE2">
          <w:rPr>
            <w:rStyle w:val="Hyperlink"/>
            <w:rFonts w:ascii="Verdana" w:hAnsi="Verdana"/>
            <w:noProof/>
            <w:sz w:val="18"/>
            <w:szCs w:val="18"/>
          </w:rPr>
          <w:t>F.1.3 Investigación preliminar y proceso penal por la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44</w:t>
        </w:r>
        <w:r w:rsidR="001D2BE2" w:rsidRPr="001D2BE2">
          <w:rPr>
            <w:rFonts w:ascii="Verdana" w:hAnsi="Verdana"/>
            <w:noProof/>
            <w:webHidden/>
            <w:sz w:val="18"/>
            <w:szCs w:val="18"/>
          </w:rPr>
          <w:fldChar w:fldCharType="end"/>
        </w:r>
      </w:hyperlink>
    </w:p>
    <w:p w14:paraId="120DA085"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38" w:history="1">
        <w:r w:rsidR="001D2BE2" w:rsidRPr="001D2BE2">
          <w:rPr>
            <w:rStyle w:val="Hyperlink"/>
            <w:rFonts w:ascii="Verdana" w:hAnsi="Verdana"/>
            <w:noProof/>
            <w:sz w:val="18"/>
            <w:szCs w:val="18"/>
            <w:lang w:val="es-CR"/>
          </w:rPr>
          <w:t>F</w:t>
        </w:r>
        <w:r w:rsidR="001D2BE2" w:rsidRPr="001D2BE2">
          <w:rPr>
            <w:rStyle w:val="Hyperlink"/>
            <w:rFonts w:ascii="Verdana" w:hAnsi="Verdana"/>
            <w:noProof/>
            <w:sz w:val="18"/>
            <w:szCs w:val="18"/>
          </w:rPr>
          <w:t>.2 Denuncia por el delito de usurpación y amenazas en perjuicio de Paulino Mejía y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47</w:t>
        </w:r>
        <w:r w:rsidR="001D2BE2" w:rsidRPr="001D2BE2">
          <w:rPr>
            <w:rFonts w:ascii="Verdana" w:hAnsi="Verdana"/>
            <w:noProof/>
            <w:webHidden/>
            <w:sz w:val="18"/>
            <w:szCs w:val="18"/>
          </w:rPr>
          <w:fldChar w:fldCharType="end"/>
        </w:r>
      </w:hyperlink>
    </w:p>
    <w:p w14:paraId="2FD3C6BD"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39" w:history="1">
        <w:r w:rsidR="001D2BE2" w:rsidRPr="001D2BE2">
          <w:rPr>
            <w:rStyle w:val="Hyperlink"/>
            <w:rFonts w:ascii="Verdana" w:hAnsi="Verdana"/>
            <w:noProof/>
            <w:sz w:val="18"/>
            <w:szCs w:val="18"/>
          </w:rPr>
          <w:t>F.3 Denuncia por abuso de autoridad por la construcción de una brecha de carretera en territorio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_Toc437247339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48</w:t>
        </w:r>
        <w:r w:rsidR="001D2BE2" w:rsidRPr="001D2BE2">
          <w:rPr>
            <w:rFonts w:ascii="Verdana" w:hAnsi="Verdana"/>
            <w:noProof/>
            <w:webHidden/>
            <w:sz w:val="18"/>
            <w:szCs w:val="18"/>
          </w:rPr>
          <w:fldChar w:fldCharType="end"/>
        </w:r>
      </w:hyperlink>
    </w:p>
    <w:p w14:paraId="6A7C11E1" w14:textId="77777777" w:rsidR="001D2BE2" w:rsidRPr="001D2BE2" w:rsidRDefault="00A90A01" w:rsidP="001D2BE2">
      <w:pPr>
        <w:pStyle w:val="TOC1"/>
        <w:rPr>
          <w:rFonts w:eastAsiaTheme="minorEastAsia" w:cstheme="minorBidi"/>
          <w:snapToGrid/>
          <w:lang w:val="es-CR" w:eastAsia="es-CR"/>
        </w:rPr>
      </w:pPr>
      <w:hyperlink w:anchor="_Toc437247340" w:history="1">
        <w:r w:rsidR="001D2BE2" w:rsidRPr="001D2BE2">
          <w:rPr>
            <w:rStyle w:val="Hyperlink"/>
            <w:rFonts w:cs="Verdana"/>
          </w:rPr>
          <w:t>ix FONDO</w:t>
        </w:r>
        <w:r w:rsidR="001D2BE2" w:rsidRPr="001D2BE2">
          <w:rPr>
            <w:webHidden/>
          </w:rPr>
          <w:tab/>
        </w:r>
        <w:r w:rsidR="001D2BE2" w:rsidRPr="001D2BE2">
          <w:rPr>
            <w:webHidden/>
          </w:rPr>
          <w:fldChar w:fldCharType="begin"/>
        </w:r>
        <w:r w:rsidR="001D2BE2" w:rsidRPr="001D2BE2">
          <w:rPr>
            <w:webHidden/>
          </w:rPr>
          <w:instrText xml:space="preserve"> PAGEREF _Toc437247340 \h </w:instrText>
        </w:r>
        <w:r w:rsidR="001D2BE2" w:rsidRPr="001D2BE2">
          <w:rPr>
            <w:webHidden/>
          </w:rPr>
        </w:r>
        <w:r w:rsidR="001D2BE2" w:rsidRPr="001D2BE2">
          <w:rPr>
            <w:webHidden/>
          </w:rPr>
          <w:fldChar w:fldCharType="separate"/>
        </w:r>
        <w:r w:rsidR="006B4260">
          <w:rPr>
            <w:webHidden/>
          </w:rPr>
          <w:t>50</w:t>
        </w:r>
        <w:r w:rsidR="001D2BE2" w:rsidRPr="001D2BE2">
          <w:rPr>
            <w:webHidden/>
          </w:rPr>
          <w:fldChar w:fldCharType="end"/>
        </w:r>
      </w:hyperlink>
    </w:p>
    <w:p w14:paraId="34C6E10C" w14:textId="77777777" w:rsidR="001D2BE2" w:rsidRPr="001D2BE2" w:rsidRDefault="00A90A01" w:rsidP="001D2BE2">
      <w:pPr>
        <w:pStyle w:val="TOC1"/>
        <w:rPr>
          <w:rFonts w:eastAsiaTheme="minorEastAsia" w:cstheme="minorBidi"/>
          <w:snapToGrid/>
          <w:lang w:val="es-CR" w:eastAsia="es-CR"/>
        </w:rPr>
      </w:pPr>
      <w:hyperlink w:anchor="_Toc437247341" w:history="1">
        <w:r w:rsidR="001D2BE2" w:rsidRPr="001D2BE2">
          <w:rPr>
            <w:rStyle w:val="Hyperlink"/>
            <w:rFonts w:cs="Verdana"/>
          </w:rPr>
          <w:t>ix - 1 DERECHO A LA PROPIEDAD COLECTIVA EN RELACIÓN CON LOS ARTÍCULOS 1.1 Y 2 DE LA CONVENCIÓN AMERICANA</w:t>
        </w:r>
        <w:r w:rsidR="001D2BE2" w:rsidRPr="001D2BE2">
          <w:rPr>
            <w:webHidden/>
          </w:rPr>
          <w:tab/>
        </w:r>
        <w:r w:rsidR="001D2BE2" w:rsidRPr="001D2BE2">
          <w:rPr>
            <w:webHidden/>
          </w:rPr>
          <w:fldChar w:fldCharType="begin"/>
        </w:r>
        <w:r w:rsidR="001D2BE2" w:rsidRPr="001D2BE2">
          <w:rPr>
            <w:webHidden/>
          </w:rPr>
          <w:instrText xml:space="preserve"> PAGEREF _Toc437247341 \h </w:instrText>
        </w:r>
        <w:r w:rsidR="001D2BE2" w:rsidRPr="001D2BE2">
          <w:rPr>
            <w:webHidden/>
          </w:rPr>
        </w:r>
        <w:r w:rsidR="001D2BE2" w:rsidRPr="001D2BE2">
          <w:rPr>
            <w:webHidden/>
          </w:rPr>
          <w:fldChar w:fldCharType="separate"/>
        </w:r>
        <w:r w:rsidR="006B4260">
          <w:rPr>
            <w:webHidden/>
          </w:rPr>
          <w:t>50</w:t>
        </w:r>
        <w:r w:rsidR="001D2BE2" w:rsidRPr="001D2BE2">
          <w:rPr>
            <w:webHidden/>
          </w:rPr>
          <w:fldChar w:fldCharType="end"/>
        </w:r>
      </w:hyperlink>
    </w:p>
    <w:p w14:paraId="4CB449F2"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42"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Argumentos de la Comisión y de las partes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50</w:t>
        </w:r>
        <w:r w:rsidR="001D2BE2" w:rsidRPr="001D2BE2">
          <w:rPr>
            <w:rFonts w:ascii="Verdana" w:hAnsi="Verdana"/>
            <w:noProof/>
            <w:webHidden/>
            <w:sz w:val="18"/>
            <w:szCs w:val="18"/>
          </w:rPr>
          <w:fldChar w:fldCharType="end"/>
        </w:r>
      </w:hyperlink>
    </w:p>
    <w:p w14:paraId="3B85B8C8"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43"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51</w:t>
        </w:r>
        <w:r w:rsidR="001D2BE2" w:rsidRPr="001D2BE2">
          <w:rPr>
            <w:rFonts w:ascii="Verdana" w:hAnsi="Verdana"/>
            <w:noProof/>
            <w:webHidden/>
            <w:sz w:val="18"/>
            <w:szCs w:val="18"/>
          </w:rPr>
          <w:fldChar w:fldCharType="end"/>
        </w:r>
      </w:hyperlink>
    </w:p>
    <w:p w14:paraId="140EB1C4"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44" w:history="1">
        <w:r w:rsidR="001D2BE2" w:rsidRPr="001D2BE2">
          <w:rPr>
            <w:rStyle w:val="Hyperlink"/>
            <w:rFonts w:ascii="Verdana" w:hAnsi="Verdana"/>
            <w:noProof/>
            <w:sz w:val="18"/>
            <w:szCs w:val="18"/>
            <w:lang w:val="es-CR"/>
          </w:rPr>
          <w:t>B.1 El derecho a la propiedad colectiva indígena y tribal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52</w:t>
        </w:r>
        <w:r w:rsidR="001D2BE2" w:rsidRPr="001D2BE2">
          <w:rPr>
            <w:rFonts w:ascii="Verdana" w:hAnsi="Verdana"/>
            <w:noProof/>
            <w:webHidden/>
            <w:sz w:val="18"/>
            <w:szCs w:val="18"/>
          </w:rPr>
          <w:fldChar w:fldCharType="end"/>
        </w:r>
      </w:hyperlink>
    </w:p>
    <w:p w14:paraId="12C66F44"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45" w:history="1">
        <w:r w:rsidR="001D2BE2" w:rsidRPr="001D2BE2">
          <w:rPr>
            <w:rStyle w:val="Hyperlink"/>
            <w:rFonts w:ascii="Verdana" w:hAnsi="Verdana"/>
            <w:noProof/>
            <w:sz w:val="18"/>
            <w:szCs w:val="18"/>
            <w:lang w:val="es-CR"/>
          </w:rPr>
          <w:t>B.2 La garantía del uso y goce de la propiedad colectiva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53</w:t>
        </w:r>
        <w:r w:rsidR="001D2BE2" w:rsidRPr="001D2BE2">
          <w:rPr>
            <w:rFonts w:ascii="Verdana" w:hAnsi="Verdana"/>
            <w:noProof/>
            <w:webHidden/>
            <w:sz w:val="18"/>
            <w:szCs w:val="18"/>
          </w:rPr>
          <w:fldChar w:fldCharType="end"/>
        </w:r>
      </w:hyperlink>
    </w:p>
    <w:p w14:paraId="61A74CFB"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46" w:history="1">
        <w:r w:rsidR="001D2BE2" w:rsidRPr="001D2BE2">
          <w:rPr>
            <w:rStyle w:val="Hyperlink"/>
            <w:rFonts w:ascii="Verdana" w:hAnsi="Verdana"/>
            <w:noProof/>
            <w:sz w:val="18"/>
            <w:szCs w:val="18"/>
          </w:rPr>
          <w:t>B.2.1 Respecto de la garantía del uso y goce de la propiedad colectiva en el derecho internacional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54</w:t>
        </w:r>
        <w:r w:rsidR="001D2BE2" w:rsidRPr="001D2BE2">
          <w:rPr>
            <w:rFonts w:ascii="Verdana" w:hAnsi="Verdana"/>
            <w:noProof/>
            <w:webHidden/>
            <w:sz w:val="18"/>
            <w:szCs w:val="18"/>
          </w:rPr>
          <w:fldChar w:fldCharType="end"/>
        </w:r>
      </w:hyperlink>
    </w:p>
    <w:p w14:paraId="6A412BBF"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47" w:history="1">
        <w:r w:rsidR="001D2BE2" w:rsidRPr="001D2BE2">
          <w:rPr>
            <w:rStyle w:val="Hyperlink"/>
            <w:rFonts w:ascii="Verdana" w:hAnsi="Verdana"/>
            <w:noProof/>
            <w:sz w:val="18"/>
            <w:szCs w:val="18"/>
          </w:rPr>
          <w:t>B.2.2 La garantía del uso y goce, a través del  saneamiento en Honduras y el Acta Compromiso de 2001</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57</w:t>
        </w:r>
        <w:r w:rsidR="001D2BE2" w:rsidRPr="001D2BE2">
          <w:rPr>
            <w:rFonts w:ascii="Verdana" w:hAnsi="Verdana"/>
            <w:noProof/>
            <w:webHidden/>
            <w:sz w:val="18"/>
            <w:szCs w:val="18"/>
          </w:rPr>
          <w:fldChar w:fldCharType="end"/>
        </w:r>
      </w:hyperlink>
    </w:p>
    <w:p w14:paraId="6138342C"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48" w:history="1">
        <w:r w:rsidR="001D2BE2" w:rsidRPr="001D2BE2">
          <w:rPr>
            <w:rStyle w:val="Hyperlink"/>
            <w:rFonts w:ascii="Verdana" w:hAnsi="Verdana"/>
            <w:noProof/>
            <w:sz w:val="18"/>
            <w:szCs w:val="18"/>
            <w:lang w:val="es-CR"/>
          </w:rPr>
          <w:t>B.3 La falta del uso y goce del territorio de la Comunidad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58</w:t>
        </w:r>
        <w:r w:rsidR="001D2BE2" w:rsidRPr="001D2BE2">
          <w:rPr>
            <w:rFonts w:ascii="Verdana" w:hAnsi="Verdana"/>
            <w:noProof/>
            <w:webHidden/>
            <w:sz w:val="18"/>
            <w:szCs w:val="18"/>
          </w:rPr>
          <w:fldChar w:fldCharType="end"/>
        </w:r>
      </w:hyperlink>
    </w:p>
    <w:p w14:paraId="44366A81"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49" w:history="1">
        <w:r w:rsidR="001D2BE2" w:rsidRPr="001D2BE2">
          <w:rPr>
            <w:rStyle w:val="Hyperlink"/>
            <w:rFonts w:ascii="Verdana" w:hAnsi="Verdana"/>
            <w:noProof/>
            <w:sz w:val="18"/>
            <w:szCs w:val="18"/>
          </w:rPr>
          <w:t>B.3.1 Respecto del incremento en la ocupación de terceros en el territorio titulado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_Toc437247349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60</w:t>
        </w:r>
        <w:r w:rsidR="001D2BE2" w:rsidRPr="001D2BE2">
          <w:rPr>
            <w:rFonts w:ascii="Verdana" w:hAnsi="Verdana"/>
            <w:noProof/>
            <w:webHidden/>
            <w:sz w:val="18"/>
            <w:szCs w:val="18"/>
          </w:rPr>
          <w:fldChar w:fldCharType="end"/>
        </w:r>
      </w:hyperlink>
    </w:p>
    <w:p w14:paraId="76A0ADA1"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50" w:history="1">
        <w:r w:rsidR="001D2BE2" w:rsidRPr="001D2BE2">
          <w:rPr>
            <w:rStyle w:val="Hyperlink"/>
            <w:rFonts w:ascii="Verdana" w:hAnsi="Verdana"/>
            <w:noProof/>
            <w:sz w:val="18"/>
            <w:szCs w:val="18"/>
          </w:rPr>
          <w:t>B.3.2 Respecto de las tierras tituladas en favor de Ambrocio Thomas Castillo y Sergia Zapata Martínez, así como otras alegadas.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61</w:t>
        </w:r>
        <w:r w:rsidR="001D2BE2" w:rsidRPr="001D2BE2">
          <w:rPr>
            <w:rFonts w:ascii="Verdana" w:hAnsi="Verdana"/>
            <w:noProof/>
            <w:webHidden/>
            <w:sz w:val="18"/>
            <w:szCs w:val="18"/>
          </w:rPr>
          <w:fldChar w:fldCharType="end"/>
        </w:r>
      </w:hyperlink>
    </w:p>
    <w:p w14:paraId="0D31E05E"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51" w:history="1">
        <w:r w:rsidR="001D2BE2" w:rsidRPr="001D2BE2">
          <w:rPr>
            <w:rStyle w:val="Hyperlink"/>
            <w:rFonts w:ascii="Verdana" w:hAnsi="Verdana"/>
            <w:noProof/>
            <w:sz w:val="18"/>
            <w:szCs w:val="18"/>
            <w:lang w:val="es-CR"/>
          </w:rPr>
          <w:t>B.4 Conclusión respecto de la garantía del uso y goce de la propiedad colectiva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62</w:t>
        </w:r>
        <w:r w:rsidR="001D2BE2" w:rsidRPr="001D2BE2">
          <w:rPr>
            <w:rFonts w:ascii="Verdana" w:hAnsi="Verdana"/>
            <w:noProof/>
            <w:webHidden/>
            <w:sz w:val="18"/>
            <w:szCs w:val="18"/>
          </w:rPr>
          <w:fldChar w:fldCharType="end"/>
        </w:r>
      </w:hyperlink>
    </w:p>
    <w:p w14:paraId="4D7938C2"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52" w:history="1">
        <w:r w:rsidR="001D2BE2" w:rsidRPr="001D2BE2">
          <w:rPr>
            <w:rStyle w:val="Hyperlink"/>
            <w:rFonts w:ascii="Verdana" w:hAnsi="Verdana"/>
            <w:noProof/>
            <w:sz w:val="18"/>
            <w:szCs w:val="18"/>
          </w:rPr>
          <w:t>C.</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La regulación de Honduras sobre propiedad a la luz del artículo 2 de la Convención Americana en relación con los artículos 1.1 y 21 de la misma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62</w:t>
        </w:r>
        <w:r w:rsidR="001D2BE2" w:rsidRPr="001D2BE2">
          <w:rPr>
            <w:rFonts w:ascii="Verdana" w:hAnsi="Verdana"/>
            <w:noProof/>
            <w:webHidden/>
            <w:sz w:val="18"/>
            <w:szCs w:val="18"/>
          </w:rPr>
          <w:fldChar w:fldCharType="end"/>
        </w:r>
      </w:hyperlink>
    </w:p>
    <w:p w14:paraId="3E8356AC"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53" w:history="1">
        <w:r w:rsidR="001D2BE2" w:rsidRPr="001D2BE2">
          <w:rPr>
            <w:rStyle w:val="Hyperlink"/>
            <w:rFonts w:ascii="Verdana" w:hAnsi="Verdana"/>
            <w:noProof/>
            <w:sz w:val="18"/>
            <w:szCs w:val="18"/>
          </w:rPr>
          <w:t>C.1 Argumentos de la Comisión y de las partes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62</w:t>
        </w:r>
        <w:r w:rsidR="001D2BE2" w:rsidRPr="001D2BE2">
          <w:rPr>
            <w:rFonts w:ascii="Verdana" w:hAnsi="Verdana"/>
            <w:noProof/>
            <w:webHidden/>
            <w:sz w:val="18"/>
            <w:szCs w:val="18"/>
          </w:rPr>
          <w:fldChar w:fldCharType="end"/>
        </w:r>
      </w:hyperlink>
    </w:p>
    <w:p w14:paraId="4FA0E96A"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54" w:history="1">
        <w:r w:rsidR="001D2BE2" w:rsidRPr="001D2BE2">
          <w:rPr>
            <w:rStyle w:val="Hyperlink"/>
            <w:rFonts w:ascii="Verdana" w:hAnsi="Verdana"/>
            <w:noProof/>
            <w:sz w:val="18"/>
            <w:szCs w:val="18"/>
          </w:rPr>
          <w:t>C.2 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63</w:t>
        </w:r>
        <w:r w:rsidR="001D2BE2" w:rsidRPr="001D2BE2">
          <w:rPr>
            <w:rFonts w:ascii="Verdana" w:hAnsi="Verdana"/>
            <w:noProof/>
            <w:webHidden/>
            <w:sz w:val="18"/>
            <w:szCs w:val="18"/>
          </w:rPr>
          <w:fldChar w:fldCharType="end"/>
        </w:r>
      </w:hyperlink>
    </w:p>
    <w:p w14:paraId="6B2754AF"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55" w:history="1">
        <w:r w:rsidR="001D2BE2" w:rsidRPr="001D2BE2">
          <w:rPr>
            <w:rStyle w:val="Hyperlink"/>
            <w:rFonts w:ascii="Verdana" w:hAnsi="Verdana"/>
            <w:noProof/>
            <w:sz w:val="18"/>
            <w:szCs w:val="18"/>
          </w:rPr>
          <w:t>D.</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lang w:eastAsia="es-ES"/>
          </w:rPr>
          <w:t xml:space="preserve">La </w:t>
        </w:r>
        <w:r w:rsidR="001D2BE2" w:rsidRPr="001D2BE2">
          <w:rPr>
            <w:rStyle w:val="Hyperlink"/>
            <w:rFonts w:ascii="Verdana" w:hAnsi="Verdana"/>
            <w:noProof/>
            <w:sz w:val="18"/>
            <w:szCs w:val="18"/>
          </w:rPr>
          <w:t>obligación</w:t>
        </w:r>
        <w:r w:rsidR="001D2BE2" w:rsidRPr="001D2BE2">
          <w:rPr>
            <w:rStyle w:val="Hyperlink"/>
            <w:rFonts w:ascii="Verdana" w:hAnsi="Verdana"/>
            <w:noProof/>
            <w:sz w:val="18"/>
            <w:szCs w:val="18"/>
            <w:lang w:eastAsia="es-ES"/>
          </w:rPr>
          <w:t xml:space="preserve"> de garantizar el derecho a la consulta e identidad cultural</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65</w:t>
        </w:r>
        <w:r w:rsidR="001D2BE2" w:rsidRPr="001D2BE2">
          <w:rPr>
            <w:rFonts w:ascii="Verdana" w:hAnsi="Verdana"/>
            <w:noProof/>
            <w:webHidden/>
            <w:sz w:val="18"/>
            <w:szCs w:val="18"/>
          </w:rPr>
          <w:fldChar w:fldCharType="end"/>
        </w:r>
      </w:hyperlink>
    </w:p>
    <w:p w14:paraId="5EE89ADC"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56" w:history="1">
        <w:r w:rsidR="001D2BE2" w:rsidRPr="001D2BE2">
          <w:rPr>
            <w:rStyle w:val="Hyperlink"/>
            <w:rFonts w:ascii="Verdana" w:hAnsi="Verdana"/>
            <w:noProof/>
            <w:sz w:val="18"/>
            <w:szCs w:val="18"/>
          </w:rPr>
          <w:t>D.1 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65</w:t>
        </w:r>
        <w:r w:rsidR="001D2BE2" w:rsidRPr="001D2BE2">
          <w:rPr>
            <w:rFonts w:ascii="Verdana" w:hAnsi="Verdana"/>
            <w:noProof/>
            <w:webHidden/>
            <w:sz w:val="18"/>
            <w:szCs w:val="18"/>
          </w:rPr>
          <w:fldChar w:fldCharType="end"/>
        </w:r>
      </w:hyperlink>
    </w:p>
    <w:p w14:paraId="1C89C94F"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57" w:history="1">
        <w:r w:rsidR="001D2BE2" w:rsidRPr="001D2BE2">
          <w:rPr>
            <w:rStyle w:val="Hyperlink"/>
            <w:rFonts w:ascii="Verdana" w:hAnsi="Verdana"/>
            <w:noProof/>
            <w:sz w:val="18"/>
            <w:szCs w:val="18"/>
          </w:rPr>
          <w:t>D.2 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66</w:t>
        </w:r>
        <w:r w:rsidR="001D2BE2" w:rsidRPr="001D2BE2">
          <w:rPr>
            <w:rFonts w:ascii="Verdana" w:hAnsi="Verdana"/>
            <w:noProof/>
            <w:webHidden/>
            <w:sz w:val="18"/>
            <w:szCs w:val="18"/>
          </w:rPr>
          <w:fldChar w:fldCharType="end"/>
        </w:r>
      </w:hyperlink>
    </w:p>
    <w:p w14:paraId="6CFC97F0" w14:textId="77777777" w:rsidR="001D2BE2" w:rsidRPr="001D2BE2" w:rsidRDefault="00A90A01" w:rsidP="001D2BE2">
      <w:pPr>
        <w:pStyle w:val="TOC1"/>
        <w:rPr>
          <w:rFonts w:eastAsiaTheme="minorEastAsia" w:cstheme="minorBidi"/>
          <w:snapToGrid/>
          <w:lang w:val="es-CR" w:eastAsia="es-CR"/>
        </w:rPr>
      </w:pPr>
      <w:hyperlink w:anchor="_Toc437247358" w:history="1">
        <w:r w:rsidR="001D2BE2" w:rsidRPr="001D2BE2">
          <w:rPr>
            <w:rStyle w:val="Hyperlink"/>
            <w:rFonts w:cs="Verdana"/>
          </w:rPr>
          <w:t>ix-2 derecho a la protección judicial en relación con los artículos 1.1 y 2 de la convención americana</w:t>
        </w:r>
        <w:r w:rsidR="001D2BE2" w:rsidRPr="001D2BE2">
          <w:rPr>
            <w:webHidden/>
          </w:rPr>
          <w:tab/>
        </w:r>
        <w:r w:rsidR="001D2BE2" w:rsidRPr="001D2BE2">
          <w:rPr>
            <w:webHidden/>
          </w:rPr>
          <w:fldChar w:fldCharType="begin"/>
        </w:r>
        <w:r w:rsidR="001D2BE2" w:rsidRPr="001D2BE2">
          <w:rPr>
            <w:webHidden/>
          </w:rPr>
          <w:instrText xml:space="preserve"> PAGEREF _Toc437247358 \h </w:instrText>
        </w:r>
        <w:r w:rsidR="001D2BE2" w:rsidRPr="001D2BE2">
          <w:rPr>
            <w:webHidden/>
          </w:rPr>
        </w:r>
        <w:r w:rsidR="001D2BE2" w:rsidRPr="001D2BE2">
          <w:rPr>
            <w:webHidden/>
          </w:rPr>
          <w:fldChar w:fldCharType="separate"/>
        </w:r>
        <w:r w:rsidR="006B4260">
          <w:rPr>
            <w:webHidden/>
          </w:rPr>
          <w:t>68</w:t>
        </w:r>
        <w:r w:rsidR="001D2BE2" w:rsidRPr="001D2BE2">
          <w:rPr>
            <w:webHidden/>
          </w:rPr>
          <w:fldChar w:fldCharType="end"/>
        </w:r>
      </w:hyperlink>
    </w:p>
    <w:p w14:paraId="315DD3E4"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59" w:history="1">
        <w:r w:rsidR="001D2BE2" w:rsidRPr="001D2BE2">
          <w:rPr>
            <w:rStyle w:val="Hyperlink"/>
            <w:rFonts w:ascii="Verdana" w:hAnsi="Verdana"/>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_Toc437247359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68</w:t>
        </w:r>
        <w:r w:rsidR="001D2BE2" w:rsidRPr="001D2BE2">
          <w:rPr>
            <w:rFonts w:ascii="Verdana" w:hAnsi="Verdana"/>
            <w:noProof/>
            <w:webHidden/>
            <w:sz w:val="18"/>
            <w:szCs w:val="18"/>
          </w:rPr>
          <w:fldChar w:fldCharType="end"/>
        </w:r>
      </w:hyperlink>
    </w:p>
    <w:p w14:paraId="7796957C"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60" w:history="1">
        <w:r w:rsidR="001D2BE2" w:rsidRPr="001D2BE2">
          <w:rPr>
            <w:rStyle w:val="Hyperlink"/>
            <w:rFonts w:ascii="Verdana" w:hAnsi="Verdana"/>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hAnsi="Verdana"/>
            <w:noProof/>
            <w:sz w:val="18"/>
            <w:szCs w:val="18"/>
          </w:rPr>
          <w:t>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70</w:t>
        </w:r>
        <w:r w:rsidR="001D2BE2" w:rsidRPr="001D2BE2">
          <w:rPr>
            <w:rFonts w:ascii="Verdana" w:hAnsi="Verdana"/>
            <w:noProof/>
            <w:webHidden/>
            <w:sz w:val="18"/>
            <w:szCs w:val="18"/>
          </w:rPr>
          <w:fldChar w:fldCharType="end"/>
        </w:r>
      </w:hyperlink>
    </w:p>
    <w:p w14:paraId="66F1B712"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61" w:history="1">
        <w:r w:rsidR="001D2BE2" w:rsidRPr="001D2BE2">
          <w:rPr>
            <w:rStyle w:val="Hyperlink"/>
            <w:rFonts w:ascii="Verdana" w:hAnsi="Verdana"/>
            <w:noProof/>
            <w:sz w:val="18"/>
            <w:szCs w:val="18"/>
            <w:lang w:val="es-CR"/>
          </w:rPr>
          <w:t>B.1 Respecto de los procedimientos para la protección de la propiedad de la Comunidad Garífuna de Punta Piedra frente a terceros a través del saneamiento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71</w:t>
        </w:r>
        <w:r w:rsidR="001D2BE2" w:rsidRPr="001D2BE2">
          <w:rPr>
            <w:rFonts w:ascii="Verdana" w:hAnsi="Verdana"/>
            <w:noProof/>
            <w:webHidden/>
            <w:sz w:val="18"/>
            <w:szCs w:val="18"/>
          </w:rPr>
          <w:fldChar w:fldCharType="end"/>
        </w:r>
      </w:hyperlink>
    </w:p>
    <w:p w14:paraId="6209257F"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62" w:history="1">
        <w:r w:rsidR="001D2BE2" w:rsidRPr="001D2BE2">
          <w:rPr>
            <w:rStyle w:val="Hyperlink"/>
            <w:rFonts w:ascii="Verdana" w:hAnsi="Verdana"/>
            <w:noProof/>
            <w:sz w:val="18"/>
            <w:szCs w:val="18"/>
          </w:rPr>
          <w:t>B.1.1 La Comisión Interinstitucional Ad-Hoc y demás gestiones realizadas para el saneamiento del territorio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71</w:t>
        </w:r>
        <w:r w:rsidR="001D2BE2" w:rsidRPr="001D2BE2">
          <w:rPr>
            <w:rFonts w:ascii="Verdana" w:hAnsi="Verdana"/>
            <w:noProof/>
            <w:webHidden/>
            <w:sz w:val="18"/>
            <w:szCs w:val="18"/>
          </w:rPr>
          <w:fldChar w:fldCharType="end"/>
        </w:r>
      </w:hyperlink>
    </w:p>
    <w:p w14:paraId="13F071ED" w14:textId="77777777" w:rsidR="001D2BE2" w:rsidRPr="001D2BE2" w:rsidRDefault="00A90A01" w:rsidP="001D2BE2">
      <w:pPr>
        <w:pStyle w:val="TOC5"/>
        <w:tabs>
          <w:tab w:val="right" w:leader="dot" w:pos="8828"/>
        </w:tabs>
        <w:spacing w:after="0"/>
        <w:jc w:val="both"/>
        <w:rPr>
          <w:rFonts w:ascii="Verdana" w:eastAsiaTheme="minorEastAsia" w:hAnsi="Verdana" w:cstheme="minorBidi"/>
          <w:noProof/>
          <w:sz w:val="18"/>
          <w:szCs w:val="18"/>
          <w:lang w:val="es-CR" w:eastAsia="es-CR"/>
        </w:rPr>
      </w:pPr>
      <w:hyperlink w:anchor="_Toc437247363" w:history="1">
        <w:r w:rsidR="001D2BE2" w:rsidRPr="001D2BE2">
          <w:rPr>
            <w:rStyle w:val="Hyperlink"/>
            <w:rFonts w:ascii="Verdana" w:hAnsi="Verdana"/>
            <w:noProof/>
            <w:sz w:val="18"/>
            <w:szCs w:val="18"/>
            <w:lang w:val="es-PE"/>
          </w:rPr>
          <w:t>B.1.1.1 La garantía del cumplimiento de decisiones que estimen procedente el recurso (artículo 25.2.c de la Convención Americana)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73</w:t>
        </w:r>
        <w:r w:rsidR="001D2BE2" w:rsidRPr="001D2BE2">
          <w:rPr>
            <w:rFonts w:ascii="Verdana" w:hAnsi="Verdana"/>
            <w:noProof/>
            <w:webHidden/>
            <w:sz w:val="18"/>
            <w:szCs w:val="18"/>
          </w:rPr>
          <w:fldChar w:fldCharType="end"/>
        </w:r>
      </w:hyperlink>
    </w:p>
    <w:p w14:paraId="0A4F3D16"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64" w:history="1">
        <w:r w:rsidR="001D2BE2" w:rsidRPr="001D2BE2">
          <w:rPr>
            <w:rStyle w:val="Hyperlink"/>
            <w:rFonts w:ascii="Verdana" w:hAnsi="Verdana"/>
            <w:noProof/>
            <w:sz w:val="18"/>
            <w:szCs w:val="18"/>
          </w:rPr>
          <w:t>B.1.2 La alegada falta de un recurso para la protección de los territorios de la Comunidad Garífuna de Punta Piedra frente a terceros en la legislación interna (Artículo 2 en relación con el 1.1 y 25 de la Convención)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76</w:t>
        </w:r>
        <w:r w:rsidR="001D2BE2" w:rsidRPr="001D2BE2">
          <w:rPr>
            <w:rFonts w:ascii="Verdana" w:hAnsi="Verdana"/>
            <w:noProof/>
            <w:webHidden/>
            <w:sz w:val="18"/>
            <w:szCs w:val="18"/>
          </w:rPr>
          <w:fldChar w:fldCharType="end"/>
        </w:r>
      </w:hyperlink>
    </w:p>
    <w:p w14:paraId="1CE71A02" w14:textId="77777777" w:rsidR="001D2BE2" w:rsidRPr="001D2BE2" w:rsidRDefault="00A90A01" w:rsidP="001D2BE2">
      <w:pPr>
        <w:pStyle w:val="TOC1"/>
        <w:rPr>
          <w:rFonts w:eastAsiaTheme="minorEastAsia" w:cstheme="minorBidi"/>
          <w:snapToGrid/>
          <w:lang w:val="es-CR" w:eastAsia="es-CR"/>
        </w:rPr>
      </w:pPr>
      <w:hyperlink w:anchor="_Toc437247365" w:history="1">
        <w:r w:rsidR="001D2BE2" w:rsidRPr="001D2BE2">
          <w:rPr>
            <w:rStyle w:val="Hyperlink"/>
            <w:rFonts w:cs="Verdana"/>
          </w:rPr>
          <w:t>ix-3 derecho a la vida, a las garantías judiciales y a la protección judicial</w:t>
        </w:r>
        <w:r w:rsidR="001D2BE2" w:rsidRPr="001D2BE2">
          <w:rPr>
            <w:webHidden/>
          </w:rPr>
          <w:tab/>
        </w:r>
        <w:r w:rsidR="001D2BE2" w:rsidRPr="001D2BE2">
          <w:rPr>
            <w:webHidden/>
          </w:rPr>
          <w:fldChar w:fldCharType="begin"/>
        </w:r>
        <w:r w:rsidR="001D2BE2" w:rsidRPr="001D2BE2">
          <w:rPr>
            <w:webHidden/>
          </w:rPr>
          <w:instrText xml:space="preserve"> PAGEREF _Toc437247365 \h </w:instrText>
        </w:r>
        <w:r w:rsidR="001D2BE2" w:rsidRPr="001D2BE2">
          <w:rPr>
            <w:webHidden/>
          </w:rPr>
        </w:r>
        <w:r w:rsidR="001D2BE2" w:rsidRPr="001D2BE2">
          <w:rPr>
            <w:webHidden/>
          </w:rPr>
          <w:fldChar w:fldCharType="separate"/>
        </w:r>
        <w:r w:rsidR="006B4260">
          <w:rPr>
            <w:webHidden/>
          </w:rPr>
          <w:t>77</w:t>
        </w:r>
        <w:r w:rsidR="001D2BE2" w:rsidRPr="001D2BE2">
          <w:rPr>
            <w:webHidden/>
          </w:rPr>
          <w:fldChar w:fldCharType="end"/>
        </w:r>
      </w:hyperlink>
    </w:p>
    <w:p w14:paraId="68DD8E39"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66" w:history="1">
        <w:r w:rsidR="001D2BE2" w:rsidRPr="001D2BE2">
          <w:rPr>
            <w:rStyle w:val="Hyperlink"/>
            <w:rFonts w:ascii="Verdana" w:eastAsia="Times New Roman" w:hAnsi="Verdana"/>
            <w:bCs/>
            <w:noProof/>
            <w:sz w:val="18"/>
            <w:szCs w:val="18"/>
            <w:lang w:val="es-CR"/>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lang w:val="es-CR"/>
          </w:rPr>
          <w:t>La alegada violación del derecho a la vida del señor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77</w:t>
        </w:r>
        <w:r w:rsidR="001D2BE2" w:rsidRPr="001D2BE2">
          <w:rPr>
            <w:rFonts w:ascii="Verdana" w:hAnsi="Verdana"/>
            <w:noProof/>
            <w:webHidden/>
            <w:sz w:val="18"/>
            <w:szCs w:val="18"/>
          </w:rPr>
          <w:fldChar w:fldCharType="end"/>
        </w:r>
      </w:hyperlink>
    </w:p>
    <w:p w14:paraId="16A61633"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67" w:history="1">
        <w:r w:rsidR="001D2BE2" w:rsidRPr="001D2BE2">
          <w:rPr>
            <w:rStyle w:val="Hyperlink"/>
            <w:rFonts w:ascii="Verdana" w:eastAsiaTheme="majorEastAsia" w:hAnsi="Verdana" w:cstheme="majorBidi"/>
            <w:bCs/>
            <w:noProof/>
            <w:sz w:val="18"/>
            <w:szCs w:val="18"/>
          </w:rPr>
          <w:t>A.1 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78</w:t>
        </w:r>
        <w:r w:rsidR="001D2BE2" w:rsidRPr="001D2BE2">
          <w:rPr>
            <w:rFonts w:ascii="Verdana" w:hAnsi="Verdana"/>
            <w:noProof/>
            <w:webHidden/>
            <w:sz w:val="18"/>
            <w:szCs w:val="18"/>
          </w:rPr>
          <w:fldChar w:fldCharType="end"/>
        </w:r>
      </w:hyperlink>
    </w:p>
    <w:p w14:paraId="7CAE4ECE"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68" w:history="1">
        <w:r w:rsidR="001D2BE2" w:rsidRPr="001D2BE2">
          <w:rPr>
            <w:rStyle w:val="Hyperlink"/>
            <w:rFonts w:ascii="Verdana" w:eastAsiaTheme="majorEastAsia" w:hAnsi="Verdana" w:cstheme="majorBidi"/>
            <w:bCs/>
            <w:noProof/>
            <w:sz w:val="18"/>
            <w:szCs w:val="18"/>
          </w:rPr>
          <w:t>A.2 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78</w:t>
        </w:r>
        <w:r w:rsidR="001D2BE2" w:rsidRPr="001D2BE2">
          <w:rPr>
            <w:rFonts w:ascii="Verdana" w:hAnsi="Verdana"/>
            <w:noProof/>
            <w:webHidden/>
            <w:sz w:val="18"/>
            <w:szCs w:val="18"/>
          </w:rPr>
          <w:fldChar w:fldCharType="end"/>
        </w:r>
      </w:hyperlink>
    </w:p>
    <w:p w14:paraId="46124273"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69" w:history="1">
        <w:r w:rsidR="001D2BE2" w:rsidRPr="001D2BE2">
          <w:rPr>
            <w:rStyle w:val="Hyperlink"/>
            <w:rFonts w:ascii="Verdana" w:eastAsia="Times New Roman" w:hAnsi="Verdana"/>
            <w:bCs/>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Debida diligencia y plazo razonable en relación con las denuncias penales interpuestas a nivel interno, en particular las investigaciones y proceso penal por la muerte de Félix Ordóñez Suazo (artículos 8 y 25 de la Convención Americana)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_Toc437247369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84</w:t>
        </w:r>
        <w:r w:rsidR="001D2BE2" w:rsidRPr="001D2BE2">
          <w:rPr>
            <w:rFonts w:ascii="Verdana" w:hAnsi="Verdana"/>
            <w:noProof/>
            <w:webHidden/>
            <w:sz w:val="18"/>
            <w:szCs w:val="18"/>
          </w:rPr>
          <w:fldChar w:fldCharType="end"/>
        </w:r>
      </w:hyperlink>
    </w:p>
    <w:p w14:paraId="458C1B28"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70" w:history="1">
        <w:r w:rsidR="001D2BE2" w:rsidRPr="001D2BE2">
          <w:rPr>
            <w:rStyle w:val="Hyperlink"/>
            <w:rFonts w:ascii="Verdana" w:eastAsiaTheme="majorEastAsia" w:hAnsi="Verdana" w:cstheme="majorBidi"/>
            <w:bCs/>
            <w:noProof/>
            <w:sz w:val="18"/>
            <w:szCs w:val="18"/>
          </w:rPr>
          <w:t>B.1 Argumentos de las partes y de la Comisión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84</w:t>
        </w:r>
        <w:r w:rsidR="001D2BE2" w:rsidRPr="001D2BE2">
          <w:rPr>
            <w:rFonts w:ascii="Verdana" w:hAnsi="Verdana"/>
            <w:noProof/>
            <w:webHidden/>
            <w:sz w:val="18"/>
            <w:szCs w:val="18"/>
          </w:rPr>
          <w:fldChar w:fldCharType="end"/>
        </w:r>
      </w:hyperlink>
    </w:p>
    <w:p w14:paraId="2AFA9E28" w14:textId="77777777" w:rsidR="001D2BE2" w:rsidRPr="001D2BE2" w:rsidRDefault="00A90A01" w:rsidP="001D2BE2">
      <w:pPr>
        <w:pStyle w:val="TOC3"/>
        <w:spacing w:before="0" w:after="0"/>
        <w:jc w:val="both"/>
        <w:rPr>
          <w:rFonts w:ascii="Verdana" w:eastAsiaTheme="minorEastAsia" w:hAnsi="Verdana" w:cstheme="minorBidi"/>
          <w:noProof/>
          <w:sz w:val="18"/>
          <w:szCs w:val="18"/>
          <w:lang w:val="es-CR" w:eastAsia="es-CR"/>
        </w:rPr>
      </w:pPr>
      <w:hyperlink w:anchor="_Toc437247371" w:history="1">
        <w:r w:rsidR="001D2BE2" w:rsidRPr="001D2BE2">
          <w:rPr>
            <w:rStyle w:val="Hyperlink"/>
            <w:rFonts w:ascii="Verdana" w:eastAsiaTheme="majorEastAsia" w:hAnsi="Verdana" w:cstheme="majorBidi"/>
            <w:bCs/>
            <w:noProof/>
            <w:sz w:val="18"/>
            <w:szCs w:val="18"/>
          </w:rPr>
          <w:t>B.2 Consideraciones de la Corte</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85</w:t>
        </w:r>
        <w:r w:rsidR="001D2BE2" w:rsidRPr="001D2BE2">
          <w:rPr>
            <w:rFonts w:ascii="Verdana" w:hAnsi="Verdana"/>
            <w:noProof/>
            <w:webHidden/>
            <w:sz w:val="18"/>
            <w:szCs w:val="18"/>
          </w:rPr>
          <w:fldChar w:fldCharType="end"/>
        </w:r>
      </w:hyperlink>
    </w:p>
    <w:p w14:paraId="6B922917"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72" w:history="1">
        <w:r w:rsidR="001D2BE2" w:rsidRPr="001D2BE2">
          <w:rPr>
            <w:rStyle w:val="Hyperlink"/>
            <w:rFonts w:ascii="Verdana" w:eastAsiaTheme="majorEastAsia" w:hAnsi="Verdana" w:cstheme="majorBidi"/>
            <w:bCs/>
            <w:iCs/>
            <w:noProof/>
            <w:sz w:val="18"/>
            <w:szCs w:val="18"/>
            <w:lang w:val="es-CR"/>
          </w:rPr>
          <w:t>B.2.1 Denuncia por el delito de usurpación de 2003, investigaciones y proceso penal relativo a la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86</w:t>
        </w:r>
        <w:r w:rsidR="001D2BE2" w:rsidRPr="001D2BE2">
          <w:rPr>
            <w:rFonts w:ascii="Verdana" w:hAnsi="Verdana"/>
            <w:noProof/>
            <w:webHidden/>
            <w:sz w:val="18"/>
            <w:szCs w:val="18"/>
          </w:rPr>
          <w:fldChar w:fldCharType="end"/>
        </w:r>
      </w:hyperlink>
    </w:p>
    <w:p w14:paraId="613F38E9" w14:textId="77777777" w:rsidR="001D2BE2" w:rsidRPr="001D2BE2" w:rsidRDefault="00A90A01" w:rsidP="001D2BE2">
      <w:pPr>
        <w:pStyle w:val="TOC5"/>
        <w:tabs>
          <w:tab w:val="right" w:leader="dot" w:pos="8828"/>
        </w:tabs>
        <w:spacing w:after="0"/>
        <w:jc w:val="both"/>
        <w:rPr>
          <w:rFonts w:ascii="Verdana" w:eastAsiaTheme="minorEastAsia" w:hAnsi="Verdana" w:cstheme="minorBidi"/>
          <w:noProof/>
          <w:sz w:val="18"/>
          <w:szCs w:val="18"/>
          <w:lang w:val="es-CR" w:eastAsia="es-CR"/>
        </w:rPr>
      </w:pPr>
      <w:hyperlink w:anchor="_Toc437247373" w:history="1">
        <w:r w:rsidR="001D2BE2" w:rsidRPr="001D2BE2">
          <w:rPr>
            <w:rStyle w:val="Hyperlink"/>
            <w:rFonts w:ascii="Verdana" w:eastAsiaTheme="majorEastAsia" w:hAnsi="Verdana" w:cstheme="majorBidi"/>
            <w:noProof/>
            <w:sz w:val="18"/>
            <w:szCs w:val="18"/>
            <w:lang w:val="es-PE"/>
          </w:rPr>
          <w:t>B.2.1.1 Investigaciones derivadas de la denuncia de usurpación de 2003</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86</w:t>
        </w:r>
        <w:r w:rsidR="001D2BE2" w:rsidRPr="001D2BE2">
          <w:rPr>
            <w:rFonts w:ascii="Verdana" w:hAnsi="Verdana"/>
            <w:noProof/>
            <w:webHidden/>
            <w:sz w:val="18"/>
            <w:szCs w:val="18"/>
          </w:rPr>
          <w:fldChar w:fldCharType="end"/>
        </w:r>
      </w:hyperlink>
    </w:p>
    <w:p w14:paraId="51772F84" w14:textId="77777777" w:rsidR="001D2BE2" w:rsidRPr="001D2BE2" w:rsidRDefault="00A90A01" w:rsidP="001D2BE2">
      <w:pPr>
        <w:pStyle w:val="TOC5"/>
        <w:tabs>
          <w:tab w:val="right" w:leader="dot" w:pos="8828"/>
        </w:tabs>
        <w:spacing w:after="0"/>
        <w:jc w:val="both"/>
        <w:rPr>
          <w:rFonts w:ascii="Verdana" w:eastAsiaTheme="minorEastAsia" w:hAnsi="Verdana" w:cstheme="minorBidi"/>
          <w:noProof/>
          <w:sz w:val="18"/>
          <w:szCs w:val="18"/>
          <w:lang w:val="es-CR" w:eastAsia="es-CR"/>
        </w:rPr>
      </w:pPr>
      <w:hyperlink w:anchor="_Toc437247374" w:history="1">
        <w:r w:rsidR="001D2BE2" w:rsidRPr="001D2BE2">
          <w:rPr>
            <w:rStyle w:val="Hyperlink"/>
            <w:rFonts w:ascii="Verdana" w:eastAsiaTheme="majorEastAsia" w:hAnsi="Verdana" w:cstheme="majorBidi"/>
            <w:noProof/>
            <w:sz w:val="18"/>
            <w:szCs w:val="18"/>
            <w:lang w:val="es-PE"/>
          </w:rPr>
          <w:t>B.2.1.2 Investigaciones y proceso penal relativo a la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87</w:t>
        </w:r>
        <w:r w:rsidR="001D2BE2" w:rsidRPr="001D2BE2">
          <w:rPr>
            <w:rFonts w:ascii="Verdana" w:hAnsi="Verdana"/>
            <w:noProof/>
            <w:webHidden/>
            <w:sz w:val="18"/>
            <w:szCs w:val="18"/>
          </w:rPr>
          <w:fldChar w:fldCharType="end"/>
        </w:r>
      </w:hyperlink>
    </w:p>
    <w:p w14:paraId="6466B1DE" w14:textId="77777777" w:rsidR="001D2BE2" w:rsidRPr="001D2BE2" w:rsidRDefault="00A90A01" w:rsidP="001D2BE2">
      <w:pPr>
        <w:pStyle w:val="TOC4"/>
        <w:tabs>
          <w:tab w:val="right" w:leader="dot" w:pos="8828"/>
        </w:tabs>
        <w:spacing w:after="0"/>
        <w:jc w:val="both"/>
        <w:rPr>
          <w:rFonts w:ascii="Verdana" w:eastAsiaTheme="minorEastAsia" w:hAnsi="Verdana" w:cstheme="minorBidi"/>
          <w:noProof/>
          <w:sz w:val="18"/>
          <w:szCs w:val="18"/>
          <w:lang w:val="es-CR" w:eastAsia="es-CR"/>
        </w:rPr>
      </w:pPr>
      <w:hyperlink w:anchor="_Toc437247375" w:history="1">
        <w:r w:rsidR="001D2BE2" w:rsidRPr="001D2BE2">
          <w:rPr>
            <w:rStyle w:val="Hyperlink"/>
            <w:rFonts w:ascii="Verdana" w:eastAsiaTheme="majorEastAsia" w:hAnsi="Verdana" w:cstheme="majorBidi"/>
            <w:bCs/>
            <w:iCs/>
            <w:noProof/>
            <w:sz w:val="18"/>
            <w:szCs w:val="18"/>
            <w:lang w:val="es-CR"/>
          </w:rPr>
          <w:t>B.2.2. Denuncias de usurpación y amenazas de 2010 y abuso de autoridad de 2010 en perjuicio de la Comunidad Garífuna de Punta Piedra y sus miembros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90</w:t>
        </w:r>
        <w:r w:rsidR="001D2BE2" w:rsidRPr="001D2BE2">
          <w:rPr>
            <w:rFonts w:ascii="Verdana" w:hAnsi="Verdana"/>
            <w:noProof/>
            <w:webHidden/>
            <w:sz w:val="18"/>
            <w:szCs w:val="18"/>
          </w:rPr>
          <w:fldChar w:fldCharType="end"/>
        </w:r>
      </w:hyperlink>
    </w:p>
    <w:p w14:paraId="52C28676" w14:textId="77777777" w:rsidR="001D2BE2" w:rsidRPr="001D2BE2" w:rsidRDefault="00A90A01" w:rsidP="001D2BE2">
      <w:pPr>
        <w:pStyle w:val="TOC5"/>
        <w:tabs>
          <w:tab w:val="right" w:leader="dot" w:pos="8828"/>
        </w:tabs>
        <w:spacing w:after="0"/>
        <w:jc w:val="both"/>
        <w:rPr>
          <w:rFonts w:ascii="Verdana" w:eastAsiaTheme="minorEastAsia" w:hAnsi="Verdana" w:cstheme="minorBidi"/>
          <w:noProof/>
          <w:sz w:val="18"/>
          <w:szCs w:val="18"/>
          <w:lang w:val="es-CR" w:eastAsia="es-CR"/>
        </w:rPr>
      </w:pPr>
      <w:hyperlink w:anchor="_Toc437247376" w:history="1">
        <w:r w:rsidR="001D2BE2" w:rsidRPr="001D2BE2">
          <w:rPr>
            <w:rStyle w:val="Hyperlink"/>
            <w:rFonts w:ascii="Verdana" w:eastAsiaTheme="majorEastAsia" w:hAnsi="Verdana" w:cstheme="majorBidi"/>
            <w:noProof/>
            <w:sz w:val="18"/>
            <w:szCs w:val="18"/>
            <w:lang w:val="es-PE"/>
          </w:rPr>
          <w:t>B.2.2.1 Denuncia de usurpación y amenazas en perjuicio de los miembros de la Comunidad Garífuna de Punta Piedra,</w:t>
        </w:r>
        <w:r w:rsidR="001D2BE2" w:rsidRPr="001D2BE2">
          <w:rPr>
            <w:rStyle w:val="Hyperlink"/>
            <w:rFonts w:ascii="Verdana" w:eastAsia="Times New Roman" w:hAnsi="Verdana" w:cs="Arial"/>
            <w:noProof/>
            <w:spacing w:val="-2"/>
            <w:sz w:val="18"/>
            <w:szCs w:val="18"/>
            <w:lang w:val="es-CR" w:eastAsia="es-ES"/>
          </w:rPr>
          <w:t xml:space="preserve"> y denuncia de amenazas en perjuicio de Paulino Mejía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90</w:t>
        </w:r>
        <w:r w:rsidR="001D2BE2" w:rsidRPr="001D2BE2">
          <w:rPr>
            <w:rFonts w:ascii="Verdana" w:hAnsi="Verdana"/>
            <w:noProof/>
            <w:webHidden/>
            <w:sz w:val="18"/>
            <w:szCs w:val="18"/>
          </w:rPr>
          <w:fldChar w:fldCharType="end"/>
        </w:r>
      </w:hyperlink>
    </w:p>
    <w:p w14:paraId="0BAD3D87" w14:textId="77777777" w:rsidR="001D2BE2" w:rsidRPr="001D2BE2" w:rsidRDefault="00A90A01" w:rsidP="001D2BE2">
      <w:pPr>
        <w:pStyle w:val="TOC5"/>
        <w:tabs>
          <w:tab w:val="right" w:leader="dot" w:pos="8828"/>
        </w:tabs>
        <w:spacing w:after="0"/>
        <w:jc w:val="both"/>
        <w:rPr>
          <w:rFonts w:ascii="Verdana" w:eastAsiaTheme="minorEastAsia" w:hAnsi="Verdana" w:cstheme="minorBidi"/>
          <w:noProof/>
          <w:sz w:val="18"/>
          <w:szCs w:val="18"/>
          <w:lang w:val="es-CR" w:eastAsia="es-CR"/>
        </w:rPr>
      </w:pPr>
      <w:hyperlink w:anchor="_Toc437247377" w:history="1">
        <w:r w:rsidR="001D2BE2" w:rsidRPr="001D2BE2">
          <w:rPr>
            <w:rStyle w:val="Hyperlink"/>
            <w:rFonts w:ascii="Verdana" w:eastAsiaTheme="majorEastAsia" w:hAnsi="Verdana" w:cstheme="majorBidi"/>
            <w:noProof/>
            <w:sz w:val="18"/>
            <w:szCs w:val="18"/>
            <w:lang w:val="es-PE"/>
          </w:rPr>
          <w:t>B.2.2.2 Denuncia por abuso de autoridad en perjuicio de los miembros de la Comunidad Garífuna de Punta Piedra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_Toc437247377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92</w:t>
        </w:r>
        <w:r w:rsidR="001D2BE2" w:rsidRPr="001D2BE2">
          <w:rPr>
            <w:rFonts w:ascii="Verdana" w:hAnsi="Verdana"/>
            <w:noProof/>
            <w:webHidden/>
            <w:sz w:val="18"/>
            <w:szCs w:val="18"/>
          </w:rPr>
          <w:fldChar w:fldCharType="end"/>
        </w:r>
      </w:hyperlink>
    </w:p>
    <w:p w14:paraId="101E23A9" w14:textId="77777777" w:rsidR="001D2BE2" w:rsidRPr="001D2BE2" w:rsidRDefault="00A90A01" w:rsidP="001D2BE2">
      <w:pPr>
        <w:pStyle w:val="TOC1"/>
        <w:rPr>
          <w:rFonts w:eastAsiaTheme="minorEastAsia" w:cstheme="minorBidi"/>
          <w:snapToGrid/>
          <w:lang w:val="es-CR" w:eastAsia="es-CR"/>
        </w:rPr>
      </w:pPr>
      <w:hyperlink w:anchor="_Toc437247378" w:history="1">
        <w:r w:rsidR="001D2BE2" w:rsidRPr="001D2BE2">
          <w:rPr>
            <w:rStyle w:val="Hyperlink"/>
            <w:rFonts w:eastAsia="Times New Roman" w:cs="Verdana"/>
            <w:bCs/>
          </w:rPr>
          <w:t>X REPARACIONES</w:t>
        </w:r>
        <w:r w:rsidR="001D2BE2" w:rsidRPr="001D2BE2">
          <w:rPr>
            <w:webHidden/>
          </w:rPr>
          <w:tab/>
        </w:r>
        <w:r w:rsidR="001D2BE2" w:rsidRPr="001D2BE2">
          <w:rPr>
            <w:webHidden/>
          </w:rPr>
          <w:fldChar w:fldCharType="begin"/>
        </w:r>
        <w:r w:rsidR="001D2BE2" w:rsidRPr="001D2BE2">
          <w:rPr>
            <w:webHidden/>
          </w:rPr>
          <w:instrText xml:space="preserve"> PAGEREF _Toc437247378 \h </w:instrText>
        </w:r>
        <w:r w:rsidR="001D2BE2" w:rsidRPr="001D2BE2">
          <w:rPr>
            <w:webHidden/>
          </w:rPr>
        </w:r>
        <w:r w:rsidR="001D2BE2" w:rsidRPr="001D2BE2">
          <w:rPr>
            <w:webHidden/>
          </w:rPr>
          <w:fldChar w:fldCharType="separate"/>
        </w:r>
        <w:r w:rsidR="006B4260">
          <w:rPr>
            <w:webHidden/>
          </w:rPr>
          <w:t>93</w:t>
        </w:r>
        <w:r w:rsidR="001D2BE2" w:rsidRPr="001D2BE2">
          <w:rPr>
            <w:webHidden/>
          </w:rPr>
          <w:fldChar w:fldCharType="end"/>
        </w:r>
      </w:hyperlink>
    </w:p>
    <w:p w14:paraId="229C3797"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0" w:history="1">
        <w:r w:rsidR="001D2BE2" w:rsidRPr="001D2BE2">
          <w:rPr>
            <w:rStyle w:val="Hyperlink"/>
            <w:rFonts w:ascii="Verdana" w:eastAsia="Times New Roman" w:hAnsi="Verdana"/>
            <w:bCs/>
            <w:noProof/>
            <w:sz w:val="18"/>
            <w:szCs w:val="18"/>
          </w:rPr>
          <w:t>A.</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Parte Lesionada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_Toc437247380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94</w:t>
        </w:r>
        <w:r w:rsidR="001D2BE2" w:rsidRPr="001D2BE2">
          <w:rPr>
            <w:rFonts w:ascii="Verdana" w:hAnsi="Verdana"/>
            <w:noProof/>
            <w:webHidden/>
            <w:sz w:val="18"/>
            <w:szCs w:val="18"/>
          </w:rPr>
          <w:fldChar w:fldCharType="end"/>
        </w:r>
      </w:hyperlink>
    </w:p>
    <w:p w14:paraId="5E0D5A1F"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1" w:history="1">
        <w:r w:rsidR="001D2BE2" w:rsidRPr="001D2BE2">
          <w:rPr>
            <w:rStyle w:val="Hyperlink"/>
            <w:rFonts w:ascii="Verdana" w:eastAsia="Times New Roman" w:hAnsi="Verdana"/>
            <w:bCs/>
            <w:noProof/>
            <w:sz w:val="18"/>
            <w:szCs w:val="18"/>
          </w:rPr>
          <w:t>B.</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Restitución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_Toc437247381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94</w:t>
        </w:r>
        <w:r w:rsidR="001D2BE2" w:rsidRPr="001D2BE2">
          <w:rPr>
            <w:rFonts w:ascii="Verdana" w:hAnsi="Verdana"/>
            <w:noProof/>
            <w:webHidden/>
            <w:sz w:val="18"/>
            <w:szCs w:val="18"/>
          </w:rPr>
          <w:fldChar w:fldCharType="end"/>
        </w:r>
      </w:hyperlink>
    </w:p>
    <w:p w14:paraId="41472EEE"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2" w:history="1">
        <w:r w:rsidR="001D2BE2" w:rsidRPr="001D2BE2">
          <w:rPr>
            <w:rStyle w:val="Hyperlink"/>
            <w:rFonts w:ascii="Verdana" w:eastAsia="Times New Roman" w:hAnsi="Verdana"/>
            <w:bCs/>
            <w:noProof/>
            <w:sz w:val="18"/>
            <w:szCs w:val="18"/>
          </w:rPr>
          <w:t>C.</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Compensación colectiva a través de un fondo de desarrollo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_Toc437247382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97</w:t>
        </w:r>
        <w:r w:rsidR="001D2BE2" w:rsidRPr="001D2BE2">
          <w:rPr>
            <w:rFonts w:ascii="Verdana" w:hAnsi="Verdana"/>
            <w:noProof/>
            <w:webHidden/>
            <w:sz w:val="18"/>
            <w:szCs w:val="18"/>
          </w:rPr>
          <w:fldChar w:fldCharType="end"/>
        </w:r>
      </w:hyperlink>
    </w:p>
    <w:p w14:paraId="62E027DE"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3" w:history="1">
        <w:r w:rsidR="001D2BE2" w:rsidRPr="001D2BE2">
          <w:rPr>
            <w:rStyle w:val="Hyperlink"/>
            <w:rFonts w:ascii="Verdana" w:eastAsia="Times New Roman" w:hAnsi="Verdana"/>
            <w:bCs/>
            <w:noProof/>
            <w:sz w:val="18"/>
            <w:szCs w:val="18"/>
          </w:rPr>
          <w:t>D.</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Satisfacción: publicación y radiodifusión de la Sentencia</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_Toc437247383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99</w:t>
        </w:r>
        <w:r w:rsidR="001D2BE2" w:rsidRPr="001D2BE2">
          <w:rPr>
            <w:rFonts w:ascii="Verdana" w:hAnsi="Verdana"/>
            <w:noProof/>
            <w:webHidden/>
            <w:sz w:val="18"/>
            <w:szCs w:val="18"/>
          </w:rPr>
          <w:fldChar w:fldCharType="end"/>
        </w:r>
      </w:hyperlink>
    </w:p>
    <w:p w14:paraId="4C664D75"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4" w:history="1">
        <w:r w:rsidR="001D2BE2" w:rsidRPr="001D2BE2">
          <w:rPr>
            <w:rStyle w:val="Hyperlink"/>
            <w:rFonts w:ascii="Verdana" w:eastAsia="Times New Roman" w:hAnsi="Verdana"/>
            <w:bCs/>
            <w:noProof/>
            <w:sz w:val="18"/>
            <w:szCs w:val="18"/>
          </w:rPr>
          <w:t>E.</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Garantías de no repetición</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_Toc437247384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99</w:t>
        </w:r>
        <w:r w:rsidR="001D2BE2" w:rsidRPr="001D2BE2">
          <w:rPr>
            <w:rFonts w:ascii="Verdana" w:hAnsi="Verdana"/>
            <w:noProof/>
            <w:webHidden/>
            <w:sz w:val="18"/>
            <w:szCs w:val="18"/>
          </w:rPr>
          <w:fldChar w:fldCharType="end"/>
        </w:r>
      </w:hyperlink>
    </w:p>
    <w:p w14:paraId="0BB66B3B"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5" w:history="1">
        <w:r w:rsidR="001D2BE2" w:rsidRPr="001D2BE2">
          <w:rPr>
            <w:rStyle w:val="Hyperlink"/>
            <w:rFonts w:ascii="Verdana" w:eastAsia="Times New Roman" w:hAnsi="Verdana"/>
            <w:bCs/>
            <w:noProof/>
            <w:sz w:val="18"/>
            <w:szCs w:val="18"/>
          </w:rPr>
          <w:t>F.</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Obligación de investigar los hechos e identificar, juzgar y, en su caso, sancionar a los responsables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_Toc437247385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101</w:t>
        </w:r>
        <w:r w:rsidR="001D2BE2" w:rsidRPr="001D2BE2">
          <w:rPr>
            <w:rFonts w:ascii="Verdana" w:hAnsi="Verdana"/>
            <w:noProof/>
            <w:webHidden/>
            <w:sz w:val="18"/>
            <w:szCs w:val="18"/>
          </w:rPr>
          <w:fldChar w:fldCharType="end"/>
        </w:r>
      </w:hyperlink>
    </w:p>
    <w:p w14:paraId="703C7539"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6" w:history="1">
        <w:r w:rsidR="001D2BE2" w:rsidRPr="001D2BE2">
          <w:rPr>
            <w:rStyle w:val="Hyperlink"/>
            <w:rFonts w:ascii="Verdana" w:eastAsia="Times New Roman" w:hAnsi="Verdana"/>
            <w:bCs/>
            <w:noProof/>
            <w:sz w:val="18"/>
            <w:szCs w:val="18"/>
          </w:rPr>
          <w:t>G.</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Solicitud de indemnización compensatoria por la muerte de Félix Ordóñez Suazo</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_Toc437247386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102</w:t>
        </w:r>
        <w:r w:rsidR="001D2BE2" w:rsidRPr="001D2BE2">
          <w:rPr>
            <w:rFonts w:ascii="Verdana" w:hAnsi="Verdana"/>
            <w:noProof/>
            <w:webHidden/>
            <w:sz w:val="18"/>
            <w:szCs w:val="18"/>
          </w:rPr>
          <w:fldChar w:fldCharType="end"/>
        </w:r>
      </w:hyperlink>
    </w:p>
    <w:p w14:paraId="5A69EDC9"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7" w:history="1">
        <w:r w:rsidR="001D2BE2" w:rsidRPr="001D2BE2">
          <w:rPr>
            <w:rStyle w:val="Hyperlink"/>
            <w:rFonts w:ascii="Verdana" w:eastAsia="Times New Roman" w:hAnsi="Verdana"/>
            <w:bCs/>
            <w:noProof/>
            <w:sz w:val="18"/>
            <w:szCs w:val="18"/>
          </w:rPr>
          <w:t>H.</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Costas y gastos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_Toc437247387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103</w:t>
        </w:r>
        <w:r w:rsidR="001D2BE2" w:rsidRPr="001D2BE2">
          <w:rPr>
            <w:rFonts w:ascii="Verdana" w:hAnsi="Verdana"/>
            <w:noProof/>
            <w:webHidden/>
            <w:sz w:val="18"/>
            <w:szCs w:val="18"/>
          </w:rPr>
          <w:fldChar w:fldCharType="end"/>
        </w:r>
      </w:hyperlink>
    </w:p>
    <w:p w14:paraId="2CD42F62"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8" w:history="1">
        <w:r w:rsidR="001D2BE2" w:rsidRPr="001D2BE2">
          <w:rPr>
            <w:rStyle w:val="Hyperlink"/>
            <w:rFonts w:ascii="Verdana" w:eastAsia="Times New Roman" w:hAnsi="Verdana"/>
            <w:bCs/>
            <w:noProof/>
            <w:sz w:val="18"/>
            <w:szCs w:val="18"/>
          </w:rPr>
          <w:t>I.</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Reintegro de los gastos al Fondo de Asistencia Legal de Víctimas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_Toc437247388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104</w:t>
        </w:r>
        <w:r w:rsidR="001D2BE2" w:rsidRPr="001D2BE2">
          <w:rPr>
            <w:rFonts w:ascii="Verdana" w:hAnsi="Verdana"/>
            <w:noProof/>
            <w:webHidden/>
            <w:sz w:val="18"/>
            <w:szCs w:val="18"/>
          </w:rPr>
          <w:fldChar w:fldCharType="end"/>
        </w:r>
      </w:hyperlink>
    </w:p>
    <w:p w14:paraId="632A83A3" w14:textId="77777777" w:rsidR="001D2BE2" w:rsidRPr="001D2BE2" w:rsidRDefault="00A90A01" w:rsidP="001D2BE2">
      <w:pPr>
        <w:pStyle w:val="TOC2"/>
        <w:rPr>
          <w:rFonts w:ascii="Verdana" w:eastAsiaTheme="minorEastAsia" w:hAnsi="Verdana" w:cstheme="minorBidi"/>
          <w:noProof/>
          <w:sz w:val="18"/>
          <w:szCs w:val="18"/>
          <w:lang w:val="es-CR" w:eastAsia="es-CR"/>
        </w:rPr>
      </w:pPr>
      <w:hyperlink w:anchor="_Toc437247389" w:history="1">
        <w:r w:rsidR="001D2BE2" w:rsidRPr="001D2BE2">
          <w:rPr>
            <w:rStyle w:val="Hyperlink"/>
            <w:rFonts w:ascii="Verdana" w:eastAsia="Times New Roman" w:hAnsi="Verdana"/>
            <w:bCs/>
            <w:noProof/>
            <w:sz w:val="18"/>
            <w:szCs w:val="18"/>
          </w:rPr>
          <w:t>J.</w:t>
        </w:r>
        <w:r w:rsidR="001D2BE2" w:rsidRPr="001D2BE2">
          <w:rPr>
            <w:rFonts w:ascii="Verdana" w:eastAsiaTheme="minorEastAsia" w:hAnsi="Verdana" w:cstheme="minorBidi"/>
            <w:noProof/>
            <w:sz w:val="18"/>
            <w:szCs w:val="18"/>
            <w:lang w:val="es-CR" w:eastAsia="es-CR"/>
          </w:rPr>
          <w:tab/>
        </w:r>
        <w:r w:rsidR="001D2BE2" w:rsidRPr="001D2BE2">
          <w:rPr>
            <w:rStyle w:val="Hyperlink"/>
            <w:rFonts w:ascii="Verdana" w:eastAsia="Times New Roman" w:hAnsi="Verdana"/>
            <w:bCs/>
            <w:noProof/>
            <w:sz w:val="18"/>
            <w:szCs w:val="18"/>
          </w:rPr>
          <w:t>Modalidad de cumplimiento de los pagos ordenados</w:t>
        </w:r>
        <w:r w:rsidR="001D2BE2" w:rsidRPr="001D2BE2">
          <w:rPr>
            <w:rFonts w:ascii="Verdana" w:hAnsi="Verdana"/>
            <w:noProof/>
            <w:webHidden/>
            <w:sz w:val="18"/>
            <w:szCs w:val="18"/>
          </w:rPr>
          <w:tab/>
        </w:r>
        <w:r w:rsidR="001D2BE2" w:rsidRPr="001D2BE2">
          <w:rPr>
            <w:rFonts w:ascii="Verdana" w:hAnsi="Verdana"/>
            <w:noProof/>
            <w:webHidden/>
            <w:sz w:val="18"/>
            <w:szCs w:val="18"/>
          </w:rPr>
          <w:fldChar w:fldCharType="begin"/>
        </w:r>
        <w:r w:rsidR="001D2BE2" w:rsidRPr="001D2BE2">
          <w:rPr>
            <w:rFonts w:ascii="Verdana" w:hAnsi="Verdana"/>
            <w:noProof/>
            <w:webHidden/>
            <w:sz w:val="18"/>
            <w:szCs w:val="18"/>
          </w:rPr>
          <w:instrText xml:space="preserve"> PAGEREF _Toc437247389 \h </w:instrText>
        </w:r>
        <w:r w:rsidR="001D2BE2" w:rsidRPr="001D2BE2">
          <w:rPr>
            <w:rFonts w:ascii="Verdana" w:hAnsi="Verdana"/>
            <w:noProof/>
            <w:webHidden/>
            <w:sz w:val="18"/>
            <w:szCs w:val="18"/>
          </w:rPr>
        </w:r>
        <w:r w:rsidR="001D2BE2" w:rsidRPr="001D2BE2">
          <w:rPr>
            <w:rFonts w:ascii="Verdana" w:hAnsi="Verdana"/>
            <w:noProof/>
            <w:webHidden/>
            <w:sz w:val="18"/>
            <w:szCs w:val="18"/>
          </w:rPr>
          <w:fldChar w:fldCharType="separate"/>
        </w:r>
        <w:r w:rsidR="006B4260">
          <w:rPr>
            <w:rFonts w:ascii="Verdana" w:hAnsi="Verdana"/>
            <w:noProof/>
            <w:webHidden/>
            <w:sz w:val="18"/>
            <w:szCs w:val="18"/>
          </w:rPr>
          <w:t>104</w:t>
        </w:r>
        <w:r w:rsidR="001D2BE2" w:rsidRPr="001D2BE2">
          <w:rPr>
            <w:rFonts w:ascii="Verdana" w:hAnsi="Verdana"/>
            <w:noProof/>
            <w:webHidden/>
            <w:sz w:val="18"/>
            <w:szCs w:val="18"/>
          </w:rPr>
          <w:fldChar w:fldCharType="end"/>
        </w:r>
      </w:hyperlink>
    </w:p>
    <w:p w14:paraId="7108F787" w14:textId="77777777" w:rsidR="001D2BE2" w:rsidRPr="001D2BE2" w:rsidRDefault="00A90A01" w:rsidP="001D2BE2">
      <w:pPr>
        <w:pStyle w:val="TOC1"/>
        <w:rPr>
          <w:rFonts w:eastAsiaTheme="minorEastAsia" w:cstheme="minorBidi"/>
          <w:snapToGrid/>
          <w:lang w:val="es-CR" w:eastAsia="es-CR"/>
        </w:rPr>
      </w:pPr>
      <w:hyperlink w:anchor="_Toc437247390" w:history="1">
        <w:r w:rsidR="001D2BE2" w:rsidRPr="001D2BE2">
          <w:rPr>
            <w:rStyle w:val="Hyperlink"/>
            <w:rFonts w:cs="Verdana"/>
          </w:rPr>
          <w:t>xI puntos resolutivos</w:t>
        </w:r>
        <w:r w:rsidR="001D2BE2" w:rsidRPr="001D2BE2">
          <w:rPr>
            <w:webHidden/>
          </w:rPr>
          <w:tab/>
        </w:r>
        <w:r w:rsidR="001D2BE2" w:rsidRPr="001D2BE2">
          <w:rPr>
            <w:webHidden/>
          </w:rPr>
          <w:fldChar w:fldCharType="begin"/>
        </w:r>
        <w:r w:rsidR="001D2BE2" w:rsidRPr="001D2BE2">
          <w:rPr>
            <w:webHidden/>
          </w:rPr>
          <w:instrText xml:space="preserve"> PAGEREF _Toc437247390 \h </w:instrText>
        </w:r>
        <w:r w:rsidR="001D2BE2" w:rsidRPr="001D2BE2">
          <w:rPr>
            <w:webHidden/>
          </w:rPr>
        </w:r>
        <w:r w:rsidR="001D2BE2" w:rsidRPr="001D2BE2">
          <w:rPr>
            <w:webHidden/>
          </w:rPr>
          <w:fldChar w:fldCharType="separate"/>
        </w:r>
        <w:r w:rsidR="006B4260">
          <w:rPr>
            <w:webHidden/>
          </w:rPr>
          <w:t>105</w:t>
        </w:r>
        <w:r w:rsidR="001D2BE2" w:rsidRPr="001D2BE2">
          <w:rPr>
            <w:webHidden/>
          </w:rPr>
          <w:fldChar w:fldCharType="end"/>
        </w:r>
      </w:hyperlink>
    </w:p>
    <w:p w14:paraId="000CE4CB" w14:textId="1384028A" w:rsidR="001D2BE2" w:rsidRPr="001D2BE2" w:rsidRDefault="00A90A01" w:rsidP="001D2BE2">
      <w:pPr>
        <w:pStyle w:val="TOC1"/>
        <w:rPr>
          <w:rFonts w:eastAsiaTheme="minorEastAsia" w:cstheme="minorBidi"/>
          <w:snapToGrid/>
          <w:lang w:val="es-CR" w:eastAsia="es-CR"/>
        </w:rPr>
      </w:pPr>
      <w:hyperlink w:anchor="_Toc437247391" w:history="1">
        <w:r w:rsidR="001D2BE2" w:rsidRPr="001D2BE2">
          <w:rPr>
            <w:rStyle w:val="Hyperlink"/>
            <w:rFonts w:cs="Verdana"/>
          </w:rPr>
          <w:t>xii</w:t>
        </w:r>
        <w:r w:rsidR="001D2BE2">
          <w:rPr>
            <w:rStyle w:val="Hyperlink"/>
            <w:rFonts w:cs="Verdana"/>
          </w:rPr>
          <w:t xml:space="preserve"> ANEXOS</w:t>
        </w:r>
        <w:r w:rsidR="001D2BE2" w:rsidRPr="001D2BE2">
          <w:rPr>
            <w:webHidden/>
          </w:rPr>
          <w:tab/>
        </w:r>
        <w:r w:rsidR="001D2BE2" w:rsidRPr="001D2BE2">
          <w:rPr>
            <w:webHidden/>
          </w:rPr>
          <w:fldChar w:fldCharType="begin"/>
        </w:r>
        <w:r w:rsidR="001D2BE2" w:rsidRPr="001D2BE2">
          <w:rPr>
            <w:webHidden/>
          </w:rPr>
          <w:instrText xml:space="preserve"> PAGEREF _Toc437247391 \h </w:instrText>
        </w:r>
        <w:r w:rsidR="001D2BE2" w:rsidRPr="001D2BE2">
          <w:rPr>
            <w:webHidden/>
          </w:rPr>
        </w:r>
        <w:r w:rsidR="001D2BE2" w:rsidRPr="001D2BE2">
          <w:rPr>
            <w:webHidden/>
          </w:rPr>
          <w:fldChar w:fldCharType="separate"/>
        </w:r>
        <w:r w:rsidR="006B4260">
          <w:rPr>
            <w:webHidden/>
          </w:rPr>
          <w:t>109</w:t>
        </w:r>
        <w:r w:rsidR="001D2BE2" w:rsidRPr="001D2BE2">
          <w:rPr>
            <w:webHidden/>
          </w:rPr>
          <w:fldChar w:fldCharType="end"/>
        </w:r>
      </w:hyperlink>
    </w:p>
    <w:p w14:paraId="3FDA542C" w14:textId="77777777" w:rsidR="0019552C" w:rsidRDefault="0086236B" w:rsidP="001D2BE2">
      <w:pPr>
        <w:pStyle w:val="Heading1"/>
        <w:tabs>
          <w:tab w:val="left" w:pos="851"/>
        </w:tabs>
        <w:spacing w:before="0"/>
        <w:jc w:val="both"/>
        <w:rPr>
          <w:rFonts w:ascii="Verdana" w:hAnsi="Verdana" w:cs="Verdana"/>
          <w:b w:val="0"/>
          <w:caps/>
          <w:noProof/>
          <w:snapToGrid w:val="0"/>
          <w:sz w:val="18"/>
          <w:szCs w:val="18"/>
        </w:rPr>
      </w:pPr>
      <w:r w:rsidRPr="001D2BE2">
        <w:rPr>
          <w:rFonts w:ascii="Verdana" w:hAnsi="Verdana" w:cs="Verdana"/>
          <w:b w:val="0"/>
          <w:caps/>
          <w:noProof/>
          <w:snapToGrid w:val="0"/>
          <w:sz w:val="18"/>
          <w:szCs w:val="18"/>
        </w:rPr>
        <w:fldChar w:fldCharType="end"/>
      </w:r>
    </w:p>
    <w:p w14:paraId="009CE954" w14:textId="77777777" w:rsidR="0019552C" w:rsidRDefault="0019552C" w:rsidP="0019552C"/>
    <w:p w14:paraId="278D5FC4" w14:textId="77777777" w:rsidR="0019552C" w:rsidRDefault="0019552C" w:rsidP="0019552C"/>
    <w:p w14:paraId="2CCB9AB3" w14:textId="77777777" w:rsidR="0019552C" w:rsidRDefault="0019552C" w:rsidP="0019552C"/>
    <w:p w14:paraId="5B5CA294" w14:textId="77777777" w:rsidR="0019552C" w:rsidRDefault="0019552C" w:rsidP="0019552C"/>
    <w:p w14:paraId="42FB30E1" w14:textId="77777777" w:rsidR="0019552C" w:rsidRDefault="0019552C" w:rsidP="0019552C"/>
    <w:p w14:paraId="55BDE71A" w14:textId="77777777" w:rsidR="0019552C" w:rsidRDefault="0019552C" w:rsidP="0019552C"/>
    <w:p w14:paraId="45FD1178" w14:textId="77777777" w:rsidR="0019552C" w:rsidRDefault="0019552C" w:rsidP="0019552C"/>
    <w:p w14:paraId="5BE2945E" w14:textId="77777777" w:rsidR="0019552C" w:rsidRDefault="0019552C" w:rsidP="0019552C"/>
    <w:p w14:paraId="5A29EE00" w14:textId="77777777" w:rsidR="0019552C" w:rsidRDefault="0019552C" w:rsidP="0019552C"/>
    <w:p w14:paraId="4BB51637" w14:textId="77777777" w:rsidR="0019552C" w:rsidRDefault="0019552C" w:rsidP="0019552C"/>
    <w:p w14:paraId="63971830" w14:textId="77777777" w:rsidR="0019552C" w:rsidRDefault="0019552C" w:rsidP="0019552C"/>
    <w:p w14:paraId="42A3EF03" w14:textId="77777777" w:rsidR="0019552C" w:rsidRDefault="0019552C" w:rsidP="0019552C"/>
    <w:p w14:paraId="226CA00E" w14:textId="77777777" w:rsidR="0019552C" w:rsidRDefault="0019552C" w:rsidP="0019552C"/>
    <w:p w14:paraId="473AEF81" w14:textId="77777777" w:rsidR="0019552C" w:rsidRDefault="0019552C" w:rsidP="0019552C"/>
    <w:p w14:paraId="053E3372" w14:textId="77777777" w:rsidR="0019552C" w:rsidRDefault="0019552C" w:rsidP="0019552C"/>
    <w:p w14:paraId="47CC2C13" w14:textId="77777777" w:rsidR="0019552C" w:rsidRDefault="0019552C" w:rsidP="0019552C"/>
    <w:p w14:paraId="47AA227C" w14:textId="77777777" w:rsidR="0019552C" w:rsidRDefault="0019552C" w:rsidP="0019552C"/>
    <w:p w14:paraId="60758810" w14:textId="77777777" w:rsidR="0019552C" w:rsidRDefault="0019552C" w:rsidP="0019552C"/>
    <w:p w14:paraId="0B2EAF7B" w14:textId="77777777" w:rsidR="0019552C" w:rsidRDefault="0019552C" w:rsidP="0019552C"/>
    <w:p w14:paraId="069F1F9E" w14:textId="77777777" w:rsidR="0019552C" w:rsidRDefault="0019552C" w:rsidP="0019552C"/>
    <w:p w14:paraId="72E57426" w14:textId="77777777" w:rsidR="0019552C" w:rsidRDefault="0019552C" w:rsidP="0019552C"/>
    <w:p w14:paraId="255F2F66" w14:textId="77777777" w:rsidR="0019552C" w:rsidRDefault="0019552C" w:rsidP="0019552C"/>
    <w:p w14:paraId="107523E3" w14:textId="77777777" w:rsidR="0019552C" w:rsidRDefault="0019552C" w:rsidP="0019552C"/>
    <w:p w14:paraId="154A25EF" w14:textId="77777777" w:rsidR="0019552C" w:rsidRDefault="0019552C" w:rsidP="0019552C"/>
    <w:p w14:paraId="451C9DB6" w14:textId="77777777" w:rsidR="0019552C" w:rsidRDefault="0019552C" w:rsidP="0019552C"/>
    <w:p w14:paraId="7C349C47" w14:textId="77777777" w:rsidR="0019552C" w:rsidRDefault="0019552C" w:rsidP="0019552C"/>
    <w:p w14:paraId="72361E42" w14:textId="77777777" w:rsidR="0019552C" w:rsidRDefault="0019552C" w:rsidP="0019552C"/>
    <w:p w14:paraId="06DDC607" w14:textId="77777777" w:rsidR="0019552C" w:rsidRDefault="0019552C" w:rsidP="0019552C"/>
    <w:p w14:paraId="63404C75" w14:textId="77777777" w:rsidR="0019552C" w:rsidRDefault="0019552C" w:rsidP="0019552C"/>
    <w:p w14:paraId="3D24A5D9" w14:textId="77777777" w:rsidR="0019552C" w:rsidRDefault="0019552C" w:rsidP="0019552C"/>
    <w:p w14:paraId="7CE1BE8F" w14:textId="77777777" w:rsidR="0019552C" w:rsidRDefault="0019552C" w:rsidP="0019552C"/>
    <w:p w14:paraId="7DDDB63A" w14:textId="77777777" w:rsidR="0019552C" w:rsidRDefault="0019552C" w:rsidP="0019552C"/>
    <w:p w14:paraId="5ACE488D" w14:textId="77777777" w:rsidR="0019552C" w:rsidRDefault="0019552C" w:rsidP="0019552C"/>
    <w:p w14:paraId="76DA2660" w14:textId="77777777" w:rsidR="0019552C" w:rsidRDefault="0019552C" w:rsidP="0019552C"/>
    <w:p w14:paraId="33FFBE79" w14:textId="77777777" w:rsidR="0019552C" w:rsidRDefault="0019552C" w:rsidP="0019552C"/>
    <w:p w14:paraId="031D4342" w14:textId="77777777" w:rsidR="0019552C" w:rsidRDefault="0019552C" w:rsidP="0019552C"/>
    <w:p w14:paraId="7AC712B3" w14:textId="77777777" w:rsidR="0019552C" w:rsidRDefault="0019552C" w:rsidP="0019552C"/>
    <w:p w14:paraId="45103EE1" w14:textId="77777777" w:rsidR="0019552C" w:rsidRDefault="0019552C" w:rsidP="0019552C"/>
    <w:p w14:paraId="1E793BE8" w14:textId="77777777" w:rsidR="0019552C" w:rsidRPr="0019552C" w:rsidRDefault="0019552C" w:rsidP="0019552C"/>
    <w:p w14:paraId="0C7048DD" w14:textId="35DBF766" w:rsidR="00E04121" w:rsidRPr="006669DA" w:rsidRDefault="00E04121" w:rsidP="005C11E9">
      <w:pPr>
        <w:pStyle w:val="Heading1"/>
        <w:tabs>
          <w:tab w:val="left" w:pos="851"/>
        </w:tabs>
        <w:spacing w:before="0"/>
        <w:jc w:val="center"/>
        <w:rPr>
          <w:rFonts w:ascii="Verdana" w:hAnsi="Verdana" w:cs="Verdana"/>
          <w:caps/>
          <w:snapToGrid w:val="0"/>
          <w:color w:val="auto"/>
          <w:sz w:val="20"/>
          <w:szCs w:val="20"/>
        </w:rPr>
      </w:pPr>
      <w:bookmarkStart w:id="1" w:name="_Toc437247300"/>
      <w:r w:rsidRPr="006669DA">
        <w:rPr>
          <w:rFonts w:ascii="Verdana" w:hAnsi="Verdana" w:cs="Verdana"/>
          <w:caps/>
          <w:snapToGrid w:val="0"/>
          <w:color w:val="auto"/>
          <w:sz w:val="20"/>
          <w:szCs w:val="20"/>
        </w:rPr>
        <w:lastRenderedPageBreak/>
        <w:t>I</w:t>
      </w:r>
      <w:r w:rsidRPr="006669DA">
        <w:rPr>
          <w:rFonts w:ascii="Verdana" w:hAnsi="Verdana" w:cs="Verdana"/>
          <w:caps/>
          <w:snapToGrid w:val="0"/>
          <w:color w:val="auto"/>
          <w:sz w:val="20"/>
          <w:szCs w:val="20"/>
        </w:rPr>
        <w:br/>
      </w:r>
      <w:bookmarkEnd w:id="0"/>
      <w:r w:rsidRPr="006669DA">
        <w:rPr>
          <w:rFonts w:ascii="Verdana" w:hAnsi="Verdana" w:cs="Verdana"/>
          <w:caps/>
          <w:snapToGrid w:val="0"/>
          <w:color w:val="auto"/>
          <w:sz w:val="20"/>
          <w:szCs w:val="20"/>
        </w:rPr>
        <w:t>INTRODUCCIÓN DE LA CAUSA Y OBJETO DE LA CONTROVERSIA</w:t>
      </w:r>
      <w:bookmarkEnd w:id="1"/>
    </w:p>
    <w:p w14:paraId="0C7048DE" w14:textId="77777777" w:rsidR="00E04121" w:rsidRPr="000A16A4" w:rsidRDefault="00E04121" w:rsidP="00E04121">
      <w:pPr>
        <w:jc w:val="both"/>
        <w:rPr>
          <w:rFonts w:ascii="Verdana" w:hAnsi="Verdana"/>
          <w:sz w:val="20"/>
          <w:szCs w:val="20"/>
        </w:rPr>
      </w:pPr>
    </w:p>
    <w:p w14:paraId="0C7048DF" w14:textId="6955E4F8" w:rsidR="00E04121" w:rsidRPr="00831954" w:rsidRDefault="00E04121" w:rsidP="00E04121">
      <w:pPr>
        <w:pStyle w:val="ListParagraph"/>
        <w:numPr>
          <w:ilvl w:val="0"/>
          <w:numId w:val="17"/>
        </w:numPr>
        <w:ind w:left="0" w:firstLine="0"/>
        <w:jc w:val="both"/>
        <w:rPr>
          <w:rFonts w:ascii="Verdana" w:hAnsi="Verdana"/>
          <w:sz w:val="20"/>
          <w:szCs w:val="20"/>
        </w:rPr>
      </w:pPr>
      <w:r w:rsidRPr="00831954">
        <w:rPr>
          <w:rFonts w:ascii="Verdana" w:hAnsi="Verdana"/>
          <w:i/>
          <w:sz w:val="20"/>
          <w:szCs w:val="20"/>
        </w:rPr>
        <w:t>El caso sometido a la Corte</w:t>
      </w:r>
      <w:r w:rsidRPr="00831954">
        <w:rPr>
          <w:rFonts w:ascii="Verdana" w:hAnsi="Verdana"/>
          <w:sz w:val="20"/>
          <w:szCs w:val="20"/>
        </w:rPr>
        <w:t xml:space="preserve">. – El 1 de octubre de 2013, la Comisión Interamericana de Derechos Humanos </w:t>
      </w:r>
      <w:r w:rsidR="00FD39FC">
        <w:rPr>
          <w:rFonts w:ascii="Verdana" w:hAnsi="Verdana"/>
          <w:sz w:val="20"/>
          <w:szCs w:val="20"/>
        </w:rPr>
        <w:t>(en adelante,</w:t>
      </w:r>
      <w:r w:rsidRPr="00831954">
        <w:rPr>
          <w:rFonts w:ascii="Verdana" w:hAnsi="Verdana"/>
          <w:sz w:val="20"/>
          <w:szCs w:val="20"/>
        </w:rPr>
        <w:t xml:space="preserve"> “la Comisión” o “la Comisión Interamericana”) sometió el caso </w:t>
      </w:r>
      <w:r w:rsidR="00FD39FC">
        <w:rPr>
          <w:rFonts w:ascii="Verdana" w:hAnsi="Verdana"/>
          <w:sz w:val="20"/>
          <w:szCs w:val="20"/>
        </w:rPr>
        <w:t xml:space="preserve">de la </w:t>
      </w:r>
      <w:r w:rsidRPr="00A71698">
        <w:rPr>
          <w:rFonts w:ascii="Verdana" w:hAnsi="Verdana"/>
          <w:i/>
          <w:sz w:val="20"/>
          <w:szCs w:val="20"/>
        </w:rPr>
        <w:t>Comunidad Garífuna de Punta Piedra y sus miembros</w:t>
      </w:r>
      <w:r>
        <w:rPr>
          <w:rFonts w:ascii="Verdana" w:hAnsi="Verdana"/>
          <w:sz w:val="20"/>
          <w:szCs w:val="20"/>
        </w:rPr>
        <w:t xml:space="preserve"> </w:t>
      </w:r>
      <w:r w:rsidRPr="00831954">
        <w:rPr>
          <w:rFonts w:ascii="Verdana" w:hAnsi="Verdana"/>
          <w:sz w:val="20"/>
          <w:szCs w:val="20"/>
        </w:rPr>
        <w:t xml:space="preserve">ante la jurisdicción de la Corte Interamericana de Derechos Humanos contra la República de Honduras </w:t>
      </w:r>
      <w:r w:rsidR="00FD39FC">
        <w:rPr>
          <w:rFonts w:ascii="Verdana" w:hAnsi="Verdana"/>
          <w:sz w:val="20"/>
          <w:szCs w:val="20"/>
        </w:rPr>
        <w:t>(en adelante,</w:t>
      </w:r>
      <w:r w:rsidRPr="00831954">
        <w:rPr>
          <w:rFonts w:ascii="Verdana" w:hAnsi="Verdana"/>
          <w:sz w:val="20"/>
          <w:szCs w:val="20"/>
        </w:rPr>
        <w:t xml:space="preserve"> “el Estado” u “Honduras”). De acuerdo con la Comisión, el presente caso se relaciona con la responsabilidad internacional del Estado por la violación del derecho a la propiedad</w:t>
      </w:r>
      <w:r>
        <w:rPr>
          <w:rFonts w:ascii="Verdana" w:hAnsi="Verdana"/>
          <w:sz w:val="20"/>
          <w:szCs w:val="20"/>
        </w:rPr>
        <w:t xml:space="preserve"> de la Comunidad Garífuna de Punta Piedra </w:t>
      </w:r>
      <w:r w:rsidR="00FD39FC">
        <w:rPr>
          <w:rFonts w:ascii="Verdana" w:hAnsi="Verdana"/>
          <w:sz w:val="20"/>
          <w:szCs w:val="20"/>
        </w:rPr>
        <w:t>(en adelante,</w:t>
      </w:r>
      <w:r w:rsidRPr="00831954">
        <w:rPr>
          <w:rFonts w:ascii="Verdana" w:hAnsi="Verdana"/>
          <w:sz w:val="20"/>
          <w:szCs w:val="20"/>
        </w:rPr>
        <w:t xml:space="preserve"> “la Comunidad” o “la Comunidad de Punta Piedra”)</w:t>
      </w:r>
      <w:r>
        <w:rPr>
          <w:rFonts w:ascii="Verdana" w:hAnsi="Verdana"/>
          <w:sz w:val="20"/>
          <w:szCs w:val="20"/>
        </w:rPr>
        <w:t xml:space="preserve">, como consecuencia del incumplimiento del deber de garantía por haber otorgado títulos de dominio pleno en 1993 y 1999 a favor de la Comunidad sin haber efectuado un proceso de </w:t>
      </w:r>
      <w:r w:rsidRPr="00831954">
        <w:rPr>
          <w:rFonts w:ascii="Verdana" w:hAnsi="Verdana"/>
          <w:sz w:val="20"/>
          <w:szCs w:val="20"/>
        </w:rPr>
        <w:t>saneamiento adecuado</w:t>
      </w:r>
      <w:r>
        <w:rPr>
          <w:rStyle w:val="FootnoteReference"/>
          <w:szCs w:val="20"/>
        </w:rPr>
        <w:footnoteReference w:id="2"/>
      </w:r>
      <w:r>
        <w:rPr>
          <w:rFonts w:ascii="Verdana" w:hAnsi="Verdana"/>
          <w:sz w:val="20"/>
          <w:szCs w:val="20"/>
        </w:rPr>
        <w:t xml:space="preserve">, a pesar del conocimiento de la ocupación </w:t>
      </w:r>
      <w:r w:rsidRPr="00831954">
        <w:rPr>
          <w:rFonts w:ascii="Verdana" w:hAnsi="Verdana"/>
          <w:sz w:val="20"/>
          <w:szCs w:val="20"/>
        </w:rPr>
        <w:t xml:space="preserve">por parte de personas no indígenas en </w:t>
      </w:r>
      <w:r>
        <w:rPr>
          <w:rFonts w:ascii="Verdana" w:hAnsi="Verdana"/>
          <w:sz w:val="20"/>
          <w:szCs w:val="20"/>
        </w:rPr>
        <w:t xml:space="preserve">las tierras y </w:t>
      </w:r>
      <w:r w:rsidRPr="00831954">
        <w:rPr>
          <w:rFonts w:ascii="Verdana" w:hAnsi="Verdana"/>
          <w:sz w:val="20"/>
          <w:szCs w:val="20"/>
        </w:rPr>
        <w:t xml:space="preserve">territorios </w:t>
      </w:r>
      <w:r>
        <w:rPr>
          <w:rFonts w:ascii="Verdana" w:hAnsi="Verdana"/>
          <w:sz w:val="20"/>
          <w:szCs w:val="20"/>
        </w:rPr>
        <w:t>titulad</w:t>
      </w:r>
      <w:r w:rsidR="00FD39FC">
        <w:rPr>
          <w:rFonts w:ascii="Verdana" w:hAnsi="Verdana"/>
          <w:sz w:val="20"/>
          <w:szCs w:val="20"/>
        </w:rPr>
        <w:t>o</w:t>
      </w:r>
      <w:r>
        <w:rPr>
          <w:rFonts w:ascii="Verdana" w:hAnsi="Verdana"/>
          <w:sz w:val="20"/>
          <w:szCs w:val="20"/>
        </w:rPr>
        <w:t>s.</w:t>
      </w:r>
      <w:r w:rsidRPr="00831954">
        <w:rPr>
          <w:rFonts w:ascii="Verdana" w:hAnsi="Verdana"/>
          <w:sz w:val="20"/>
          <w:szCs w:val="20"/>
        </w:rPr>
        <w:t xml:space="preserve"> Según la Comisión, </w:t>
      </w:r>
      <w:r>
        <w:rPr>
          <w:rFonts w:ascii="Verdana" w:hAnsi="Verdana"/>
          <w:sz w:val="20"/>
          <w:szCs w:val="20"/>
        </w:rPr>
        <w:t xml:space="preserve">dicha falta de saneamiento </w:t>
      </w:r>
      <w:r w:rsidRPr="00831954">
        <w:rPr>
          <w:rFonts w:ascii="Verdana" w:hAnsi="Verdana"/>
          <w:sz w:val="20"/>
          <w:szCs w:val="20"/>
        </w:rPr>
        <w:t>ha generado que la Comunidad pueda ejercer la tenencia efectiva únicamente de la mitad del territorio titulado por el Estado, con las consecuentes afectaciones a su forma de vida, medios de subsistencia, cultura, usos y costumbres tradicionales. Además, señaló que la continuidad de la ocupación por parte de personas no indígenas ha generado una situación de conflictividad que ha redundado en amenazas, hostigamientos e incluso la muerte de un miembro de la Comunidad de Punta Piedra. Asimismo, la Comisión sostuvo que el Estado ha incumplido los acuerdos realizados para lograr el saneamiento efectivo</w:t>
      </w:r>
      <w:r>
        <w:rPr>
          <w:rFonts w:ascii="Verdana" w:hAnsi="Verdana"/>
          <w:sz w:val="20"/>
          <w:szCs w:val="20"/>
        </w:rPr>
        <w:t xml:space="preserve"> </w:t>
      </w:r>
      <w:r w:rsidRPr="00831954">
        <w:rPr>
          <w:rFonts w:ascii="Verdana" w:hAnsi="Verdana"/>
          <w:sz w:val="20"/>
          <w:szCs w:val="20"/>
        </w:rPr>
        <w:t xml:space="preserve">y </w:t>
      </w:r>
      <w:r>
        <w:rPr>
          <w:rFonts w:ascii="Verdana" w:hAnsi="Verdana"/>
          <w:sz w:val="20"/>
          <w:szCs w:val="20"/>
        </w:rPr>
        <w:t xml:space="preserve">que </w:t>
      </w:r>
      <w:r w:rsidRPr="00831954">
        <w:rPr>
          <w:rFonts w:ascii="Verdana" w:hAnsi="Verdana"/>
          <w:sz w:val="20"/>
          <w:szCs w:val="20"/>
        </w:rPr>
        <w:t>la Comunidad no ha contado con un recurso efectivo para lograr la tenencia pacífica de sus tierras y territorios.</w:t>
      </w:r>
    </w:p>
    <w:p w14:paraId="0C7048E0" w14:textId="77777777" w:rsidR="00E04121" w:rsidRPr="00831954" w:rsidRDefault="00E04121" w:rsidP="00E04121">
      <w:pPr>
        <w:pStyle w:val="ListParagraph"/>
        <w:ind w:left="0"/>
        <w:jc w:val="both"/>
        <w:rPr>
          <w:rFonts w:ascii="Verdana" w:hAnsi="Verdana"/>
          <w:sz w:val="20"/>
          <w:szCs w:val="20"/>
        </w:rPr>
      </w:pPr>
    </w:p>
    <w:p w14:paraId="0C7048E1" w14:textId="77777777" w:rsidR="00E04121" w:rsidRDefault="00E04121" w:rsidP="00E04121">
      <w:pPr>
        <w:pStyle w:val="ListParagraph"/>
        <w:numPr>
          <w:ilvl w:val="0"/>
          <w:numId w:val="17"/>
        </w:numPr>
        <w:ind w:left="0" w:firstLine="0"/>
        <w:jc w:val="both"/>
        <w:rPr>
          <w:rFonts w:ascii="Verdana" w:hAnsi="Verdana"/>
          <w:sz w:val="20"/>
          <w:szCs w:val="20"/>
        </w:rPr>
      </w:pPr>
      <w:r w:rsidRPr="00831954">
        <w:rPr>
          <w:rFonts w:ascii="Verdana" w:hAnsi="Verdana"/>
          <w:i/>
          <w:sz w:val="20"/>
          <w:szCs w:val="20"/>
        </w:rPr>
        <w:t>Trámite ante la Comisión</w:t>
      </w:r>
      <w:r w:rsidRPr="00831954">
        <w:rPr>
          <w:rFonts w:ascii="Verdana" w:hAnsi="Verdana"/>
          <w:sz w:val="20"/>
          <w:szCs w:val="20"/>
        </w:rPr>
        <w:t>. – El trámite ante la Comisión fue el siguiente:</w:t>
      </w:r>
      <w:r>
        <w:rPr>
          <w:rFonts w:ascii="Verdana" w:hAnsi="Verdana"/>
          <w:sz w:val="20"/>
          <w:szCs w:val="20"/>
        </w:rPr>
        <w:t xml:space="preserve"> </w:t>
      </w:r>
    </w:p>
    <w:p w14:paraId="0C7048E2" w14:textId="77777777" w:rsidR="00E04121" w:rsidRDefault="00E04121" w:rsidP="00E04121">
      <w:pPr>
        <w:pStyle w:val="ListParagraph"/>
        <w:rPr>
          <w:rFonts w:ascii="Verdana" w:hAnsi="Verdana"/>
          <w:i/>
          <w:sz w:val="20"/>
          <w:szCs w:val="20"/>
        </w:rPr>
      </w:pPr>
    </w:p>
    <w:p w14:paraId="0C7048E3" w14:textId="2A6CCE48" w:rsidR="00E04121" w:rsidRPr="00C9397F" w:rsidRDefault="00E04121" w:rsidP="00E04121">
      <w:pPr>
        <w:ind w:left="708"/>
        <w:jc w:val="both"/>
        <w:rPr>
          <w:rFonts w:ascii="Verdana" w:hAnsi="Verdana"/>
          <w:sz w:val="18"/>
          <w:szCs w:val="18"/>
        </w:rPr>
      </w:pPr>
      <w:r w:rsidRPr="00C9397F">
        <w:rPr>
          <w:rFonts w:ascii="Verdana" w:hAnsi="Verdana"/>
          <w:i/>
          <w:sz w:val="18"/>
          <w:szCs w:val="18"/>
        </w:rPr>
        <w:t>a) Petición</w:t>
      </w:r>
      <w:r w:rsidRPr="00C9397F">
        <w:rPr>
          <w:rFonts w:ascii="Verdana" w:hAnsi="Verdana"/>
          <w:sz w:val="18"/>
          <w:szCs w:val="18"/>
        </w:rPr>
        <w:t xml:space="preserve">. – El 29 de octubre de 2003 la Comisión recibió una petición presentada por la Organización Fraternal Negra Hondureña </w:t>
      </w:r>
      <w:r w:rsidR="00FD39FC">
        <w:rPr>
          <w:rFonts w:ascii="Verdana" w:hAnsi="Verdana"/>
          <w:sz w:val="18"/>
          <w:szCs w:val="18"/>
        </w:rPr>
        <w:t>(en adelante,</w:t>
      </w:r>
      <w:r w:rsidRPr="00C9397F">
        <w:rPr>
          <w:rFonts w:ascii="Verdana" w:hAnsi="Verdana"/>
          <w:sz w:val="18"/>
          <w:szCs w:val="18"/>
        </w:rPr>
        <w:t xml:space="preserve"> </w:t>
      </w:r>
      <w:r>
        <w:rPr>
          <w:rFonts w:ascii="Verdana" w:hAnsi="Verdana"/>
          <w:sz w:val="18"/>
          <w:szCs w:val="18"/>
        </w:rPr>
        <w:t>la</w:t>
      </w:r>
      <w:r w:rsidRPr="00C9397F">
        <w:rPr>
          <w:rFonts w:ascii="Verdana" w:hAnsi="Verdana"/>
          <w:sz w:val="18"/>
          <w:szCs w:val="18"/>
        </w:rPr>
        <w:t xml:space="preserve"> “OFRANEH”), contra Honduras por la violación de los artículos 8, 21 y 25 de la Convención Americana</w:t>
      </w:r>
      <w:r w:rsidR="00FD39FC">
        <w:rPr>
          <w:rFonts w:ascii="Verdana" w:hAnsi="Verdana"/>
          <w:sz w:val="18"/>
          <w:szCs w:val="18"/>
        </w:rPr>
        <w:t xml:space="preserve"> sobre Derechos Humanos (en adelante, “la Convención” o “la Convención Americana”)</w:t>
      </w:r>
      <w:r w:rsidRPr="00C9397F">
        <w:rPr>
          <w:rFonts w:ascii="Verdana" w:hAnsi="Verdana"/>
          <w:sz w:val="18"/>
          <w:szCs w:val="18"/>
        </w:rPr>
        <w:t xml:space="preserve">, en relación con el artículo 1.1 del mismo instrumento y con el Convenio 169 sobre Pueblos Indígenas y Tribales en Países Independientes de la Organización Internacional del Trabajo </w:t>
      </w:r>
      <w:r w:rsidR="00FD39FC">
        <w:rPr>
          <w:rFonts w:ascii="Verdana" w:hAnsi="Verdana"/>
          <w:sz w:val="18"/>
          <w:szCs w:val="18"/>
        </w:rPr>
        <w:t>(en adelante,</w:t>
      </w:r>
      <w:r w:rsidRPr="00C9397F">
        <w:rPr>
          <w:rFonts w:ascii="Verdana" w:hAnsi="Verdana"/>
          <w:sz w:val="18"/>
          <w:szCs w:val="18"/>
        </w:rPr>
        <w:t xml:space="preserve"> “el Convenio 169 de la OIT”), en perjuicio de las Comunidades Garífunas de Cayos Cochinos, Punta Piedra y Triunfo de la Cruz. El 19 de diciembre de 2003 la Comisión decidió dividir la petición en tres asuntos separados, referidos a cada una de las </w:t>
      </w:r>
      <w:r w:rsidR="00FD39FC">
        <w:rPr>
          <w:rFonts w:ascii="Verdana" w:hAnsi="Verdana"/>
          <w:sz w:val="18"/>
          <w:szCs w:val="18"/>
        </w:rPr>
        <w:t>c</w:t>
      </w:r>
      <w:r w:rsidRPr="00C9397F">
        <w:rPr>
          <w:rFonts w:ascii="Verdana" w:hAnsi="Verdana"/>
          <w:sz w:val="18"/>
          <w:szCs w:val="18"/>
        </w:rPr>
        <w:t>omunidades, y les asignó un número de registro individual.</w:t>
      </w:r>
    </w:p>
    <w:p w14:paraId="0C7048E4" w14:textId="77777777" w:rsidR="00E04121" w:rsidRDefault="00E04121" w:rsidP="00E04121">
      <w:pPr>
        <w:ind w:left="708"/>
        <w:jc w:val="both"/>
        <w:rPr>
          <w:rFonts w:ascii="Verdana" w:hAnsi="Verdana"/>
          <w:sz w:val="18"/>
          <w:szCs w:val="18"/>
        </w:rPr>
      </w:pPr>
    </w:p>
    <w:p w14:paraId="0C7048E5" w14:textId="4349C92E" w:rsidR="00FD39FC" w:rsidRPr="00C9397F" w:rsidRDefault="00FD39FC" w:rsidP="00FD39FC">
      <w:pPr>
        <w:ind w:left="708"/>
        <w:jc w:val="both"/>
        <w:rPr>
          <w:rFonts w:ascii="Verdana" w:hAnsi="Verdana"/>
          <w:sz w:val="18"/>
          <w:szCs w:val="18"/>
        </w:rPr>
      </w:pPr>
      <w:r>
        <w:rPr>
          <w:rFonts w:ascii="Verdana" w:hAnsi="Verdana"/>
          <w:i/>
          <w:sz w:val="18"/>
          <w:szCs w:val="18"/>
        </w:rPr>
        <w:t>b</w:t>
      </w:r>
      <w:r w:rsidRPr="00C9397F">
        <w:rPr>
          <w:rFonts w:ascii="Verdana" w:hAnsi="Verdana"/>
          <w:i/>
          <w:sz w:val="18"/>
          <w:szCs w:val="18"/>
        </w:rPr>
        <w:t>) Medidas Cautelares.</w:t>
      </w:r>
      <w:r w:rsidRPr="00C9397F">
        <w:rPr>
          <w:rFonts w:ascii="Verdana" w:hAnsi="Verdana"/>
          <w:sz w:val="18"/>
          <w:szCs w:val="18"/>
        </w:rPr>
        <w:t xml:space="preserve"> - El 15 de junio de 2007 OFRANEH solicitó medidas cautelares a favor de la Comunidad y en especial de uno de sus miembros, Marcos Bonifacio Castillo, dado que habría sido amenazado de muerte. El 20 de agosto de 2007 la Comisión otorgó dichas medidas en  favor de </w:t>
      </w:r>
      <w:r w:rsidR="00DB46DF">
        <w:rPr>
          <w:rFonts w:ascii="Verdana" w:hAnsi="Verdana"/>
          <w:sz w:val="18"/>
          <w:szCs w:val="18"/>
        </w:rPr>
        <w:t>Marcos Bonifacio Castillo</w:t>
      </w:r>
      <w:r w:rsidRPr="00C9397F">
        <w:rPr>
          <w:rFonts w:ascii="Verdana" w:hAnsi="Verdana"/>
          <w:sz w:val="18"/>
          <w:szCs w:val="18"/>
        </w:rPr>
        <w:t xml:space="preserve"> (MC-109-07), y continúa supervisándolas en la actualidad.</w:t>
      </w:r>
    </w:p>
    <w:p w14:paraId="0C7048E6" w14:textId="77777777" w:rsidR="00FD39FC" w:rsidRPr="00C9397F" w:rsidRDefault="00FD39FC" w:rsidP="00E04121">
      <w:pPr>
        <w:ind w:left="708"/>
        <w:jc w:val="both"/>
        <w:rPr>
          <w:rFonts w:ascii="Verdana" w:hAnsi="Verdana"/>
          <w:sz w:val="18"/>
          <w:szCs w:val="18"/>
        </w:rPr>
      </w:pPr>
    </w:p>
    <w:p w14:paraId="0C7048E7" w14:textId="79FFF8EE" w:rsidR="00E04121" w:rsidRPr="00C9397F" w:rsidRDefault="00FD39FC" w:rsidP="00E04121">
      <w:pPr>
        <w:ind w:left="708"/>
        <w:jc w:val="both"/>
        <w:rPr>
          <w:rFonts w:ascii="Verdana" w:hAnsi="Verdana"/>
          <w:sz w:val="18"/>
          <w:szCs w:val="18"/>
        </w:rPr>
      </w:pPr>
      <w:r>
        <w:rPr>
          <w:rFonts w:ascii="Verdana" w:hAnsi="Verdana"/>
          <w:i/>
          <w:sz w:val="18"/>
          <w:szCs w:val="18"/>
        </w:rPr>
        <w:t>c</w:t>
      </w:r>
      <w:r w:rsidR="00E04121" w:rsidRPr="00C9397F">
        <w:rPr>
          <w:rFonts w:ascii="Verdana" w:hAnsi="Verdana"/>
          <w:i/>
          <w:sz w:val="18"/>
          <w:szCs w:val="18"/>
        </w:rPr>
        <w:t>) Informe de Admisibilidad.</w:t>
      </w:r>
      <w:r w:rsidR="00E04121" w:rsidRPr="00C9397F">
        <w:rPr>
          <w:rFonts w:ascii="Verdana" w:hAnsi="Verdana"/>
          <w:sz w:val="18"/>
          <w:szCs w:val="18"/>
        </w:rPr>
        <w:t xml:space="preserve"> – Respecto de la Comunidad de Punta Piedra, el 24 de marzo de 2010 la Comisión emitió el Informe de Admisibilidad </w:t>
      </w:r>
      <w:r w:rsidR="00E04121">
        <w:rPr>
          <w:rFonts w:ascii="Verdana" w:hAnsi="Verdana"/>
          <w:sz w:val="18"/>
          <w:szCs w:val="18"/>
        </w:rPr>
        <w:t xml:space="preserve">No. </w:t>
      </w:r>
      <w:r w:rsidR="00E04121" w:rsidRPr="00C9397F">
        <w:rPr>
          <w:rFonts w:ascii="Verdana" w:hAnsi="Verdana"/>
          <w:sz w:val="18"/>
          <w:szCs w:val="18"/>
        </w:rPr>
        <w:t>63/10, en el que concluyó que tenía competencia para conocer la petición y decidió admitir la denuncia sobre la presunta violación de los artículos 21 y 25 de la Convención, en relación con los artículos 1 y 2 del mismo instrumento.</w:t>
      </w:r>
    </w:p>
    <w:p w14:paraId="0C7048EA" w14:textId="77777777" w:rsidR="00E04121" w:rsidRPr="00C9397F" w:rsidRDefault="00E04121" w:rsidP="00F139C1">
      <w:pPr>
        <w:ind w:left="708"/>
        <w:jc w:val="both"/>
        <w:rPr>
          <w:rFonts w:ascii="Verdana" w:hAnsi="Verdana"/>
          <w:sz w:val="18"/>
          <w:szCs w:val="18"/>
        </w:rPr>
      </w:pPr>
    </w:p>
    <w:p w14:paraId="0C7048EB" w14:textId="6AB197BA" w:rsidR="00E04121" w:rsidRDefault="00E04121" w:rsidP="00E04121">
      <w:pPr>
        <w:ind w:left="708"/>
        <w:jc w:val="both"/>
        <w:rPr>
          <w:rFonts w:ascii="Verdana" w:hAnsi="Verdana"/>
          <w:b/>
          <w:sz w:val="18"/>
          <w:szCs w:val="18"/>
        </w:rPr>
      </w:pPr>
      <w:r w:rsidRPr="00C9397F">
        <w:rPr>
          <w:rFonts w:ascii="Verdana" w:hAnsi="Verdana"/>
          <w:i/>
          <w:sz w:val="18"/>
          <w:szCs w:val="18"/>
        </w:rPr>
        <w:lastRenderedPageBreak/>
        <w:t>d) Informe de Fondo.</w:t>
      </w:r>
      <w:r w:rsidRPr="00C9397F">
        <w:rPr>
          <w:rFonts w:ascii="Verdana" w:hAnsi="Verdana"/>
          <w:sz w:val="18"/>
          <w:szCs w:val="18"/>
        </w:rPr>
        <w:t xml:space="preserve"> – El 21 de marzo de 2013, la Comisión aprobó el Informe de Fondo No. 30/13, en los términos del artículo 50 de la Convención Americana </w:t>
      </w:r>
      <w:r w:rsidR="00FD39FC">
        <w:rPr>
          <w:rFonts w:ascii="Verdana" w:hAnsi="Verdana"/>
          <w:sz w:val="18"/>
          <w:szCs w:val="18"/>
        </w:rPr>
        <w:t>(en adelante,</w:t>
      </w:r>
      <w:r w:rsidRPr="00C9397F">
        <w:rPr>
          <w:rFonts w:ascii="Verdana" w:hAnsi="Verdana"/>
          <w:sz w:val="18"/>
          <w:szCs w:val="18"/>
        </w:rPr>
        <w:t xml:space="preserve"> “Informe de Fondo” o “Informe 30/13”) en el cual llegó a una serie de conclusiones y formuló varias recomendaciones al Estado, a saber:</w:t>
      </w:r>
    </w:p>
    <w:p w14:paraId="0C7048EC" w14:textId="77777777" w:rsidR="00E04121" w:rsidRDefault="00E04121" w:rsidP="00E04121">
      <w:pPr>
        <w:ind w:left="708"/>
        <w:jc w:val="both"/>
        <w:rPr>
          <w:rFonts w:ascii="Verdana" w:hAnsi="Verdana"/>
          <w:sz w:val="18"/>
          <w:szCs w:val="18"/>
        </w:rPr>
      </w:pPr>
    </w:p>
    <w:p w14:paraId="0C7048ED" w14:textId="77777777" w:rsidR="00E04121" w:rsidRPr="00C9397F" w:rsidRDefault="00E04121" w:rsidP="00E04121">
      <w:pPr>
        <w:ind w:left="708"/>
        <w:jc w:val="both"/>
        <w:rPr>
          <w:rFonts w:ascii="Verdana" w:hAnsi="Verdana"/>
          <w:sz w:val="18"/>
          <w:szCs w:val="18"/>
        </w:rPr>
      </w:pPr>
      <w:r>
        <w:rPr>
          <w:rFonts w:ascii="Verdana" w:hAnsi="Verdana"/>
          <w:sz w:val="18"/>
          <w:szCs w:val="18"/>
        </w:rPr>
        <w:t xml:space="preserve">Conclusiones: </w:t>
      </w:r>
    </w:p>
    <w:p w14:paraId="0C7048EE" w14:textId="77777777" w:rsidR="00E04121" w:rsidRPr="00C9397F" w:rsidRDefault="00E04121" w:rsidP="00E04121">
      <w:pPr>
        <w:jc w:val="both"/>
        <w:rPr>
          <w:rFonts w:ascii="Verdana" w:hAnsi="Verdana"/>
          <w:sz w:val="18"/>
          <w:szCs w:val="18"/>
        </w:rPr>
      </w:pPr>
    </w:p>
    <w:p w14:paraId="0C7048EF" w14:textId="3A16A784" w:rsidR="00E04121" w:rsidRPr="00C9397F" w:rsidRDefault="00E04121" w:rsidP="00E04121">
      <w:pPr>
        <w:ind w:left="1416"/>
        <w:jc w:val="both"/>
        <w:rPr>
          <w:rFonts w:ascii="Verdana" w:hAnsi="Verdana"/>
          <w:sz w:val="18"/>
          <w:szCs w:val="18"/>
        </w:rPr>
      </w:pPr>
      <w:r w:rsidRPr="00C9397F">
        <w:rPr>
          <w:rFonts w:ascii="Verdana" w:hAnsi="Verdana"/>
          <w:sz w:val="18"/>
          <w:szCs w:val="18"/>
        </w:rPr>
        <w:t>i) El Estado violó el derecho a la propiedad consagrado en el artículo 21 de la Convención, en relación con los artículos 1.1 y 2 de la misma, en perjuicio de la Comunidad de Punta Piedra</w:t>
      </w:r>
      <w:r w:rsidR="00F1728C">
        <w:rPr>
          <w:rFonts w:ascii="Verdana" w:hAnsi="Verdana"/>
          <w:sz w:val="18"/>
          <w:szCs w:val="18"/>
        </w:rPr>
        <w:t>.</w:t>
      </w:r>
    </w:p>
    <w:p w14:paraId="0C7048F0" w14:textId="77777777" w:rsidR="00E04121" w:rsidRPr="00C9397F" w:rsidRDefault="00E04121" w:rsidP="00E04121">
      <w:pPr>
        <w:ind w:left="1416"/>
        <w:jc w:val="both"/>
        <w:rPr>
          <w:rFonts w:ascii="Verdana" w:hAnsi="Verdana"/>
          <w:sz w:val="18"/>
          <w:szCs w:val="18"/>
        </w:rPr>
      </w:pPr>
    </w:p>
    <w:p w14:paraId="0C7048F1" w14:textId="3C9B126F" w:rsidR="00E04121" w:rsidRDefault="00E04121" w:rsidP="00E04121">
      <w:pPr>
        <w:ind w:left="1416"/>
        <w:jc w:val="both"/>
        <w:rPr>
          <w:rFonts w:ascii="Verdana" w:hAnsi="Verdana"/>
          <w:sz w:val="18"/>
          <w:szCs w:val="18"/>
        </w:rPr>
      </w:pPr>
      <w:r w:rsidRPr="00C9397F">
        <w:rPr>
          <w:rFonts w:ascii="Verdana" w:hAnsi="Verdana"/>
          <w:sz w:val="18"/>
          <w:szCs w:val="18"/>
        </w:rPr>
        <w:t>ii) El Estado violó el derecho a la protección judicial consagrado en el artículo 25 de la Convención, en relación con los artículos 1.1 y 2 de la misma, en perjuicio de la Comunidad de Punta Piedra.</w:t>
      </w:r>
    </w:p>
    <w:p w14:paraId="0C7048F2" w14:textId="77777777" w:rsidR="00E04121" w:rsidRDefault="00E04121" w:rsidP="00E04121">
      <w:pPr>
        <w:jc w:val="both"/>
        <w:rPr>
          <w:rFonts w:ascii="Verdana" w:hAnsi="Verdana"/>
          <w:sz w:val="18"/>
          <w:szCs w:val="18"/>
        </w:rPr>
      </w:pPr>
      <w:r>
        <w:rPr>
          <w:rFonts w:ascii="Verdana" w:hAnsi="Verdana"/>
          <w:sz w:val="18"/>
          <w:szCs w:val="18"/>
        </w:rPr>
        <w:tab/>
      </w:r>
    </w:p>
    <w:p w14:paraId="0C7048F3" w14:textId="77777777" w:rsidR="00E04121" w:rsidRDefault="00E04121" w:rsidP="00E04121">
      <w:pPr>
        <w:jc w:val="both"/>
        <w:rPr>
          <w:rFonts w:ascii="Verdana" w:hAnsi="Verdana"/>
          <w:sz w:val="18"/>
          <w:szCs w:val="18"/>
        </w:rPr>
      </w:pPr>
      <w:r>
        <w:rPr>
          <w:rFonts w:ascii="Verdana" w:hAnsi="Verdana"/>
          <w:sz w:val="18"/>
          <w:szCs w:val="18"/>
        </w:rPr>
        <w:tab/>
        <w:t xml:space="preserve">Recomendaciones: </w:t>
      </w:r>
    </w:p>
    <w:p w14:paraId="0C7048F4" w14:textId="77777777" w:rsidR="00E04121" w:rsidRDefault="00E04121" w:rsidP="00E04121">
      <w:pPr>
        <w:jc w:val="both"/>
        <w:rPr>
          <w:rFonts w:ascii="Verdana" w:hAnsi="Verdana"/>
          <w:sz w:val="18"/>
          <w:szCs w:val="18"/>
        </w:rPr>
      </w:pPr>
    </w:p>
    <w:p w14:paraId="0C7048F5" w14:textId="241F0D5C" w:rsidR="00E04121" w:rsidRDefault="00E04121" w:rsidP="00E04121">
      <w:pPr>
        <w:pStyle w:val="ListParagraph"/>
        <w:numPr>
          <w:ilvl w:val="0"/>
          <w:numId w:val="18"/>
        </w:numPr>
        <w:jc w:val="both"/>
        <w:rPr>
          <w:rFonts w:ascii="Verdana" w:hAnsi="Verdana"/>
          <w:sz w:val="18"/>
          <w:szCs w:val="18"/>
        </w:rPr>
      </w:pPr>
      <w:r>
        <w:rPr>
          <w:rFonts w:ascii="Verdana" w:hAnsi="Verdana"/>
          <w:sz w:val="18"/>
          <w:szCs w:val="18"/>
        </w:rPr>
        <w:t>Adoptar a la brevedad las medidas necesarias para hacer efectivo el derecho de propiedad de la Comunidad de Punta Piedra y</w:t>
      </w:r>
      <w:r w:rsidR="00F1728C">
        <w:rPr>
          <w:rFonts w:ascii="Verdana" w:hAnsi="Verdana"/>
          <w:sz w:val="18"/>
          <w:szCs w:val="18"/>
        </w:rPr>
        <w:t>,</w:t>
      </w:r>
      <w:r>
        <w:rPr>
          <w:rFonts w:ascii="Verdana" w:hAnsi="Verdana"/>
          <w:sz w:val="18"/>
          <w:szCs w:val="18"/>
        </w:rPr>
        <w:t xml:space="preserve"> en particular</w:t>
      </w:r>
      <w:r w:rsidR="00F1728C">
        <w:rPr>
          <w:rFonts w:ascii="Verdana" w:hAnsi="Verdana"/>
          <w:sz w:val="18"/>
          <w:szCs w:val="18"/>
        </w:rPr>
        <w:t>,</w:t>
      </w:r>
      <w:r>
        <w:rPr>
          <w:rFonts w:ascii="Verdana" w:hAnsi="Verdana"/>
          <w:sz w:val="18"/>
          <w:szCs w:val="18"/>
        </w:rPr>
        <w:t xml:space="preserve"> las medidas para lograr su saneamiento efectivo.</w:t>
      </w:r>
    </w:p>
    <w:p w14:paraId="0C7048F6" w14:textId="56503E83" w:rsidR="00E04121" w:rsidRDefault="00E04121" w:rsidP="00E04121">
      <w:pPr>
        <w:pStyle w:val="ListParagraph"/>
        <w:numPr>
          <w:ilvl w:val="0"/>
          <w:numId w:val="18"/>
        </w:numPr>
        <w:jc w:val="both"/>
        <w:rPr>
          <w:rFonts w:ascii="Verdana" w:hAnsi="Verdana"/>
          <w:sz w:val="18"/>
          <w:szCs w:val="18"/>
        </w:rPr>
      </w:pPr>
      <w:r>
        <w:rPr>
          <w:rFonts w:ascii="Verdana" w:hAnsi="Verdana"/>
          <w:sz w:val="18"/>
          <w:szCs w:val="18"/>
        </w:rPr>
        <w:t>Adoptar las medidas necesarias para prevenir que la Comunidad de Punta Piedra sea objeto de discriminación y</w:t>
      </w:r>
      <w:r w:rsidR="00F1728C">
        <w:rPr>
          <w:rFonts w:ascii="Verdana" w:hAnsi="Verdana"/>
          <w:sz w:val="18"/>
          <w:szCs w:val="18"/>
        </w:rPr>
        <w:t>,</w:t>
      </w:r>
      <w:r>
        <w:rPr>
          <w:rFonts w:ascii="Verdana" w:hAnsi="Verdana"/>
          <w:sz w:val="18"/>
          <w:szCs w:val="18"/>
        </w:rPr>
        <w:t xml:space="preserve"> en particular, que estén expuestos a actos de violencia por parte de terceros en razón de su origen étnico.</w:t>
      </w:r>
    </w:p>
    <w:p w14:paraId="0C7048F7" w14:textId="5F7B1B5A" w:rsidR="00E04121" w:rsidRDefault="00E04121" w:rsidP="00E04121">
      <w:pPr>
        <w:pStyle w:val="ListParagraph"/>
        <w:numPr>
          <w:ilvl w:val="0"/>
          <w:numId w:val="18"/>
        </w:numPr>
        <w:jc w:val="both"/>
        <w:rPr>
          <w:rFonts w:ascii="Verdana" w:hAnsi="Verdana"/>
          <w:sz w:val="18"/>
          <w:szCs w:val="18"/>
        </w:rPr>
      </w:pPr>
      <w:r>
        <w:rPr>
          <w:rFonts w:ascii="Verdana" w:hAnsi="Verdana"/>
          <w:sz w:val="18"/>
          <w:szCs w:val="18"/>
        </w:rPr>
        <w:t>Adoptar un recurso eficaz y sencillo que tutele el derecho de los pueblos indígenas a reivindicar y acceder a sus territorios tradicionales y que permita protegerlos ante acciones de parte del Estado o de terceros.</w:t>
      </w:r>
    </w:p>
    <w:p w14:paraId="0C7048F8" w14:textId="77777777" w:rsidR="00E04121" w:rsidRDefault="00E04121" w:rsidP="00E04121">
      <w:pPr>
        <w:pStyle w:val="ListParagraph"/>
        <w:numPr>
          <w:ilvl w:val="0"/>
          <w:numId w:val="18"/>
        </w:numPr>
        <w:jc w:val="both"/>
        <w:rPr>
          <w:rFonts w:ascii="Verdana" w:hAnsi="Verdana"/>
          <w:sz w:val="18"/>
          <w:szCs w:val="18"/>
        </w:rPr>
      </w:pPr>
      <w:r>
        <w:rPr>
          <w:rFonts w:ascii="Verdana" w:hAnsi="Verdana"/>
          <w:sz w:val="18"/>
          <w:szCs w:val="18"/>
        </w:rPr>
        <w:t>Investigar y sancionar a los responsables de amenazas, hostigamientos, actos de violencia y daños realizados a la Comunidad de Punta Piedra.</w:t>
      </w:r>
    </w:p>
    <w:p w14:paraId="0C7048F9" w14:textId="77777777" w:rsidR="00E04121" w:rsidRDefault="00E04121" w:rsidP="00E04121">
      <w:pPr>
        <w:pStyle w:val="ListParagraph"/>
        <w:numPr>
          <w:ilvl w:val="0"/>
          <w:numId w:val="18"/>
        </w:numPr>
        <w:jc w:val="both"/>
        <w:rPr>
          <w:rFonts w:ascii="Verdana" w:hAnsi="Verdana"/>
          <w:sz w:val="18"/>
          <w:szCs w:val="18"/>
        </w:rPr>
      </w:pPr>
      <w:r>
        <w:rPr>
          <w:rFonts w:ascii="Verdana" w:hAnsi="Verdana"/>
          <w:sz w:val="18"/>
          <w:szCs w:val="18"/>
        </w:rPr>
        <w:t>Reparar en el ámbito individual y colectivo las consecuencias de las violaciones de los derechos señalados.</w:t>
      </w:r>
    </w:p>
    <w:p w14:paraId="0C7048FA" w14:textId="10D53DE4" w:rsidR="00E04121" w:rsidRPr="00F22EE1" w:rsidRDefault="00E04121" w:rsidP="00E04121">
      <w:pPr>
        <w:pStyle w:val="ListParagraph"/>
        <w:numPr>
          <w:ilvl w:val="0"/>
          <w:numId w:val="18"/>
        </w:numPr>
        <w:jc w:val="both"/>
        <w:rPr>
          <w:rFonts w:ascii="Verdana" w:hAnsi="Verdana"/>
          <w:sz w:val="18"/>
          <w:szCs w:val="18"/>
        </w:rPr>
      </w:pPr>
      <w:r>
        <w:rPr>
          <w:rFonts w:ascii="Verdana" w:hAnsi="Verdana"/>
          <w:sz w:val="18"/>
          <w:szCs w:val="18"/>
        </w:rPr>
        <w:t xml:space="preserve">Adoptar las medidas necesarias para evitar que en el futuro se produzcan hechos similares. </w:t>
      </w:r>
    </w:p>
    <w:p w14:paraId="0C7048FB" w14:textId="77777777" w:rsidR="00E04121" w:rsidRPr="00C9397F" w:rsidRDefault="00E04121" w:rsidP="00E04121">
      <w:pPr>
        <w:jc w:val="both"/>
        <w:rPr>
          <w:rFonts w:ascii="Verdana" w:hAnsi="Verdana"/>
          <w:sz w:val="18"/>
          <w:szCs w:val="18"/>
        </w:rPr>
      </w:pPr>
    </w:p>
    <w:p w14:paraId="0C7048FC" w14:textId="58437D78" w:rsidR="00E04121" w:rsidRPr="00C9397F" w:rsidRDefault="00E04121" w:rsidP="00E04121">
      <w:pPr>
        <w:ind w:left="708"/>
        <w:jc w:val="both"/>
        <w:rPr>
          <w:rFonts w:ascii="Verdana" w:hAnsi="Verdana"/>
          <w:sz w:val="18"/>
          <w:szCs w:val="18"/>
        </w:rPr>
      </w:pPr>
      <w:r w:rsidRPr="00C9397F">
        <w:rPr>
          <w:rFonts w:ascii="Verdana" w:hAnsi="Verdana"/>
          <w:i/>
          <w:sz w:val="18"/>
          <w:szCs w:val="18"/>
        </w:rPr>
        <w:t>e) Notificación al Estado</w:t>
      </w:r>
      <w:r w:rsidRPr="00C9397F">
        <w:rPr>
          <w:rFonts w:ascii="Verdana" w:hAnsi="Verdana"/>
          <w:sz w:val="18"/>
          <w:szCs w:val="18"/>
        </w:rPr>
        <w:t>. – El Informe de Fondo fue notificado al Estado el 1 de abril de 2013, otorgándosele un plazo de dos meses para informar sobre el cumplimiento de las recomendaciones</w:t>
      </w:r>
      <w:r w:rsidR="00F1728C">
        <w:rPr>
          <w:rFonts w:ascii="Verdana" w:hAnsi="Verdana"/>
          <w:sz w:val="18"/>
          <w:szCs w:val="18"/>
        </w:rPr>
        <w:t>.</w:t>
      </w:r>
    </w:p>
    <w:p w14:paraId="0C7048FD" w14:textId="77777777" w:rsidR="00E04121" w:rsidRPr="00C9397F" w:rsidRDefault="00E04121" w:rsidP="00E04121">
      <w:pPr>
        <w:jc w:val="both"/>
        <w:rPr>
          <w:rFonts w:ascii="Verdana" w:hAnsi="Verdana"/>
          <w:sz w:val="18"/>
          <w:szCs w:val="18"/>
        </w:rPr>
      </w:pPr>
    </w:p>
    <w:p w14:paraId="0C7048FE" w14:textId="026810A8" w:rsidR="00E04121" w:rsidRPr="00C9397F" w:rsidRDefault="00E04121" w:rsidP="00E04121">
      <w:pPr>
        <w:ind w:left="708"/>
        <w:jc w:val="both"/>
        <w:rPr>
          <w:rFonts w:ascii="Verdana" w:hAnsi="Verdana"/>
          <w:sz w:val="18"/>
          <w:szCs w:val="18"/>
        </w:rPr>
      </w:pPr>
      <w:r w:rsidRPr="00C9397F">
        <w:rPr>
          <w:rFonts w:ascii="Verdana" w:hAnsi="Verdana"/>
          <w:i/>
          <w:sz w:val="18"/>
          <w:szCs w:val="18"/>
        </w:rPr>
        <w:t>f) Solicitud de prórroga e informe de cumplimiento.</w:t>
      </w:r>
      <w:r w:rsidRPr="00C9397F">
        <w:rPr>
          <w:rFonts w:ascii="Verdana" w:hAnsi="Verdana"/>
          <w:sz w:val="18"/>
          <w:szCs w:val="18"/>
        </w:rPr>
        <w:t xml:space="preserve"> – El </w:t>
      </w:r>
      <w:r w:rsidR="00F1728C">
        <w:rPr>
          <w:rFonts w:ascii="Verdana" w:hAnsi="Verdana"/>
          <w:sz w:val="18"/>
          <w:szCs w:val="18"/>
        </w:rPr>
        <w:t>26</w:t>
      </w:r>
      <w:r w:rsidR="00F1728C" w:rsidRPr="00C9397F">
        <w:rPr>
          <w:rFonts w:ascii="Verdana" w:hAnsi="Verdana"/>
          <w:sz w:val="18"/>
          <w:szCs w:val="18"/>
        </w:rPr>
        <w:t xml:space="preserve"> </w:t>
      </w:r>
      <w:r w:rsidRPr="00C9397F">
        <w:rPr>
          <w:rFonts w:ascii="Verdana" w:hAnsi="Verdana"/>
          <w:sz w:val="18"/>
          <w:szCs w:val="18"/>
        </w:rPr>
        <w:t>de junio de 2013 el Estado solicitó una prórroga</w:t>
      </w:r>
      <w:r>
        <w:rPr>
          <w:rFonts w:ascii="Verdana" w:hAnsi="Verdana"/>
          <w:sz w:val="18"/>
          <w:szCs w:val="18"/>
        </w:rPr>
        <w:t xml:space="preserve"> para el cumplimiento de las recomendaciones</w:t>
      </w:r>
      <w:r w:rsidRPr="00C9397F">
        <w:rPr>
          <w:rFonts w:ascii="Verdana" w:hAnsi="Verdana"/>
          <w:sz w:val="18"/>
          <w:szCs w:val="18"/>
        </w:rPr>
        <w:t xml:space="preserve">, la cual fue otorgada por la Comisión por un plazo de tres meses, y se le requirió que presentara un informe sobre </w:t>
      </w:r>
      <w:r w:rsidRPr="00F1728C">
        <w:rPr>
          <w:rFonts w:ascii="Verdana" w:hAnsi="Verdana"/>
          <w:sz w:val="18"/>
          <w:szCs w:val="18"/>
        </w:rPr>
        <w:t>los avances alcanzados a más tardar el 1 de septiembre de 2013. Sin embargo, dicho informe no fue presentado.</w:t>
      </w:r>
    </w:p>
    <w:p w14:paraId="0C7048FF" w14:textId="77777777" w:rsidR="00E04121" w:rsidRPr="00C9397F" w:rsidRDefault="00E04121" w:rsidP="00E04121">
      <w:pPr>
        <w:ind w:left="708"/>
        <w:jc w:val="both"/>
        <w:rPr>
          <w:rFonts w:ascii="Verdana" w:hAnsi="Verdana"/>
          <w:sz w:val="18"/>
          <w:szCs w:val="18"/>
        </w:rPr>
      </w:pPr>
    </w:p>
    <w:p w14:paraId="0C704900" w14:textId="3F2B76F4" w:rsidR="00E04121" w:rsidRPr="00C9397F" w:rsidRDefault="00E04121" w:rsidP="00E04121">
      <w:pPr>
        <w:ind w:left="708"/>
        <w:jc w:val="both"/>
        <w:rPr>
          <w:rFonts w:ascii="Verdana" w:hAnsi="Verdana"/>
          <w:sz w:val="18"/>
          <w:szCs w:val="18"/>
        </w:rPr>
      </w:pPr>
      <w:r w:rsidRPr="00C9397F">
        <w:rPr>
          <w:rFonts w:ascii="Verdana" w:hAnsi="Verdana"/>
          <w:i/>
          <w:sz w:val="18"/>
          <w:szCs w:val="18"/>
        </w:rPr>
        <w:t>g) Sometimiento a la Corte.</w:t>
      </w:r>
      <w:r w:rsidRPr="00C9397F">
        <w:rPr>
          <w:rFonts w:ascii="Verdana" w:hAnsi="Verdana"/>
          <w:sz w:val="18"/>
          <w:szCs w:val="18"/>
        </w:rPr>
        <w:t xml:space="preserve"> – El 1 de octubre de 2013 la Comisión sometió el presente caso a la jurisdicción de la Corte Interamericana. La Comisión designó a la Comisionada Tracy Robinson y al Secretario Ejecutivo Emilio </w:t>
      </w:r>
      <w:r>
        <w:rPr>
          <w:rFonts w:ascii="Verdana" w:hAnsi="Verdana"/>
          <w:sz w:val="18"/>
          <w:szCs w:val="18"/>
        </w:rPr>
        <w:t>Á</w:t>
      </w:r>
      <w:r w:rsidRPr="00C9397F">
        <w:rPr>
          <w:rFonts w:ascii="Verdana" w:hAnsi="Verdana"/>
          <w:sz w:val="18"/>
          <w:szCs w:val="18"/>
        </w:rPr>
        <w:t xml:space="preserve">lvarez Icaza como sus delegados, y a Elizabeth Abi-Mershed, Secretaria </w:t>
      </w:r>
      <w:r w:rsidR="00F1728C">
        <w:rPr>
          <w:rFonts w:ascii="Verdana" w:hAnsi="Verdana"/>
          <w:sz w:val="18"/>
          <w:szCs w:val="18"/>
        </w:rPr>
        <w:t xml:space="preserve">Ejecutiva </w:t>
      </w:r>
      <w:r w:rsidRPr="00C9397F">
        <w:rPr>
          <w:rFonts w:ascii="Verdana" w:hAnsi="Verdana"/>
          <w:sz w:val="18"/>
          <w:szCs w:val="18"/>
        </w:rPr>
        <w:t>Adjunta, Silvia Serrano Guzmán, Isabel Madariaga y Cristina Blanco, como asesoras legales</w:t>
      </w:r>
      <w:r w:rsidRPr="00F1728C">
        <w:rPr>
          <w:rFonts w:ascii="Verdana" w:hAnsi="Verdana"/>
          <w:sz w:val="18"/>
          <w:szCs w:val="18"/>
        </w:rPr>
        <w:t xml:space="preserve">. </w:t>
      </w:r>
    </w:p>
    <w:p w14:paraId="0C704901" w14:textId="77777777" w:rsidR="00E04121" w:rsidRPr="00831954" w:rsidRDefault="00E04121" w:rsidP="00E04121">
      <w:pPr>
        <w:pStyle w:val="ListParagraph"/>
        <w:rPr>
          <w:rFonts w:ascii="Verdana" w:hAnsi="Verdana"/>
          <w:sz w:val="20"/>
          <w:szCs w:val="20"/>
        </w:rPr>
      </w:pPr>
    </w:p>
    <w:p w14:paraId="0C704902" w14:textId="0FFCFC5A"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Solicitudes de la Comisión Interamericana.</w:t>
      </w:r>
      <w:r w:rsidRPr="001455F9">
        <w:rPr>
          <w:rFonts w:ascii="Verdana" w:hAnsi="Verdana"/>
          <w:sz w:val="20"/>
          <w:szCs w:val="20"/>
        </w:rPr>
        <w:t xml:space="preserve"> – Con base en lo anterior, la Comisión solicitó a la Corte que declarara la responsabilidad internacional del Estado por las violaciones señaladas en su Informe de Fondo y que ordenara al Estado como medidas de reparación las recomendaciones indicadas en dicho documento (</w:t>
      </w:r>
      <w:r w:rsidRPr="00F22EE1">
        <w:rPr>
          <w:rFonts w:ascii="Verdana" w:hAnsi="Verdana"/>
          <w:i/>
          <w:sz w:val="20"/>
          <w:szCs w:val="20"/>
        </w:rPr>
        <w:t>supra</w:t>
      </w:r>
      <w:r w:rsidRPr="001455F9">
        <w:rPr>
          <w:rFonts w:ascii="Verdana" w:hAnsi="Verdana"/>
          <w:sz w:val="20"/>
          <w:szCs w:val="20"/>
        </w:rPr>
        <w:t xml:space="preserve"> párr. </w:t>
      </w:r>
      <w:r w:rsidR="00F1728C">
        <w:rPr>
          <w:rFonts w:ascii="Verdana" w:hAnsi="Verdana"/>
          <w:sz w:val="20"/>
          <w:szCs w:val="20"/>
        </w:rPr>
        <w:t>2</w:t>
      </w:r>
      <w:r w:rsidRPr="001455F9">
        <w:rPr>
          <w:rFonts w:ascii="Verdana" w:hAnsi="Verdana"/>
          <w:sz w:val="20"/>
          <w:szCs w:val="20"/>
        </w:rPr>
        <w:t>)</w:t>
      </w:r>
      <w:r w:rsidR="00F1728C">
        <w:rPr>
          <w:rFonts w:ascii="Verdana" w:hAnsi="Verdana"/>
          <w:sz w:val="20"/>
          <w:szCs w:val="20"/>
        </w:rPr>
        <w:t>.</w:t>
      </w:r>
    </w:p>
    <w:p w14:paraId="0C704903" w14:textId="77777777" w:rsidR="00E04121" w:rsidRPr="001455F9" w:rsidRDefault="00E04121" w:rsidP="00E04121">
      <w:pPr>
        <w:pStyle w:val="ListParagraph"/>
        <w:ind w:left="0"/>
        <w:jc w:val="both"/>
        <w:rPr>
          <w:rFonts w:ascii="Verdana" w:hAnsi="Verdana"/>
          <w:sz w:val="20"/>
          <w:szCs w:val="20"/>
        </w:rPr>
      </w:pPr>
    </w:p>
    <w:p w14:paraId="0C704904" w14:textId="77777777" w:rsidR="00E04121" w:rsidRPr="001455F9" w:rsidRDefault="00E04121" w:rsidP="00E04121">
      <w:pPr>
        <w:pStyle w:val="Heading1"/>
        <w:tabs>
          <w:tab w:val="left" w:pos="851"/>
        </w:tabs>
        <w:spacing w:before="0"/>
        <w:jc w:val="center"/>
        <w:rPr>
          <w:rFonts w:ascii="Verdana" w:hAnsi="Verdana" w:cs="Verdana"/>
          <w:caps/>
          <w:snapToGrid w:val="0"/>
          <w:color w:val="auto"/>
          <w:sz w:val="20"/>
          <w:szCs w:val="20"/>
        </w:rPr>
      </w:pPr>
      <w:bookmarkStart w:id="2" w:name="_Toc437247301"/>
      <w:r w:rsidRPr="001455F9">
        <w:rPr>
          <w:rFonts w:ascii="Verdana" w:hAnsi="Verdana" w:cs="Verdana"/>
          <w:caps/>
          <w:snapToGrid w:val="0"/>
          <w:color w:val="auto"/>
          <w:sz w:val="20"/>
          <w:szCs w:val="20"/>
        </w:rPr>
        <w:t>II</w:t>
      </w:r>
      <w:r w:rsidRPr="001455F9">
        <w:rPr>
          <w:rFonts w:ascii="Verdana" w:hAnsi="Verdana" w:cs="Verdana"/>
          <w:caps/>
          <w:snapToGrid w:val="0"/>
          <w:color w:val="auto"/>
          <w:sz w:val="20"/>
          <w:szCs w:val="20"/>
        </w:rPr>
        <w:br/>
        <w:t>PROCEDIMIENTO ANTE LA CORTE</w:t>
      </w:r>
      <w:bookmarkEnd w:id="2"/>
    </w:p>
    <w:p w14:paraId="0C704905" w14:textId="77777777" w:rsidR="00E04121" w:rsidRPr="001455F9" w:rsidRDefault="00E04121" w:rsidP="00E04121">
      <w:pPr>
        <w:pStyle w:val="ListParagraph"/>
        <w:ind w:left="0"/>
        <w:jc w:val="both"/>
        <w:rPr>
          <w:rFonts w:ascii="Verdana" w:hAnsi="Verdana"/>
          <w:sz w:val="20"/>
          <w:szCs w:val="20"/>
        </w:rPr>
      </w:pPr>
    </w:p>
    <w:p w14:paraId="0C704906" w14:textId="218C1756" w:rsidR="00E04121" w:rsidRPr="00A71698"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lastRenderedPageBreak/>
        <w:t>Notificación al Estado y a los representantes de las presuntas víctimas</w:t>
      </w:r>
      <w:r w:rsidRPr="00F22EE1">
        <w:rPr>
          <w:rFonts w:ascii="Verdana" w:hAnsi="Verdana"/>
          <w:sz w:val="20"/>
          <w:szCs w:val="20"/>
          <w:vertAlign w:val="superscript"/>
        </w:rPr>
        <w:footnoteReference w:id="3"/>
      </w:r>
      <w:r w:rsidRPr="001455F9">
        <w:rPr>
          <w:rFonts w:ascii="Verdana" w:hAnsi="Verdana"/>
          <w:i/>
          <w:sz w:val="20"/>
          <w:szCs w:val="20"/>
        </w:rPr>
        <w:t>.</w:t>
      </w:r>
      <w:r w:rsidRPr="001455F9">
        <w:rPr>
          <w:rFonts w:ascii="Verdana" w:hAnsi="Verdana"/>
          <w:sz w:val="20"/>
          <w:szCs w:val="20"/>
        </w:rPr>
        <w:t xml:space="preserve"> - El sometimiento del caso por la Comisión fue notificado al Estado y a los representantes de las presuntas víctimas </w:t>
      </w:r>
      <w:r w:rsidR="00FD39FC">
        <w:rPr>
          <w:rFonts w:ascii="Verdana" w:hAnsi="Verdana"/>
          <w:sz w:val="20"/>
          <w:szCs w:val="20"/>
        </w:rPr>
        <w:t>(en adelante,</w:t>
      </w:r>
      <w:r w:rsidRPr="001455F9">
        <w:rPr>
          <w:rFonts w:ascii="Verdana" w:hAnsi="Verdana"/>
          <w:sz w:val="20"/>
          <w:szCs w:val="20"/>
        </w:rPr>
        <w:t xml:space="preserve"> “los representantes”) el </w:t>
      </w:r>
      <w:r w:rsidR="009C1DD4">
        <w:rPr>
          <w:rFonts w:ascii="Verdana" w:hAnsi="Verdana"/>
          <w:sz w:val="20"/>
          <w:szCs w:val="20"/>
        </w:rPr>
        <w:t>5</w:t>
      </w:r>
      <w:r w:rsidR="009C1DD4" w:rsidRPr="001455F9">
        <w:rPr>
          <w:rFonts w:ascii="Verdana" w:hAnsi="Verdana"/>
          <w:sz w:val="20"/>
          <w:szCs w:val="20"/>
        </w:rPr>
        <w:t xml:space="preserve"> </w:t>
      </w:r>
      <w:r w:rsidRPr="001455F9">
        <w:rPr>
          <w:rFonts w:ascii="Verdana" w:hAnsi="Verdana"/>
          <w:sz w:val="20"/>
          <w:szCs w:val="20"/>
        </w:rPr>
        <w:t>de noviembre de 2013.</w:t>
      </w:r>
    </w:p>
    <w:p w14:paraId="0C704907" w14:textId="77777777" w:rsidR="00E04121" w:rsidRPr="001455F9" w:rsidRDefault="00E04121" w:rsidP="00E04121">
      <w:pPr>
        <w:pStyle w:val="ListParagraph"/>
        <w:ind w:left="0"/>
        <w:jc w:val="both"/>
        <w:rPr>
          <w:rFonts w:ascii="Verdana" w:hAnsi="Verdana"/>
          <w:sz w:val="20"/>
          <w:szCs w:val="20"/>
        </w:rPr>
      </w:pPr>
    </w:p>
    <w:p w14:paraId="0C704908" w14:textId="00DE8D6A"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Escrito de solicitudes, argumentos y pruebas</w:t>
      </w:r>
      <w:r w:rsidRPr="001455F9">
        <w:rPr>
          <w:rFonts w:ascii="Verdana" w:hAnsi="Verdana"/>
          <w:sz w:val="20"/>
          <w:szCs w:val="20"/>
        </w:rPr>
        <w:t xml:space="preserve">. – El 3 de enero de 2014 los representantes presentaron su escrito de solicitudes, argumentos y pruebas </w:t>
      </w:r>
      <w:r w:rsidR="00FD39FC">
        <w:rPr>
          <w:rFonts w:ascii="Verdana" w:hAnsi="Verdana"/>
          <w:sz w:val="20"/>
          <w:szCs w:val="20"/>
        </w:rPr>
        <w:t>(en adelante,</w:t>
      </w:r>
      <w:r w:rsidRPr="001455F9">
        <w:rPr>
          <w:rFonts w:ascii="Verdana" w:hAnsi="Verdana"/>
          <w:sz w:val="20"/>
          <w:szCs w:val="20"/>
        </w:rPr>
        <w:t xml:space="preserve"> “escrito de solicitudes y argumentos”), en el cual solicitaron acogerse al Fondo de Asistencia Legal de Víctimas de la Corte Interamericana </w:t>
      </w:r>
      <w:r w:rsidR="00FD39FC">
        <w:rPr>
          <w:rFonts w:ascii="Verdana" w:hAnsi="Verdana"/>
          <w:sz w:val="20"/>
          <w:szCs w:val="20"/>
        </w:rPr>
        <w:t>(en adelante,</w:t>
      </w:r>
      <w:r w:rsidRPr="001455F9">
        <w:rPr>
          <w:rFonts w:ascii="Verdana" w:hAnsi="Verdana"/>
          <w:sz w:val="20"/>
          <w:szCs w:val="20"/>
        </w:rPr>
        <w:t xml:space="preserve"> “Fondo de Asistencia”).</w:t>
      </w:r>
    </w:p>
    <w:p w14:paraId="0C704909" w14:textId="77777777" w:rsidR="00E04121" w:rsidRPr="001455F9" w:rsidRDefault="00E04121" w:rsidP="00E04121">
      <w:pPr>
        <w:jc w:val="both"/>
        <w:rPr>
          <w:rFonts w:ascii="Verdana" w:hAnsi="Verdana"/>
          <w:sz w:val="20"/>
          <w:szCs w:val="20"/>
        </w:rPr>
      </w:pPr>
    </w:p>
    <w:p w14:paraId="0C70490A" w14:textId="405BB35A"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Escrito de contestación. -</w:t>
      </w:r>
      <w:r w:rsidRPr="001455F9">
        <w:rPr>
          <w:rFonts w:ascii="Verdana" w:hAnsi="Verdana"/>
          <w:sz w:val="20"/>
          <w:szCs w:val="20"/>
        </w:rPr>
        <w:t xml:space="preserve"> El 10 de abril de 2014 el Estado presentó ante la Corte su escrito de interposición de excepciones preliminares, contestación al escrito de sometimiento del caso y de observaciones a los escritos de solicitudes y argumentos </w:t>
      </w:r>
      <w:r w:rsidR="00FD39FC">
        <w:rPr>
          <w:rFonts w:ascii="Verdana" w:hAnsi="Verdana"/>
          <w:sz w:val="20"/>
          <w:szCs w:val="20"/>
        </w:rPr>
        <w:t>(en adelante,</w:t>
      </w:r>
      <w:r w:rsidRPr="001455F9">
        <w:rPr>
          <w:rFonts w:ascii="Verdana" w:hAnsi="Verdana"/>
          <w:sz w:val="20"/>
          <w:szCs w:val="20"/>
        </w:rPr>
        <w:t xml:space="preserve"> “escrito de contestación”)</w:t>
      </w:r>
      <w:r w:rsidR="009C1DD4">
        <w:rPr>
          <w:rStyle w:val="FootnoteReference"/>
          <w:szCs w:val="20"/>
        </w:rPr>
        <w:footnoteReference w:id="4"/>
      </w:r>
      <w:r w:rsidRPr="001455F9">
        <w:rPr>
          <w:rFonts w:ascii="Verdana" w:hAnsi="Verdana"/>
          <w:sz w:val="20"/>
          <w:szCs w:val="20"/>
        </w:rPr>
        <w:t>. En dicho escrito el Estado interpuso una excepción preliminar relacionada con la presunta falta de agotamiento de los recursos internos.</w:t>
      </w:r>
    </w:p>
    <w:p w14:paraId="0C70490B" w14:textId="77777777" w:rsidR="00E04121" w:rsidRDefault="00E04121" w:rsidP="00E04121">
      <w:pPr>
        <w:jc w:val="both"/>
        <w:rPr>
          <w:rFonts w:ascii="Verdana" w:hAnsi="Verdana"/>
          <w:sz w:val="20"/>
          <w:szCs w:val="20"/>
        </w:rPr>
      </w:pPr>
    </w:p>
    <w:p w14:paraId="0C70490C" w14:textId="21F9A0D6" w:rsidR="00AA5CFB" w:rsidRPr="001455F9" w:rsidRDefault="00AA5CFB" w:rsidP="00AA5CFB">
      <w:pPr>
        <w:pStyle w:val="ListParagraph"/>
        <w:numPr>
          <w:ilvl w:val="0"/>
          <w:numId w:val="17"/>
        </w:numPr>
        <w:ind w:left="0" w:firstLine="0"/>
        <w:jc w:val="both"/>
        <w:rPr>
          <w:rFonts w:ascii="Verdana" w:hAnsi="Verdana"/>
          <w:sz w:val="20"/>
          <w:szCs w:val="20"/>
        </w:rPr>
      </w:pPr>
      <w:r w:rsidRPr="001455F9">
        <w:rPr>
          <w:rFonts w:ascii="Verdana" w:hAnsi="Verdana"/>
          <w:i/>
          <w:sz w:val="20"/>
          <w:szCs w:val="20"/>
        </w:rPr>
        <w:t>Escritos de observaciones a las excepciones preliminares.</w:t>
      </w:r>
      <w:r w:rsidRPr="001455F9">
        <w:rPr>
          <w:rFonts w:ascii="Verdana" w:hAnsi="Verdana"/>
          <w:sz w:val="20"/>
          <w:szCs w:val="20"/>
        </w:rPr>
        <w:t xml:space="preserve"> – Los días 15 y 22 de mayo de 2014 la Comisión y los representantes, respectivamente, remitieron sus observaciones a la excepción preliminar interpuesta por el Estado.</w:t>
      </w:r>
    </w:p>
    <w:p w14:paraId="0C70490D" w14:textId="77777777" w:rsidR="00AA5CFB" w:rsidRPr="001455F9" w:rsidRDefault="00AA5CFB" w:rsidP="00E04121">
      <w:pPr>
        <w:jc w:val="both"/>
        <w:rPr>
          <w:rFonts w:ascii="Verdana" w:hAnsi="Verdana"/>
          <w:sz w:val="20"/>
          <w:szCs w:val="20"/>
        </w:rPr>
      </w:pPr>
    </w:p>
    <w:p w14:paraId="0C70490E" w14:textId="790B779F"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Fondo de Asistencia</w:t>
      </w:r>
      <w:r w:rsidRPr="001455F9">
        <w:rPr>
          <w:rFonts w:ascii="Verdana" w:hAnsi="Verdana"/>
          <w:sz w:val="20"/>
          <w:szCs w:val="20"/>
        </w:rPr>
        <w:t>. – Mediante Resolución de 30 de mayo de 2014</w:t>
      </w:r>
      <w:r w:rsidRPr="00F22EE1">
        <w:rPr>
          <w:rFonts w:ascii="Verdana" w:hAnsi="Verdana"/>
          <w:sz w:val="20"/>
          <w:szCs w:val="20"/>
          <w:vertAlign w:val="superscript"/>
        </w:rPr>
        <w:footnoteReference w:id="5"/>
      </w:r>
      <w:r w:rsidRPr="001455F9">
        <w:rPr>
          <w:rFonts w:ascii="Verdana" w:hAnsi="Verdana"/>
          <w:sz w:val="20"/>
          <w:szCs w:val="20"/>
        </w:rPr>
        <w:t xml:space="preserve"> el Presidente del Tribunal declaró procedente la solicitud interpuesta por los representantes para acogerse al Fondo de Asistencia, y aprobó que se otorgara la asistencia económica necesaria para la presentación en la Audiencia Pública de dos representantes y para la presentación de un máximo de tres declaraciones y un peritaje.</w:t>
      </w:r>
    </w:p>
    <w:p w14:paraId="0C704911" w14:textId="77777777" w:rsidR="006A0E8F" w:rsidRDefault="006A0E8F" w:rsidP="00A0324F">
      <w:pPr>
        <w:pStyle w:val="ListParagraph"/>
        <w:ind w:left="0"/>
        <w:jc w:val="both"/>
      </w:pPr>
    </w:p>
    <w:p w14:paraId="0C704912" w14:textId="7252C268"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Solicitud de adopción de medidas provisionales</w:t>
      </w:r>
      <w:r w:rsidRPr="001455F9">
        <w:rPr>
          <w:rFonts w:ascii="Verdana" w:hAnsi="Verdana"/>
          <w:sz w:val="20"/>
          <w:szCs w:val="20"/>
        </w:rPr>
        <w:t>. – El 19 de julio de 2014 los representantes solicitaron al Tribunal la adopción de medidas provisionales a favor de Miriam Merced Miranda Chamorro y demás miembros de la OFRANEH, como consecuencia del alegado secuestro por un grupo de hombres armados en la Comunidad de Vallecito, Municipio de Limón, Departamento de Colón. Mediante Resolución de la Corte de 14 de noviembre de 2014</w:t>
      </w:r>
      <w:r w:rsidRPr="001455F9">
        <w:rPr>
          <w:rStyle w:val="FootnoteReference"/>
          <w:szCs w:val="20"/>
        </w:rPr>
        <w:footnoteReference w:id="6"/>
      </w:r>
      <w:r w:rsidRPr="001455F9">
        <w:rPr>
          <w:rFonts w:ascii="Verdana" w:hAnsi="Verdana"/>
          <w:sz w:val="20"/>
          <w:szCs w:val="20"/>
        </w:rPr>
        <w:t xml:space="preserve"> se resolvió desestimar la solicitud de medidas provisionales interpuesta en virtud de que: i) el Estado brindó seguridad y protección a través de la intervención de efectivos de la Fuerza Militar </w:t>
      </w:r>
      <w:proofErr w:type="spellStart"/>
      <w:r w:rsidRPr="001455F9">
        <w:rPr>
          <w:rFonts w:ascii="Verdana" w:hAnsi="Verdana"/>
          <w:sz w:val="20"/>
          <w:szCs w:val="20"/>
        </w:rPr>
        <w:t>Xatruch</w:t>
      </w:r>
      <w:proofErr w:type="spellEnd"/>
      <w:r w:rsidRPr="001455F9">
        <w:rPr>
          <w:rFonts w:ascii="Verdana" w:hAnsi="Verdana"/>
          <w:sz w:val="20"/>
          <w:szCs w:val="20"/>
        </w:rPr>
        <w:t>, con el fin de evitar alguna represalia,</w:t>
      </w:r>
      <w:r w:rsidR="00687D48">
        <w:rPr>
          <w:rFonts w:ascii="Verdana" w:hAnsi="Verdana"/>
          <w:sz w:val="20"/>
          <w:szCs w:val="20"/>
        </w:rPr>
        <w:t xml:space="preserve"> ii) </w:t>
      </w:r>
      <w:r w:rsidR="00687D48">
        <w:rPr>
          <w:rFonts w:ascii="Verdana" w:hAnsi="Verdana" w:cs="Verdana"/>
          <w:sz w:val="20"/>
          <w:szCs w:val="20"/>
        </w:rPr>
        <w:t xml:space="preserve">los hechos acontecidos ocurrieron en una comunidad distinta a la del caso </w:t>
      </w:r>
      <w:r w:rsidR="00687D48">
        <w:rPr>
          <w:rFonts w:ascii="Verdana" w:hAnsi="Verdana" w:cs="Verdana"/>
          <w:i/>
          <w:sz w:val="20"/>
          <w:szCs w:val="20"/>
        </w:rPr>
        <w:t>Comunidad Garífuna de Punta Piedra</w:t>
      </w:r>
      <w:r w:rsidR="00687D48">
        <w:rPr>
          <w:rFonts w:ascii="Verdana" w:hAnsi="Verdana" w:cs="Verdana"/>
          <w:sz w:val="20"/>
          <w:szCs w:val="20"/>
        </w:rPr>
        <w:t>,</w:t>
      </w:r>
      <w:r w:rsidRPr="001455F9">
        <w:rPr>
          <w:rFonts w:ascii="Verdana" w:hAnsi="Verdana"/>
          <w:sz w:val="20"/>
          <w:szCs w:val="20"/>
        </w:rPr>
        <w:t xml:space="preserve"> y ii</w:t>
      </w:r>
      <w:r w:rsidR="00687D48">
        <w:rPr>
          <w:rFonts w:ascii="Verdana" w:hAnsi="Verdana"/>
          <w:sz w:val="20"/>
          <w:szCs w:val="20"/>
        </w:rPr>
        <w:t>i</w:t>
      </w:r>
      <w:r w:rsidRPr="001455F9">
        <w:rPr>
          <w:rFonts w:ascii="Verdana" w:hAnsi="Verdana"/>
          <w:sz w:val="20"/>
          <w:szCs w:val="20"/>
        </w:rPr>
        <w:t xml:space="preserve">) no se acreditaron suficientes elementos que demostraran una relación o </w:t>
      </w:r>
      <w:r w:rsidR="00AA5CFB">
        <w:rPr>
          <w:rFonts w:ascii="Verdana" w:hAnsi="Verdana"/>
          <w:sz w:val="20"/>
          <w:szCs w:val="20"/>
        </w:rPr>
        <w:t>conexión</w:t>
      </w:r>
      <w:r w:rsidR="00AA5CFB" w:rsidRPr="001455F9">
        <w:rPr>
          <w:rFonts w:ascii="Verdana" w:hAnsi="Verdana"/>
          <w:sz w:val="20"/>
          <w:szCs w:val="20"/>
        </w:rPr>
        <w:t xml:space="preserve"> </w:t>
      </w:r>
      <w:r w:rsidRPr="001455F9">
        <w:rPr>
          <w:rFonts w:ascii="Verdana" w:hAnsi="Verdana"/>
          <w:sz w:val="20"/>
          <w:szCs w:val="20"/>
        </w:rPr>
        <w:t xml:space="preserve">entre los hechos ocurridos y la participación de Miriam Miranda y demás miembros de la OFRANEH </w:t>
      </w:r>
      <w:r w:rsidRPr="001455F9">
        <w:rPr>
          <w:rFonts w:ascii="Verdana" w:hAnsi="Verdana"/>
          <w:sz w:val="20"/>
          <w:szCs w:val="20"/>
        </w:rPr>
        <w:lastRenderedPageBreak/>
        <w:t>como representantes en el presente caso ni una relación directa con las situaciones denunciadas en el mismo.</w:t>
      </w:r>
    </w:p>
    <w:p w14:paraId="0C704913" w14:textId="77777777" w:rsidR="00E04121" w:rsidRPr="001455F9" w:rsidRDefault="00E04121" w:rsidP="00E04121">
      <w:pPr>
        <w:jc w:val="both"/>
        <w:rPr>
          <w:rFonts w:ascii="Verdana" w:hAnsi="Verdana"/>
          <w:sz w:val="20"/>
          <w:szCs w:val="20"/>
        </w:rPr>
      </w:pPr>
    </w:p>
    <w:p w14:paraId="0C704914" w14:textId="7784139E" w:rsidR="00E04121"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 xml:space="preserve">Convocatoria a </w:t>
      </w:r>
      <w:r w:rsidR="00AA5CFB">
        <w:rPr>
          <w:rFonts w:ascii="Verdana" w:hAnsi="Verdana"/>
          <w:i/>
          <w:sz w:val="20"/>
          <w:szCs w:val="20"/>
        </w:rPr>
        <w:t>a</w:t>
      </w:r>
      <w:r w:rsidRPr="001455F9">
        <w:rPr>
          <w:rFonts w:ascii="Verdana" w:hAnsi="Verdana"/>
          <w:i/>
          <w:sz w:val="20"/>
          <w:szCs w:val="20"/>
        </w:rPr>
        <w:t>udiencia</w:t>
      </w:r>
      <w:r w:rsidRPr="001455F9">
        <w:rPr>
          <w:rFonts w:ascii="Verdana" w:hAnsi="Verdana"/>
          <w:sz w:val="20"/>
          <w:szCs w:val="20"/>
        </w:rPr>
        <w:t>. - Mediante Resolución del Presidente de la Corte de 31 de julio de 2014</w:t>
      </w:r>
      <w:r w:rsidRPr="00F22EE1">
        <w:rPr>
          <w:rFonts w:ascii="Verdana" w:hAnsi="Verdana"/>
          <w:sz w:val="20"/>
          <w:szCs w:val="20"/>
          <w:vertAlign w:val="superscript"/>
        </w:rPr>
        <w:footnoteReference w:id="7"/>
      </w:r>
      <w:r w:rsidRPr="001455F9">
        <w:rPr>
          <w:rFonts w:ascii="Verdana" w:hAnsi="Verdana"/>
          <w:sz w:val="20"/>
          <w:szCs w:val="20"/>
        </w:rPr>
        <w:t xml:space="preserve"> se resolvió, entre otras situaciones: </w:t>
      </w:r>
      <w:r w:rsidRPr="005906E7">
        <w:rPr>
          <w:rFonts w:ascii="Verdana" w:hAnsi="Verdana"/>
          <w:sz w:val="20"/>
          <w:szCs w:val="20"/>
        </w:rPr>
        <w:t xml:space="preserve">i) trasladar </w:t>
      </w:r>
      <w:r w:rsidRPr="005906E7">
        <w:rPr>
          <w:rFonts w:ascii="Verdana" w:hAnsi="Verdana"/>
          <w:sz w:val="20"/>
          <w:szCs w:val="20"/>
          <w:lang w:val="es-CR"/>
        </w:rPr>
        <w:t xml:space="preserve">el peritaje del señor José Aylwin previamente rendido en la audiencia pública del </w:t>
      </w:r>
      <w:r w:rsidRPr="005906E7">
        <w:rPr>
          <w:rFonts w:ascii="Verdana" w:hAnsi="Verdana"/>
          <w:i/>
          <w:sz w:val="20"/>
          <w:szCs w:val="20"/>
          <w:lang w:val="es-CR"/>
        </w:rPr>
        <w:t>Caso Comunidad Garífuna Triunfo de la Cruz y sus miembros Vs. Honduras;</w:t>
      </w:r>
      <w:r w:rsidRPr="0055012A">
        <w:rPr>
          <w:rFonts w:ascii="Verdana" w:hAnsi="Verdana"/>
          <w:i/>
          <w:sz w:val="20"/>
          <w:szCs w:val="20"/>
          <w:lang w:val="es-CR"/>
        </w:rPr>
        <w:t xml:space="preserve"> </w:t>
      </w:r>
      <w:r w:rsidRPr="005906E7">
        <w:rPr>
          <w:rFonts w:ascii="Verdana" w:hAnsi="Verdana"/>
          <w:sz w:val="20"/>
          <w:szCs w:val="20"/>
          <w:lang w:val="es-CR"/>
        </w:rPr>
        <w:t>i</w:t>
      </w:r>
      <w:r w:rsidRPr="0055012A">
        <w:rPr>
          <w:rFonts w:ascii="Verdana" w:hAnsi="Verdana"/>
          <w:sz w:val="20"/>
          <w:szCs w:val="20"/>
        </w:rPr>
        <w:t>i) requerir que once presuntas víctimas ofrecidas por los representantes, dos testigos ofrecidos p</w:t>
      </w:r>
      <w:r w:rsidRPr="001455F9">
        <w:rPr>
          <w:rFonts w:ascii="Verdana" w:hAnsi="Verdana"/>
          <w:sz w:val="20"/>
          <w:szCs w:val="20"/>
        </w:rPr>
        <w:t>or el Estado, y un perito ofrecido por los representantes, presten sus declaraciones ante fedatario público o autoridades tradicionales del pueblo Garífuna de Punta Piedra, y ii</w:t>
      </w:r>
      <w:r>
        <w:rPr>
          <w:rFonts w:ascii="Verdana" w:hAnsi="Verdana"/>
          <w:sz w:val="20"/>
          <w:szCs w:val="20"/>
        </w:rPr>
        <w:t>i</w:t>
      </w:r>
      <w:r w:rsidRPr="001455F9">
        <w:rPr>
          <w:rFonts w:ascii="Verdana" w:hAnsi="Verdana"/>
          <w:sz w:val="20"/>
          <w:szCs w:val="20"/>
        </w:rPr>
        <w:t>) convocar a las partes a una audiencia pública para recibir las declaraciones de dos presuntas víctimas propuestas por los representantes, y un dictamen pericial propuesto por la Comisión. Mediante comunicación de 21 de agosto de 2014 la Comisión solicitó un cambio de la modalidad del peritaje ofrecido</w:t>
      </w:r>
      <w:r>
        <w:rPr>
          <w:rFonts w:ascii="Verdana" w:hAnsi="Verdana"/>
          <w:sz w:val="20"/>
          <w:szCs w:val="20"/>
        </w:rPr>
        <w:t xml:space="preserve"> por parte del señor James Anaya</w:t>
      </w:r>
      <w:r w:rsidRPr="001455F9">
        <w:rPr>
          <w:rFonts w:ascii="Verdana" w:hAnsi="Verdana"/>
          <w:sz w:val="20"/>
          <w:szCs w:val="20"/>
        </w:rPr>
        <w:t xml:space="preserve">, en virtud de lo cual la Corte decidió que su declaración fuera presentada por </w:t>
      </w:r>
      <w:r w:rsidRPr="001455F9">
        <w:rPr>
          <w:rFonts w:ascii="Verdana" w:hAnsi="Verdana"/>
          <w:i/>
          <w:sz w:val="20"/>
          <w:szCs w:val="20"/>
        </w:rPr>
        <w:t>affidavit</w:t>
      </w:r>
      <w:r w:rsidRPr="00F22EE1">
        <w:rPr>
          <w:rFonts w:ascii="Verdana" w:hAnsi="Verdana"/>
          <w:sz w:val="20"/>
          <w:szCs w:val="20"/>
          <w:vertAlign w:val="superscript"/>
        </w:rPr>
        <w:footnoteReference w:id="8"/>
      </w:r>
      <w:r w:rsidRPr="001455F9">
        <w:rPr>
          <w:rFonts w:ascii="Verdana" w:hAnsi="Verdana"/>
          <w:sz w:val="20"/>
          <w:szCs w:val="20"/>
        </w:rPr>
        <w:t>. Las declaraciones ante fedatario público y autoridades tradicionales fueron recibidas los días 22 y 25 de agosto, y 11 de septiembre 2014</w:t>
      </w:r>
      <w:r w:rsidRPr="00F22EE1">
        <w:rPr>
          <w:rFonts w:ascii="Verdana" w:hAnsi="Verdana"/>
          <w:sz w:val="20"/>
          <w:szCs w:val="20"/>
          <w:vertAlign w:val="superscript"/>
        </w:rPr>
        <w:footnoteReference w:id="9"/>
      </w:r>
      <w:r w:rsidRPr="001455F9">
        <w:rPr>
          <w:rFonts w:ascii="Verdana" w:hAnsi="Verdana"/>
          <w:sz w:val="20"/>
          <w:szCs w:val="20"/>
        </w:rPr>
        <w:t>.</w:t>
      </w:r>
    </w:p>
    <w:p w14:paraId="0C704915" w14:textId="77777777" w:rsidR="006A0E8F" w:rsidRDefault="006A0E8F" w:rsidP="00A0324F">
      <w:pPr>
        <w:pStyle w:val="ListParagraph"/>
        <w:ind w:left="0"/>
        <w:jc w:val="both"/>
        <w:rPr>
          <w:rFonts w:ascii="Verdana" w:hAnsi="Verdana"/>
          <w:sz w:val="20"/>
          <w:szCs w:val="20"/>
        </w:rPr>
      </w:pPr>
    </w:p>
    <w:p w14:paraId="0C704916" w14:textId="3C8A8057"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Solicitud de acumulación.</w:t>
      </w:r>
      <w:r w:rsidRPr="001455F9">
        <w:rPr>
          <w:rFonts w:ascii="Verdana" w:hAnsi="Verdana"/>
          <w:sz w:val="20"/>
          <w:szCs w:val="20"/>
        </w:rPr>
        <w:t xml:space="preserve"> – Mediante comunicación de 11 de agosto de 2014 los representantes solicitaron a la Corte la acumulación de los casos </w:t>
      </w:r>
      <w:r w:rsidR="0086236B" w:rsidRPr="00A0324F">
        <w:rPr>
          <w:rFonts w:ascii="Verdana" w:hAnsi="Verdana"/>
          <w:i/>
          <w:sz w:val="20"/>
          <w:szCs w:val="20"/>
        </w:rPr>
        <w:t>Comunidad Garífuna de Punta Piedra</w:t>
      </w:r>
      <w:r w:rsidRPr="001455F9">
        <w:rPr>
          <w:rFonts w:ascii="Verdana" w:hAnsi="Verdana"/>
          <w:sz w:val="20"/>
          <w:szCs w:val="20"/>
        </w:rPr>
        <w:t xml:space="preserve"> y </w:t>
      </w:r>
      <w:r w:rsidR="0086236B" w:rsidRPr="00A0324F">
        <w:rPr>
          <w:rFonts w:ascii="Verdana" w:hAnsi="Verdana"/>
          <w:i/>
          <w:sz w:val="20"/>
          <w:szCs w:val="20"/>
        </w:rPr>
        <w:t>Comunidad Garífuna de Triunfo de la Cruz</w:t>
      </w:r>
      <w:r w:rsidRPr="001455F9">
        <w:rPr>
          <w:rFonts w:ascii="Verdana" w:hAnsi="Verdana"/>
          <w:sz w:val="20"/>
          <w:szCs w:val="20"/>
        </w:rPr>
        <w:t>, por considerar que se cumplía con los presupuestos establecidos en el artículo 30 del Reglamento de la Corte. Al respecto, mediante Nota de Secretaría de 29 de agosto de 2014, se informó a las partes que “en virtud de las particularidades propias y distintas de cada caso, así como la etapa procesal en la que se encuentran los mismos, la Corte en pleno consideró innecesaria la solicitud de acumulación”.</w:t>
      </w:r>
    </w:p>
    <w:p w14:paraId="0C704917" w14:textId="77777777" w:rsidR="00E04121" w:rsidRPr="001455F9" w:rsidRDefault="00E04121" w:rsidP="00E04121">
      <w:pPr>
        <w:jc w:val="both"/>
        <w:rPr>
          <w:rFonts w:ascii="Verdana" w:hAnsi="Verdana"/>
          <w:sz w:val="20"/>
          <w:szCs w:val="20"/>
        </w:rPr>
      </w:pPr>
    </w:p>
    <w:p w14:paraId="0C704918" w14:textId="5776D12E"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Audiencia pública.</w:t>
      </w:r>
      <w:r w:rsidRPr="001455F9">
        <w:rPr>
          <w:rFonts w:ascii="Verdana" w:hAnsi="Verdana"/>
          <w:sz w:val="20"/>
          <w:szCs w:val="20"/>
        </w:rPr>
        <w:t xml:space="preserve"> – La audiencia pública fue celebrada el 2 de septiembre de 2014 en la ciudad de Asunción, Paraguay, durante el 51° Período Extraordinario de Sesiones de la Corte. En la audiencia se recibieron las declaraciones de las presuntas víctimas Lidia Palacios y Doroteo Thomas Rodríguez, propuestas por los representantes, así como las observaciones y alegatos finales orales de la Comisión, los representantes y el Estado.</w:t>
      </w:r>
    </w:p>
    <w:p w14:paraId="0C704919" w14:textId="77777777" w:rsidR="00E04121" w:rsidRPr="001455F9" w:rsidRDefault="00E04121" w:rsidP="00E04121">
      <w:pPr>
        <w:jc w:val="both"/>
        <w:rPr>
          <w:rFonts w:ascii="Verdana" w:hAnsi="Verdana"/>
          <w:sz w:val="20"/>
          <w:szCs w:val="20"/>
        </w:rPr>
      </w:pPr>
    </w:p>
    <w:p w14:paraId="0C70491A" w14:textId="35917572"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Observaciones y alegatos finales escritos.</w:t>
      </w:r>
      <w:r w:rsidRPr="001455F9">
        <w:rPr>
          <w:rFonts w:ascii="Verdana" w:hAnsi="Verdana"/>
          <w:sz w:val="20"/>
          <w:szCs w:val="20"/>
        </w:rPr>
        <w:t xml:space="preserve"> – El día 2 de octubre de 2014,  los representantes y el Estado presentaron sus alegatos finales escritos y anexos, así como prueba para mejor resolver solicitada durante la audiencia pública del caso, y la Comisión presentó sus observaciones finales escritas</w:t>
      </w:r>
      <w:r>
        <w:rPr>
          <w:rStyle w:val="FootnoteReference"/>
          <w:szCs w:val="20"/>
        </w:rPr>
        <w:footnoteReference w:id="10"/>
      </w:r>
      <w:r w:rsidRPr="001455F9">
        <w:rPr>
          <w:rFonts w:ascii="Verdana" w:hAnsi="Verdana"/>
          <w:sz w:val="20"/>
          <w:szCs w:val="20"/>
        </w:rPr>
        <w:t xml:space="preserve">. </w:t>
      </w:r>
    </w:p>
    <w:p w14:paraId="0C70491C" w14:textId="2051A9F7"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lastRenderedPageBreak/>
        <w:t>Observaciones a los anexos.</w:t>
      </w:r>
      <w:r w:rsidRPr="001455F9">
        <w:rPr>
          <w:rFonts w:ascii="Verdana" w:hAnsi="Verdana"/>
          <w:sz w:val="20"/>
          <w:szCs w:val="20"/>
        </w:rPr>
        <w:t xml:space="preserve"> – Mediante comunicaciones de 10 y 14 de noviembre de 2014, la Comisión y el Estado presentaron sus observaciones a los anexos a los alegatos finales escritos y prueba para mejor resolver. Los representantes no remitieron observaciones.  </w:t>
      </w:r>
    </w:p>
    <w:p w14:paraId="0C70491D" w14:textId="77777777" w:rsidR="00E04121" w:rsidRPr="001455F9" w:rsidRDefault="00E04121" w:rsidP="00E04121">
      <w:pPr>
        <w:jc w:val="both"/>
        <w:rPr>
          <w:rFonts w:ascii="Verdana" w:hAnsi="Verdana"/>
          <w:sz w:val="20"/>
          <w:szCs w:val="20"/>
        </w:rPr>
      </w:pPr>
    </w:p>
    <w:p w14:paraId="0C70491E" w14:textId="72665E0D" w:rsidR="00E13575" w:rsidRPr="00A0324F" w:rsidRDefault="00E04121" w:rsidP="00E04121">
      <w:pPr>
        <w:pStyle w:val="ListParagraph"/>
        <w:numPr>
          <w:ilvl w:val="0"/>
          <w:numId w:val="17"/>
        </w:numPr>
        <w:ind w:left="0" w:firstLine="0"/>
        <w:jc w:val="both"/>
        <w:rPr>
          <w:rFonts w:ascii="Verdana" w:hAnsi="Verdana"/>
          <w:b/>
          <w:sz w:val="20"/>
          <w:szCs w:val="20"/>
        </w:rPr>
      </w:pPr>
      <w:r w:rsidRPr="001455F9">
        <w:rPr>
          <w:rFonts w:ascii="Verdana" w:hAnsi="Verdana"/>
          <w:i/>
          <w:sz w:val="20"/>
          <w:szCs w:val="20"/>
        </w:rPr>
        <w:t>Prueba para mejor resolver</w:t>
      </w:r>
      <w:r w:rsidRPr="001455F9">
        <w:rPr>
          <w:rFonts w:ascii="Verdana" w:hAnsi="Verdana"/>
          <w:sz w:val="20"/>
          <w:szCs w:val="20"/>
        </w:rPr>
        <w:t>. – El 3 de diciembre de 2014, siguiendo instrucciones de del Presidente del Tribunal y con fundamento en lo dispuesto en el artículo 58.b) de su Reglamento, la Secretaría solicitó al Estado y a los representantes la presentación de documentación como prueba para mejor resolver</w:t>
      </w:r>
      <w:r>
        <w:rPr>
          <w:rStyle w:val="FootnoteReference"/>
          <w:szCs w:val="20"/>
        </w:rPr>
        <w:footnoteReference w:id="11"/>
      </w:r>
      <w:r w:rsidRPr="001455F9">
        <w:rPr>
          <w:rFonts w:ascii="Verdana" w:hAnsi="Verdana"/>
          <w:sz w:val="20"/>
          <w:szCs w:val="20"/>
        </w:rPr>
        <w:t>. Mediante comunicaciones de 16 y 17 de diciembre de 2014, el Estado y los representantes remitieron de forma parcial l</w:t>
      </w:r>
      <w:r>
        <w:rPr>
          <w:rFonts w:ascii="Verdana" w:hAnsi="Verdana"/>
          <w:sz w:val="20"/>
          <w:szCs w:val="20"/>
        </w:rPr>
        <w:t>o</w:t>
      </w:r>
      <w:r w:rsidRPr="001455F9">
        <w:rPr>
          <w:rFonts w:ascii="Verdana" w:hAnsi="Verdana"/>
          <w:sz w:val="20"/>
          <w:szCs w:val="20"/>
        </w:rPr>
        <w:t xml:space="preserve"> solicitad</w:t>
      </w:r>
      <w:r>
        <w:rPr>
          <w:rFonts w:ascii="Verdana" w:hAnsi="Verdana"/>
          <w:sz w:val="20"/>
          <w:szCs w:val="20"/>
        </w:rPr>
        <w:t>o</w:t>
      </w:r>
      <w:r>
        <w:rPr>
          <w:rStyle w:val="FootnoteReference"/>
          <w:szCs w:val="20"/>
        </w:rPr>
        <w:footnoteReference w:id="12"/>
      </w:r>
      <w:r w:rsidR="0086236B" w:rsidRPr="00A0324F">
        <w:rPr>
          <w:rFonts w:ascii="Verdana" w:hAnsi="Verdana"/>
          <w:sz w:val="20"/>
          <w:szCs w:val="20"/>
        </w:rPr>
        <w:t>.</w:t>
      </w:r>
    </w:p>
    <w:p w14:paraId="0C70491F" w14:textId="77777777" w:rsidR="006A0E8F" w:rsidRDefault="0086236B" w:rsidP="00A0324F">
      <w:pPr>
        <w:pStyle w:val="ListParagraph"/>
        <w:ind w:left="0"/>
        <w:jc w:val="both"/>
        <w:rPr>
          <w:rFonts w:ascii="Verdana" w:hAnsi="Verdana"/>
          <w:b/>
          <w:sz w:val="20"/>
          <w:szCs w:val="20"/>
        </w:rPr>
      </w:pPr>
      <w:r w:rsidRPr="00A0324F">
        <w:rPr>
          <w:rFonts w:ascii="Verdana" w:hAnsi="Verdana"/>
          <w:sz w:val="20"/>
          <w:szCs w:val="20"/>
        </w:rPr>
        <w:t xml:space="preserve"> </w:t>
      </w:r>
    </w:p>
    <w:p w14:paraId="0C704920" w14:textId="2FB78931" w:rsidR="00E04121" w:rsidRPr="001455F9" w:rsidRDefault="00E04121" w:rsidP="00E04121">
      <w:pPr>
        <w:pStyle w:val="ListParagraph"/>
        <w:numPr>
          <w:ilvl w:val="0"/>
          <w:numId w:val="17"/>
        </w:numPr>
        <w:ind w:left="0" w:firstLine="0"/>
        <w:jc w:val="both"/>
        <w:rPr>
          <w:rFonts w:ascii="Verdana" w:hAnsi="Verdana"/>
          <w:b/>
          <w:sz w:val="20"/>
          <w:szCs w:val="20"/>
        </w:rPr>
      </w:pPr>
      <w:r w:rsidRPr="00F22EE1">
        <w:rPr>
          <w:rFonts w:ascii="Verdana" w:hAnsi="Verdana"/>
          <w:i/>
          <w:sz w:val="20"/>
          <w:szCs w:val="20"/>
        </w:rPr>
        <w:t>Hechos supervinientes. -</w:t>
      </w:r>
      <w:r w:rsidRPr="001455F9">
        <w:rPr>
          <w:rFonts w:ascii="Verdana" w:hAnsi="Verdana"/>
          <w:sz w:val="20"/>
          <w:szCs w:val="20"/>
        </w:rPr>
        <w:t xml:space="preserve"> Mediante comunicación de 25 de febrero de 2015 los representantes aportaron</w:t>
      </w:r>
      <w:r w:rsidRPr="00687D48">
        <w:rPr>
          <w:rFonts w:ascii="Verdana" w:hAnsi="Verdana"/>
          <w:sz w:val="20"/>
          <w:szCs w:val="20"/>
        </w:rPr>
        <w:t xml:space="preserve"> </w:t>
      </w:r>
      <w:r w:rsidR="00D32CDE" w:rsidRPr="00687D48">
        <w:rPr>
          <w:rFonts w:ascii="Verdana" w:hAnsi="Verdana"/>
          <w:sz w:val="20"/>
          <w:szCs w:val="20"/>
        </w:rPr>
        <w:t>como prueba para mejor resolver</w:t>
      </w:r>
      <w:r w:rsidR="00D32CDE">
        <w:rPr>
          <w:rFonts w:ascii="Verdana" w:hAnsi="Verdana"/>
          <w:sz w:val="20"/>
          <w:szCs w:val="20"/>
        </w:rPr>
        <w:t xml:space="preserve"> </w:t>
      </w:r>
      <w:r>
        <w:rPr>
          <w:rFonts w:ascii="Verdana" w:hAnsi="Verdana"/>
          <w:sz w:val="20"/>
          <w:szCs w:val="20"/>
        </w:rPr>
        <w:t>documentación</w:t>
      </w:r>
      <w:r w:rsidRPr="001455F9">
        <w:rPr>
          <w:rFonts w:ascii="Verdana" w:hAnsi="Verdana"/>
          <w:sz w:val="20"/>
          <w:szCs w:val="20"/>
        </w:rPr>
        <w:t xml:space="preserve"> relacionada con actividades de extracción minera</w:t>
      </w:r>
      <w:r w:rsidR="0086236B" w:rsidRPr="00A0324F">
        <w:rPr>
          <w:rFonts w:ascii="Verdana" w:hAnsi="Verdana"/>
          <w:sz w:val="20"/>
          <w:szCs w:val="20"/>
        </w:rPr>
        <w:t>.</w:t>
      </w:r>
      <w:r w:rsidRPr="001455F9">
        <w:rPr>
          <w:rFonts w:ascii="Verdana" w:hAnsi="Verdana"/>
          <w:b/>
          <w:sz w:val="20"/>
          <w:szCs w:val="20"/>
        </w:rPr>
        <w:t xml:space="preserve"> </w:t>
      </w:r>
      <w:r w:rsidRPr="00F22EE1">
        <w:rPr>
          <w:rFonts w:ascii="Verdana" w:hAnsi="Verdana"/>
          <w:sz w:val="20"/>
          <w:szCs w:val="20"/>
        </w:rPr>
        <w:t>Las observaciones del Estado al respecto fueron recibidas el 10 de junio de 2015</w:t>
      </w:r>
      <w:r w:rsidR="0086236B" w:rsidRPr="00A0324F">
        <w:rPr>
          <w:rFonts w:ascii="Verdana" w:hAnsi="Verdana"/>
          <w:sz w:val="20"/>
          <w:szCs w:val="20"/>
        </w:rPr>
        <w:t xml:space="preserve">. </w:t>
      </w:r>
    </w:p>
    <w:p w14:paraId="0C704921" w14:textId="77777777" w:rsidR="00E04121" w:rsidRPr="001455F9" w:rsidRDefault="00E04121" w:rsidP="00E04121">
      <w:pPr>
        <w:jc w:val="both"/>
        <w:rPr>
          <w:rFonts w:ascii="Verdana" w:hAnsi="Verdana"/>
          <w:b/>
          <w:sz w:val="20"/>
          <w:szCs w:val="20"/>
        </w:rPr>
      </w:pPr>
    </w:p>
    <w:p w14:paraId="0C704922" w14:textId="67BCBEC9"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Informe de la Asociación Americana para el Avance de la Ciencia</w:t>
      </w:r>
      <w:r w:rsidRPr="001455F9">
        <w:rPr>
          <w:rFonts w:ascii="Verdana" w:hAnsi="Verdana"/>
          <w:sz w:val="20"/>
          <w:szCs w:val="20"/>
        </w:rPr>
        <w:t>. – El  24 de octubre de 2014, con fundamento en el artículo 58.c del Reglamento de la Corte, se requirió la Asociación Americana para el Avance de la Ciencia la elaboración de un informe mediante el cual se pudiera obtener información adicional, a través de imágenes satelitales</w:t>
      </w:r>
      <w:r>
        <w:rPr>
          <w:rFonts w:ascii="Verdana" w:hAnsi="Verdana"/>
          <w:sz w:val="20"/>
          <w:szCs w:val="20"/>
        </w:rPr>
        <w:t xml:space="preserve"> </w:t>
      </w:r>
      <w:r w:rsidR="00143B4A">
        <w:rPr>
          <w:rFonts w:ascii="Verdana" w:hAnsi="Verdana"/>
          <w:sz w:val="20"/>
          <w:szCs w:val="20"/>
        </w:rPr>
        <w:t>(en adelante,</w:t>
      </w:r>
      <w:r w:rsidR="00143B4A" w:rsidRPr="00A71698">
        <w:rPr>
          <w:rFonts w:ascii="Verdana" w:hAnsi="Verdana"/>
          <w:sz w:val="20"/>
          <w:szCs w:val="20"/>
        </w:rPr>
        <w:t xml:space="preserve"> </w:t>
      </w:r>
      <w:r w:rsidR="00143B4A">
        <w:rPr>
          <w:rFonts w:ascii="Verdana" w:hAnsi="Verdana"/>
          <w:sz w:val="20"/>
          <w:szCs w:val="20"/>
        </w:rPr>
        <w:t>“</w:t>
      </w:r>
      <w:r w:rsidR="00143B4A" w:rsidRPr="00A71698">
        <w:rPr>
          <w:rFonts w:ascii="Verdana" w:hAnsi="Verdana"/>
          <w:sz w:val="20"/>
          <w:szCs w:val="20"/>
        </w:rPr>
        <w:t>Informe AAAS</w:t>
      </w:r>
      <w:r w:rsidR="00143B4A">
        <w:rPr>
          <w:rFonts w:ascii="Verdana" w:hAnsi="Verdana"/>
          <w:sz w:val="20"/>
          <w:szCs w:val="20"/>
        </w:rPr>
        <w:t>”</w:t>
      </w:r>
      <w:r w:rsidR="00143B4A" w:rsidRPr="00A71698">
        <w:rPr>
          <w:rFonts w:ascii="Verdana" w:hAnsi="Verdana"/>
          <w:sz w:val="20"/>
          <w:szCs w:val="20"/>
        </w:rPr>
        <w:t xml:space="preserve">, por sus siglas en inglés) </w:t>
      </w:r>
      <w:r w:rsidRPr="001455F9">
        <w:rPr>
          <w:rFonts w:ascii="Verdana" w:hAnsi="Verdana"/>
          <w:sz w:val="20"/>
          <w:szCs w:val="20"/>
        </w:rPr>
        <w:t xml:space="preserve">sobre los cambios ocurridos en el territorio de la Comunidad Garífuna de Punta Piedra desde 1993 hasta la actualidad. El referido informe fue transmitido a las partes el </w:t>
      </w:r>
      <w:r w:rsidR="00D32CDE">
        <w:rPr>
          <w:rFonts w:ascii="Verdana" w:hAnsi="Verdana"/>
          <w:sz w:val="20"/>
          <w:szCs w:val="20"/>
        </w:rPr>
        <w:t>10</w:t>
      </w:r>
      <w:r w:rsidR="00D32CDE" w:rsidRPr="001455F9">
        <w:rPr>
          <w:rFonts w:ascii="Verdana" w:hAnsi="Verdana"/>
          <w:sz w:val="20"/>
          <w:szCs w:val="20"/>
        </w:rPr>
        <w:t xml:space="preserve"> </w:t>
      </w:r>
      <w:r w:rsidRPr="001455F9">
        <w:rPr>
          <w:rFonts w:ascii="Verdana" w:hAnsi="Verdana"/>
          <w:sz w:val="20"/>
          <w:szCs w:val="20"/>
        </w:rPr>
        <w:t>de marzo de 2015 para que remitieran las observaciones que estimaran pertinente</w:t>
      </w:r>
      <w:r w:rsidRPr="00D32CDE">
        <w:rPr>
          <w:rFonts w:ascii="Verdana" w:hAnsi="Verdana"/>
          <w:sz w:val="20"/>
          <w:szCs w:val="20"/>
        </w:rPr>
        <w:t>s,</w:t>
      </w:r>
      <w:r w:rsidRPr="001455F9">
        <w:rPr>
          <w:rFonts w:ascii="Verdana" w:hAnsi="Verdana"/>
          <w:sz w:val="20"/>
          <w:szCs w:val="20"/>
        </w:rPr>
        <w:t xml:space="preserve"> las cuales fueron recibidas el 15 de mayo de 2015.</w:t>
      </w:r>
    </w:p>
    <w:p w14:paraId="0C704923" w14:textId="77777777" w:rsidR="00E04121" w:rsidRPr="001455F9" w:rsidRDefault="00E04121" w:rsidP="00E04121">
      <w:pPr>
        <w:jc w:val="both"/>
        <w:rPr>
          <w:rFonts w:ascii="Verdana" w:hAnsi="Verdana"/>
          <w:sz w:val="20"/>
          <w:szCs w:val="20"/>
        </w:rPr>
      </w:pPr>
    </w:p>
    <w:p w14:paraId="0C704924" w14:textId="3D8AFC2B"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Erogaciones en aplicación del Fondo de Asistencia</w:t>
      </w:r>
      <w:r w:rsidRPr="001455F9">
        <w:rPr>
          <w:rFonts w:ascii="Verdana" w:hAnsi="Verdana"/>
          <w:sz w:val="20"/>
          <w:szCs w:val="20"/>
        </w:rPr>
        <w:t xml:space="preserve">. – El </w:t>
      </w:r>
      <w:r w:rsidR="00D32CDE">
        <w:rPr>
          <w:rFonts w:ascii="Verdana" w:hAnsi="Verdana"/>
          <w:sz w:val="20"/>
          <w:szCs w:val="20"/>
        </w:rPr>
        <w:t>10</w:t>
      </w:r>
      <w:r w:rsidR="00D32CDE" w:rsidRPr="001455F9">
        <w:rPr>
          <w:rFonts w:ascii="Verdana" w:hAnsi="Verdana"/>
          <w:sz w:val="20"/>
          <w:szCs w:val="20"/>
        </w:rPr>
        <w:t xml:space="preserve"> </w:t>
      </w:r>
      <w:r w:rsidRPr="001455F9">
        <w:rPr>
          <w:rFonts w:ascii="Verdana" w:hAnsi="Verdana"/>
          <w:sz w:val="20"/>
          <w:szCs w:val="20"/>
        </w:rPr>
        <w:t xml:space="preserve">de marzo de 2015 se trasmitió al Estado el Informe sobre las erogaciones realizadas con cargo al Fondo de Asistencia Legal de la Corte en el presente caso. El 28 de abril de 2015 el Estado presentó sus observaciones. </w:t>
      </w:r>
    </w:p>
    <w:p w14:paraId="0C704925" w14:textId="77777777" w:rsidR="00E04121" w:rsidRPr="001455F9" w:rsidRDefault="00E04121" w:rsidP="00E04121">
      <w:pPr>
        <w:jc w:val="both"/>
        <w:rPr>
          <w:rFonts w:ascii="Verdana" w:hAnsi="Verdana"/>
          <w:sz w:val="20"/>
          <w:szCs w:val="20"/>
        </w:rPr>
      </w:pPr>
    </w:p>
    <w:p w14:paraId="0C704926" w14:textId="22BF59F9" w:rsidR="00E04121" w:rsidRPr="00373649" w:rsidRDefault="00E04121" w:rsidP="00E04121">
      <w:pPr>
        <w:pStyle w:val="ListParagraph"/>
        <w:numPr>
          <w:ilvl w:val="0"/>
          <w:numId w:val="17"/>
        </w:numPr>
        <w:autoSpaceDE w:val="0"/>
        <w:autoSpaceDN w:val="0"/>
        <w:adjustRightInd w:val="0"/>
        <w:ind w:left="0" w:firstLine="0"/>
        <w:jc w:val="both"/>
        <w:rPr>
          <w:rFonts w:eastAsia="Times New Roman"/>
          <w:lang w:eastAsia="es-CR"/>
        </w:rPr>
      </w:pPr>
      <w:r w:rsidRPr="00624C98">
        <w:rPr>
          <w:rFonts w:ascii="Verdana" w:hAnsi="Verdana"/>
          <w:i/>
          <w:sz w:val="20"/>
          <w:szCs w:val="20"/>
        </w:rPr>
        <w:t xml:space="preserve">Diligencia in situ en la Comunidad Garífuna de Punta Piedra. </w:t>
      </w:r>
      <w:r w:rsidRPr="00624C98">
        <w:rPr>
          <w:rFonts w:ascii="Verdana" w:hAnsi="Verdana"/>
          <w:sz w:val="20"/>
          <w:szCs w:val="20"/>
        </w:rPr>
        <w:t xml:space="preserve">– </w:t>
      </w:r>
      <w:r w:rsidRPr="00461EA0">
        <w:rPr>
          <w:rFonts w:ascii="Verdana" w:hAnsi="Verdana"/>
          <w:sz w:val="20"/>
          <w:szCs w:val="20"/>
        </w:rPr>
        <w:t xml:space="preserve">En su escrito de contestación, el Estado propuso la realización de una inspección ocular </w:t>
      </w:r>
      <w:r w:rsidRPr="00470603">
        <w:rPr>
          <w:rFonts w:ascii="Verdana" w:hAnsi="Verdana"/>
          <w:i/>
          <w:sz w:val="20"/>
          <w:szCs w:val="20"/>
        </w:rPr>
        <w:t>in situ</w:t>
      </w:r>
      <w:r w:rsidRPr="00470603">
        <w:rPr>
          <w:rFonts w:ascii="Verdana" w:hAnsi="Verdana"/>
          <w:sz w:val="20"/>
          <w:szCs w:val="20"/>
        </w:rPr>
        <w:t xml:space="preserve"> en el territorio de la Comunidad de Punta Piedra</w:t>
      </w:r>
      <w:r w:rsidR="00645051">
        <w:rPr>
          <w:rFonts w:ascii="Verdana" w:hAnsi="Verdana"/>
          <w:sz w:val="20"/>
          <w:szCs w:val="20"/>
        </w:rPr>
        <w:t xml:space="preserve">, por lo que </w:t>
      </w:r>
      <w:r w:rsidR="00645051">
        <w:rPr>
          <w:rFonts w:ascii="Verdana" w:hAnsi="Verdana" w:cs="Verdana"/>
          <w:sz w:val="20"/>
          <w:szCs w:val="20"/>
        </w:rPr>
        <w:t>e</w:t>
      </w:r>
      <w:r w:rsidRPr="00D1591A">
        <w:rPr>
          <w:rFonts w:ascii="Verdana" w:hAnsi="Verdana" w:cs="Verdana"/>
          <w:sz w:val="20"/>
          <w:szCs w:val="20"/>
        </w:rPr>
        <w:t>l 25 de agosto de 2015</w:t>
      </w:r>
      <w:r w:rsidR="00645051">
        <w:rPr>
          <w:rFonts w:ascii="Verdana" w:hAnsi="Verdana" w:cs="Verdana"/>
          <w:sz w:val="20"/>
          <w:szCs w:val="20"/>
        </w:rPr>
        <w:t>,</w:t>
      </w:r>
      <w:r w:rsidRPr="00D1591A">
        <w:rPr>
          <w:rFonts w:ascii="Verdana" w:hAnsi="Verdana" w:cs="Verdana"/>
          <w:sz w:val="20"/>
          <w:szCs w:val="20"/>
        </w:rPr>
        <w:t xml:space="preserve"> </w:t>
      </w:r>
      <w:r w:rsidRPr="00012F57">
        <w:rPr>
          <w:rFonts w:ascii="Verdana" w:hAnsi="Verdana" w:cs="Verdana"/>
          <w:sz w:val="20"/>
          <w:szCs w:val="20"/>
        </w:rPr>
        <w:t>una</w:t>
      </w:r>
      <w:r w:rsidRPr="00D1591A">
        <w:rPr>
          <w:rFonts w:ascii="Verdana" w:hAnsi="Verdana" w:cs="Verdana"/>
          <w:sz w:val="20"/>
          <w:szCs w:val="20"/>
        </w:rPr>
        <w:t xml:space="preserve"> </w:t>
      </w:r>
      <w:r w:rsidRPr="00012F57">
        <w:rPr>
          <w:rFonts w:ascii="Verdana" w:hAnsi="Verdana" w:cs="Verdana"/>
          <w:sz w:val="20"/>
          <w:szCs w:val="20"/>
        </w:rPr>
        <w:t>delegación del Tribunal</w:t>
      </w:r>
      <w:r w:rsidRPr="00D1591A">
        <w:rPr>
          <w:rFonts w:ascii="Verdana" w:hAnsi="Verdana" w:cs="Verdana"/>
          <w:sz w:val="20"/>
          <w:szCs w:val="20"/>
        </w:rPr>
        <w:t xml:space="preserve"> llevó a cabo </w:t>
      </w:r>
      <w:r w:rsidR="00645051">
        <w:rPr>
          <w:rFonts w:ascii="Verdana" w:hAnsi="Verdana" w:cs="Verdana"/>
          <w:sz w:val="20"/>
          <w:szCs w:val="20"/>
        </w:rPr>
        <w:t>dicha</w:t>
      </w:r>
      <w:r w:rsidRPr="00D1591A">
        <w:rPr>
          <w:rFonts w:ascii="Verdana" w:hAnsi="Verdana" w:cs="Verdana"/>
          <w:sz w:val="20"/>
          <w:szCs w:val="20"/>
        </w:rPr>
        <w:t xml:space="preserve"> diligencia </w:t>
      </w:r>
      <w:r w:rsidRPr="00012F57">
        <w:rPr>
          <w:rFonts w:ascii="Verdana" w:eastAsia="Times New Roman" w:hAnsi="Verdana"/>
          <w:sz w:val="20"/>
          <w:szCs w:val="20"/>
        </w:rPr>
        <w:t xml:space="preserve">con el objetivo de observar </w:t>
      </w:r>
      <w:r w:rsidRPr="00012F57">
        <w:rPr>
          <w:rFonts w:ascii="Verdana" w:eastAsia="Times New Roman" w:hAnsi="Verdana"/>
          <w:sz w:val="20"/>
          <w:szCs w:val="20"/>
        </w:rPr>
        <w:lastRenderedPageBreak/>
        <w:t>algunas áreas del territorio reclamado y reunirse con las partes, la Comisión, y diversas autoridades y pobladores</w:t>
      </w:r>
      <w:r w:rsidRPr="00E35D0D">
        <w:rPr>
          <w:rFonts w:ascii="Verdana" w:hAnsi="Verdana"/>
          <w:sz w:val="20"/>
          <w:szCs w:val="20"/>
          <w:vertAlign w:val="superscript"/>
        </w:rPr>
        <w:footnoteReference w:id="13"/>
      </w:r>
      <w:r w:rsidRPr="00E35D0D">
        <w:rPr>
          <w:rFonts w:ascii="Verdana" w:hAnsi="Verdana" w:cs="Verdana"/>
          <w:sz w:val="20"/>
          <w:szCs w:val="20"/>
        </w:rPr>
        <w:t>.</w:t>
      </w:r>
      <w:r w:rsidRPr="00E35D0D">
        <w:rPr>
          <w:rFonts w:ascii="Verdana" w:eastAsia="Times New Roman" w:hAnsi="Verdana"/>
          <w:sz w:val="20"/>
          <w:szCs w:val="20"/>
          <w:lang w:eastAsia="es-CR"/>
        </w:rPr>
        <w:t xml:space="preserve"> </w:t>
      </w:r>
      <w:r w:rsidRPr="00BA20AA">
        <w:rPr>
          <w:rFonts w:ascii="Verdana" w:eastAsia="Times New Roman" w:hAnsi="Verdana"/>
          <w:sz w:val="20"/>
          <w:szCs w:val="20"/>
          <w:lang w:eastAsia="es-CR"/>
        </w:rPr>
        <w:t xml:space="preserve">En primer lugar, la delegación </w:t>
      </w:r>
      <w:r w:rsidRPr="00BA20AA">
        <w:rPr>
          <w:rFonts w:ascii="Verdana" w:hAnsi="Verdana"/>
          <w:sz w:val="20"/>
          <w:szCs w:val="20"/>
        </w:rPr>
        <w:t xml:space="preserve">realizó un sobrevuelo del territorio </w:t>
      </w:r>
      <w:r>
        <w:rPr>
          <w:rFonts w:ascii="Verdana" w:hAnsi="Verdana"/>
          <w:sz w:val="20"/>
          <w:szCs w:val="20"/>
        </w:rPr>
        <w:t>relacionado con</w:t>
      </w:r>
      <w:r w:rsidRPr="00BA20AA">
        <w:rPr>
          <w:rFonts w:ascii="Verdana" w:hAnsi="Verdana"/>
          <w:sz w:val="20"/>
          <w:szCs w:val="20"/>
        </w:rPr>
        <w:t xml:space="preserve"> los hechos del caso</w:t>
      </w:r>
      <w:r w:rsidRPr="00BA20AA">
        <w:rPr>
          <w:rFonts w:ascii="Verdana" w:eastAsia="Times New Roman" w:hAnsi="Verdana"/>
          <w:sz w:val="20"/>
          <w:szCs w:val="20"/>
          <w:lang w:eastAsia="es-CR"/>
        </w:rPr>
        <w:t xml:space="preserve">. </w:t>
      </w:r>
      <w:r w:rsidRPr="00BA20AA">
        <w:rPr>
          <w:rFonts w:ascii="Verdana" w:hAnsi="Verdana"/>
          <w:sz w:val="20"/>
          <w:szCs w:val="20"/>
        </w:rPr>
        <w:t xml:space="preserve">A su llegada, la delegación fue recibida por numerosos miembros de la Comunidad de Punta Piedra. </w:t>
      </w:r>
      <w:r w:rsidRPr="00BA20AA">
        <w:rPr>
          <w:rFonts w:ascii="Verdana" w:eastAsia="Times New Roman" w:hAnsi="Verdana"/>
          <w:sz w:val="20"/>
          <w:szCs w:val="20"/>
          <w:lang w:eastAsia="es-CR"/>
        </w:rPr>
        <w:t xml:space="preserve">Posteriormente, </w:t>
      </w:r>
      <w:r>
        <w:rPr>
          <w:rFonts w:ascii="Verdana" w:eastAsia="Times New Roman" w:hAnsi="Verdana"/>
          <w:sz w:val="20"/>
          <w:szCs w:val="20"/>
          <w:lang w:eastAsia="es-CR"/>
        </w:rPr>
        <w:t xml:space="preserve">se realizó una reunión donde diversos miembros de la Comunidad expresaron su parecer respecto de las problemáticas del caso ante la delegación del Tribunal. </w:t>
      </w:r>
      <w:r w:rsidRPr="00BA20AA">
        <w:rPr>
          <w:rFonts w:ascii="Verdana" w:hAnsi="Verdana"/>
          <w:sz w:val="20"/>
          <w:szCs w:val="20"/>
        </w:rPr>
        <w:t xml:space="preserve">Seguidamente, la delegación realizó una visita al área de </w:t>
      </w:r>
      <w:proofErr w:type="spellStart"/>
      <w:r w:rsidRPr="00BA20AA">
        <w:rPr>
          <w:rFonts w:ascii="Verdana" w:hAnsi="Verdana"/>
          <w:sz w:val="20"/>
          <w:szCs w:val="20"/>
        </w:rPr>
        <w:t>Cosuna</w:t>
      </w:r>
      <w:proofErr w:type="spellEnd"/>
      <w:r w:rsidRPr="00BA20AA">
        <w:rPr>
          <w:rFonts w:ascii="Verdana" w:hAnsi="Verdana"/>
          <w:sz w:val="20"/>
          <w:szCs w:val="20"/>
        </w:rPr>
        <w:t>, donde presuntamente se encontraría la concesión de exploración</w:t>
      </w:r>
      <w:r w:rsidRPr="0042503B">
        <w:rPr>
          <w:rFonts w:ascii="Verdana" w:hAnsi="Verdana"/>
          <w:sz w:val="20"/>
          <w:szCs w:val="20"/>
        </w:rPr>
        <w:t xml:space="preserve"> no metálica Punta Piedra II. Finalmente, se visitó </w:t>
      </w:r>
      <w:r>
        <w:rPr>
          <w:rFonts w:ascii="Verdana" w:hAnsi="Verdana"/>
          <w:sz w:val="20"/>
          <w:szCs w:val="20"/>
        </w:rPr>
        <w:t>la A</w:t>
      </w:r>
      <w:r w:rsidRPr="0042503B">
        <w:rPr>
          <w:rFonts w:ascii="Verdana" w:hAnsi="Verdana"/>
          <w:sz w:val="20"/>
          <w:szCs w:val="20"/>
        </w:rPr>
        <w:t>ldea de Río Miel</w:t>
      </w:r>
      <w:r w:rsidR="00234BF6">
        <w:rPr>
          <w:rFonts w:ascii="Verdana" w:hAnsi="Verdana"/>
          <w:sz w:val="20"/>
          <w:szCs w:val="20"/>
        </w:rPr>
        <w:t xml:space="preserve"> </w:t>
      </w:r>
      <w:r w:rsidR="00075D48" w:rsidRPr="00143B4A">
        <w:rPr>
          <w:rFonts w:ascii="Verdana" w:hAnsi="Verdana"/>
          <w:sz w:val="20"/>
          <w:szCs w:val="20"/>
          <w:lang w:val="es-CR"/>
        </w:rPr>
        <w:t>(en adelante, “la Aldea de Río Miel” o “Río Miel”)</w:t>
      </w:r>
      <w:r w:rsidRPr="00143B4A">
        <w:rPr>
          <w:rFonts w:ascii="Verdana" w:hAnsi="Verdana"/>
          <w:sz w:val="20"/>
          <w:szCs w:val="20"/>
        </w:rPr>
        <w:t>,</w:t>
      </w:r>
      <w:r w:rsidRPr="0042503B">
        <w:rPr>
          <w:rFonts w:ascii="Verdana" w:hAnsi="Verdana"/>
          <w:sz w:val="20"/>
          <w:szCs w:val="20"/>
        </w:rPr>
        <w:t xml:space="preserve"> en la cual se escuchó el parecer de varios de sus pobladores</w:t>
      </w:r>
      <w:r>
        <w:rPr>
          <w:rFonts w:ascii="Verdana" w:hAnsi="Verdana"/>
          <w:sz w:val="20"/>
          <w:szCs w:val="20"/>
        </w:rPr>
        <w:t xml:space="preserve"> y se recorrieron algunas áreas de la Aldea</w:t>
      </w:r>
      <w:r w:rsidRPr="00A0324F">
        <w:rPr>
          <w:rFonts w:ascii="Verdana" w:hAnsi="Verdana"/>
          <w:sz w:val="20"/>
          <w:szCs w:val="20"/>
        </w:rPr>
        <w:t>.</w:t>
      </w:r>
      <w:r>
        <w:rPr>
          <w:rFonts w:ascii="Verdana" w:hAnsi="Verdana"/>
          <w:b/>
          <w:sz w:val="20"/>
          <w:szCs w:val="20"/>
        </w:rPr>
        <w:t xml:space="preserve"> </w:t>
      </w:r>
      <w:r w:rsidRPr="00E22997">
        <w:rPr>
          <w:rFonts w:ascii="Verdana" w:hAnsi="Verdana"/>
          <w:sz w:val="20"/>
          <w:szCs w:val="20"/>
        </w:rPr>
        <w:t>Los días 4</w:t>
      </w:r>
      <w:r>
        <w:rPr>
          <w:rFonts w:ascii="Verdana" w:hAnsi="Verdana"/>
          <w:sz w:val="20"/>
          <w:szCs w:val="20"/>
        </w:rPr>
        <w:t xml:space="preserve">, </w:t>
      </w:r>
      <w:r w:rsidRPr="005906E7">
        <w:rPr>
          <w:rFonts w:ascii="Verdana" w:hAnsi="Verdana"/>
          <w:sz w:val="20"/>
          <w:szCs w:val="20"/>
        </w:rPr>
        <w:t xml:space="preserve">18 </w:t>
      </w:r>
      <w:r>
        <w:rPr>
          <w:rFonts w:ascii="Verdana" w:hAnsi="Verdana"/>
          <w:sz w:val="20"/>
          <w:szCs w:val="20"/>
        </w:rPr>
        <w:t xml:space="preserve">y 22 </w:t>
      </w:r>
      <w:r w:rsidRPr="005906E7">
        <w:rPr>
          <w:rFonts w:ascii="Verdana" w:hAnsi="Verdana"/>
          <w:sz w:val="20"/>
          <w:szCs w:val="20"/>
        </w:rPr>
        <w:t xml:space="preserve">de septiembre </w:t>
      </w:r>
      <w:r w:rsidRPr="006A13B6">
        <w:rPr>
          <w:rFonts w:ascii="Verdana" w:hAnsi="Verdana"/>
          <w:sz w:val="20"/>
          <w:szCs w:val="20"/>
        </w:rPr>
        <w:t xml:space="preserve">de 2015 se recibieron observaciones de las partes respecto de la </w:t>
      </w:r>
      <w:r>
        <w:rPr>
          <w:rFonts w:ascii="Verdana" w:hAnsi="Verdana"/>
          <w:sz w:val="20"/>
          <w:szCs w:val="20"/>
        </w:rPr>
        <w:t>visita</w:t>
      </w:r>
      <w:r w:rsidRPr="006A13B6">
        <w:rPr>
          <w:rFonts w:ascii="Verdana" w:hAnsi="Verdana"/>
          <w:sz w:val="20"/>
          <w:szCs w:val="20"/>
        </w:rPr>
        <w:t xml:space="preserve"> realizada.</w:t>
      </w:r>
      <w:r w:rsidRPr="00373649">
        <w:rPr>
          <w:rFonts w:ascii="Verdana" w:hAnsi="Verdana"/>
          <w:sz w:val="20"/>
          <w:szCs w:val="20"/>
        </w:rPr>
        <w:t xml:space="preserve"> </w:t>
      </w:r>
    </w:p>
    <w:p w14:paraId="0C704927" w14:textId="77777777" w:rsidR="00E04121" w:rsidRPr="001455F9" w:rsidRDefault="00E04121" w:rsidP="00E04121">
      <w:pPr>
        <w:pStyle w:val="ListParagraph"/>
        <w:rPr>
          <w:rFonts w:ascii="Verdana" w:hAnsi="Verdana"/>
          <w:sz w:val="20"/>
          <w:szCs w:val="20"/>
        </w:rPr>
      </w:pPr>
    </w:p>
    <w:p w14:paraId="0C704928" w14:textId="77777777" w:rsidR="00E04121" w:rsidRPr="001455F9" w:rsidRDefault="00E04121" w:rsidP="00E04121">
      <w:pPr>
        <w:pStyle w:val="ListParagraph"/>
        <w:numPr>
          <w:ilvl w:val="0"/>
          <w:numId w:val="17"/>
        </w:numPr>
        <w:ind w:left="0" w:firstLine="0"/>
        <w:jc w:val="both"/>
        <w:rPr>
          <w:rFonts w:ascii="Verdana" w:hAnsi="Verdana"/>
          <w:sz w:val="20"/>
          <w:szCs w:val="20"/>
        </w:rPr>
      </w:pPr>
      <w:r w:rsidRPr="001455F9">
        <w:rPr>
          <w:rFonts w:ascii="Verdana" w:hAnsi="Verdana"/>
          <w:i/>
          <w:sz w:val="20"/>
          <w:szCs w:val="20"/>
        </w:rPr>
        <w:t>Deliberación del presente caso.</w:t>
      </w:r>
      <w:r w:rsidRPr="001455F9">
        <w:rPr>
          <w:rFonts w:ascii="Verdana" w:hAnsi="Verdana"/>
          <w:sz w:val="20"/>
          <w:szCs w:val="20"/>
        </w:rPr>
        <w:t xml:space="preserve"> – La Corte inició la deliberación de la presente Sentencia el </w:t>
      </w:r>
      <w:r>
        <w:rPr>
          <w:rFonts w:ascii="Verdana" w:hAnsi="Verdana"/>
          <w:sz w:val="20"/>
          <w:szCs w:val="20"/>
        </w:rPr>
        <w:t>5</w:t>
      </w:r>
      <w:r w:rsidRPr="001455F9">
        <w:rPr>
          <w:rFonts w:ascii="Verdana" w:hAnsi="Verdana"/>
          <w:sz w:val="20"/>
          <w:szCs w:val="20"/>
        </w:rPr>
        <w:t xml:space="preserve"> de octubre de 2015.</w:t>
      </w:r>
    </w:p>
    <w:p w14:paraId="0C704929" w14:textId="77777777" w:rsidR="00E04121" w:rsidRPr="001455F9" w:rsidRDefault="00E04121" w:rsidP="00E04121">
      <w:pPr>
        <w:jc w:val="both"/>
        <w:rPr>
          <w:rFonts w:ascii="Verdana" w:hAnsi="Verdana"/>
          <w:sz w:val="20"/>
          <w:szCs w:val="20"/>
        </w:rPr>
      </w:pPr>
    </w:p>
    <w:p w14:paraId="0C70492A" w14:textId="77777777" w:rsidR="00E04121" w:rsidRPr="001455F9" w:rsidRDefault="00E04121" w:rsidP="00E04121">
      <w:pPr>
        <w:pStyle w:val="Heading1"/>
        <w:tabs>
          <w:tab w:val="left" w:pos="851"/>
        </w:tabs>
        <w:spacing w:before="0"/>
        <w:jc w:val="center"/>
        <w:rPr>
          <w:rFonts w:ascii="Verdana" w:hAnsi="Verdana" w:cs="Verdana"/>
          <w:caps/>
          <w:snapToGrid w:val="0"/>
          <w:color w:val="auto"/>
          <w:sz w:val="20"/>
          <w:szCs w:val="20"/>
        </w:rPr>
      </w:pPr>
      <w:bookmarkStart w:id="3" w:name="_Toc437247302"/>
      <w:r w:rsidRPr="001455F9">
        <w:rPr>
          <w:rFonts w:ascii="Verdana" w:hAnsi="Verdana" w:cs="Verdana"/>
          <w:caps/>
          <w:snapToGrid w:val="0"/>
          <w:color w:val="auto"/>
          <w:sz w:val="20"/>
          <w:szCs w:val="20"/>
        </w:rPr>
        <w:t>III</w:t>
      </w:r>
      <w:r w:rsidRPr="001455F9">
        <w:rPr>
          <w:rFonts w:ascii="Verdana" w:hAnsi="Verdana" w:cs="Verdana"/>
          <w:caps/>
          <w:snapToGrid w:val="0"/>
          <w:color w:val="auto"/>
          <w:sz w:val="20"/>
          <w:szCs w:val="20"/>
        </w:rPr>
        <w:br/>
        <w:t>COMPETENCIA</w:t>
      </w:r>
      <w:bookmarkEnd w:id="3"/>
    </w:p>
    <w:p w14:paraId="0C70492B" w14:textId="77777777" w:rsidR="00E04121" w:rsidRPr="001455F9" w:rsidRDefault="00E04121" w:rsidP="00E04121">
      <w:pPr>
        <w:jc w:val="both"/>
        <w:rPr>
          <w:rFonts w:ascii="Verdana" w:hAnsi="Verdana"/>
          <w:sz w:val="20"/>
          <w:szCs w:val="20"/>
        </w:rPr>
      </w:pPr>
    </w:p>
    <w:p w14:paraId="0C70492C" w14:textId="77777777" w:rsidR="00E04121" w:rsidRPr="00664672" w:rsidRDefault="00E04121" w:rsidP="00E04121">
      <w:pPr>
        <w:pStyle w:val="ListParagraph"/>
        <w:numPr>
          <w:ilvl w:val="0"/>
          <w:numId w:val="17"/>
        </w:numPr>
        <w:ind w:left="0" w:hanging="11"/>
        <w:jc w:val="both"/>
        <w:rPr>
          <w:rFonts w:ascii="Verdana" w:hAnsi="Verdana"/>
          <w:sz w:val="20"/>
          <w:szCs w:val="20"/>
        </w:rPr>
      </w:pPr>
      <w:bookmarkStart w:id="4" w:name="_Ref343443852"/>
      <w:r w:rsidRPr="001455F9">
        <w:rPr>
          <w:rFonts w:ascii="Verdana" w:hAnsi="Verdana"/>
          <w:sz w:val="20"/>
          <w:szCs w:val="20"/>
        </w:rPr>
        <w:t xml:space="preserve">La Corte Interamericana es competente, en los términos del artículo 62.3 de la Convención, para conocer el presente caso, en razón de que Honduras es Estado Parte de la Convención Americana desde el </w:t>
      </w:r>
      <w:bookmarkEnd w:id="4"/>
      <w:r w:rsidRPr="001455F9">
        <w:rPr>
          <w:rFonts w:ascii="Verdana" w:hAnsi="Verdana"/>
          <w:sz w:val="20"/>
          <w:szCs w:val="20"/>
        </w:rPr>
        <w:t xml:space="preserve">8 de septiembre de 1977 y reconoció la competencia contenciosa de la Corte el 9 de septiembre de 1981. </w:t>
      </w:r>
      <w:r w:rsidRPr="00664672">
        <w:rPr>
          <w:rFonts w:ascii="Verdana" w:eastAsia="Times New Roman" w:hAnsi="Verdana"/>
          <w:sz w:val="20"/>
          <w:szCs w:val="20"/>
        </w:rPr>
        <w:t xml:space="preserve">  </w:t>
      </w:r>
    </w:p>
    <w:p w14:paraId="0C70492D" w14:textId="77777777" w:rsidR="00E04121" w:rsidRPr="00F22EE1" w:rsidRDefault="00E04121" w:rsidP="00E04121">
      <w:pPr>
        <w:rPr>
          <w:rFonts w:ascii="Verdana" w:hAnsi="Verdana"/>
          <w:sz w:val="20"/>
          <w:szCs w:val="20"/>
        </w:rPr>
      </w:pPr>
    </w:p>
    <w:p w14:paraId="0C70492E" w14:textId="77777777" w:rsidR="00E04121" w:rsidRDefault="00E04121" w:rsidP="00E04121">
      <w:pPr>
        <w:pStyle w:val="Heading1"/>
        <w:tabs>
          <w:tab w:val="left" w:pos="851"/>
        </w:tabs>
        <w:spacing w:before="0"/>
        <w:jc w:val="center"/>
        <w:rPr>
          <w:rFonts w:ascii="Verdana" w:hAnsi="Verdana" w:cs="Verdana"/>
          <w:caps/>
          <w:snapToGrid w:val="0"/>
          <w:color w:val="auto"/>
          <w:sz w:val="20"/>
          <w:szCs w:val="20"/>
        </w:rPr>
      </w:pPr>
      <w:bookmarkStart w:id="5" w:name="_Toc437246936"/>
      <w:bookmarkStart w:id="6" w:name="_Toc437247303"/>
      <w:r>
        <w:rPr>
          <w:rFonts w:ascii="Verdana" w:hAnsi="Verdana" w:cs="Verdana"/>
          <w:caps/>
          <w:snapToGrid w:val="0"/>
          <w:color w:val="auto"/>
          <w:sz w:val="20"/>
          <w:szCs w:val="20"/>
        </w:rPr>
        <w:t>i</w:t>
      </w:r>
      <w:r w:rsidRPr="001455F9">
        <w:rPr>
          <w:rFonts w:ascii="Verdana" w:hAnsi="Verdana" w:cs="Verdana"/>
          <w:caps/>
          <w:snapToGrid w:val="0"/>
          <w:color w:val="auto"/>
          <w:sz w:val="20"/>
          <w:szCs w:val="20"/>
        </w:rPr>
        <w:t>V</w:t>
      </w:r>
      <w:r w:rsidRPr="001455F9">
        <w:rPr>
          <w:rFonts w:ascii="Verdana" w:hAnsi="Verdana" w:cs="Verdana"/>
          <w:caps/>
          <w:snapToGrid w:val="0"/>
          <w:color w:val="auto"/>
          <w:sz w:val="20"/>
          <w:szCs w:val="20"/>
        </w:rPr>
        <w:br/>
        <w:t>EXCEPCIÓN PRELIMINAR</w:t>
      </w:r>
      <w:bookmarkEnd w:id="5"/>
      <w:bookmarkEnd w:id="6"/>
    </w:p>
    <w:p w14:paraId="0C70492F" w14:textId="77777777" w:rsidR="00E04121" w:rsidRPr="001455F9" w:rsidRDefault="00E04121" w:rsidP="00E04121">
      <w:pPr>
        <w:pStyle w:val="Heading1"/>
        <w:tabs>
          <w:tab w:val="left" w:pos="851"/>
        </w:tabs>
        <w:spacing w:before="0"/>
        <w:jc w:val="center"/>
        <w:rPr>
          <w:rFonts w:ascii="Verdana" w:hAnsi="Verdana" w:cs="Verdana"/>
          <w:caps/>
          <w:snapToGrid w:val="0"/>
          <w:color w:val="auto"/>
          <w:sz w:val="20"/>
          <w:szCs w:val="20"/>
        </w:rPr>
      </w:pPr>
      <w:bookmarkStart w:id="7" w:name="_Toc437247304"/>
      <w:r>
        <w:rPr>
          <w:rFonts w:ascii="Verdana" w:hAnsi="Verdana" w:cs="Verdana"/>
          <w:caps/>
          <w:snapToGrid w:val="0"/>
          <w:color w:val="auto"/>
          <w:sz w:val="20"/>
          <w:szCs w:val="20"/>
        </w:rPr>
        <w:t>ALEGADA</w:t>
      </w:r>
      <w:r w:rsidRPr="001455F9">
        <w:rPr>
          <w:rFonts w:ascii="Verdana" w:hAnsi="Verdana" w:cs="Verdana"/>
          <w:caps/>
          <w:snapToGrid w:val="0"/>
          <w:color w:val="auto"/>
          <w:sz w:val="20"/>
          <w:szCs w:val="20"/>
        </w:rPr>
        <w:t xml:space="preserve"> FALTA DE AGOTAMIENTO DE LOS RECURSOS INTERNOS</w:t>
      </w:r>
      <w:bookmarkEnd w:id="7"/>
    </w:p>
    <w:p w14:paraId="0C704930" w14:textId="77777777" w:rsidR="00E04121" w:rsidRPr="001455F9" w:rsidRDefault="00E04121" w:rsidP="00E04121">
      <w:pPr>
        <w:jc w:val="both"/>
        <w:rPr>
          <w:rFonts w:ascii="Verdana" w:hAnsi="Verdana"/>
          <w:sz w:val="20"/>
          <w:szCs w:val="20"/>
        </w:rPr>
      </w:pPr>
    </w:p>
    <w:p w14:paraId="0C704931" w14:textId="77777777" w:rsidR="00E04121" w:rsidRPr="001455F9" w:rsidRDefault="00E04121" w:rsidP="00E04121">
      <w:pPr>
        <w:pStyle w:val="Heading2"/>
        <w:numPr>
          <w:ilvl w:val="0"/>
          <w:numId w:val="9"/>
        </w:numPr>
        <w:spacing w:before="0"/>
        <w:rPr>
          <w:rFonts w:ascii="Verdana" w:hAnsi="Verdana"/>
          <w:sz w:val="20"/>
          <w:szCs w:val="20"/>
        </w:rPr>
      </w:pPr>
      <w:bookmarkStart w:id="8" w:name="_Toc399775256"/>
      <w:bookmarkStart w:id="9" w:name="_Toc437247305"/>
      <w:r w:rsidRPr="001455F9">
        <w:rPr>
          <w:rFonts w:ascii="Verdana" w:hAnsi="Verdana"/>
          <w:i/>
          <w:color w:val="auto"/>
          <w:sz w:val="20"/>
          <w:szCs w:val="20"/>
        </w:rPr>
        <w:t>Argumentos de las partes y de la Comisión</w:t>
      </w:r>
      <w:bookmarkEnd w:id="8"/>
      <w:bookmarkEnd w:id="9"/>
    </w:p>
    <w:p w14:paraId="0C704932" w14:textId="77777777" w:rsidR="00E04121" w:rsidRPr="00A71698" w:rsidRDefault="00E04121" w:rsidP="00E04121">
      <w:pPr>
        <w:pStyle w:val="ListParagraph"/>
        <w:ind w:left="0"/>
        <w:jc w:val="both"/>
        <w:rPr>
          <w:rFonts w:ascii="Verdana" w:hAnsi="Verdana"/>
          <w:sz w:val="20"/>
          <w:szCs w:val="20"/>
        </w:rPr>
      </w:pPr>
    </w:p>
    <w:p w14:paraId="0C704933" w14:textId="6DC4980C" w:rsidR="00E04121" w:rsidRPr="001455F9" w:rsidRDefault="00E04121" w:rsidP="00E04121">
      <w:pPr>
        <w:pStyle w:val="ListParagraph"/>
        <w:numPr>
          <w:ilvl w:val="0"/>
          <w:numId w:val="17"/>
        </w:numPr>
        <w:ind w:left="0" w:hanging="11"/>
        <w:jc w:val="both"/>
        <w:rPr>
          <w:rFonts w:ascii="Verdana" w:hAnsi="Verdana"/>
          <w:sz w:val="20"/>
          <w:szCs w:val="20"/>
        </w:rPr>
      </w:pPr>
      <w:r w:rsidRPr="00516AB0">
        <w:rPr>
          <w:rFonts w:ascii="Verdana" w:hAnsi="Verdana"/>
          <w:sz w:val="20"/>
          <w:szCs w:val="20"/>
        </w:rPr>
        <w:t xml:space="preserve">El </w:t>
      </w:r>
      <w:r w:rsidRPr="00516AB0">
        <w:rPr>
          <w:rFonts w:ascii="Verdana" w:hAnsi="Verdana"/>
          <w:b/>
          <w:i/>
          <w:sz w:val="20"/>
          <w:szCs w:val="20"/>
        </w:rPr>
        <w:t>Estado</w:t>
      </w:r>
      <w:r w:rsidRPr="00516AB0">
        <w:rPr>
          <w:rFonts w:ascii="Verdana" w:hAnsi="Verdana"/>
          <w:sz w:val="20"/>
          <w:szCs w:val="20"/>
        </w:rPr>
        <w:t xml:space="preserve"> no señaló un apartado independiente y concreto respecto de las excepciones preliminares interpuestas. Sin embargo, en</w:t>
      </w:r>
      <w:r w:rsidRPr="001919D3">
        <w:rPr>
          <w:rFonts w:ascii="Verdana" w:hAnsi="Verdana"/>
          <w:sz w:val="20"/>
          <w:szCs w:val="20"/>
        </w:rPr>
        <w:t xml:space="preserve"> </w:t>
      </w:r>
      <w:r w:rsidRPr="00BA18D1">
        <w:rPr>
          <w:rFonts w:ascii="Verdana" w:hAnsi="Verdana"/>
          <w:sz w:val="20"/>
          <w:szCs w:val="20"/>
        </w:rPr>
        <w:t xml:space="preserve">las conclusiones de su escrito de contestación argumentó </w:t>
      </w:r>
      <w:r w:rsidRPr="00F97093">
        <w:rPr>
          <w:rFonts w:ascii="Verdana" w:hAnsi="Verdana"/>
          <w:sz w:val="20"/>
          <w:szCs w:val="20"/>
        </w:rPr>
        <w:t>que existe una falta de agotamiento de los recursos internos respecto de la alegada violación del derecho a la propiedad</w:t>
      </w:r>
      <w:r>
        <w:rPr>
          <w:rFonts w:ascii="Verdana" w:hAnsi="Verdana"/>
          <w:sz w:val="20"/>
          <w:szCs w:val="20"/>
        </w:rPr>
        <w:t xml:space="preserve">, debido a que </w:t>
      </w:r>
      <w:r w:rsidRPr="00DB0579">
        <w:rPr>
          <w:rFonts w:ascii="Verdana" w:hAnsi="Verdana"/>
          <w:sz w:val="20"/>
          <w:szCs w:val="20"/>
        </w:rPr>
        <w:t xml:space="preserve">las presuntas víctimas “no han hecho uso de las acciones o recursos establecidos en la jurisdicción nacional, ya que no han […] formalizado solicitudes ante las autoridades nacionales ni consta que se les [haya] denegado en sentencia o resolución definitiva dichos petitorios”. </w:t>
      </w:r>
      <w:r>
        <w:rPr>
          <w:rFonts w:ascii="Verdana" w:hAnsi="Verdana"/>
          <w:sz w:val="20"/>
          <w:szCs w:val="20"/>
        </w:rPr>
        <w:t xml:space="preserve"> Por otra parte</w:t>
      </w:r>
      <w:r w:rsidRPr="00516AB0">
        <w:rPr>
          <w:rFonts w:ascii="Verdana" w:hAnsi="Verdana"/>
          <w:sz w:val="20"/>
          <w:szCs w:val="20"/>
        </w:rPr>
        <w:t>, el Estado argumentó que la</w:t>
      </w:r>
      <w:r w:rsidRPr="00517EAE">
        <w:rPr>
          <w:rFonts w:ascii="Verdana" w:hAnsi="Verdana"/>
          <w:sz w:val="20"/>
          <w:szCs w:val="20"/>
        </w:rPr>
        <w:t xml:space="preserve"> muerte del señor Félix Ordóñez Suazo</w:t>
      </w:r>
      <w:r>
        <w:rPr>
          <w:rFonts w:ascii="Verdana" w:hAnsi="Verdana"/>
          <w:sz w:val="20"/>
          <w:szCs w:val="20"/>
        </w:rPr>
        <w:t xml:space="preserve"> cuenta con un procedimiento</w:t>
      </w:r>
      <w:r w:rsidRPr="00517EAE">
        <w:rPr>
          <w:rFonts w:ascii="Verdana" w:hAnsi="Verdana"/>
          <w:sz w:val="20"/>
          <w:szCs w:val="20"/>
        </w:rPr>
        <w:t xml:space="preserve"> </w:t>
      </w:r>
      <w:r>
        <w:rPr>
          <w:rFonts w:ascii="Verdana" w:hAnsi="Verdana"/>
          <w:sz w:val="20"/>
          <w:szCs w:val="20"/>
        </w:rPr>
        <w:t xml:space="preserve">judicial </w:t>
      </w:r>
      <w:r w:rsidRPr="00517EAE">
        <w:rPr>
          <w:rFonts w:ascii="Verdana" w:hAnsi="Verdana"/>
          <w:sz w:val="20"/>
          <w:szCs w:val="20"/>
        </w:rPr>
        <w:t>abierto</w:t>
      </w:r>
      <w:r>
        <w:rPr>
          <w:rFonts w:ascii="Verdana" w:hAnsi="Verdana"/>
          <w:sz w:val="20"/>
          <w:szCs w:val="20"/>
        </w:rPr>
        <w:t xml:space="preserve"> y</w:t>
      </w:r>
      <w:r w:rsidRPr="00517EAE">
        <w:rPr>
          <w:rFonts w:ascii="Verdana" w:hAnsi="Verdana"/>
          <w:sz w:val="20"/>
          <w:szCs w:val="20"/>
        </w:rPr>
        <w:t xml:space="preserve"> con una orden de captura pendiente</w:t>
      </w:r>
      <w:r>
        <w:rPr>
          <w:rFonts w:ascii="Verdana" w:hAnsi="Verdana"/>
          <w:sz w:val="20"/>
          <w:szCs w:val="20"/>
        </w:rPr>
        <w:t xml:space="preserve"> de ejecución</w:t>
      </w:r>
      <w:r w:rsidRPr="00517EAE">
        <w:rPr>
          <w:rFonts w:ascii="Verdana" w:hAnsi="Verdana"/>
          <w:sz w:val="20"/>
          <w:szCs w:val="20"/>
        </w:rPr>
        <w:t xml:space="preserve"> contra el presunto responsable, por lo que</w:t>
      </w:r>
      <w:r>
        <w:rPr>
          <w:rFonts w:ascii="Verdana" w:hAnsi="Verdana"/>
          <w:sz w:val="20"/>
          <w:szCs w:val="20"/>
        </w:rPr>
        <w:t xml:space="preserve"> </w:t>
      </w:r>
      <w:r w:rsidRPr="00517EAE">
        <w:rPr>
          <w:rFonts w:ascii="Verdana" w:hAnsi="Verdana"/>
          <w:sz w:val="20"/>
          <w:szCs w:val="20"/>
        </w:rPr>
        <w:t>no procede un pronunciamiento de la Corte Interamericana</w:t>
      </w:r>
      <w:r>
        <w:rPr>
          <w:rFonts w:ascii="Verdana" w:hAnsi="Verdana"/>
          <w:sz w:val="20"/>
          <w:szCs w:val="20"/>
        </w:rPr>
        <w:t xml:space="preserve">. </w:t>
      </w:r>
    </w:p>
    <w:p w14:paraId="0C704934" w14:textId="77777777" w:rsidR="00E04121" w:rsidRPr="001455F9" w:rsidRDefault="00E04121" w:rsidP="00E04121">
      <w:pPr>
        <w:pStyle w:val="ListParagraph"/>
        <w:rPr>
          <w:rFonts w:ascii="Verdana" w:hAnsi="Verdana"/>
          <w:sz w:val="20"/>
          <w:szCs w:val="20"/>
        </w:rPr>
      </w:pPr>
    </w:p>
    <w:p w14:paraId="0C704935" w14:textId="4FE4F8F2"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La </w:t>
      </w:r>
      <w:r w:rsidRPr="001455F9">
        <w:rPr>
          <w:rFonts w:ascii="Verdana" w:hAnsi="Verdana"/>
          <w:b/>
          <w:i/>
          <w:sz w:val="20"/>
          <w:szCs w:val="20"/>
        </w:rPr>
        <w:t>Comisión</w:t>
      </w:r>
      <w:r w:rsidRPr="001455F9">
        <w:rPr>
          <w:rFonts w:ascii="Verdana" w:hAnsi="Verdana"/>
          <w:sz w:val="20"/>
          <w:szCs w:val="20"/>
        </w:rPr>
        <w:t xml:space="preserve"> </w:t>
      </w:r>
      <w:r>
        <w:rPr>
          <w:rFonts w:ascii="Verdana" w:hAnsi="Verdana"/>
          <w:sz w:val="20"/>
          <w:szCs w:val="20"/>
        </w:rPr>
        <w:t xml:space="preserve">observó que la única referencia en la contestación del Estado que puede entenderse como una excepción preliminar era la referida a los hechos relacionados con la alegada violación al derecho a la propiedad. En este sentido </w:t>
      </w:r>
      <w:r w:rsidRPr="001455F9">
        <w:rPr>
          <w:rFonts w:ascii="Verdana" w:hAnsi="Verdana"/>
          <w:sz w:val="20"/>
          <w:szCs w:val="20"/>
        </w:rPr>
        <w:t xml:space="preserve">indicó </w:t>
      </w:r>
      <w:r w:rsidRPr="001455F9">
        <w:rPr>
          <w:rFonts w:ascii="Verdana" w:hAnsi="Verdana"/>
          <w:sz w:val="20"/>
          <w:szCs w:val="20"/>
        </w:rPr>
        <w:lastRenderedPageBreak/>
        <w:t>que: i) está ampliamente demostrado que la Comunidad de Punta Piedra formalizó sus reclamos en múltiples oportunidades; ii) tanto ante la Comisión como ante la Corte, el Estado incumplió la carga que le corresponde en cuanto a la precisión de los recursos a agotar y la prueba de su idoneidad y efectividad</w:t>
      </w:r>
      <w:r w:rsidR="005C3426">
        <w:rPr>
          <w:rFonts w:ascii="Verdana" w:hAnsi="Verdana"/>
          <w:sz w:val="20"/>
          <w:szCs w:val="20"/>
        </w:rPr>
        <w:t>,</w:t>
      </w:r>
      <w:r w:rsidRPr="001455F9">
        <w:rPr>
          <w:rFonts w:ascii="Verdana" w:hAnsi="Verdana"/>
          <w:sz w:val="20"/>
          <w:szCs w:val="20"/>
        </w:rPr>
        <w:t xml:space="preserve"> y iii) ante la activación de múltiples mecanismos que no dieron resultado, la suscripción de acuerdos y el incumplimiento de los mismos, la Comisión consideró que, tal como </w:t>
      </w:r>
      <w:r w:rsidR="005C3426">
        <w:rPr>
          <w:rFonts w:ascii="Verdana" w:hAnsi="Verdana"/>
          <w:sz w:val="20"/>
          <w:szCs w:val="20"/>
        </w:rPr>
        <w:t>había decidido</w:t>
      </w:r>
      <w:r w:rsidR="005C3426" w:rsidRPr="001455F9">
        <w:rPr>
          <w:rFonts w:ascii="Verdana" w:hAnsi="Verdana"/>
          <w:sz w:val="20"/>
          <w:szCs w:val="20"/>
        </w:rPr>
        <w:t xml:space="preserve"> </w:t>
      </w:r>
      <w:r w:rsidRPr="001455F9">
        <w:rPr>
          <w:rFonts w:ascii="Verdana" w:hAnsi="Verdana"/>
          <w:sz w:val="20"/>
          <w:szCs w:val="20"/>
        </w:rPr>
        <w:t>en su Informe de Admisibilidad, en el presente caso resulta aplicable la excepción contenida en el artículo 46.2 a) de la Convención, relacionado con la inexistencia en la normativa interna de un debido proceso legal para analizar los derechos que se alegaron violados.</w:t>
      </w:r>
    </w:p>
    <w:p w14:paraId="0C704936" w14:textId="77777777" w:rsidR="00E04121" w:rsidRPr="001455F9" w:rsidRDefault="00E04121" w:rsidP="00E04121">
      <w:pPr>
        <w:pStyle w:val="ListParagraph"/>
        <w:rPr>
          <w:rFonts w:ascii="Verdana" w:hAnsi="Verdana"/>
          <w:sz w:val="20"/>
          <w:szCs w:val="20"/>
        </w:rPr>
      </w:pPr>
    </w:p>
    <w:p w14:paraId="0C704937" w14:textId="12EC0D46"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Los </w:t>
      </w:r>
      <w:r w:rsidRPr="001455F9">
        <w:rPr>
          <w:rFonts w:ascii="Verdana" w:hAnsi="Verdana"/>
          <w:b/>
          <w:i/>
          <w:sz w:val="20"/>
          <w:szCs w:val="20"/>
        </w:rPr>
        <w:t>representantes</w:t>
      </w:r>
      <w:r w:rsidRPr="001455F9">
        <w:rPr>
          <w:rFonts w:ascii="Verdana" w:hAnsi="Verdana"/>
          <w:sz w:val="20"/>
          <w:szCs w:val="20"/>
        </w:rPr>
        <w:t xml:space="preserve"> </w:t>
      </w:r>
      <w:bookmarkStart w:id="10" w:name="_Toc399775257"/>
      <w:r w:rsidRPr="001455F9">
        <w:rPr>
          <w:rFonts w:ascii="Verdana" w:hAnsi="Verdana"/>
          <w:sz w:val="20"/>
          <w:szCs w:val="20"/>
        </w:rPr>
        <w:t xml:space="preserve">señalaron que </w:t>
      </w:r>
      <w:r>
        <w:rPr>
          <w:rFonts w:ascii="Verdana" w:hAnsi="Verdana"/>
          <w:sz w:val="20"/>
          <w:szCs w:val="20"/>
        </w:rPr>
        <w:t xml:space="preserve">entendían la falta de agotamiento de los recursos internos como la única excepción preliminar interpuesta por el Estado. Al respecto, manifestaron que </w:t>
      </w:r>
      <w:r w:rsidRPr="001455F9">
        <w:rPr>
          <w:rFonts w:ascii="Verdana" w:hAnsi="Verdana"/>
          <w:sz w:val="20"/>
          <w:szCs w:val="20"/>
        </w:rPr>
        <w:t>el Estado se contradijo al argumentar que no se habían agotado los recursos internos, pues en el apartado sobre el derecho a la protección judicial indicado en su escrito de contestación reconoció las gestiones realizadas por la Comunidad ante el Instituto Nacional Agrario y el Ministerio Público. Asimismo, manifestaron que el Estado no indicó cuáles eran los recursos idóneos y efectivos para la solución del caso en el derecho interno. Finalmente, argumentaron que no existe legislación interna adecuada para la protección y defensa de los derechos de los pueblos indígenas.</w:t>
      </w:r>
      <w:bookmarkEnd w:id="10"/>
    </w:p>
    <w:p w14:paraId="0C704938" w14:textId="77777777" w:rsidR="00E04121" w:rsidRPr="001455F9" w:rsidRDefault="00E04121" w:rsidP="00E04121">
      <w:pPr>
        <w:pStyle w:val="ListParagraph"/>
        <w:rPr>
          <w:rFonts w:ascii="Verdana" w:hAnsi="Verdana"/>
          <w:sz w:val="20"/>
          <w:szCs w:val="20"/>
        </w:rPr>
      </w:pPr>
    </w:p>
    <w:p w14:paraId="0C704939" w14:textId="77777777" w:rsidR="00E04121" w:rsidRPr="001455F9" w:rsidRDefault="00E04121" w:rsidP="00E04121">
      <w:pPr>
        <w:pStyle w:val="Heading2"/>
        <w:numPr>
          <w:ilvl w:val="0"/>
          <w:numId w:val="9"/>
        </w:numPr>
        <w:spacing w:before="0"/>
        <w:rPr>
          <w:rFonts w:ascii="Verdana" w:hAnsi="Verdana"/>
          <w:i/>
          <w:color w:val="auto"/>
          <w:sz w:val="20"/>
          <w:szCs w:val="20"/>
        </w:rPr>
      </w:pPr>
      <w:bookmarkStart w:id="11" w:name="_Toc437247306"/>
      <w:r w:rsidRPr="001455F9">
        <w:rPr>
          <w:rFonts w:ascii="Verdana" w:hAnsi="Verdana"/>
          <w:i/>
          <w:color w:val="auto"/>
          <w:sz w:val="20"/>
          <w:szCs w:val="20"/>
        </w:rPr>
        <w:t>Consideraciones de la Corte</w:t>
      </w:r>
      <w:bookmarkEnd w:id="11"/>
    </w:p>
    <w:p w14:paraId="0C70493A" w14:textId="77777777" w:rsidR="00E04121" w:rsidRPr="00F22EE1" w:rsidRDefault="00E04121" w:rsidP="00E04121">
      <w:pPr>
        <w:rPr>
          <w:rFonts w:ascii="Verdana" w:hAnsi="Verdana"/>
          <w:sz w:val="20"/>
          <w:szCs w:val="20"/>
        </w:rPr>
      </w:pPr>
    </w:p>
    <w:p w14:paraId="0C70493B" w14:textId="77777777" w:rsidR="00E04121" w:rsidRPr="001455F9" w:rsidRDefault="00E04121" w:rsidP="00E04121">
      <w:pPr>
        <w:pStyle w:val="ListParagraph"/>
        <w:numPr>
          <w:ilvl w:val="0"/>
          <w:numId w:val="17"/>
        </w:numPr>
        <w:ind w:left="0" w:hanging="11"/>
        <w:jc w:val="both"/>
        <w:rPr>
          <w:rFonts w:ascii="Verdana" w:hAnsi="Verdana"/>
          <w:sz w:val="20"/>
          <w:szCs w:val="20"/>
        </w:rPr>
      </w:pPr>
      <w:r>
        <w:rPr>
          <w:rFonts w:ascii="Verdana" w:eastAsia="Batang" w:hAnsi="Verdana" w:cs="Times"/>
          <w:sz w:val="20"/>
          <w:szCs w:val="20"/>
        </w:rPr>
        <w:t>En el presente capítulo</w:t>
      </w:r>
      <w:r w:rsidRPr="001455F9">
        <w:rPr>
          <w:rFonts w:ascii="Verdana" w:eastAsia="Batang" w:hAnsi="Verdana" w:cs="Times"/>
          <w:sz w:val="20"/>
          <w:szCs w:val="20"/>
        </w:rPr>
        <w:t xml:space="preserve"> la Corte procederá a analizar las </w:t>
      </w:r>
      <w:r w:rsidRPr="001455F9">
        <w:rPr>
          <w:rFonts w:ascii="Verdana" w:hAnsi="Verdana"/>
          <w:sz w:val="20"/>
          <w:szCs w:val="20"/>
        </w:rPr>
        <w:t xml:space="preserve">dos excepciones preliminares presentadas por el Estado </w:t>
      </w:r>
      <w:r>
        <w:rPr>
          <w:rFonts w:ascii="Verdana" w:hAnsi="Verdana"/>
          <w:sz w:val="20"/>
          <w:szCs w:val="20"/>
        </w:rPr>
        <w:t xml:space="preserve">en su escrito de contestación que se encuentran </w:t>
      </w:r>
      <w:r w:rsidRPr="001455F9">
        <w:rPr>
          <w:rFonts w:ascii="Verdana" w:hAnsi="Verdana"/>
          <w:sz w:val="20"/>
          <w:szCs w:val="20"/>
        </w:rPr>
        <w:t xml:space="preserve">relacionadas con: 1) la falta de agotamiento de los recursos internos para el </w:t>
      </w:r>
      <w:r>
        <w:rPr>
          <w:rFonts w:ascii="Verdana" w:hAnsi="Verdana"/>
          <w:sz w:val="20"/>
          <w:szCs w:val="20"/>
        </w:rPr>
        <w:t>saneamiento</w:t>
      </w:r>
      <w:r w:rsidRPr="001455F9">
        <w:rPr>
          <w:rFonts w:ascii="Verdana" w:hAnsi="Verdana"/>
          <w:sz w:val="20"/>
          <w:szCs w:val="20"/>
        </w:rPr>
        <w:t xml:space="preserve"> del territorio de la Comunidad de Punta Piedra; y 2) la falta de agotamiento de los recursos internos con motivo de la muerte de Félix Ordóñez Suazo. </w:t>
      </w:r>
    </w:p>
    <w:p w14:paraId="0C70493C" w14:textId="77777777" w:rsidR="00E04121" w:rsidRPr="00F22EE1" w:rsidRDefault="00E04121" w:rsidP="00E04121">
      <w:pPr>
        <w:rPr>
          <w:rFonts w:ascii="Verdana" w:hAnsi="Verdana"/>
          <w:sz w:val="20"/>
          <w:szCs w:val="20"/>
        </w:rPr>
      </w:pPr>
    </w:p>
    <w:p w14:paraId="0C70493D" w14:textId="0DC19EF1"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El artículo 46.1.a) de la Convención Americana dispone que para determinar la admisibilidad de una petición o comunicación presentada ante la Comisión, de conformidad con los artículos 44 o 45</w:t>
      </w:r>
      <w:r w:rsidRPr="001455F9">
        <w:rPr>
          <w:rFonts w:ascii="Verdana" w:hAnsi="Verdana"/>
          <w:sz w:val="20"/>
          <w:szCs w:val="20"/>
          <w:vertAlign w:val="superscript"/>
        </w:rPr>
        <w:t xml:space="preserve"> </w:t>
      </w:r>
      <w:r w:rsidRPr="001455F9">
        <w:rPr>
          <w:rFonts w:ascii="Verdana" w:hAnsi="Verdana"/>
          <w:sz w:val="20"/>
          <w:szCs w:val="20"/>
        </w:rPr>
        <w:t>de la Convención, es necesario que se hayan interpuesto y agotado los recursos de la jurisdicción interna, conforme a los principios del Derecho Internacional generalmente reconocidos</w:t>
      </w:r>
      <w:r w:rsidRPr="00F22EE1">
        <w:rPr>
          <w:rFonts w:ascii="Verdana" w:hAnsi="Verdana"/>
          <w:sz w:val="20"/>
          <w:szCs w:val="20"/>
          <w:vertAlign w:val="superscript"/>
        </w:rPr>
        <w:footnoteReference w:id="14"/>
      </w:r>
      <w:r w:rsidRPr="001455F9">
        <w:rPr>
          <w:rFonts w:ascii="Verdana" w:hAnsi="Verdana"/>
          <w:sz w:val="20"/>
          <w:szCs w:val="20"/>
        </w:rPr>
        <w:t>. Lo anterior, sin embargo, supone que no sólo deben existir formalmente esos recursos, sino</w:t>
      </w:r>
      <w:r w:rsidR="005C3426">
        <w:rPr>
          <w:rFonts w:ascii="Verdana" w:hAnsi="Verdana"/>
          <w:sz w:val="20"/>
          <w:szCs w:val="20"/>
        </w:rPr>
        <w:t xml:space="preserve"> que</w:t>
      </w:r>
      <w:r w:rsidRPr="001455F9">
        <w:rPr>
          <w:rFonts w:ascii="Verdana" w:hAnsi="Verdana"/>
          <w:sz w:val="20"/>
          <w:szCs w:val="20"/>
        </w:rPr>
        <w:t xml:space="preserve"> también deben ser adecuados y efectivos, como resulta de las excepciones contempladas en el artículo 46.2 de la Convención</w:t>
      </w:r>
      <w:r w:rsidRPr="00F22EE1">
        <w:rPr>
          <w:rFonts w:ascii="Verdana" w:hAnsi="Verdana"/>
          <w:sz w:val="20"/>
          <w:szCs w:val="20"/>
          <w:vertAlign w:val="superscript"/>
        </w:rPr>
        <w:footnoteReference w:id="15"/>
      </w:r>
      <w:r w:rsidRPr="001455F9">
        <w:rPr>
          <w:rFonts w:ascii="Verdana" w:hAnsi="Verdana"/>
          <w:sz w:val="20"/>
          <w:szCs w:val="20"/>
        </w:rPr>
        <w:t xml:space="preserve">. </w:t>
      </w:r>
    </w:p>
    <w:p w14:paraId="0C70493E" w14:textId="77777777" w:rsidR="00E04121" w:rsidRPr="001455F9" w:rsidRDefault="00E04121" w:rsidP="00E04121">
      <w:pPr>
        <w:pStyle w:val="ListParagraph"/>
        <w:ind w:left="0"/>
        <w:jc w:val="both"/>
        <w:rPr>
          <w:rFonts w:ascii="Verdana" w:hAnsi="Verdana"/>
          <w:sz w:val="20"/>
          <w:szCs w:val="20"/>
        </w:rPr>
      </w:pPr>
    </w:p>
    <w:p w14:paraId="0C70493F" w14:textId="77777777"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En este sentido, la Corte recuerda que la regla del previo agotamiento de los recursos internos está concebida en interés del Estado, pues busca dispensarlo de responder ante un órgano internacional por actos que se le imputen, antes de haber tenido la ocasión de remediarlos con sus propios medios</w:t>
      </w:r>
      <w:r w:rsidRPr="00F22EE1">
        <w:rPr>
          <w:rFonts w:ascii="Verdana" w:hAnsi="Verdana"/>
          <w:sz w:val="20"/>
          <w:szCs w:val="20"/>
          <w:vertAlign w:val="superscript"/>
        </w:rPr>
        <w:footnoteReference w:id="16"/>
      </w:r>
      <w:r w:rsidRPr="001455F9">
        <w:rPr>
          <w:rFonts w:ascii="Verdana" w:hAnsi="Verdana"/>
          <w:sz w:val="20"/>
          <w:szCs w:val="20"/>
        </w:rPr>
        <w:t xml:space="preserve">. No obstante, para que proceda una excepción preliminar por falta de agotamiento de los recursos internos, el Estado debe especificar los recursos internos que aún no han sido agotados, y </w:t>
      </w:r>
      <w:r w:rsidRPr="001455F9">
        <w:rPr>
          <w:rFonts w:ascii="Verdana" w:hAnsi="Verdana"/>
          <w:sz w:val="20"/>
          <w:szCs w:val="20"/>
        </w:rPr>
        <w:lastRenderedPageBreak/>
        <w:t>demostrar que éstos se encontraban disponibles y eran adecuados, idóneos y efectivos</w:t>
      </w:r>
      <w:r w:rsidRPr="00F22EE1">
        <w:rPr>
          <w:rFonts w:ascii="Verdana" w:hAnsi="Verdana"/>
          <w:sz w:val="20"/>
          <w:szCs w:val="20"/>
          <w:vertAlign w:val="superscript"/>
        </w:rPr>
        <w:footnoteReference w:id="17"/>
      </w:r>
      <w:r w:rsidRPr="001455F9">
        <w:rPr>
          <w:rFonts w:ascii="Verdana" w:hAnsi="Verdana"/>
          <w:sz w:val="20"/>
          <w:szCs w:val="20"/>
        </w:rPr>
        <w:t xml:space="preserve">. </w:t>
      </w:r>
    </w:p>
    <w:p w14:paraId="0C704940" w14:textId="77777777" w:rsidR="00E04121" w:rsidRPr="001455F9" w:rsidRDefault="00E04121" w:rsidP="00E04121">
      <w:pPr>
        <w:pStyle w:val="ListParagraph"/>
        <w:ind w:left="0"/>
        <w:jc w:val="both"/>
        <w:rPr>
          <w:rFonts w:ascii="Verdana" w:hAnsi="Verdana"/>
          <w:sz w:val="20"/>
          <w:szCs w:val="20"/>
        </w:rPr>
      </w:pPr>
    </w:p>
    <w:p w14:paraId="0C704941" w14:textId="77777777"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Asimismo, la Corte ha sostenido en su jurisprudencia constante que una objeción al ejercicio de su jurisdicción basada en la supuesta falta de agotamiento de los recursos internos debe ser presentada en el momento procesal oportuno, esto es, durante el procedimiento de admisibilidad ante la Comisión</w:t>
      </w:r>
      <w:r w:rsidRPr="00F22EE1">
        <w:rPr>
          <w:rFonts w:ascii="Verdana" w:hAnsi="Verdana"/>
          <w:sz w:val="20"/>
          <w:szCs w:val="20"/>
          <w:vertAlign w:val="superscript"/>
        </w:rPr>
        <w:footnoteReference w:id="18"/>
      </w:r>
      <w:r w:rsidRPr="001455F9">
        <w:rPr>
          <w:rFonts w:ascii="Verdana" w:hAnsi="Verdana"/>
          <w:sz w:val="20"/>
          <w:szCs w:val="20"/>
        </w:rPr>
        <w:t>, por lo cual se entiende que luego de dicho momento opera el principio de preclusión procesal</w:t>
      </w:r>
      <w:r w:rsidRPr="00F22EE1">
        <w:rPr>
          <w:rFonts w:ascii="Verdana" w:hAnsi="Verdana"/>
          <w:sz w:val="20"/>
          <w:szCs w:val="20"/>
          <w:vertAlign w:val="superscript"/>
        </w:rPr>
        <w:footnoteReference w:id="19"/>
      </w:r>
      <w:r>
        <w:rPr>
          <w:rFonts w:ascii="Verdana" w:hAnsi="Verdana"/>
          <w:sz w:val="20"/>
          <w:szCs w:val="20"/>
        </w:rPr>
        <w:t xml:space="preserve">. </w:t>
      </w:r>
    </w:p>
    <w:p w14:paraId="0C704942" w14:textId="77777777" w:rsidR="00E04121" w:rsidRPr="001455F9" w:rsidRDefault="00E04121" w:rsidP="00E04121">
      <w:pPr>
        <w:pStyle w:val="ListParagraph"/>
        <w:rPr>
          <w:rFonts w:ascii="Verdana" w:hAnsi="Verdana"/>
          <w:sz w:val="20"/>
          <w:szCs w:val="20"/>
        </w:rPr>
      </w:pPr>
    </w:p>
    <w:p w14:paraId="0C704943" w14:textId="77777777"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En este sentido, la Corte constata que durante el procedimiento de admisibilidad de la petición tramitado ante la Comisión, mediante escrito de 19 de agosto de 2004 el Estado alegó que “si […] no ha cumplido a la Comunidad Garífuna [de] Punta Piedra con el pago de la indemnización de trece millones ciento sesenta y ocho mil novecientos y dos lempiras con ochenta y cuatro centavos (</w:t>
      </w:r>
      <w:proofErr w:type="spellStart"/>
      <w:r w:rsidRPr="001455F9">
        <w:rPr>
          <w:rFonts w:ascii="Verdana" w:hAnsi="Verdana"/>
          <w:sz w:val="20"/>
          <w:szCs w:val="20"/>
        </w:rPr>
        <w:t>Lps</w:t>
      </w:r>
      <w:proofErr w:type="spellEnd"/>
      <w:r w:rsidRPr="001455F9">
        <w:rPr>
          <w:rFonts w:ascii="Verdana" w:hAnsi="Verdana"/>
          <w:sz w:val="20"/>
          <w:szCs w:val="20"/>
        </w:rPr>
        <w:t>. 13,168.982.84)</w:t>
      </w:r>
      <w:r w:rsidRPr="001455F9">
        <w:rPr>
          <w:rStyle w:val="FootnoteReference"/>
          <w:szCs w:val="20"/>
        </w:rPr>
        <w:footnoteReference w:id="20"/>
      </w:r>
      <w:r w:rsidRPr="001455F9">
        <w:rPr>
          <w:rFonts w:ascii="Verdana" w:hAnsi="Verdana"/>
          <w:sz w:val="20"/>
          <w:szCs w:val="20"/>
        </w:rPr>
        <w:t>, previo a demandar judicialmente debe presentar reclamo administrativo ante el titular del órgano o de la entidad respectiva, de acuerdo a lo establecido en los artículos 146, 147, 148 y 149 del Título Quinto contenido en la Ley de Procedimiento Administrativo. Si la resolución es negativa el interesado podrá incoar la acción correspondiente por la vía judicial, para que se haga efectivo el derecho reconocido en el arreglo conciliatorio”</w:t>
      </w:r>
      <w:r w:rsidRPr="00F22EE1">
        <w:rPr>
          <w:rFonts w:ascii="Verdana" w:hAnsi="Verdana"/>
          <w:sz w:val="20"/>
          <w:szCs w:val="20"/>
          <w:vertAlign w:val="superscript"/>
        </w:rPr>
        <w:footnoteReference w:id="21"/>
      </w:r>
      <w:r w:rsidRPr="001455F9">
        <w:rPr>
          <w:rFonts w:ascii="Verdana" w:hAnsi="Verdana"/>
          <w:sz w:val="20"/>
          <w:szCs w:val="20"/>
        </w:rPr>
        <w:t>. Dicha argumentación fue reiterada mediante escrito de 28 de octubre de 2004</w:t>
      </w:r>
      <w:r w:rsidRPr="00F22EE1">
        <w:rPr>
          <w:rFonts w:ascii="Verdana" w:hAnsi="Verdana"/>
          <w:sz w:val="20"/>
          <w:szCs w:val="20"/>
          <w:vertAlign w:val="superscript"/>
        </w:rPr>
        <w:footnoteReference w:id="22"/>
      </w:r>
      <w:r w:rsidRPr="001455F9">
        <w:rPr>
          <w:rFonts w:ascii="Verdana" w:hAnsi="Verdana"/>
          <w:sz w:val="20"/>
          <w:szCs w:val="20"/>
        </w:rPr>
        <w:t>.</w:t>
      </w:r>
    </w:p>
    <w:p w14:paraId="0C704945" w14:textId="5BF7B6AB"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En su Informe de Admisibilidad de 24 de marzo de 2010, la Comisión estimó que el Estado alegó la falta de agotamiento de un recurso de carácter administrativo, y que una vez este fuera agotado, se interpusiera una acción judicial, sin embargo, esta última fue señalada de forma genérica. Además, consideró que las presuntas víctimas no contaron con mecanismos adecuados para exigir del Estado la protección de su territorio lo que, en términos del artículo 46.2.a de la Convención Americana, constituye una de las causales de excepción a la regla de</w:t>
      </w:r>
      <w:r>
        <w:rPr>
          <w:rFonts w:ascii="Verdana" w:hAnsi="Verdana"/>
          <w:sz w:val="20"/>
          <w:szCs w:val="20"/>
        </w:rPr>
        <w:t>l</w:t>
      </w:r>
      <w:r w:rsidRPr="001455F9">
        <w:rPr>
          <w:rFonts w:ascii="Verdana" w:hAnsi="Verdana"/>
          <w:sz w:val="20"/>
          <w:szCs w:val="20"/>
        </w:rPr>
        <w:t xml:space="preserve"> agotamiento de los recursos de jurisdicción interna.</w:t>
      </w:r>
    </w:p>
    <w:p w14:paraId="0C704946" w14:textId="77777777" w:rsidR="00E04121" w:rsidRPr="001455F9" w:rsidRDefault="00E04121" w:rsidP="00E04121">
      <w:pPr>
        <w:pStyle w:val="ListParagraph"/>
        <w:rPr>
          <w:rFonts w:ascii="Verdana" w:hAnsi="Verdana"/>
          <w:sz w:val="20"/>
          <w:szCs w:val="20"/>
        </w:rPr>
      </w:pPr>
    </w:p>
    <w:p w14:paraId="0C704947" w14:textId="4927994F" w:rsidR="00E04121" w:rsidRPr="00D06233" w:rsidRDefault="00E04121" w:rsidP="00E04121">
      <w:pPr>
        <w:pStyle w:val="ListParagraph"/>
        <w:numPr>
          <w:ilvl w:val="0"/>
          <w:numId w:val="17"/>
        </w:numPr>
        <w:ind w:left="0" w:hanging="11"/>
        <w:jc w:val="both"/>
        <w:rPr>
          <w:rFonts w:ascii="Verdana" w:hAnsi="Verdana"/>
          <w:sz w:val="20"/>
          <w:szCs w:val="20"/>
        </w:rPr>
      </w:pPr>
      <w:r w:rsidRPr="00D06233">
        <w:rPr>
          <w:rFonts w:ascii="Verdana" w:hAnsi="Verdana"/>
          <w:sz w:val="20"/>
          <w:szCs w:val="20"/>
        </w:rPr>
        <w:t xml:space="preserve">La Corte observa que, durante el trámite de admisibilidad de la petición ante la Comisión Interamericana, el Estado argumentó la falta de agotamiento de un recurso </w:t>
      </w:r>
      <w:r w:rsidRPr="00D06233">
        <w:rPr>
          <w:rFonts w:ascii="Verdana" w:hAnsi="Verdana"/>
          <w:sz w:val="20"/>
          <w:szCs w:val="20"/>
        </w:rPr>
        <w:lastRenderedPageBreak/>
        <w:t xml:space="preserve">administrativo mediante el cual se pudiera exigir el pago de una indemnización. Al respecto, </w:t>
      </w:r>
      <w:r w:rsidRPr="00D06233">
        <w:rPr>
          <w:rFonts w:ascii="Verdana" w:eastAsia="Times New Roman" w:hAnsi="Verdana" w:cs="Arial"/>
          <w:spacing w:val="-2"/>
          <w:sz w:val="20"/>
          <w:szCs w:val="20"/>
          <w:lang w:val="es-CR" w:eastAsia="es-ES"/>
        </w:rPr>
        <w:t xml:space="preserve">la Corte concuerda con la Comisión en el sentido </w:t>
      </w:r>
      <w:r w:rsidR="002F491D">
        <w:rPr>
          <w:rFonts w:ascii="Verdana" w:eastAsia="Times New Roman" w:hAnsi="Verdana" w:cs="Arial"/>
          <w:spacing w:val="-2"/>
          <w:sz w:val="20"/>
          <w:szCs w:val="20"/>
          <w:lang w:val="es-CR" w:eastAsia="es-ES"/>
        </w:rPr>
        <w:t xml:space="preserve">de </w:t>
      </w:r>
      <w:r w:rsidRPr="00D06233">
        <w:rPr>
          <w:rFonts w:ascii="Verdana" w:eastAsia="Times New Roman" w:hAnsi="Verdana" w:cs="Arial"/>
          <w:spacing w:val="-2"/>
          <w:sz w:val="20"/>
          <w:szCs w:val="20"/>
          <w:lang w:val="es-CR" w:eastAsia="es-ES"/>
        </w:rPr>
        <w:t xml:space="preserve">que la referencia del Estado al recurso administrativo para la obtención del pago de la indemnización, primeramente no resultaba un recurso idóneo respecto de la pretensión de la Comunidad de recuperar su territorio ocupado ni se trataba de una indemnización que la comunidad pudiera reclamar a en su favor. </w:t>
      </w:r>
    </w:p>
    <w:p w14:paraId="0C704948" w14:textId="77777777" w:rsidR="00D06233" w:rsidRPr="00D06233" w:rsidRDefault="00D06233" w:rsidP="00D06233">
      <w:pPr>
        <w:pStyle w:val="ListParagraph"/>
        <w:ind w:left="0"/>
        <w:jc w:val="both"/>
        <w:rPr>
          <w:rFonts w:ascii="Verdana" w:hAnsi="Verdana"/>
          <w:sz w:val="20"/>
          <w:szCs w:val="20"/>
        </w:rPr>
      </w:pPr>
    </w:p>
    <w:p w14:paraId="0C704949" w14:textId="01010011" w:rsidR="00E04121" w:rsidRPr="005906E7" w:rsidRDefault="00E04121" w:rsidP="00E04121">
      <w:pPr>
        <w:pStyle w:val="ListParagraph"/>
        <w:numPr>
          <w:ilvl w:val="0"/>
          <w:numId w:val="17"/>
        </w:numPr>
        <w:ind w:left="0" w:hanging="11"/>
        <w:jc w:val="both"/>
        <w:rPr>
          <w:rFonts w:ascii="Verdana" w:hAnsi="Verdana"/>
          <w:sz w:val="20"/>
          <w:szCs w:val="20"/>
        </w:rPr>
      </w:pPr>
      <w:r w:rsidRPr="00D64E8D">
        <w:rPr>
          <w:rFonts w:ascii="Verdana" w:hAnsi="Verdana"/>
          <w:sz w:val="20"/>
          <w:szCs w:val="20"/>
        </w:rPr>
        <w:t xml:space="preserve">Por otra parte, </w:t>
      </w:r>
      <w:r w:rsidRPr="008656EC">
        <w:rPr>
          <w:rFonts w:ascii="Verdana" w:hAnsi="Verdana"/>
          <w:sz w:val="20"/>
          <w:szCs w:val="20"/>
        </w:rPr>
        <w:t xml:space="preserve">este Tribunal estima que las referencias al agotamiento de recursos internos </w:t>
      </w:r>
      <w:r w:rsidRPr="00012F57">
        <w:rPr>
          <w:rFonts w:ascii="Verdana" w:hAnsi="Verdana"/>
          <w:sz w:val="20"/>
          <w:szCs w:val="20"/>
        </w:rPr>
        <w:t>realizada</w:t>
      </w:r>
      <w:r w:rsidR="002F491D">
        <w:rPr>
          <w:rFonts w:ascii="Verdana" w:hAnsi="Verdana"/>
          <w:sz w:val="20"/>
          <w:szCs w:val="20"/>
        </w:rPr>
        <w:t>s</w:t>
      </w:r>
      <w:r w:rsidRPr="00012F57">
        <w:rPr>
          <w:rFonts w:ascii="Verdana" w:hAnsi="Verdana"/>
          <w:sz w:val="20"/>
          <w:szCs w:val="20"/>
        </w:rPr>
        <w:t xml:space="preserve"> por el Estado en su escrito de contestación del caso fue genérica</w:t>
      </w:r>
      <w:r w:rsidR="00D06233">
        <w:rPr>
          <w:rFonts w:ascii="Verdana" w:hAnsi="Verdana"/>
          <w:sz w:val="20"/>
          <w:szCs w:val="20"/>
        </w:rPr>
        <w:t xml:space="preserve">, </w:t>
      </w:r>
      <w:r w:rsidRPr="00012F57">
        <w:rPr>
          <w:rFonts w:ascii="Verdana" w:hAnsi="Verdana"/>
          <w:sz w:val="20"/>
          <w:szCs w:val="20"/>
        </w:rPr>
        <w:t>sin señalar cuáles</w:t>
      </w:r>
      <w:r w:rsidRPr="00D1591A">
        <w:rPr>
          <w:rFonts w:ascii="Verdana" w:hAnsi="Verdana"/>
          <w:sz w:val="20"/>
          <w:szCs w:val="20"/>
        </w:rPr>
        <w:t xml:space="preserve"> </w:t>
      </w:r>
      <w:r w:rsidRPr="00012F57">
        <w:rPr>
          <w:rFonts w:ascii="Verdana" w:hAnsi="Verdana"/>
          <w:sz w:val="20"/>
          <w:szCs w:val="20"/>
        </w:rPr>
        <w:t>eran los recursos que podían ser</w:t>
      </w:r>
      <w:r w:rsidRPr="008656EC">
        <w:rPr>
          <w:rFonts w:ascii="Verdana" w:hAnsi="Verdana"/>
          <w:sz w:val="20"/>
          <w:szCs w:val="20"/>
        </w:rPr>
        <w:t xml:space="preserve"> interpuest</w:t>
      </w:r>
      <w:r>
        <w:rPr>
          <w:rFonts w:ascii="Verdana" w:hAnsi="Verdana"/>
          <w:sz w:val="20"/>
          <w:szCs w:val="20"/>
        </w:rPr>
        <w:t>o</w:t>
      </w:r>
      <w:r w:rsidRPr="008656EC">
        <w:rPr>
          <w:rFonts w:ascii="Verdana" w:hAnsi="Verdana"/>
          <w:sz w:val="20"/>
          <w:szCs w:val="20"/>
        </w:rPr>
        <w:t xml:space="preserve">s por las presuntas víctimas ni las autoridades nacionales que resultarían competentes para resolverlas. En este sentido, la Corte recuerda que </w:t>
      </w:r>
      <w:r w:rsidRPr="008656EC">
        <w:rPr>
          <w:rFonts w:ascii="Verdana" w:hAnsi="Verdana"/>
          <w:sz w:val="20"/>
          <w:szCs w:val="20"/>
          <w:lang w:val="es-CO"/>
        </w:rPr>
        <w:t>la invocación por el Estado de la existencia de un recurso interno no agotado debe no sólo ser oportuna, sino también clara, identificando el recurso en cuestión y también cómo el mismo permitiría proteger a las personas en la situación que se hubiere denunciado</w:t>
      </w:r>
      <w:r w:rsidRPr="008656EC">
        <w:rPr>
          <w:rStyle w:val="FootnoteReference"/>
          <w:szCs w:val="20"/>
          <w:lang w:val="es-CO"/>
        </w:rPr>
        <w:footnoteReference w:id="23"/>
      </w:r>
      <w:r w:rsidRPr="008656EC">
        <w:rPr>
          <w:rFonts w:ascii="Verdana" w:hAnsi="Verdana"/>
          <w:sz w:val="20"/>
          <w:szCs w:val="20"/>
          <w:lang w:val="es-CO"/>
        </w:rPr>
        <w:t>.</w:t>
      </w:r>
      <w:r>
        <w:rPr>
          <w:rFonts w:ascii="Verdana" w:hAnsi="Verdana"/>
          <w:sz w:val="20"/>
          <w:szCs w:val="20"/>
          <w:lang w:val="es-CO"/>
        </w:rPr>
        <w:t xml:space="preserve"> </w:t>
      </w:r>
      <w:r w:rsidRPr="00012F57">
        <w:rPr>
          <w:rFonts w:ascii="Verdana" w:hAnsi="Verdana"/>
          <w:sz w:val="20"/>
          <w:szCs w:val="20"/>
        </w:rPr>
        <w:t>En este sentido, la Corte desestima la excepción preliminar interpuesta.</w:t>
      </w:r>
      <w:r w:rsidRPr="00D64E8D">
        <w:rPr>
          <w:rFonts w:ascii="Verdana" w:hAnsi="Verdana"/>
          <w:sz w:val="20"/>
          <w:szCs w:val="20"/>
          <w:lang w:val="es-CO"/>
        </w:rPr>
        <w:t xml:space="preserve"> </w:t>
      </w:r>
    </w:p>
    <w:p w14:paraId="0C70494A" w14:textId="77777777" w:rsidR="00E04121" w:rsidRPr="00C608DA" w:rsidRDefault="00E04121" w:rsidP="00E04121">
      <w:pPr>
        <w:pStyle w:val="ListParagraph"/>
        <w:ind w:left="0"/>
        <w:jc w:val="both"/>
        <w:rPr>
          <w:rFonts w:ascii="Verdana" w:hAnsi="Verdana"/>
          <w:sz w:val="20"/>
          <w:szCs w:val="20"/>
        </w:rPr>
      </w:pPr>
    </w:p>
    <w:p w14:paraId="0C70494B" w14:textId="721BB034" w:rsidR="00E04121" w:rsidRDefault="00E04121" w:rsidP="00E04121">
      <w:pPr>
        <w:pStyle w:val="ListParagraph"/>
        <w:numPr>
          <w:ilvl w:val="0"/>
          <w:numId w:val="17"/>
        </w:numPr>
        <w:ind w:left="0" w:hanging="11"/>
        <w:jc w:val="both"/>
        <w:rPr>
          <w:rFonts w:ascii="Verdana" w:hAnsi="Verdana"/>
          <w:sz w:val="20"/>
          <w:szCs w:val="20"/>
        </w:rPr>
      </w:pPr>
      <w:r w:rsidRPr="00847E1B">
        <w:rPr>
          <w:rFonts w:ascii="Verdana" w:hAnsi="Verdana"/>
          <w:sz w:val="20"/>
          <w:szCs w:val="20"/>
        </w:rPr>
        <w:t xml:space="preserve">Por otra parte, respecto de la excepción preliminar relacionada con la falta de agotamiento de los recursos internos con motivo de la muerte de Félix Ordóñez Suazo, la Corte constató lo siguiente: i) que la petición inicial ante la Comisión fue presentada el 29 de octubre de </w:t>
      </w:r>
      <w:r w:rsidRPr="00012F57">
        <w:rPr>
          <w:rFonts w:ascii="Verdana" w:hAnsi="Verdana"/>
          <w:sz w:val="20"/>
          <w:szCs w:val="20"/>
        </w:rPr>
        <w:t>2003</w:t>
      </w:r>
      <w:r>
        <w:rPr>
          <w:rFonts w:ascii="Verdana" w:hAnsi="Verdana"/>
          <w:sz w:val="20"/>
          <w:szCs w:val="20"/>
        </w:rPr>
        <w:t xml:space="preserve">; ii) que </w:t>
      </w:r>
      <w:r w:rsidRPr="00847E1B">
        <w:rPr>
          <w:rFonts w:ascii="Verdana" w:hAnsi="Verdana"/>
          <w:sz w:val="20"/>
          <w:szCs w:val="20"/>
        </w:rPr>
        <w:t xml:space="preserve">la muerte del señor </w:t>
      </w:r>
      <w:r w:rsidR="00631669">
        <w:rPr>
          <w:rFonts w:ascii="Verdana" w:hAnsi="Verdana"/>
          <w:sz w:val="20"/>
          <w:szCs w:val="20"/>
        </w:rPr>
        <w:t>Félix Ordóñez Suazo</w:t>
      </w:r>
      <w:r w:rsidRPr="00847E1B">
        <w:rPr>
          <w:rFonts w:ascii="Verdana" w:hAnsi="Verdana"/>
          <w:sz w:val="20"/>
          <w:szCs w:val="20"/>
        </w:rPr>
        <w:t xml:space="preserve"> ocurrió el 11 de junio de 2007; ii</w:t>
      </w:r>
      <w:r>
        <w:rPr>
          <w:rFonts w:ascii="Verdana" w:hAnsi="Verdana"/>
          <w:sz w:val="20"/>
          <w:szCs w:val="20"/>
        </w:rPr>
        <w:t>i</w:t>
      </w:r>
      <w:r w:rsidRPr="00847E1B">
        <w:rPr>
          <w:rFonts w:ascii="Verdana" w:hAnsi="Verdana"/>
          <w:sz w:val="20"/>
          <w:szCs w:val="20"/>
        </w:rPr>
        <w:t>) que los peticionarios informaron a la Comisi</w:t>
      </w:r>
      <w:r w:rsidRPr="00060A1E">
        <w:rPr>
          <w:rFonts w:ascii="Verdana" w:hAnsi="Verdana"/>
          <w:sz w:val="20"/>
          <w:szCs w:val="20"/>
        </w:rPr>
        <w:t>ón del fallecimiento del señor Ordóñez al día siguiente de haber ocurrido el hecho</w:t>
      </w:r>
      <w:r>
        <w:rPr>
          <w:rFonts w:ascii="Verdana" w:hAnsi="Verdana"/>
          <w:sz w:val="20"/>
          <w:szCs w:val="20"/>
        </w:rPr>
        <w:t>; iv</w:t>
      </w:r>
      <w:r w:rsidRPr="00847E1B">
        <w:rPr>
          <w:rFonts w:ascii="Verdana" w:hAnsi="Verdana"/>
          <w:sz w:val="20"/>
          <w:szCs w:val="20"/>
        </w:rPr>
        <w:t xml:space="preserve">) que en el Informe de Fondo la Comisión se refirió a la muerte de </w:t>
      </w:r>
      <w:r w:rsidR="00631669">
        <w:rPr>
          <w:rFonts w:ascii="Verdana" w:hAnsi="Verdana"/>
          <w:sz w:val="20"/>
          <w:szCs w:val="20"/>
          <w:lang w:val="es-MX"/>
        </w:rPr>
        <w:t>Félix Ordóñez Suazo</w:t>
      </w:r>
      <w:r w:rsidRPr="00847E1B">
        <w:rPr>
          <w:rFonts w:ascii="Verdana" w:hAnsi="Verdana"/>
          <w:sz w:val="20"/>
          <w:szCs w:val="20"/>
          <w:lang w:val="es-MX"/>
        </w:rPr>
        <w:t xml:space="preserve"> y a la respectiva investigación penal</w:t>
      </w:r>
      <w:r>
        <w:rPr>
          <w:rFonts w:ascii="Verdana" w:hAnsi="Verdana"/>
          <w:sz w:val="20"/>
          <w:szCs w:val="20"/>
          <w:lang w:val="es-MX"/>
        </w:rPr>
        <w:t xml:space="preserve">; </w:t>
      </w:r>
      <w:r w:rsidRPr="00847E1B">
        <w:rPr>
          <w:rFonts w:ascii="Verdana" w:hAnsi="Verdana"/>
          <w:sz w:val="20"/>
          <w:szCs w:val="20"/>
        </w:rPr>
        <w:t xml:space="preserve">iv) que el Estado </w:t>
      </w:r>
      <w:r>
        <w:rPr>
          <w:rFonts w:ascii="Verdana" w:hAnsi="Verdana"/>
          <w:sz w:val="20"/>
          <w:szCs w:val="20"/>
        </w:rPr>
        <w:t xml:space="preserve">señaló </w:t>
      </w:r>
      <w:r w:rsidRPr="00847E1B">
        <w:rPr>
          <w:rFonts w:ascii="Verdana" w:hAnsi="Verdana"/>
          <w:sz w:val="20"/>
          <w:szCs w:val="20"/>
        </w:rPr>
        <w:t>en su escrito de contestación que el proceso penal respectivo aún se encontraba en las primeras diligencias investigativas, sin que se presentara justificación sobre el retraso indicado</w:t>
      </w:r>
      <w:r w:rsidRPr="00A71698">
        <w:rPr>
          <w:rFonts w:ascii="Verdana" w:hAnsi="Verdana"/>
          <w:sz w:val="20"/>
          <w:szCs w:val="20"/>
        </w:rPr>
        <w:t>, y v) que el Estado no ha informado a la Corte respecto de avances adicionales en las investigaciones relacionadas con la muerte del señor Ordóñez</w:t>
      </w:r>
      <w:r w:rsidRPr="00BA18D1">
        <w:rPr>
          <w:rFonts w:ascii="Verdana" w:hAnsi="Verdana"/>
          <w:sz w:val="20"/>
          <w:szCs w:val="20"/>
        </w:rPr>
        <w:t>.</w:t>
      </w:r>
    </w:p>
    <w:p w14:paraId="0C70494C" w14:textId="77777777" w:rsidR="006A0E8F" w:rsidRDefault="006A0E8F" w:rsidP="00A0324F">
      <w:pPr>
        <w:pStyle w:val="ListParagraph"/>
        <w:ind w:left="0"/>
        <w:jc w:val="both"/>
        <w:rPr>
          <w:rFonts w:ascii="Verdana" w:hAnsi="Verdana"/>
          <w:sz w:val="20"/>
          <w:szCs w:val="20"/>
        </w:rPr>
      </w:pPr>
    </w:p>
    <w:p w14:paraId="0C70494D" w14:textId="5A7E7CAC" w:rsidR="00E04121" w:rsidRPr="00F22EE1"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cs="Tahoma"/>
          <w:color w:val="000000"/>
          <w:sz w:val="20"/>
          <w:szCs w:val="20"/>
          <w:lang w:val="es-CR" w:eastAsia="es-CR"/>
        </w:rPr>
        <w:t xml:space="preserve">En virtud de lo anterior, </w:t>
      </w:r>
      <w:r>
        <w:rPr>
          <w:rFonts w:ascii="Verdana" w:hAnsi="Verdana" w:cs="Tahoma"/>
          <w:color w:val="000000"/>
          <w:sz w:val="20"/>
          <w:szCs w:val="20"/>
          <w:lang w:val="es-CR" w:eastAsia="es-CR"/>
        </w:rPr>
        <w:t xml:space="preserve">tomando en consideración que de acuerdo con el Estado el proceso penal se encuentra en las primeras diligencias investigativas, a pesar de </w:t>
      </w:r>
      <w:r w:rsidRPr="001455F9">
        <w:rPr>
          <w:rFonts w:ascii="Verdana" w:hAnsi="Verdana" w:cs="Tahoma"/>
          <w:color w:val="000000"/>
          <w:sz w:val="20"/>
          <w:szCs w:val="20"/>
          <w:lang w:val="es-CR" w:eastAsia="es-CR"/>
        </w:rPr>
        <w:t xml:space="preserve">haber transcurrido aproximadamente 8 años desde el </w:t>
      </w:r>
      <w:r w:rsidRPr="001455F9">
        <w:rPr>
          <w:rFonts w:ascii="Verdana" w:hAnsi="Verdana" w:cs="Arial"/>
          <w:spacing w:val="-2"/>
          <w:sz w:val="20"/>
          <w:szCs w:val="20"/>
          <w:lang w:val="es-CR"/>
        </w:rPr>
        <w:t xml:space="preserve">inicio del </w:t>
      </w:r>
      <w:r>
        <w:rPr>
          <w:rFonts w:ascii="Verdana" w:hAnsi="Verdana" w:cs="Arial"/>
          <w:spacing w:val="-2"/>
          <w:sz w:val="20"/>
          <w:szCs w:val="20"/>
          <w:lang w:val="es-CR"/>
        </w:rPr>
        <w:t>mismo</w:t>
      </w:r>
      <w:r w:rsidRPr="001455F9">
        <w:rPr>
          <w:rFonts w:ascii="Verdana" w:hAnsi="Verdana" w:cs="Arial"/>
          <w:spacing w:val="-2"/>
          <w:sz w:val="20"/>
          <w:szCs w:val="20"/>
          <w:lang w:val="es-CR"/>
        </w:rPr>
        <w:t xml:space="preserve">, </w:t>
      </w:r>
      <w:r w:rsidRPr="001455F9">
        <w:rPr>
          <w:rFonts w:ascii="Verdana" w:hAnsi="Verdana" w:cs="Tahoma"/>
          <w:color w:val="000000"/>
          <w:sz w:val="20"/>
          <w:szCs w:val="20"/>
          <w:lang w:val="es-CR" w:eastAsia="es-CR"/>
        </w:rPr>
        <w:t>la Corte estima que</w:t>
      </w:r>
      <w:r>
        <w:rPr>
          <w:rFonts w:ascii="Verdana" w:hAnsi="Verdana" w:cs="Tahoma"/>
          <w:color w:val="000000"/>
          <w:sz w:val="20"/>
          <w:szCs w:val="20"/>
          <w:lang w:val="es-CR" w:eastAsia="es-CR"/>
        </w:rPr>
        <w:t>,</w:t>
      </w:r>
      <w:r w:rsidRPr="001455F9">
        <w:rPr>
          <w:rFonts w:ascii="Verdana" w:hAnsi="Verdana" w:cs="Tahoma"/>
          <w:color w:val="000000"/>
          <w:sz w:val="20"/>
          <w:szCs w:val="20"/>
          <w:lang w:val="es-CR" w:eastAsia="es-CR"/>
        </w:rPr>
        <w:t xml:space="preserve"> en el presente caso</w:t>
      </w:r>
      <w:r>
        <w:rPr>
          <w:rFonts w:ascii="Verdana" w:hAnsi="Verdana" w:cs="Tahoma"/>
          <w:color w:val="000000"/>
          <w:sz w:val="20"/>
          <w:szCs w:val="20"/>
          <w:lang w:val="es-CR" w:eastAsia="es-CR"/>
        </w:rPr>
        <w:t>,</w:t>
      </w:r>
      <w:r w:rsidRPr="001455F9">
        <w:rPr>
          <w:rFonts w:ascii="Verdana" w:hAnsi="Verdana" w:cs="Tahoma"/>
          <w:color w:val="000000"/>
          <w:sz w:val="20"/>
          <w:szCs w:val="20"/>
          <w:lang w:val="es-CR" w:eastAsia="es-CR"/>
        </w:rPr>
        <w:t xml:space="preserve"> se configura </w:t>
      </w:r>
      <w:r w:rsidRPr="001455F9">
        <w:rPr>
          <w:rFonts w:ascii="Verdana" w:hAnsi="Verdana"/>
          <w:sz w:val="20"/>
          <w:szCs w:val="20"/>
          <w:lang w:val="es-CO"/>
        </w:rPr>
        <w:t>la excepción al agotamiento de los recursos internos establecida en el artículo 46.2.c)</w:t>
      </w:r>
      <w:r>
        <w:rPr>
          <w:rFonts w:ascii="Verdana" w:hAnsi="Verdana"/>
          <w:sz w:val="20"/>
          <w:szCs w:val="20"/>
          <w:lang w:val="es-CO"/>
        </w:rPr>
        <w:t xml:space="preserve">, con fundamento en </w:t>
      </w:r>
      <w:r w:rsidRPr="001455F9">
        <w:rPr>
          <w:rFonts w:ascii="Verdana" w:hAnsi="Verdana" w:cs="Tahoma"/>
          <w:color w:val="000000"/>
          <w:sz w:val="20"/>
          <w:szCs w:val="20"/>
          <w:lang w:val="es-CR" w:eastAsia="es-CR"/>
        </w:rPr>
        <w:t>el retardo injustificado de la</w:t>
      </w:r>
      <w:r>
        <w:rPr>
          <w:rFonts w:ascii="Verdana" w:hAnsi="Verdana" w:cs="Tahoma"/>
          <w:color w:val="000000"/>
          <w:sz w:val="20"/>
          <w:szCs w:val="20"/>
          <w:lang w:val="es-CR" w:eastAsia="es-CR"/>
        </w:rPr>
        <w:t>s investigaciones penales</w:t>
      </w:r>
      <w:r w:rsidRPr="001455F9">
        <w:rPr>
          <w:rFonts w:ascii="Verdana" w:hAnsi="Verdana"/>
          <w:sz w:val="20"/>
          <w:szCs w:val="20"/>
          <w:lang w:val="es-CO"/>
        </w:rPr>
        <w:t xml:space="preserve">. </w:t>
      </w:r>
      <w:r w:rsidRPr="001455F9">
        <w:rPr>
          <w:rFonts w:ascii="Verdana" w:eastAsia="Times New Roman" w:hAnsi="Verdana"/>
          <w:sz w:val="20"/>
          <w:szCs w:val="20"/>
          <w:lang w:val="es-CO" w:eastAsia="es-CO"/>
        </w:rPr>
        <w:t>Por lo tanto, la Corte desestima la excepción preliminar interpuesta por el Estado</w:t>
      </w:r>
      <w:r>
        <w:rPr>
          <w:rFonts w:ascii="Verdana" w:eastAsia="Times New Roman" w:hAnsi="Verdana"/>
          <w:sz w:val="20"/>
          <w:szCs w:val="20"/>
          <w:lang w:val="es-CO" w:eastAsia="es-CO"/>
        </w:rPr>
        <w:t xml:space="preserve"> y se pronunciara al respecto en el apartado de fondo correspondiente (</w:t>
      </w:r>
      <w:r w:rsidRPr="00A71698">
        <w:rPr>
          <w:rFonts w:ascii="Verdana" w:eastAsia="Times New Roman" w:hAnsi="Verdana"/>
          <w:i/>
          <w:sz w:val="20"/>
          <w:szCs w:val="20"/>
          <w:lang w:val="es-CO" w:eastAsia="es-CO"/>
        </w:rPr>
        <w:t>infra</w:t>
      </w:r>
      <w:r>
        <w:rPr>
          <w:rFonts w:ascii="Verdana" w:eastAsia="Times New Roman" w:hAnsi="Verdana"/>
          <w:sz w:val="20"/>
          <w:szCs w:val="20"/>
          <w:lang w:val="es-CO" w:eastAsia="es-CO"/>
        </w:rPr>
        <w:t xml:space="preserve"> párrs. </w:t>
      </w:r>
      <w:r w:rsidR="00864417">
        <w:rPr>
          <w:rFonts w:ascii="Verdana" w:eastAsia="Times New Roman" w:hAnsi="Verdana"/>
          <w:sz w:val="20"/>
          <w:szCs w:val="20"/>
          <w:lang w:val="es-CO" w:eastAsia="es-CO"/>
        </w:rPr>
        <w:t>291</w:t>
      </w:r>
      <w:r w:rsidR="00F139C1">
        <w:rPr>
          <w:rFonts w:ascii="Verdana" w:eastAsia="Times New Roman" w:hAnsi="Verdana"/>
          <w:sz w:val="20"/>
          <w:szCs w:val="20"/>
          <w:lang w:val="es-CO" w:eastAsia="es-CO"/>
        </w:rPr>
        <w:t xml:space="preserve"> a </w:t>
      </w:r>
      <w:r w:rsidR="00B459E1">
        <w:rPr>
          <w:rFonts w:ascii="Verdana" w:eastAsia="Times New Roman" w:hAnsi="Verdana"/>
          <w:sz w:val="20"/>
          <w:szCs w:val="20"/>
          <w:lang w:val="es-CO" w:eastAsia="es-CO"/>
        </w:rPr>
        <w:t>30</w:t>
      </w:r>
      <w:r w:rsidR="00864417">
        <w:rPr>
          <w:rFonts w:ascii="Verdana" w:eastAsia="Times New Roman" w:hAnsi="Verdana"/>
          <w:sz w:val="20"/>
          <w:szCs w:val="20"/>
          <w:lang w:val="es-CO" w:eastAsia="es-CO"/>
        </w:rPr>
        <w:t>2</w:t>
      </w:r>
      <w:r>
        <w:rPr>
          <w:rFonts w:ascii="Verdana" w:eastAsia="Times New Roman" w:hAnsi="Verdana"/>
          <w:sz w:val="20"/>
          <w:szCs w:val="20"/>
          <w:lang w:val="es-CO" w:eastAsia="es-CO"/>
        </w:rPr>
        <w:t>)</w:t>
      </w:r>
      <w:r w:rsidRPr="001455F9">
        <w:rPr>
          <w:rFonts w:ascii="Verdana" w:eastAsia="Times New Roman" w:hAnsi="Verdana"/>
          <w:sz w:val="20"/>
          <w:szCs w:val="20"/>
          <w:lang w:val="es-CO" w:eastAsia="es-CO"/>
        </w:rPr>
        <w:t>.</w:t>
      </w:r>
      <w:r w:rsidRPr="001455F9">
        <w:rPr>
          <w:rFonts w:ascii="Verdana" w:hAnsi="Verdana"/>
          <w:sz w:val="20"/>
          <w:szCs w:val="20"/>
        </w:rPr>
        <w:t xml:space="preserve"> </w:t>
      </w:r>
    </w:p>
    <w:p w14:paraId="0C70494E" w14:textId="77777777" w:rsidR="00E04121" w:rsidRPr="00F22EE1" w:rsidRDefault="00E04121" w:rsidP="00E04121">
      <w:pPr>
        <w:rPr>
          <w:rFonts w:ascii="Verdana" w:hAnsi="Verdana"/>
          <w:sz w:val="20"/>
          <w:szCs w:val="20"/>
        </w:rPr>
      </w:pPr>
    </w:p>
    <w:p w14:paraId="0C70494F" w14:textId="77777777" w:rsidR="00E04121" w:rsidRPr="001455F9" w:rsidRDefault="00E04121" w:rsidP="00E04121">
      <w:pPr>
        <w:pStyle w:val="Heading1"/>
        <w:tabs>
          <w:tab w:val="left" w:pos="851"/>
        </w:tabs>
        <w:spacing w:before="0"/>
        <w:jc w:val="center"/>
        <w:rPr>
          <w:rFonts w:ascii="Verdana" w:hAnsi="Verdana" w:cs="Verdana"/>
          <w:caps/>
          <w:snapToGrid w:val="0"/>
          <w:color w:val="auto"/>
          <w:sz w:val="20"/>
          <w:szCs w:val="20"/>
        </w:rPr>
      </w:pPr>
      <w:bookmarkStart w:id="12" w:name="_Toc437247307"/>
      <w:r>
        <w:rPr>
          <w:rFonts w:ascii="Verdana" w:hAnsi="Verdana" w:cs="Verdana"/>
          <w:caps/>
          <w:snapToGrid w:val="0"/>
          <w:color w:val="auto"/>
          <w:sz w:val="20"/>
          <w:szCs w:val="20"/>
        </w:rPr>
        <w:t>V</w:t>
      </w:r>
      <w:r w:rsidRPr="001455F9">
        <w:rPr>
          <w:rFonts w:ascii="Verdana" w:hAnsi="Verdana" w:cs="Verdana"/>
          <w:caps/>
          <w:snapToGrid w:val="0"/>
          <w:color w:val="auto"/>
          <w:sz w:val="20"/>
          <w:szCs w:val="20"/>
        </w:rPr>
        <w:br/>
        <w:t xml:space="preserve">RECONOCIMIENTO PARCIAL </w:t>
      </w:r>
      <w:r>
        <w:rPr>
          <w:rFonts w:ascii="Verdana" w:hAnsi="Verdana" w:cs="Verdana"/>
          <w:caps/>
          <w:snapToGrid w:val="0"/>
          <w:color w:val="auto"/>
          <w:sz w:val="20"/>
          <w:szCs w:val="20"/>
        </w:rPr>
        <w:t xml:space="preserve">DE RESPONSABILIDAD </w:t>
      </w:r>
      <w:r w:rsidRPr="001455F9">
        <w:rPr>
          <w:rFonts w:ascii="Verdana" w:hAnsi="Verdana" w:cs="Verdana"/>
          <w:caps/>
          <w:snapToGrid w:val="0"/>
          <w:color w:val="auto"/>
          <w:sz w:val="20"/>
          <w:szCs w:val="20"/>
        </w:rPr>
        <w:t xml:space="preserve">POR </w:t>
      </w:r>
      <w:r>
        <w:rPr>
          <w:rFonts w:ascii="Verdana" w:hAnsi="Verdana" w:cs="Verdana"/>
          <w:caps/>
          <w:snapToGrid w:val="0"/>
          <w:color w:val="auto"/>
          <w:sz w:val="20"/>
          <w:szCs w:val="20"/>
        </w:rPr>
        <w:t>parte d</w:t>
      </w:r>
      <w:r w:rsidRPr="001455F9">
        <w:rPr>
          <w:rFonts w:ascii="Verdana" w:hAnsi="Verdana" w:cs="Verdana"/>
          <w:caps/>
          <w:snapToGrid w:val="0"/>
          <w:color w:val="auto"/>
          <w:sz w:val="20"/>
          <w:szCs w:val="20"/>
        </w:rPr>
        <w:t>EL ESTADO</w:t>
      </w:r>
      <w:bookmarkEnd w:id="12"/>
    </w:p>
    <w:p w14:paraId="0C704950" w14:textId="77777777" w:rsidR="00E04121" w:rsidRPr="001455F9" w:rsidRDefault="00E04121" w:rsidP="00E04121">
      <w:pPr>
        <w:jc w:val="both"/>
        <w:rPr>
          <w:rFonts w:ascii="Verdana" w:hAnsi="Verdana"/>
          <w:sz w:val="20"/>
          <w:szCs w:val="20"/>
        </w:rPr>
      </w:pPr>
    </w:p>
    <w:p w14:paraId="0C704951" w14:textId="77777777" w:rsidR="00E04121" w:rsidRPr="001455F9" w:rsidRDefault="00E04121" w:rsidP="00E04121">
      <w:pPr>
        <w:pStyle w:val="Heading2"/>
        <w:numPr>
          <w:ilvl w:val="0"/>
          <w:numId w:val="10"/>
        </w:numPr>
        <w:spacing w:before="0"/>
        <w:rPr>
          <w:rFonts w:ascii="Verdana" w:hAnsi="Verdana"/>
          <w:i/>
          <w:color w:val="auto"/>
          <w:sz w:val="20"/>
          <w:szCs w:val="20"/>
        </w:rPr>
      </w:pPr>
      <w:bookmarkStart w:id="13" w:name="_Toc437247308"/>
      <w:r w:rsidRPr="001455F9">
        <w:rPr>
          <w:rFonts w:ascii="Verdana" w:hAnsi="Verdana"/>
          <w:i/>
          <w:color w:val="auto"/>
          <w:sz w:val="20"/>
          <w:szCs w:val="20"/>
        </w:rPr>
        <w:t>Argumentos de las partes y de la Comisión</w:t>
      </w:r>
      <w:bookmarkEnd w:id="13"/>
    </w:p>
    <w:p w14:paraId="0C704952" w14:textId="77777777" w:rsidR="00E04121" w:rsidRPr="005906E7" w:rsidRDefault="00E04121" w:rsidP="00E04121">
      <w:pPr>
        <w:pStyle w:val="ListParagraph"/>
        <w:rPr>
          <w:rFonts w:ascii="Verdana" w:hAnsi="Verdana"/>
          <w:sz w:val="20"/>
          <w:szCs w:val="20"/>
          <w:u w:val="single"/>
        </w:rPr>
      </w:pPr>
    </w:p>
    <w:p w14:paraId="0C704953" w14:textId="50B5D67E" w:rsidR="00E04121" w:rsidRPr="001455F9" w:rsidRDefault="00E04121" w:rsidP="00E04121">
      <w:pPr>
        <w:pStyle w:val="ListParagraph"/>
        <w:numPr>
          <w:ilvl w:val="0"/>
          <w:numId w:val="17"/>
        </w:numPr>
        <w:ind w:left="0" w:hanging="11"/>
        <w:jc w:val="both"/>
        <w:rPr>
          <w:rFonts w:ascii="Verdana" w:hAnsi="Verdana"/>
          <w:sz w:val="20"/>
          <w:szCs w:val="20"/>
        </w:rPr>
      </w:pPr>
      <w:r w:rsidRPr="001D363A">
        <w:rPr>
          <w:rFonts w:ascii="Verdana" w:hAnsi="Verdana"/>
          <w:sz w:val="20"/>
          <w:szCs w:val="20"/>
        </w:rPr>
        <w:t xml:space="preserve">El </w:t>
      </w:r>
      <w:r w:rsidR="0086236B" w:rsidRPr="00A0324F">
        <w:rPr>
          <w:rFonts w:ascii="Verdana" w:hAnsi="Verdana"/>
          <w:b/>
          <w:i/>
          <w:sz w:val="20"/>
          <w:szCs w:val="20"/>
        </w:rPr>
        <w:t>Estado</w:t>
      </w:r>
      <w:r w:rsidRPr="001D363A">
        <w:rPr>
          <w:rFonts w:ascii="Verdana" w:hAnsi="Verdana"/>
          <w:sz w:val="20"/>
          <w:szCs w:val="20"/>
        </w:rPr>
        <w:t xml:space="preserve">, en su escrito de contestación, manifestó que </w:t>
      </w:r>
      <w:r w:rsidRPr="00D1591A">
        <w:rPr>
          <w:rFonts w:ascii="Verdana" w:hAnsi="Verdana"/>
          <w:sz w:val="20"/>
          <w:szCs w:val="20"/>
        </w:rPr>
        <w:t>se</w:t>
      </w:r>
      <w:r w:rsidRPr="00012F57">
        <w:rPr>
          <w:rFonts w:ascii="Verdana" w:hAnsi="Verdana"/>
          <w:sz w:val="20"/>
          <w:szCs w:val="20"/>
        </w:rPr>
        <w:t xml:space="preserve"> “</w:t>
      </w:r>
      <w:proofErr w:type="spellStart"/>
      <w:r w:rsidRPr="00012F57">
        <w:rPr>
          <w:rFonts w:ascii="Verdana" w:hAnsi="Verdana"/>
          <w:sz w:val="20"/>
          <w:szCs w:val="20"/>
        </w:rPr>
        <w:t>allan</w:t>
      </w:r>
      <w:proofErr w:type="spellEnd"/>
      <w:r w:rsidRPr="00012F57">
        <w:rPr>
          <w:rFonts w:ascii="Verdana" w:hAnsi="Verdana"/>
          <w:sz w:val="20"/>
          <w:szCs w:val="20"/>
        </w:rPr>
        <w:t xml:space="preserve">[aba] parcialmente al hecho y pretensión consistente en el pago de las mejoras para sanear el derecho de propiedad de la Comunidad [Garífuna] de Punta Piedra sobre su territorio, en razón que en el presente caso el Estado de Honduras ha mantenido una posición objetiva y coherente, en el sentido que no está en discusión tal derecho, ni la entrega de un título jurídico que reconozca el mismo, si no la obligación de garantizar </w:t>
      </w:r>
      <w:r w:rsidRPr="00012F57">
        <w:rPr>
          <w:rFonts w:ascii="Verdana" w:hAnsi="Verdana"/>
          <w:sz w:val="20"/>
          <w:szCs w:val="20"/>
        </w:rPr>
        <w:lastRenderedPageBreak/>
        <w:t>su posesión pacífica a través del saneamiento y su protección efectiva frente a terceros”.</w:t>
      </w:r>
    </w:p>
    <w:p w14:paraId="0C704954" w14:textId="77777777" w:rsidR="00E04121" w:rsidRPr="001455F9" w:rsidRDefault="00E04121" w:rsidP="00E04121">
      <w:pPr>
        <w:pStyle w:val="ListParagraph"/>
        <w:ind w:left="0"/>
        <w:jc w:val="both"/>
        <w:rPr>
          <w:rFonts w:ascii="Verdana" w:hAnsi="Verdana"/>
          <w:sz w:val="20"/>
          <w:szCs w:val="20"/>
        </w:rPr>
      </w:pPr>
    </w:p>
    <w:p w14:paraId="0C704955" w14:textId="44EE17AA"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En relación con los hechos, el Estado señaló que el “16 de diciembre de 1993 […] le otorgó a la </w:t>
      </w:r>
      <w:r w:rsidR="002A2F53">
        <w:rPr>
          <w:rFonts w:ascii="Verdana" w:hAnsi="Verdana"/>
          <w:sz w:val="20"/>
          <w:szCs w:val="20"/>
        </w:rPr>
        <w:t>Comunidad Garífuna de Punta Piedra</w:t>
      </w:r>
      <w:r w:rsidRPr="001455F9">
        <w:rPr>
          <w:rFonts w:ascii="Verdana" w:hAnsi="Verdana"/>
          <w:sz w:val="20"/>
          <w:szCs w:val="20"/>
        </w:rPr>
        <w:t xml:space="preserve"> el dominio pleno de ochocientas hectáreas con ses</w:t>
      </w:r>
      <w:r>
        <w:rPr>
          <w:rFonts w:ascii="Verdana" w:hAnsi="Verdana"/>
          <w:sz w:val="20"/>
          <w:szCs w:val="20"/>
        </w:rPr>
        <w:t>enta y cuatro áreas (800.64 ha</w:t>
      </w:r>
      <w:r w:rsidRPr="001455F9">
        <w:rPr>
          <w:rFonts w:ascii="Verdana" w:hAnsi="Verdana"/>
          <w:sz w:val="20"/>
          <w:szCs w:val="20"/>
        </w:rPr>
        <w:t>). Posteriormente en fecha 6 de diciembre de 1999, le adjudicó dominio pleno de un predio rural […] con una extensión superficial de mil quinientas trece hectáreas con cincuen</w:t>
      </w:r>
      <w:r>
        <w:rPr>
          <w:rFonts w:ascii="Verdana" w:hAnsi="Verdana"/>
          <w:sz w:val="20"/>
          <w:szCs w:val="20"/>
        </w:rPr>
        <w:t>ta y cuatro áreas (1,513.54 ha</w:t>
      </w:r>
      <w:r w:rsidRPr="001455F9">
        <w:rPr>
          <w:rFonts w:ascii="Verdana" w:hAnsi="Verdana"/>
          <w:sz w:val="20"/>
          <w:szCs w:val="20"/>
        </w:rPr>
        <w:t xml:space="preserve">) como ampliación[,] con fundamento a lo establecido en el artículo 14 del Convenio 169 de la OIT […] en el reconocimiento de su derecho al hábitat funcional y que debido a la titulación </w:t>
      </w:r>
      <w:r w:rsidRPr="008C0496">
        <w:rPr>
          <w:rFonts w:ascii="Verdana" w:hAnsi="Verdana"/>
          <w:i/>
          <w:sz w:val="20"/>
          <w:szCs w:val="20"/>
        </w:rPr>
        <w:t>supra</w:t>
      </w:r>
      <w:r w:rsidRPr="001455F9">
        <w:rPr>
          <w:rFonts w:ascii="Verdana" w:hAnsi="Verdana"/>
          <w:sz w:val="20"/>
          <w:szCs w:val="20"/>
        </w:rPr>
        <w:t xml:space="preserve"> indicada se originó el conflicto por la tenencia de la tierra con los habitantes de la Aldea Río Miel, que al momento de otorgar el último título se encontraban en posesión de 600 hectáreas”.</w:t>
      </w:r>
    </w:p>
    <w:p w14:paraId="0C704956" w14:textId="77777777" w:rsidR="00E04121" w:rsidRPr="001455F9" w:rsidRDefault="00E04121" w:rsidP="00E04121">
      <w:pPr>
        <w:pStyle w:val="ListParagraph"/>
        <w:rPr>
          <w:rFonts w:ascii="Verdana" w:hAnsi="Verdana"/>
          <w:sz w:val="20"/>
          <w:szCs w:val="20"/>
        </w:rPr>
      </w:pPr>
    </w:p>
    <w:p w14:paraId="0C704957" w14:textId="36BC1199"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En relación con los argumentos de derecho, el Estado indicó que ha asegurado el derecho a la propiedad de la Comunidad Garífuna de Punta Piedra, con la “limitación de no garantizar su posesión pacífica a través del saneamiento”. Sin embargo, en sus conclusiones del escrito de contestación señaló que no vulneró el artículo 21 de la Convención Americana.</w:t>
      </w:r>
    </w:p>
    <w:p w14:paraId="0C704958" w14:textId="77777777" w:rsidR="00E04121" w:rsidRPr="001455F9" w:rsidRDefault="00E04121" w:rsidP="00E04121">
      <w:pPr>
        <w:pStyle w:val="ListParagraph"/>
        <w:rPr>
          <w:rFonts w:ascii="Verdana" w:hAnsi="Verdana"/>
          <w:sz w:val="20"/>
          <w:szCs w:val="20"/>
        </w:rPr>
      </w:pPr>
    </w:p>
    <w:p w14:paraId="0C704959" w14:textId="0AA48F0F"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Sobre las medidas de reparación, el Estado propuso realizar nuevamente la actualización del avalúo de las mejoras introducidas por los pobladores de la Aldea de Río Miel y adicionalmente destinar una cantidad de entre cinco y seis millones de lempiras, para adquirir un predio con la finalidad de reubicar a los miembros de la Aldea de Río Miel. Asimismo, rechazó las demás reparaciones solicitadas por los representantes, ya que al momento del asentamiento los campesinos de la Aldea Río Miel ocupaban un territorio de aproximadamente 3.48 ha, y no de 600 ha como señalaron los representantes, lo que conlleva a reducir la pretensión de indemnizaciones por destrucción de cultivos. </w:t>
      </w:r>
    </w:p>
    <w:p w14:paraId="0C70495A" w14:textId="77777777" w:rsidR="00E04121" w:rsidRPr="001455F9" w:rsidRDefault="00E04121" w:rsidP="00E04121">
      <w:pPr>
        <w:pStyle w:val="ListParagraph"/>
        <w:rPr>
          <w:rFonts w:ascii="Verdana" w:hAnsi="Verdana"/>
          <w:sz w:val="20"/>
          <w:szCs w:val="20"/>
        </w:rPr>
      </w:pPr>
    </w:p>
    <w:p w14:paraId="0C70495B" w14:textId="07EB51AD"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Durante la audiencia pública del caso, el Estado manifestó que “nunca ha reconocido y no reconoce haber violentado el derecho de propiedad de la Comunidad Garífuna de Punta Piedra”. Asimismo, realizó las siguientes propuestas</w:t>
      </w:r>
      <w:r w:rsidR="00F855A5">
        <w:rPr>
          <w:rFonts w:ascii="Verdana" w:hAnsi="Verdana"/>
          <w:sz w:val="20"/>
          <w:szCs w:val="20"/>
        </w:rPr>
        <w:t>:</w:t>
      </w:r>
      <w:r w:rsidRPr="001455F9">
        <w:rPr>
          <w:rFonts w:ascii="Verdana" w:hAnsi="Verdana"/>
          <w:sz w:val="20"/>
          <w:szCs w:val="20"/>
        </w:rPr>
        <w:t xml:space="preserve"> i) “que la Comunidad Garífuna de Punta Piedra acceda que el Estado […] le pague la tierra que actualmente ocupan los pobladores de Río Miel y que esa tierra pase a ser propiedad de los pobladores de Río Miel”; ii) “que la Comunidad Garífuna de Punta Piedra acceda que el Estado […] le entregue un área de tierra equivalente a la que ocupan los pobladores de Río Miel en otro lugar contiguo a su anterior título”, </w:t>
      </w:r>
      <w:r>
        <w:rPr>
          <w:rFonts w:ascii="Verdana" w:hAnsi="Verdana"/>
          <w:sz w:val="20"/>
          <w:szCs w:val="20"/>
        </w:rPr>
        <w:t>o</w:t>
      </w:r>
      <w:r w:rsidRPr="001455F9">
        <w:rPr>
          <w:rFonts w:ascii="Verdana" w:hAnsi="Verdana"/>
          <w:sz w:val="20"/>
          <w:szCs w:val="20"/>
        </w:rPr>
        <w:t xml:space="preserve"> iii) “que la comunidad de Río Miel […] pague a la Comunidad Garífuna de Punta Piedra un canon anual por la tierra que ellos ocupan”.</w:t>
      </w:r>
    </w:p>
    <w:p w14:paraId="0C70495C" w14:textId="77777777" w:rsidR="00E04121" w:rsidRPr="001455F9" w:rsidRDefault="00E04121" w:rsidP="00E04121">
      <w:pPr>
        <w:pStyle w:val="ListParagraph"/>
        <w:rPr>
          <w:rFonts w:ascii="Verdana" w:hAnsi="Verdana"/>
          <w:sz w:val="20"/>
          <w:szCs w:val="20"/>
        </w:rPr>
      </w:pPr>
    </w:p>
    <w:p w14:paraId="0C70495D" w14:textId="2AB42AD5" w:rsidR="00E04121"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Posteriormente, en sus alegatos finales escritos, en primer lugar, el Estado sostuvo que “ante los reclamos de la Comunidad Garífuna de Punta Piedra, asumió la obligación de sanear la tierra a ellos otorgada”. También señaló que no ha violentado el derecho de propiedad de la Comunidad de Punta Piedra ya que desde la emisión del título de ampliación estableció  con claridad que el dominio pleno</w:t>
      </w:r>
      <w:r w:rsidRPr="003F5908">
        <w:rPr>
          <w:rFonts w:ascii="Verdana" w:hAnsi="Verdana"/>
          <w:sz w:val="20"/>
          <w:szCs w:val="20"/>
        </w:rPr>
        <w:t xml:space="preserve"> </w:t>
      </w:r>
      <w:r w:rsidR="00F855A5" w:rsidRPr="003F5908">
        <w:rPr>
          <w:rFonts w:ascii="Verdana" w:hAnsi="Verdana"/>
          <w:sz w:val="20"/>
          <w:szCs w:val="20"/>
        </w:rPr>
        <w:t xml:space="preserve">les </w:t>
      </w:r>
      <w:r w:rsidRPr="001455F9">
        <w:rPr>
          <w:rFonts w:ascii="Verdana" w:hAnsi="Verdana"/>
          <w:sz w:val="20"/>
          <w:szCs w:val="20"/>
        </w:rPr>
        <w:t>correspondía sobre el área que ocupaban, y no sobre las áreas ocupadas por los pobladores de Río Miel. Sin embargo, en el mismo escrito, el Estado indicó que de conformidad con la legislación hondureña es obligación del otorgante de un título de propiedad sanear los vicios del inmueble objeto de la transacción, por lo que en el presente caso dicha obligación le competía al Estado de Honduras.</w:t>
      </w:r>
    </w:p>
    <w:p w14:paraId="0C70495E" w14:textId="77777777" w:rsidR="00D06233" w:rsidRPr="001455F9" w:rsidRDefault="00D06233" w:rsidP="00D06233">
      <w:pPr>
        <w:pStyle w:val="ListParagraph"/>
        <w:ind w:left="0"/>
        <w:jc w:val="both"/>
        <w:rPr>
          <w:rFonts w:ascii="Verdana" w:hAnsi="Verdana"/>
          <w:sz w:val="20"/>
          <w:szCs w:val="20"/>
        </w:rPr>
      </w:pPr>
    </w:p>
    <w:p w14:paraId="0C70495F" w14:textId="3982598D"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lastRenderedPageBreak/>
        <w:t xml:space="preserve">Por su parte, la </w:t>
      </w:r>
      <w:r w:rsidRPr="001455F9">
        <w:rPr>
          <w:rFonts w:ascii="Verdana" w:hAnsi="Verdana"/>
          <w:b/>
          <w:i/>
          <w:sz w:val="20"/>
          <w:szCs w:val="20"/>
        </w:rPr>
        <w:t>Comisión</w:t>
      </w:r>
      <w:r w:rsidRPr="001455F9">
        <w:rPr>
          <w:rFonts w:ascii="Verdana" w:hAnsi="Verdana"/>
          <w:sz w:val="20"/>
          <w:szCs w:val="20"/>
        </w:rPr>
        <w:t xml:space="preserve"> manifestó “que el Estado presentó un </w:t>
      </w:r>
      <w:r w:rsidR="00F855A5">
        <w:rPr>
          <w:rFonts w:ascii="Verdana" w:hAnsi="Verdana"/>
          <w:sz w:val="20"/>
          <w:szCs w:val="20"/>
        </w:rPr>
        <w:t>‘</w:t>
      </w:r>
      <w:r w:rsidRPr="001455F9">
        <w:rPr>
          <w:rFonts w:ascii="Verdana" w:hAnsi="Verdana"/>
          <w:sz w:val="20"/>
          <w:szCs w:val="20"/>
        </w:rPr>
        <w:t>allanamiento</w:t>
      </w:r>
      <w:r w:rsidR="00F855A5">
        <w:rPr>
          <w:rFonts w:ascii="Verdana" w:hAnsi="Verdana"/>
          <w:sz w:val="20"/>
          <w:szCs w:val="20"/>
        </w:rPr>
        <w:t>’</w:t>
      </w:r>
      <w:r w:rsidRPr="001455F9">
        <w:rPr>
          <w:rFonts w:ascii="Verdana" w:hAnsi="Verdana"/>
          <w:sz w:val="20"/>
          <w:szCs w:val="20"/>
        </w:rPr>
        <w:t xml:space="preserve"> respecto de un hecho del caso –esto es, que no se garantizó la posesión pacífica del territorio a través del saneamiento– y una pretensión relacionada con el pago de mejoras. Sin embargo, del lenguaje utilizado por el Estado no resulta claro si dicho </w:t>
      </w:r>
      <w:r w:rsidR="00F855A5">
        <w:rPr>
          <w:rFonts w:ascii="Verdana" w:hAnsi="Verdana"/>
          <w:sz w:val="20"/>
          <w:szCs w:val="20"/>
        </w:rPr>
        <w:t>‘</w:t>
      </w:r>
      <w:r w:rsidRPr="001455F9">
        <w:rPr>
          <w:rFonts w:ascii="Verdana" w:hAnsi="Verdana"/>
          <w:sz w:val="20"/>
          <w:szCs w:val="20"/>
        </w:rPr>
        <w:t>allanamiento</w:t>
      </w:r>
      <w:r w:rsidR="00F855A5">
        <w:rPr>
          <w:rFonts w:ascii="Verdana" w:hAnsi="Verdana"/>
          <w:sz w:val="20"/>
          <w:szCs w:val="20"/>
        </w:rPr>
        <w:t>’</w:t>
      </w:r>
      <w:r w:rsidRPr="001455F9">
        <w:rPr>
          <w:rFonts w:ascii="Verdana" w:hAnsi="Verdana"/>
          <w:sz w:val="20"/>
          <w:szCs w:val="20"/>
        </w:rPr>
        <w:t xml:space="preserve"> incluye las consecuencias jurídicas del referido hecho”.</w:t>
      </w:r>
    </w:p>
    <w:p w14:paraId="0C704960" w14:textId="77777777" w:rsidR="00E04121" w:rsidRPr="001455F9" w:rsidRDefault="00E04121" w:rsidP="00E04121">
      <w:pPr>
        <w:pStyle w:val="ListParagraph"/>
        <w:rPr>
          <w:rFonts w:ascii="Verdana" w:hAnsi="Verdana"/>
          <w:sz w:val="20"/>
          <w:szCs w:val="20"/>
        </w:rPr>
      </w:pPr>
    </w:p>
    <w:p w14:paraId="0C704961" w14:textId="11CA4D4A"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Los </w:t>
      </w:r>
      <w:r w:rsidRPr="001455F9">
        <w:rPr>
          <w:rFonts w:ascii="Verdana" w:hAnsi="Verdana"/>
          <w:b/>
          <w:i/>
          <w:sz w:val="20"/>
          <w:szCs w:val="20"/>
        </w:rPr>
        <w:t>representantes</w:t>
      </w:r>
      <w:r w:rsidRPr="001455F9">
        <w:rPr>
          <w:rFonts w:ascii="Verdana" w:hAnsi="Verdana"/>
          <w:sz w:val="20"/>
          <w:szCs w:val="20"/>
        </w:rPr>
        <w:t xml:space="preserve"> señalaron que “el Estado parece reconocer que no </w:t>
      </w:r>
      <w:proofErr w:type="spellStart"/>
      <w:proofErr w:type="gramStart"/>
      <w:r w:rsidRPr="001455F9">
        <w:rPr>
          <w:rFonts w:ascii="Verdana" w:hAnsi="Verdana"/>
          <w:sz w:val="20"/>
          <w:szCs w:val="20"/>
        </w:rPr>
        <w:t>cumpl</w:t>
      </w:r>
      <w:proofErr w:type="spellEnd"/>
      <w:r w:rsidRPr="001455F9">
        <w:rPr>
          <w:rFonts w:ascii="Verdana" w:hAnsi="Verdana"/>
          <w:sz w:val="20"/>
          <w:szCs w:val="20"/>
        </w:rPr>
        <w:t>[</w:t>
      </w:r>
      <w:proofErr w:type="spellStart"/>
      <w:proofErr w:type="gramEnd"/>
      <w:r w:rsidRPr="001455F9">
        <w:rPr>
          <w:rFonts w:ascii="Verdana" w:hAnsi="Verdana"/>
          <w:sz w:val="20"/>
          <w:szCs w:val="20"/>
        </w:rPr>
        <w:t>ió</w:t>
      </w:r>
      <w:proofErr w:type="spellEnd"/>
      <w:r w:rsidRPr="001455F9">
        <w:rPr>
          <w:rFonts w:ascii="Verdana" w:hAnsi="Verdana"/>
          <w:sz w:val="20"/>
          <w:szCs w:val="20"/>
        </w:rPr>
        <w:t xml:space="preserve">] con la obligación de garantizar la posesión efectiva, sin embargo concluye que no violentó el artículo 21 de la Convención […], por lo que no se comprende si se allana o no pues en materia de pueblos indígenas esa garantía de posesión es parte fundamental del derecho de propiedad colectiva. [S]in embargo </w:t>
      </w:r>
      <w:proofErr w:type="spellStart"/>
      <w:proofErr w:type="gramStart"/>
      <w:r w:rsidRPr="001455F9">
        <w:rPr>
          <w:rFonts w:ascii="Verdana" w:hAnsi="Verdana"/>
          <w:sz w:val="20"/>
          <w:szCs w:val="20"/>
        </w:rPr>
        <w:t>entend</w:t>
      </w:r>
      <w:proofErr w:type="spellEnd"/>
      <w:r w:rsidRPr="001455F9">
        <w:rPr>
          <w:rFonts w:ascii="Verdana" w:hAnsi="Verdana"/>
          <w:sz w:val="20"/>
          <w:szCs w:val="20"/>
        </w:rPr>
        <w:t>[</w:t>
      </w:r>
      <w:proofErr w:type="spellStart"/>
      <w:proofErr w:type="gramEnd"/>
      <w:r w:rsidRPr="001455F9">
        <w:rPr>
          <w:rFonts w:ascii="Verdana" w:hAnsi="Verdana"/>
          <w:sz w:val="20"/>
          <w:szCs w:val="20"/>
        </w:rPr>
        <w:t>ieron</w:t>
      </w:r>
      <w:proofErr w:type="spellEnd"/>
      <w:r w:rsidRPr="001455F9">
        <w:rPr>
          <w:rFonts w:ascii="Verdana" w:hAnsi="Verdana"/>
          <w:sz w:val="20"/>
          <w:szCs w:val="20"/>
        </w:rPr>
        <w:t xml:space="preserve">] que el Estado </w:t>
      </w:r>
      <w:proofErr w:type="spellStart"/>
      <w:r w:rsidRPr="001455F9">
        <w:rPr>
          <w:rFonts w:ascii="Verdana" w:hAnsi="Verdana"/>
          <w:sz w:val="20"/>
          <w:szCs w:val="20"/>
        </w:rPr>
        <w:t>reconoc</w:t>
      </w:r>
      <w:proofErr w:type="spellEnd"/>
      <w:r w:rsidRPr="001455F9">
        <w:rPr>
          <w:rFonts w:ascii="Verdana" w:hAnsi="Verdana"/>
          <w:sz w:val="20"/>
          <w:szCs w:val="20"/>
        </w:rPr>
        <w:t>[</w:t>
      </w:r>
      <w:proofErr w:type="spellStart"/>
      <w:r w:rsidRPr="001455F9">
        <w:rPr>
          <w:rFonts w:ascii="Verdana" w:hAnsi="Verdana"/>
          <w:sz w:val="20"/>
          <w:szCs w:val="20"/>
        </w:rPr>
        <w:t>ió</w:t>
      </w:r>
      <w:proofErr w:type="spellEnd"/>
      <w:r w:rsidRPr="001455F9">
        <w:rPr>
          <w:rFonts w:ascii="Verdana" w:hAnsi="Verdana"/>
          <w:sz w:val="20"/>
          <w:szCs w:val="20"/>
        </w:rPr>
        <w:t>] el hecho de que no efectuó el saneamiento necesario para la posesión pacífica del territorio reconocido”.</w:t>
      </w:r>
    </w:p>
    <w:p w14:paraId="0C704962" w14:textId="77777777" w:rsidR="00E04121" w:rsidRPr="001455F9" w:rsidRDefault="00E04121" w:rsidP="00E04121">
      <w:pPr>
        <w:rPr>
          <w:rFonts w:ascii="Verdana" w:hAnsi="Verdana"/>
          <w:sz w:val="20"/>
          <w:szCs w:val="20"/>
        </w:rPr>
      </w:pPr>
    </w:p>
    <w:p w14:paraId="0C704963" w14:textId="77777777" w:rsidR="00E04121" w:rsidRPr="001455F9" w:rsidRDefault="00E04121" w:rsidP="00E04121">
      <w:pPr>
        <w:pStyle w:val="Heading2"/>
        <w:numPr>
          <w:ilvl w:val="0"/>
          <w:numId w:val="10"/>
        </w:numPr>
        <w:spacing w:before="0"/>
        <w:rPr>
          <w:rFonts w:ascii="Verdana" w:hAnsi="Verdana"/>
          <w:i/>
          <w:color w:val="auto"/>
          <w:sz w:val="20"/>
          <w:szCs w:val="20"/>
        </w:rPr>
      </w:pPr>
      <w:bookmarkStart w:id="14" w:name="_Toc437247309"/>
      <w:r w:rsidRPr="001455F9">
        <w:rPr>
          <w:rFonts w:ascii="Verdana" w:hAnsi="Verdana"/>
          <w:i/>
          <w:color w:val="auto"/>
          <w:sz w:val="20"/>
          <w:szCs w:val="20"/>
        </w:rPr>
        <w:t>Consideraciones de la Corte</w:t>
      </w:r>
      <w:bookmarkEnd w:id="14"/>
    </w:p>
    <w:p w14:paraId="0C704964" w14:textId="77777777" w:rsidR="00E04121" w:rsidRPr="001455F9" w:rsidRDefault="00E04121" w:rsidP="00E04121">
      <w:pPr>
        <w:rPr>
          <w:rFonts w:ascii="Verdana" w:hAnsi="Verdana"/>
          <w:sz w:val="20"/>
          <w:szCs w:val="20"/>
        </w:rPr>
      </w:pPr>
    </w:p>
    <w:p w14:paraId="0C704965" w14:textId="40987006" w:rsidR="00E04121"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De conformidad con los artículos 62 y 64</w:t>
      </w:r>
      <w:r w:rsidRPr="001455F9">
        <w:rPr>
          <w:rFonts w:ascii="Verdana" w:hAnsi="Verdana"/>
          <w:sz w:val="20"/>
          <w:szCs w:val="20"/>
          <w:vertAlign w:val="superscript"/>
        </w:rPr>
        <w:t xml:space="preserve"> </w:t>
      </w:r>
      <w:r w:rsidRPr="001455F9">
        <w:rPr>
          <w:rFonts w:ascii="Verdana" w:hAnsi="Verdana"/>
          <w:sz w:val="20"/>
          <w:szCs w:val="20"/>
        </w:rPr>
        <w:t>del Reglamento, y en ejercicio de sus poderes de tutela judicial internacional de derechos humanos, cuestión que trasciende la voluntad de las partes</w:t>
      </w:r>
      <w:r w:rsidRPr="00F22EE1">
        <w:rPr>
          <w:rFonts w:ascii="Verdana" w:hAnsi="Verdana"/>
          <w:sz w:val="20"/>
          <w:szCs w:val="20"/>
          <w:vertAlign w:val="superscript"/>
        </w:rPr>
        <w:footnoteReference w:id="24"/>
      </w:r>
      <w:r w:rsidRPr="001455F9">
        <w:rPr>
          <w:rFonts w:ascii="Verdana" w:hAnsi="Verdana"/>
          <w:sz w:val="20"/>
          <w:szCs w:val="20"/>
        </w:rPr>
        <w:t>, incumbe al Tribunal velar porque los actos de allanamiento resulten aceptables para los fines que busca cumplir el sistema interamericano para la protección de los derechos humanos. En esta tarea no se limita únicamente a constatar, registrar o tomar nota del reconocimiento efectuado por el Estado, o a verificar las condiciones formales de los mencionados actos, sino que los debe confrontar con la naturaleza y gravedad de las violaciones alegadas, las exigencias e interés de la justicia, las circunstancias particulares del caso concreto y la actitud y posición de las partes, de manera tal que pueda precisar, en cuanto sea posible y en el ejercicio de su competencia, la verdad de lo acontecido</w:t>
      </w:r>
      <w:r w:rsidRPr="00F22EE1">
        <w:rPr>
          <w:rFonts w:ascii="Verdana" w:hAnsi="Verdana"/>
          <w:sz w:val="20"/>
          <w:szCs w:val="20"/>
          <w:vertAlign w:val="superscript"/>
        </w:rPr>
        <w:footnoteReference w:id="25"/>
      </w:r>
      <w:r w:rsidRPr="001455F9">
        <w:rPr>
          <w:rFonts w:ascii="Verdana" w:hAnsi="Verdana"/>
          <w:sz w:val="20"/>
          <w:szCs w:val="20"/>
        </w:rPr>
        <w:t>. En tal sentido, el reconocimiento no puede tener por consecuencia limitar, directa o indirectamente, el ejercicio de las facultades de la Corte de conocer el caso que le ha sido sometido y decidir si, al respecto, hubo violación de un derecho o libertad protegidos en la Convención</w:t>
      </w:r>
      <w:r w:rsidRPr="00F22EE1">
        <w:rPr>
          <w:rFonts w:ascii="Verdana" w:hAnsi="Verdana"/>
          <w:sz w:val="20"/>
          <w:szCs w:val="20"/>
          <w:vertAlign w:val="superscript"/>
        </w:rPr>
        <w:footnoteReference w:id="26"/>
      </w:r>
      <w:r w:rsidRPr="001455F9">
        <w:rPr>
          <w:rFonts w:ascii="Verdana" w:hAnsi="Verdana"/>
          <w:sz w:val="20"/>
          <w:szCs w:val="20"/>
        </w:rPr>
        <w:t xml:space="preserve">.  </w:t>
      </w:r>
    </w:p>
    <w:p w14:paraId="0C704966" w14:textId="77777777" w:rsidR="00FB4B7D" w:rsidRPr="001455F9" w:rsidRDefault="00FB4B7D" w:rsidP="00F06E2B">
      <w:pPr>
        <w:pStyle w:val="ListParagraph"/>
        <w:ind w:left="0"/>
        <w:jc w:val="both"/>
        <w:rPr>
          <w:rFonts w:ascii="Verdana" w:hAnsi="Verdana"/>
          <w:sz w:val="20"/>
          <w:szCs w:val="20"/>
        </w:rPr>
      </w:pPr>
    </w:p>
    <w:p w14:paraId="0C704967" w14:textId="0225C0A8"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En cuanto al reconocimiento de hechos, la Corte constata que en su escrito de contestación, el Estado afirmó que otorgó dos títulos de propiedad en dominio pleno a la Comunidad Garífuna de Punta Piedra, el primero con una extensión de ochocientas </w:t>
      </w:r>
      <w:r w:rsidR="0097786F">
        <w:rPr>
          <w:rFonts w:ascii="Verdana" w:hAnsi="Verdana"/>
          <w:sz w:val="20"/>
          <w:szCs w:val="20"/>
        </w:rPr>
        <w:t>hectáreas</w:t>
      </w:r>
      <w:r w:rsidRPr="001455F9">
        <w:rPr>
          <w:rFonts w:ascii="Verdana" w:hAnsi="Verdana"/>
          <w:sz w:val="20"/>
          <w:szCs w:val="20"/>
        </w:rPr>
        <w:t xml:space="preserve"> con ses</w:t>
      </w:r>
      <w:r>
        <w:rPr>
          <w:rFonts w:ascii="Verdana" w:hAnsi="Verdana"/>
          <w:sz w:val="20"/>
          <w:szCs w:val="20"/>
        </w:rPr>
        <w:t>enta y cuatro áreas (800.64 ha</w:t>
      </w:r>
      <w:r w:rsidRPr="001455F9">
        <w:rPr>
          <w:rFonts w:ascii="Verdana" w:hAnsi="Verdana"/>
          <w:sz w:val="20"/>
          <w:szCs w:val="20"/>
        </w:rPr>
        <w:t xml:space="preserve">), y el segundo con una extensión de mil quinientas trece </w:t>
      </w:r>
      <w:r w:rsidR="0097786F">
        <w:rPr>
          <w:rFonts w:ascii="Verdana" w:hAnsi="Verdana"/>
          <w:sz w:val="20"/>
          <w:szCs w:val="20"/>
        </w:rPr>
        <w:t>hectáreas</w:t>
      </w:r>
      <w:r w:rsidRPr="001455F9">
        <w:rPr>
          <w:rFonts w:ascii="Verdana" w:hAnsi="Verdana"/>
          <w:sz w:val="20"/>
          <w:szCs w:val="20"/>
        </w:rPr>
        <w:t xml:space="preserve"> con cincuenta y cuatro áreas (1,5</w:t>
      </w:r>
      <w:r>
        <w:rPr>
          <w:rFonts w:ascii="Verdana" w:hAnsi="Verdana"/>
          <w:sz w:val="20"/>
          <w:szCs w:val="20"/>
        </w:rPr>
        <w:t>13.54 ha</w:t>
      </w:r>
      <w:r w:rsidRPr="001455F9">
        <w:rPr>
          <w:rFonts w:ascii="Verdana" w:hAnsi="Verdana"/>
          <w:sz w:val="20"/>
          <w:szCs w:val="20"/>
        </w:rPr>
        <w:t xml:space="preserve">). Asimismo, reconoció que no saneó el territorio otorgado a la Comunidad, en virtud de que los habitantes de la Aldea Río Miel se encontraban en posesión de parte de éste. No obstante, se contradijo respecto de la cantidad de territorio que se </w:t>
      </w:r>
      <w:r>
        <w:rPr>
          <w:rFonts w:ascii="Verdana" w:hAnsi="Verdana"/>
          <w:sz w:val="20"/>
          <w:szCs w:val="20"/>
        </w:rPr>
        <w:t>encontraba</w:t>
      </w:r>
      <w:r w:rsidRPr="001455F9">
        <w:rPr>
          <w:rFonts w:ascii="Verdana" w:hAnsi="Verdana"/>
          <w:sz w:val="20"/>
          <w:szCs w:val="20"/>
        </w:rPr>
        <w:t xml:space="preserve"> ocupado por terceros, primeramente señalando una ocupación de 600 </w:t>
      </w:r>
      <w:r w:rsidR="0097786F">
        <w:rPr>
          <w:rFonts w:ascii="Verdana" w:hAnsi="Verdana"/>
          <w:sz w:val="20"/>
          <w:szCs w:val="20"/>
        </w:rPr>
        <w:t>hectáreas</w:t>
      </w:r>
      <w:r w:rsidRPr="001455F9">
        <w:rPr>
          <w:rFonts w:ascii="Verdana" w:hAnsi="Verdana"/>
          <w:sz w:val="20"/>
          <w:szCs w:val="20"/>
        </w:rPr>
        <w:t xml:space="preserve">, y luego manifestando que la ocupación era de 3.48 </w:t>
      </w:r>
      <w:r w:rsidR="00865E06">
        <w:rPr>
          <w:rFonts w:ascii="Verdana" w:hAnsi="Verdana"/>
          <w:sz w:val="20"/>
          <w:szCs w:val="20"/>
        </w:rPr>
        <w:t>hectáreas</w:t>
      </w:r>
      <w:r w:rsidRPr="001455F9">
        <w:rPr>
          <w:rFonts w:ascii="Verdana" w:hAnsi="Verdana"/>
          <w:sz w:val="20"/>
          <w:szCs w:val="20"/>
        </w:rPr>
        <w:t xml:space="preserve"> (</w:t>
      </w:r>
      <w:r w:rsidRPr="001455F9">
        <w:rPr>
          <w:rFonts w:ascii="Verdana" w:hAnsi="Verdana"/>
          <w:i/>
          <w:sz w:val="20"/>
          <w:szCs w:val="20"/>
        </w:rPr>
        <w:t>supra</w:t>
      </w:r>
      <w:r w:rsidRPr="001455F9">
        <w:rPr>
          <w:rFonts w:ascii="Verdana" w:hAnsi="Verdana"/>
          <w:sz w:val="20"/>
          <w:szCs w:val="20"/>
        </w:rPr>
        <w:t xml:space="preserve"> párrs. </w:t>
      </w:r>
      <w:r w:rsidR="005E2983">
        <w:rPr>
          <w:rFonts w:ascii="Verdana" w:hAnsi="Verdana"/>
          <w:sz w:val="20"/>
          <w:szCs w:val="20"/>
        </w:rPr>
        <w:t>3</w:t>
      </w:r>
      <w:r w:rsidR="000D14CC">
        <w:rPr>
          <w:rFonts w:ascii="Verdana" w:hAnsi="Verdana"/>
          <w:sz w:val="20"/>
          <w:szCs w:val="20"/>
        </w:rPr>
        <w:t>6 y 38</w:t>
      </w:r>
      <w:r w:rsidR="005E2983" w:rsidRPr="001455F9">
        <w:rPr>
          <w:rFonts w:ascii="Verdana" w:hAnsi="Verdana"/>
          <w:sz w:val="20"/>
          <w:szCs w:val="20"/>
        </w:rPr>
        <w:t>).</w:t>
      </w:r>
    </w:p>
    <w:p w14:paraId="0C704968" w14:textId="77777777" w:rsidR="00E04121" w:rsidRPr="001455F9" w:rsidRDefault="00E04121" w:rsidP="00E04121">
      <w:pPr>
        <w:pStyle w:val="ListParagraph"/>
        <w:rPr>
          <w:rFonts w:ascii="Verdana" w:hAnsi="Verdana"/>
          <w:sz w:val="20"/>
          <w:szCs w:val="20"/>
        </w:rPr>
      </w:pPr>
    </w:p>
    <w:p w14:paraId="0C704969" w14:textId="7B2C7949"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Al respecto, la Corte estima que dicho reconocimiento de hechos produce plenos efectos jurídicos de acuerdo con los artículos 62 y 64 del Reglamento de la Corte. Sin embargo, si bien ha cesado en parte la controversia sobre los hechos anteriormente </w:t>
      </w:r>
      <w:r w:rsidRPr="001455F9">
        <w:rPr>
          <w:rFonts w:ascii="Verdana" w:hAnsi="Verdana"/>
          <w:sz w:val="20"/>
          <w:szCs w:val="20"/>
        </w:rPr>
        <w:lastRenderedPageBreak/>
        <w:t>señalados, así como sobre la falta de saneamiento, tomando en consideración que el Estado rechazó los demás hechos del marco fáctico, la Corte estima pertinente realizar una determinación amplia y detallada de los mismos, observando aquellos que fueron reconocidos, toda vez que ello contribuye a la reparación de las víctimas y a evitar que se repitan hechos similares</w:t>
      </w:r>
      <w:r w:rsidRPr="00F22EE1">
        <w:rPr>
          <w:rFonts w:ascii="Verdana" w:hAnsi="Verdana"/>
          <w:sz w:val="20"/>
          <w:szCs w:val="20"/>
          <w:vertAlign w:val="superscript"/>
        </w:rPr>
        <w:footnoteReference w:id="27"/>
      </w:r>
      <w:r w:rsidRPr="001455F9">
        <w:rPr>
          <w:rFonts w:ascii="Verdana" w:hAnsi="Verdana"/>
          <w:sz w:val="20"/>
          <w:szCs w:val="20"/>
        </w:rPr>
        <w:t>.</w:t>
      </w:r>
    </w:p>
    <w:p w14:paraId="0C70496A" w14:textId="77777777" w:rsidR="00E04121" w:rsidRPr="001455F9" w:rsidRDefault="00E04121" w:rsidP="00E04121">
      <w:pPr>
        <w:pStyle w:val="ListParagraph"/>
        <w:rPr>
          <w:rFonts w:ascii="Verdana" w:hAnsi="Verdana"/>
          <w:sz w:val="20"/>
          <w:szCs w:val="20"/>
        </w:rPr>
      </w:pPr>
    </w:p>
    <w:p w14:paraId="0C70496B" w14:textId="3CFA1FFF"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En cuanto al posible reconocimiento por la violación de derechos, </w:t>
      </w:r>
      <w:r w:rsidRPr="004B60D0">
        <w:rPr>
          <w:rFonts w:ascii="Verdana" w:hAnsi="Verdana"/>
          <w:sz w:val="20"/>
          <w:szCs w:val="20"/>
        </w:rPr>
        <w:t xml:space="preserve">el Estado reconoció que “no </w:t>
      </w:r>
      <w:proofErr w:type="spellStart"/>
      <w:r w:rsidRPr="004B60D0">
        <w:rPr>
          <w:rFonts w:ascii="Verdana" w:hAnsi="Verdana"/>
          <w:sz w:val="20"/>
          <w:szCs w:val="20"/>
        </w:rPr>
        <w:t>garantiz</w:t>
      </w:r>
      <w:proofErr w:type="spellEnd"/>
      <w:r w:rsidRPr="004B60D0">
        <w:rPr>
          <w:rFonts w:ascii="Verdana" w:hAnsi="Verdana"/>
          <w:sz w:val="20"/>
          <w:szCs w:val="20"/>
        </w:rPr>
        <w:t>[</w:t>
      </w:r>
      <w:proofErr w:type="spellStart"/>
      <w:r w:rsidRPr="004B60D0">
        <w:rPr>
          <w:rFonts w:ascii="Verdana" w:hAnsi="Verdana"/>
          <w:sz w:val="20"/>
          <w:szCs w:val="20"/>
        </w:rPr>
        <w:t>ó</w:t>
      </w:r>
      <w:proofErr w:type="spellEnd"/>
      <w:r w:rsidRPr="004B60D0">
        <w:rPr>
          <w:rFonts w:ascii="Verdana" w:hAnsi="Verdana"/>
          <w:sz w:val="20"/>
          <w:szCs w:val="20"/>
        </w:rPr>
        <w:t>] [la] posesión pacífica [del territorio de la Comunidad] a través del saneamiento” (</w:t>
      </w:r>
      <w:r w:rsidRPr="004B60D0">
        <w:rPr>
          <w:rFonts w:ascii="Verdana" w:hAnsi="Verdana"/>
          <w:i/>
          <w:sz w:val="20"/>
          <w:szCs w:val="20"/>
        </w:rPr>
        <w:t>supra</w:t>
      </w:r>
      <w:r w:rsidRPr="004B60D0">
        <w:rPr>
          <w:rFonts w:ascii="Verdana" w:hAnsi="Verdana"/>
          <w:sz w:val="20"/>
          <w:szCs w:val="20"/>
        </w:rPr>
        <w:t xml:space="preserve"> párr. </w:t>
      </w:r>
      <w:r w:rsidR="006140D0">
        <w:rPr>
          <w:rFonts w:ascii="Verdana" w:hAnsi="Verdana"/>
          <w:sz w:val="20"/>
          <w:szCs w:val="20"/>
        </w:rPr>
        <w:t>3</w:t>
      </w:r>
      <w:r w:rsidR="000D14CC">
        <w:rPr>
          <w:rFonts w:ascii="Verdana" w:hAnsi="Verdana"/>
          <w:sz w:val="20"/>
          <w:szCs w:val="20"/>
        </w:rPr>
        <w:t>7</w:t>
      </w:r>
      <w:r w:rsidR="006140D0" w:rsidRPr="004B60D0">
        <w:rPr>
          <w:rFonts w:ascii="Verdana" w:hAnsi="Verdana"/>
          <w:sz w:val="20"/>
          <w:szCs w:val="20"/>
        </w:rPr>
        <w:t xml:space="preserve">), </w:t>
      </w:r>
      <w:r w:rsidRPr="004B60D0">
        <w:rPr>
          <w:rFonts w:ascii="Verdana" w:hAnsi="Verdana"/>
          <w:sz w:val="20"/>
          <w:szCs w:val="20"/>
        </w:rPr>
        <w:t xml:space="preserve">y que “al momento de otorgar el Título de Propiedad en Dominio Pleno a favor de la Comunidad Garífuna de </w:t>
      </w:r>
      <w:proofErr w:type="spellStart"/>
      <w:r w:rsidRPr="004B60D0">
        <w:rPr>
          <w:rFonts w:ascii="Verdana" w:hAnsi="Verdana"/>
          <w:sz w:val="20"/>
          <w:szCs w:val="20"/>
        </w:rPr>
        <w:t>Punt</w:t>
      </w:r>
      <w:proofErr w:type="spellEnd"/>
      <w:r w:rsidRPr="004B60D0">
        <w:rPr>
          <w:rFonts w:ascii="Verdana" w:hAnsi="Verdana"/>
          <w:sz w:val="20"/>
          <w:szCs w:val="20"/>
        </w:rPr>
        <w:t>[a] Piedra por intermedio del Instituto Nacional Agrario (</w:t>
      </w:r>
      <w:r w:rsidR="007A3F25">
        <w:rPr>
          <w:rFonts w:ascii="Verdana" w:hAnsi="Verdana"/>
          <w:sz w:val="20"/>
          <w:szCs w:val="20"/>
        </w:rPr>
        <w:t>en adelante, “</w:t>
      </w:r>
      <w:r w:rsidRPr="004B60D0">
        <w:rPr>
          <w:rFonts w:ascii="Verdana" w:hAnsi="Verdana"/>
          <w:sz w:val="20"/>
          <w:szCs w:val="20"/>
        </w:rPr>
        <w:t>INA</w:t>
      </w:r>
      <w:r w:rsidR="007A3F25">
        <w:rPr>
          <w:rFonts w:ascii="Verdana" w:hAnsi="Verdana"/>
          <w:sz w:val="20"/>
          <w:szCs w:val="20"/>
        </w:rPr>
        <w:t>”</w:t>
      </w:r>
      <w:r w:rsidRPr="004B60D0">
        <w:rPr>
          <w:rFonts w:ascii="Verdana" w:hAnsi="Verdana"/>
          <w:sz w:val="20"/>
          <w:szCs w:val="20"/>
        </w:rPr>
        <w:t>); no sane[</w:t>
      </w:r>
      <w:proofErr w:type="spellStart"/>
      <w:r w:rsidRPr="004B60D0">
        <w:rPr>
          <w:rFonts w:ascii="Verdana" w:hAnsi="Verdana"/>
          <w:sz w:val="20"/>
          <w:szCs w:val="20"/>
        </w:rPr>
        <w:t>ó</w:t>
      </w:r>
      <w:proofErr w:type="spellEnd"/>
      <w:r w:rsidRPr="004B60D0">
        <w:rPr>
          <w:rFonts w:ascii="Verdana" w:hAnsi="Verdana"/>
          <w:sz w:val="20"/>
          <w:szCs w:val="20"/>
        </w:rPr>
        <w:t>] el área ocupada por los pobladores de la Aldea de Río Miel, [por lo que] el Título tenía un vicio en la tenencia de tierra”</w:t>
      </w:r>
      <w:r>
        <w:rPr>
          <w:rFonts w:ascii="Verdana" w:hAnsi="Verdana"/>
          <w:sz w:val="20"/>
          <w:szCs w:val="20"/>
        </w:rPr>
        <w:t>.</w:t>
      </w:r>
      <w:r w:rsidRPr="004B60D0">
        <w:rPr>
          <w:rFonts w:ascii="Verdana" w:hAnsi="Verdana"/>
          <w:sz w:val="20"/>
          <w:szCs w:val="20"/>
        </w:rPr>
        <w:t xml:space="preserve"> </w:t>
      </w:r>
      <w:r>
        <w:rPr>
          <w:rFonts w:ascii="Verdana" w:hAnsi="Verdana"/>
          <w:sz w:val="20"/>
          <w:szCs w:val="20"/>
        </w:rPr>
        <w:t xml:space="preserve">Para la Corte, </w:t>
      </w:r>
      <w:r w:rsidRPr="004B60D0">
        <w:rPr>
          <w:rFonts w:ascii="Verdana" w:hAnsi="Verdana"/>
          <w:sz w:val="20"/>
          <w:szCs w:val="20"/>
        </w:rPr>
        <w:t xml:space="preserve">dicho reconocimiento </w:t>
      </w:r>
      <w:r w:rsidRPr="001455F9">
        <w:rPr>
          <w:rFonts w:ascii="Verdana" w:hAnsi="Verdana"/>
          <w:sz w:val="20"/>
          <w:szCs w:val="20"/>
        </w:rPr>
        <w:t>acarrea consecuencias jurídicas que impactan en la violación del derecho a la propiedad de la Comunidad de Punta Piedra</w:t>
      </w:r>
      <w:r>
        <w:rPr>
          <w:rFonts w:ascii="Verdana" w:hAnsi="Verdana"/>
          <w:sz w:val="20"/>
          <w:szCs w:val="20"/>
        </w:rPr>
        <w:t>.</w:t>
      </w:r>
      <w:r w:rsidRPr="001455F9">
        <w:rPr>
          <w:rFonts w:ascii="Verdana" w:hAnsi="Verdana"/>
          <w:sz w:val="20"/>
          <w:szCs w:val="20"/>
        </w:rPr>
        <w:t xml:space="preserve"> </w:t>
      </w:r>
      <w:r w:rsidRPr="00012F57">
        <w:rPr>
          <w:rFonts w:ascii="Verdana" w:hAnsi="Verdana"/>
          <w:sz w:val="20"/>
          <w:szCs w:val="20"/>
        </w:rPr>
        <w:t>Por lo tanto, la Corte analizará</w:t>
      </w:r>
      <w:r w:rsidRPr="00CB26E3">
        <w:rPr>
          <w:rFonts w:ascii="Verdana" w:hAnsi="Verdana"/>
          <w:b/>
          <w:sz w:val="20"/>
          <w:szCs w:val="20"/>
        </w:rPr>
        <w:t xml:space="preserve"> </w:t>
      </w:r>
      <w:r w:rsidRPr="001455F9">
        <w:rPr>
          <w:rFonts w:ascii="Verdana" w:hAnsi="Verdana"/>
          <w:sz w:val="20"/>
          <w:szCs w:val="20"/>
        </w:rPr>
        <w:t>el alcance de las violaciones alegadas por la Comisión y los representantes en los capítulos que serán desarrollados</w:t>
      </w:r>
      <w:r>
        <w:rPr>
          <w:rFonts w:ascii="Verdana" w:hAnsi="Verdana"/>
          <w:sz w:val="20"/>
          <w:szCs w:val="20"/>
        </w:rPr>
        <w:t xml:space="preserve"> (</w:t>
      </w:r>
      <w:r w:rsidRPr="00F06E2B">
        <w:rPr>
          <w:rFonts w:ascii="Verdana" w:hAnsi="Verdana"/>
          <w:i/>
          <w:sz w:val="20"/>
          <w:szCs w:val="20"/>
        </w:rPr>
        <w:t>infra</w:t>
      </w:r>
      <w:r>
        <w:rPr>
          <w:rFonts w:ascii="Verdana" w:hAnsi="Verdana"/>
          <w:sz w:val="20"/>
          <w:szCs w:val="20"/>
        </w:rPr>
        <w:t xml:space="preserve"> párr</w:t>
      </w:r>
      <w:r w:rsidR="006140D0">
        <w:rPr>
          <w:rFonts w:ascii="Verdana" w:hAnsi="Verdana"/>
          <w:sz w:val="20"/>
          <w:szCs w:val="20"/>
        </w:rPr>
        <w:t>s</w:t>
      </w:r>
      <w:r>
        <w:rPr>
          <w:rFonts w:ascii="Verdana" w:hAnsi="Verdana"/>
          <w:sz w:val="20"/>
          <w:szCs w:val="20"/>
        </w:rPr>
        <w:t xml:space="preserve">. </w:t>
      </w:r>
      <w:r w:rsidR="006140D0">
        <w:rPr>
          <w:rFonts w:ascii="Verdana" w:hAnsi="Verdana"/>
          <w:sz w:val="20"/>
          <w:szCs w:val="20"/>
        </w:rPr>
        <w:t>1</w:t>
      </w:r>
      <w:r w:rsidR="000D14CC">
        <w:rPr>
          <w:rFonts w:ascii="Verdana" w:hAnsi="Verdana"/>
          <w:sz w:val="20"/>
          <w:szCs w:val="20"/>
        </w:rPr>
        <w:t>80</w:t>
      </w:r>
      <w:r w:rsidR="00F139C1">
        <w:rPr>
          <w:rFonts w:ascii="Verdana" w:hAnsi="Verdana"/>
          <w:sz w:val="20"/>
          <w:szCs w:val="20"/>
        </w:rPr>
        <w:t xml:space="preserve"> a </w:t>
      </w:r>
      <w:r w:rsidR="000D14CC">
        <w:rPr>
          <w:rFonts w:ascii="Verdana" w:hAnsi="Verdana"/>
          <w:sz w:val="20"/>
          <w:szCs w:val="20"/>
        </w:rPr>
        <w:t>202</w:t>
      </w:r>
      <w:r w:rsidR="006140D0">
        <w:rPr>
          <w:rFonts w:ascii="Verdana" w:hAnsi="Verdana"/>
          <w:sz w:val="20"/>
          <w:szCs w:val="20"/>
        </w:rPr>
        <w:t>)</w:t>
      </w:r>
      <w:r w:rsidR="006140D0" w:rsidRPr="001455F9">
        <w:rPr>
          <w:rFonts w:ascii="Verdana" w:hAnsi="Verdana"/>
          <w:sz w:val="20"/>
          <w:szCs w:val="20"/>
        </w:rPr>
        <w:t xml:space="preserve">.  </w:t>
      </w:r>
    </w:p>
    <w:p w14:paraId="0C70496C" w14:textId="77777777" w:rsidR="00E04121" w:rsidRPr="001455F9" w:rsidRDefault="00E04121" w:rsidP="00E04121">
      <w:pPr>
        <w:pStyle w:val="ListParagraph"/>
        <w:rPr>
          <w:rFonts w:ascii="Verdana" w:hAnsi="Verdana"/>
          <w:sz w:val="20"/>
          <w:szCs w:val="20"/>
        </w:rPr>
      </w:pPr>
    </w:p>
    <w:p w14:paraId="0C70496D" w14:textId="62AA5965"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Finalmente, en cuanto a las pretensiones sobre reparaciones, la Corte toma nota que en un primer momento el </w:t>
      </w:r>
      <w:r>
        <w:rPr>
          <w:rFonts w:ascii="Verdana" w:hAnsi="Verdana"/>
          <w:sz w:val="20"/>
          <w:szCs w:val="20"/>
        </w:rPr>
        <w:t>E</w:t>
      </w:r>
      <w:r w:rsidRPr="001455F9">
        <w:rPr>
          <w:rFonts w:ascii="Verdana" w:hAnsi="Verdana"/>
          <w:sz w:val="20"/>
          <w:szCs w:val="20"/>
        </w:rPr>
        <w:t>stado ofreció realizar una actualización del avalúo de las mejoras útiles y necesarias introducidas por los pobladores de Río Miel y destinar un monto económico para adquirir un predio con la finalidad de</w:t>
      </w:r>
      <w:r>
        <w:rPr>
          <w:rFonts w:ascii="Verdana" w:hAnsi="Verdana"/>
          <w:sz w:val="20"/>
          <w:szCs w:val="20"/>
        </w:rPr>
        <w:t xml:space="preserve"> reubicar a los miembros de la A</w:t>
      </w:r>
      <w:r w:rsidRPr="001455F9">
        <w:rPr>
          <w:rFonts w:ascii="Verdana" w:hAnsi="Verdana"/>
          <w:sz w:val="20"/>
          <w:szCs w:val="20"/>
        </w:rPr>
        <w:t xml:space="preserve">ldea de Río Miel. No obstante, durante la audiencia pública del caso cambió su postura con respecto a lo señalado en su escrito de contestación. </w:t>
      </w:r>
    </w:p>
    <w:p w14:paraId="0C70496E" w14:textId="77777777" w:rsidR="00E04121" w:rsidRPr="001455F9" w:rsidRDefault="00E04121" w:rsidP="00E04121">
      <w:pPr>
        <w:pStyle w:val="ListParagraph"/>
        <w:ind w:left="0"/>
        <w:jc w:val="both"/>
        <w:rPr>
          <w:rFonts w:ascii="Verdana" w:hAnsi="Verdana"/>
          <w:sz w:val="20"/>
          <w:szCs w:val="20"/>
        </w:rPr>
      </w:pPr>
    </w:p>
    <w:p w14:paraId="0C70496F" w14:textId="77777777" w:rsidR="00E04121"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 xml:space="preserve">En este sentido, primeramente la propuesta del Estado se refería a una reubicación de los miembros de la Aldea de Río Miel que se encontraban en el territorio de la Comunidad de Punta Piedra. Sin embargo, las tres propuestas señaladas posteriormente durante la audiencia implicaban que los pobladores de Río Miel </w:t>
      </w:r>
      <w:r>
        <w:rPr>
          <w:rFonts w:ascii="Verdana" w:hAnsi="Verdana"/>
          <w:sz w:val="20"/>
          <w:szCs w:val="20"/>
        </w:rPr>
        <w:t>permanecieran</w:t>
      </w:r>
      <w:r w:rsidRPr="001455F9">
        <w:rPr>
          <w:rFonts w:ascii="Verdana" w:hAnsi="Verdana"/>
          <w:sz w:val="20"/>
          <w:szCs w:val="20"/>
        </w:rPr>
        <w:t xml:space="preserve"> en el territorio que fue titulado a la Comunidad de Punta Piedra.</w:t>
      </w:r>
    </w:p>
    <w:p w14:paraId="0C704970" w14:textId="77777777" w:rsidR="00D06233" w:rsidRPr="001455F9" w:rsidRDefault="00D06233" w:rsidP="00D06233">
      <w:pPr>
        <w:pStyle w:val="ListParagraph"/>
        <w:ind w:left="0"/>
        <w:jc w:val="both"/>
        <w:rPr>
          <w:rFonts w:ascii="Verdana" w:hAnsi="Verdana"/>
          <w:sz w:val="20"/>
          <w:szCs w:val="20"/>
        </w:rPr>
      </w:pPr>
    </w:p>
    <w:p w14:paraId="0C704971" w14:textId="3C3456C7"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En consecuencia, la Corte estima que</w:t>
      </w:r>
      <w:r>
        <w:rPr>
          <w:rFonts w:ascii="Verdana" w:hAnsi="Verdana"/>
          <w:sz w:val="20"/>
          <w:szCs w:val="20"/>
        </w:rPr>
        <w:t xml:space="preserve"> </w:t>
      </w:r>
      <w:r w:rsidRPr="00D06233">
        <w:rPr>
          <w:rFonts w:ascii="Verdana" w:hAnsi="Verdana"/>
          <w:sz w:val="20"/>
          <w:szCs w:val="20"/>
        </w:rPr>
        <w:t>subsiste la controversia presentada</w:t>
      </w:r>
      <w:r w:rsidRPr="001455F9">
        <w:rPr>
          <w:rFonts w:ascii="Verdana" w:hAnsi="Verdana"/>
          <w:sz w:val="20"/>
          <w:szCs w:val="20"/>
        </w:rPr>
        <w:t xml:space="preserve"> respecto de las posibles reparaciones del caso, y por lo tanto la Corte resolverá lo conducente.</w:t>
      </w:r>
    </w:p>
    <w:p w14:paraId="0C704972" w14:textId="77777777" w:rsidR="00E04121" w:rsidRPr="000A16A4" w:rsidRDefault="00E04121" w:rsidP="00E04121">
      <w:pPr>
        <w:jc w:val="both"/>
        <w:rPr>
          <w:rFonts w:ascii="Verdana" w:hAnsi="Verdana"/>
          <w:sz w:val="20"/>
          <w:szCs w:val="20"/>
        </w:rPr>
      </w:pPr>
    </w:p>
    <w:p w14:paraId="0C704973" w14:textId="77777777" w:rsidR="00E04121" w:rsidRPr="00D64E8D" w:rsidRDefault="00E04121" w:rsidP="00E04121">
      <w:pPr>
        <w:pStyle w:val="Heading1"/>
        <w:tabs>
          <w:tab w:val="left" w:pos="851"/>
        </w:tabs>
        <w:spacing w:before="0"/>
        <w:jc w:val="center"/>
        <w:rPr>
          <w:rFonts w:ascii="Verdana" w:hAnsi="Verdana" w:cs="Verdana"/>
          <w:caps/>
          <w:snapToGrid w:val="0"/>
          <w:color w:val="auto"/>
          <w:sz w:val="20"/>
          <w:szCs w:val="20"/>
        </w:rPr>
      </w:pPr>
      <w:bookmarkStart w:id="15" w:name="_Toc437247310"/>
      <w:r>
        <w:rPr>
          <w:rFonts w:ascii="Verdana" w:hAnsi="Verdana" w:cs="Verdana"/>
          <w:caps/>
          <w:snapToGrid w:val="0"/>
          <w:color w:val="auto"/>
          <w:sz w:val="20"/>
          <w:szCs w:val="20"/>
        </w:rPr>
        <w:t>VI</w:t>
      </w:r>
      <w:r w:rsidRPr="0029073F">
        <w:rPr>
          <w:rFonts w:ascii="Verdana" w:hAnsi="Verdana" w:cs="Verdana"/>
          <w:caps/>
          <w:snapToGrid w:val="0"/>
          <w:color w:val="auto"/>
          <w:sz w:val="20"/>
          <w:szCs w:val="20"/>
        </w:rPr>
        <w:br/>
        <w:t>CONSIDERACIONES PREVIAS</w:t>
      </w:r>
      <w:bookmarkEnd w:id="15"/>
    </w:p>
    <w:p w14:paraId="0C704974" w14:textId="77777777" w:rsidR="00E04121" w:rsidRPr="00D64E8D" w:rsidRDefault="00E04121" w:rsidP="00E04121">
      <w:pPr>
        <w:jc w:val="both"/>
        <w:rPr>
          <w:rFonts w:ascii="Verdana" w:hAnsi="Verdana"/>
          <w:sz w:val="20"/>
          <w:szCs w:val="20"/>
        </w:rPr>
      </w:pPr>
    </w:p>
    <w:p w14:paraId="0C704975" w14:textId="5ED2ED00" w:rsidR="00E04121" w:rsidRPr="00D64E8D" w:rsidRDefault="00E04121" w:rsidP="00E04121">
      <w:pPr>
        <w:pStyle w:val="ListParagraph"/>
        <w:numPr>
          <w:ilvl w:val="0"/>
          <w:numId w:val="17"/>
        </w:numPr>
        <w:ind w:left="0" w:hanging="11"/>
        <w:jc w:val="both"/>
        <w:rPr>
          <w:rFonts w:ascii="Verdana" w:hAnsi="Verdana"/>
          <w:sz w:val="20"/>
          <w:szCs w:val="20"/>
        </w:rPr>
      </w:pPr>
      <w:r w:rsidRPr="00D64E8D">
        <w:rPr>
          <w:rFonts w:ascii="Verdana" w:hAnsi="Verdana"/>
          <w:sz w:val="20"/>
          <w:szCs w:val="20"/>
        </w:rPr>
        <w:t xml:space="preserve">En el presente Capítulo, </w:t>
      </w:r>
      <w:r w:rsidRPr="0056479E">
        <w:rPr>
          <w:rFonts w:ascii="Verdana" w:hAnsi="Verdana"/>
          <w:sz w:val="20"/>
          <w:szCs w:val="20"/>
        </w:rPr>
        <w:t xml:space="preserve">la Corte realizará consideraciones previas sobre: a) el </w:t>
      </w:r>
      <w:r w:rsidR="00906DC9">
        <w:rPr>
          <w:rFonts w:ascii="Verdana" w:hAnsi="Verdana"/>
          <w:sz w:val="20"/>
          <w:szCs w:val="20"/>
        </w:rPr>
        <w:t xml:space="preserve">alegado </w:t>
      </w:r>
      <w:r w:rsidRPr="0056479E">
        <w:rPr>
          <w:rFonts w:ascii="Verdana" w:hAnsi="Verdana"/>
          <w:sz w:val="20"/>
          <w:szCs w:val="20"/>
        </w:rPr>
        <w:t xml:space="preserve">desconocimiento </w:t>
      </w:r>
      <w:r w:rsidRPr="0029073F">
        <w:rPr>
          <w:rFonts w:ascii="Verdana" w:hAnsi="Verdana"/>
          <w:sz w:val="20"/>
          <w:szCs w:val="20"/>
        </w:rPr>
        <w:t xml:space="preserve">por parte del Estado de la Comunidad Garífuna de Punta Piedra como pueblo </w:t>
      </w:r>
      <w:r w:rsidR="00906DC9">
        <w:rPr>
          <w:rFonts w:ascii="Verdana" w:hAnsi="Verdana"/>
          <w:sz w:val="20"/>
          <w:szCs w:val="20"/>
        </w:rPr>
        <w:t>originario</w:t>
      </w:r>
      <w:r w:rsidRPr="0029073F">
        <w:rPr>
          <w:rFonts w:ascii="Verdana" w:hAnsi="Verdana"/>
          <w:sz w:val="20"/>
          <w:szCs w:val="20"/>
        </w:rPr>
        <w:t xml:space="preserve">, y b) algunos elementos del marco fáctico relacionados con el Parque Nacional “Sierra Río Tinto”; el proyecto hidroeléctrico “Los Chorros”; las actividades de exploración petrolera por parte de la empresa “BG </w:t>
      </w:r>
      <w:proofErr w:type="spellStart"/>
      <w:r w:rsidRPr="0029073F">
        <w:rPr>
          <w:rFonts w:ascii="Verdana" w:hAnsi="Verdana"/>
          <w:sz w:val="20"/>
          <w:szCs w:val="20"/>
        </w:rPr>
        <w:t>Group</w:t>
      </w:r>
      <w:proofErr w:type="spellEnd"/>
      <w:r w:rsidRPr="0029073F">
        <w:rPr>
          <w:rFonts w:ascii="Verdana" w:hAnsi="Verdana"/>
          <w:sz w:val="20"/>
          <w:szCs w:val="20"/>
        </w:rPr>
        <w:t>”</w:t>
      </w:r>
      <w:r w:rsidR="00906DC9">
        <w:rPr>
          <w:rFonts w:ascii="Verdana" w:hAnsi="Verdana"/>
          <w:sz w:val="20"/>
          <w:szCs w:val="20"/>
        </w:rPr>
        <w:t>, y</w:t>
      </w:r>
      <w:r w:rsidRPr="0029073F">
        <w:rPr>
          <w:rFonts w:ascii="Verdana" w:hAnsi="Verdana"/>
          <w:sz w:val="20"/>
          <w:szCs w:val="20"/>
        </w:rPr>
        <w:t xml:space="preserve"> la nueva Ley de Pesca.</w:t>
      </w:r>
    </w:p>
    <w:p w14:paraId="0C704976" w14:textId="77777777" w:rsidR="00E04121" w:rsidRPr="00197FDA" w:rsidRDefault="00E04121" w:rsidP="00E04121">
      <w:pPr>
        <w:jc w:val="both"/>
        <w:rPr>
          <w:rFonts w:ascii="Verdana" w:hAnsi="Verdana"/>
          <w:sz w:val="20"/>
          <w:szCs w:val="20"/>
        </w:rPr>
      </w:pPr>
    </w:p>
    <w:p w14:paraId="0C704977" w14:textId="77777777" w:rsidR="00E04121" w:rsidRPr="00197FDA" w:rsidRDefault="00E04121" w:rsidP="00E04121">
      <w:pPr>
        <w:pStyle w:val="Heading2"/>
        <w:numPr>
          <w:ilvl w:val="0"/>
          <w:numId w:val="11"/>
        </w:numPr>
        <w:spacing w:before="0"/>
        <w:jc w:val="both"/>
        <w:rPr>
          <w:rFonts w:ascii="Verdana" w:hAnsi="Verdana"/>
          <w:i/>
          <w:color w:val="auto"/>
          <w:sz w:val="20"/>
          <w:szCs w:val="20"/>
        </w:rPr>
      </w:pPr>
      <w:bookmarkStart w:id="16" w:name="_Toc437247311"/>
      <w:r w:rsidRPr="00197FDA">
        <w:rPr>
          <w:rFonts w:ascii="Verdana" w:hAnsi="Verdana"/>
          <w:i/>
          <w:color w:val="auto"/>
          <w:sz w:val="20"/>
          <w:szCs w:val="20"/>
        </w:rPr>
        <w:lastRenderedPageBreak/>
        <w:t>Sobre el alegado desconocimiento por parte del Estado de la Comunidad Garífuna de Punta Piedra como pueblo originario</w:t>
      </w:r>
      <w:bookmarkEnd w:id="16"/>
    </w:p>
    <w:p w14:paraId="0C704978" w14:textId="77777777" w:rsidR="00E04121" w:rsidRPr="00197FDA" w:rsidRDefault="00E04121" w:rsidP="00E04121">
      <w:pPr>
        <w:pStyle w:val="Heading3"/>
        <w:spacing w:before="0"/>
        <w:jc w:val="both"/>
      </w:pPr>
    </w:p>
    <w:p w14:paraId="0C704979" w14:textId="77777777" w:rsidR="00E04121" w:rsidRPr="00A71698" w:rsidRDefault="00E04121" w:rsidP="00E04121">
      <w:pPr>
        <w:ind w:firstLine="360"/>
        <w:rPr>
          <w:rFonts w:ascii="Verdana" w:hAnsi="Verdana"/>
          <w:i/>
          <w:sz w:val="20"/>
          <w:szCs w:val="20"/>
        </w:rPr>
      </w:pPr>
      <w:r w:rsidRPr="00A71698">
        <w:rPr>
          <w:rFonts w:ascii="Verdana" w:hAnsi="Verdana"/>
          <w:b/>
          <w:i/>
          <w:sz w:val="20"/>
          <w:szCs w:val="20"/>
        </w:rPr>
        <w:t>A.1 Argumentos de las partes y de la Comisión</w:t>
      </w:r>
    </w:p>
    <w:p w14:paraId="0C70497A" w14:textId="77777777" w:rsidR="00E04121" w:rsidRPr="00197FDA" w:rsidRDefault="00E04121" w:rsidP="00E04121"/>
    <w:p w14:paraId="0C70497B" w14:textId="1047410E" w:rsidR="00E04121" w:rsidRPr="00197FDA"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 xml:space="preserve">Durante la audiencia pública del presente caso, el </w:t>
      </w:r>
      <w:r w:rsidRPr="00197FDA">
        <w:rPr>
          <w:rFonts w:ascii="Verdana" w:hAnsi="Verdana"/>
          <w:b/>
          <w:i/>
          <w:sz w:val="20"/>
          <w:szCs w:val="20"/>
        </w:rPr>
        <w:t>Estado</w:t>
      </w:r>
      <w:r w:rsidRPr="00197FDA">
        <w:rPr>
          <w:rFonts w:ascii="Verdana" w:hAnsi="Verdana"/>
          <w:sz w:val="20"/>
          <w:szCs w:val="20"/>
        </w:rPr>
        <w:t xml:space="preserve"> manifestó, que “la Comunidad Garífuna de Punta Piedra no es un pueblo originario de Honduras o de la región centroamericana. </w:t>
      </w:r>
      <w:r w:rsidRPr="00197FDA">
        <w:rPr>
          <w:rFonts w:ascii="Verdana" w:hAnsi="Verdana"/>
          <w:sz w:val="20"/>
        </w:rPr>
        <w:t>La tierra por ellos solicitada […] era de la comunidad indígena misquita</w:t>
      </w:r>
      <w:r w:rsidRPr="00197FDA">
        <w:rPr>
          <w:rFonts w:ascii="Verdana" w:hAnsi="Verdana"/>
          <w:sz w:val="20"/>
          <w:szCs w:val="20"/>
        </w:rPr>
        <w:t>”. Como consecuencia de lo anterior, “[e]l derecho que tiene [sobre] la tierra que ocupa es exactamente igual al derecho a tierra que ocupan los pobladores de Río Miel y cualquier otro hondureño”</w:t>
      </w:r>
      <w:r w:rsidR="00906DC9">
        <w:rPr>
          <w:rFonts w:ascii="Verdana" w:hAnsi="Verdana"/>
          <w:sz w:val="20"/>
          <w:szCs w:val="20"/>
        </w:rPr>
        <w:t xml:space="preserve">. </w:t>
      </w:r>
      <w:r w:rsidRPr="00197FDA">
        <w:rPr>
          <w:rFonts w:ascii="Verdana" w:hAnsi="Verdana"/>
          <w:sz w:val="20"/>
          <w:szCs w:val="20"/>
        </w:rPr>
        <w:t>Posteriormente, en sus alegatos finales escritos, el Estado mantuvo que “la Comunidad Garífuna de Punta Piedra no es una comunidad originaria de Honduras o de la región, por lo cual no puede ser considerad[a] como un pueblo indígena”. Al respecto agregó que “por el hecho de no ser un pueblo originario no pueden invocar el derecho a tierras ancestrales”</w:t>
      </w:r>
      <w:r w:rsidRPr="00197FDA">
        <w:rPr>
          <w:rStyle w:val="FootnoteReference"/>
          <w:szCs w:val="20"/>
        </w:rPr>
        <w:footnoteReference w:id="28"/>
      </w:r>
      <w:r w:rsidRPr="00197FDA">
        <w:rPr>
          <w:rFonts w:ascii="Verdana" w:hAnsi="Verdana"/>
          <w:sz w:val="20"/>
          <w:szCs w:val="20"/>
        </w:rPr>
        <w:t>.</w:t>
      </w:r>
    </w:p>
    <w:p w14:paraId="0C70497C" w14:textId="77777777" w:rsidR="00E04121" w:rsidRPr="00197FDA" w:rsidRDefault="00E04121" w:rsidP="00E04121">
      <w:pPr>
        <w:pStyle w:val="ListParagraph"/>
        <w:rPr>
          <w:rFonts w:ascii="Verdana" w:hAnsi="Verdana"/>
          <w:sz w:val="20"/>
          <w:szCs w:val="20"/>
        </w:rPr>
      </w:pPr>
    </w:p>
    <w:p w14:paraId="0C70497D" w14:textId="2F1E6893" w:rsidR="00E04121" w:rsidRPr="00197FDA"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 xml:space="preserve">Ante dichas afirmaciones, la </w:t>
      </w:r>
      <w:r w:rsidRPr="00197FDA">
        <w:rPr>
          <w:rFonts w:ascii="Verdana" w:hAnsi="Verdana"/>
          <w:b/>
          <w:i/>
          <w:sz w:val="20"/>
          <w:szCs w:val="20"/>
        </w:rPr>
        <w:t>Comisión</w:t>
      </w:r>
      <w:r w:rsidRPr="00197FDA">
        <w:rPr>
          <w:rFonts w:ascii="Verdana" w:hAnsi="Verdana"/>
          <w:sz w:val="20"/>
          <w:szCs w:val="20"/>
        </w:rPr>
        <w:t xml:space="preserve"> resaltó que “ni en el marco de las reclamaciones internas por parte de la Comunidad ni el marco del trámite interamericano ante la Comisión, el Estado formuló controversias sobre el carácter indígena de ésta. En su escrito de contestación ante la Corte Interamericana el Estado tampoco presentó ningún cuestionamiento sobre el carácter indígena de la Comunidad. Es más, la [Comisión] </w:t>
      </w:r>
      <w:proofErr w:type="spellStart"/>
      <w:r w:rsidRPr="00197FDA">
        <w:rPr>
          <w:rFonts w:ascii="Verdana" w:hAnsi="Verdana"/>
          <w:sz w:val="20"/>
          <w:szCs w:val="20"/>
        </w:rPr>
        <w:t>observ</w:t>
      </w:r>
      <w:proofErr w:type="spellEnd"/>
      <w:r w:rsidRPr="00197FDA">
        <w:rPr>
          <w:rFonts w:ascii="Verdana" w:hAnsi="Verdana"/>
          <w:sz w:val="20"/>
          <w:szCs w:val="20"/>
        </w:rPr>
        <w:t>[</w:t>
      </w:r>
      <w:proofErr w:type="spellStart"/>
      <w:r w:rsidRPr="00197FDA">
        <w:rPr>
          <w:rFonts w:ascii="Verdana" w:hAnsi="Verdana"/>
          <w:sz w:val="20"/>
          <w:szCs w:val="20"/>
        </w:rPr>
        <w:t>ó</w:t>
      </w:r>
      <w:proofErr w:type="spellEnd"/>
      <w:r w:rsidRPr="00197FDA">
        <w:rPr>
          <w:rFonts w:ascii="Verdana" w:hAnsi="Verdana"/>
          <w:sz w:val="20"/>
          <w:szCs w:val="20"/>
        </w:rPr>
        <w:t xml:space="preserve">] que el título definitivo de propiedad otorgado por el Estado a la Comunidad en el año 1999 se basó en el artículo 14 del Convenio 169 de la OIT”. En consecuencia, la Comisión argumentó que en virtud de los cambios sustanciales en la posición del Estado ante la Corte, debería aplicarse el principio de </w:t>
      </w:r>
      <w:proofErr w:type="spellStart"/>
      <w:r w:rsidRPr="00197FDA">
        <w:rPr>
          <w:rFonts w:ascii="Verdana" w:hAnsi="Verdana"/>
          <w:i/>
          <w:sz w:val="20"/>
          <w:szCs w:val="20"/>
        </w:rPr>
        <w:t>estoppel</w:t>
      </w:r>
      <w:proofErr w:type="spellEnd"/>
      <w:r w:rsidRPr="00197FDA">
        <w:rPr>
          <w:rFonts w:ascii="Verdana" w:hAnsi="Verdana"/>
          <w:sz w:val="20"/>
          <w:szCs w:val="20"/>
        </w:rPr>
        <w:t>.</w:t>
      </w:r>
    </w:p>
    <w:p w14:paraId="0C70497E" w14:textId="77777777" w:rsidR="00E04121" w:rsidRPr="00197FDA" w:rsidRDefault="00E04121" w:rsidP="00E04121">
      <w:pPr>
        <w:pStyle w:val="ListParagraph"/>
        <w:rPr>
          <w:rFonts w:ascii="Verdana" w:hAnsi="Verdana"/>
          <w:sz w:val="20"/>
          <w:szCs w:val="20"/>
        </w:rPr>
      </w:pPr>
    </w:p>
    <w:p w14:paraId="0C70497F" w14:textId="2D56C6A1" w:rsidR="00E04121" w:rsidRPr="00197FDA"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 xml:space="preserve">Por su parte, los </w:t>
      </w:r>
      <w:r w:rsidRPr="00197FDA">
        <w:rPr>
          <w:rFonts w:ascii="Verdana" w:hAnsi="Verdana"/>
          <w:b/>
          <w:i/>
          <w:sz w:val="20"/>
          <w:szCs w:val="20"/>
        </w:rPr>
        <w:t>representantes</w:t>
      </w:r>
      <w:r w:rsidRPr="00197FDA">
        <w:rPr>
          <w:rFonts w:ascii="Verdana" w:hAnsi="Verdana"/>
          <w:sz w:val="20"/>
          <w:szCs w:val="20"/>
        </w:rPr>
        <w:t xml:space="preserve"> señalaron que “[e]</w:t>
      </w:r>
      <w:proofErr w:type="spellStart"/>
      <w:r w:rsidRPr="00197FDA">
        <w:rPr>
          <w:rFonts w:ascii="Verdana" w:hAnsi="Verdana"/>
          <w:sz w:val="20"/>
          <w:szCs w:val="20"/>
        </w:rPr>
        <w:t>ste</w:t>
      </w:r>
      <w:proofErr w:type="spellEnd"/>
      <w:r w:rsidRPr="00197FDA">
        <w:rPr>
          <w:rFonts w:ascii="Verdana" w:hAnsi="Verdana"/>
          <w:sz w:val="20"/>
          <w:szCs w:val="20"/>
        </w:rPr>
        <w:t xml:space="preserve"> cambio de posición por parte del Estado […] supone convertir el asunto en un caso de naturaleza individual y de derecho civil o agrario que provocaría perjuicio a [la Comunidad de Punta Piedra], por lo que consideramos debe aplicarse la regla del [</w:t>
      </w:r>
      <w:proofErr w:type="spellStart"/>
      <w:r w:rsidRPr="00197FDA">
        <w:rPr>
          <w:rFonts w:ascii="Verdana" w:hAnsi="Verdana"/>
          <w:i/>
          <w:sz w:val="20"/>
          <w:szCs w:val="20"/>
        </w:rPr>
        <w:t>estoppel</w:t>
      </w:r>
      <w:proofErr w:type="spellEnd"/>
      <w:r w:rsidRPr="00197FDA">
        <w:rPr>
          <w:rFonts w:ascii="Verdana" w:hAnsi="Verdana"/>
          <w:sz w:val="20"/>
          <w:szCs w:val="20"/>
        </w:rPr>
        <w:t>] y darse por probada la condición indígena del pueblo Garífuna”.</w:t>
      </w:r>
    </w:p>
    <w:p w14:paraId="0C704980" w14:textId="77777777" w:rsidR="00E04121" w:rsidRPr="00A71698" w:rsidRDefault="00E04121" w:rsidP="00E04121">
      <w:pPr>
        <w:jc w:val="both"/>
        <w:rPr>
          <w:rFonts w:ascii="Verdana" w:hAnsi="Verdana"/>
          <w:sz w:val="20"/>
          <w:szCs w:val="20"/>
        </w:rPr>
      </w:pPr>
    </w:p>
    <w:p w14:paraId="0C704981" w14:textId="77777777" w:rsidR="00E04121" w:rsidRPr="00A71698" w:rsidRDefault="00E04121" w:rsidP="00E04121">
      <w:pPr>
        <w:ind w:firstLine="708"/>
        <w:jc w:val="both"/>
        <w:rPr>
          <w:rFonts w:ascii="Verdana" w:hAnsi="Verdana"/>
          <w:b/>
          <w:i/>
          <w:sz w:val="20"/>
          <w:szCs w:val="20"/>
        </w:rPr>
      </w:pPr>
      <w:r w:rsidRPr="00A71698">
        <w:rPr>
          <w:rFonts w:ascii="Verdana" w:hAnsi="Verdana"/>
          <w:b/>
          <w:i/>
          <w:sz w:val="20"/>
          <w:szCs w:val="20"/>
        </w:rPr>
        <w:t>A.2 Consideraciones de la Corte</w:t>
      </w:r>
    </w:p>
    <w:p w14:paraId="0C704982" w14:textId="77777777" w:rsidR="00E04121" w:rsidRPr="00A71698" w:rsidRDefault="00E04121" w:rsidP="00E04121">
      <w:pPr>
        <w:jc w:val="both"/>
        <w:rPr>
          <w:rFonts w:ascii="Verdana" w:hAnsi="Verdana"/>
          <w:sz w:val="20"/>
          <w:szCs w:val="20"/>
        </w:rPr>
      </w:pPr>
    </w:p>
    <w:p w14:paraId="0C704983" w14:textId="3C321245" w:rsidR="00E04121" w:rsidRPr="00906DC9"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 xml:space="preserve">La Corte constata que en el título definitivo de propiedad de 1999, el </w:t>
      </w:r>
      <w:r w:rsidRPr="00906DC9">
        <w:rPr>
          <w:rFonts w:ascii="Verdana" w:hAnsi="Verdana"/>
          <w:sz w:val="20"/>
          <w:szCs w:val="20"/>
        </w:rPr>
        <w:t xml:space="preserve">Estado señaló como fundamento jurídico para la adjudicación del territorio, entre otros el Convenio </w:t>
      </w:r>
      <w:r w:rsidR="00F373E6">
        <w:rPr>
          <w:rFonts w:ascii="Verdana" w:hAnsi="Verdana"/>
          <w:sz w:val="20"/>
          <w:szCs w:val="20"/>
        </w:rPr>
        <w:t>169</w:t>
      </w:r>
      <w:r w:rsidR="00673F4B">
        <w:rPr>
          <w:rFonts w:ascii="Verdana" w:hAnsi="Verdana"/>
          <w:sz w:val="20"/>
          <w:szCs w:val="20"/>
        </w:rPr>
        <w:t xml:space="preserve"> de la OIT</w:t>
      </w:r>
      <w:r w:rsidR="0086236B" w:rsidRPr="00A0324F">
        <w:rPr>
          <w:rFonts w:ascii="Verdana" w:hAnsi="Verdana"/>
          <w:sz w:val="20"/>
          <w:szCs w:val="20"/>
          <w:vertAlign w:val="superscript"/>
        </w:rPr>
        <w:footnoteReference w:id="29"/>
      </w:r>
      <w:r w:rsidRPr="00906DC9">
        <w:rPr>
          <w:rFonts w:ascii="Verdana" w:hAnsi="Verdana"/>
          <w:sz w:val="20"/>
          <w:szCs w:val="20"/>
        </w:rPr>
        <w:t>. Asimismo, en el Informe de Fondo, la Comisión señaló que “[e]l carácter indíge</w:t>
      </w:r>
      <w:r w:rsidRPr="00703E72">
        <w:rPr>
          <w:rFonts w:ascii="Verdana" w:hAnsi="Verdana"/>
          <w:sz w:val="20"/>
          <w:szCs w:val="20"/>
        </w:rPr>
        <w:t>na del pueblo Garífuna no ha sido controvertido por el Estado de Honduras en el presente caso”</w:t>
      </w:r>
      <w:r w:rsidRPr="00140CB9">
        <w:rPr>
          <w:rFonts w:ascii="Verdana" w:hAnsi="Verdana"/>
          <w:sz w:val="20"/>
          <w:szCs w:val="20"/>
        </w:rPr>
        <w:t xml:space="preserve">. A su vez, en el escrito de contestación ante la Corte, el Estado señaló que “reconoce que los </w:t>
      </w:r>
      <w:r w:rsidR="00906DC9" w:rsidRPr="00140CB9">
        <w:rPr>
          <w:rFonts w:ascii="Verdana" w:hAnsi="Verdana"/>
          <w:sz w:val="20"/>
          <w:szCs w:val="20"/>
        </w:rPr>
        <w:t>[</w:t>
      </w:r>
      <w:r w:rsidRPr="00140CB9">
        <w:rPr>
          <w:rFonts w:ascii="Verdana" w:hAnsi="Verdana"/>
          <w:sz w:val="20"/>
          <w:szCs w:val="20"/>
        </w:rPr>
        <w:t>p</w:t>
      </w:r>
      <w:r w:rsidR="00906DC9" w:rsidRPr="00140CB9">
        <w:rPr>
          <w:rFonts w:ascii="Verdana" w:hAnsi="Verdana"/>
          <w:sz w:val="20"/>
          <w:szCs w:val="20"/>
        </w:rPr>
        <w:t>]</w:t>
      </w:r>
      <w:proofErr w:type="spellStart"/>
      <w:r w:rsidRPr="00140CB9">
        <w:rPr>
          <w:rFonts w:ascii="Verdana" w:hAnsi="Verdana"/>
          <w:sz w:val="20"/>
          <w:szCs w:val="20"/>
        </w:rPr>
        <w:t>ueblos</w:t>
      </w:r>
      <w:proofErr w:type="spellEnd"/>
      <w:r w:rsidRPr="00140CB9">
        <w:rPr>
          <w:rFonts w:ascii="Verdana" w:hAnsi="Verdana"/>
          <w:sz w:val="20"/>
          <w:szCs w:val="20"/>
        </w:rPr>
        <w:t xml:space="preserve"> </w:t>
      </w:r>
      <w:r w:rsidR="00906DC9" w:rsidRPr="00140CB9">
        <w:rPr>
          <w:rFonts w:ascii="Verdana" w:hAnsi="Verdana"/>
          <w:sz w:val="20"/>
          <w:szCs w:val="20"/>
        </w:rPr>
        <w:t>[</w:t>
      </w:r>
      <w:r w:rsidRPr="00140CB9">
        <w:rPr>
          <w:rFonts w:ascii="Verdana" w:hAnsi="Verdana"/>
          <w:sz w:val="20"/>
          <w:szCs w:val="20"/>
        </w:rPr>
        <w:t>i</w:t>
      </w:r>
      <w:r w:rsidR="00906DC9" w:rsidRPr="002801C4">
        <w:rPr>
          <w:rFonts w:ascii="Verdana" w:hAnsi="Verdana"/>
          <w:sz w:val="20"/>
          <w:szCs w:val="20"/>
        </w:rPr>
        <w:t>]</w:t>
      </w:r>
      <w:proofErr w:type="spellStart"/>
      <w:r w:rsidRPr="002801C4">
        <w:rPr>
          <w:rFonts w:ascii="Verdana" w:hAnsi="Verdana"/>
          <w:sz w:val="20"/>
          <w:szCs w:val="20"/>
        </w:rPr>
        <w:t>ndígenas</w:t>
      </w:r>
      <w:proofErr w:type="spellEnd"/>
      <w:r w:rsidRPr="002801C4">
        <w:rPr>
          <w:rFonts w:ascii="Verdana" w:hAnsi="Verdana"/>
          <w:sz w:val="20"/>
          <w:szCs w:val="20"/>
        </w:rPr>
        <w:t xml:space="preserve"> y </w:t>
      </w:r>
      <w:r w:rsidR="00906DC9" w:rsidRPr="00237926">
        <w:rPr>
          <w:rFonts w:ascii="Verdana" w:hAnsi="Verdana"/>
          <w:sz w:val="20"/>
          <w:szCs w:val="20"/>
        </w:rPr>
        <w:t>[</w:t>
      </w:r>
      <w:r w:rsidRPr="00237926">
        <w:rPr>
          <w:rFonts w:ascii="Verdana" w:hAnsi="Verdana"/>
          <w:sz w:val="20"/>
          <w:szCs w:val="20"/>
        </w:rPr>
        <w:t>a</w:t>
      </w:r>
      <w:r w:rsidR="00906DC9" w:rsidRPr="008104B2">
        <w:rPr>
          <w:rFonts w:ascii="Verdana" w:hAnsi="Verdana"/>
          <w:sz w:val="20"/>
          <w:szCs w:val="20"/>
        </w:rPr>
        <w:t>]</w:t>
      </w:r>
      <w:proofErr w:type="spellStart"/>
      <w:r w:rsidRPr="000D14CC">
        <w:rPr>
          <w:rFonts w:ascii="Verdana" w:hAnsi="Verdana"/>
          <w:sz w:val="20"/>
          <w:szCs w:val="20"/>
        </w:rPr>
        <w:t>frohondureños</w:t>
      </w:r>
      <w:proofErr w:type="spellEnd"/>
      <w:r w:rsidRPr="000D14CC">
        <w:rPr>
          <w:rFonts w:ascii="Verdana" w:hAnsi="Verdana"/>
          <w:sz w:val="20"/>
          <w:szCs w:val="20"/>
        </w:rPr>
        <w:t>, incluyendo la Comunidad Garífuna de Punta Piedra y sus miembros, continúan enfrentando serios desafíos […]”.</w:t>
      </w:r>
      <w:r w:rsidR="00906DC9" w:rsidRPr="000D14CC">
        <w:rPr>
          <w:rFonts w:ascii="Verdana" w:hAnsi="Verdana"/>
          <w:sz w:val="20"/>
          <w:szCs w:val="20"/>
        </w:rPr>
        <w:t xml:space="preserve"> </w:t>
      </w:r>
      <w:r w:rsidRPr="000D14CC">
        <w:rPr>
          <w:rFonts w:ascii="Verdana" w:hAnsi="Verdana"/>
          <w:sz w:val="20"/>
          <w:szCs w:val="20"/>
        </w:rPr>
        <w:t>Sin embargo, a partir de la audiencia pública celebrada el 2 de septiembre de 2014, el Estado argumentó, por primera vez durante la tram</w:t>
      </w:r>
      <w:r w:rsidRPr="00906DC9">
        <w:rPr>
          <w:rFonts w:ascii="Verdana" w:hAnsi="Verdana"/>
          <w:sz w:val="20"/>
          <w:szCs w:val="20"/>
        </w:rPr>
        <w:t xml:space="preserve">itación del caso ante el Sistema Interamericano, que la Comunidad Garífuna de Punta Piedra no era una comunidad originaria de Honduras o de la región, por lo cual </w:t>
      </w:r>
      <w:r w:rsidRPr="00906DC9">
        <w:rPr>
          <w:rFonts w:ascii="Verdana" w:hAnsi="Verdana"/>
          <w:sz w:val="20"/>
          <w:szCs w:val="20"/>
        </w:rPr>
        <w:lastRenderedPageBreak/>
        <w:t>no podía ser considerada como un pueblo indígena ni podía invocar el derecho a tierras ancestrales.</w:t>
      </w:r>
    </w:p>
    <w:p w14:paraId="0C704984" w14:textId="77777777" w:rsidR="00E04121" w:rsidRPr="00A0324F" w:rsidRDefault="00E04121" w:rsidP="00E04121">
      <w:pPr>
        <w:rPr>
          <w:rFonts w:ascii="Verdana" w:hAnsi="Verdana"/>
          <w:sz w:val="20"/>
          <w:szCs w:val="20"/>
        </w:rPr>
      </w:pPr>
    </w:p>
    <w:p w14:paraId="0C704985" w14:textId="77777777" w:rsidR="00E04121" w:rsidRPr="00906DC9" w:rsidRDefault="00E04121" w:rsidP="00E04121">
      <w:pPr>
        <w:pStyle w:val="ListParagraph"/>
        <w:numPr>
          <w:ilvl w:val="0"/>
          <w:numId w:val="17"/>
        </w:numPr>
        <w:ind w:left="0" w:hanging="11"/>
        <w:jc w:val="both"/>
        <w:rPr>
          <w:rFonts w:ascii="Verdana" w:hAnsi="Verdana"/>
          <w:sz w:val="20"/>
          <w:szCs w:val="20"/>
        </w:rPr>
      </w:pPr>
      <w:r w:rsidRPr="00906DC9">
        <w:rPr>
          <w:rFonts w:ascii="Verdana" w:hAnsi="Verdana"/>
          <w:sz w:val="20"/>
          <w:szCs w:val="20"/>
        </w:rPr>
        <w:t>Sobre la base de lo anterior, la Corte recuerda que el funcionamiento lógico y adecuado del Sistema Interamericano de Derechos Humanos implica que, en tanto “sistema”, las partes deben presentar sus posiciones e información sobre los hechos en form</w:t>
      </w:r>
      <w:r w:rsidRPr="00140CB9">
        <w:rPr>
          <w:rFonts w:ascii="Verdana" w:hAnsi="Verdana"/>
          <w:sz w:val="20"/>
          <w:szCs w:val="20"/>
        </w:rPr>
        <w:t>a coherente y de acuerdo con los principios de buena fe y seguridad jurídica, de modo que permitan a las otras partes y a los órganos interamericanos una adecuada sustanciación de los casos</w:t>
      </w:r>
      <w:r w:rsidR="0086236B" w:rsidRPr="00A0324F">
        <w:rPr>
          <w:rFonts w:ascii="Verdana" w:hAnsi="Verdana"/>
          <w:sz w:val="20"/>
          <w:szCs w:val="20"/>
          <w:vertAlign w:val="superscript"/>
        </w:rPr>
        <w:footnoteReference w:id="30"/>
      </w:r>
      <w:r w:rsidRPr="00906DC9">
        <w:rPr>
          <w:rFonts w:ascii="Verdana" w:hAnsi="Verdana"/>
          <w:sz w:val="20"/>
          <w:szCs w:val="20"/>
        </w:rPr>
        <w:t>. Asimismo, según la práctica internacional cuando una parte en un</w:t>
      </w:r>
      <w:r w:rsidRPr="00140CB9">
        <w:rPr>
          <w:rFonts w:ascii="Verdana" w:hAnsi="Verdana"/>
          <w:sz w:val="20"/>
          <w:szCs w:val="20"/>
        </w:rPr>
        <w:t xml:space="preserve"> litigio ha adoptado una actitud determinada que redunda en deterioro propio o en beneficio de la contraria, no puede luego, en virtud del principio del </w:t>
      </w:r>
      <w:proofErr w:type="spellStart"/>
      <w:r w:rsidRPr="00140CB9">
        <w:rPr>
          <w:rFonts w:ascii="Verdana" w:hAnsi="Verdana"/>
          <w:i/>
          <w:sz w:val="20"/>
          <w:szCs w:val="20"/>
        </w:rPr>
        <w:t>estoppel</w:t>
      </w:r>
      <w:proofErr w:type="spellEnd"/>
      <w:r w:rsidRPr="00140CB9">
        <w:rPr>
          <w:rFonts w:ascii="Verdana" w:hAnsi="Verdana"/>
          <w:sz w:val="20"/>
          <w:szCs w:val="20"/>
        </w:rPr>
        <w:t>, asumir otra conducta que sea contradictoria con la primera</w:t>
      </w:r>
      <w:r w:rsidR="0086236B" w:rsidRPr="00A0324F">
        <w:rPr>
          <w:rFonts w:ascii="Verdana" w:hAnsi="Verdana"/>
          <w:sz w:val="20"/>
          <w:szCs w:val="20"/>
          <w:vertAlign w:val="superscript"/>
        </w:rPr>
        <w:footnoteReference w:id="31"/>
      </w:r>
      <w:r w:rsidRPr="00906DC9">
        <w:rPr>
          <w:rFonts w:ascii="Verdana" w:hAnsi="Verdana"/>
          <w:sz w:val="20"/>
          <w:szCs w:val="20"/>
        </w:rPr>
        <w:t xml:space="preserve">. </w:t>
      </w:r>
    </w:p>
    <w:p w14:paraId="0C704986" w14:textId="77777777" w:rsidR="00E04121" w:rsidRPr="00197FDA" w:rsidRDefault="00E04121" w:rsidP="00E04121">
      <w:pPr>
        <w:pStyle w:val="ListParagraph"/>
        <w:ind w:left="0"/>
        <w:jc w:val="both"/>
        <w:rPr>
          <w:rFonts w:ascii="Verdana" w:hAnsi="Verdana"/>
          <w:sz w:val="20"/>
          <w:szCs w:val="20"/>
        </w:rPr>
      </w:pPr>
    </w:p>
    <w:p w14:paraId="0C704987" w14:textId="77777777" w:rsidR="00E04121" w:rsidRPr="00197FDA"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 xml:space="preserve">De esta forma, bajo los principios de </w:t>
      </w:r>
      <w:proofErr w:type="spellStart"/>
      <w:r w:rsidRPr="00197FDA">
        <w:rPr>
          <w:rFonts w:ascii="Verdana" w:hAnsi="Verdana"/>
          <w:i/>
          <w:sz w:val="20"/>
          <w:szCs w:val="20"/>
        </w:rPr>
        <w:t>estoppel</w:t>
      </w:r>
      <w:proofErr w:type="spellEnd"/>
      <w:r w:rsidRPr="00197FDA">
        <w:rPr>
          <w:rFonts w:ascii="Verdana" w:hAnsi="Verdana"/>
          <w:sz w:val="20"/>
          <w:szCs w:val="20"/>
        </w:rPr>
        <w:t xml:space="preserve">, buena fe, equidad procesal y seguridad jurídica, en el presente caso la Corte considera que el Estado no puede variar de forma sustancial su posición </w:t>
      </w:r>
      <w:r w:rsidRPr="00FB4B7D">
        <w:rPr>
          <w:rFonts w:ascii="Verdana" w:hAnsi="Verdana"/>
          <w:sz w:val="20"/>
          <w:szCs w:val="20"/>
        </w:rPr>
        <w:t>respecto de lo planteado en los procedimientos internos, ante la Comisión Interamericana</w:t>
      </w:r>
      <w:r w:rsidRPr="00F06E2B">
        <w:rPr>
          <w:rFonts w:ascii="Verdana" w:hAnsi="Verdana"/>
          <w:sz w:val="20"/>
          <w:szCs w:val="20"/>
          <w:vertAlign w:val="superscript"/>
        </w:rPr>
        <w:footnoteReference w:id="32"/>
      </w:r>
      <w:r w:rsidRPr="00FB4B7D">
        <w:rPr>
          <w:rFonts w:ascii="Verdana" w:hAnsi="Verdana"/>
          <w:sz w:val="20"/>
          <w:szCs w:val="20"/>
        </w:rPr>
        <w:t xml:space="preserve"> y ante la</w:t>
      </w:r>
      <w:r w:rsidRPr="00197FDA">
        <w:rPr>
          <w:rFonts w:ascii="Verdana" w:hAnsi="Verdana"/>
          <w:sz w:val="20"/>
          <w:szCs w:val="20"/>
        </w:rPr>
        <w:t xml:space="preserve"> Corte mediante su escrito de contestación, al presentar a partir de la audiencia pública ante la Corte una hipótesis relacionada con el desconocimiento de la Comunidad Garífuna de Punta Piedra como pueblo indígena</w:t>
      </w:r>
      <w:r>
        <w:rPr>
          <w:rFonts w:ascii="Verdana" w:hAnsi="Verdana"/>
          <w:sz w:val="20"/>
          <w:szCs w:val="20"/>
        </w:rPr>
        <w:t xml:space="preserve"> </w:t>
      </w:r>
      <w:r w:rsidRPr="00012F57">
        <w:rPr>
          <w:rFonts w:ascii="Verdana" w:hAnsi="Verdana"/>
          <w:sz w:val="20"/>
          <w:szCs w:val="20"/>
        </w:rPr>
        <w:t>o tribal</w:t>
      </w:r>
      <w:r w:rsidRPr="00E25738">
        <w:rPr>
          <w:rFonts w:ascii="Verdana" w:hAnsi="Verdana"/>
          <w:sz w:val="20"/>
          <w:szCs w:val="20"/>
        </w:rPr>
        <w:t>.</w:t>
      </w:r>
      <w:r w:rsidRPr="00197FDA">
        <w:rPr>
          <w:rFonts w:ascii="Verdana" w:hAnsi="Verdana"/>
          <w:sz w:val="20"/>
          <w:szCs w:val="20"/>
        </w:rPr>
        <w:t xml:space="preserve"> </w:t>
      </w:r>
    </w:p>
    <w:p w14:paraId="0C704988" w14:textId="77777777" w:rsidR="00E04121" w:rsidRPr="00197FDA" w:rsidRDefault="00E04121" w:rsidP="00E04121">
      <w:pPr>
        <w:pStyle w:val="ListParagraph"/>
        <w:rPr>
          <w:rFonts w:ascii="Verdana" w:hAnsi="Verdana"/>
          <w:sz w:val="20"/>
          <w:szCs w:val="20"/>
        </w:rPr>
      </w:pPr>
    </w:p>
    <w:p w14:paraId="0C704989" w14:textId="77777777" w:rsidR="00E04121" w:rsidRPr="00E25738" w:rsidRDefault="00E04121" w:rsidP="00E04121">
      <w:pPr>
        <w:pStyle w:val="ListParagraph"/>
        <w:numPr>
          <w:ilvl w:val="0"/>
          <w:numId w:val="17"/>
        </w:numPr>
        <w:ind w:left="0" w:hanging="11"/>
        <w:jc w:val="both"/>
        <w:rPr>
          <w:rFonts w:ascii="Verdana" w:hAnsi="Verdana"/>
          <w:sz w:val="20"/>
          <w:szCs w:val="20"/>
        </w:rPr>
      </w:pPr>
      <w:r w:rsidRPr="00197FDA">
        <w:rPr>
          <w:rFonts w:ascii="Verdana" w:hAnsi="Verdana"/>
          <w:sz w:val="20"/>
          <w:szCs w:val="20"/>
        </w:rPr>
        <w:t>Por tanto, la Corte desestima este nuevo planteamiento presentado por el Estado</w:t>
      </w:r>
      <w:r w:rsidRPr="00012F57">
        <w:rPr>
          <w:rFonts w:ascii="Verdana" w:hAnsi="Verdana"/>
          <w:sz w:val="20"/>
          <w:szCs w:val="20"/>
        </w:rPr>
        <w:t>, sin perjuicio de lo señalado en el capítulo de Hechos de la presente Sentencia.</w:t>
      </w:r>
      <w:r w:rsidRPr="00E25738">
        <w:rPr>
          <w:rFonts w:ascii="Verdana" w:hAnsi="Verdana"/>
          <w:sz w:val="20"/>
          <w:szCs w:val="20"/>
        </w:rPr>
        <w:t xml:space="preserve"> </w:t>
      </w:r>
    </w:p>
    <w:p w14:paraId="0C70498A" w14:textId="77777777" w:rsidR="00E04121" w:rsidRPr="00197FDA" w:rsidRDefault="00E04121" w:rsidP="00E04121">
      <w:pPr>
        <w:pStyle w:val="ListParagraph"/>
        <w:ind w:left="0"/>
        <w:jc w:val="both"/>
        <w:rPr>
          <w:rFonts w:ascii="Verdana" w:hAnsi="Verdana"/>
          <w:sz w:val="20"/>
          <w:szCs w:val="20"/>
        </w:rPr>
      </w:pPr>
    </w:p>
    <w:p w14:paraId="0C70498B" w14:textId="77777777" w:rsidR="00E04121" w:rsidRPr="00197FDA" w:rsidRDefault="00E04121" w:rsidP="00E04121">
      <w:pPr>
        <w:pStyle w:val="Heading2"/>
        <w:numPr>
          <w:ilvl w:val="0"/>
          <w:numId w:val="11"/>
        </w:numPr>
        <w:spacing w:before="0"/>
        <w:rPr>
          <w:rFonts w:ascii="Verdana" w:hAnsi="Verdana"/>
          <w:i/>
          <w:color w:val="auto"/>
          <w:sz w:val="20"/>
          <w:szCs w:val="20"/>
        </w:rPr>
      </w:pPr>
      <w:bookmarkStart w:id="17" w:name="_Toc437247312"/>
      <w:r w:rsidRPr="00197FDA">
        <w:rPr>
          <w:rFonts w:ascii="Verdana" w:hAnsi="Verdana"/>
          <w:i/>
          <w:color w:val="auto"/>
          <w:sz w:val="20"/>
          <w:szCs w:val="20"/>
        </w:rPr>
        <w:t xml:space="preserve">Sobre </w:t>
      </w:r>
      <w:r w:rsidRPr="00A71698">
        <w:rPr>
          <w:rFonts w:ascii="Verdana" w:hAnsi="Verdana"/>
          <w:i/>
          <w:color w:val="auto"/>
          <w:sz w:val="20"/>
          <w:szCs w:val="20"/>
        </w:rPr>
        <w:t>la admisibilidad de algunos hechos</w:t>
      </w:r>
      <w:r w:rsidRPr="00197FDA">
        <w:rPr>
          <w:rFonts w:ascii="Verdana" w:hAnsi="Verdana"/>
          <w:i/>
          <w:color w:val="auto"/>
          <w:sz w:val="20"/>
          <w:szCs w:val="20"/>
        </w:rPr>
        <w:t xml:space="preserve"> </w:t>
      </w:r>
      <w:r w:rsidRPr="00A71698">
        <w:rPr>
          <w:rFonts w:ascii="Verdana" w:hAnsi="Verdana"/>
          <w:i/>
          <w:color w:val="auto"/>
          <w:sz w:val="20"/>
          <w:szCs w:val="20"/>
        </w:rPr>
        <w:t>de</w:t>
      </w:r>
      <w:r>
        <w:rPr>
          <w:rFonts w:ascii="Verdana" w:hAnsi="Verdana"/>
          <w:i/>
          <w:color w:val="auto"/>
          <w:sz w:val="20"/>
          <w:szCs w:val="20"/>
        </w:rPr>
        <w:t>l</w:t>
      </w:r>
      <w:r w:rsidRPr="00A71698">
        <w:rPr>
          <w:rFonts w:ascii="Verdana" w:hAnsi="Verdana"/>
          <w:i/>
          <w:color w:val="auto"/>
          <w:sz w:val="20"/>
          <w:szCs w:val="20"/>
        </w:rPr>
        <w:t xml:space="preserve"> </w:t>
      </w:r>
      <w:r w:rsidRPr="00197FDA">
        <w:rPr>
          <w:rFonts w:ascii="Verdana" w:hAnsi="Verdana"/>
          <w:i/>
          <w:color w:val="auto"/>
          <w:sz w:val="20"/>
          <w:szCs w:val="20"/>
        </w:rPr>
        <w:t>marco fáctico</w:t>
      </w:r>
      <w:bookmarkEnd w:id="17"/>
    </w:p>
    <w:p w14:paraId="0C70498C" w14:textId="77777777" w:rsidR="00E04121" w:rsidRPr="00197FDA" w:rsidRDefault="00E04121" w:rsidP="00E04121">
      <w:pPr>
        <w:pStyle w:val="ListParagraph"/>
        <w:ind w:left="0"/>
        <w:jc w:val="both"/>
        <w:rPr>
          <w:rFonts w:ascii="Verdana" w:hAnsi="Verdana"/>
          <w:sz w:val="20"/>
          <w:szCs w:val="20"/>
        </w:rPr>
      </w:pPr>
    </w:p>
    <w:p w14:paraId="0C70498D" w14:textId="77777777" w:rsidR="00E04121" w:rsidRPr="00197FDA" w:rsidRDefault="00E04121" w:rsidP="00E04121">
      <w:pPr>
        <w:pStyle w:val="Heading3"/>
        <w:spacing w:before="0"/>
        <w:ind w:firstLine="360"/>
        <w:jc w:val="both"/>
        <w:rPr>
          <w:rFonts w:ascii="Verdana" w:hAnsi="Verdana"/>
          <w:i/>
          <w:color w:val="auto"/>
          <w:sz w:val="20"/>
          <w:szCs w:val="20"/>
        </w:rPr>
      </w:pPr>
      <w:bookmarkStart w:id="18" w:name="_Toc437247313"/>
      <w:r w:rsidRPr="00197FDA">
        <w:rPr>
          <w:rFonts w:ascii="Verdana" w:hAnsi="Verdana"/>
          <w:i/>
          <w:color w:val="auto"/>
          <w:sz w:val="20"/>
          <w:szCs w:val="20"/>
        </w:rPr>
        <w:t>B.1 Exclusión de los hechos y alegatos relacionados con el Parque Nacional “Sierra Río Tinto”</w:t>
      </w:r>
      <w:bookmarkEnd w:id="18"/>
    </w:p>
    <w:p w14:paraId="0C70498E" w14:textId="77777777" w:rsidR="00E04121" w:rsidRDefault="00E04121" w:rsidP="00E04121">
      <w:pPr>
        <w:pStyle w:val="ListParagraph"/>
        <w:ind w:left="0"/>
        <w:jc w:val="both"/>
        <w:rPr>
          <w:rFonts w:ascii="Verdana" w:hAnsi="Verdana"/>
          <w:sz w:val="20"/>
          <w:szCs w:val="20"/>
        </w:rPr>
      </w:pPr>
    </w:p>
    <w:p w14:paraId="0C70498F" w14:textId="4C7986EC" w:rsidR="00E04121"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t xml:space="preserve">En el apartado correspondiente a los hechos probados de su Informe de Fondo de 21 de marzo de 2013, la </w:t>
      </w:r>
      <w:r w:rsidRPr="00D6151C">
        <w:rPr>
          <w:rFonts w:ascii="Verdana" w:hAnsi="Verdana"/>
          <w:b/>
          <w:i/>
          <w:sz w:val="20"/>
          <w:szCs w:val="20"/>
        </w:rPr>
        <w:t>Comisión</w:t>
      </w:r>
      <w:r w:rsidRPr="00D6151C">
        <w:rPr>
          <w:rFonts w:ascii="Verdana" w:hAnsi="Verdana"/>
          <w:sz w:val="20"/>
          <w:szCs w:val="20"/>
        </w:rPr>
        <w:t xml:space="preserve"> observó que mediante el acuerdo 007-2011 del año 2011 del Instituto Nacional de Conservación y Desarrollo Forestal, </w:t>
      </w:r>
      <w:r w:rsidR="0097786F">
        <w:rPr>
          <w:rFonts w:ascii="Verdana" w:hAnsi="Verdana"/>
          <w:sz w:val="20"/>
          <w:szCs w:val="20"/>
        </w:rPr>
        <w:t>Áreas</w:t>
      </w:r>
      <w:r w:rsidRPr="00D6151C">
        <w:rPr>
          <w:rFonts w:ascii="Verdana" w:hAnsi="Verdana"/>
          <w:sz w:val="20"/>
          <w:szCs w:val="20"/>
        </w:rPr>
        <w:t xml:space="preserve"> Protegidas y Vida Silvestre, se declaró como área protegida al Parque Nacional </w:t>
      </w:r>
      <w:r w:rsidR="002801C4">
        <w:rPr>
          <w:rFonts w:ascii="Verdana" w:hAnsi="Verdana"/>
          <w:sz w:val="20"/>
          <w:szCs w:val="20"/>
        </w:rPr>
        <w:t>“</w:t>
      </w:r>
      <w:r w:rsidRPr="00D6151C">
        <w:rPr>
          <w:rFonts w:ascii="Verdana" w:hAnsi="Verdana"/>
          <w:sz w:val="20"/>
          <w:szCs w:val="20"/>
        </w:rPr>
        <w:t xml:space="preserve">Sierra Río Tinto”, y que </w:t>
      </w:r>
      <w:r w:rsidR="002801C4">
        <w:rPr>
          <w:rFonts w:ascii="Verdana" w:hAnsi="Verdana"/>
          <w:sz w:val="20"/>
          <w:szCs w:val="20"/>
        </w:rPr>
        <w:t>éste</w:t>
      </w:r>
      <w:r w:rsidRPr="00D6151C">
        <w:rPr>
          <w:rFonts w:ascii="Verdana" w:hAnsi="Verdana"/>
          <w:sz w:val="20"/>
          <w:szCs w:val="20"/>
        </w:rPr>
        <w:t xml:space="preserve"> presuntamen</w:t>
      </w:r>
      <w:r w:rsidR="0097786F">
        <w:rPr>
          <w:rFonts w:ascii="Verdana" w:hAnsi="Verdana"/>
          <w:sz w:val="20"/>
          <w:szCs w:val="20"/>
        </w:rPr>
        <w:t>te abarca parte del territorio G</w:t>
      </w:r>
      <w:r w:rsidRPr="00D6151C">
        <w:rPr>
          <w:rFonts w:ascii="Verdana" w:hAnsi="Verdana"/>
          <w:sz w:val="20"/>
          <w:szCs w:val="20"/>
        </w:rPr>
        <w:t xml:space="preserve">arífuna. Asimismo, a pesar de no haber otorgado consecuencias jurídicas a dicho hecho en el Informe de Fondo, durante la audiencia pública la Comisión señaló que “se creó una reserva forestal en parte del territorio de la comunidad sin consulta previa”.  </w:t>
      </w:r>
    </w:p>
    <w:p w14:paraId="0C704990" w14:textId="77777777" w:rsidR="00E04121" w:rsidRDefault="00E04121" w:rsidP="00E04121">
      <w:pPr>
        <w:pStyle w:val="ListParagraph"/>
        <w:ind w:left="0"/>
        <w:jc w:val="both"/>
        <w:rPr>
          <w:rFonts w:ascii="Verdana" w:hAnsi="Verdana"/>
          <w:sz w:val="20"/>
          <w:szCs w:val="20"/>
        </w:rPr>
      </w:pPr>
    </w:p>
    <w:p w14:paraId="0C704991" w14:textId="0EBC1F23" w:rsidR="00E04121" w:rsidRPr="00D6151C"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t xml:space="preserve">Al respecto, los </w:t>
      </w:r>
      <w:r w:rsidRPr="00D6151C">
        <w:rPr>
          <w:rFonts w:ascii="Verdana" w:hAnsi="Verdana"/>
          <w:b/>
          <w:i/>
          <w:sz w:val="20"/>
          <w:szCs w:val="20"/>
        </w:rPr>
        <w:t>representantes</w:t>
      </w:r>
      <w:r w:rsidRPr="00D6151C">
        <w:rPr>
          <w:rFonts w:ascii="Verdana" w:hAnsi="Verdana"/>
          <w:sz w:val="20"/>
          <w:szCs w:val="20"/>
        </w:rPr>
        <w:t xml:space="preserve"> agregaron que el referido acuerdo fue publicado en la Gaceta el 5 de julio de 2011, y que si bien la declaratoria del Poder Ejecutivo no ha sido refrendada por el Congreso Nacional, para los representantes el hecho de que haya sido publicada en la Gaceta, es señal de que el Estado realizó actos jurídicos que atañen al territorio Garífuna.</w:t>
      </w:r>
    </w:p>
    <w:p w14:paraId="0C704992" w14:textId="77777777" w:rsidR="00E04121" w:rsidRPr="00D6151C" w:rsidRDefault="00E04121" w:rsidP="00E04121">
      <w:pPr>
        <w:pStyle w:val="ListParagraph"/>
        <w:rPr>
          <w:rFonts w:ascii="Verdana" w:hAnsi="Verdana"/>
          <w:sz w:val="20"/>
          <w:szCs w:val="20"/>
        </w:rPr>
      </w:pPr>
    </w:p>
    <w:p w14:paraId="0C704993" w14:textId="77777777" w:rsidR="00E04121"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lastRenderedPageBreak/>
        <w:t xml:space="preserve">En su escrito de contestación el </w:t>
      </w:r>
      <w:r w:rsidRPr="00D6151C">
        <w:rPr>
          <w:rFonts w:ascii="Verdana" w:hAnsi="Verdana"/>
          <w:b/>
          <w:i/>
          <w:sz w:val="20"/>
          <w:szCs w:val="20"/>
        </w:rPr>
        <w:t>Estado</w:t>
      </w:r>
      <w:r w:rsidRPr="00D6151C">
        <w:rPr>
          <w:rFonts w:ascii="Verdana" w:hAnsi="Verdana"/>
          <w:sz w:val="20"/>
          <w:szCs w:val="20"/>
        </w:rPr>
        <w:t xml:space="preserve"> no se refirió al Parque Nacional “Sierra Río Tinto”. </w:t>
      </w:r>
    </w:p>
    <w:p w14:paraId="0C704994" w14:textId="77777777" w:rsidR="00E04121" w:rsidRPr="00D6151C" w:rsidRDefault="00E04121" w:rsidP="00E04121">
      <w:pPr>
        <w:pStyle w:val="ListParagraph"/>
        <w:rPr>
          <w:rFonts w:ascii="Verdana" w:hAnsi="Verdana"/>
          <w:sz w:val="20"/>
          <w:szCs w:val="20"/>
        </w:rPr>
      </w:pPr>
    </w:p>
    <w:p w14:paraId="0C704995" w14:textId="324451A5" w:rsidR="00E04121" w:rsidRPr="00D6151C"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t>Durante la audiencia pública del caso la Corte solicitó a las partes que aportaran información precisa sobre la localización de dicho Parque Nacional y la cantidad de territorio de la Comunidad de Punta Piedra que se vería presuntamente afectada.</w:t>
      </w:r>
    </w:p>
    <w:p w14:paraId="0C704996" w14:textId="77777777" w:rsidR="00E04121" w:rsidRPr="00D6151C" w:rsidRDefault="00E04121" w:rsidP="00E04121">
      <w:pPr>
        <w:pStyle w:val="ListParagraph"/>
        <w:rPr>
          <w:rFonts w:ascii="Verdana" w:hAnsi="Verdana"/>
          <w:sz w:val="20"/>
          <w:szCs w:val="20"/>
        </w:rPr>
      </w:pPr>
    </w:p>
    <w:p w14:paraId="0C704997" w14:textId="5E6AB47D" w:rsidR="00E04121" w:rsidRPr="00903D9D"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t>El 10 de noviembre de 2014 el Estado indicó que la ubicación del Parque Nacional no abarca</w:t>
      </w:r>
      <w:r>
        <w:rPr>
          <w:rFonts w:ascii="Verdana" w:hAnsi="Verdana"/>
          <w:sz w:val="20"/>
          <w:szCs w:val="20"/>
        </w:rPr>
        <w:t>ba</w:t>
      </w:r>
      <w:r w:rsidRPr="00D6151C">
        <w:rPr>
          <w:rFonts w:ascii="Verdana" w:hAnsi="Verdana"/>
          <w:sz w:val="20"/>
          <w:szCs w:val="20"/>
        </w:rPr>
        <w:t xml:space="preserve"> el territorio titulado a favor de la Comunidad de Punta Piedra y aportó un mapa que precisaba dicha afirmación. </w:t>
      </w:r>
      <w:r w:rsidRPr="00F22EE1">
        <w:rPr>
          <w:rFonts w:ascii="Verdana" w:hAnsi="Verdana"/>
          <w:sz w:val="20"/>
          <w:szCs w:val="20"/>
        </w:rPr>
        <w:t>Por su parte, a pesar de ser requerido reiteradamente por la Secretaría de la Corte</w:t>
      </w:r>
      <w:r w:rsidRPr="00F22EE1">
        <w:rPr>
          <w:rStyle w:val="FootnoteReference"/>
          <w:szCs w:val="20"/>
        </w:rPr>
        <w:footnoteReference w:id="33"/>
      </w:r>
      <w:r w:rsidRPr="00F22EE1">
        <w:rPr>
          <w:rFonts w:ascii="Verdana" w:hAnsi="Verdana"/>
          <w:sz w:val="20"/>
          <w:szCs w:val="20"/>
        </w:rPr>
        <w:t xml:space="preserve">, los representantes no remitieron prueba </w:t>
      </w:r>
      <w:r w:rsidRPr="00903D9D">
        <w:rPr>
          <w:rFonts w:ascii="Verdana" w:hAnsi="Verdana"/>
          <w:sz w:val="20"/>
          <w:szCs w:val="20"/>
        </w:rPr>
        <w:t xml:space="preserve">que sustentara su posición. </w:t>
      </w:r>
    </w:p>
    <w:p w14:paraId="0C704998" w14:textId="77777777" w:rsidR="00E04121" w:rsidRPr="00D6151C" w:rsidRDefault="00E04121" w:rsidP="00E04121"/>
    <w:p w14:paraId="0C704999" w14:textId="3E9AF98D" w:rsidR="00E04121" w:rsidRPr="00903D9D" w:rsidRDefault="00E04121" w:rsidP="00E04121">
      <w:pPr>
        <w:pStyle w:val="ListParagraph"/>
        <w:numPr>
          <w:ilvl w:val="0"/>
          <w:numId w:val="17"/>
        </w:numPr>
        <w:ind w:left="0" w:hanging="11"/>
        <w:jc w:val="both"/>
        <w:rPr>
          <w:rFonts w:ascii="Verdana" w:hAnsi="Verdana"/>
          <w:sz w:val="20"/>
          <w:szCs w:val="20"/>
        </w:rPr>
      </w:pPr>
      <w:r w:rsidRPr="00D6151C">
        <w:rPr>
          <w:rFonts w:ascii="Verdana" w:hAnsi="Verdana"/>
          <w:sz w:val="20"/>
          <w:szCs w:val="20"/>
        </w:rPr>
        <w:t xml:space="preserve">Tomando en consideración la información aportada por el Estado como prueba para mejor resolver, y ante la ausencia de elementos que sustenten la posición de los representantes, la Corte constató que </w:t>
      </w:r>
      <w:r>
        <w:rPr>
          <w:rFonts w:ascii="Verdana" w:hAnsi="Verdana"/>
          <w:sz w:val="20"/>
          <w:szCs w:val="20"/>
        </w:rPr>
        <w:t xml:space="preserve">el Parque Nacional </w:t>
      </w:r>
      <w:r w:rsidR="00237926">
        <w:rPr>
          <w:rFonts w:ascii="Verdana" w:hAnsi="Verdana"/>
          <w:sz w:val="20"/>
          <w:szCs w:val="20"/>
        </w:rPr>
        <w:t>“</w:t>
      </w:r>
      <w:r>
        <w:rPr>
          <w:rFonts w:ascii="Verdana" w:hAnsi="Verdana"/>
          <w:sz w:val="20"/>
          <w:szCs w:val="20"/>
        </w:rPr>
        <w:t>Sierra Río Tinto</w:t>
      </w:r>
      <w:r w:rsidR="00237926">
        <w:rPr>
          <w:rFonts w:ascii="Verdana" w:hAnsi="Verdana"/>
          <w:sz w:val="20"/>
          <w:szCs w:val="20"/>
        </w:rPr>
        <w:t>”</w:t>
      </w:r>
      <w:r>
        <w:rPr>
          <w:rFonts w:ascii="Verdana" w:hAnsi="Verdana"/>
          <w:sz w:val="20"/>
          <w:szCs w:val="20"/>
        </w:rPr>
        <w:t xml:space="preserve"> se encontraba ubicado fuera del territorio titulado a favor de la Comunidad de Punta Piedra. En este sentido, se observó que </w:t>
      </w:r>
      <w:r w:rsidRPr="00D6151C">
        <w:rPr>
          <w:rFonts w:ascii="Verdana" w:hAnsi="Verdana"/>
          <w:sz w:val="20"/>
          <w:szCs w:val="20"/>
        </w:rPr>
        <w:t xml:space="preserve">el territorio titulado a </w:t>
      </w:r>
      <w:r>
        <w:rPr>
          <w:rFonts w:ascii="Verdana" w:hAnsi="Verdana"/>
          <w:sz w:val="20"/>
          <w:szCs w:val="20"/>
        </w:rPr>
        <w:t xml:space="preserve">su </w:t>
      </w:r>
      <w:r w:rsidRPr="00D6151C">
        <w:rPr>
          <w:rFonts w:ascii="Verdana" w:hAnsi="Verdana"/>
          <w:sz w:val="20"/>
          <w:szCs w:val="20"/>
        </w:rPr>
        <w:t>favor se encuentra al norte del Río Tinto, mientras que el Parque Nacional Sierra Río Tinto se encuentra al sur de dicho río</w:t>
      </w:r>
      <w:r w:rsidRPr="00DF42C4">
        <w:rPr>
          <w:rFonts w:ascii="Verdana" w:hAnsi="Verdana"/>
          <w:sz w:val="20"/>
          <w:szCs w:val="20"/>
        </w:rPr>
        <w:t xml:space="preserve">. </w:t>
      </w:r>
      <w:r>
        <w:rPr>
          <w:rFonts w:ascii="Verdana" w:hAnsi="Verdana"/>
          <w:sz w:val="20"/>
          <w:szCs w:val="20"/>
        </w:rPr>
        <w:t>Asimismo,</w:t>
      </w:r>
      <w:r w:rsidRPr="00DF42C4">
        <w:rPr>
          <w:rFonts w:ascii="Verdana" w:hAnsi="Verdana"/>
          <w:sz w:val="20"/>
          <w:szCs w:val="20"/>
        </w:rPr>
        <w:t xml:space="preserve"> el Tribunal </w:t>
      </w:r>
      <w:r>
        <w:rPr>
          <w:rFonts w:ascii="Verdana" w:hAnsi="Verdana"/>
          <w:sz w:val="20"/>
          <w:szCs w:val="20"/>
        </w:rPr>
        <w:t xml:space="preserve">carece de elementos probatorios adicionales que indiquen alguna otra vinculación entre </w:t>
      </w:r>
      <w:r w:rsidRPr="00DF42C4">
        <w:rPr>
          <w:rFonts w:ascii="Verdana" w:hAnsi="Verdana"/>
          <w:sz w:val="20"/>
          <w:szCs w:val="20"/>
        </w:rPr>
        <w:t xml:space="preserve">el Parque Nacional “Sierra Río Tinto” </w:t>
      </w:r>
      <w:r>
        <w:rPr>
          <w:rFonts w:ascii="Verdana" w:hAnsi="Verdana"/>
          <w:sz w:val="20"/>
          <w:szCs w:val="20"/>
        </w:rPr>
        <w:t xml:space="preserve">y </w:t>
      </w:r>
      <w:r w:rsidRPr="00DF42C4">
        <w:rPr>
          <w:rFonts w:ascii="Verdana" w:hAnsi="Verdana"/>
          <w:sz w:val="20"/>
          <w:szCs w:val="20"/>
        </w:rPr>
        <w:t xml:space="preserve">el territorio </w:t>
      </w:r>
      <w:r>
        <w:rPr>
          <w:rFonts w:ascii="Verdana" w:hAnsi="Verdana"/>
          <w:sz w:val="20"/>
          <w:szCs w:val="20"/>
        </w:rPr>
        <w:t xml:space="preserve">titulado a favor </w:t>
      </w:r>
      <w:r w:rsidRPr="00DF42C4">
        <w:rPr>
          <w:rFonts w:ascii="Verdana" w:hAnsi="Verdana"/>
          <w:sz w:val="20"/>
          <w:szCs w:val="20"/>
        </w:rPr>
        <w:t>de la Comunidad.</w:t>
      </w:r>
    </w:p>
    <w:p w14:paraId="0C70499A" w14:textId="77777777" w:rsidR="00E04121" w:rsidRPr="00D6151C" w:rsidRDefault="00E04121" w:rsidP="00E04121">
      <w:pPr>
        <w:pStyle w:val="ListParagraph"/>
        <w:rPr>
          <w:rFonts w:ascii="Verdana" w:hAnsi="Verdana"/>
          <w:sz w:val="20"/>
          <w:szCs w:val="20"/>
        </w:rPr>
      </w:pPr>
    </w:p>
    <w:p w14:paraId="0C70499B" w14:textId="77777777" w:rsidR="00E04121" w:rsidRDefault="00E04121" w:rsidP="00E04121">
      <w:pPr>
        <w:pStyle w:val="ListParagraph"/>
        <w:numPr>
          <w:ilvl w:val="0"/>
          <w:numId w:val="17"/>
        </w:numPr>
        <w:ind w:left="0" w:hanging="11"/>
        <w:jc w:val="both"/>
        <w:rPr>
          <w:rFonts w:ascii="Verdana" w:hAnsi="Verdana"/>
          <w:sz w:val="20"/>
          <w:szCs w:val="20"/>
        </w:rPr>
      </w:pPr>
      <w:r w:rsidRPr="00167F1B">
        <w:rPr>
          <w:rFonts w:ascii="Verdana" w:hAnsi="Verdana"/>
          <w:sz w:val="20"/>
          <w:szCs w:val="20"/>
        </w:rPr>
        <w:t xml:space="preserve">Por lo tanto, la Corte excluye </w:t>
      </w:r>
      <w:r>
        <w:rPr>
          <w:rFonts w:ascii="Verdana" w:hAnsi="Verdana"/>
          <w:sz w:val="20"/>
          <w:szCs w:val="20"/>
        </w:rPr>
        <w:t xml:space="preserve">del análisis del presente caso </w:t>
      </w:r>
      <w:r w:rsidRPr="00167F1B">
        <w:rPr>
          <w:rFonts w:ascii="Verdana" w:hAnsi="Verdana"/>
          <w:sz w:val="20"/>
          <w:szCs w:val="20"/>
        </w:rPr>
        <w:t xml:space="preserve">los hechos y </w:t>
      </w:r>
      <w:r>
        <w:rPr>
          <w:rFonts w:ascii="Verdana" w:hAnsi="Verdana"/>
          <w:sz w:val="20"/>
          <w:szCs w:val="20"/>
        </w:rPr>
        <w:t xml:space="preserve">alegatos </w:t>
      </w:r>
      <w:r w:rsidRPr="00167F1B">
        <w:rPr>
          <w:rFonts w:ascii="Verdana" w:hAnsi="Verdana"/>
          <w:sz w:val="20"/>
          <w:szCs w:val="20"/>
        </w:rPr>
        <w:t>relacionad</w:t>
      </w:r>
      <w:r>
        <w:rPr>
          <w:rFonts w:ascii="Verdana" w:hAnsi="Verdana"/>
          <w:sz w:val="20"/>
          <w:szCs w:val="20"/>
        </w:rPr>
        <w:t>o</w:t>
      </w:r>
      <w:r w:rsidRPr="00167F1B">
        <w:rPr>
          <w:rFonts w:ascii="Verdana" w:hAnsi="Verdana"/>
          <w:sz w:val="20"/>
          <w:szCs w:val="20"/>
        </w:rPr>
        <w:t xml:space="preserve">s con la creación del Parque Nacional “Sierra Río Tinto”. </w:t>
      </w:r>
      <w:r>
        <w:rPr>
          <w:rFonts w:ascii="Verdana" w:hAnsi="Verdana"/>
          <w:sz w:val="20"/>
          <w:szCs w:val="20"/>
        </w:rPr>
        <w:t xml:space="preserve"> </w:t>
      </w:r>
    </w:p>
    <w:p w14:paraId="0C70499C" w14:textId="77777777" w:rsidR="00E04121" w:rsidRDefault="00E04121" w:rsidP="00E04121">
      <w:pPr>
        <w:rPr>
          <w:rFonts w:ascii="Verdana" w:hAnsi="Verdana"/>
          <w:sz w:val="20"/>
          <w:szCs w:val="20"/>
        </w:rPr>
      </w:pPr>
    </w:p>
    <w:p w14:paraId="0C70499D" w14:textId="77777777" w:rsidR="00E04121" w:rsidRPr="00A71698" w:rsidRDefault="00E04121" w:rsidP="00E04121">
      <w:pPr>
        <w:pStyle w:val="Heading3"/>
        <w:spacing w:before="0"/>
        <w:ind w:firstLine="360"/>
        <w:jc w:val="both"/>
        <w:rPr>
          <w:rFonts w:ascii="Verdana" w:hAnsi="Verdana"/>
          <w:i/>
          <w:sz w:val="20"/>
          <w:szCs w:val="20"/>
        </w:rPr>
      </w:pPr>
      <w:bookmarkStart w:id="19" w:name="_Toc437247314"/>
      <w:r>
        <w:rPr>
          <w:rFonts w:ascii="Verdana" w:hAnsi="Verdana"/>
          <w:i/>
          <w:color w:val="auto"/>
          <w:sz w:val="20"/>
          <w:szCs w:val="20"/>
        </w:rPr>
        <w:t>B</w:t>
      </w:r>
      <w:r w:rsidRPr="00BC6BE0">
        <w:rPr>
          <w:rFonts w:ascii="Verdana" w:hAnsi="Verdana"/>
          <w:i/>
          <w:color w:val="auto"/>
          <w:sz w:val="20"/>
          <w:szCs w:val="20"/>
        </w:rPr>
        <w:t xml:space="preserve">.2 Solicitud de inclusión de hechos </w:t>
      </w:r>
      <w:r>
        <w:rPr>
          <w:rFonts w:ascii="Verdana" w:hAnsi="Verdana"/>
          <w:i/>
          <w:color w:val="auto"/>
          <w:sz w:val="20"/>
          <w:szCs w:val="20"/>
        </w:rPr>
        <w:t xml:space="preserve">relacionados con el </w:t>
      </w:r>
      <w:r w:rsidRPr="00A71698">
        <w:rPr>
          <w:rFonts w:ascii="Verdana" w:hAnsi="Verdana"/>
          <w:i/>
          <w:color w:val="auto"/>
          <w:sz w:val="20"/>
          <w:szCs w:val="20"/>
        </w:rPr>
        <w:t xml:space="preserve">proyecto Hidroeléctrico “Los Chorros”; </w:t>
      </w:r>
      <w:r w:rsidR="00237926">
        <w:rPr>
          <w:rFonts w:ascii="Verdana" w:hAnsi="Verdana"/>
          <w:i/>
          <w:color w:val="auto"/>
          <w:sz w:val="20"/>
          <w:szCs w:val="20"/>
        </w:rPr>
        <w:t xml:space="preserve">actividades de </w:t>
      </w:r>
      <w:r w:rsidRPr="00A71698">
        <w:rPr>
          <w:rFonts w:ascii="Verdana" w:hAnsi="Verdana"/>
          <w:i/>
          <w:color w:val="auto"/>
          <w:sz w:val="20"/>
          <w:szCs w:val="20"/>
        </w:rPr>
        <w:t xml:space="preserve">exploración y explotación petrolera, y </w:t>
      </w:r>
      <w:r w:rsidR="00237926">
        <w:rPr>
          <w:rFonts w:ascii="Verdana" w:hAnsi="Verdana"/>
          <w:i/>
          <w:color w:val="auto"/>
          <w:sz w:val="20"/>
          <w:szCs w:val="20"/>
        </w:rPr>
        <w:t xml:space="preserve">la </w:t>
      </w:r>
      <w:r w:rsidRPr="00A71698">
        <w:rPr>
          <w:rFonts w:ascii="Verdana" w:hAnsi="Verdana"/>
          <w:i/>
          <w:color w:val="auto"/>
          <w:sz w:val="20"/>
          <w:szCs w:val="20"/>
        </w:rPr>
        <w:t>Ley de Pesca</w:t>
      </w:r>
      <w:bookmarkEnd w:id="19"/>
    </w:p>
    <w:p w14:paraId="0C70499E" w14:textId="77777777" w:rsidR="00E04121" w:rsidRPr="00167F1B" w:rsidRDefault="00E04121" w:rsidP="00E04121">
      <w:pPr>
        <w:rPr>
          <w:rFonts w:ascii="Verdana" w:hAnsi="Verdana"/>
          <w:sz w:val="20"/>
          <w:szCs w:val="20"/>
        </w:rPr>
      </w:pPr>
    </w:p>
    <w:p w14:paraId="0C70499F" w14:textId="73AB1F09" w:rsidR="00E04121" w:rsidRDefault="00E04121" w:rsidP="00E04121">
      <w:pPr>
        <w:pStyle w:val="ListParagraph"/>
        <w:numPr>
          <w:ilvl w:val="0"/>
          <w:numId w:val="17"/>
        </w:numPr>
        <w:ind w:left="0" w:hanging="11"/>
        <w:jc w:val="both"/>
        <w:rPr>
          <w:rFonts w:ascii="Verdana" w:hAnsi="Verdana"/>
          <w:sz w:val="20"/>
          <w:szCs w:val="20"/>
        </w:rPr>
      </w:pPr>
      <w:r w:rsidRPr="00F144E4">
        <w:rPr>
          <w:rFonts w:ascii="Verdana" w:hAnsi="Verdana"/>
          <w:sz w:val="20"/>
          <w:szCs w:val="20"/>
        </w:rPr>
        <w:t xml:space="preserve">En su escrito de solicitudes y argumentos, presentado ante la Corte el </w:t>
      </w:r>
      <w:r w:rsidRPr="006F4670">
        <w:rPr>
          <w:rFonts w:ascii="Verdana" w:hAnsi="Verdana"/>
          <w:sz w:val="20"/>
          <w:szCs w:val="20"/>
        </w:rPr>
        <w:t xml:space="preserve">3 de enero de 2014, los </w:t>
      </w:r>
      <w:r w:rsidRPr="006F4670">
        <w:rPr>
          <w:rFonts w:ascii="Verdana" w:hAnsi="Verdana"/>
          <w:b/>
          <w:i/>
          <w:sz w:val="20"/>
          <w:szCs w:val="20"/>
        </w:rPr>
        <w:t>representantes</w:t>
      </w:r>
      <w:r w:rsidRPr="006F4670">
        <w:rPr>
          <w:rFonts w:ascii="Verdana" w:hAnsi="Verdana"/>
          <w:sz w:val="20"/>
          <w:szCs w:val="20"/>
        </w:rPr>
        <w:t xml:space="preserve"> informaron sobre presuntos hechos que no se encontraban contemplados dentro del marco fáctico del Informe de Fondo presentado por la Comisión, los cuales consisten en: 1) la presunta construcción de la represa hidroeléctrica “Los Chorros” en el río Sico</w:t>
      </w:r>
      <w:r w:rsidRPr="00F144E4">
        <w:rPr>
          <w:rFonts w:ascii="Verdana" w:hAnsi="Verdana"/>
          <w:sz w:val="20"/>
          <w:szCs w:val="20"/>
        </w:rPr>
        <w:t xml:space="preserve">; </w:t>
      </w:r>
      <w:r w:rsidRPr="006F4670">
        <w:rPr>
          <w:rFonts w:ascii="Verdana" w:hAnsi="Verdana"/>
          <w:sz w:val="20"/>
          <w:szCs w:val="20"/>
        </w:rPr>
        <w:t xml:space="preserve">2) el comienzo de actividades de exploración y explotación por parte de la empresa petrolera </w:t>
      </w:r>
      <w:r w:rsidR="00237926">
        <w:rPr>
          <w:rFonts w:ascii="Verdana" w:hAnsi="Verdana"/>
          <w:sz w:val="20"/>
          <w:szCs w:val="20"/>
        </w:rPr>
        <w:t>“</w:t>
      </w:r>
      <w:r w:rsidRPr="006F4670">
        <w:rPr>
          <w:rFonts w:ascii="Verdana" w:hAnsi="Verdana"/>
          <w:sz w:val="20"/>
          <w:szCs w:val="20"/>
        </w:rPr>
        <w:t xml:space="preserve">BG </w:t>
      </w:r>
      <w:proofErr w:type="spellStart"/>
      <w:r w:rsidRPr="006F4670">
        <w:rPr>
          <w:rFonts w:ascii="Verdana" w:hAnsi="Verdana"/>
          <w:sz w:val="20"/>
          <w:szCs w:val="20"/>
        </w:rPr>
        <w:t>Group</w:t>
      </w:r>
      <w:proofErr w:type="spellEnd"/>
      <w:r w:rsidR="00237926">
        <w:rPr>
          <w:rFonts w:ascii="Verdana" w:hAnsi="Verdana"/>
          <w:sz w:val="20"/>
          <w:szCs w:val="20"/>
        </w:rPr>
        <w:t>”</w:t>
      </w:r>
      <w:r w:rsidRPr="006F4670">
        <w:rPr>
          <w:rFonts w:ascii="Verdana" w:hAnsi="Verdana"/>
          <w:sz w:val="20"/>
          <w:szCs w:val="20"/>
        </w:rPr>
        <w:t xml:space="preserve"> en la plataforma continental frente a la </w:t>
      </w:r>
      <w:proofErr w:type="spellStart"/>
      <w:r w:rsidRPr="006F4670">
        <w:rPr>
          <w:rFonts w:ascii="Verdana" w:hAnsi="Verdana"/>
          <w:sz w:val="20"/>
          <w:szCs w:val="20"/>
        </w:rPr>
        <w:t>Moskitia</w:t>
      </w:r>
      <w:proofErr w:type="spellEnd"/>
      <w:r w:rsidRPr="006F4670">
        <w:rPr>
          <w:rFonts w:ascii="Verdana" w:hAnsi="Verdana"/>
          <w:sz w:val="20"/>
          <w:szCs w:val="20"/>
        </w:rPr>
        <w:t>, y 3) la aprobación de un anteproyecto de Ley de Pesca en la Comisión de Dictamen del Congreso de Honduras</w:t>
      </w:r>
      <w:r w:rsidRPr="00F144E4">
        <w:rPr>
          <w:rFonts w:ascii="Verdana" w:hAnsi="Verdana"/>
          <w:sz w:val="20"/>
          <w:szCs w:val="20"/>
        </w:rPr>
        <w:t>. Posteriormente, du</w:t>
      </w:r>
      <w:r w:rsidRPr="006F4670">
        <w:rPr>
          <w:rFonts w:ascii="Verdana" w:hAnsi="Verdana"/>
          <w:sz w:val="20"/>
          <w:szCs w:val="20"/>
        </w:rPr>
        <w:t xml:space="preserve">rante la audiencia pública del presente caso, celebrada el </w:t>
      </w:r>
      <w:r w:rsidRPr="00F144E4">
        <w:rPr>
          <w:rFonts w:ascii="Verdana" w:hAnsi="Verdana"/>
          <w:sz w:val="20"/>
          <w:szCs w:val="20"/>
        </w:rPr>
        <w:t xml:space="preserve">2 de septiembre de 2014,  los representantes informaron que: 1) el proyecto de la represa hidroeléctrica “Los Chorros” fue anunciado en febrero de 2011 y presuntamente inundaría el margen sur del territorio ancestral de la Comunidad Punta Piedra; 2) en julio de 2014 se anunció el comienzo de </w:t>
      </w:r>
      <w:r w:rsidRPr="00F144E4">
        <w:rPr>
          <w:rFonts w:ascii="Verdana" w:hAnsi="Verdana"/>
          <w:sz w:val="20"/>
        </w:rPr>
        <w:t xml:space="preserve">actividades de exploración por parte de la empresa petrolera </w:t>
      </w:r>
      <w:r w:rsidR="00237926">
        <w:rPr>
          <w:rFonts w:ascii="Verdana" w:hAnsi="Verdana"/>
          <w:sz w:val="20"/>
        </w:rPr>
        <w:t>“</w:t>
      </w:r>
      <w:r w:rsidRPr="00F144E4">
        <w:rPr>
          <w:rFonts w:ascii="Verdana" w:hAnsi="Verdana"/>
          <w:sz w:val="20"/>
        </w:rPr>
        <w:t>BG</w:t>
      </w:r>
      <w:r w:rsidR="00237926">
        <w:rPr>
          <w:rFonts w:ascii="Verdana" w:hAnsi="Verdana"/>
          <w:sz w:val="20"/>
        </w:rPr>
        <w:t xml:space="preserve"> </w:t>
      </w:r>
      <w:proofErr w:type="spellStart"/>
      <w:r w:rsidR="00237926">
        <w:rPr>
          <w:rFonts w:ascii="Verdana" w:hAnsi="Verdana"/>
          <w:sz w:val="20"/>
        </w:rPr>
        <w:t>Group</w:t>
      </w:r>
      <w:proofErr w:type="spellEnd"/>
      <w:r w:rsidR="00237926">
        <w:rPr>
          <w:rFonts w:ascii="Verdana" w:hAnsi="Verdana"/>
          <w:sz w:val="20"/>
        </w:rPr>
        <w:t>”</w:t>
      </w:r>
      <w:r w:rsidRPr="00F144E4">
        <w:rPr>
          <w:rFonts w:ascii="Verdana" w:hAnsi="Verdana"/>
          <w:sz w:val="20"/>
        </w:rPr>
        <w:t>, y 3) el 20 de agosto de 2014 se aprobó la Ley de Pesca que presuntamente permite la pesca industrial dentro de las 3 millas de la costa.</w:t>
      </w:r>
      <w:r w:rsidRPr="006F4670">
        <w:rPr>
          <w:rFonts w:ascii="Verdana" w:hAnsi="Verdana"/>
          <w:sz w:val="20"/>
        </w:rPr>
        <w:t xml:space="preserve"> </w:t>
      </w:r>
      <w:r w:rsidRPr="006F4670">
        <w:rPr>
          <w:rFonts w:ascii="Verdana" w:hAnsi="Verdana"/>
          <w:sz w:val="20"/>
          <w:szCs w:val="20"/>
        </w:rPr>
        <w:t xml:space="preserve">Finalmente, en sus alegatos finales escritos, presentados ante la Corte el </w:t>
      </w:r>
      <w:r w:rsidRPr="00F144E4">
        <w:rPr>
          <w:rFonts w:ascii="Verdana" w:hAnsi="Verdana"/>
          <w:sz w:val="20"/>
          <w:szCs w:val="20"/>
        </w:rPr>
        <w:t>2 de octubre de 2014, los representantes aportaron 3 notas periodísticas como prueba</w:t>
      </w:r>
      <w:r w:rsidRPr="00B725E4">
        <w:rPr>
          <w:rFonts w:ascii="Verdana" w:hAnsi="Verdana"/>
          <w:sz w:val="20"/>
          <w:szCs w:val="20"/>
          <w:vertAlign w:val="superscript"/>
        </w:rPr>
        <w:footnoteReference w:id="34"/>
      </w:r>
      <w:r w:rsidRPr="00F144E4">
        <w:rPr>
          <w:rFonts w:ascii="Verdana" w:hAnsi="Verdana"/>
          <w:sz w:val="20"/>
          <w:szCs w:val="20"/>
        </w:rPr>
        <w:t xml:space="preserve">.  </w:t>
      </w:r>
    </w:p>
    <w:p w14:paraId="0C7049A1" w14:textId="77777777" w:rsidR="00E04121" w:rsidRDefault="00E04121" w:rsidP="00E04121">
      <w:pPr>
        <w:pStyle w:val="ListParagraph"/>
        <w:numPr>
          <w:ilvl w:val="0"/>
          <w:numId w:val="17"/>
        </w:numPr>
        <w:ind w:left="0" w:hanging="11"/>
        <w:jc w:val="both"/>
        <w:rPr>
          <w:rFonts w:ascii="Verdana" w:hAnsi="Verdana"/>
          <w:sz w:val="20"/>
          <w:szCs w:val="20"/>
        </w:rPr>
      </w:pPr>
      <w:r w:rsidRPr="00167F1B">
        <w:rPr>
          <w:rFonts w:ascii="Verdana" w:hAnsi="Verdana"/>
          <w:sz w:val="20"/>
          <w:szCs w:val="20"/>
        </w:rPr>
        <w:lastRenderedPageBreak/>
        <w:t xml:space="preserve">Ni el </w:t>
      </w:r>
      <w:r w:rsidRPr="00167F1B">
        <w:rPr>
          <w:rFonts w:ascii="Verdana" w:hAnsi="Verdana"/>
          <w:b/>
          <w:i/>
          <w:sz w:val="20"/>
          <w:szCs w:val="20"/>
        </w:rPr>
        <w:t>Estado</w:t>
      </w:r>
      <w:r w:rsidRPr="00167F1B">
        <w:rPr>
          <w:rFonts w:ascii="Verdana" w:hAnsi="Verdana"/>
          <w:sz w:val="20"/>
          <w:szCs w:val="20"/>
        </w:rPr>
        <w:t xml:space="preserve"> ni la </w:t>
      </w:r>
      <w:r w:rsidRPr="00167F1B">
        <w:rPr>
          <w:rFonts w:ascii="Verdana" w:hAnsi="Verdana"/>
          <w:b/>
          <w:i/>
          <w:sz w:val="20"/>
          <w:szCs w:val="20"/>
        </w:rPr>
        <w:t>Comisión</w:t>
      </w:r>
      <w:r w:rsidRPr="00167F1B">
        <w:rPr>
          <w:rFonts w:ascii="Verdana" w:hAnsi="Verdana"/>
          <w:sz w:val="20"/>
          <w:szCs w:val="20"/>
        </w:rPr>
        <w:t xml:space="preserve"> emitieron observaciones al respecto. </w:t>
      </w:r>
      <w:r>
        <w:rPr>
          <w:rFonts w:ascii="Verdana" w:hAnsi="Verdana"/>
          <w:sz w:val="20"/>
          <w:szCs w:val="20"/>
        </w:rPr>
        <w:t xml:space="preserve"> </w:t>
      </w:r>
    </w:p>
    <w:p w14:paraId="0C7049A2" w14:textId="77777777" w:rsidR="00E04121" w:rsidRPr="00D06233" w:rsidRDefault="00E04121" w:rsidP="00E04121">
      <w:pPr>
        <w:pStyle w:val="ListParagraph"/>
        <w:ind w:left="0"/>
        <w:jc w:val="both"/>
        <w:rPr>
          <w:rFonts w:eastAsiaTheme="minorHAnsi"/>
          <w:lang w:eastAsia="es-CR"/>
        </w:rPr>
      </w:pPr>
    </w:p>
    <w:p w14:paraId="0C7049A3" w14:textId="06D2974E" w:rsidR="00E04121" w:rsidRPr="00A71698" w:rsidRDefault="00E04121" w:rsidP="00E04121">
      <w:pPr>
        <w:pStyle w:val="ListParagraph"/>
        <w:numPr>
          <w:ilvl w:val="0"/>
          <w:numId w:val="17"/>
        </w:numPr>
        <w:ind w:left="0" w:hanging="11"/>
        <w:jc w:val="both"/>
        <w:rPr>
          <w:rFonts w:ascii="Verdana" w:eastAsiaTheme="minorHAnsi" w:hAnsi="Verdana"/>
          <w:sz w:val="20"/>
          <w:szCs w:val="20"/>
          <w:lang w:val="es-CR" w:eastAsia="es-CR"/>
        </w:rPr>
      </w:pPr>
      <w:r w:rsidRPr="00A71698">
        <w:rPr>
          <w:rFonts w:ascii="Verdana" w:hAnsi="Verdana"/>
          <w:sz w:val="20"/>
          <w:szCs w:val="20"/>
        </w:rPr>
        <w:t xml:space="preserve">Este Tribunal </w:t>
      </w:r>
      <w:r w:rsidRPr="00A71698">
        <w:rPr>
          <w:rFonts w:ascii="Verdana" w:hAnsi="Verdana" w:cs="Verdana"/>
          <w:spacing w:val="-2"/>
          <w:sz w:val="20"/>
          <w:szCs w:val="20"/>
        </w:rPr>
        <w:t xml:space="preserve">reitera que el marco fáctico del proceso ante la Corte se encuentra constituido por los hechos contenidos en el Informe de Fondo sometido a su consideración. </w:t>
      </w:r>
      <w:r w:rsidRPr="00A71698">
        <w:rPr>
          <w:rFonts w:ascii="Verdana" w:hAnsi="Verdana"/>
          <w:sz w:val="20"/>
          <w:szCs w:val="20"/>
        </w:rPr>
        <w:t>En consecuencia, no es admisible que las partes aleguen nuevos hechos distintos a los contenidos en dicho informe, sin perjuicio de exponer aquellos que permitan explicar, aclarar o desestimar los que hayan sido mencionados en el mismo y hayan sido sometidos a consideración de la Corte. La excepción a este principio son los hechos calificados como supervinientes o cuando se tenga conocimiento de hechos o acceso a las pruebas sobre los mismos con posterioridad, siempre que se encuentren ligados a los hechos del proceso</w:t>
      </w:r>
      <w:r w:rsidRPr="006F4670">
        <w:rPr>
          <w:rStyle w:val="FootnoteReference"/>
          <w:szCs w:val="20"/>
        </w:rPr>
        <w:footnoteReference w:id="35"/>
      </w:r>
      <w:r w:rsidRPr="00A71698">
        <w:rPr>
          <w:rFonts w:ascii="Verdana" w:hAnsi="Verdana"/>
          <w:sz w:val="20"/>
          <w:szCs w:val="20"/>
        </w:rPr>
        <w:t xml:space="preserve">. </w:t>
      </w:r>
    </w:p>
    <w:p w14:paraId="0C7049A4" w14:textId="77777777" w:rsidR="00E04121" w:rsidRPr="00A71698" w:rsidRDefault="00E04121" w:rsidP="00E04121">
      <w:pPr>
        <w:rPr>
          <w:rFonts w:ascii="Verdana" w:hAnsi="Verdana"/>
          <w:sz w:val="20"/>
          <w:szCs w:val="20"/>
          <w:lang w:val="es-CR"/>
        </w:rPr>
      </w:pPr>
    </w:p>
    <w:p w14:paraId="0C7049A5" w14:textId="68EDA47A" w:rsidR="00E04121" w:rsidRPr="0026114B" w:rsidRDefault="00F373E6" w:rsidP="00E04121">
      <w:pPr>
        <w:pStyle w:val="ListParagraph"/>
        <w:numPr>
          <w:ilvl w:val="0"/>
          <w:numId w:val="17"/>
        </w:numPr>
        <w:ind w:left="0" w:hanging="11"/>
        <w:jc w:val="both"/>
        <w:rPr>
          <w:rFonts w:ascii="Verdana" w:hAnsi="Verdana"/>
          <w:sz w:val="20"/>
          <w:szCs w:val="20"/>
        </w:rPr>
      </w:pPr>
      <w:r>
        <w:rPr>
          <w:rFonts w:ascii="Verdana" w:hAnsi="Verdana"/>
          <w:sz w:val="20"/>
          <w:szCs w:val="20"/>
        </w:rPr>
        <w:t>E</w:t>
      </w:r>
      <w:r w:rsidR="00E04121" w:rsidRPr="0026114B">
        <w:rPr>
          <w:rFonts w:ascii="Verdana" w:hAnsi="Verdana"/>
          <w:sz w:val="20"/>
          <w:szCs w:val="20"/>
        </w:rPr>
        <w:t>n cuanto a la represa hidroeléctrica “Los Chorros”, en primer lugar, la Corte estima que su presentación n</w:t>
      </w:r>
      <w:r w:rsidR="00E04121" w:rsidRPr="00735CE8">
        <w:rPr>
          <w:rFonts w:ascii="Verdana" w:hAnsi="Verdana"/>
          <w:sz w:val="20"/>
          <w:szCs w:val="20"/>
        </w:rPr>
        <w:t>o pretende explicar o aclarar la problemática central del caso, a saber, la falta de saneamiento del territorio titu</w:t>
      </w:r>
      <w:r w:rsidR="00E04121" w:rsidRPr="0026114B">
        <w:rPr>
          <w:rFonts w:ascii="Verdana" w:hAnsi="Verdana"/>
          <w:sz w:val="20"/>
          <w:szCs w:val="20"/>
        </w:rPr>
        <w:t xml:space="preserve">lado a favor de la Comunidad de Punta Piedra. En segundo lugar, si bien de acuerdo con los representantes los hechos </w:t>
      </w:r>
      <w:r w:rsidR="00E04121" w:rsidRPr="00735CE8">
        <w:rPr>
          <w:rFonts w:ascii="Verdana" w:hAnsi="Verdana"/>
          <w:sz w:val="20"/>
          <w:szCs w:val="20"/>
        </w:rPr>
        <w:t xml:space="preserve">ocurrieron en febrero de 2011, </w:t>
      </w:r>
      <w:r w:rsidR="00E04121" w:rsidRPr="0026114B">
        <w:rPr>
          <w:rFonts w:ascii="Verdana" w:hAnsi="Verdana"/>
          <w:sz w:val="20"/>
          <w:szCs w:val="20"/>
        </w:rPr>
        <w:t xml:space="preserve">la Corte constató que la primera referencia que existe al respecto es de un escrito de 5 de junio de 2013 presentado por los representantes ante la Comisión Interamericana, en respuesta al Informe de Fondo emitido el 21 de marzo de 2013. </w:t>
      </w:r>
      <w:r w:rsidR="00E04121" w:rsidRPr="00735CE8">
        <w:rPr>
          <w:rFonts w:ascii="Verdana" w:hAnsi="Verdana"/>
          <w:sz w:val="20"/>
          <w:szCs w:val="20"/>
        </w:rPr>
        <w:t xml:space="preserve">Sobre la base de lo anterior, la Corte considera que </w:t>
      </w:r>
      <w:r w:rsidR="00E04121" w:rsidRPr="0026114B">
        <w:rPr>
          <w:rFonts w:ascii="Verdana" w:hAnsi="Verdana"/>
          <w:sz w:val="20"/>
          <w:szCs w:val="20"/>
        </w:rPr>
        <w:t xml:space="preserve">los presuntos hechos  relacionados con la represa hidroeléctrica “Los Chorros” no son supervinientes a la emisión del Informe de Fondo, ni se encuentran relacionados con los demás hechos del proceso. Por lo tanto, su inclusión dentro del marco fáctico del presente caso es inadmisible. </w:t>
      </w:r>
    </w:p>
    <w:p w14:paraId="0C7049A6" w14:textId="77777777" w:rsidR="00E04121" w:rsidRPr="00167F1B" w:rsidRDefault="00E04121" w:rsidP="00E04121">
      <w:pPr>
        <w:pStyle w:val="ListParagraph"/>
        <w:rPr>
          <w:rFonts w:ascii="Verdana" w:hAnsi="Verdana"/>
          <w:sz w:val="20"/>
          <w:szCs w:val="20"/>
        </w:rPr>
      </w:pPr>
    </w:p>
    <w:p w14:paraId="0C7049A7" w14:textId="7FCBD567" w:rsidR="00E04121" w:rsidRDefault="00E04121" w:rsidP="00E04121">
      <w:pPr>
        <w:pStyle w:val="ListParagraph"/>
        <w:numPr>
          <w:ilvl w:val="0"/>
          <w:numId w:val="17"/>
        </w:numPr>
        <w:ind w:left="0" w:hanging="11"/>
        <w:jc w:val="both"/>
        <w:rPr>
          <w:rFonts w:ascii="Verdana" w:hAnsi="Verdana"/>
          <w:sz w:val="20"/>
          <w:szCs w:val="20"/>
        </w:rPr>
      </w:pPr>
      <w:r w:rsidRPr="00C53E1D">
        <w:rPr>
          <w:rFonts w:ascii="Verdana" w:hAnsi="Verdana"/>
          <w:sz w:val="20"/>
          <w:szCs w:val="20"/>
        </w:rPr>
        <w:t>Por otra parte, en relación con</w:t>
      </w:r>
      <w:r w:rsidRPr="006953A1">
        <w:rPr>
          <w:rFonts w:ascii="Verdana" w:hAnsi="Verdana"/>
          <w:sz w:val="20"/>
          <w:szCs w:val="20"/>
        </w:rPr>
        <w:t xml:space="preserve"> las actividades de exploración petrolera frente a las costas de la </w:t>
      </w:r>
      <w:proofErr w:type="spellStart"/>
      <w:r w:rsidR="00237926" w:rsidRPr="006F4670">
        <w:rPr>
          <w:rFonts w:ascii="Verdana" w:hAnsi="Verdana"/>
          <w:sz w:val="20"/>
          <w:szCs w:val="20"/>
        </w:rPr>
        <w:t>Moskitia</w:t>
      </w:r>
      <w:proofErr w:type="spellEnd"/>
      <w:r w:rsidR="00237926" w:rsidRPr="006953A1" w:rsidDel="00237926">
        <w:rPr>
          <w:rFonts w:ascii="Verdana" w:hAnsi="Verdana"/>
          <w:sz w:val="20"/>
          <w:szCs w:val="20"/>
        </w:rPr>
        <w:t xml:space="preserve"> </w:t>
      </w:r>
      <w:r w:rsidRPr="006953A1">
        <w:rPr>
          <w:rFonts w:ascii="Verdana" w:hAnsi="Verdana"/>
          <w:sz w:val="20"/>
          <w:szCs w:val="20"/>
        </w:rPr>
        <w:t>y la aprobación de la Ley de Pesca en Honduras, la Corte estima que, de acuerdo con lo alegado por los represent</w:t>
      </w:r>
      <w:r w:rsidRPr="00C53E1D">
        <w:rPr>
          <w:rFonts w:ascii="Verdana" w:hAnsi="Verdana"/>
          <w:sz w:val="20"/>
          <w:szCs w:val="20"/>
        </w:rPr>
        <w:t xml:space="preserve">antes, los hechos son supervinientes en tanto ocurrieron con posterioridad a la emisión del Informe de Fondo. Sin embargo, la Corte considera que los alegados hechos no </w:t>
      </w:r>
      <w:r>
        <w:rPr>
          <w:rFonts w:ascii="Verdana" w:hAnsi="Verdana"/>
          <w:sz w:val="20"/>
          <w:szCs w:val="20"/>
        </w:rPr>
        <w:t>guardan relación con</w:t>
      </w:r>
      <w:r w:rsidRPr="006953A1">
        <w:rPr>
          <w:rFonts w:ascii="Verdana" w:hAnsi="Verdana"/>
          <w:sz w:val="20"/>
          <w:szCs w:val="20"/>
        </w:rPr>
        <w:t xml:space="preserve"> la problemática central del caso. Asimismo, el Tribunal carece de elementos probatorios suficientes que le permitan pronunciarse sobre las presuntas afectaciones que dichos hechos puedan tener sobre el territorio de la Comunidad Garífuna de Punta Piedra. </w:t>
      </w:r>
      <w:r w:rsidRPr="00167F1B">
        <w:rPr>
          <w:rFonts w:ascii="Verdana" w:hAnsi="Verdana"/>
          <w:sz w:val="20"/>
          <w:szCs w:val="20"/>
        </w:rPr>
        <w:t xml:space="preserve">Por consiguiente, </w:t>
      </w:r>
      <w:r w:rsidRPr="00DB0579">
        <w:rPr>
          <w:rFonts w:ascii="Verdana" w:hAnsi="Verdana"/>
          <w:sz w:val="20"/>
          <w:szCs w:val="20"/>
        </w:rPr>
        <w:t>su inclusión dentro del marco fáctico d</w:t>
      </w:r>
      <w:r>
        <w:rPr>
          <w:rFonts w:ascii="Verdana" w:hAnsi="Verdana"/>
          <w:sz w:val="20"/>
          <w:szCs w:val="20"/>
        </w:rPr>
        <w:t>el presente caso es inadmisible</w:t>
      </w:r>
      <w:r w:rsidRPr="00167F1B">
        <w:rPr>
          <w:rFonts w:ascii="Verdana" w:hAnsi="Verdana"/>
          <w:sz w:val="20"/>
          <w:szCs w:val="20"/>
        </w:rPr>
        <w:t>.</w:t>
      </w:r>
    </w:p>
    <w:p w14:paraId="0C7049A8" w14:textId="77777777" w:rsidR="00E04121" w:rsidRDefault="00E04121" w:rsidP="00E04121">
      <w:pPr>
        <w:rPr>
          <w:rFonts w:ascii="Verdana" w:hAnsi="Verdana"/>
          <w:sz w:val="20"/>
          <w:szCs w:val="20"/>
        </w:rPr>
      </w:pPr>
    </w:p>
    <w:p w14:paraId="0C7049A9" w14:textId="77777777" w:rsidR="00E04121" w:rsidRPr="001455F9" w:rsidRDefault="00E04121" w:rsidP="00E04121">
      <w:pPr>
        <w:pStyle w:val="Heading1"/>
        <w:tabs>
          <w:tab w:val="left" w:pos="851"/>
        </w:tabs>
        <w:spacing w:before="0"/>
        <w:jc w:val="center"/>
        <w:rPr>
          <w:rFonts w:ascii="Verdana" w:hAnsi="Verdana" w:cs="Verdana"/>
          <w:caps/>
          <w:snapToGrid w:val="0"/>
          <w:color w:val="auto"/>
          <w:sz w:val="20"/>
          <w:szCs w:val="20"/>
        </w:rPr>
      </w:pPr>
      <w:bookmarkStart w:id="20" w:name="_Toc437247315"/>
      <w:r w:rsidRPr="001455F9">
        <w:rPr>
          <w:rFonts w:ascii="Verdana" w:hAnsi="Verdana" w:cs="Verdana"/>
          <w:caps/>
          <w:snapToGrid w:val="0"/>
          <w:color w:val="auto"/>
          <w:sz w:val="20"/>
          <w:szCs w:val="20"/>
        </w:rPr>
        <w:t>V</w:t>
      </w:r>
      <w:r>
        <w:rPr>
          <w:rFonts w:ascii="Verdana" w:hAnsi="Verdana" w:cs="Verdana"/>
          <w:caps/>
          <w:snapToGrid w:val="0"/>
          <w:color w:val="auto"/>
          <w:sz w:val="20"/>
          <w:szCs w:val="20"/>
        </w:rPr>
        <w:t>ii</w:t>
      </w:r>
      <w:r w:rsidRPr="001455F9">
        <w:rPr>
          <w:rFonts w:ascii="Verdana" w:hAnsi="Verdana" w:cs="Verdana"/>
          <w:caps/>
          <w:snapToGrid w:val="0"/>
          <w:color w:val="auto"/>
          <w:sz w:val="20"/>
          <w:szCs w:val="20"/>
        </w:rPr>
        <w:br/>
        <w:t>PRUEBA</w:t>
      </w:r>
      <w:bookmarkEnd w:id="20"/>
    </w:p>
    <w:p w14:paraId="0C7049AA" w14:textId="77777777" w:rsidR="00E04121" w:rsidRPr="001455F9" w:rsidRDefault="00E04121" w:rsidP="00E04121">
      <w:pPr>
        <w:jc w:val="both"/>
        <w:rPr>
          <w:rFonts w:ascii="Verdana" w:hAnsi="Verdana"/>
          <w:sz w:val="20"/>
          <w:szCs w:val="20"/>
        </w:rPr>
      </w:pPr>
    </w:p>
    <w:p w14:paraId="0C7049AB" w14:textId="77777777" w:rsidR="00E04121" w:rsidRPr="001455F9" w:rsidRDefault="00E04121" w:rsidP="00E04121">
      <w:pPr>
        <w:pStyle w:val="Heading2"/>
        <w:numPr>
          <w:ilvl w:val="0"/>
          <w:numId w:val="8"/>
        </w:numPr>
        <w:spacing w:before="0"/>
        <w:rPr>
          <w:rFonts w:ascii="Verdana" w:hAnsi="Verdana"/>
          <w:i/>
          <w:sz w:val="20"/>
          <w:szCs w:val="20"/>
        </w:rPr>
      </w:pPr>
      <w:bookmarkStart w:id="21" w:name="_Toc437247316"/>
      <w:r w:rsidRPr="001455F9">
        <w:rPr>
          <w:rFonts w:ascii="Verdana" w:hAnsi="Verdana"/>
          <w:i/>
          <w:color w:val="auto"/>
          <w:sz w:val="20"/>
          <w:szCs w:val="20"/>
        </w:rPr>
        <w:t>Prueba documental, testimonial y pericial</w:t>
      </w:r>
      <w:bookmarkEnd w:id="21"/>
    </w:p>
    <w:p w14:paraId="0C7049AC" w14:textId="77777777" w:rsidR="00E04121" w:rsidRPr="001455F9" w:rsidRDefault="00E04121" w:rsidP="00E04121">
      <w:pPr>
        <w:pStyle w:val="ListParagraph"/>
        <w:ind w:left="0"/>
        <w:jc w:val="both"/>
        <w:rPr>
          <w:rFonts w:ascii="Verdana" w:hAnsi="Verdana"/>
          <w:sz w:val="20"/>
          <w:szCs w:val="20"/>
        </w:rPr>
      </w:pPr>
    </w:p>
    <w:p w14:paraId="0C7049AD" w14:textId="1F0A7FE2" w:rsidR="00E04121" w:rsidRPr="001455F9"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La Corte recibió diversos documentos presentados como prueba por la Comisión, los representantes y el Estado, adjuntos a sus escritos principales (</w:t>
      </w:r>
      <w:r w:rsidRPr="001455F9">
        <w:rPr>
          <w:rFonts w:ascii="Verdana" w:hAnsi="Verdana"/>
          <w:i/>
          <w:sz w:val="20"/>
          <w:szCs w:val="20"/>
        </w:rPr>
        <w:t>supra</w:t>
      </w:r>
      <w:r w:rsidRPr="001455F9">
        <w:rPr>
          <w:rFonts w:ascii="Verdana" w:hAnsi="Verdana"/>
          <w:sz w:val="20"/>
          <w:szCs w:val="20"/>
        </w:rPr>
        <w:t xml:space="preserve"> párrs. </w:t>
      </w:r>
      <w:proofErr w:type="gramStart"/>
      <w:r w:rsidRPr="001455F9">
        <w:rPr>
          <w:rFonts w:ascii="Verdana" w:hAnsi="Verdana"/>
          <w:sz w:val="20"/>
          <w:szCs w:val="20"/>
        </w:rPr>
        <w:t>2.g</w:t>
      </w:r>
      <w:proofErr w:type="gramEnd"/>
      <w:r w:rsidRPr="001455F9">
        <w:rPr>
          <w:rFonts w:ascii="Verdana" w:hAnsi="Verdana"/>
          <w:sz w:val="20"/>
          <w:szCs w:val="20"/>
        </w:rPr>
        <w:t>, 5 y 6</w:t>
      </w:r>
      <w:r w:rsidRPr="00E73F49">
        <w:rPr>
          <w:rFonts w:ascii="Verdana" w:hAnsi="Verdana"/>
          <w:sz w:val="20"/>
          <w:szCs w:val="20"/>
        </w:rPr>
        <w:t xml:space="preserve">). </w:t>
      </w:r>
      <w:r w:rsidRPr="00012F57">
        <w:rPr>
          <w:rFonts w:ascii="Verdana" w:hAnsi="Verdana"/>
          <w:sz w:val="20"/>
          <w:szCs w:val="20"/>
        </w:rPr>
        <w:t>De igual forma, la Corte recibió de las partes documentos solicitados por este Tribunal como prueba para mejor resolver, de conformidad con el artículo 58 del Reglamento</w:t>
      </w:r>
      <w:r w:rsidR="003C5BB7">
        <w:rPr>
          <w:rFonts w:ascii="Verdana" w:hAnsi="Verdana"/>
          <w:sz w:val="20"/>
          <w:szCs w:val="20"/>
        </w:rPr>
        <w:t xml:space="preserve"> </w:t>
      </w:r>
      <w:r w:rsidR="003C5BB7" w:rsidRPr="001455F9">
        <w:rPr>
          <w:rFonts w:ascii="Verdana" w:hAnsi="Verdana"/>
          <w:sz w:val="20"/>
          <w:szCs w:val="20"/>
        </w:rPr>
        <w:t>(</w:t>
      </w:r>
      <w:r w:rsidR="003C5BB7" w:rsidRPr="001455F9">
        <w:rPr>
          <w:rFonts w:ascii="Verdana" w:hAnsi="Verdana"/>
          <w:i/>
          <w:sz w:val="20"/>
          <w:szCs w:val="20"/>
        </w:rPr>
        <w:t>supra</w:t>
      </w:r>
      <w:r w:rsidR="003C5BB7">
        <w:rPr>
          <w:rFonts w:ascii="Verdana" w:hAnsi="Verdana"/>
          <w:sz w:val="20"/>
          <w:szCs w:val="20"/>
        </w:rPr>
        <w:t xml:space="preserve"> párrs. 13 y 15</w:t>
      </w:r>
      <w:r w:rsidR="00605100">
        <w:rPr>
          <w:rFonts w:ascii="Verdana" w:hAnsi="Verdana"/>
          <w:sz w:val="20"/>
          <w:szCs w:val="20"/>
        </w:rPr>
        <w:t xml:space="preserve">) </w:t>
      </w:r>
      <w:r w:rsidR="00605100" w:rsidRPr="00745808">
        <w:rPr>
          <w:rFonts w:ascii="Verdana" w:hAnsi="Verdana"/>
          <w:sz w:val="20"/>
          <w:szCs w:val="20"/>
        </w:rPr>
        <w:t xml:space="preserve">y recibió </w:t>
      </w:r>
      <w:r w:rsidR="0086236B" w:rsidRPr="00A0324F">
        <w:rPr>
          <w:rFonts w:ascii="Verdana" w:hAnsi="Verdana"/>
          <w:sz w:val="20"/>
          <w:szCs w:val="20"/>
        </w:rPr>
        <w:t xml:space="preserve">algunos </w:t>
      </w:r>
      <w:r w:rsidR="00605100" w:rsidRPr="00745808">
        <w:rPr>
          <w:rFonts w:ascii="Verdana" w:hAnsi="Verdana"/>
          <w:sz w:val="20"/>
          <w:szCs w:val="20"/>
        </w:rPr>
        <w:t xml:space="preserve">documentos con posterioridad a la realización de la diligencia </w:t>
      </w:r>
      <w:r w:rsidR="00605100" w:rsidRPr="00745808">
        <w:rPr>
          <w:rFonts w:ascii="Verdana" w:hAnsi="Verdana"/>
          <w:i/>
          <w:sz w:val="20"/>
          <w:szCs w:val="20"/>
        </w:rPr>
        <w:t>in situ</w:t>
      </w:r>
      <w:r w:rsidR="00605100" w:rsidRPr="00745808">
        <w:rPr>
          <w:rFonts w:ascii="Verdana" w:hAnsi="Verdana"/>
          <w:sz w:val="20"/>
          <w:szCs w:val="20"/>
        </w:rPr>
        <w:t xml:space="preserve"> (</w:t>
      </w:r>
      <w:r w:rsidR="00605100" w:rsidRPr="00745808">
        <w:rPr>
          <w:rFonts w:ascii="Verdana" w:hAnsi="Verdana"/>
          <w:i/>
          <w:sz w:val="20"/>
          <w:szCs w:val="20"/>
        </w:rPr>
        <w:t>infra</w:t>
      </w:r>
      <w:r w:rsidR="00605100" w:rsidRPr="00745808">
        <w:rPr>
          <w:rFonts w:ascii="Verdana" w:hAnsi="Verdana"/>
          <w:sz w:val="20"/>
          <w:szCs w:val="20"/>
        </w:rPr>
        <w:t xml:space="preserve"> párr. 73).</w:t>
      </w:r>
      <w:r>
        <w:t xml:space="preserve"> </w:t>
      </w:r>
      <w:r w:rsidRPr="001455F9">
        <w:rPr>
          <w:rFonts w:ascii="Verdana" w:hAnsi="Verdana"/>
          <w:sz w:val="20"/>
          <w:szCs w:val="20"/>
        </w:rPr>
        <w:t xml:space="preserve">Además, la Corte recibió las </w:t>
      </w:r>
      <w:r w:rsidRPr="001455F9">
        <w:rPr>
          <w:rFonts w:ascii="Verdana" w:hAnsi="Verdana"/>
          <w:sz w:val="20"/>
          <w:szCs w:val="20"/>
        </w:rPr>
        <w:lastRenderedPageBreak/>
        <w:t>declaraciones de</w:t>
      </w:r>
      <w:r w:rsidR="00344C76">
        <w:rPr>
          <w:rFonts w:ascii="Verdana" w:hAnsi="Verdana"/>
          <w:sz w:val="20"/>
          <w:szCs w:val="20"/>
        </w:rPr>
        <w:t>:</w:t>
      </w:r>
      <w:r w:rsidRPr="001455F9">
        <w:rPr>
          <w:rFonts w:ascii="Verdana" w:hAnsi="Verdana"/>
          <w:sz w:val="20"/>
          <w:szCs w:val="20"/>
        </w:rPr>
        <w:t xml:space="preserve"> </w:t>
      </w:r>
      <w:r w:rsidR="00344C76">
        <w:rPr>
          <w:rFonts w:ascii="Verdana" w:hAnsi="Verdana"/>
          <w:sz w:val="20"/>
          <w:szCs w:val="20"/>
        </w:rPr>
        <w:t xml:space="preserve">1) </w:t>
      </w:r>
      <w:r w:rsidRPr="001455F9">
        <w:rPr>
          <w:rFonts w:ascii="Verdana" w:hAnsi="Verdana"/>
          <w:sz w:val="20"/>
          <w:szCs w:val="20"/>
        </w:rPr>
        <w:t xml:space="preserve">los testigos Jesús Ramón Flores y Everardo Diaz Bonilla, propuestos por el Estado; 2) el peritaje del experto Christopher Loperena, propuesto por los representantes; 3) las declaraciones de las presuntas víctimas Antonio Bernárdez Suazo; Armando Castillo Núñez; Dionisia Ávila Castillo; </w:t>
      </w:r>
      <w:proofErr w:type="spellStart"/>
      <w:r w:rsidRPr="001455F9">
        <w:rPr>
          <w:rFonts w:ascii="Verdana" w:hAnsi="Verdana"/>
          <w:sz w:val="20"/>
          <w:szCs w:val="20"/>
        </w:rPr>
        <w:t>Edelberta</w:t>
      </w:r>
      <w:proofErr w:type="spellEnd"/>
      <w:r w:rsidRPr="001455F9">
        <w:rPr>
          <w:rFonts w:ascii="Verdana" w:hAnsi="Verdana"/>
          <w:sz w:val="20"/>
          <w:szCs w:val="20"/>
        </w:rPr>
        <w:t xml:space="preserve"> Ávila Castillo; Edito Suazo Ávila; Guillermo Martínez </w:t>
      </w:r>
      <w:proofErr w:type="spellStart"/>
      <w:r w:rsidRPr="001455F9">
        <w:rPr>
          <w:rFonts w:ascii="Verdana" w:hAnsi="Verdana"/>
          <w:sz w:val="20"/>
          <w:szCs w:val="20"/>
        </w:rPr>
        <w:t>Batiz</w:t>
      </w:r>
      <w:proofErr w:type="spellEnd"/>
      <w:r w:rsidRPr="001455F9">
        <w:rPr>
          <w:rFonts w:ascii="Verdana" w:hAnsi="Verdana"/>
          <w:sz w:val="20"/>
          <w:szCs w:val="20"/>
        </w:rPr>
        <w:t xml:space="preserve">; Joaquín Thomas Rodríguez; Paulino Mejía Castillo; Santos Ávila Castillo, y Santos Celi Suazo Castillo, propuestas por los representantes, y 4) el peritaje del experto James Anaya, propuesto por la Comisión. En cuanto a la prueba rendida en audiencia pública, la Corte escuchó las declaraciones de presuntas víctimas Lidia Palacios y Doroteo Thomas Rodríguez, propuestas por los representantes. </w:t>
      </w:r>
      <w:r w:rsidRPr="005906E7">
        <w:rPr>
          <w:rFonts w:ascii="Verdana" w:hAnsi="Verdana"/>
          <w:sz w:val="20"/>
          <w:szCs w:val="20"/>
        </w:rPr>
        <w:t xml:space="preserve">Asimismo, la Corte </w:t>
      </w:r>
      <w:r w:rsidRPr="005906E7">
        <w:rPr>
          <w:rFonts w:ascii="Verdana" w:hAnsi="Verdana"/>
          <w:sz w:val="20"/>
          <w:szCs w:val="20"/>
          <w:lang w:val="es-CR"/>
        </w:rPr>
        <w:t xml:space="preserve">trasladó el peritaje del señor José Aylwin previamente rendido en el </w:t>
      </w:r>
      <w:r w:rsidRPr="005906E7">
        <w:rPr>
          <w:rFonts w:ascii="Verdana" w:hAnsi="Verdana"/>
          <w:i/>
          <w:sz w:val="20"/>
          <w:szCs w:val="20"/>
          <w:lang w:val="es-CR"/>
        </w:rPr>
        <w:t>Caso Comunidad Garífuna Triunfo de la Cruz y sus miembros Vs. Honduras</w:t>
      </w:r>
      <w:r w:rsidR="00745808">
        <w:rPr>
          <w:rStyle w:val="FootnoteReference"/>
          <w:i/>
          <w:szCs w:val="20"/>
          <w:lang w:val="es-CR"/>
        </w:rPr>
        <w:footnoteReference w:id="36"/>
      </w:r>
      <w:r w:rsidRPr="005906E7">
        <w:rPr>
          <w:rFonts w:ascii="Verdana" w:hAnsi="Verdana"/>
          <w:i/>
          <w:sz w:val="20"/>
          <w:szCs w:val="20"/>
          <w:lang w:val="es-CR"/>
        </w:rPr>
        <w:t>.</w:t>
      </w:r>
    </w:p>
    <w:p w14:paraId="0C7049AE" w14:textId="77777777" w:rsidR="00E04121" w:rsidRPr="001455F9" w:rsidRDefault="00E04121" w:rsidP="00E04121">
      <w:pPr>
        <w:jc w:val="both"/>
        <w:rPr>
          <w:rFonts w:ascii="Verdana" w:hAnsi="Verdana"/>
          <w:sz w:val="20"/>
          <w:szCs w:val="20"/>
        </w:rPr>
      </w:pPr>
    </w:p>
    <w:p w14:paraId="0C7049AF" w14:textId="77777777" w:rsidR="00E04121" w:rsidRPr="001455F9" w:rsidRDefault="00E04121" w:rsidP="00E04121">
      <w:pPr>
        <w:pStyle w:val="Heading2"/>
        <w:numPr>
          <w:ilvl w:val="0"/>
          <w:numId w:val="8"/>
        </w:numPr>
        <w:spacing w:before="0"/>
        <w:rPr>
          <w:rFonts w:ascii="Verdana" w:hAnsi="Verdana"/>
          <w:i/>
          <w:color w:val="auto"/>
          <w:sz w:val="20"/>
          <w:szCs w:val="20"/>
        </w:rPr>
      </w:pPr>
      <w:bookmarkStart w:id="22" w:name="_Toc357162194"/>
      <w:bookmarkStart w:id="23" w:name="_Toc364433342"/>
      <w:bookmarkStart w:id="24" w:name="_Toc366593548"/>
      <w:bookmarkStart w:id="25" w:name="_Toc437247317"/>
      <w:r w:rsidRPr="001455F9">
        <w:rPr>
          <w:rFonts w:ascii="Verdana" w:hAnsi="Verdana"/>
          <w:i/>
          <w:color w:val="auto"/>
          <w:sz w:val="20"/>
          <w:szCs w:val="20"/>
        </w:rPr>
        <w:t>Admisión de la prueba</w:t>
      </w:r>
      <w:bookmarkEnd w:id="22"/>
      <w:bookmarkEnd w:id="23"/>
      <w:bookmarkEnd w:id="24"/>
      <w:bookmarkEnd w:id="25"/>
    </w:p>
    <w:p w14:paraId="0C7049B0" w14:textId="77777777" w:rsidR="00E04121" w:rsidRPr="001455F9" w:rsidRDefault="00E04121" w:rsidP="00E04121">
      <w:pPr>
        <w:pStyle w:val="ListParagraph"/>
        <w:ind w:left="0"/>
        <w:jc w:val="both"/>
        <w:rPr>
          <w:rFonts w:ascii="Verdana" w:hAnsi="Verdana"/>
          <w:sz w:val="20"/>
          <w:szCs w:val="20"/>
        </w:rPr>
      </w:pPr>
    </w:p>
    <w:p w14:paraId="0C7049B1" w14:textId="77777777" w:rsidR="00E04121" w:rsidRPr="001455F9" w:rsidRDefault="00E04121" w:rsidP="00E04121">
      <w:pPr>
        <w:pStyle w:val="Heading3"/>
        <w:spacing w:before="0"/>
        <w:ind w:firstLine="360"/>
        <w:jc w:val="both"/>
        <w:rPr>
          <w:rFonts w:ascii="Verdana" w:hAnsi="Verdana"/>
          <w:i/>
          <w:color w:val="auto"/>
          <w:sz w:val="20"/>
          <w:szCs w:val="20"/>
        </w:rPr>
      </w:pPr>
      <w:bookmarkStart w:id="26" w:name="_Toc437247318"/>
      <w:r w:rsidRPr="001455F9">
        <w:rPr>
          <w:rFonts w:ascii="Verdana" w:hAnsi="Verdana"/>
          <w:i/>
          <w:color w:val="auto"/>
          <w:sz w:val="20"/>
          <w:szCs w:val="20"/>
        </w:rPr>
        <w:t>B.1 Admisión de la prueba documental</w:t>
      </w:r>
      <w:bookmarkEnd w:id="26"/>
    </w:p>
    <w:p w14:paraId="0C7049B2" w14:textId="77777777" w:rsidR="00E04121" w:rsidRPr="001455F9" w:rsidRDefault="00E04121" w:rsidP="00E04121">
      <w:pPr>
        <w:pStyle w:val="ListParagraph"/>
        <w:ind w:left="0"/>
        <w:jc w:val="both"/>
        <w:rPr>
          <w:rFonts w:ascii="Verdana" w:hAnsi="Verdana"/>
          <w:sz w:val="20"/>
          <w:szCs w:val="20"/>
        </w:rPr>
      </w:pPr>
    </w:p>
    <w:p w14:paraId="0C7049B3" w14:textId="45C7F599" w:rsidR="00E04121" w:rsidRPr="00745808" w:rsidRDefault="00E04121" w:rsidP="00605100">
      <w:pPr>
        <w:pStyle w:val="ListParagraph"/>
        <w:numPr>
          <w:ilvl w:val="0"/>
          <w:numId w:val="17"/>
        </w:numPr>
        <w:ind w:left="0" w:hanging="11"/>
        <w:jc w:val="both"/>
        <w:rPr>
          <w:rFonts w:ascii="Verdana" w:hAnsi="Verdana"/>
          <w:sz w:val="20"/>
          <w:szCs w:val="20"/>
        </w:rPr>
      </w:pPr>
      <w:r w:rsidRPr="001455F9">
        <w:rPr>
          <w:rFonts w:ascii="Verdana" w:hAnsi="Verdana"/>
          <w:sz w:val="20"/>
          <w:szCs w:val="20"/>
        </w:rPr>
        <w:t>En el presente caso, como en otros, la Corte admite aquellos documentos presentados por las partes y la Comisión en la debida oportunidad procesal que no fueron controvertidos ni objetados, ni cuya autenticidad fue puesta en duda</w:t>
      </w:r>
      <w:r w:rsidRPr="001455F9">
        <w:rPr>
          <w:rFonts w:ascii="Verdana" w:hAnsi="Verdana"/>
          <w:sz w:val="20"/>
          <w:szCs w:val="20"/>
          <w:vertAlign w:val="superscript"/>
        </w:rPr>
        <w:footnoteReference w:id="37"/>
      </w:r>
      <w:r w:rsidRPr="001455F9">
        <w:rPr>
          <w:rFonts w:ascii="Verdana" w:hAnsi="Verdana"/>
          <w:sz w:val="20"/>
          <w:szCs w:val="20"/>
        </w:rPr>
        <w:t>. Los documentos solicitados por la Corte, que fueron aportados por las partes con posterioridad a la audiencia pública</w:t>
      </w:r>
      <w:r w:rsidR="00605100" w:rsidRPr="00605100">
        <w:rPr>
          <w:rFonts w:ascii="Verdana" w:hAnsi="Verdana"/>
          <w:sz w:val="20"/>
          <w:szCs w:val="20"/>
        </w:rPr>
        <w:t xml:space="preserve"> </w:t>
      </w:r>
      <w:r w:rsidR="00605100" w:rsidRPr="00745808">
        <w:rPr>
          <w:rFonts w:ascii="Verdana" w:hAnsi="Verdana"/>
          <w:sz w:val="20"/>
          <w:szCs w:val="20"/>
        </w:rPr>
        <w:t xml:space="preserve">y a la diligencia </w:t>
      </w:r>
      <w:r w:rsidR="0086236B" w:rsidRPr="00A0324F">
        <w:rPr>
          <w:rFonts w:ascii="Verdana" w:hAnsi="Verdana"/>
          <w:i/>
          <w:sz w:val="20"/>
          <w:szCs w:val="20"/>
        </w:rPr>
        <w:t>in situ</w:t>
      </w:r>
      <w:r w:rsidR="00605100" w:rsidRPr="00745808">
        <w:rPr>
          <w:rFonts w:ascii="Verdana" w:hAnsi="Verdana"/>
          <w:sz w:val="20"/>
          <w:szCs w:val="20"/>
        </w:rPr>
        <w:t>,</w:t>
      </w:r>
      <w:r w:rsidRPr="00745808">
        <w:rPr>
          <w:rFonts w:ascii="Verdana" w:hAnsi="Verdana"/>
          <w:sz w:val="20"/>
          <w:szCs w:val="20"/>
        </w:rPr>
        <w:t xml:space="preserve"> son incorporados al acervo probatorio en aplicación del artículo 58 del Reglamento</w:t>
      </w:r>
      <w:r w:rsidR="00605100" w:rsidRPr="00745808">
        <w:rPr>
          <w:rFonts w:ascii="Verdana" w:hAnsi="Verdana"/>
          <w:sz w:val="20"/>
          <w:szCs w:val="20"/>
        </w:rPr>
        <w:t xml:space="preserve"> (</w:t>
      </w:r>
      <w:r w:rsidR="00605100" w:rsidRPr="00745808">
        <w:rPr>
          <w:rFonts w:ascii="Verdana" w:hAnsi="Verdana"/>
          <w:i/>
          <w:sz w:val="20"/>
          <w:szCs w:val="20"/>
        </w:rPr>
        <w:t>supra</w:t>
      </w:r>
      <w:r w:rsidR="00605100" w:rsidRPr="00745808">
        <w:rPr>
          <w:rFonts w:ascii="Verdana" w:hAnsi="Verdana"/>
          <w:sz w:val="20"/>
          <w:szCs w:val="20"/>
        </w:rPr>
        <w:t xml:space="preserve"> párr</w:t>
      </w:r>
      <w:r w:rsidR="0086236B" w:rsidRPr="00A0324F">
        <w:rPr>
          <w:rFonts w:ascii="Verdana" w:hAnsi="Verdana"/>
          <w:sz w:val="20"/>
          <w:szCs w:val="20"/>
        </w:rPr>
        <w:t>s</w:t>
      </w:r>
      <w:r w:rsidR="00605100" w:rsidRPr="00745808">
        <w:rPr>
          <w:rFonts w:ascii="Verdana" w:hAnsi="Verdana"/>
          <w:sz w:val="20"/>
          <w:szCs w:val="20"/>
        </w:rPr>
        <w:t>. 15</w:t>
      </w:r>
      <w:r w:rsidR="0086236B" w:rsidRPr="00A0324F">
        <w:rPr>
          <w:rFonts w:ascii="Verdana" w:hAnsi="Verdana"/>
          <w:sz w:val="20"/>
          <w:szCs w:val="20"/>
        </w:rPr>
        <w:t xml:space="preserve"> y 19</w:t>
      </w:r>
      <w:r w:rsidR="00605100" w:rsidRPr="00745808">
        <w:rPr>
          <w:rFonts w:ascii="Verdana" w:hAnsi="Verdana"/>
          <w:sz w:val="20"/>
          <w:szCs w:val="20"/>
        </w:rPr>
        <w:t>).</w:t>
      </w:r>
    </w:p>
    <w:p w14:paraId="0C7049B4" w14:textId="77777777" w:rsidR="00E04121" w:rsidRPr="00A95BA9" w:rsidRDefault="00E04121" w:rsidP="00E04121">
      <w:pPr>
        <w:pStyle w:val="ListParagraph"/>
        <w:ind w:left="0"/>
        <w:jc w:val="both"/>
        <w:rPr>
          <w:rFonts w:ascii="Verdana" w:hAnsi="Verdana"/>
          <w:sz w:val="20"/>
          <w:szCs w:val="20"/>
        </w:rPr>
      </w:pPr>
    </w:p>
    <w:p w14:paraId="0C7049B5" w14:textId="77777777" w:rsidR="00E04121" w:rsidRPr="00A95BA9" w:rsidRDefault="00E04121" w:rsidP="00E04121">
      <w:pPr>
        <w:pStyle w:val="ListParagraph"/>
        <w:numPr>
          <w:ilvl w:val="0"/>
          <w:numId w:val="17"/>
        </w:numPr>
        <w:ind w:left="0" w:hanging="11"/>
        <w:jc w:val="both"/>
        <w:rPr>
          <w:rFonts w:ascii="Verdana" w:hAnsi="Verdana"/>
          <w:sz w:val="20"/>
          <w:szCs w:val="20"/>
        </w:rPr>
      </w:pPr>
      <w:r w:rsidRPr="00A95BA9">
        <w:rPr>
          <w:rFonts w:ascii="Verdana" w:hAnsi="Verdana"/>
          <w:sz w:val="20"/>
          <w:szCs w:val="20"/>
        </w:rPr>
        <w:t>En cuanto a las notas de prensa, la Corte ha considerado que podrán ser apreciadas cuando recojan hechos públicos y notorios o declaraciones de funcionarios del Estado, o cuando corroboren aspectos relacionados con el caso. En consecuencia, la Corte decide admitir los documentos que se encuentren completos o que, por lo menos, permitan constatar su fuente y fecha de publicación</w:t>
      </w:r>
      <w:r w:rsidRPr="00A95BA9">
        <w:rPr>
          <w:rFonts w:ascii="Verdana" w:hAnsi="Verdana"/>
          <w:sz w:val="20"/>
          <w:szCs w:val="20"/>
          <w:vertAlign w:val="superscript"/>
        </w:rPr>
        <w:footnoteReference w:id="38"/>
      </w:r>
      <w:r w:rsidRPr="00A95BA9">
        <w:rPr>
          <w:rFonts w:ascii="Verdana" w:hAnsi="Verdana"/>
          <w:sz w:val="20"/>
          <w:szCs w:val="20"/>
        </w:rPr>
        <w:t xml:space="preserve">. </w:t>
      </w:r>
    </w:p>
    <w:p w14:paraId="0C7049B6" w14:textId="77777777" w:rsidR="00E04121" w:rsidRPr="001455F9" w:rsidRDefault="00E04121" w:rsidP="00E04121">
      <w:pPr>
        <w:pStyle w:val="ListParagraph"/>
        <w:ind w:left="0"/>
        <w:jc w:val="both"/>
        <w:rPr>
          <w:rFonts w:ascii="Verdana" w:hAnsi="Verdana"/>
          <w:sz w:val="20"/>
          <w:szCs w:val="20"/>
        </w:rPr>
      </w:pPr>
    </w:p>
    <w:p w14:paraId="0C7049B7" w14:textId="1EAE794C" w:rsidR="00E04121" w:rsidRPr="00745808" w:rsidRDefault="00E04121" w:rsidP="00E04121">
      <w:pPr>
        <w:pStyle w:val="ListParagraph"/>
        <w:numPr>
          <w:ilvl w:val="0"/>
          <w:numId w:val="17"/>
        </w:numPr>
        <w:ind w:left="0" w:hanging="11"/>
        <w:jc w:val="both"/>
        <w:rPr>
          <w:rFonts w:ascii="Verdana" w:hAnsi="Verdana"/>
          <w:sz w:val="20"/>
          <w:szCs w:val="20"/>
        </w:rPr>
      </w:pPr>
      <w:r w:rsidRPr="001455F9">
        <w:rPr>
          <w:rFonts w:ascii="Verdana" w:hAnsi="Verdana"/>
          <w:sz w:val="20"/>
          <w:szCs w:val="20"/>
        </w:rPr>
        <w:t>Asimismo, en aplicación de lo establecido en el artículo 58 del Reglamento de la Corte, se incorporó al expediente del caso</w:t>
      </w:r>
      <w:r>
        <w:rPr>
          <w:rFonts w:ascii="Verdana" w:hAnsi="Verdana"/>
          <w:sz w:val="20"/>
          <w:szCs w:val="20"/>
        </w:rPr>
        <w:t>, entre otros,</w:t>
      </w:r>
      <w:r w:rsidRPr="001455F9">
        <w:rPr>
          <w:rFonts w:ascii="Verdana" w:hAnsi="Verdana"/>
          <w:sz w:val="20"/>
          <w:szCs w:val="20"/>
        </w:rPr>
        <w:t xml:space="preserve"> l</w:t>
      </w:r>
      <w:r w:rsidR="004C6422">
        <w:rPr>
          <w:rFonts w:ascii="Verdana" w:hAnsi="Verdana"/>
          <w:sz w:val="20"/>
          <w:szCs w:val="20"/>
        </w:rPr>
        <w:t>o</w:t>
      </w:r>
      <w:r w:rsidRPr="001455F9">
        <w:rPr>
          <w:rFonts w:ascii="Verdana" w:hAnsi="Verdana"/>
          <w:sz w:val="20"/>
          <w:szCs w:val="20"/>
        </w:rPr>
        <w:t xml:space="preserve"> siguiente: 1) </w:t>
      </w:r>
      <w:r>
        <w:rPr>
          <w:rFonts w:ascii="Verdana" w:hAnsi="Verdana"/>
          <w:sz w:val="20"/>
          <w:szCs w:val="20"/>
        </w:rPr>
        <w:t>el Informe de AAAS</w:t>
      </w:r>
      <w:r w:rsidRPr="001455F9">
        <w:rPr>
          <w:rFonts w:ascii="Verdana" w:hAnsi="Verdana"/>
          <w:sz w:val="20"/>
          <w:szCs w:val="20"/>
        </w:rPr>
        <w:t xml:space="preserve"> sobre los cambios ocurridos en el territorio de la Comunidad Garífuna de Punta Piedra desde 1993 hasta la actualidad; 2) el Reglamento de la Ley de Propiedad de Honduras</w:t>
      </w:r>
      <w:r>
        <w:rPr>
          <w:rFonts w:ascii="Verdana" w:hAnsi="Verdana"/>
          <w:sz w:val="20"/>
          <w:szCs w:val="20"/>
        </w:rPr>
        <w:t xml:space="preserve">; </w:t>
      </w:r>
      <w:r w:rsidRPr="001455F9">
        <w:rPr>
          <w:rFonts w:ascii="Verdana" w:hAnsi="Verdana"/>
          <w:sz w:val="20"/>
          <w:szCs w:val="20"/>
        </w:rPr>
        <w:t>3) el Acuerdo Ejecutivo 035-2001 de 28 de agosto de 2001</w:t>
      </w:r>
      <w:r w:rsidR="00BC352B">
        <w:rPr>
          <w:rFonts w:ascii="Verdana" w:hAnsi="Verdana"/>
          <w:sz w:val="20"/>
          <w:szCs w:val="20"/>
        </w:rPr>
        <w:t xml:space="preserve">; </w:t>
      </w:r>
      <w:r w:rsidRPr="005906E7">
        <w:rPr>
          <w:rFonts w:ascii="Verdana" w:hAnsi="Verdana"/>
          <w:sz w:val="20"/>
          <w:szCs w:val="20"/>
        </w:rPr>
        <w:t xml:space="preserve">4) </w:t>
      </w:r>
      <w:r w:rsidRPr="005906E7">
        <w:rPr>
          <w:rFonts w:ascii="Verdana" w:hAnsi="Verdana"/>
          <w:sz w:val="20"/>
          <w:lang w:val="es-CR"/>
        </w:rPr>
        <w:t xml:space="preserve">el expediente No. 6714-2003 referente a la denuncia de usurpación contra Luis Portillo en perjuicio de </w:t>
      </w:r>
      <w:r w:rsidR="00631669">
        <w:rPr>
          <w:rFonts w:ascii="Verdana" w:hAnsi="Verdana"/>
          <w:sz w:val="20"/>
          <w:lang w:val="es-CR"/>
        </w:rPr>
        <w:t>Félix Ordóñez Suazo</w:t>
      </w:r>
      <w:r w:rsidRPr="00745808">
        <w:rPr>
          <w:rStyle w:val="FootnoteReference"/>
          <w:lang w:val="es-CR"/>
        </w:rPr>
        <w:footnoteReference w:id="39"/>
      </w:r>
      <w:r w:rsidR="00BC352B" w:rsidRPr="00745808">
        <w:rPr>
          <w:rFonts w:ascii="Verdana" w:hAnsi="Verdana"/>
          <w:sz w:val="20"/>
          <w:szCs w:val="20"/>
          <w:lang w:val="es-CR"/>
        </w:rPr>
        <w:t xml:space="preserve">, </w:t>
      </w:r>
      <w:r w:rsidR="00BC352B" w:rsidRPr="00745808">
        <w:rPr>
          <w:rFonts w:ascii="Verdana" w:hAnsi="Verdana"/>
          <w:sz w:val="20"/>
          <w:lang w:val="es-CR"/>
        </w:rPr>
        <w:t xml:space="preserve">y 5) cinco testimonios de escrituras públicas relacionados con </w:t>
      </w:r>
      <w:r w:rsidR="00E9248A" w:rsidRPr="00745808">
        <w:rPr>
          <w:rFonts w:ascii="Verdana" w:hAnsi="Verdana"/>
          <w:sz w:val="20"/>
          <w:lang w:val="es-CR"/>
        </w:rPr>
        <w:t xml:space="preserve">presuntas </w:t>
      </w:r>
      <w:r w:rsidR="00BC352B" w:rsidRPr="00745808">
        <w:rPr>
          <w:rFonts w:ascii="Verdana" w:hAnsi="Verdana"/>
          <w:sz w:val="20"/>
          <w:lang w:val="es-CR"/>
        </w:rPr>
        <w:t>ventas de territorios ubicados en la Aldea de Río Miel.</w:t>
      </w:r>
    </w:p>
    <w:p w14:paraId="0C7049B8" w14:textId="77777777" w:rsidR="00E04121" w:rsidRPr="001455F9" w:rsidRDefault="00E04121" w:rsidP="00E04121">
      <w:pPr>
        <w:jc w:val="both"/>
        <w:rPr>
          <w:rFonts w:ascii="Verdana" w:hAnsi="Verdana"/>
          <w:sz w:val="20"/>
          <w:szCs w:val="20"/>
        </w:rPr>
      </w:pPr>
    </w:p>
    <w:p w14:paraId="0C7049B9" w14:textId="77777777" w:rsidR="00E04121" w:rsidRPr="001455F9" w:rsidRDefault="00E04121" w:rsidP="00E04121">
      <w:pPr>
        <w:pStyle w:val="Heading3"/>
        <w:spacing w:before="0"/>
        <w:ind w:firstLine="360"/>
        <w:jc w:val="both"/>
        <w:rPr>
          <w:rFonts w:ascii="Verdana" w:hAnsi="Verdana"/>
          <w:i/>
          <w:color w:val="auto"/>
          <w:sz w:val="20"/>
          <w:szCs w:val="20"/>
        </w:rPr>
      </w:pPr>
      <w:bookmarkStart w:id="27" w:name="_Toc437247319"/>
      <w:r w:rsidRPr="001455F9">
        <w:rPr>
          <w:rFonts w:ascii="Verdana" w:hAnsi="Verdana"/>
          <w:i/>
          <w:color w:val="auto"/>
          <w:sz w:val="20"/>
          <w:szCs w:val="20"/>
        </w:rPr>
        <w:lastRenderedPageBreak/>
        <w:t>B.2 Admisión de la prueba testimonial y pericial</w:t>
      </w:r>
      <w:bookmarkEnd w:id="27"/>
    </w:p>
    <w:p w14:paraId="0C7049BA" w14:textId="77777777" w:rsidR="00E04121" w:rsidRPr="00F22EE1" w:rsidRDefault="00E04121" w:rsidP="00E04121">
      <w:pPr>
        <w:jc w:val="both"/>
        <w:rPr>
          <w:rFonts w:ascii="Verdana" w:hAnsi="Verdana"/>
          <w:sz w:val="20"/>
          <w:szCs w:val="20"/>
        </w:rPr>
      </w:pPr>
    </w:p>
    <w:p w14:paraId="0C7049BB" w14:textId="1758AE87" w:rsidR="00E04121" w:rsidRPr="00F22EE1" w:rsidRDefault="00E04121" w:rsidP="00E04121">
      <w:pPr>
        <w:pStyle w:val="ListParagraph"/>
        <w:numPr>
          <w:ilvl w:val="0"/>
          <w:numId w:val="17"/>
        </w:numPr>
        <w:ind w:left="0" w:hanging="11"/>
        <w:jc w:val="both"/>
        <w:rPr>
          <w:rFonts w:ascii="Verdana" w:hAnsi="Verdana"/>
          <w:sz w:val="20"/>
          <w:szCs w:val="20"/>
        </w:rPr>
      </w:pPr>
      <w:r w:rsidRPr="00F22EE1">
        <w:rPr>
          <w:rFonts w:ascii="Verdana" w:eastAsia="Times New Roman" w:hAnsi="Verdana"/>
          <w:sz w:val="20"/>
          <w:szCs w:val="20"/>
        </w:rPr>
        <w:t xml:space="preserve">La Corte estima pertinente admitir </w:t>
      </w:r>
      <w:r w:rsidRPr="00F22EE1">
        <w:rPr>
          <w:rFonts w:ascii="Verdana" w:hAnsi="Verdana"/>
          <w:sz w:val="20"/>
          <w:szCs w:val="20"/>
        </w:rPr>
        <w:t>las declaraciones rendidas durante la audiencia pública, ante fedatario público y ante autoridades tradicionales</w:t>
      </w:r>
      <w:r w:rsidRPr="00F22EE1">
        <w:rPr>
          <w:rFonts w:ascii="Verdana" w:eastAsia="Times New Roman" w:hAnsi="Verdana"/>
          <w:sz w:val="20"/>
          <w:szCs w:val="20"/>
        </w:rPr>
        <w:t>, en cuanto se ajusten al objeto definido por el Presidente en la Resolución que ordenó recibirlos (</w:t>
      </w:r>
      <w:r w:rsidRPr="00F22EE1">
        <w:rPr>
          <w:rFonts w:ascii="Verdana" w:eastAsia="Times New Roman" w:hAnsi="Verdana"/>
          <w:i/>
          <w:sz w:val="20"/>
          <w:szCs w:val="20"/>
        </w:rPr>
        <w:t>supra</w:t>
      </w:r>
      <w:r w:rsidRPr="00F22EE1">
        <w:rPr>
          <w:rFonts w:ascii="Verdana" w:eastAsia="Times New Roman" w:hAnsi="Verdana"/>
          <w:sz w:val="20"/>
          <w:szCs w:val="20"/>
        </w:rPr>
        <w:t xml:space="preserve"> párr</w:t>
      </w:r>
      <w:r w:rsidR="00542C92">
        <w:rPr>
          <w:rFonts w:ascii="Verdana" w:eastAsia="Times New Roman" w:hAnsi="Verdana"/>
          <w:sz w:val="20"/>
          <w:szCs w:val="20"/>
        </w:rPr>
        <w:t>s</w:t>
      </w:r>
      <w:r w:rsidRPr="00F22EE1">
        <w:rPr>
          <w:rFonts w:ascii="Verdana" w:eastAsia="Times New Roman" w:hAnsi="Verdana"/>
          <w:sz w:val="20"/>
          <w:szCs w:val="20"/>
        </w:rPr>
        <w:t xml:space="preserve">. </w:t>
      </w:r>
      <w:r w:rsidR="000D14CC">
        <w:rPr>
          <w:rFonts w:ascii="Verdana" w:eastAsia="Times New Roman" w:hAnsi="Verdana"/>
          <w:sz w:val="20"/>
          <w:szCs w:val="20"/>
        </w:rPr>
        <w:t>10</w:t>
      </w:r>
      <w:r w:rsidR="00542C92">
        <w:rPr>
          <w:rFonts w:ascii="Verdana" w:eastAsia="Times New Roman" w:hAnsi="Verdana"/>
          <w:sz w:val="20"/>
          <w:szCs w:val="20"/>
        </w:rPr>
        <w:t xml:space="preserve"> y 12</w:t>
      </w:r>
      <w:r w:rsidR="000D14CC" w:rsidRPr="00F22EE1">
        <w:rPr>
          <w:rFonts w:ascii="Verdana" w:eastAsia="Times New Roman" w:hAnsi="Verdana"/>
          <w:sz w:val="20"/>
          <w:szCs w:val="20"/>
        </w:rPr>
        <w:t xml:space="preserve">) </w:t>
      </w:r>
      <w:r w:rsidRPr="00F22EE1">
        <w:rPr>
          <w:rFonts w:ascii="Verdana" w:eastAsia="Times New Roman" w:hAnsi="Verdana"/>
          <w:sz w:val="20"/>
          <w:szCs w:val="20"/>
        </w:rPr>
        <w:t>y al objeto del presente caso</w:t>
      </w:r>
      <w:r w:rsidRPr="00542C92">
        <w:rPr>
          <w:rFonts w:ascii="Verdana" w:eastAsia="Times New Roman" w:hAnsi="Verdana"/>
          <w:sz w:val="20"/>
          <w:szCs w:val="20"/>
        </w:rPr>
        <w:t>.</w:t>
      </w:r>
      <w:r w:rsidR="0086236B" w:rsidRPr="00A0324F">
        <w:rPr>
          <w:rFonts w:ascii="Verdana" w:eastAsia="Times New Roman" w:hAnsi="Verdana"/>
          <w:sz w:val="20"/>
          <w:szCs w:val="20"/>
        </w:rPr>
        <w:t xml:space="preserve"> </w:t>
      </w:r>
      <w:r w:rsidRPr="00542C92">
        <w:rPr>
          <w:rFonts w:ascii="Verdana" w:eastAsia="Times New Roman" w:hAnsi="Verdana"/>
          <w:sz w:val="20"/>
          <w:szCs w:val="20"/>
        </w:rPr>
        <w:t>Asimismo</w:t>
      </w:r>
      <w:r w:rsidRPr="005906E7">
        <w:rPr>
          <w:rFonts w:ascii="Verdana" w:eastAsia="Times New Roman" w:hAnsi="Verdana"/>
          <w:sz w:val="20"/>
          <w:szCs w:val="20"/>
        </w:rPr>
        <w:t xml:space="preserve">, la Corte admite </w:t>
      </w:r>
      <w:r>
        <w:rPr>
          <w:rFonts w:ascii="Verdana" w:eastAsia="Times New Roman" w:hAnsi="Verdana"/>
          <w:sz w:val="20"/>
          <w:szCs w:val="20"/>
        </w:rPr>
        <w:t xml:space="preserve">las </w:t>
      </w:r>
      <w:r w:rsidRPr="00D06233">
        <w:rPr>
          <w:rFonts w:ascii="Verdana" w:eastAsia="Times New Roman" w:hAnsi="Verdana"/>
          <w:sz w:val="20"/>
          <w:szCs w:val="20"/>
        </w:rPr>
        <w:t>manifestaciones</w:t>
      </w:r>
      <w:r>
        <w:rPr>
          <w:rFonts w:ascii="Verdana" w:eastAsia="Times New Roman" w:hAnsi="Verdana"/>
          <w:sz w:val="20"/>
          <w:szCs w:val="20"/>
        </w:rPr>
        <w:t xml:space="preserve"> recibidas </w:t>
      </w:r>
      <w:r w:rsidRPr="005906E7">
        <w:rPr>
          <w:rFonts w:ascii="Verdana" w:eastAsia="Times New Roman" w:hAnsi="Verdana"/>
          <w:sz w:val="20"/>
          <w:szCs w:val="20"/>
        </w:rPr>
        <w:t xml:space="preserve">durante la </w:t>
      </w:r>
      <w:r w:rsidR="00745808">
        <w:rPr>
          <w:rFonts w:ascii="Verdana" w:eastAsia="Times New Roman" w:hAnsi="Verdana"/>
          <w:sz w:val="20"/>
          <w:szCs w:val="20"/>
        </w:rPr>
        <w:t>diligencia</w:t>
      </w:r>
      <w:r w:rsidR="00745808" w:rsidRPr="005906E7">
        <w:rPr>
          <w:rFonts w:ascii="Verdana" w:eastAsia="Times New Roman" w:hAnsi="Verdana"/>
          <w:sz w:val="20"/>
          <w:szCs w:val="20"/>
        </w:rPr>
        <w:t xml:space="preserve"> </w:t>
      </w:r>
      <w:r w:rsidRPr="005906E7">
        <w:rPr>
          <w:rFonts w:ascii="Verdana" w:eastAsia="Times New Roman" w:hAnsi="Verdana"/>
          <w:i/>
          <w:sz w:val="20"/>
          <w:szCs w:val="20"/>
        </w:rPr>
        <w:t>in situ</w:t>
      </w:r>
      <w:r w:rsidRPr="005906E7">
        <w:rPr>
          <w:rFonts w:ascii="Verdana" w:eastAsia="Times New Roman" w:hAnsi="Verdana"/>
          <w:sz w:val="20"/>
          <w:szCs w:val="20"/>
        </w:rPr>
        <w:t>.</w:t>
      </w:r>
    </w:p>
    <w:p w14:paraId="0C7049BC" w14:textId="77777777" w:rsidR="00E04121" w:rsidRDefault="00E04121" w:rsidP="00E04121">
      <w:pPr>
        <w:jc w:val="both"/>
        <w:rPr>
          <w:rFonts w:ascii="Verdana" w:hAnsi="Verdana"/>
          <w:sz w:val="20"/>
          <w:szCs w:val="20"/>
        </w:rPr>
      </w:pPr>
    </w:p>
    <w:p w14:paraId="0C7049BD" w14:textId="77777777" w:rsidR="00E04121" w:rsidRPr="001455F9" w:rsidRDefault="00E04121" w:rsidP="00E04121">
      <w:pPr>
        <w:pStyle w:val="Heading3"/>
        <w:spacing w:before="0"/>
        <w:ind w:firstLine="360"/>
        <w:jc w:val="both"/>
        <w:rPr>
          <w:rFonts w:ascii="Verdana" w:hAnsi="Verdana"/>
          <w:i/>
          <w:color w:val="auto"/>
          <w:sz w:val="20"/>
          <w:szCs w:val="20"/>
        </w:rPr>
      </w:pPr>
      <w:bookmarkStart w:id="28" w:name="_Toc437247320"/>
      <w:r>
        <w:rPr>
          <w:rFonts w:ascii="Verdana" w:hAnsi="Verdana"/>
          <w:i/>
          <w:color w:val="auto"/>
          <w:sz w:val="20"/>
          <w:szCs w:val="20"/>
        </w:rPr>
        <w:t>B.3</w:t>
      </w:r>
      <w:r w:rsidRPr="001455F9">
        <w:rPr>
          <w:rFonts w:ascii="Verdana" w:hAnsi="Verdana"/>
          <w:i/>
          <w:color w:val="auto"/>
          <w:sz w:val="20"/>
          <w:szCs w:val="20"/>
        </w:rPr>
        <w:t xml:space="preserve"> Admisión </w:t>
      </w:r>
      <w:r>
        <w:rPr>
          <w:rFonts w:ascii="Verdana" w:hAnsi="Verdana"/>
          <w:i/>
          <w:color w:val="auto"/>
          <w:sz w:val="20"/>
          <w:szCs w:val="20"/>
        </w:rPr>
        <w:t>de la prueba relacionada con actividades de exploración minera</w:t>
      </w:r>
      <w:bookmarkEnd w:id="28"/>
    </w:p>
    <w:p w14:paraId="0C7049BE" w14:textId="77777777" w:rsidR="00E04121" w:rsidRDefault="00E04121" w:rsidP="00E04121">
      <w:pPr>
        <w:jc w:val="both"/>
        <w:rPr>
          <w:rFonts w:ascii="Verdana" w:hAnsi="Verdana"/>
          <w:sz w:val="20"/>
          <w:szCs w:val="20"/>
        </w:rPr>
      </w:pPr>
    </w:p>
    <w:p w14:paraId="0C7049BF" w14:textId="335179B5" w:rsidR="00E04121" w:rsidRDefault="00E04121" w:rsidP="00E04121">
      <w:pPr>
        <w:pStyle w:val="ListParagraph"/>
        <w:numPr>
          <w:ilvl w:val="0"/>
          <w:numId w:val="17"/>
        </w:numPr>
        <w:ind w:left="0" w:hanging="11"/>
        <w:jc w:val="both"/>
        <w:rPr>
          <w:rFonts w:ascii="Verdana" w:hAnsi="Verdana"/>
          <w:sz w:val="20"/>
          <w:szCs w:val="20"/>
        </w:rPr>
      </w:pPr>
      <w:r w:rsidRPr="00167F1B">
        <w:rPr>
          <w:rFonts w:ascii="Verdana" w:hAnsi="Verdana"/>
          <w:sz w:val="20"/>
          <w:szCs w:val="20"/>
        </w:rPr>
        <w:t xml:space="preserve">Mediante comunicación de 25 de febrero de 2015 los </w:t>
      </w:r>
      <w:r w:rsidRPr="00A67B3C">
        <w:rPr>
          <w:rFonts w:ascii="Verdana" w:hAnsi="Verdana"/>
          <w:sz w:val="20"/>
          <w:szCs w:val="20"/>
        </w:rPr>
        <w:t>representantes</w:t>
      </w:r>
      <w:r w:rsidRPr="00167F1B">
        <w:rPr>
          <w:rFonts w:ascii="Verdana" w:hAnsi="Verdana"/>
          <w:sz w:val="20"/>
          <w:szCs w:val="20"/>
        </w:rPr>
        <w:t xml:space="preserve"> informaron a la Corte </w:t>
      </w:r>
      <w:r>
        <w:rPr>
          <w:rFonts w:ascii="Verdana" w:hAnsi="Verdana"/>
          <w:sz w:val="20"/>
          <w:szCs w:val="20"/>
        </w:rPr>
        <w:t>sobre actividades de exploración y extracción minera que se pretendían realizar en parte del territorio de la Comunidad de Punta Piedra. Como prueba de lo anterior</w:t>
      </w:r>
      <w:r w:rsidRPr="00167F1B">
        <w:rPr>
          <w:rFonts w:ascii="Verdana" w:hAnsi="Verdana"/>
          <w:sz w:val="20"/>
          <w:szCs w:val="20"/>
        </w:rPr>
        <w:t>, aportaron un documento denominado “Declaración Anual Consolidada DAC-2014”, elaborado por la Corporación Minera CAXINA S.A., con fecha de 27 de enero de 2015. Dicho documento</w:t>
      </w:r>
      <w:r>
        <w:rPr>
          <w:rFonts w:ascii="Verdana" w:hAnsi="Verdana"/>
          <w:sz w:val="20"/>
          <w:szCs w:val="20"/>
        </w:rPr>
        <w:t xml:space="preserve"> indica que el 4 de diciembre de 2014, la Corporación Minera CAXINA S.A. recibió el derecho minero de exploración No. 105/12/2014, para el desarrollo de actividades en la concesión minera “Punta Piedra II”, sobre una extensión de 800 </w:t>
      </w:r>
      <w:r w:rsidR="00B6463D">
        <w:rPr>
          <w:rFonts w:ascii="Verdana" w:hAnsi="Verdana"/>
          <w:sz w:val="20"/>
          <w:szCs w:val="20"/>
        </w:rPr>
        <w:t>ha</w:t>
      </w:r>
      <w:r w:rsidR="006D4AAC">
        <w:rPr>
          <w:rFonts w:ascii="Verdana" w:hAnsi="Verdana"/>
          <w:sz w:val="20"/>
          <w:szCs w:val="20"/>
        </w:rPr>
        <w:t xml:space="preserve"> </w:t>
      </w:r>
      <w:r>
        <w:rPr>
          <w:rFonts w:ascii="Verdana" w:hAnsi="Verdana"/>
          <w:sz w:val="20"/>
          <w:szCs w:val="20"/>
        </w:rPr>
        <w:t xml:space="preserve">y por un período de 10 años. La documentación aportada por los representantes fue transmitida a la Comisión y al Estado para que remitieran sus observaciones. </w:t>
      </w:r>
      <w:r w:rsidRPr="005906E7">
        <w:rPr>
          <w:rFonts w:ascii="Verdana" w:hAnsi="Verdana"/>
          <w:sz w:val="20"/>
          <w:szCs w:val="20"/>
        </w:rPr>
        <w:t xml:space="preserve">Asimismo, durante </w:t>
      </w:r>
      <w:r>
        <w:rPr>
          <w:rFonts w:ascii="Verdana" w:hAnsi="Verdana"/>
          <w:sz w:val="20"/>
          <w:szCs w:val="20"/>
        </w:rPr>
        <w:t>la visita</w:t>
      </w:r>
      <w:r w:rsidRPr="005906E7">
        <w:rPr>
          <w:rFonts w:ascii="Verdana" w:hAnsi="Verdana"/>
          <w:sz w:val="20"/>
          <w:szCs w:val="20"/>
        </w:rPr>
        <w:t xml:space="preserve"> </w:t>
      </w:r>
      <w:r w:rsidRPr="005906E7">
        <w:rPr>
          <w:rFonts w:ascii="Verdana" w:hAnsi="Verdana"/>
          <w:i/>
          <w:sz w:val="20"/>
          <w:szCs w:val="20"/>
        </w:rPr>
        <w:t>in situ</w:t>
      </w:r>
      <w:r w:rsidRPr="005906E7">
        <w:rPr>
          <w:rFonts w:ascii="Verdana" w:hAnsi="Verdana"/>
          <w:sz w:val="20"/>
          <w:szCs w:val="20"/>
        </w:rPr>
        <w:t xml:space="preserve">, la Corte recibió un mapa al respecto por parte del Estado y visitó </w:t>
      </w:r>
      <w:r>
        <w:rPr>
          <w:rFonts w:ascii="Verdana" w:hAnsi="Verdana"/>
          <w:sz w:val="20"/>
          <w:szCs w:val="20"/>
        </w:rPr>
        <w:t xml:space="preserve">uno de los puntos </w:t>
      </w:r>
      <w:r w:rsidRPr="005906E7">
        <w:rPr>
          <w:rFonts w:ascii="Verdana" w:hAnsi="Verdana"/>
          <w:sz w:val="20"/>
          <w:szCs w:val="20"/>
        </w:rPr>
        <w:t>donde se estarían realizando las actividades de exploración minera.</w:t>
      </w:r>
    </w:p>
    <w:p w14:paraId="0C7049C0" w14:textId="77777777" w:rsidR="00E04121" w:rsidRDefault="00E04121" w:rsidP="00E04121">
      <w:pPr>
        <w:pStyle w:val="ListParagraph"/>
        <w:ind w:left="0"/>
        <w:jc w:val="both"/>
        <w:rPr>
          <w:rFonts w:ascii="Verdana" w:hAnsi="Verdana"/>
          <w:sz w:val="20"/>
          <w:szCs w:val="20"/>
        </w:rPr>
      </w:pPr>
    </w:p>
    <w:p w14:paraId="0C7049C1" w14:textId="2E29D29F" w:rsidR="00E04121" w:rsidRPr="00B266B9" w:rsidRDefault="00E04121" w:rsidP="00E04121">
      <w:pPr>
        <w:pStyle w:val="ListParagraph"/>
        <w:numPr>
          <w:ilvl w:val="0"/>
          <w:numId w:val="17"/>
        </w:numPr>
        <w:ind w:left="0" w:hanging="11"/>
        <w:jc w:val="both"/>
        <w:rPr>
          <w:rFonts w:ascii="Verdana" w:hAnsi="Verdana"/>
          <w:sz w:val="20"/>
          <w:szCs w:val="20"/>
        </w:rPr>
      </w:pPr>
      <w:r>
        <w:rPr>
          <w:rFonts w:ascii="Verdana" w:hAnsi="Verdana"/>
          <w:sz w:val="20"/>
          <w:szCs w:val="20"/>
        </w:rPr>
        <w:t>T</w:t>
      </w:r>
      <w:r w:rsidRPr="00AF667F">
        <w:rPr>
          <w:rFonts w:ascii="Verdana" w:hAnsi="Verdana"/>
          <w:sz w:val="20"/>
          <w:szCs w:val="20"/>
        </w:rPr>
        <w:t>omando en consideración la información aportada por los representantes</w:t>
      </w:r>
      <w:r>
        <w:rPr>
          <w:rFonts w:ascii="Verdana" w:hAnsi="Verdana"/>
          <w:sz w:val="20"/>
          <w:szCs w:val="20"/>
        </w:rPr>
        <w:t xml:space="preserve">, así como las </w:t>
      </w:r>
      <w:r w:rsidRPr="006D4AAC">
        <w:rPr>
          <w:rFonts w:ascii="Verdana" w:hAnsi="Verdana"/>
          <w:sz w:val="20"/>
          <w:szCs w:val="20"/>
        </w:rPr>
        <w:t>observaciones de la Comisión y el Estado, la Corte considera que los hechos alegados respecto de la “</w:t>
      </w:r>
      <w:r w:rsidR="0086236B" w:rsidRPr="00A0324F">
        <w:rPr>
          <w:rFonts w:ascii="Verdana" w:hAnsi="Verdana"/>
          <w:sz w:val="20"/>
          <w:szCs w:val="20"/>
        </w:rPr>
        <w:t>Concesión minera no metálica Punta Piedra II”</w:t>
      </w:r>
      <w:r w:rsidRPr="00C53E1D">
        <w:rPr>
          <w:rFonts w:ascii="Verdana" w:hAnsi="Verdana"/>
          <w:sz w:val="20"/>
          <w:szCs w:val="20"/>
        </w:rPr>
        <w:t xml:space="preserve"> </w:t>
      </w:r>
      <w:r>
        <w:rPr>
          <w:rFonts w:ascii="Verdana" w:hAnsi="Verdana"/>
          <w:sz w:val="20"/>
          <w:szCs w:val="20"/>
        </w:rPr>
        <w:t>ocurrieron con posterioridad a la presentación del escrito de solicitudes y argumentos y a la realización de la Audiencia P</w:t>
      </w:r>
      <w:r w:rsidRPr="00B266B9">
        <w:rPr>
          <w:rFonts w:ascii="Verdana" w:hAnsi="Verdana"/>
          <w:sz w:val="20"/>
          <w:szCs w:val="20"/>
        </w:rPr>
        <w:t>ública</w:t>
      </w:r>
      <w:r>
        <w:rPr>
          <w:rFonts w:ascii="Verdana" w:hAnsi="Verdana"/>
          <w:sz w:val="20"/>
          <w:szCs w:val="20"/>
        </w:rPr>
        <w:t xml:space="preserve"> del presente caso. En este sentido, la Corte estima que, con fundamento en lo establecido en artículo </w:t>
      </w:r>
      <w:r w:rsidRPr="00167F1B">
        <w:rPr>
          <w:rFonts w:ascii="Verdana" w:hAnsi="Verdana"/>
          <w:sz w:val="20"/>
          <w:szCs w:val="20"/>
        </w:rPr>
        <w:t>57.2 del Reglamento de la Corte</w:t>
      </w:r>
      <w:r>
        <w:rPr>
          <w:rFonts w:ascii="Verdana" w:hAnsi="Verdana"/>
          <w:sz w:val="20"/>
          <w:szCs w:val="20"/>
        </w:rPr>
        <w:t>,  la prueba e información fue presentada como hechos supervinientes y en consecuencia determina su admisión y se referirá al respecto en el Capítulo de Hechos Probados (</w:t>
      </w:r>
      <w:r w:rsidR="006D4AAC">
        <w:rPr>
          <w:rFonts w:ascii="Verdana" w:hAnsi="Verdana"/>
          <w:i/>
          <w:sz w:val="20"/>
          <w:szCs w:val="20"/>
        </w:rPr>
        <w:t>infra</w:t>
      </w:r>
      <w:r w:rsidR="006D4AAC">
        <w:rPr>
          <w:rFonts w:ascii="Verdana" w:hAnsi="Verdana"/>
          <w:sz w:val="20"/>
          <w:szCs w:val="20"/>
        </w:rPr>
        <w:t xml:space="preserve"> </w:t>
      </w:r>
      <w:r>
        <w:rPr>
          <w:rFonts w:ascii="Verdana" w:hAnsi="Verdana"/>
          <w:sz w:val="20"/>
          <w:szCs w:val="20"/>
        </w:rPr>
        <w:t xml:space="preserve">párrs. </w:t>
      </w:r>
      <w:r w:rsidR="00F139C1">
        <w:rPr>
          <w:rFonts w:ascii="Verdana" w:hAnsi="Verdana"/>
          <w:sz w:val="20"/>
          <w:szCs w:val="20"/>
        </w:rPr>
        <w:t xml:space="preserve">125 a </w:t>
      </w:r>
      <w:r w:rsidR="006D4AAC">
        <w:rPr>
          <w:rFonts w:ascii="Verdana" w:hAnsi="Verdana"/>
          <w:sz w:val="20"/>
          <w:szCs w:val="20"/>
        </w:rPr>
        <w:t>129).</w:t>
      </w:r>
    </w:p>
    <w:p w14:paraId="0C7049C2" w14:textId="77777777" w:rsidR="00E04121" w:rsidRPr="001455F9" w:rsidRDefault="00E04121" w:rsidP="00E04121">
      <w:pPr>
        <w:jc w:val="both"/>
        <w:rPr>
          <w:rFonts w:ascii="Verdana" w:hAnsi="Verdana"/>
          <w:sz w:val="20"/>
          <w:szCs w:val="20"/>
        </w:rPr>
      </w:pPr>
    </w:p>
    <w:p w14:paraId="0C7049C3" w14:textId="77777777" w:rsidR="00E04121" w:rsidRPr="001455F9" w:rsidRDefault="00E04121" w:rsidP="00E04121">
      <w:pPr>
        <w:pStyle w:val="Heading2"/>
        <w:numPr>
          <w:ilvl w:val="0"/>
          <w:numId w:val="8"/>
        </w:numPr>
        <w:spacing w:before="0"/>
        <w:rPr>
          <w:rFonts w:ascii="Verdana" w:hAnsi="Verdana"/>
          <w:i/>
          <w:color w:val="auto"/>
          <w:sz w:val="20"/>
          <w:szCs w:val="20"/>
        </w:rPr>
      </w:pPr>
      <w:bookmarkStart w:id="29" w:name="_Toc437247321"/>
      <w:r w:rsidRPr="001455F9">
        <w:rPr>
          <w:rFonts w:ascii="Verdana" w:hAnsi="Verdana"/>
          <w:i/>
          <w:color w:val="auto"/>
          <w:sz w:val="20"/>
          <w:szCs w:val="20"/>
        </w:rPr>
        <w:t>Valoración de la prueba</w:t>
      </w:r>
      <w:bookmarkEnd w:id="29"/>
    </w:p>
    <w:p w14:paraId="0C7049C4" w14:textId="77777777" w:rsidR="00E04121" w:rsidRPr="001455F9" w:rsidRDefault="00E04121" w:rsidP="00E04121">
      <w:pPr>
        <w:pStyle w:val="ListParagraph"/>
        <w:rPr>
          <w:rFonts w:ascii="Verdana" w:hAnsi="Verdana"/>
          <w:sz w:val="20"/>
          <w:szCs w:val="20"/>
        </w:rPr>
      </w:pPr>
    </w:p>
    <w:p w14:paraId="0C7049C5" w14:textId="77777777" w:rsidR="00E04121" w:rsidRPr="001455F9" w:rsidRDefault="00E04121" w:rsidP="00E04121">
      <w:pPr>
        <w:pStyle w:val="ListParagraph"/>
        <w:numPr>
          <w:ilvl w:val="0"/>
          <w:numId w:val="17"/>
        </w:numPr>
        <w:ind w:left="0" w:hanging="11"/>
        <w:jc w:val="both"/>
        <w:rPr>
          <w:rFonts w:ascii="Verdana" w:eastAsia="Times New Roman" w:hAnsi="Verdana"/>
          <w:sz w:val="20"/>
          <w:szCs w:val="20"/>
        </w:rPr>
      </w:pPr>
      <w:r w:rsidRPr="00F22EE1">
        <w:rPr>
          <w:rFonts w:ascii="Verdana" w:eastAsia="Times New Roman" w:hAnsi="Verdana"/>
          <w:sz w:val="20"/>
          <w:szCs w:val="20"/>
        </w:rPr>
        <w:t>Con base en su jurisprudencia constante respecto de la prueba y su apreciación</w:t>
      </w:r>
      <w:r w:rsidRPr="00F22EE1">
        <w:rPr>
          <w:rFonts w:ascii="Verdana" w:eastAsia="Times New Roman" w:hAnsi="Verdana"/>
          <w:sz w:val="20"/>
          <w:szCs w:val="20"/>
          <w:vertAlign w:val="superscript"/>
        </w:rPr>
        <w:footnoteReference w:id="40"/>
      </w:r>
      <w:r w:rsidRPr="00F22EE1">
        <w:rPr>
          <w:rFonts w:ascii="Verdana" w:eastAsia="Times New Roman" w:hAnsi="Verdana"/>
          <w:sz w:val="20"/>
          <w:szCs w:val="20"/>
        </w:rPr>
        <w:t>, la Corte examinará y valorará los elementos probatorios documentales remitidos por las partes y la Comisión, las declaraciones, testimonios y dictámenes periciales, así como la prueba para mejor resolver solicitada e incorporada por este Tribunal, al establecer los hechos del caso y pronunciarse sobre el fondo. Para ello se sujeta a los principios de la sana crítica, dentro del marco normativo correspondiente, teniendo en cuenta el conjunto del acervo probatorio y lo alegado en la causa</w:t>
      </w:r>
      <w:r w:rsidRPr="00F22EE1">
        <w:rPr>
          <w:rFonts w:ascii="Verdana" w:eastAsia="Times New Roman" w:hAnsi="Verdana"/>
          <w:sz w:val="20"/>
          <w:szCs w:val="20"/>
          <w:vertAlign w:val="superscript"/>
        </w:rPr>
        <w:footnoteReference w:id="41"/>
      </w:r>
      <w:r w:rsidRPr="00F22EE1">
        <w:rPr>
          <w:rFonts w:ascii="Verdana" w:eastAsia="Times New Roman" w:hAnsi="Verdana"/>
          <w:sz w:val="20"/>
          <w:szCs w:val="20"/>
        </w:rPr>
        <w:t>.</w:t>
      </w:r>
    </w:p>
    <w:p w14:paraId="0C7049C6" w14:textId="77777777" w:rsidR="00E04121" w:rsidRPr="001455F9" w:rsidRDefault="00E04121" w:rsidP="00E04121">
      <w:pPr>
        <w:jc w:val="both"/>
        <w:rPr>
          <w:rFonts w:ascii="Verdana" w:eastAsia="Times New Roman" w:hAnsi="Verdana"/>
          <w:sz w:val="20"/>
          <w:szCs w:val="20"/>
        </w:rPr>
      </w:pPr>
    </w:p>
    <w:p w14:paraId="0C7049C7" w14:textId="77777777" w:rsidR="00E04121" w:rsidRPr="00A71698" w:rsidRDefault="00E04121" w:rsidP="00E04121">
      <w:pPr>
        <w:pStyle w:val="ListParagraph"/>
        <w:numPr>
          <w:ilvl w:val="0"/>
          <w:numId w:val="17"/>
        </w:numPr>
        <w:ind w:left="0" w:hanging="11"/>
        <w:jc w:val="both"/>
        <w:rPr>
          <w:rFonts w:ascii="Verdana" w:eastAsia="Times New Roman" w:hAnsi="Verdana"/>
          <w:sz w:val="20"/>
          <w:szCs w:val="20"/>
        </w:rPr>
      </w:pPr>
      <w:bookmarkStart w:id="30" w:name="_Ref402038884"/>
      <w:r w:rsidRPr="001455F9">
        <w:rPr>
          <w:rFonts w:ascii="Verdana" w:eastAsia="Times New Roman" w:hAnsi="Verdana"/>
          <w:sz w:val="20"/>
          <w:szCs w:val="20"/>
        </w:rPr>
        <w:t>Asimismo</w:t>
      </w:r>
      <w:r w:rsidRPr="00F22EE1">
        <w:rPr>
          <w:rFonts w:ascii="Verdana" w:eastAsia="Times New Roman" w:hAnsi="Verdana"/>
          <w:sz w:val="20"/>
          <w:szCs w:val="20"/>
        </w:rPr>
        <w:t>, conforme a la jurisprudencia de este Tribunal, las declaraciones rendidas por las presuntas víctimas no pueden ser valoradas aisladamente</w:t>
      </w:r>
      <w:r w:rsidR="009F1AD9">
        <w:rPr>
          <w:rFonts w:ascii="Verdana" w:eastAsia="Times New Roman" w:hAnsi="Verdana"/>
          <w:sz w:val="20"/>
          <w:szCs w:val="20"/>
        </w:rPr>
        <w:t>,</w:t>
      </w:r>
      <w:r w:rsidRPr="00F22EE1">
        <w:rPr>
          <w:rFonts w:ascii="Verdana" w:eastAsia="Times New Roman" w:hAnsi="Verdana"/>
          <w:sz w:val="20"/>
          <w:szCs w:val="20"/>
        </w:rPr>
        <w:t xml:space="preserve"> sino dentro </w:t>
      </w:r>
      <w:r w:rsidRPr="00F22EE1">
        <w:rPr>
          <w:rFonts w:ascii="Verdana" w:eastAsia="Times New Roman" w:hAnsi="Verdana"/>
          <w:sz w:val="20"/>
          <w:szCs w:val="20"/>
        </w:rPr>
        <w:lastRenderedPageBreak/>
        <w:t>del conjunto de las pruebas del proceso, en la medida en que pueden proporcionar mayor información sobre las presuntas violaciones y sus consecuencias</w:t>
      </w:r>
      <w:r w:rsidRPr="00F22EE1">
        <w:rPr>
          <w:rFonts w:ascii="Verdana" w:eastAsia="Times New Roman" w:hAnsi="Verdana"/>
          <w:sz w:val="20"/>
          <w:szCs w:val="20"/>
          <w:vertAlign w:val="superscript"/>
        </w:rPr>
        <w:footnoteReference w:id="42"/>
      </w:r>
      <w:r w:rsidRPr="00F22EE1">
        <w:rPr>
          <w:rFonts w:ascii="Verdana" w:eastAsia="Times New Roman" w:hAnsi="Verdana"/>
          <w:sz w:val="20"/>
          <w:szCs w:val="20"/>
        </w:rPr>
        <w:t>.</w:t>
      </w:r>
      <w:bookmarkEnd w:id="30"/>
      <w:r>
        <w:rPr>
          <w:rFonts w:ascii="Verdana" w:eastAsia="Times New Roman" w:hAnsi="Verdana"/>
          <w:sz w:val="20"/>
          <w:szCs w:val="20"/>
        </w:rPr>
        <w:t xml:space="preserve"> </w:t>
      </w:r>
      <w:r>
        <w:t xml:space="preserve"> </w:t>
      </w:r>
    </w:p>
    <w:p w14:paraId="0C7049C8" w14:textId="77777777" w:rsidR="00E04121" w:rsidRPr="00A71698" w:rsidRDefault="00E04121" w:rsidP="00E04121">
      <w:pPr>
        <w:pStyle w:val="ListParagraph"/>
        <w:ind w:left="0"/>
        <w:jc w:val="both"/>
        <w:rPr>
          <w:rFonts w:ascii="Verdana" w:eastAsia="Times New Roman" w:hAnsi="Verdana"/>
          <w:sz w:val="20"/>
          <w:szCs w:val="20"/>
        </w:rPr>
      </w:pPr>
      <w:r>
        <w:t xml:space="preserve"> </w:t>
      </w:r>
    </w:p>
    <w:p w14:paraId="0C7049C9" w14:textId="62EDC176" w:rsidR="00E04121" w:rsidRDefault="00E04121" w:rsidP="00E04121">
      <w:pPr>
        <w:pStyle w:val="ListParagraph"/>
        <w:numPr>
          <w:ilvl w:val="0"/>
          <w:numId w:val="17"/>
        </w:numPr>
        <w:ind w:left="0" w:hanging="11"/>
        <w:jc w:val="both"/>
        <w:rPr>
          <w:rFonts w:ascii="Verdana" w:eastAsia="Times New Roman" w:hAnsi="Verdana"/>
          <w:sz w:val="20"/>
          <w:szCs w:val="20"/>
        </w:rPr>
      </w:pPr>
      <w:r>
        <w:rPr>
          <w:rFonts w:ascii="Verdana" w:hAnsi="Verdana"/>
          <w:sz w:val="20"/>
          <w:szCs w:val="20"/>
        </w:rPr>
        <w:t xml:space="preserve">Las declaraciones, así como </w:t>
      </w:r>
      <w:r w:rsidRPr="00A71698">
        <w:rPr>
          <w:rFonts w:ascii="Verdana" w:hAnsi="Verdana"/>
          <w:sz w:val="20"/>
          <w:szCs w:val="20"/>
        </w:rPr>
        <w:t xml:space="preserve">la información </w:t>
      </w:r>
      <w:r>
        <w:rPr>
          <w:rFonts w:ascii="Verdana" w:hAnsi="Verdana"/>
          <w:sz w:val="20"/>
          <w:szCs w:val="20"/>
        </w:rPr>
        <w:t xml:space="preserve">y documentación </w:t>
      </w:r>
      <w:r w:rsidRPr="00A71698">
        <w:rPr>
          <w:rFonts w:ascii="Verdana" w:hAnsi="Verdana"/>
          <w:sz w:val="20"/>
          <w:szCs w:val="20"/>
        </w:rPr>
        <w:t xml:space="preserve">recibida </w:t>
      </w:r>
      <w:r>
        <w:rPr>
          <w:rFonts w:ascii="Verdana" w:hAnsi="Verdana"/>
          <w:sz w:val="20"/>
          <w:szCs w:val="20"/>
        </w:rPr>
        <w:t xml:space="preserve">durante la </w:t>
      </w:r>
      <w:r w:rsidR="009F1AD9">
        <w:rPr>
          <w:rFonts w:ascii="Verdana" w:hAnsi="Verdana"/>
          <w:sz w:val="20"/>
          <w:szCs w:val="20"/>
        </w:rPr>
        <w:t xml:space="preserve">diligencia </w:t>
      </w:r>
      <w:r w:rsidRPr="00AD4C6E">
        <w:rPr>
          <w:rFonts w:ascii="Verdana" w:hAnsi="Verdana"/>
          <w:i/>
          <w:sz w:val="20"/>
          <w:szCs w:val="20"/>
        </w:rPr>
        <w:t>in situ</w:t>
      </w:r>
      <w:r>
        <w:rPr>
          <w:rFonts w:ascii="Verdana" w:hAnsi="Verdana"/>
          <w:sz w:val="20"/>
          <w:szCs w:val="20"/>
        </w:rPr>
        <w:t xml:space="preserve"> </w:t>
      </w:r>
      <w:r w:rsidRPr="00A71698">
        <w:rPr>
          <w:rFonts w:ascii="Verdana" w:hAnsi="Verdana"/>
          <w:sz w:val="20"/>
          <w:szCs w:val="20"/>
        </w:rPr>
        <w:t>será</w:t>
      </w:r>
      <w:r>
        <w:rPr>
          <w:rFonts w:ascii="Verdana" w:hAnsi="Verdana"/>
          <w:sz w:val="20"/>
          <w:szCs w:val="20"/>
        </w:rPr>
        <w:t>n valorados</w:t>
      </w:r>
      <w:r w:rsidRPr="00A71698">
        <w:rPr>
          <w:rFonts w:ascii="Verdana" w:hAnsi="Verdana"/>
          <w:sz w:val="20"/>
          <w:szCs w:val="20"/>
        </w:rPr>
        <w:t xml:space="preserve"> en consideración de las circunstancias particulares en la que fueron producidos</w:t>
      </w:r>
      <w:r w:rsidRPr="00197FDA">
        <w:rPr>
          <w:rStyle w:val="FootnoteReference"/>
          <w:szCs w:val="20"/>
        </w:rPr>
        <w:footnoteReference w:id="43"/>
      </w:r>
      <w:r w:rsidRPr="00A71698">
        <w:rPr>
          <w:rFonts w:ascii="Verdana" w:hAnsi="Verdana"/>
          <w:sz w:val="20"/>
          <w:szCs w:val="20"/>
        </w:rPr>
        <w:t>.</w:t>
      </w:r>
      <w:r>
        <w:rPr>
          <w:rFonts w:ascii="Verdana" w:hAnsi="Verdana"/>
          <w:sz w:val="20"/>
          <w:szCs w:val="20"/>
        </w:rPr>
        <w:t xml:space="preserve"> Al respecto, la Corte incorporó </w:t>
      </w:r>
      <w:r w:rsidRPr="001455F9">
        <w:rPr>
          <w:rFonts w:ascii="Verdana" w:hAnsi="Verdana"/>
          <w:sz w:val="20"/>
          <w:szCs w:val="20"/>
        </w:rPr>
        <w:t>al expediente del caso</w:t>
      </w:r>
      <w:r>
        <w:rPr>
          <w:rFonts w:ascii="Verdana" w:hAnsi="Verdana"/>
          <w:sz w:val="20"/>
          <w:szCs w:val="20"/>
        </w:rPr>
        <w:t xml:space="preserve"> el video </w:t>
      </w:r>
      <w:r>
        <w:rPr>
          <w:rFonts w:ascii="Verdana" w:hAnsi="Verdana"/>
          <w:sz w:val="20"/>
          <w:lang w:val="es-CR"/>
        </w:rPr>
        <w:t xml:space="preserve">que contiene las imágenes recabadas por el Estado durante la </w:t>
      </w:r>
      <w:r w:rsidR="009F1AD9">
        <w:rPr>
          <w:rFonts w:ascii="Verdana" w:hAnsi="Verdana"/>
          <w:sz w:val="20"/>
          <w:lang w:val="es-CR"/>
        </w:rPr>
        <w:t xml:space="preserve">diligencia </w:t>
      </w:r>
      <w:r>
        <w:rPr>
          <w:rFonts w:ascii="Verdana" w:hAnsi="Verdana"/>
          <w:i/>
          <w:sz w:val="20"/>
          <w:lang w:val="es-CR"/>
        </w:rPr>
        <w:t xml:space="preserve">in situ </w:t>
      </w:r>
      <w:r w:rsidRPr="005906E7">
        <w:rPr>
          <w:rFonts w:ascii="Verdana" w:hAnsi="Verdana"/>
          <w:sz w:val="20"/>
          <w:lang w:val="es-CR"/>
        </w:rPr>
        <w:t>y lo transmitió a las partes.</w:t>
      </w:r>
      <w:r w:rsidRPr="005906E7">
        <w:rPr>
          <w:rFonts w:ascii="Verdana" w:eastAsia="Times New Roman" w:hAnsi="Verdana"/>
          <w:sz w:val="20"/>
          <w:szCs w:val="20"/>
        </w:rPr>
        <w:t xml:space="preserve"> </w:t>
      </w:r>
    </w:p>
    <w:p w14:paraId="0C7049CA" w14:textId="77777777" w:rsidR="00E04121" w:rsidRPr="00012F57" w:rsidRDefault="00E04121" w:rsidP="00E04121">
      <w:pPr>
        <w:pStyle w:val="ListParagraph"/>
        <w:rPr>
          <w:rFonts w:ascii="Verdana" w:eastAsia="Times New Roman" w:hAnsi="Verdana"/>
          <w:sz w:val="20"/>
          <w:szCs w:val="20"/>
        </w:rPr>
      </w:pPr>
    </w:p>
    <w:p w14:paraId="0C7049CB" w14:textId="77777777" w:rsidR="00664672" w:rsidRPr="00E04121" w:rsidRDefault="00E04121" w:rsidP="00E04121">
      <w:pPr>
        <w:pStyle w:val="ListParagraph"/>
        <w:numPr>
          <w:ilvl w:val="0"/>
          <w:numId w:val="17"/>
        </w:numPr>
        <w:ind w:left="0" w:hanging="11"/>
        <w:jc w:val="both"/>
        <w:rPr>
          <w:rFonts w:ascii="Verdana" w:hAnsi="Verdana"/>
          <w:sz w:val="20"/>
          <w:szCs w:val="20"/>
        </w:rPr>
      </w:pPr>
      <w:r w:rsidRPr="00012F57">
        <w:rPr>
          <w:rFonts w:ascii="Verdana" w:hAnsi="Verdana"/>
          <w:sz w:val="20"/>
          <w:szCs w:val="20"/>
        </w:rPr>
        <w:t>Respecto de la documentación remitida junto con las observaciones de las partes a la visita, la Corte las analizará de acuerdo con las reglas de la sana crítica y en tanto complementen los objetivos particulares de la visita.</w:t>
      </w:r>
    </w:p>
    <w:p w14:paraId="0C7049CC" w14:textId="77777777" w:rsidR="00664672" w:rsidRDefault="00664672" w:rsidP="00664672">
      <w:pPr>
        <w:rPr>
          <w:rFonts w:ascii="Verdana" w:hAnsi="Verdana"/>
          <w:sz w:val="20"/>
          <w:szCs w:val="20"/>
        </w:rPr>
      </w:pPr>
    </w:p>
    <w:p w14:paraId="0C7049CD" w14:textId="77777777" w:rsidR="00E04121" w:rsidRPr="00986EB6" w:rsidRDefault="00E04121" w:rsidP="00E04121">
      <w:pPr>
        <w:pStyle w:val="Heading1"/>
        <w:tabs>
          <w:tab w:val="left" w:pos="851"/>
        </w:tabs>
        <w:spacing w:before="0"/>
        <w:jc w:val="center"/>
        <w:rPr>
          <w:rFonts w:ascii="Verdana" w:hAnsi="Verdana" w:cs="Verdana"/>
          <w:caps/>
          <w:snapToGrid w:val="0"/>
          <w:color w:val="auto"/>
          <w:sz w:val="20"/>
          <w:szCs w:val="20"/>
        </w:rPr>
      </w:pPr>
      <w:bookmarkStart w:id="31" w:name="_Toc391899252"/>
      <w:bookmarkStart w:id="32" w:name="_Toc421868203"/>
      <w:bookmarkStart w:id="33" w:name="_Toc437247322"/>
      <w:r w:rsidRPr="00986EB6">
        <w:rPr>
          <w:rFonts w:ascii="Verdana" w:hAnsi="Verdana" w:cs="Verdana"/>
          <w:caps/>
          <w:snapToGrid w:val="0"/>
          <w:color w:val="auto"/>
          <w:sz w:val="20"/>
          <w:szCs w:val="20"/>
        </w:rPr>
        <w:t>VI</w:t>
      </w:r>
      <w:r w:rsidR="00A17487">
        <w:rPr>
          <w:rFonts w:ascii="Verdana" w:hAnsi="Verdana" w:cs="Verdana"/>
          <w:caps/>
          <w:snapToGrid w:val="0"/>
          <w:color w:val="auto"/>
          <w:sz w:val="20"/>
          <w:szCs w:val="20"/>
        </w:rPr>
        <w:t>II</w:t>
      </w:r>
      <w:r w:rsidRPr="00986EB6">
        <w:rPr>
          <w:rFonts w:ascii="Verdana" w:hAnsi="Verdana" w:cs="Verdana"/>
          <w:caps/>
          <w:snapToGrid w:val="0"/>
          <w:color w:val="auto"/>
          <w:sz w:val="20"/>
          <w:szCs w:val="20"/>
        </w:rPr>
        <w:br/>
        <w:t>HECHOS</w:t>
      </w:r>
      <w:bookmarkEnd w:id="31"/>
      <w:bookmarkEnd w:id="32"/>
      <w:bookmarkEnd w:id="33"/>
    </w:p>
    <w:p w14:paraId="0C7049CE" w14:textId="77777777" w:rsidR="00E04121" w:rsidRPr="00167F1B" w:rsidRDefault="00E04121" w:rsidP="00E04121">
      <w:pPr>
        <w:pStyle w:val="ListParagraph"/>
        <w:rPr>
          <w:rFonts w:ascii="Verdana" w:hAnsi="Verdana"/>
          <w:sz w:val="20"/>
          <w:szCs w:val="20"/>
        </w:rPr>
      </w:pPr>
    </w:p>
    <w:p w14:paraId="0C7049CF" w14:textId="1E13D5B1" w:rsidR="00E04121" w:rsidRDefault="00E04121" w:rsidP="00E04121">
      <w:pPr>
        <w:pStyle w:val="ListParagraph"/>
        <w:numPr>
          <w:ilvl w:val="0"/>
          <w:numId w:val="17"/>
        </w:numPr>
        <w:ind w:left="0" w:hanging="11"/>
        <w:jc w:val="both"/>
        <w:rPr>
          <w:rFonts w:ascii="Verdana" w:hAnsi="Verdana"/>
          <w:sz w:val="20"/>
          <w:szCs w:val="20"/>
        </w:rPr>
      </w:pPr>
      <w:r w:rsidRPr="00167F1B">
        <w:rPr>
          <w:rFonts w:ascii="Verdana" w:hAnsi="Verdana"/>
          <w:sz w:val="20"/>
          <w:szCs w:val="20"/>
        </w:rPr>
        <w:t xml:space="preserve">En este capítulo se establecerán los hechos del presente caso, con base en el marco fáctico sometido a conocimiento de la Corte por la Comisión, tomando en consideración el acervo probatorio, así como lo alegado por los representantes y el Estado. De esta forma, los hechos serán expuestos en los siguientes apartados: 1) el Pueblo Garífuna </w:t>
      </w:r>
      <w:r w:rsidR="00234BF6">
        <w:rPr>
          <w:rFonts w:ascii="Verdana" w:hAnsi="Verdana"/>
          <w:sz w:val="20"/>
          <w:szCs w:val="20"/>
        </w:rPr>
        <w:t xml:space="preserve">en Honduras </w:t>
      </w:r>
      <w:r w:rsidRPr="00167F1B">
        <w:rPr>
          <w:rFonts w:ascii="Verdana" w:hAnsi="Verdana"/>
          <w:sz w:val="20"/>
          <w:szCs w:val="20"/>
        </w:rPr>
        <w:t>y la Comunidad Garífuna de Punta Piedra; 2) el reconocimiento y titulación por el Estado de</w:t>
      </w:r>
      <w:r w:rsidR="00234BF6">
        <w:rPr>
          <w:rFonts w:ascii="Verdana" w:hAnsi="Verdana"/>
          <w:sz w:val="20"/>
          <w:szCs w:val="20"/>
        </w:rPr>
        <w:t xml:space="preserve">l </w:t>
      </w:r>
      <w:r w:rsidRPr="00167F1B">
        <w:rPr>
          <w:rFonts w:ascii="Verdana" w:hAnsi="Verdana"/>
          <w:sz w:val="20"/>
          <w:szCs w:val="20"/>
        </w:rPr>
        <w:t>territorio</w:t>
      </w:r>
      <w:r w:rsidR="00234BF6">
        <w:rPr>
          <w:rFonts w:ascii="Verdana" w:hAnsi="Verdana"/>
          <w:sz w:val="20"/>
          <w:szCs w:val="20"/>
        </w:rPr>
        <w:t xml:space="preserve"> de la Comunidad de Punta Piedra</w:t>
      </w:r>
      <w:r w:rsidRPr="00167F1B">
        <w:rPr>
          <w:rFonts w:ascii="Verdana" w:hAnsi="Verdana"/>
          <w:sz w:val="20"/>
          <w:szCs w:val="20"/>
          <w:lang w:val="es-CR"/>
        </w:rPr>
        <w:t xml:space="preserve">; 3) la ocupación de </w:t>
      </w:r>
      <w:r w:rsidR="00234BF6">
        <w:rPr>
          <w:rFonts w:ascii="Verdana" w:hAnsi="Verdana"/>
          <w:sz w:val="20"/>
          <w:szCs w:val="20"/>
          <w:lang w:val="es-CR"/>
        </w:rPr>
        <w:t>los pobladores de la Aldea de Río Miel en el territorio titulado a favor de la Comunidad de Punta Piedra</w:t>
      </w:r>
      <w:r w:rsidRPr="00167F1B">
        <w:rPr>
          <w:rFonts w:ascii="Verdana" w:hAnsi="Verdana"/>
          <w:sz w:val="20"/>
          <w:szCs w:val="20"/>
          <w:lang w:val="es-CR"/>
        </w:rPr>
        <w:t>; 4)</w:t>
      </w:r>
      <w:r w:rsidRPr="00167F1B">
        <w:rPr>
          <w:rFonts w:ascii="Verdana" w:hAnsi="Verdana"/>
          <w:sz w:val="20"/>
          <w:szCs w:val="20"/>
        </w:rPr>
        <w:t xml:space="preserve"> las gestiones realizadas </w:t>
      </w:r>
      <w:r w:rsidR="00234BF6">
        <w:rPr>
          <w:rFonts w:ascii="Verdana" w:hAnsi="Verdana"/>
          <w:sz w:val="20"/>
          <w:szCs w:val="20"/>
        </w:rPr>
        <w:t xml:space="preserve">para lograr el saneamiento del territorio de </w:t>
      </w:r>
      <w:r w:rsidRPr="00167F1B">
        <w:rPr>
          <w:rFonts w:ascii="Verdana" w:hAnsi="Verdana"/>
          <w:sz w:val="20"/>
          <w:szCs w:val="20"/>
        </w:rPr>
        <w:t>la Comunidad de Punta Piedra</w:t>
      </w:r>
      <w:r w:rsidR="00234BF6">
        <w:rPr>
          <w:rFonts w:ascii="Verdana" w:hAnsi="Verdana"/>
          <w:sz w:val="20"/>
          <w:szCs w:val="20"/>
        </w:rPr>
        <w:t>;</w:t>
      </w:r>
      <w:r>
        <w:rPr>
          <w:rFonts w:ascii="Verdana" w:hAnsi="Verdana"/>
          <w:sz w:val="20"/>
          <w:szCs w:val="20"/>
        </w:rPr>
        <w:t xml:space="preserve"> 5) la concesión minera </w:t>
      </w:r>
      <w:r w:rsidR="00234BF6">
        <w:rPr>
          <w:rFonts w:ascii="Verdana" w:hAnsi="Verdana"/>
          <w:sz w:val="20"/>
          <w:szCs w:val="20"/>
        </w:rPr>
        <w:t xml:space="preserve">no metálica </w:t>
      </w:r>
      <w:r>
        <w:rPr>
          <w:rFonts w:ascii="Verdana" w:hAnsi="Verdana"/>
          <w:sz w:val="20"/>
          <w:szCs w:val="20"/>
        </w:rPr>
        <w:t>“Punta Piedra II”</w:t>
      </w:r>
      <w:r w:rsidRPr="00167F1B">
        <w:rPr>
          <w:rFonts w:ascii="Verdana" w:hAnsi="Verdana"/>
          <w:sz w:val="20"/>
          <w:szCs w:val="20"/>
        </w:rPr>
        <w:t xml:space="preserve">, y </w:t>
      </w:r>
      <w:r>
        <w:rPr>
          <w:rFonts w:ascii="Verdana" w:hAnsi="Verdana"/>
          <w:sz w:val="20"/>
          <w:szCs w:val="20"/>
        </w:rPr>
        <w:t>6</w:t>
      </w:r>
      <w:r w:rsidRPr="00167F1B">
        <w:rPr>
          <w:rFonts w:ascii="Verdana" w:hAnsi="Verdana"/>
          <w:sz w:val="20"/>
          <w:szCs w:val="20"/>
        </w:rPr>
        <w:t xml:space="preserve">) </w:t>
      </w:r>
      <w:r w:rsidR="00234BF6">
        <w:rPr>
          <w:rFonts w:ascii="Verdana" w:hAnsi="Verdana"/>
          <w:sz w:val="20"/>
          <w:szCs w:val="20"/>
        </w:rPr>
        <w:t xml:space="preserve">las </w:t>
      </w:r>
      <w:r w:rsidR="00234BF6" w:rsidRPr="00167F1B">
        <w:rPr>
          <w:rFonts w:ascii="Verdana" w:hAnsi="Verdana"/>
          <w:sz w:val="20"/>
          <w:szCs w:val="20"/>
        </w:rPr>
        <w:t xml:space="preserve">denuncias interpuestas a nivel interno </w:t>
      </w:r>
      <w:r w:rsidR="00983265">
        <w:rPr>
          <w:rFonts w:ascii="Verdana" w:hAnsi="Verdana"/>
          <w:sz w:val="20"/>
          <w:szCs w:val="20"/>
        </w:rPr>
        <w:t>derivadas de l</w:t>
      </w:r>
      <w:r w:rsidRPr="00167F1B">
        <w:rPr>
          <w:rFonts w:ascii="Verdana" w:hAnsi="Verdana"/>
          <w:sz w:val="20"/>
          <w:szCs w:val="20"/>
        </w:rPr>
        <w:t>a situación de conflicto existente entre la Comunidad de Punta Piedra y los pobladores de Río Miel.</w:t>
      </w:r>
    </w:p>
    <w:p w14:paraId="0C7049D0" w14:textId="77777777" w:rsidR="00E04121" w:rsidRDefault="00E04121" w:rsidP="00E04121">
      <w:pPr>
        <w:pStyle w:val="ListParagraph"/>
        <w:ind w:left="0"/>
        <w:jc w:val="both"/>
        <w:rPr>
          <w:rFonts w:ascii="Verdana" w:hAnsi="Verdana"/>
          <w:sz w:val="20"/>
          <w:szCs w:val="20"/>
        </w:rPr>
      </w:pPr>
    </w:p>
    <w:p w14:paraId="0C7049D1" w14:textId="77777777" w:rsidR="00E04121" w:rsidRDefault="00E04121" w:rsidP="00E04121">
      <w:pPr>
        <w:pStyle w:val="Heading2"/>
        <w:numPr>
          <w:ilvl w:val="0"/>
          <w:numId w:val="12"/>
        </w:numPr>
        <w:spacing w:before="0"/>
        <w:rPr>
          <w:rFonts w:ascii="Verdana" w:hAnsi="Verdana"/>
          <w:i/>
          <w:color w:val="auto"/>
          <w:sz w:val="20"/>
          <w:szCs w:val="20"/>
        </w:rPr>
      </w:pPr>
      <w:bookmarkStart w:id="34" w:name="_Toc421868204"/>
      <w:bookmarkStart w:id="35" w:name="_Toc437247323"/>
      <w:r w:rsidRPr="00ED0CB6">
        <w:rPr>
          <w:rFonts w:ascii="Verdana" w:hAnsi="Verdana"/>
          <w:i/>
          <w:color w:val="auto"/>
          <w:sz w:val="20"/>
          <w:szCs w:val="20"/>
        </w:rPr>
        <w:t xml:space="preserve">El Pueblo Garífuna </w:t>
      </w:r>
      <w:r w:rsidR="00780CDD">
        <w:rPr>
          <w:rFonts w:ascii="Verdana" w:hAnsi="Verdana"/>
          <w:i/>
          <w:color w:val="auto"/>
          <w:sz w:val="20"/>
          <w:szCs w:val="20"/>
        </w:rPr>
        <w:t xml:space="preserve">en Honduras </w:t>
      </w:r>
      <w:r>
        <w:rPr>
          <w:rFonts w:ascii="Verdana" w:hAnsi="Verdana"/>
          <w:i/>
          <w:color w:val="auto"/>
          <w:sz w:val="20"/>
          <w:szCs w:val="20"/>
        </w:rPr>
        <w:t>y la Comunidad Garífuna de Punta Piedra</w:t>
      </w:r>
      <w:bookmarkEnd w:id="34"/>
      <w:bookmarkEnd w:id="35"/>
    </w:p>
    <w:p w14:paraId="0C7049D2" w14:textId="77777777" w:rsidR="00E04121" w:rsidRDefault="00E04121" w:rsidP="00E04121"/>
    <w:p w14:paraId="0C7049D3" w14:textId="77777777" w:rsidR="00E04121" w:rsidRPr="0036495D" w:rsidRDefault="00E04121" w:rsidP="00E04121">
      <w:pPr>
        <w:pStyle w:val="Heading3"/>
        <w:spacing w:before="0"/>
        <w:ind w:left="360"/>
        <w:jc w:val="both"/>
        <w:rPr>
          <w:rFonts w:ascii="Verdana" w:hAnsi="Verdana"/>
          <w:i/>
          <w:color w:val="auto"/>
          <w:sz w:val="20"/>
          <w:szCs w:val="20"/>
        </w:rPr>
      </w:pPr>
      <w:bookmarkStart w:id="36" w:name="_Toc437247324"/>
      <w:r>
        <w:rPr>
          <w:rFonts w:ascii="Verdana" w:hAnsi="Verdana"/>
          <w:i/>
          <w:color w:val="auto"/>
          <w:sz w:val="20"/>
          <w:szCs w:val="20"/>
        </w:rPr>
        <w:t>A.1 Antecedentes</w:t>
      </w:r>
      <w:bookmarkEnd w:id="36"/>
    </w:p>
    <w:p w14:paraId="0C7049D4" w14:textId="77777777" w:rsidR="00E04121" w:rsidRPr="008446E1" w:rsidRDefault="00E04121" w:rsidP="00E04121"/>
    <w:p w14:paraId="0C7049D5" w14:textId="57CA0794" w:rsidR="004C423B" w:rsidRDefault="004C423B" w:rsidP="004C423B">
      <w:pPr>
        <w:pStyle w:val="ListParagraph"/>
        <w:numPr>
          <w:ilvl w:val="0"/>
          <w:numId w:val="17"/>
        </w:numPr>
        <w:ind w:left="0" w:hanging="11"/>
        <w:jc w:val="both"/>
        <w:rPr>
          <w:rFonts w:ascii="Verdana" w:hAnsi="Verdana"/>
          <w:sz w:val="20"/>
          <w:szCs w:val="20"/>
        </w:rPr>
      </w:pPr>
      <w:r>
        <w:rPr>
          <w:rFonts w:ascii="Verdana" w:hAnsi="Verdana" w:cs="Arial"/>
          <w:sz w:val="20"/>
          <w:szCs w:val="20"/>
        </w:rPr>
        <w:t>Honduras tiene una composición multiétnica y pluricultural, y está integrad</w:t>
      </w:r>
      <w:r w:rsidR="006857BF">
        <w:rPr>
          <w:rFonts w:ascii="Verdana" w:hAnsi="Verdana" w:cs="Arial"/>
          <w:sz w:val="20"/>
          <w:szCs w:val="20"/>
        </w:rPr>
        <w:t>a</w:t>
      </w:r>
      <w:r>
        <w:rPr>
          <w:rFonts w:ascii="Verdana" w:hAnsi="Verdana" w:cs="Arial"/>
          <w:sz w:val="20"/>
          <w:szCs w:val="20"/>
        </w:rPr>
        <w:t xml:space="preserve"> </w:t>
      </w:r>
      <w:r w:rsidR="0086236B" w:rsidRPr="00A0324F">
        <w:rPr>
          <w:rFonts w:ascii="Verdana" w:hAnsi="Verdana"/>
          <w:sz w:val="20"/>
          <w:szCs w:val="20"/>
        </w:rPr>
        <w:t>principalmente</w:t>
      </w:r>
      <w:r w:rsidR="006857BF" w:rsidRPr="006857BF">
        <w:rPr>
          <w:rFonts w:ascii="Verdana" w:hAnsi="Verdana" w:cs="Arial"/>
          <w:sz w:val="20"/>
          <w:szCs w:val="20"/>
        </w:rPr>
        <w:t xml:space="preserve"> </w:t>
      </w:r>
      <w:r>
        <w:rPr>
          <w:rFonts w:ascii="Verdana" w:hAnsi="Verdana" w:cs="Arial"/>
          <w:sz w:val="20"/>
          <w:szCs w:val="20"/>
        </w:rPr>
        <w:t xml:space="preserve">por personas mestizas, indígenas y </w:t>
      </w:r>
      <w:proofErr w:type="spellStart"/>
      <w:r>
        <w:rPr>
          <w:rFonts w:ascii="Verdana" w:hAnsi="Verdana" w:cs="Arial"/>
          <w:sz w:val="20"/>
          <w:szCs w:val="20"/>
        </w:rPr>
        <w:t>afrodescencientes</w:t>
      </w:r>
      <w:proofErr w:type="spellEnd"/>
      <w:r>
        <w:rPr>
          <w:rFonts w:ascii="Verdana" w:hAnsi="Verdana" w:cs="Arial"/>
          <w:sz w:val="20"/>
          <w:szCs w:val="20"/>
        </w:rPr>
        <w:t xml:space="preserve">. Existen estimaciones diversas sobre el número total de la población que compone el </w:t>
      </w:r>
      <w:r w:rsidR="00234BF6">
        <w:rPr>
          <w:rFonts w:ascii="Verdana" w:hAnsi="Verdana" w:cs="Arial"/>
          <w:sz w:val="20"/>
          <w:szCs w:val="20"/>
        </w:rPr>
        <w:t>P</w:t>
      </w:r>
      <w:r>
        <w:rPr>
          <w:rFonts w:ascii="Verdana" w:hAnsi="Verdana" w:cs="Arial"/>
          <w:sz w:val="20"/>
          <w:szCs w:val="20"/>
        </w:rPr>
        <w:t xml:space="preserve">ueblo Garífuna en Honduras. </w:t>
      </w:r>
      <w:r w:rsidRPr="00D2274D">
        <w:rPr>
          <w:rFonts w:ascii="Verdana" w:hAnsi="Verdana"/>
          <w:sz w:val="20"/>
          <w:szCs w:val="20"/>
        </w:rPr>
        <w:t>De acuerdo al censo realizado por el Instituto Nacional de Estadística en 2001</w:t>
      </w:r>
      <w:r w:rsidRPr="0003206F">
        <w:rPr>
          <w:rFonts w:ascii="Verdana" w:hAnsi="Verdana"/>
          <w:sz w:val="20"/>
          <w:szCs w:val="20"/>
        </w:rPr>
        <w:t xml:space="preserve">, </w:t>
      </w:r>
      <w:r w:rsidR="00904A54">
        <w:rPr>
          <w:rFonts w:ascii="Verdana" w:hAnsi="Verdana"/>
          <w:sz w:val="20"/>
          <w:szCs w:val="20"/>
        </w:rPr>
        <w:t xml:space="preserve">aproximadamente </w:t>
      </w:r>
      <w:r w:rsidR="0086236B" w:rsidRPr="00904A54">
        <w:rPr>
          <w:rFonts w:ascii="Verdana" w:hAnsi="Verdana"/>
          <w:sz w:val="20"/>
          <w:szCs w:val="20"/>
        </w:rPr>
        <w:t>49</w:t>
      </w:r>
      <w:r w:rsidRPr="00904A54">
        <w:rPr>
          <w:rFonts w:ascii="Verdana" w:hAnsi="Verdana"/>
          <w:sz w:val="20"/>
          <w:szCs w:val="20"/>
        </w:rPr>
        <w:t>.</w:t>
      </w:r>
      <w:r w:rsidR="0086236B" w:rsidRPr="00904A54">
        <w:rPr>
          <w:rFonts w:ascii="Verdana" w:hAnsi="Verdana"/>
          <w:sz w:val="20"/>
          <w:szCs w:val="20"/>
        </w:rPr>
        <w:t>000</w:t>
      </w:r>
      <w:r w:rsidRPr="007F7D49">
        <w:rPr>
          <w:rFonts w:ascii="Verdana" w:hAnsi="Verdana"/>
          <w:sz w:val="20"/>
          <w:szCs w:val="20"/>
        </w:rPr>
        <w:t xml:space="preserve"> p</w:t>
      </w:r>
      <w:r w:rsidRPr="00631669">
        <w:rPr>
          <w:rFonts w:ascii="Verdana" w:hAnsi="Verdana"/>
          <w:sz w:val="20"/>
          <w:szCs w:val="20"/>
        </w:rPr>
        <w:t>ersonas</w:t>
      </w:r>
      <w:r w:rsidRPr="00D2274D">
        <w:rPr>
          <w:rFonts w:ascii="Verdana" w:hAnsi="Verdana"/>
          <w:sz w:val="20"/>
          <w:szCs w:val="20"/>
        </w:rPr>
        <w:t xml:space="preserve"> se auto</w:t>
      </w:r>
      <w:r w:rsidR="00F70A68">
        <w:rPr>
          <w:rFonts w:ascii="Verdana" w:hAnsi="Verdana"/>
          <w:sz w:val="20"/>
          <w:szCs w:val="20"/>
        </w:rPr>
        <w:t>-</w:t>
      </w:r>
      <w:r w:rsidRPr="00D2274D">
        <w:rPr>
          <w:rFonts w:ascii="Verdana" w:hAnsi="Verdana"/>
          <w:sz w:val="20"/>
          <w:szCs w:val="20"/>
        </w:rPr>
        <w:t>identificaron como garífunas</w:t>
      </w:r>
      <w:r w:rsidR="00C67E2E">
        <w:rPr>
          <w:rStyle w:val="FootnoteReference"/>
          <w:szCs w:val="20"/>
        </w:rPr>
        <w:footnoteReference w:id="44"/>
      </w:r>
      <w:r w:rsidRPr="00D2274D">
        <w:rPr>
          <w:rFonts w:ascii="Verdana" w:hAnsi="Verdana"/>
          <w:sz w:val="20"/>
          <w:szCs w:val="20"/>
        </w:rPr>
        <w:t>, mientras que otras fuentes estiman una población aproximada de 98.000 personas</w:t>
      </w:r>
      <w:r w:rsidRPr="007002BD">
        <w:rPr>
          <w:rStyle w:val="FootnoteReference"/>
          <w:szCs w:val="20"/>
        </w:rPr>
        <w:footnoteReference w:id="45"/>
      </w:r>
      <w:r w:rsidRPr="00D2274D">
        <w:rPr>
          <w:rFonts w:ascii="Verdana" w:hAnsi="Verdana"/>
          <w:sz w:val="20"/>
          <w:szCs w:val="20"/>
        </w:rPr>
        <w:t>, aunque otras</w:t>
      </w:r>
      <w:r w:rsidR="00BA0E87">
        <w:rPr>
          <w:rFonts w:ascii="Verdana" w:hAnsi="Verdana"/>
          <w:sz w:val="20"/>
          <w:szCs w:val="20"/>
        </w:rPr>
        <w:t xml:space="preserve">, </w:t>
      </w:r>
      <w:r w:rsidRPr="00D2274D">
        <w:rPr>
          <w:rFonts w:ascii="Verdana" w:hAnsi="Verdana"/>
          <w:sz w:val="20"/>
          <w:szCs w:val="20"/>
        </w:rPr>
        <w:t xml:space="preserve">han estimado de forma diferente el número de </w:t>
      </w:r>
      <w:r w:rsidR="00C67E2E">
        <w:rPr>
          <w:rFonts w:ascii="Verdana" w:hAnsi="Verdana"/>
          <w:sz w:val="20"/>
          <w:szCs w:val="20"/>
        </w:rPr>
        <w:t>g</w:t>
      </w:r>
      <w:r w:rsidRPr="00D2274D">
        <w:rPr>
          <w:rFonts w:ascii="Verdana" w:hAnsi="Verdana"/>
          <w:sz w:val="20"/>
          <w:szCs w:val="20"/>
        </w:rPr>
        <w:t>arífunas</w:t>
      </w:r>
      <w:r w:rsidRPr="007002BD">
        <w:rPr>
          <w:rStyle w:val="FootnoteReference"/>
          <w:szCs w:val="20"/>
        </w:rPr>
        <w:footnoteReference w:id="46"/>
      </w:r>
      <w:r w:rsidRPr="00D2274D">
        <w:rPr>
          <w:rFonts w:ascii="Verdana" w:hAnsi="Verdana"/>
          <w:sz w:val="20"/>
          <w:szCs w:val="20"/>
        </w:rPr>
        <w:t>.</w:t>
      </w:r>
    </w:p>
    <w:p w14:paraId="0C7049D8" w14:textId="458847DB" w:rsidR="00D33282" w:rsidRPr="00A0324F" w:rsidRDefault="00E04121" w:rsidP="004C423B">
      <w:pPr>
        <w:pStyle w:val="ListParagraph"/>
        <w:numPr>
          <w:ilvl w:val="0"/>
          <w:numId w:val="17"/>
        </w:numPr>
        <w:ind w:left="0" w:hanging="11"/>
        <w:jc w:val="both"/>
        <w:rPr>
          <w:rFonts w:ascii="Verdana" w:hAnsi="Verdana"/>
          <w:sz w:val="20"/>
          <w:szCs w:val="20"/>
        </w:rPr>
      </w:pPr>
      <w:r w:rsidRPr="002D44D5">
        <w:rPr>
          <w:rFonts w:ascii="Verdana" w:hAnsi="Verdana" w:cs="Arial"/>
          <w:sz w:val="20"/>
          <w:szCs w:val="20"/>
        </w:rPr>
        <w:lastRenderedPageBreak/>
        <w:t>El origen del Pueblo</w:t>
      </w:r>
      <w:r w:rsidRPr="002D44D5">
        <w:rPr>
          <w:rFonts w:ascii="Verdana" w:hAnsi="Verdana" w:cs="Arial"/>
          <w:sz w:val="20"/>
          <w:szCs w:val="20"/>
          <w:lang w:val="es-ES"/>
        </w:rPr>
        <w:t xml:space="preserve"> Garífuna data del siglo </w:t>
      </w:r>
      <w:r w:rsidRPr="007615E4">
        <w:rPr>
          <w:rFonts w:ascii="Verdana" w:hAnsi="Verdana"/>
          <w:sz w:val="20"/>
          <w:lang w:val="es-ES"/>
        </w:rPr>
        <w:t>XVIII</w:t>
      </w:r>
      <w:r w:rsidRPr="002D44D5">
        <w:rPr>
          <w:rFonts w:ascii="Verdana" w:hAnsi="Verdana" w:cs="Arial"/>
          <w:sz w:val="20"/>
          <w:szCs w:val="20"/>
          <w:lang w:val="es-ES"/>
        </w:rPr>
        <w:t>, de la unión de africanos provenientes de barcos españoles que naufragaron en la Isla San Vicente en 1635 y los ameri</w:t>
      </w:r>
      <w:r w:rsidRPr="00DD5254">
        <w:rPr>
          <w:rFonts w:ascii="Verdana" w:hAnsi="Verdana" w:cs="Arial"/>
          <w:sz w:val="20"/>
          <w:szCs w:val="20"/>
          <w:lang w:val="es-ES"/>
        </w:rPr>
        <w:t>ndios que habitaban la zona desde antes de la colonización</w:t>
      </w:r>
      <w:r w:rsidRPr="00DD5254">
        <w:rPr>
          <w:rFonts w:ascii="Verdana" w:hAnsi="Verdana"/>
          <w:sz w:val="20"/>
          <w:szCs w:val="20"/>
          <w:lang w:val="es-CR"/>
        </w:rPr>
        <w:t xml:space="preserve">, siendo estos los pueblos indígenas de </w:t>
      </w:r>
      <w:proofErr w:type="spellStart"/>
      <w:r w:rsidRPr="00DD5254">
        <w:rPr>
          <w:rFonts w:ascii="Verdana" w:hAnsi="Verdana"/>
          <w:sz w:val="20"/>
          <w:szCs w:val="20"/>
          <w:lang w:val="es-CR"/>
        </w:rPr>
        <w:t>Arawak</w:t>
      </w:r>
      <w:proofErr w:type="spellEnd"/>
      <w:r w:rsidRPr="00DD5254">
        <w:rPr>
          <w:rFonts w:ascii="Verdana" w:hAnsi="Verdana"/>
          <w:sz w:val="20"/>
          <w:szCs w:val="20"/>
          <w:lang w:val="es-CR"/>
        </w:rPr>
        <w:t xml:space="preserve"> y </w:t>
      </w:r>
      <w:proofErr w:type="spellStart"/>
      <w:r w:rsidRPr="00DD5254">
        <w:rPr>
          <w:rFonts w:ascii="Verdana" w:hAnsi="Verdana"/>
          <w:sz w:val="20"/>
          <w:szCs w:val="20"/>
          <w:lang w:val="es-CR"/>
        </w:rPr>
        <w:t>Kalinagu</w:t>
      </w:r>
      <w:proofErr w:type="spellEnd"/>
      <w:r w:rsidRPr="002D44D5">
        <w:rPr>
          <w:rFonts w:ascii="Verdana" w:hAnsi="Verdana"/>
          <w:sz w:val="20"/>
          <w:szCs w:val="20"/>
          <w:lang w:val="es-CR"/>
        </w:rPr>
        <w:t xml:space="preserve">. De la unión de estos pueblos emergieron los </w:t>
      </w:r>
      <w:proofErr w:type="spellStart"/>
      <w:r w:rsidRPr="002D44D5">
        <w:rPr>
          <w:rFonts w:ascii="Verdana" w:hAnsi="Verdana"/>
          <w:sz w:val="20"/>
          <w:szCs w:val="20"/>
          <w:lang w:val="es-CR"/>
        </w:rPr>
        <w:t>Karaphunas</w:t>
      </w:r>
      <w:proofErr w:type="spellEnd"/>
      <w:r w:rsidRPr="002D44D5">
        <w:rPr>
          <w:rFonts w:ascii="Verdana" w:hAnsi="Verdana"/>
          <w:sz w:val="20"/>
          <w:szCs w:val="20"/>
          <w:lang w:val="es-CR"/>
        </w:rPr>
        <w:t>, quienes una vez que Gran Bretaña tomó el control de la Isla San Vicente en 1797, f</w:t>
      </w:r>
      <w:r w:rsidRPr="00DD5254">
        <w:rPr>
          <w:rFonts w:ascii="Verdana" w:hAnsi="Verdana"/>
          <w:sz w:val="20"/>
          <w:szCs w:val="20"/>
          <w:lang w:val="es-CR"/>
        </w:rPr>
        <w:t>ueron deportados a la Isla Roatán y de ahí emigraron a tierra firme en el territorio de lo que hoy es Honduras, asentándose a lo largo de la costa norte hondureña y hacia la costa del Caribe</w:t>
      </w:r>
      <w:r w:rsidR="000143BC">
        <w:rPr>
          <w:rFonts w:ascii="Verdana" w:hAnsi="Verdana"/>
          <w:sz w:val="20"/>
          <w:szCs w:val="20"/>
          <w:lang w:val="es-CR"/>
        </w:rPr>
        <w:t xml:space="preserve">, </w:t>
      </w:r>
      <w:r w:rsidR="0086236B" w:rsidRPr="00A0324F">
        <w:rPr>
          <w:rFonts w:ascii="Verdana" w:hAnsi="Verdana"/>
          <w:sz w:val="20"/>
          <w:szCs w:val="20"/>
          <w:lang w:val="es-CR"/>
        </w:rPr>
        <w:t xml:space="preserve">Guatemala, Nicaragua </w:t>
      </w:r>
      <w:r w:rsidRPr="002D44D5">
        <w:rPr>
          <w:rFonts w:ascii="Verdana" w:hAnsi="Verdana"/>
          <w:sz w:val="20"/>
          <w:szCs w:val="20"/>
          <w:lang w:val="es-CR"/>
        </w:rPr>
        <w:t>y Belice</w:t>
      </w:r>
      <w:r w:rsidRPr="002D44D5">
        <w:rPr>
          <w:rStyle w:val="FootnoteReference"/>
          <w:szCs w:val="20"/>
          <w:lang w:val="es-CR"/>
        </w:rPr>
        <w:footnoteReference w:id="47"/>
      </w:r>
      <w:r w:rsidRPr="002D44D5">
        <w:rPr>
          <w:rFonts w:ascii="Verdana" w:hAnsi="Verdana"/>
          <w:sz w:val="20"/>
          <w:szCs w:val="20"/>
          <w:lang w:val="es-CR"/>
        </w:rPr>
        <w:t xml:space="preserve">. </w:t>
      </w:r>
      <w:r w:rsidR="004C423B" w:rsidRPr="002D44D5">
        <w:rPr>
          <w:rFonts w:ascii="Verdana" w:hAnsi="Verdana"/>
          <w:sz w:val="20"/>
          <w:szCs w:val="20"/>
          <w:lang w:val="es-CR"/>
        </w:rPr>
        <w:t>Actualmente,</w:t>
      </w:r>
      <w:r w:rsidR="00962EC6" w:rsidRPr="002D44D5">
        <w:rPr>
          <w:rFonts w:ascii="Verdana" w:hAnsi="Verdana"/>
          <w:sz w:val="20"/>
          <w:szCs w:val="20"/>
          <w:lang w:val="es-CR"/>
        </w:rPr>
        <w:t xml:space="preserve"> </w:t>
      </w:r>
      <w:r w:rsidR="004C423B" w:rsidRPr="002D44D5">
        <w:rPr>
          <w:rFonts w:ascii="Verdana" w:hAnsi="Verdana"/>
          <w:sz w:val="20"/>
          <w:szCs w:val="20"/>
        </w:rPr>
        <w:t>e</w:t>
      </w:r>
      <w:r w:rsidRPr="002D44D5">
        <w:rPr>
          <w:rFonts w:ascii="Verdana" w:hAnsi="Verdana"/>
          <w:sz w:val="20"/>
          <w:szCs w:val="20"/>
          <w:lang w:val="es-CR"/>
        </w:rPr>
        <w:t xml:space="preserve">l </w:t>
      </w:r>
      <w:r w:rsidR="00962EC6" w:rsidRPr="002D44D5">
        <w:rPr>
          <w:rFonts w:ascii="Verdana" w:hAnsi="Verdana"/>
          <w:sz w:val="20"/>
          <w:szCs w:val="20"/>
          <w:lang w:val="es-CR"/>
        </w:rPr>
        <w:t>P</w:t>
      </w:r>
      <w:r w:rsidRPr="002D44D5">
        <w:rPr>
          <w:rFonts w:ascii="Verdana" w:hAnsi="Verdana"/>
          <w:sz w:val="20"/>
          <w:szCs w:val="20"/>
          <w:lang w:val="es-CR"/>
        </w:rPr>
        <w:t>ueblo Garífuna está conformado por aproximadamente 4</w:t>
      </w:r>
      <w:r w:rsidR="002D44D5">
        <w:rPr>
          <w:rFonts w:ascii="Verdana" w:hAnsi="Verdana"/>
          <w:sz w:val="20"/>
          <w:szCs w:val="20"/>
          <w:lang w:val="es-CR"/>
        </w:rPr>
        <w:t>0</w:t>
      </w:r>
      <w:r w:rsidRPr="002D44D5">
        <w:rPr>
          <w:rFonts w:ascii="Verdana" w:hAnsi="Verdana"/>
          <w:sz w:val="20"/>
          <w:szCs w:val="20"/>
          <w:lang w:val="es-CR"/>
        </w:rPr>
        <w:t xml:space="preserve"> comunidades</w:t>
      </w:r>
      <w:r w:rsidRPr="002D44D5">
        <w:rPr>
          <w:rStyle w:val="FootnoteReference"/>
          <w:szCs w:val="20"/>
          <w:lang w:val="es-CR"/>
        </w:rPr>
        <w:footnoteReference w:id="48"/>
      </w:r>
      <w:r w:rsidRPr="002D44D5">
        <w:rPr>
          <w:rFonts w:ascii="Verdana" w:hAnsi="Verdana"/>
          <w:sz w:val="20"/>
          <w:szCs w:val="20"/>
          <w:lang w:val="es-CR"/>
        </w:rPr>
        <w:t xml:space="preserve"> que se extienden a lo largo del litoral atlántico o zona costera del </w:t>
      </w:r>
      <w:r w:rsidR="00F70A68" w:rsidRPr="002D44D5">
        <w:rPr>
          <w:rFonts w:ascii="Verdana" w:hAnsi="Verdana"/>
          <w:sz w:val="20"/>
          <w:szCs w:val="20"/>
          <w:lang w:val="es-CR"/>
        </w:rPr>
        <w:t>c</w:t>
      </w:r>
      <w:r w:rsidRPr="002D44D5">
        <w:rPr>
          <w:rFonts w:ascii="Verdana" w:hAnsi="Verdana"/>
          <w:sz w:val="20"/>
          <w:szCs w:val="20"/>
          <w:lang w:val="es-CR"/>
        </w:rPr>
        <w:t xml:space="preserve">aribe, abarcando los </w:t>
      </w:r>
      <w:r w:rsidR="00F70A68" w:rsidRPr="002D44D5">
        <w:rPr>
          <w:rFonts w:ascii="Verdana" w:hAnsi="Verdana"/>
          <w:sz w:val="20"/>
          <w:szCs w:val="20"/>
          <w:lang w:val="es-CR"/>
        </w:rPr>
        <w:t>d</w:t>
      </w:r>
      <w:r w:rsidRPr="002D44D5">
        <w:rPr>
          <w:rFonts w:ascii="Verdana" w:hAnsi="Verdana"/>
          <w:sz w:val="20"/>
          <w:szCs w:val="20"/>
          <w:lang w:val="es-CR"/>
        </w:rPr>
        <w:t>epartamentos de Cortés, Atlántida, Colón y Gracias a Dios, asimismo un número creciente de garíf</w:t>
      </w:r>
      <w:r w:rsidRPr="00DD5254">
        <w:rPr>
          <w:rFonts w:ascii="Verdana" w:hAnsi="Verdana"/>
          <w:sz w:val="20"/>
          <w:szCs w:val="20"/>
          <w:lang w:val="es-CR"/>
        </w:rPr>
        <w:t>unas vive en ciudades como La Ceiba, Tela, Cortés, Trujillo, San Pedro Sula y Tegucigalpa</w:t>
      </w:r>
      <w:r w:rsidR="00DD5254">
        <w:rPr>
          <w:rStyle w:val="FootnoteReference"/>
          <w:szCs w:val="20"/>
          <w:lang w:val="es-CR"/>
        </w:rPr>
        <w:footnoteReference w:id="49"/>
      </w:r>
      <w:r w:rsidR="00F70A68" w:rsidRPr="00DD5254">
        <w:rPr>
          <w:rFonts w:ascii="Verdana" w:hAnsi="Verdana"/>
          <w:sz w:val="20"/>
          <w:szCs w:val="20"/>
          <w:lang w:val="es-CR"/>
        </w:rPr>
        <w:t>.</w:t>
      </w:r>
    </w:p>
    <w:p w14:paraId="0C7049D9" w14:textId="56F2D103" w:rsidR="006A0E8F" w:rsidRDefault="006A0E8F" w:rsidP="00A0324F">
      <w:pPr>
        <w:pStyle w:val="ListParagraph"/>
        <w:ind w:left="0"/>
        <w:jc w:val="both"/>
        <w:rPr>
          <w:rFonts w:ascii="Verdana" w:hAnsi="Verdana"/>
          <w:sz w:val="20"/>
          <w:szCs w:val="20"/>
        </w:rPr>
      </w:pPr>
    </w:p>
    <w:p w14:paraId="0C7049DB" w14:textId="0CF9FFB3" w:rsidR="00E04121" w:rsidRPr="001D2BE2" w:rsidRDefault="00E04121" w:rsidP="00E04121">
      <w:pPr>
        <w:pStyle w:val="ListParagraph"/>
        <w:numPr>
          <w:ilvl w:val="0"/>
          <w:numId w:val="17"/>
        </w:numPr>
        <w:ind w:left="0" w:hanging="11"/>
        <w:jc w:val="both"/>
        <w:rPr>
          <w:rFonts w:ascii="Verdana" w:hAnsi="Verdana"/>
          <w:sz w:val="20"/>
          <w:szCs w:val="20"/>
        </w:rPr>
      </w:pPr>
      <w:r w:rsidRPr="00DD5254">
        <w:rPr>
          <w:rFonts w:ascii="Verdana" w:hAnsi="Verdana"/>
          <w:sz w:val="20"/>
          <w:szCs w:val="20"/>
          <w:lang w:val="es-CR"/>
        </w:rPr>
        <w:t xml:space="preserve">El </w:t>
      </w:r>
      <w:r w:rsidR="00F70A68" w:rsidRPr="00DD5254">
        <w:rPr>
          <w:rFonts w:ascii="Verdana" w:hAnsi="Verdana"/>
          <w:sz w:val="20"/>
          <w:szCs w:val="20"/>
          <w:lang w:val="es-CR"/>
        </w:rPr>
        <w:t>P</w:t>
      </w:r>
      <w:r w:rsidRPr="00DD5254">
        <w:rPr>
          <w:rFonts w:ascii="Verdana" w:hAnsi="Verdana"/>
          <w:sz w:val="20"/>
          <w:szCs w:val="20"/>
          <w:lang w:val="es-CR"/>
        </w:rPr>
        <w:t>ueblo Garífuna constituye una cultura y un grupo étnico diferenciado, proveniente de un sincretismo entre indígenas y africanos, quienes han hecho valer sus derechos en Honduras como pueblo indígena</w:t>
      </w:r>
      <w:r w:rsidR="00F70A68" w:rsidRPr="00DD5254">
        <w:rPr>
          <w:rFonts w:ascii="Verdana" w:hAnsi="Verdana"/>
          <w:sz w:val="20"/>
          <w:szCs w:val="20"/>
          <w:lang w:val="es-CR"/>
        </w:rPr>
        <w:t xml:space="preserve">. </w:t>
      </w:r>
      <w:r w:rsidRPr="00DD5254">
        <w:rPr>
          <w:rFonts w:ascii="Verdana" w:hAnsi="Verdana"/>
          <w:sz w:val="20"/>
          <w:szCs w:val="20"/>
          <w:lang w:val="es-CR"/>
        </w:rPr>
        <w:t>Los garífuna se identifican como un pueblo indígena heredero de los caribes insulares, con algunas manifestaciones culturales de origen africano</w:t>
      </w:r>
      <w:r w:rsidR="00F70A68" w:rsidRPr="00DD5254">
        <w:rPr>
          <w:rFonts w:ascii="Verdana" w:hAnsi="Verdana"/>
          <w:sz w:val="20"/>
          <w:szCs w:val="20"/>
          <w:lang w:val="es-CR"/>
        </w:rPr>
        <w:t xml:space="preserve">, </w:t>
      </w:r>
      <w:r w:rsidRPr="00DD5254">
        <w:rPr>
          <w:rFonts w:ascii="Verdana" w:hAnsi="Verdana"/>
          <w:sz w:val="20"/>
          <w:szCs w:val="20"/>
          <w:lang w:val="es-MX"/>
        </w:rPr>
        <w:t>siendo la auto</w:t>
      </w:r>
      <w:r w:rsidR="00F70A68" w:rsidRPr="00DD5254">
        <w:rPr>
          <w:rFonts w:ascii="Verdana" w:hAnsi="Verdana"/>
          <w:sz w:val="20"/>
          <w:szCs w:val="20"/>
          <w:lang w:val="es-MX"/>
        </w:rPr>
        <w:t>-</w:t>
      </w:r>
      <w:r w:rsidRPr="00DD5254">
        <w:rPr>
          <w:rFonts w:ascii="Verdana" w:hAnsi="Verdana"/>
          <w:sz w:val="20"/>
          <w:szCs w:val="20"/>
          <w:lang w:val="es-MX"/>
        </w:rPr>
        <w:t>identificación un criterio subjetivo</w:t>
      </w:r>
      <w:r w:rsidRPr="002D44D5">
        <w:rPr>
          <w:rFonts w:ascii="Verdana" w:hAnsi="Verdana"/>
          <w:sz w:val="20"/>
          <w:szCs w:val="20"/>
          <w:lang w:val="es-MX"/>
        </w:rPr>
        <w:t xml:space="preserve">, y uno </w:t>
      </w:r>
      <w:r w:rsidRPr="002D44D5">
        <w:rPr>
          <w:rFonts w:ascii="Verdana" w:hAnsi="Verdana"/>
          <w:sz w:val="20"/>
          <w:szCs w:val="20"/>
          <w:lang w:val="es-MX"/>
        </w:rPr>
        <w:lastRenderedPageBreak/>
        <w:t>de los criterios principales y determinantes recogidos en el artículo 1.2 del Convenio 169 de la OIT, a fin de ser considerado como pueblo indígena o tribal</w:t>
      </w:r>
      <w:r w:rsidR="006B396A" w:rsidRPr="002D44D5">
        <w:rPr>
          <w:rStyle w:val="FootnoteReference"/>
          <w:szCs w:val="20"/>
          <w:lang w:val="es-MX"/>
        </w:rPr>
        <w:footnoteReference w:id="50"/>
      </w:r>
      <w:r w:rsidRPr="002D44D5">
        <w:rPr>
          <w:rFonts w:ascii="Verdana" w:hAnsi="Verdana"/>
          <w:sz w:val="20"/>
          <w:szCs w:val="20"/>
          <w:lang w:val="es-MX"/>
        </w:rPr>
        <w:t>.</w:t>
      </w:r>
      <w:r w:rsidRPr="002D44D5">
        <w:rPr>
          <w:rFonts w:ascii="Verdana" w:hAnsi="Verdana"/>
          <w:sz w:val="20"/>
          <w:szCs w:val="20"/>
          <w:lang w:val="es-CR"/>
        </w:rPr>
        <w:t xml:space="preserve"> </w:t>
      </w:r>
    </w:p>
    <w:p w14:paraId="1A8FDB74" w14:textId="77777777" w:rsidR="001D2BE2" w:rsidRPr="002D44D5" w:rsidRDefault="001D2BE2" w:rsidP="001D2BE2">
      <w:pPr>
        <w:pStyle w:val="ListParagraph"/>
        <w:ind w:left="0"/>
        <w:jc w:val="both"/>
        <w:rPr>
          <w:rFonts w:ascii="Verdana" w:hAnsi="Verdana"/>
          <w:sz w:val="20"/>
          <w:szCs w:val="20"/>
        </w:rPr>
      </w:pPr>
    </w:p>
    <w:p w14:paraId="0C7049DD" w14:textId="5AB527EC" w:rsidR="006B396A" w:rsidRPr="00A0324F" w:rsidRDefault="00E04121" w:rsidP="006B396A">
      <w:pPr>
        <w:pStyle w:val="ListParagraph"/>
        <w:numPr>
          <w:ilvl w:val="0"/>
          <w:numId w:val="17"/>
        </w:numPr>
        <w:ind w:left="0" w:hanging="11"/>
        <w:jc w:val="both"/>
        <w:rPr>
          <w:rFonts w:ascii="Verdana" w:hAnsi="Verdana"/>
          <w:sz w:val="20"/>
          <w:szCs w:val="20"/>
        </w:rPr>
      </w:pPr>
      <w:r w:rsidRPr="00DD5254">
        <w:rPr>
          <w:rFonts w:ascii="Verdana" w:hAnsi="Verdana"/>
          <w:sz w:val="20"/>
          <w:szCs w:val="20"/>
          <w:lang w:val="es-CR"/>
        </w:rPr>
        <w:t xml:space="preserve">Asimismo, </w:t>
      </w:r>
      <w:r w:rsidRPr="00DD5254">
        <w:rPr>
          <w:rFonts w:ascii="Verdana" w:hAnsi="Verdana"/>
          <w:sz w:val="20"/>
          <w:szCs w:val="20"/>
          <w:lang w:val="es-MX"/>
        </w:rPr>
        <w:t>el artículo 1.1 del Convenio 169 de la OIT</w:t>
      </w:r>
      <w:r w:rsidRPr="00DD5254">
        <w:rPr>
          <w:rFonts w:ascii="Verdana" w:hAnsi="Verdana"/>
          <w:sz w:val="20"/>
          <w:szCs w:val="20"/>
          <w:lang w:val="es-CR"/>
        </w:rPr>
        <w:t xml:space="preserve"> establece criterios objetivos</w:t>
      </w:r>
      <w:r w:rsidRPr="002D44D5">
        <w:rPr>
          <w:rStyle w:val="FootnoteReference"/>
          <w:szCs w:val="20"/>
          <w:lang w:val="es-MX"/>
        </w:rPr>
        <w:footnoteReference w:id="51"/>
      </w:r>
      <w:r w:rsidRPr="002D44D5">
        <w:rPr>
          <w:rFonts w:ascii="Verdana" w:hAnsi="Verdana"/>
          <w:sz w:val="20"/>
          <w:szCs w:val="20"/>
          <w:lang w:val="es-MX"/>
        </w:rPr>
        <w:t xml:space="preserve"> a efectos de describir a los pueblos que pretende proteger. En este sentido, </w:t>
      </w:r>
      <w:r w:rsidRPr="002D44D5">
        <w:rPr>
          <w:rFonts w:ascii="Verdana" w:hAnsi="Verdana"/>
          <w:sz w:val="20"/>
          <w:szCs w:val="20"/>
          <w:lang w:val="es-CR"/>
        </w:rPr>
        <w:t xml:space="preserve">la identidad del </w:t>
      </w:r>
      <w:r w:rsidR="00F70A68" w:rsidRPr="002D44D5">
        <w:rPr>
          <w:rFonts w:ascii="Verdana" w:hAnsi="Verdana"/>
          <w:sz w:val="20"/>
          <w:szCs w:val="20"/>
          <w:lang w:val="es-CR"/>
        </w:rPr>
        <w:t>P</w:t>
      </w:r>
      <w:r w:rsidRPr="002D44D5">
        <w:rPr>
          <w:rFonts w:ascii="Verdana" w:hAnsi="Verdana"/>
          <w:sz w:val="20"/>
          <w:szCs w:val="20"/>
          <w:lang w:val="es-CR"/>
        </w:rPr>
        <w:t xml:space="preserve">ueblo Garífuna se ve reforzada por un lenguaje propio, </w:t>
      </w:r>
      <w:r w:rsidR="0086236B" w:rsidRPr="00A0324F">
        <w:rPr>
          <w:rFonts w:ascii="Verdana" w:hAnsi="Verdana"/>
          <w:sz w:val="20"/>
          <w:szCs w:val="20"/>
          <w:lang w:val="es-CR"/>
        </w:rPr>
        <w:t xml:space="preserve">que “pertenece a la familia de lenguas </w:t>
      </w:r>
      <w:proofErr w:type="spellStart"/>
      <w:r w:rsidR="0086236B" w:rsidRPr="00A0324F">
        <w:rPr>
          <w:rFonts w:ascii="Verdana" w:hAnsi="Verdana"/>
          <w:sz w:val="20"/>
          <w:szCs w:val="20"/>
          <w:lang w:val="es-CR"/>
        </w:rPr>
        <w:t>arawak</w:t>
      </w:r>
      <w:proofErr w:type="spellEnd"/>
      <w:r w:rsidR="0086236B" w:rsidRPr="00A0324F">
        <w:rPr>
          <w:rFonts w:ascii="Verdana" w:hAnsi="Verdana"/>
          <w:sz w:val="20"/>
          <w:szCs w:val="20"/>
          <w:lang w:val="es-CR"/>
        </w:rPr>
        <w:t>”</w:t>
      </w:r>
      <w:r w:rsidRPr="006B396A">
        <w:rPr>
          <w:rStyle w:val="FootnoteReference"/>
          <w:szCs w:val="20"/>
          <w:lang w:val="es-CR"/>
        </w:rPr>
        <w:footnoteReference w:id="52"/>
      </w:r>
      <w:r w:rsidRPr="006B396A">
        <w:rPr>
          <w:rFonts w:ascii="Verdana" w:hAnsi="Verdana"/>
          <w:sz w:val="20"/>
          <w:szCs w:val="20"/>
          <w:lang w:val="es-CR"/>
        </w:rPr>
        <w:t xml:space="preserve"> y por sus formas de organización </w:t>
      </w:r>
      <w:r w:rsidRPr="000531BF">
        <w:rPr>
          <w:rFonts w:ascii="Verdana" w:hAnsi="Verdana"/>
          <w:sz w:val="20"/>
          <w:szCs w:val="20"/>
          <w:lang w:val="es-CR"/>
        </w:rPr>
        <w:t>tradicional alrededor de manifestaciones culturales, como la danza y la música, que juegan un rol importante en la transmisión oral de su historia y tradiciones</w:t>
      </w:r>
      <w:r w:rsidRPr="006B396A">
        <w:rPr>
          <w:rStyle w:val="FootnoteReference"/>
          <w:szCs w:val="20"/>
          <w:lang w:val="es-CR"/>
        </w:rPr>
        <w:footnoteReference w:id="53"/>
      </w:r>
      <w:r w:rsidRPr="006B396A">
        <w:rPr>
          <w:rFonts w:ascii="Verdana" w:hAnsi="Verdana"/>
          <w:sz w:val="20"/>
          <w:szCs w:val="20"/>
          <w:lang w:val="es-CR"/>
        </w:rPr>
        <w:t>.</w:t>
      </w:r>
    </w:p>
    <w:p w14:paraId="0C7049DE" w14:textId="77777777" w:rsidR="006A0E8F" w:rsidRPr="00A0324F" w:rsidRDefault="006A0E8F" w:rsidP="00A0324F">
      <w:pPr>
        <w:pStyle w:val="ListParagraph"/>
        <w:ind w:left="0"/>
        <w:jc w:val="both"/>
        <w:rPr>
          <w:rFonts w:ascii="Verdana" w:hAnsi="Verdana"/>
          <w:sz w:val="20"/>
          <w:szCs w:val="20"/>
        </w:rPr>
      </w:pPr>
    </w:p>
    <w:p w14:paraId="0C7049E1" w14:textId="37B56591" w:rsidR="00E04121" w:rsidRDefault="00E04121" w:rsidP="00E04121">
      <w:pPr>
        <w:pStyle w:val="ListParagraph"/>
        <w:numPr>
          <w:ilvl w:val="0"/>
          <w:numId w:val="17"/>
        </w:numPr>
        <w:ind w:left="0" w:hanging="11"/>
        <w:jc w:val="both"/>
        <w:rPr>
          <w:rFonts w:ascii="Verdana" w:hAnsi="Verdana"/>
          <w:sz w:val="20"/>
          <w:szCs w:val="20"/>
        </w:rPr>
      </w:pPr>
      <w:r w:rsidRPr="002D44D5">
        <w:rPr>
          <w:rFonts w:ascii="Verdana" w:hAnsi="Verdana"/>
          <w:sz w:val="20"/>
          <w:szCs w:val="20"/>
          <w:lang w:val="es-CR"/>
        </w:rPr>
        <w:t xml:space="preserve">El garífuna sostiene una relación especial con </w:t>
      </w:r>
      <w:r w:rsidRPr="002D44D5">
        <w:rPr>
          <w:rFonts w:ascii="Verdana" w:hAnsi="Verdana" w:cs="Arial"/>
          <w:sz w:val="20"/>
          <w:szCs w:val="20"/>
          <w:lang w:val="es-ES"/>
        </w:rPr>
        <w:t>la tierra, los recursos naturales, el bosque, la playa y el mar</w:t>
      </w:r>
      <w:r w:rsidR="00E43887" w:rsidRPr="002D44D5">
        <w:rPr>
          <w:rFonts w:ascii="Verdana" w:hAnsi="Verdana" w:cs="Arial"/>
          <w:sz w:val="20"/>
          <w:szCs w:val="20"/>
          <w:lang w:val="es-ES"/>
        </w:rPr>
        <w:t xml:space="preserve">. </w:t>
      </w:r>
      <w:r w:rsidRPr="002D44D5">
        <w:rPr>
          <w:rFonts w:ascii="Verdana" w:hAnsi="Verdana"/>
          <w:sz w:val="20"/>
          <w:szCs w:val="20"/>
          <w:lang w:val="es-CR"/>
        </w:rPr>
        <w:t xml:space="preserve">Éstos últimos, además de tener un valor fundamental para su subsistencia, están vinculados a su historia, ya </w:t>
      </w:r>
      <w:r w:rsidRPr="00DD5254">
        <w:rPr>
          <w:rFonts w:ascii="Verdana" w:hAnsi="Verdana"/>
          <w:sz w:val="20"/>
          <w:szCs w:val="20"/>
          <w:lang w:val="es-CR"/>
        </w:rPr>
        <w:t xml:space="preserve">que son fundamentales para sus </w:t>
      </w:r>
      <w:r w:rsidRPr="00DD5254">
        <w:rPr>
          <w:rFonts w:ascii="Verdana" w:hAnsi="Verdana"/>
          <w:sz w:val="20"/>
          <w:szCs w:val="20"/>
          <w:lang w:val="es-CR"/>
        </w:rPr>
        <w:lastRenderedPageBreak/>
        <w:t>ceremonias religiosas y de conmemoración de su llegada por mar a Centroamérica</w:t>
      </w:r>
      <w:r w:rsidRPr="002D44D5">
        <w:rPr>
          <w:rStyle w:val="FootnoteReference"/>
          <w:szCs w:val="20"/>
          <w:lang w:val="es-CR"/>
        </w:rPr>
        <w:footnoteReference w:id="54"/>
      </w:r>
      <w:r w:rsidR="00E43887" w:rsidRPr="002D44D5">
        <w:rPr>
          <w:rFonts w:ascii="Verdana" w:hAnsi="Verdana"/>
          <w:sz w:val="20"/>
          <w:szCs w:val="20"/>
          <w:lang w:val="es-CR"/>
        </w:rPr>
        <w:t xml:space="preserve">. </w:t>
      </w:r>
      <w:r w:rsidRPr="002D44D5">
        <w:rPr>
          <w:rFonts w:ascii="Verdana" w:hAnsi="Verdana"/>
          <w:sz w:val="20"/>
          <w:szCs w:val="20"/>
          <w:lang w:val="es-CR"/>
        </w:rPr>
        <w:t>Esta estrecha relación se refleja en la</w:t>
      </w:r>
      <w:r w:rsidRPr="00167F1B">
        <w:rPr>
          <w:rFonts w:ascii="Verdana" w:hAnsi="Verdana"/>
          <w:sz w:val="20"/>
          <w:szCs w:val="20"/>
          <w:lang w:val="es-CR"/>
        </w:rPr>
        <w:t xml:space="preserve"> creencia de que “[l]a tierra es [la] madre”, por lo que no es posible desvincular la producción agrícola de la reproducción social y cultural</w:t>
      </w:r>
      <w:r w:rsidRPr="00986EB6">
        <w:rPr>
          <w:rStyle w:val="FootnoteReference"/>
          <w:szCs w:val="20"/>
          <w:lang w:val="es-CR"/>
        </w:rPr>
        <w:footnoteReference w:id="55"/>
      </w:r>
      <w:r w:rsidRPr="00167F1B">
        <w:rPr>
          <w:rFonts w:ascii="Verdana" w:hAnsi="Verdana"/>
          <w:sz w:val="20"/>
          <w:szCs w:val="20"/>
          <w:lang w:val="es-CR"/>
        </w:rPr>
        <w:t>.</w:t>
      </w:r>
    </w:p>
    <w:p w14:paraId="0C7049E2" w14:textId="77777777" w:rsidR="00E04121" w:rsidRPr="00167F1B" w:rsidRDefault="00E04121" w:rsidP="00E04121">
      <w:pPr>
        <w:pStyle w:val="ListParagraph"/>
        <w:rPr>
          <w:rFonts w:ascii="Verdana" w:hAnsi="Verdana"/>
          <w:sz w:val="20"/>
          <w:szCs w:val="20"/>
          <w:lang w:val="es-CR"/>
        </w:rPr>
      </w:pPr>
    </w:p>
    <w:p w14:paraId="0C7049E3" w14:textId="74591D42"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Las comunidades del </w:t>
      </w:r>
      <w:r w:rsidR="00E43887">
        <w:rPr>
          <w:rFonts w:ascii="Verdana" w:hAnsi="Verdana"/>
          <w:sz w:val="20"/>
          <w:szCs w:val="20"/>
          <w:lang w:val="es-CR"/>
        </w:rPr>
        <w:t>P</w:t>
      </w:r>
      <w:r w:rsidRPr="00167F1B">
        <w:rPr>
          <w:rFonts w:ascii="Verdana" w:hAnsi="Verdana"/>
          <w:sz w:val="20"/>
          <w:szCs w:val="20"/>
          <w:lang w:val="es-CR"/>
        </w:rPr>
        <w:t>ueblo Garífuna mantienen los usos comunitarios tradicionales de la tierra y otros patrones de trabajo que reflejan sus orígenes, su hogar en la costa caribeña de Honduras y su cultura</w:t>
      </w:r>
      <w:r w:rsidRPr="00986EB6">
        <w:rPr>
          <w:rStyle w:val="FootnoteReference"/>
          <w:szCs w:val="20"/>
          <w:lang w:val="es-CR"/>
        </w:rPr>
        <w:footnoteReference w:id="56"/>
      </w:r>
      <w:r w:rsidRPr="00167F1B">
        <w:rPr>
          <w:rFonts w:ascii="Verdana" w:hAnsi="Verdana"/>
          <w:sz w:val="20"/>
          <w:szCs w:val="20"/>
          <w:lang w:val="es-CR"/>
        </w:rPr>
        <w:t>. Según el perito Christopher Loperena “[h]</w:t>
      </w:r>
      <w:proofErr w:type="spellStart"/>
      <w:r w:rsidRPr="00167F1B">
        <w:rPr>
          <w:rFonts w:ascii="Verdana" w:hAnsi="Verdana"/>
          <w:sz w:val="20"/>
          <w:szCs w:val="20"/>
          <w:lang w:val="es-CR"/>
        </w:rPr>
        <w:t>istóricamente</w:t>
      </w:r>
      <w:proofErr w:type="spellEnd"/>
      <w:r w:rsidRPr="00167F1B">
        <w:rPr>
          <w:rFonts w:ascii="Verdana" w:hAnsi="Verdana"/>
          <w:sz w:val="20"/>
          <w:szCs w:val="20"/>
          <w:lang w:val="es-CR"/>
        </w:rPr>
        <w:t xml:space="preserve">, los miembros de la comunidad se movían en grupos a la zona de producción agrícola y trabajaban la tierra </w:t>
      </w:r>
      <w:r w:rsidR="00E43887">
        <w:rPr>
          <w:rFonts w:ascii="Verdana" w:hAnsi="Verdana"/>
          <w:sz w:val="20"/>
          <w:szCs w:val="20"/>
          <w:lang w:val="es-CR"/>
        </w:rPr>
        <w:t xml:space="preserve">de manera </w:t>
      </w:r>
      <w:r w:rsidRPr="00167F1B">
        <w:rPr>
          <w:rFonts w:ascii="Verdana" w:hAnsi="Verdana"/>
          <w:sz w:val="20"/>
          <w:szCs w:val="20"/>
          <w:lang w:val="es-CR"/>
        </w:rPr>
        <w:t>colectiva, pero hoy</w:t>
      </w:r>
      <w:r w:rsidR="00E43887">
        <w:rPr>
          <w:rFonts w:ascii="Verdana" w:hAnsi="Verdana"/>
          <w:sz w:val="20"/>
          <w:szCs w:val="20"/>
          <w:lang w:val="es-CR"/>
        </w:rPr>
        <w:t>[,]</w:t>
      </w:r>
      <w:r w:rsidRPr="00167F1B">
        <w:rPr>
          <w:rFonts w:ascii="Verdana" w:hAnsi="Verdana"/>
          <w:sz w:val="20"/>
          <w:szCs w:val="20"/>
          <w:lang w:val="es-CR"/>
        </w:rPr>
        <w:t xml:space="preserve"> [tras la ocupación de terceros de algunas de sus tierras], las comunidades […] intentan </w:t>
      </w:r>
      <w:r>
        <w:rPr>
          <w:rFonts w:ascii="Verdana" w:hAnsi="Verdana"/>
          <w:sz w:val="20"/>
          <w:szCs w:val="20"/>
          <w:lang w:val="es-CR"/>
        </w:rPr>
        <w:t xml:space="preserve">[diseminar] </w:t>
      </w:r>
      <w:r w:rsidRPr="007C366C">
        <w:rPr>
          <w:rFonts w:ascii="Verdana" w:hAnsi="Verdana"/>
          <w:sz w:val="20"/>
          <w:szCs w:val="20"/>
          <w:lang w:val="es-CR"/>
        </w:rPr>
        <w:t>el</w:t>
      </w:r>
      <w:r w:rsidRPr="00167F1B">
        <w:rPr>
          <w:rFonts w:ascii="Verdana" w:hAnsi="Verdana"/>
          <w:sz w:val="20"/>
          <w:szCs w:val="20"/>
          <w:lang w:val="es-CR"/>
        </w:rPr>
        <w:t xml:space="preserve"> uso de la tierra para tratar de detener la usurpación de ter</w:t>
      </w:r>
      <w:r w:rsidR="00E43887">
        <w:rPr>
          <w:rFonts w:ascii="Verdana" w:hAnsi="Verdana"/>
          <w:sz w:val="20"/>
          <w:szCs w:val="20"/>
          <w:lang w:val="es-CR"/>
        </w:rPr>
        <w:t>renos</w:t>
      </w:r>
      <w:r w:rsidRPr="00167F1B">
        <w:rPr>
          <w:rFonts w:ascii="Verdana" w:hAnsi="Verdana"/>
          <w:sz w:val="20"/>
          <w:szCs w:val="20"/>
          <w:lang w:val="es-CR"/>
        </w:rPr>
        <w:t>”, por lo que muchas comunidades han cambiado el manejo del territorio y han dejado el cultivo a través del barbecho colectivo, por el barbecho dispersado</w:t>
      </w:r>
      <w:r w:rsidRPr="00986EB6">
        <w:rPr>
          <w:rStyle w:val="FootnoteReference"/>
          <w:szCs w:val="20"/>
          <w:lang w:val="es-CR"/>
        </w:rPr>
        <w:footnoteReference w:id="57"/>
      </w:r>
      <w:r w:rsidRPr="00167F1B">
        <w:rPr>
          <w:rFonts w:ascii="Verdana" w:hAnsi="Verdana"/>
          <w:sz w:val="20"/>
          <w:szCs w:val="20"/>
          <w:lang w:val="es-CR"/>
        </w:rPr>
        <w:t>.</w:t>
      </w:r>
      <w:r>
        <w:rPr>
          <w:rFonts w:ascii="Verdana" w:hAnsi="Verdana"/>
          <w:sz w:val="20"/>
          <w:szCs w:val="20"/>
          <w:lang w:val="es-CR"/>
        </w:rPr>
        <w:t xml:space="preserve"> </w:t>
      </w:r>
    </w:p>
    <w:p w14:paraId="0C7049E4" w14:textId="77777777" w:rsidR="006A0E8F" w:rsidRDefault="006A0E8F" w:rsidP="00A0324F">
      <w:pPr>
        <w:pStyle w:val="ListParagraph"/>
        <w:ind w:left="0"/>
        <w:jc w:val="both"/>
        <w:rPr>
          <w:rFonts w:ascii="Verdana" w:hAnsi="Verdana"/>
          <w:sz w:val="20"/>
          <w:szCs w:val="20"/>
          <w:lang w:val="es-CR"/>
        </w:rPr>
      </w:pPr>
    </w:p>
    <w:p w14:paraId="0C7049E5" w14:textId="3BF076A4"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La economía garífuna está conformada, entre otros, por la pesca artesanal, el cultivo de arroz, mandioca, banano</w:t>
      </w:r>
      <w:r w:rsidR="000531BF">
        <w:rPr>
          <w:rFonts w:ascii="Verdana" w:hAnsi="Verdana"/>
          <w:sz w:val="20"/>
          <w:szCs w:val="20"/>
          <w:lang w:val="es-CR"/>
        </w:rPr>
        <w:t xml:space="preserve">, </w:t>
      </w:r>
      <w:r w:rsidRPr="00167F1B">
        <w:rPr>
          <w:rFonts w:ascii="Verdana" w:hAnsi="Verdana"/>
          <w:sz w:val="20"/>
          <w:szCs w:val="20"/>
          <w:lang w:val="es-CR"/>
        </w:rPr>
        <w:t>yuca</w:t>
      </w:r>
      <w:r w:rsidR="000531BF">
        <w:rPr>
          <w:rFonts w:ascii="Verdana" w:hAnsi="Verdana"/>
          <w:sz w:val="20"/>
          <w:szCs w:val="20"/>
          <w:lang w:val="es-CR"/>
        </w:rPr>
        <w:t xml:space="preserve"> y aguacate</w:t>
      </w:r>
      <w:r w:rsidR="000143BC">
        <w:rPr>
          <w:rFonts w:ascii="Verdana" w:hAnsi="Verdana"/>
          <w:sz w:val="20"/>
          <w:szCs w:val="20"/>
          <w:lang w:val="es-CR"/>
        </w:rPr>
        <w:t xml:space="preserve">, </w:t>
      </w:r>
      <w:r w:rsidRPr="00167F1B">
        <w:rPr>
          <w:rFonts w:ascii="Verdana" w:hAnsi="Verdana"/>
          <w:sz w:val="20"/>
          <w:szCs w:val="20"/>
          <w:lang w:val="es-CR"/>
        </w:rPr>
        <w:t xml:space="preserve">así como la caza de pequeños animales del mar y </w:t>
      </w:r>
      <w:r>
        <w:rPr>
          <w:rFonts w:ascii="Verdana" w:hAnsi="Verdana"/>
          <w:sz w:val="20"/>
          <w:szCs w:val="20"/>
          <w:lang w:val="es-CR"/>
        </w:rPr>
        <w:t>d</w:t>
      </w:r>
      <w:r w:rsidRPr="00167F1B">
        <w:rPr>
          <w:rFonts w:ascii="Verdana" w:hAnsi="Verdana"/>
          <w:sz w:val="20"/>
          <w:szCs w:val="20"/>
          <w:lang w:val="es-CR"/>
        </w:rPr>
        <w:t>el bosque, tales como ciervos, agutíes, tortugas y manatíes</w:t>
      </w:r>
      <w:r w:rsidRPr="0099675D">
        <w:rPr>
          <w:rStyle w:val="FootnoteReference"/>
          <w:szCs w:val="20"/>
          <w:lang w:val="es-CR"/>
        </w:rPr>
        <w:footnoteReference w:id="58"/>
      </w:r>
      <w:r w:rsidRPr="00167F1B">
        <w:rPr>
          <w:rFonts w:ascii="Verdana" w:hAnsi="Verdana"/>
          <w:sz w:val="20"/>
          <w:szCs w:val="20"/>
          <w:lang w:val="es-CR"/>
        </w:rPr>
        <w:t>.</w:t>
      </w:r>
    </w:p>
    <w:p w14:paraId="0C7049E6" w14:textId="77777777" w:rsidR="006A0E8F" w:rsidRPr="00A0324F" w:rsidRDefault="006A0E8F" w:rsidP="00A0324F">
      <w:pPr>
        <w:rPr>
          <w:rFonts w:ascii="Verdana" w:hAnsi="Verdana"/>
          <w:sz w:val="20"/>
          <w:szCs w:val="20"/>
          <w:lang w:val="es-CR"/>
        </w:rPr>
      </w:pPr>
    </w:p>
    <w:p w14:paraId="0C7049E7" w14:textId="77777777" w:rsidR="00E04121" w:rsidRPr="008446E1" w:rsidRDefault="004C423B"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lang w:val="es-CR"/>
        </w:rPr>
        <w:t>E</w:t>
      </w:r>
      <w:r w:rsidR="00E04121" w:rsidRPr="00167F1B">
        <w:rPr>
          <w:rFonts w:ascii="Verdana" w:hAnsi="Verdana"/>
          <w:sz w:val="20"/>
          <w:szCs w:val="20"/>
        </w:rPr>
        <w:t>l perito James Anaya, ex Relator Especial de la ONU por los derechos de los pueblos indígenas</w:t>
      </w:r>
      <w:r>
        <w:rPr>
          <w:rFonts w:ascii="Verdana" w:hAnsi="Verdana"/>
          <w:sz w:val="20"/>
          <w:szCs w:val="20"/>
        </w:rPr>
        <w:t xml:space="preserve">, </w:t>
      </w:r>
      <w:r w:rsidR="00E04121" w:rsidRPr="00167F1B">
        <w:rPr>
          <w:rFonts w:ascii="Verdana" w:hAnsi="Verdana"/>
          <w:sz w:val="20"/>
          <w:szCs w:val="20"/>
        </w:rPr>
        <w:t>indicó que</w:t>
      </w:r>
      <w:r w:rsidR="00E04121">
        <w:rPr>
          <w:rFonts w:ascii="Verdana" w:hAnsi="Verdana"/>
          <w:sz w:val="20"/>
          <w:szCs w:val="20"/>
        </w:rPr>
        <w:t>:</w:t>
      </w:r>
    </w:p>
    <w:p w14:paraId="0C7049E8" w14:textId="77777777" w:rsidR="00E04121" w:rsidRDefault="00E04121" w:rsidP="00E04121">
      <w:pPr>
        <w:pStyle w:val="ListParagraph"/>
        <w:ind w:left="0"/>
        <w:jc w:val="both"/>
        <w:rPr>
          <w:rFonts w:ascii="Verdana" w:hAnsi="Verdana"/>
          <w:sz w:val="20"/>
          <w:szCs w:val="20"/>
          <w:lang w:val="es-MX"/>
        </w:rPr>
      </w:pPr>
    </w:p>
    <w:p w14:paraId="0C7049E9" w14:textId="4A4043D0" w:rsidR="00E04121" w:rsidRPr="008446E1" w:rsidRDefault="00E04121" w:rsidP="00E04121">
      <w:pPr>
        <w:pStyle w:val="ListParagraph"/>
        <w:ind w:left="709" w:right="571"/>
        <w:jc w:val="both"/>
        <w:rPr>
          <w:rFonts w:ascii="Verdana" w:hAnsi="Verdana"/>
          <w:sz w:val="18"/>
          <w:szCs w:val="18"/>
          <w:highlight w:val="yellow"/>
          <w:lang w:val="es-CR"/>
        </w:rPr>
      </w:pPr>
      <w:r w:rsidRPr="008446E1">
        <w:rPr>
          <w:rFonts w:ascii="Verdana" w:hAnsi="Verdana"/>
          <w:sz w:val="18"/>
          <w:szCs w:val="18"/>
        </w:rPr>
        <w:t xml:space="preserve">“el Pueblo Garífuna tiene muchas de las mismas características que comparten </w:t>
      </w:r>
      <w:r w:rsidR="004C7CCB">
        <w:rPr>
          <w:rFonts w:ascii="Verdana" w:hAnsi="Verdana"/>
          <w:sz w:val="18"/>
          <w:szCs w:val="18"/>
        </w:rPr>
        <w:t xml:space="preserve">aquellos </w:t>
      </w:r>
      <w:r w:rsidRPr="008446E1">
        <w:rPr>
          <w:rFonts w:ascii="Verdana" w:hAnsi="Verdana"/>
          <w:sz w:val="18"/>
          <w:szCs w:val="18"/>
        </w:rPr>
        <w:t xml:space="preserve">otros grupos que indudablemente son pueblos </w:t>
      </w:r>
      <w:r w:rsidR="004C7CCB">
        <w:rPr>
          <w:rFonts w:ascii="Verdana" w:hAnsi="Verdana"/>
          <w:sz w:val="18"/>
          <w:szCs w:val="18"/>
        </w:rPr>
        <w:t xml:space="preserve">indígenas </w:t>
      </w:r>
      <w:r w:rsidRPr="008446E1">
        <w:rPr>
          <w:rFonts w:ascii="Verdana" w:hAnsi="Verdana"/>
          <w:sz w:val="18"/>
          <w:szCs w:val="18"/>
        </w:rPr>
        <w:t xml:space="preserve">originarios </w:t>
      </w:r>
      <w:r w:rsidR="000531BF">
        <w:rPr>
          <w:rFonts w:ascii="Verdana" w:hAnsi="Verdana"/>
          <w:sz w:val="18"/>
          <w:szCs w:val="18"/>
        </w:rPr>
        <w:t>[</w:t>
      </w:r>
      <w:r w:rsidRPr="008446E1">
        <w:rPr>
          <w:rFonts w:ascii="Verdana" w:hAnsi="Verdana"/>
          <w:sz w:val="18"/>
          <w:szCs w:val="18"/>
        </w:rPr>
        <w:t>…</w:t>
      </w:r>
      <w:r w:rsidR="000531BF">
        <w:rPr>
          <w:rFonts w:ascii="Verdana" w:hAnsi="Verdana"/>
          <w:sz w:val="18"/>
          <w:szCs w:val="18"/>
        </w:rPr>
        <w:t>]</w:t>
      </w:r>
      <w:r w:rsidRPr="008446E1">
        <w:rPr>
          <w:rFonts w:ascii="Verdana" w:hAnsi="Verdana"/>
          <w:sz w:val="18"/>
          <w:szCs w:val="18"/>
        </w:rPr>
        <w:t xml:space="preserve"> [y que] </w:t>
      </w:r>
      <w:r w:rsidR="004C7CCB">
        <w:rPr>
          <w:rFonts w:ascii="Verdana" w:hAnsi="Verdana"/>
          <w:sz w:val="18"/>
          <w:szCs w:val="18"/>
        </w:rPr>
        <w:t>[e]</w:t>
      </w:r>
      <w:r w:rsidRPr="008446E1">
        <w:rPr>
          <w:rFonts w:ascii="Verdana" w:hAnsi="Verdana"/>
          <w:sz w:val="18"/>
          <w:szCs w:val="18"/>
        </w:rPr>
        <w:t>n la medida en que el Pueblo Garífuna comparte las características de aquellos grupos generalmente reconocidos como pueblos indígenas</w:t>
      </w:r>
      <w:r w:rsidR="004C7CCB">
        <w:rPr>
          <w:rFonts w:ascii="Verdana" w:hAnsi="Verdana"/>
          <w:sz w:val="18"/>
          <w:szCs w:val="18"/>
        </w:rPr>
        <w:t>,</w:t>
      </w:r>
      <w:r w:rsidRPr="008446E1">
        <w:rPr>
          <w:rFonts w:ascii="Verdana" w:hAnsi="Verdana"/>
          <w:sz w:val="18"/>
          <w:szCs w:val="18"/>
        </w:rPr>
        <w:t xml:space="preserve"> se les debe aplicar los mismos estándares de protección de propiedad </w:t>
      </w:r>
      <w:r w:rsidR="000531BF">
        <w:rPr>
          <w:rFonts w:ascii="Verdana" w:hAnsi="Verdana"/>
          <w:sz w:val="18"/>
          <w:szCs w:val="18"/>
        </w:rPr>
        <w:t>[</w:t>
      </w:r>
      <w:r w:rsidRPr="008446E1">
        <w:rPr>
          <w:rFonts w:ascii="Verdana" w:hAnsi="Verdana"/>
          <w:sz w:val="18"/>
          <w:szCs w:val="18"/>
        </w:rPr>
        <w:t>…</w:t>
      </w:r>
      <w:r w:rsidR="000531BF">
        <w:rPr>
          <w:rFonts w:ascii="Verdana" w:hAnsi="Verdana"/>
          <w:sz w:val="18"/>
          <w:szCs w:val="18"/>
        </w:rPr>
        <w:t>]</w:t>
      </w:r>
      <w:r w:rsidRPr="008446E1">
        <w:rPr>
          <w:rFonts w:ascii="Verdana" w:hAnsi="Verdana"/>
          <w:sz w:val="18"/>
          <w:szCs w:val="18"/>
        </w:rPr>
        <w:t xml:space="preserve"> que son aplicables a los pueblos indígenas dentro de la normativa internacional”. Asimismo señaló que “[a]</w:t>
      </w:r>
      <w:proofErr w:type="spellStart"/>
      <w:r w:rsidRPr="008446E1">
        <w:rPr>
          <w:rFonts w:ascii="Verdana" w:hAnsi="Verdana"/>
          <w:sz w:val="18"/>
          <w:szCs w:val="18"/>
        </w:rPr>
        <w:t>ún</w:t>
      </w:r>
      <w:proofErr w:type="spellEnd"/>
      <w:r w:rsidRPr="008446E1">
        <w:rPr>
          <w:rFonts w:ascii="Verdana" w:hAnsi="Verdana"/>
          <w:sz w:val="18"/>
          <w:szCs w:val="18"/>
        </w:rPr>
        <w:t xml:space="preserve"> si el Pueblo Garífuna no pudiera considerarse como un pueblo originario en Honduras […] [e]n cualquier caso, [podría] calificarse como un pueblo tribal […] </w:t>
      </w:r>
      <w:r w:rsidRPr="008446E1">
        <w:rPr>
          <w:rFonts w:ascii="Verdana" w:hAnsi="Verdana"/>
          <w:sz w:val="18"/>
          <w:szCs w:val="18"/>
        </w:rPr>
        <w:lastRenderedPageBreak/>
        <w:t>[por lo que la protección y estándares del Convenio 169 de la OIT</w:t>
      </w:r>
      <w:r w:rsidRPr="000531BF">
        <w:rPr>
          <w:rFonts w:ascii="Verdana" w:hAnsi="Verdana"/>
          <w:sz w:val="18"/>
          <w:szCs w:val="18"/>
        </w:rPr>
        <w:t>]</w:t>
      </w:r>
      <w:r w:rsidR="000531BF" w:rsidRPr="000531BF">
        <w:rPr>
          <w:rFonts w:ascii="Verdana" w:hAnsi="Verdana"/>
          <w:sz w:val="18"/>
          <w:szCs w:val="18"/>
        </w:rPr>
        <w:t>,</w:t>
      </w:r>
      <w:r w:rsidR="0086236B" w:rsidRPr="00A0324F">
        <w:rPr>
          <w:rFonts w:ascii="Verdana" w:hAnsi="Verdana"/>
          <w:sz w:val="18"/>
          <w:szCs w:val="18"/>
        </w:rPr>
        <w:t xml:space="preserve"> incluyendo aquellos relacionados con la propiedad,</w:t>
      </w:r>
      <w:r w:rsidR="000531BF">
        <w:rPr>
          <w:sz w:val="18"/>
          <w:szCs w:val="18"/>
        </w:rPr>
        <w:t xml:space="preserve"> </w:t>
      </w:r>
      <w:r w:rsidRPr="008446E1">
        <w:rPr>
          <w:rFonts w:ascii="Verdana" w:hAnsi="Verdana"/>
          <w:sz w:val="18"/>
          <w:szCs w:val="18"/>
        </w:rPr>
        <w:t xml:space="preserve"> se aplican de igual manera a los pueblos indígenas o tribales”</w:t>
      </w:r>
      <w:r w:rsidRPr="008446E1">
        <w:rPr>
          <w:rStyle w:val="FootnoteReference"/>
          <w:sz w:val="18"/>
          <w:szCs w:val="18"/>
        </w:rPr>
        <w:footnoteReference w:id="59"/>
      </w:r>
      <w:r>
        <w:rPr>
          <w:rFonts w:ascii="Verdana" w:hAnsi="Verdana"/>
          <w:sz w:val="18"/>
          <w:szCs w:val="18"/>
        </w:rPr>
        <w:t>.</w:t>
      </w:r>
    </w:p>
    <w:p w14:paraId="0C7049EA" w14:textId="77777777" w:rsidR="00E04121" w:rsidRPr="00167F1B" w:rsidRDefault="00E04121" w:rsidP="00E04121">
      <w:pPr>
        <w:pStyle w:val="ListParagraph"/>
        <w:rPr>
          <w:rFonts w:ascii="Verdana" w:hAnsi="Verdana"/>
          <w:sz w:val="20"/>
          <w:szCs w:val="20"/>
          <w:lang w:val="es-CR"/>
        </w:rPr>
      </w:pPr>
    </w:p>
    <w:p w14:paraId="0C7049EB" w14:textId="76CC8293" w:rsidR="00E04121" w:rsidRPr="00CB26E3"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En específico, la Comunidad Garífuna de Punta Piedra es una de las comunidades que forma parte del </w:t>
      </w:r>
      <w:r>
        <w:rPr>
          <w:rFonts w:ascii="Verdana" w:hAnsi="Verdana"/>
          <w:sz w:val="20"/>
          <w:szCs w:val="20"/>
          <w:lang w:val="es-CR"/>
        </w:rPr>
        <w:t>P</w:t>
      </w:r>
      <w:r w:rsidRPr="00167F1B">
        <w:rPr>
          <w:rFonts w:ascii="Verdana" w:hAnsi="Verdana"/>
          <w:sz w:val="20"/>
          <w:szCs w:val="20"/>
          <w:lang w:val="es-CR"/>
        </w:rPr>
        <w:t xml:space="preserve">ueblo Garífuna y su población </w:t>
      </w:r>
      <w:r w:rsidRPr="00167F1B">
        <w:rPr>
          <w:rFonts w:ascii="Verdana" w:hAnsi="Verdana" w:cs="Arial"/>
          <w:sz w:val="20"/>
          <w:szCs w:val="20"/>
          <w:lang w:val="es-ES"/>
        </w:rPr>
        <w:t xml:space="preserve">se ubica en el Municipio de </w:t>
      </w:r>
      <w:proofErr w:type="spellStart"/>
      <w:r w:rsidRPr="00167F1B">
        <w:rPr>
          <w:rFonts w:ascii="Verdana" w:hAnsi="Verdana" w:cs="Arial"/>
          <w:sz w:val="20"/>
          <w:szCs w:val="20"/>
          <w:lang w:val="es-ES"/>
        </w:rPr>
        <w:t>Iriona</w:t>
      </w:r>
      <w:proofErr w:type="spellEnd"/>
      <w:r w:rsidRPr="00167F1B">
        <w:rPr>
          <w:rFonts w:ascii="Verdana" w:hAnsi="Verdana" w:cs="Arial"/>
          <w:sz w:val="20"/>
          <w:szCs w:val="20"/>
          <w:lang w:val="es-ES"/>
        </w:rPr>
        <w:t>, Departamento de Colón, a orillas del mar Caribe</w:t>
      </w:r>
      <w:r w:rsidRPr="0099675D">
        <w:rPr>
          <w:rStyle w:val="FootnoteReference"/>
          <w:szCs w:val="20"/>
        </w:rPr>
        <w:footnoteReference w:id="60"/>
      </w:r>
      <w:r w:rsidRPr="00167F1B">
        <w:rPr>
          <w:rFonts w:ascii="Verdana" w:hAnsi="Verdana" w:cs="Arial"/>
          <w:sz w:val="20"/>
          <w:szCs w:val="20"/>
          <w:lang w:val="es-ES"/>
        </w:rPr>
        <w:t xml:space="preserve">. La Comunidad de Punta Piedra constituyó el primer asentamiento de la región del </w:t>
      </w:r>
      <w:r w:rsidR="004C7CCB">
        <w:rPr>
          <w:rFonts w:ascii="Verdana" w:hAnsi="Verdana" w:cs="Arial"/>
          <w:sz w:val="20"/>
          <w:szCs w:val="20"/>
          <w:lang w:val="es-ES"/>
        </w:rPr>
        <w:t>P</w:t>
      </w:r>
      <w:r w:rsidRPr="00167F1B">
        <w:rPr>
          <w:rFonts w:ascii="Verdana" w:hAnsi="Verdana" w:cs="Arial"/>
          <w:sz w:val="20"/>
          <w:szCs w:val="20"/>
          <w:lang w:val="es-ES"/>
        </w:rPr>
        <w:t xml:space="preserve">ueblo Garífuna, cuyos fundadores se establecieron primero en </w:t>
      </w:r>
      <w:proofErr w:type="spellStart"/>
      <w:r w:rsidRPr="00167F1B">
        <w:rPr>
          <w:rFonts w:ascii="Verdana" w:hAnsi="Verdana" w:cs="Arial"/>
          <w:sz w:val="20"/>
          <w:szCs w:val="20"/>
          <w:lang w:val="es-ES"/>
        </w:rPr>
        <w:t>Uraco</w:t>
      </w:r>
      <w:proofErr w:type="spellEnd"/>
      <w:r w:rsidRPr="00167F1B">
        <w:rPr>
          <w:rFonts w:ascii="Verdana" w:hAnsi="Verdana" w:cs="Arial"/>
          <w:sz w:val="20"/>
          <w:szCs w:val="20"/>
          <w:lang w:val="es-ES"/>
        </w:rPr>
        <w:t xml:space="preserve">, cerca del río </w:t>
      </w:r>
      <w:proofErr w:type="spellStart"/>
      <w:r w:rsidRPr="00167F1B">
        <w:rPr>
          <w:rFonts w:ascii="Verdana" w:hAnsi="Verdana" w:cs="Arial"/>
          <w:i/>
          <w:sz w:val="20"/>
          <w:szCs w:val="20"/>
          <w:lang w:val="es-ES"/>
        </w:rPr>
        <w:t>Mabougati</w:t>
      </w:r>
      <w:proofErr w:type="spellEnd"/>
      <w:r w:rsidRPr="00167F1B">
        <w:rPr>
          <w:rFonts w:ascii="Verdana" w:hAnsi="Verdana" w:cs="Arial"/>
          <w:sz w:val="20"/>
          <w:szCs w:val="20"/>
          <w:lang w:val="es-ES"/>
        </w:rPr>
        <w:t xml:space="preserve"> (nombre ancestral de Río Miel), para luego establecerse al este del </w:t>
      </w:r>
      <w:r w:rsidR="007A3F25">
        <w:rPr>
          <w:rFonts w:ascii="Verdana" w:hAnsi="Verdana" w:cs="Arial"/>
          <w:sz w:val="20"/>
          <w:szCs w:val="20"/>
          <w:lang w:val="es-ES"/>
        </w:rPr>
        <w:t>r</w:t>
      </w:r>
      <w:r w:rsidRPr="00167F1B">
        <w:rPr>
          <w:rFonts w:ascii="Verdana" w:hAnsi="Verdana" w:cs="Arial"/>
          <w:sz w:val="20"/>
          <w:szCs w:val="20"/>
          <w:lang w:val="es-ES"/>
        </w:rPr>
        <w:t>ío Miel, en lo que es la comunidad actual</w:t>
      </w:r>
      <w:r w:rsidRPr="0099675D">
        <w:rPr>
          <w:rStyle w:val="FootnoteReference"/>
          <w:szCs w:val="20"/>
        </w:rPr>
        <w:footnoteReference w:id="61"/>
      </w:r>
      <w:r w:rsidRPr="00167F1B">
        <w:rPr>
          <w:rFonts w:ascii="Verdana" w:hAnsi="Verdana" w:cs="Arial"/>
          <w:sz w:val="20"/>
          <w:szCs w:val="20"/>
          <w:lang w:val="es-ES"/>
        </w:rPr>
        <w:t>. Las partes coinciden que la Comunidad de Punta Piedra fue establecida alrededor del año 1797</w:t>
      </w:r>
      <w:r w:rsidRPr="0099675D">
        <w:rPr>
          <w:rStyle w:val="FootnoteReference"/>
          <w:szCs w:val="20"/>
        </w:rPr>
        <w:footnoteReference w:id="62"/>
      </w:r>
      <w:r w:rsidRPr="00167F1B">
        <w:rPr>
          <w:rFonts w:ascii="Verdana" w:hAnsi="Verdana" w:cs="Arial"/>
          <w:sz w:val="20"/>
          <w:szCs w:val="20"/>
          <w:lang w:val="es-ES"/>
        </w:rPr>
        <w:t>. Durante la audiencia pública del caso, un miembro de la Comunidad manifestó que la población de Punta Piedra estaría compuesta por aproximadamente</w:t>
      </w:r>
      <w:r w:rsidR="004C7CCB">
        <w:rPr>
          <w:rFonts w:ascii="Verdana" w:hAnsi="Verdana" w:cs="Arial"/>
          <w:sz w:val="20"/>
          <w:szCs w:val="20"/>
          <w:lang w:val="es-ES"/>
        </w:rPr>
        <w:t xml:space="preserve"> </w:t>
      </w:r>
      <w:r w:rsidRPr="00167F1B">
        <w:rPr>
          <w:rFonts w:ascii="Verdana" w:hAnsi="Verdana" w:cs="Arial"/>
          <w:sz w:val="20"/>
          <w:szCs w:val="20"/>
          <w:lang w:val="es-ES"/>
        </w:rPr>
        <w:t>5,000 personas</w:t>
      </w:r>
      <w:r w:rsidRPr="00705006">
        <w:rPr>
          <w:rStyle w:val="FootnoteReference"/>
          <w:szCs w:val="20"/>
        </w:rPr>
        <w:footnoteReference w:id="63"/>
      </w:r>
      <w:r w:rsidRPr="00167F1B">
        <w:rPr>
          <w:rFonts w:ascii="Verdana" w:hAnsi="Verdana" w:cs="Arial"/>
          <w:sz w:val="20"/>
          <w:szCs w:val="20"/>
          <w:lang w:val="es-ES"/>
        </w:rPr>
        <w:t xml:space="preserve"> en la actualidad, mientras que el Estado indicó que la misma estaría conformada por aproximadamente 64 familias, equivalente a 385 habitantes. </w:t>
      </w:r>
      <w:r w:rsidRPr="00A71698">
        <w:rPr>
          <w:rFonts w:ascii="Verdana" w:hAnsi="Verdana"/>
          <w:sz w:val="20"/>
          <w:szCs w:val="20"/>
          <w:lang w:val="es-CR"/>
        </w:rPr>
        <w:t xml:space="preserve">Durante la visita </w:t>
      </w:r>
      <w:r w:rsidRPr="00A71698">
        <w:rPr>
          <w:rFonts w:ascii="Verdana" w:hAnsi="Verdana"/>
          <w:i/>
          <w:sz w:val="20"/>
          <w:szCs w:val="20"/>
          <w:lang w:val="es-CR"/>
        </w:rPr>
        <w:t>in situ</w:t>
      </w:r>
      <w:r w:rsidRPr="00A71698">
        <w:rPr>
          <w:rFonts w:ascii="Verdana" w:hAnsi="Verdana"/>
          <w:sz w:val="20"/>
          <w:szCs w:val="20"/>
          <w:lang w:val="es-CR"/>
        </w:rPr>
        <w:t xml:space="preserve"> llevada a cabo en el territorio de la Comunidad, la señora Eduarda Ávila señaló que </w:t>
      </w:r>
      <w:r>
        <w:rPr>
          <w:rFonts w:ascii="Verdana" w:hAnsi="Verdana"/>
          <w:sz w:val="20"/>
          <w:szCs w:val="20"/>
          <w:lang w:val="es-CR"/>
        </w:rPr>
        <w:t>esta estaría conformada por 6,000 personas, entre ellos 400 niños en edad escolar</w:t>
      </w:r>
      <w:r w:rsidR="004C7CCB">
        <w:rPr>
          <w:rFonts w:ascii="Verdana" w:hAnsi="Verdana"/>
          <w:sz w:val="20"/>
          <w:szCs w:val="20"/>
          <w:lang w:val="es-CR"/>
        </w:rPr>
        <w:t>.</w:t>
      </w:r>
    </w:p>
    <w:p w14:paraId="0C7049EC" w14:textId="77777777" w:rsidR="00E04121" w:rsidRPr="00CB26E3" w:rsidRDefault="00E04121" w:rsidP="00E04121">
      <w:pPr>
        <w:pStyle w:val="ListParagraph"/>
        <w:ind w:left="0"/>
        <w:jc w:val="both"/>
        <w:rPr>
          <w:rFonts w:ascii="Verdana" w:hAnsi="Verdana"/>
          <w:sz w:val="20"/>
          <w:szCs w:val="20"/>
          <w:lang w:val="es-CR"/>
        </w:rPr>
      </w:pPr>
    </w:p>
    <w:p w14:paraId="0C7049ED" w14:textId="4F2A4BA8" w:rsidR="00E04121" w:rsidRPr="00CB26E3" w:rsidRDefault="00E04121" w:rsidP="00E04121">
      <w:pPr>
        <w:pStyle w:val="ListParagraph"/>
        <w:numPr>
          <w:ilvl w:val="0"/>
          <w:numId w:val="17"/>
        </w:numPr>
        <w:ind w:left="0" w:hanging="11"/>
        <w:jc w:val="both"/>
        <w:rPr>
          <w:rFonts w:ascii="Verdana" w:hAnsi="Verdana"/>
          <w:b/>
          <w:sz w:val="20"/>
          <w:szCs w:val="20"/>
        </w:rPr>
      </w:pPr>
      <w:r w:rsidRPr="00D06233">
        <w:rPr>
          <w:rFonts w:ascii="Verdana" w:hAnsi="Verdana"/>
          <w:sz w:val="20"/>
          <w:szCs w:val="20"/>
        </w:rPr>
        <w:t>Por otra parte, este Tribunal recuerda que el derecho a la propiedad colectiva reconocida por el artículo 21 de la Convención y el conjunto de derechos recogidos en el Convenio</w:t>
      </w:r>
      <w:r w:rsidR="00984F67">
        <w:rPr>
          <w:rFonts w:ascii="Verdana" w:hAnsi="Verdana"/>
          <w:sz w:val="20"/>
          <w:szCs w:val="20"/>
        </w:rPr>
        <w:t xml:space="preserve"> </w:t>
      </w:r>
      <w:r w:rsidRPr="00D06233">
        <w:rPr>
          <w:rFonts w:ascii="Verdana" w:hAnsi="Verdana"/>
          <w:sz w:val="20"/>
          <w:szCs w:val="20"/>
        </w:rPr>
        <w:t>169 de la OIT, se aplican indistintamente a los indígenas o tribales, por lo que el desconocimiento del Estado de la Comunidad como un pueblo originario no tiene incidencia alguna en los derechos de los cuales esta y sus miembros son titulares</w:t>
      </w:r>
      <w:r w:rsidR="004C7CCB">
        <w:rPr>
          <w:rFonts w:ascii="Verdana" w:hAnsi="Verdana"/>
          <w:sz w:val="20"/>
          <w:szCs w:val="20"/>
        </w:rPr>
        <w:t xml:space="preserve"> </w:t>
      </w:r>
      <w:r w:rsidRPr="00D06233">
        <w:rPr>
          <w:rFonts w:ascii="Verdana" w:hAnsi="Verdana"/>
          <w:sz w:val="20"/>
          <w:szCs w:val="20"/>
        </w:rPr>
        <w:t>ni en las obligaciones estatales correspondientes</w:t>
      </w:r>
      <w:r w:rsidRPr="00D06233">
        <w:rPr>
          <w:rStyle w:val="FootnoteReference"/>
          <w:szCs w:val="20"/>
        </w:rPr>
        <w:footnoteReference w:id="64"/>
      </w:r>
      <w:r w:rsidRPr="00D06233">
        <w:rPr>
          <w:rFonts w:ascii="Verdana" w:hAnsi="Verdana"/>
          <w:sz w:val="20"/>
          <w:szCs w:val="20"/>
        </w:rPr>
        <w:t>.</w:t>
      </w:r>
      <w:r w:rsidRPr="00CB26E3">
        <w:rPr>
          <w:rFonts w:ascii="Verdana" w:hAnsi="Verdana"/>
          <w:b/>
          <w:sz w:val="20"/>
          <w:szCs w:val="20"/>
        </w:rPr>
        <w:t xml:space="preserve"> </w:t>
      </w:r>
      <w:r w:rsidRPr="008514EB">
        <w:rPr>
          <w:rFonts w:ascii="Verdana" w:hAnsi="Verdana"/>
          <w:sz w:val="20"/>
          <w:szCs w:val="20"/>
          <w:lang w:val="es-MX"/>
        </w:rPr>
        <w:t>En este sentido, y con base en lo ya resuelto por este Tribunal (</w:t>
      </w:r>
      <w:r w:rsidRPr="008514EB">
        <w:rPr>
          <w:rFonts w:ascii="Verdana" w:hAnsi="Verdana"/>
          <w:i/>
          <w:sz w:val="20"/>
          <w:szCs w:val="20"/>
          <w:lang w:val="es-MX"/>
        </w:rPr>
        <w:t>supra</w:t>
      </w:r>
      <w:r w:rsidRPr="008514EB">
        <w:rPr>
          <w:rFonts w:ascii="Verdana" w:hAnsi="Verdana"/>
          <w:sz w:val="20"/>
          <w:szCs w:val="20"/>
          <w:lang w:val="es-MX"/>
        </w:rPr>
        <w:t xml:space="preserve"> párr</w:t>
      </w:r>
      <w:r w:rsidR="007D2C98">
        <w:rPr>
          <w:rFonts w:ascii="Verdana" w:hAnsi="Verdana"/>
          <w:sz w:val="20"/>
          <w:szCs w:val="20"/>
          <w:lang w:val="es-MX"/>
        </w:rPr>
        <w:t>s</w:t>
      </w:r>
      <w:r w:rsidRPr="008514EB">
        <w:rPr>
          <w:rFonts w:ascii="Verdana" w:hAnsi="Verdana"/>
          <w:sz w:val="20"/>
          <w:szCs w:val="20"/>
          <w:lang w:val="es-MX"/>
        </w:rPr>
        <w:t xml:space="preserve">. </w:t>
      </w:r>
      <w:r w:rsidR="007D2C98">
        <w:rPr>
          <w:rFonts w:ascii="Verdana" w:hAnsi="Verdana"/>
          <w:sz w:val="20"/>
          <w:szCs w:val="20"/>
          <w:lang w:val="es-MX"/>
        </w:rPr>
        <w:t>54 a 57</w:t>
      </w:r>
      <w:r w:rsidRPr="008514EB">
        <w:rPr>
          <w:rFonts w:ascii="Verdana" w:hAnsi="Verdana"/>
          <w:sz w:val="20"/>
          <w:szCs w:val="20"/>
          <w:lang w:val="es-MX"/>
        </w:rPr>
        <w:t>)</w:t>
      </w:r>
      <w:r w:rsidRPr="008514EB">
        <w:rPr>
          <w:rFonts w:ascii="Verdana" w:hAnsi="Verdana"/>
          <w:sz w:val="20"/>
          <w:szCs w:val="20"/>
          <w:lang w:val="es-CR"/>
        </w:rPr>
        <w:t>, la Corte analizará el caso teniendo presente la naturaleza de pueblo indígena o tribal de la Comunidad Garífuna de Punta Piedra</w:t>
      </w:r>
      <w:r>
        <w:rPr>
          <w:rFonts w:ascii="Verdana" w:hAnsi="Verdana"/>
          <w:sz w:val="20"/>
          <w:szCs w:val="20"/>
          <w:lang w:val="es-CR"/>
        </w:rPr>
        <w:t>.</w:t>
      </w:r>
      <w:r w:rsidRPr="005E1633">
        <w:rPr>
          <w:rFonts w:ascii="Verdana" w:hAnsi="Verdana"/>
          <w:b/>
          <w:sz w:val="20"/>
          <w:szCs w:val="20"/>
        </w:rPr>
        <w:t xml:space="preserve"> </w:t>
      </w:r>
    </w:p>
    <w:p w14:paraId="0C7049EE" w14:textId="77777777" w:rsidR="00E04121" w:rsidRPr="00CB26E3" w:rsidRDefault="00E04121" w:rsidP="00E04121">
      <w:pPr>
        <w:pStyle w:val="ListParagraph"/>
        <w:ind w:left="0"/>
        <w:jc w:val="both"/>
        <w:rPr>
          <w:rFonts w:ascii="Verdana" w:hAnsi="Verdana"/>
          <w:sz w:val="20"/>
          <w:szCs w:val="20"/>
          <w:lang w:val="es-CR"/>
        </w:rPr>
      </w:pPr>
    </w:p>
    <w:p w14:paraId="0C7049EF" w14:textId="77777777" w:rsidR="00E04121" w:rsidRPr="00ED0CB6" w:rsidRDefault="00E04121" w:rsidP="00E04121">
      <w:pPr>
        <w:pStyle w:val="Heading2"/>
        <w:numPr>
          <w:ilvl w:val="0"/>
          <w:numId w:val="12"/>
        </w:numPr>
        <w:spacing w:before="0"/>
        <w:rPr>
          <w:rFonts w:ascii="Verdana" w:hAnsi="Verdana"/>
          <w:i/>
          <w:color w:val="auto"/>
          <w:sz w:val="20"/>
          <w:szCs w:val="20"/>
        </w:rPr>
      </w:pPr>
      <w:bookmarkStart w:id="37" w:name="_Toc421868205"/>
      <w:bookmarkStart w:id="38" w:name="_Toc437247325"/>
      <w:r w:rsidRPr="00ED0CB6">
        <w:rPr>
          <w:rFonts w:ascii="Verdana" w:hAnsi="Verdana"/>
          <w:i/>
          <w:color w:val="auto"/>
          <w:sz w:val="20"/>
          <w:szCs w:val="20"/>
        </w:rPr>
        <w:t xml:space="preserve">Reconocimiento y </w:t>
      </w:r>
      <w:r>
        <w:rPr>
          <w:rFonts w:ascii="Verdana" w:hAnsi="Verdana"/>
          <w:i/>
          <w:color w:val="auto"/>
          <w:sz w:val="20"/>
          <w:szCs w:val="20"/>
        </w:rPr>
        <w:t>t</w:t>
      </w:r>
      <w:r w:rsidRPr="00ED0CB6">
        <w:rPr>
          <w:rFonts w:ascii="Verdana" w:hAnsi="Verdana"/>
          <w:i/>
          <w:color w:val="auto"/>
          <w:sz w:val="20"/>
          <w:szCs w:val="20"/>
        </w:rPr>
        <w:t>itulación por el Estado del territorio de la Comunidad Garífuna de Punta Piedra</w:t>
      </w:r>
      <w:bookmarkEnd w:id="37"/>
      <w:bookmarkEnd w:id="38"/>
      <w:r w:rsidRPr="00ED0CB6">
        <w:rPr>
          <w:rFonts w:ascii="Verdana" w:hAnsi="Verdana"/>
          <w:i/>
          <w:color w:val="auto"/>
          <w:sz w:val="20"/>
          <w:szCs w:val="20"/>
        </w:rPr>
        <w:t xml:space="preserve"> </w:t>
      </w:r>
    </w:p>
    <w:p w14:paraId="0C7049F0" w14:textId="77777777" w:rsidR="00E04121" w:rsidRPr="00167F1B" w:rsidRDefault="00E04121" w:rsidP="00E04121">
      <w:pPr>
        <w:pStyle w:val="ListParagraph"/>
        <w:rPr>
          <w:rFonts w:ascii="Verdana" w:hAnsi="Verdana"/>
          <w:sz w:val="20"/>
          <w:szCs w:val="20"/>
        </w:rPr>
      </w:pPr>
    </w:p>
    <w:p w14:paraId="0C7049F1" w14:textId="74DD9D84"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rPr>
        <w:t xml:space="preserve">En la década de 1920, el Estado otorgó a través de un título ejidal el derecho de uso y goce sobre un terreno de </w:t>
      </w:r>
      <w:r>
        <w:rPr>
          <w:rFonts w:ascii="Verdana" w:hAnsi="Verdana"/>
          <w:sz w:val="20"/>
          <w:szCs w:val="20"/>
        </w:rPr>
        <w:t xml:space="preserve">aproximadamente más de </w:t>
      </w:r>
      <w:r w:rsidRPr="00167F1B">
        <w:rPr>
          <w:rFonts w:ascii="Verdana" w:hAnsi="Verdana"/>
          <w:sz w:val="20"/>
          <w:szCs w:val="20"/>
        </w:rPr>
        <w:t xml:space="preserve">800 </w:t>
      </w:r>
      <w:r w:rsidR="00B6463D">
        <w:rPr>
          <w:rFonts w:ascii="Verdana" w:hAnsi="Verdana"/>
          <w:sz w:val="20"/>
          <w:szCs w:val="20"/>
        </w:rPr>
        <w:t>ha</w:t>
      </w:r>
      <w:r w:rsidRPr="00167F1B">
        <w:rPr>
          <w:rFonts w:ascii="Verdana" w:hAnsi="Verdana"/>
          <w:sz w:val="20"/>
          <w:szCs w:val="20"/>
        </w:rPr>
        <w:t xml:space="preserve"> a la Comunidad de Punta Piedra al amparo de normativa de naturaleza agraria, sin que exista precisión sobre el año exacto en que éste fue concedido</w:t>
      </w:r>
      <w:r w:rsidRPr="00986EB6">
        <w:rPr>
          <w:rStyle w:val="FootnoteReference"/>
          <w:szCs w:val="20"/>
        </w:rPr>
        <w:footnoteReference w:id="65"/>
      </w:r>
      <w:r w:rsidRPr="00167F1B">
        <w:rPr>
          <w:rFonts w:ascii="Verdana" w:hAnsi="Verdana"/>
          <w:sz w:val="20"/>
          <w:szCs w:val="20"/>
        </w:rPr>
        <w:t xml:space="preserve">. El título ejidal no reconocía el derecho </w:t>
      </w:r>
      <w:r w:rsidRPr="00167F1B">
        <w:rPr>
          <w:rFonts w:ascii="Verdana" w:hAnsi="Verdana"/>
          <w:sz w:val="20"/>
          <w:szCs w:val="20"/>
        </w:rPr>
        <w:lastRenderedPageBreak/>
        <w:t>a la propiedad de la Comunidad de Punta Piedra. Posteriormente, de acuerdo con la información aportada por las partes, la Comunidad de Punta Piedra solicitó el reconocimiento de la propiedad de su territorio ancestral y la ampliación del mismo, por lo que el 13 de octubre de 1992 y el 8 de julio de 1999, respectivamente, se abrieron expedientes para otorgar dicha titulación</w:t>
      </w:r>
      <w:r w:rsidRPr="00986EB6">
        <w:rPr>
          <w:rStyle w:val="FootnoteReference"/>
          <w:szCs w:val="20"/>
        </w:rPr>
        <w:footnoteReference w:id="66"/>
      </w:r>
      <w:r w:rsidRPr="00167F1B">
        <w:rPr>
          <w:rFonts w:ascii="Verdana" w:hAnsi="Verdana"/>
          <w:sz w:val="20"/>
          <w:szCs w:val="20"/>
        </w:rPr>
        <w:t xml:space="preserve">. Como consecuencia de ello, el Estado otorgó dos títulos de dominio pleno en favor de la comunidad, </w:t>
      </w:r>
      <w:r w:rsidR="004C7CCB">
        <w:rPr>
          <w:rFonts w:ascii="Verdana" w:hAnsi="Verdana"/>
          <w:sz w:val="20"/>
          <w:szCs w:val="20"/>
        </w:rPr>
        <w:t xml:space="preserve">uno </w:t>
      </w:r>
      <w:r w:rsidRPr="00167F1B">
        <w:rPr>
          <w:rFonts w:ascii="Verdana" w:hAnsi="Verdana"/>
          <w:sz w:val="20"/>
          <w:szCs w:val="20"/>
        </w:rPr>
        <w:t xml:space="preserve">en 1993 y </w:t>
      </w:r>
      <w:r w:rsidR="004C7CCB">
        <w:rPr>
          <w:rFonts w:ascii="Verdana" w:hAnsi="Verdana"/>
          <w:sz w:val="20"/>
          <w:szCs w:val="20"/>
        </w:rPr>
        <w:t>otro</w:t>
      </w:r>
      <w:r w:rsidRPr="00167F1B">
        <w:rPr>
          <w:rFonts w:ascii="Verdana" w:hAnsi="Verdana"/>
          <w:sz w:val="20"/>
          <w:szCs w:val="20"/>
        </w:rPr>
        <w:t xml:space="preserve"> de ampliación en 1999.</w:t>
      </w:r>
      <w:bookmarkStart w:id="39" w:name="_Toc391899254"/>
      <w:r>
        <w:rPr>
          <w:rFonts w:ascii="Verdana" w:hAnsi="Verdana"/>
          <w:sz w:val="20"/>
          <w:szCs w:val="20"/>
          <w:lang w:val="es-CR"/>
        </w:rPr>
        <w:t xml:space="preserve"> </w:t>
      </w:r>
    </w:p>
    <w:p w14:paraId="0C7049F2" w14:textId="77777777" w:rsidR="00E04121" w:rsidRDefault="00E04121" w:rsidP="00E04121">
      <w:pPr>
        <w:pStyle w:val="ListParagraph"/>
        <w:ind w:left="0"/>
        <w:jc w:val="both"/>
        <w:rPr>
          <w:rFonts w:ascii="Verdana" w:hAnsi="Verdana"/>
          <w:sz w:val="20"/>
          <w:szCs w:val="20"/>
          <w:lang w:val="es-CR"/>
        </w:rPr>
      </w:pPr>
    </w:p>
    <w:p w14:paraId="0C7049F3" w14:textId="4A4ED639" w:rsidR="00E04121" w:rsidRPr="0036495D" w:rsidRDefault="00E04121" w:rsidP="00E04121">
      <w:pPr>
        <w:pStyle w:val="Heading3"/>
        <w:spacing w:before="0"/>
        <w:ind w:left="360"/>
        <w:jc w:val="both"/>
        <w:rPr>
          <w:rFonts w:ascii="Verdana" w:hAnsi="Verdana"/>
          <w:i/>
          <w:color w:val="auto"/>
          <w:sz w:val="20"/>
          <w:szCs w:val="20"/>
        </w:rPr>
      </w:pPr>
      <w:bookmarkStart w:id="40" w:name="_Toc421868206"/>
      <w:bookmarkStart w:id="41" w:name="_Toc437247326"/>
      <w:r>
        <w:rPr>
          <w:rFonts w:ascii="Verdana" w:hAnsi="Verdana"/>
          <w:i/>
          <w:color w:val="auto"/>
          <w:sz w:val="20"/>
          <w:szCs w:val="20"/>
        </w:rPr>
        <w:t>B</w:t>
      </w:r>
      <w:r w:rsidRPr="0036495D">
        <w:rPr>
          <w:rFonts w:ascii="Verdana" w:hAnsi="Verdana"/>
          <w:i/>
          <w:color w:val="auto"/>
          <w:sz w:val="20"/>
          <w:szCs w:val="20"/>
        </w:rPr>
        <w:t xml:space="preserve">.1 Título definitivo de dominio pleno </w:t>
      </w:r>
      <w:r>
        <w:rPr>
          <w:rFonts w:ascii="Verdana" w:hAnsi="Verdana"/>
          <w:i/>
          <w:color w:val="auto"/>
          <w:sz w:val="20"/>
          <w:szCs w:val="20"/>
        </w:rPr>
        <w:t xml:space="preserve">del año 1993 (800 ha 74 a 8 </w:t>
      </w:r>
      <w:proofErr w:type="spellStart"/>
      <w:r>
        <w:rPr>
          <w:rFonts w:ascii="Verdana" w:hAnsi="Verdana"/>
          <w:i/>
          <w:color w:val="auto"/>
          <w:sz w:val="20"/>
          <w:szCs w:val="20"/>
        </w:rPr>
        <w:t>ca</w:t>
      </w:r>
      <w:proofErr w:type="spellEnd"/>
      <w:r w:rsidRPr="0036495D">
        <w:rPr>
          <w:rFonts w:ascii="Verdana" w:hAnsi="Verdana"/>
          <w:i/>
          <w:color w:val="auto"/>
          <w:sz w:val="20"/>
          <w:szCs w:val="20"/>
        </w:rPr>
        <w:t>)</w:t>
      </w:r>
      <w:bookmarkEnd w:id="40"/>
      <w:bookmarkEnd w:id="41"/>
    </w:p>
    <w:p w14:paraId="0C7049F4" w14:textId="77777777" w:rsidR="00E04121" w:rsidRDefault="00E04121" w:rsidP="00E04121">
      <w:pPr>
        <w:pStyle w:val="ListParagraph"/>
        <w:ind w:left="0"/>
        <w:jc w:val="both"/>
        <w:rPr>
          <w:rFonts w:ascii="Verdana" w:hAnsi="Verdana"/>
          <w:sz w:val="20"/>
          <w:szCs w:val="20"/>
          <w:lang w:val="es-CR"/>
        </w:rPr>
      </w:pPr>
    </w:p>
    <w:p w14:paraId="0C7049F5" w14:textId="26932D56"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rPr>
        <w:t xml:space="preserve">El 13 de octubre de 1992 se inició el expediente No.25239 y el 16 de diciembre de 1993 el </w:t>
      </w:r>
      <w:r w:rsidRPr="00167F1B">
        <w:rPr>
          <w:rFonts w:ascii="Verdana" w:hAnsi="Verdana"/>
          <w:sz w:val="20"/>
          <w:szCs w:val="20"/>
          <w:lang w:val="es-MX"/>
        </w:rPr>
        <w:t>Instituto Nacional Agrario</w:t>
      </w:r>
      <w:r w:rsidRPr="00167F1B">
        <w:rPr>
          <w:rFonts w:ascii="Verdana" w:hAnsi="Verdana"/>
          <w:sz w:val="20"/>
          <w:szCs w:val="20"/>
        </w:rPr>
        <w:t xml:space="preserve">, transfirió “el dominio, posesión, servidumbre, anexidades, usos y demás derechos reales” a la Comunidad Garífuna de Punta Piedra, sobre el área correspondiente al título ejidal anteriormente concedido, abarcando una extensión de 800 </w:t>
      </w:r>
      <w:r w:rsidR="00B6463D">
        <w:rPr>
          <w:rFonts w:ascii="Verdana" w:hAnsi="Verdana"/>
          <w:sz w:val="20"/>
          <w:szCs w:val="20"/>
        </w:rPr>
        <w:t>ha</w:t>
      </w:r>
      <w:r w:rsidRPr="00167F1B">
        <w:rPr>
          <w:rFonts w:ascii="Verdana" w:hAnsi="Verdana"/>
          <w:sz w:val="20"/>
          <w:szCs w:val="20"/>
        </w:rPr>
        <w:t xml:space="preserve"> 74 </w:t>
      </w:r>
      <w:r w:rsidR="00B6463D">
        <w:rPr>
          <w:rFonts w:ascii="Verdana" w:hAnsi="Verdana"/>
          <w:sz w:val="20"/>
          <w:szCs w:val="20"/>
        </w:rPr>
        <w:t>a</w:t>
      </w:r>
      <w:r w:rsidRPr="00167F1B">
        <w:rPr>
          <w:rFonts w:ascii="Verdana" w:hAnsi="Verdana"/>
          <w:sz w:val="20"/>
          <w:szCs w:val="20"/>
        </w:rPr>
        <w:t xml:space="preserve"> y 8 </w:t>
      </w:r>
      <w:proofErr w:type="spellStart"/>
      <w:r w:rsidRPr="00167F1B">
        <w:rPr>
          <w:rFonts w:ascii="Verdana" w:hAnsi="Verdana"/>
          <w:sz w:val="20"/>
          <w:szCs w:val="20"/>
        </w:rPr>
        <w:t>c</w:t>
      </w:r>
      <w:r w:rsidR="00B6463D">
        <w:rPr>
          <w:rFonts w:ascii="Verdana" w:hAnsi="Verdana"/>
          <w:sz w:val="20"/>
          <w:szCs w:val="20"/>
        </w:rPr>
        <w:t>a</w:t>
      </w:r>
      <w:proofErr w:type="spellEnd"/>
      <w:r w:rsidRPr="00167F1B">
        <w:rPr>
          <w:rFonts w:ascii="Verdana" w:hAnsi="Verdana"/>
          <w:sz w:val="20"/>
          <w:szCs w:val="20"/>
        </w:rPr>
        <w:t>, mediante título definitivo de propiedad</w:t>
      </w:r>
      <w:r w:rsidRPr="00986EB6">
        <w:rPr>
          <w:rStyle w:val="FootnoteReference"/>
          <w:szCs w:val="20"/>
        </w:rPr>
        <w:footnoteReference w:id="67"/>
      </w:r>
      <w:r w:rsidRPr="00167F1B">
        <w:rPr>
          <w:rFonts w:ascii="Verdana" w:hAnsi="Verdana"/>
          <w:sz w:val="20"/>
          <w:szCs w:val="20"/>
        </w:rPr>
        <w:t xml:space="preserve">. El área titulada se ubica en el Municipio de </w:t>
      </w:r>
      <w:proofErr w:type="spellStart"/>
      <w:r w:rsidRPr="00167F1B">
        <w:rPr>
          <w:rFonts w:ascii="Verdana" w:hAnsi="Verdana"/>
          <w:sz w:val="20"/>
          <w:szCs w:val="20"/>
        </w:rPr>
        <w:t>Iriona</w:t>
      </w:r>
      <w:proofErr w:type="spellEnd"/>
      <w:r w:rsidRPr="00167F1B">
        <w:rPr>
          <w:rFonts w:ascii="Verdana" w:hAnsi="Verdana"/>
          <w:sz w:val="20"/>
          <w:szCs w:val="20"/>
        </w:rPr>
        <w:t xml:space="preserve">, Departamento de Colón y colinda por el norte con el Mar Caribe. El título quedó inscrito en el </w:t>
      </w:r>
      <w:r w:rsidR="00935737">
        <w:rPr>
          <w:rFonts w:ascii="Verdana" w:hAnsi="Verdana"/>
          <w:sz w:val="20"/>
          <w:szCs w:val="20"/>
        </w:rPr>
        <w:t xml:space="preserve">Libro de </w:t>
      </w:r>
      <w:r w:rsidRPr="00167F1B">
        <w:rPr>
          <w:rFonts w:ascii="Verdana" w:hAnsi="Verdana"/>
          <w:sz w:val="20"/>
          <w:szCs w:val="20"/>
        </w:rPr>
        <w:t>Registro de la Propiedad, Hipotecas y Anotaciones Preventivas</w:t>
      </w:r>
      <w:r w:rsidR="00935737">
        <w:rPr>
          <w:rFonts w:ascii="Verdana" w:hAnsi="Verdana"/>
          <w:sz w:val="20"/>
          <w:szCs w:val="20"/>
        </w:rPr>
        <w:t xml:space="preserve"> del Registro de la Propiedad y Mercantil de Colón, </w:t>
      </w:r>
      <w:r w:rsidRPr="00167F1B">
        <w:rPr>
          <w:rFonts w:ascii="Verdana" w:hAnsi="Verdana"/>
          <w:sz w:val="20"/>
          <w:szCs w:val="20"/>
        </w:rPr>
        <w:t>el 21 de enero de 1994</w:t>
      </w:r>
      <w:r w:rsidRPr="00986EB6">
        <w:rPr>
          <w:rStyle w:val="FootnoteReference"/>
          <w:szCs w:val="20"/>
        </w:rPr>
        <w:footnoteReference w:id="68"/>
      </w:r>
      <w:r w:rsidRPr="00167F1B">
        <w:rPr>
          <w:rFonts w:ascii="Verdana" w:hAnsi="Verdana"/>
          <w:sz w:val="20"/>
          <w:szCs w:val="20"/>
        </w:rPr>
        <w:t>.</w:t>
      </w:r>
      <w:r>
        <w:rPr>
          <w:rFonts w:ascii="Verdana" w:hAnsi="Verdana"/>
          <w:sz w:val="20"/>
          <w:szCs w:val="20"/>
          <w:lang w:val="es-CR"/>
        </w:rPr>
        <w:t xml:space="preserve"> </w:t>
      </w:r>
    </w:p>
    <w:p w14:paraId="0C7049F6" w14:textId="77777777" w:rsidR="00E04121" w:rsidRDefault="00E04121" w:rsidP="00E04121">
      <w:pPr>
        <w:pStyle w:val="ListParagraph"/>
        <w:ind w:left="0"/>
        <w:jc w:val="both"/>
        <w:rPr>
          <w:rFonts w:ascii="Verdana" w:hAnsi="Verdana"/>
          <w:sz w:val="20"/>
          <w:szCs w:val="20"/>
          <w:lang w:val="es-CR"/>
        </w:rPr>
      </w:pPr>
    </w:p>
    <w:p w14:paraId="0C7049F9" w14:textId="3834B429" w:rsidR="006A0E8F" w:rsidRDefault="00E04121" w:rsidP="00A0324F">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La </w:t>
      </w:r>
      <w:r w:rsidRPr="00167F1B">
        <w:rPr>
          <w:rFonts w:ascii="Verdana" w:hAnsi="Verdana"/>
          <w:sz w:val="20"/>
          <w:szCs w:val="20"/>
        </w:rPr>
        <w:t>Ley de Reforma Agraria</w:t>
      </w:r>
      <w:r w:rsidRPr="00986EB6">
        <w:rPr>
          <w:rStyle w:val="FootnoteReference"/>
          <w:szCs w:val="20"/>
        </w:rPr>
        <w:footnoteReference w:id="69"/>
      </w:r>
      <w:r w:rsidRPr="00167F1B">
        <w:rPr>
          <w:rFonts w:ascii="Verdana" w:hAnsi="Verdana"/>
          <w:sz w:val="20"/>
          <w:szCs w:val="20"/>
        </w:rPr>
        <w:t xml:space="preserve"> de diciembre de 1974</w:t>
      </w:r>
      <w:r>
        <w:rPr>
          <w:rFonts w:ascii="Verdana" w:hAnsi="Verdana"/>
          <w:sz w:val="20"/>
          <w:szCs w:val="20"/>
        </w:rPr>
        <w:t xml:space="preserve"> </w:t>
      </w:r>
      <w:r w:rsidR="00FD39FC">
        <w:rPr>
          <w:rFonts w:ascii="Verdana" w:hAnsi="Verdana"/>
          <w:sz w:val="20"/>
          <w:szCs w:val="20"/>
        </w:rPr>
        <w:t>(en adelante,</w:t>
      </w:r>
      <w:r>
        <w:rPr>
          <w:rFonts w:ascii="Verdana" w:hAnsi="Verdana"/>
          <w:sz w:val="20"/>
          <w:szCs w:val="20"/>
        </w:rPr>
        <w:t xml:space="preserve"> “ley de reforma agraria”)</w:t>
      </w:r>
      <w:r w:rsidRPr="00167F1B">
        <w:rPr>
          <w:rFonts w:ascii="Verdana" w:hAnsi="Verdana"/>
          <w:sz w:val="20"/>
          <w:szCs w:val="20"/>
          <w:lang w:val="es-CR"/>
        </w:rPr>
        <w:t xml:space="preserve"> y l</w:t>
      </w:r>
      <w:r w:rsidRPr="00167F1B">
        <w:rPr>
          <w:rFonts w:ascii="Verdana" w:hAnsi="Verdana"/>
          <w:sz w:val="20"/>
          <w:szCs w:val="20"/>
        </w:rPr>
        <w:t>a Ley para la Modernización</w:t>
      </w:r>
      <w:r w:rsidR="00ED60E0">
        <w:rPr>
          <w:rFonts w:ascii="Verdana" w:hAnsi="Verdana"/>
          <w:sz w:val="20"/>
          <w:szCs w:val="20"/>
        </w:rPr>
        <w:t xml:space="preserve"> </w:t>
      </w:r>
      <w:r w:rsidRPr="00167F1B">
        <w:rPr>
          <w:rFonts w:ascii="Verdana" w:hAnsi="Verdana"/>
          <w:sz w:val="20"/>
          <w:szCs w:val="20"/>
        </w:rPr>
        <w:t>y el Desarrollo del Sector Agrícola</w:t>
      </w:r>
      <w:r w:rsidRPr="00986EB6">
        <w:rPr>
          <w:rStyle w:val="FootnoteReference"/>
          <w:szCs w:val="20"/>
        </w:rPr>
        <w:footnoteReference w:id="70"/>
      </w:r>
      <w:r w:rsidRPr="00167F1B">
        <w:rPr>
          <w:rFonts w:ascii="Verdana" w:hAnsi="Verdana"/>
          <w:sz w:val="20"/>
          <w:szCs w:val="20"/>
        </w:rPr>
        <w:t xml:space="preserve"> </w:t>
      </w:r>
      <w:r w:rsidR="00FD39FC">
        <w:rPr>
          <w:rFonts w:ascii="Verdana" w:hAnsi="Verdana"/>
          <w:sz w:val="20"/>
          <w:szCs w:val="20"/>
        </w:rPr>
        <w:t>(en adelante,</w:t>
      </w:r>
      <w:r w:rsidRPr="00167F1B">
        <w:rPr>
          <w:rFonts w:ascii="Verdana" w:hAnsi="Verdana"/>
          <w:sz w:val="20"/>
          <w:szCs w:val="20"/>
        </w:rPr>
        <w:t xml:space="preserve"> “ley para la modernización agrícola”) de 5 de marzo de 1992, constituyeron la base normativa para la titulación de este territorio</w:t>
      </w:r>
      <w:r w:rsidRPr="00986EB6">
        <w:rPr>
          <w:rStyle w:val="FootnoteReference"/>
          <w:szCs w:val="20"/>
        </w:rPr>
        <w:footnoteReference w:id="71"/>
      </w:r>
      <w:r w:rsidRPr="00167F1B">
        <w:rPr>
          <w:rFonts w:ascii="Verdana" w:hAnsi="Verdana"/>
          <w:sz w:val="20"/>
          <w:szCs w:val="20"/>
        </w:rPr>
        <w:t xml:space="preserve">. El artículo 65 de la ley para la modernización agrícola, el cual modificó el artículo 92 de la </w:t>
      </w:r>
      <w:r>
        <w:rPr>
          <w:rFonts w:ascii="Verdana" w:hAnsi="Verdana"/>
          <w:sz w:val="20"/>
          <w:szCs w:val="20"/>
        </w:rPr>
        <w:t>l</w:t>
      </w:r>
      <w:r w:rsidRPr="00167F1B">
        <w:rPr>
          <w:rFonts w:ascii="Verdana" w:hAnsi="Verdana"/>
          <w:sz w:val="20"/>
          <w:szCs w:val="20"/>
        </w:rPr>
        <w:t xml:space="preserve">ey de </w:t>
      </w:r>
      <w:r>
        <w:rPr>
          <w:rFonts w:ascii="Verdana" w:hAnsi="Verdana"/>
          <w:sz w:val="20"/>
          <w:szCs w:val="20"/>
        </w:rPr>
        <w:t>r</w:t>
      </w:r>
      <w:r w:rsidRPr="00167F1B">
        <w:rPr>
          <w:rFonts w:ascii="Verdana" w:hAnsi="Verdana"/>
          <w:sz w:val="20"/>
          <w:szCs w:val="20"/>
        </w:rPr>
        <w:t xml:space="preserve">eforma </w:t>
      </w:r>
      <w:r>
        <w:rPr>
          <w:rFonts w:ascii="Verdana" w:hAnsi="Verdana"/>
          <w:sz w:val="20"/>
          <w:szCs w:val="20"/>
        </w:rPr>
        <w:t>a</w:t>
      </w:r>
      <w:r w:rsidRPr="00167F1B">
        <w:rPr>
          <w:rFonts w:ascii="Verdana" w:hAnsi="Verdana"/>
          <w:sz w:val="20"/>
          <w:szCs w:val="20"/>
        </w:rPr>
        <w:t>graria, establece que “</w:t>
      </w:r>
      <w:r w:rsidRPr="00167F1B">
        <w:rPr>
          <w:rFonts w:ascii="Verdana" w:hAnsi="Verdana"/>
          <w:sz w:val="20"/>
          <w:szCs w:val="20"/>
          <w:lang w:val="es-MX"/>
        </w:rPr>
        <w:t xml:space="preserve">[…] Las comunidades étnicas que acrediten la ocupación de las tierras donde estén asentadas, por el término no menor de tres años indicado en el artículo 15 reformado de esta ley, recibirán los títulos de propiedad en </w:t>
      </w:r>
      <w:r w:rsidRPr="00167F1B">
        <w:rPr>
          <w:rFonts w:ascii="Verdana" w:hAnsi="Verdana"/>
          <w:sz w:val="20"/>
          <w:szCs w:val="20"/>
          <w:lang w:val="es-MX"/>
        </w:rPr>
        <w:lastRenderedPageBreak/>
        <w:t>dominio pleno completamente gratis, extendidos por el Instituto Nacional Agrario en el plazo estipulado en el artículo 15 referido</w:t>
      </w:r>
      <w:r w:rsidR="00A269F0">
        <w:rPr>
          <w:rFonts w:ascii="Verdana" w:hAnsi="Verdana"/>
          <w:sz w:val="20"/>
          <w:szCs w:val="20"/>
          <w:lang w:val="es-MX"/>
        </w:rPr>
        <w:t>”</w:t>
      </w:r>
      <w:r w:rsidRPr="00986EB6">
        <w:rPr>
          <w:rStyle w:val="FootnoteReference"/>
          <w:szCs w:val="20"/>
          <w:lang w:val="es-MX"/>
        </w:rPr>
        <w:footnoteReference w:id="72"/>
      </w:r>
      <w:r>
        <w:rPr>
          <w:rFonts w:ascii="Verdana" w:hAnsi="Verdana"/>
          <w:sz w:val="20"/>
          <w:lang w:val="es-CR"/>
        </w:rPr>
        <w:t>.</w:t>
      </w:r>
    </w:p>
    <w:p w14:paraId="0C7049FA" w14:textId="77777777" w:rsidR="006A0E8F" w:rsidRDefault="006A0E8F" w:rsidP="00A0324F">
      <w:pPr>
        <w:pStyle w:val="ListParagraph"/>
        <w:ind w:left="0"/>
        <w:jc w:val="both"/>
        <w:rPr>
          <w:rFonts w:ascii="Verdana" w:hAnsi="Verdana"/>
          <w:sz w:val="20"/>
          <w:szCs w:val="20"/>
          <w:lang w:val="es-CR"/>
        </w:rPr>
      </w:pPr>
    </w:p>
    <w:p w14:paraId="0C7049FD" w14:textId="73D2AE13" w:rsidR="00E04121" w:rsidRDefault="00E04121"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lang w:val="es-MX"/>
        </w:rPr>
        <w:t xml:space="preserve"> </w:t>
      </w:r>
      <w:r w:rsidRPr="00167F1B">
        <w:rPr>
          <w:rFonts w:ascii="Verdana" w:hAnsi="Verdana"/>
          <w:sz w:val="20"/>
          <w:szCs w:val="20"/>
          <w:lang w:val="es-MX"/>
        </w:rPr>
        <w:t xml:space="preserve">En este sentido, </w:t>
      </w:r>
      <w:r w:rsidRPr="00167F1B">
        <w:rPr>
          <w:rFonts w:ascii="Verdana" w:hAnsi="Verdana"/>
          <w:sz w:val="20"/>
          <w:szCs w:val="20"/>
        </w:rPr>
        <w:t>l</w:t>
      </w:r>
      <w:r w:rsidRPr="00167F1B">
        <w:rPr>
          <w:rFonts w:ascii="Verdana" w:hAnsi="Verdana"/>
          <w:sz w:val="20"/>
          <w:szCs w:val="20"/>
          <w:lang w:val="es-CR"/>
        </w:rPr>
        <w:t>a adjudicación se realizó a título gratuito</w:t>
      </w:r>
      <w:r w:rsidR="00D26972">
        <w:rPr>
          <w:rFonts w:ascii="Verdana" w:hAnsi="Verdana"/>
          <w:sz w:val="20"/>
          <w:szCs w:val="20"/>
          <w:lang w:val="es-CR"/>
        </w:rPr>
        <w:t>.</w:t>
      </w:r>
      <w:r w:rsidRPr="00167F1B">
        <w:rPr>
          <w:rFonts w:ascii="Verdana" w:hAnsi="Verdana"/>
          <w:sz w:val="20"/>
          <w:szCs w:val="20"/>
          <w:lang w:val="es-CR"/>
        </w:rPr>
        <w:t xml:space="preserve"> </w:t>
      </w:r>
      <w:r w:rsidR="00D26972">
        <w:rPr>
          <w:rFonts w:ascii="Verdana" w:hAnsi="Verdana"/>
          <w:sz w:val="20"/>
          <w:szCs w:val="20"/>
          <w:lang w:val="es-CR"/>
        </w:rPr>
        <w:t>S</w:t>
      </w:r>
      <w:r w:rsidRPr="00167F1B">
        <w:rPr>
          <w:rFonts w:ascii="Verdana" w:hAnsi="Verdana"/>
          <w:sz w:val="20"/>
          <w:szCs w:val="20"/>
          <w:lang w:val="es-CR"/>
        </w:rPr>
        <w:t>in embargo</w:t>
      </w:r>
      <w:r w:rsidR="00D26972">
        <w:rPr>
          <w:rFonts w:ascii="Verdana" w:hAnsi="Verdana"/>
          <w:sz w:val="20"/>
          <w:szCs w:val="20"/>
          <w:lang w:val="es-CR"/>
        </w:rPr>
        <w:t>,</w:t>
      </w:r>
      <w:r w:rsidRPr="00167F1B">
        <w:rPr>
          <w:rFonts w:ascii="Verdana" w:hAnsi="Verdana"/>
          <w:sz w:val="20"/>
          <w:szCs w:val="20"/>
          <w:lang w:val="es-CR"/>
        </w:rPr>
        <w:t xml:space="preserve"> en el título se estableció que “[n]</w:t>
      </w:r>
      <w:proofErr w:type="spellStart"/>
      <w:r w:rsidRPr="00167F1B">
        <w:rPr>
          <w:rFonts w:ascii="Verdana" w:hAnsi="Verdana"/>
          <w:sz w:val="20"/>
          <w:szCs w:val="20"/>
          <w:lang w:val="es-CR"/>
        </w:rPr>
        <w:t>o</w:t>
      </w:r>
      <w:proofErr w:type="spellEnd"/>
      <w:r w:rsidRPr="00167F1B">
        <w:rPr>
          <w:rFonts w:ascii="Verdana" w:hAnsi="Verdana"/>
          <w:sz w:val="20"/>
          <w:szCs w:val="20"/>
          <w:lang w:val="es-CR"/>
        </w:rPr>
        <w:t xml:space="preserve"> obstante lo definitivo de este traspaso, el presente título queda sujeto a las condiciones siguientes: [a)</w:t>
      </w:r>
      <w:r w:rsidR="00D26972">
        <w:rPr>
          <w:rFonts w:ascii="Verdana" w:hAnsi="Verdana"/>
          <w:sz w:val="20"/>
          <w:szCs w:val="20"/>
          <w:lang w:val="es-CR"/>
        </w:rPr>
        <w:t xml:space="preserve"> </w:t>
      </w:r>
      <w:r w:rsidRPr="00167F1B">
        <w:rPr>
          <w:rFonts w:ascii="Verdana" w:hAnsi="Verdana"/>
          <w:sz w:val="20"/>
          <w:szCs w:val="20"/>
          <w:lang w:val="es-CR"/>
        </w:rPr>
        <w:t>q]</w:t>
      </w:r>
      <w:proofErr w:type="spellStart"/>
      <w:r w:rsidRPr="00167F1B">
        <w:rPr>
          <w:rFonts w:ascii="Verdana" w:hAnsi="Verdana"/>
          <w:sz w:val="20"/>
          <w:szCs w:val="20"/>
          <w:lang w:val="es-CR"/>
        </w:rPr>
        <w:t>ue</w:t>
      </w:r>
      <w:proofErr w:type="spellEnd"/>
      <w:r w:rsidRPr="00167F1B">
        <w:rPr>
          <w:rFonts w:ascii="Verdana" w:hAnsi="Verdana"/>
          <w:sz w:val="20"/>
          <w:szCs w:val="20"/>
          <w:lang w:val="es-CR"/>
        </w:rPr>
        <w:t xml:space="preserve"> en caso de permitirse la venta o donación de lotes del terreno adjudicado, únicamente se autorice</w:t>
      </w:r>
      <w:r>
        <w:rPr>
          <w:rFonts w:ascii="Verdana" w:hAnsi="Verdana"/>
          <w:sz w:val="20"/>
          <w:szCs w:val="20"/>
          <w:lang w:val="es-CR"/>
        </w:rPr>
        <w:t xml:space="preserve"> </w:t>
      </w:r>
      <w:r w:rsidRPr="00D06233">
        <w:rPr>
          <w:rFonts w:ascii="Verdana" w:hAnsi="Verdana"/>
          <w:sz w:val="20"/>
          <w:szCs w:val="20"/>
          <w:lang w:val="es-CR"/>
        </w:rPr>
        <w:t>[esta]</w:t>
      </w:r>
      <w:r w:rsidRPr="00167F1B">
        <w:rPr>
          <w:rFonts w:ascii="Verdana" w:hAnsi="Verdana"/>
          <w:sz w:val="20"/>
          <w:szCs w:val="20"/>
          <w:lang w:val="es-CR"/>
        </w:rPr>
        <w:t xml:space="preserve"> para proyectos turísticos debidamente aprobados por el Instituto Hondureño de Turismo y a descendientes de la Comunidad </w:t>
      </w:r>
      <w:r w:rsidR="00D26972">
        <w:rPr>
          <w:rFonts w:ascii="Verdana" w:hAnsi="Verdana"/>
          <w:sz w:val="20"/>
          <w:szCs w:val="20"/>
          <w:lang w:val="es-CR"/>
        </w:rPr>
        <w:t>[</w:t>
      </w:r>
      <w:r w:rsidRPr="00167F1B">
        <w:rPr>
          <w:rFonts w:ascii="Verdana" w:hAnsi="Verdana"/>
          <w:sz w:val="20"/>
          <w:szCs w:val="20"/>
          <w:lang w:val="es-CR"/>
        </w:rPr>
        <w:t>É</w:t>
      </w:r>
      <w:r w:rsidR="00D26972">
        <w:rPr>
          <w:rFonts w:ascii="Verdana" w:hAnsi="Verdana"/>
          <w:sz w:val="20"/>
          <w:szCs w:val="20"/>
          <w:lang w:val="es-CR"/>
        </w:rPr>
        <w:t>]</w:t>
      </w:r>
      <w:proofErr w:type="spellStart"/>
      <w:r w:rsidRPr="00167F1B">
        <w:rPr>
          <w:rFonts w:ascii="Verdana" w:hAnsi="Verdana"/>
          <w:sz w:val="20"/>
          <w:szCs w:val="20"/>
          <w:lang w:val="es-CR"/>
        </w:rPr>
        <w:t>tnica</w:t>
      </w:r>
      <w:proofErr w:type="spellEnd"/>
      <w:r w:rsidRPr="00167F1B">
        <w:rPr>
          <w:rFonts w:ascii="Verdana" w:hAnsi="Verdana"/>
          <w:sz w:val="20"/>
          <w:szCs w:val="20"/>
          <w:lang w:val="es-CR"/>
        </w:rPr>
        <w:t xml:space="preserve"> beneficiada[; b) q]</w:t>
      </w:r>
      <w:proofErr w:type="spellStart"/>
      <w:r w:rsidRPr="00167F1B">
        <w:rPr>
          <w:rFonts w:ascii="Verdana" w:hAnsi="Verdana"/>
          <w:sz w:val="20"/>
          <w:szCs w:val="20"/>
          <w:lang w:val="es-CR"/>
        </w:rPr>
        <w:t>ue</w:t>
      </w:r>
      <w:proofErr w:type="spellEnd"/>
      <w:r w:rsidRPr="00167F1B">
        <w:rPr>
          <w:rFonts w:ascii="Verdana" w:hAnsi="Verdana"/>
          <w:sz w:val="20"/>
          <w:szCs w:val="20"/>
          <w:lang w:val="es-CR"/>
        </w:rPr>
        <w:t xml:space="preserve"> se respete la integridad de los bosques para asegurar la existencia de las fuentes de agua, la calidad de las playas, así como la estabilidad de las laderas de pendientes fuertes y el hábitat de fauna local, preservándose así las condiciones naturales del lugar</w:t>
      </w:r>
      <w:r w:rsidRPr="00986EB6">
        <w:rPr>
          <w:rStyle w:val="FootnoteReference"/>
          <w:szCs w:val="20"/>
          <w:lang w:val="es-CR"/>
        </w:rPr>
        <w:footnoteReference w:id="73"/>
      </w:r>
      <w:r w:rsidRPr="00167F1B">
        <w:rPr>
          <w:rFonts w:ascii="Verdana" w:hAnsi="Verdana"/>
          <w:sz w:val="20"/>
          <w:szCs w:val="20"/>
          <w:lang w:val="es-CR"/>
        </w:rPr>
        <w:t xml:space="preserve">”. </w:t>
      </w:r>
    </w:p>
    <w:p w14:paraId="0C7049FE" w14:textId="77777777" w:rsidR="00E04121" w:rsidRDefault="00E04121" w:rsidP="00E04121">
      <w:pPr>
        <w:pStyle w:val="ListParagraph"/>
        <w:ind w:left="0"/>
        <w:jc w:val="both"/>
        <w:rPr>
          <w:rFonts w:ascii="Verdana" w:hAnsi="Verdana"/>
          <w:sz w:val="20"/>
          <w:szCs w:val="20"/>
          <w:lang w:val="es-CR"/>
        </w:rPr>
      </w:pPr>
    </w:p>
    <w:p w14:paraId="0C7049FF" w14:textId="302EF55B" w:rsidR="00E04121" w:rsidRPr="0036495D" w:rsidRDefault="00E04121" w:rsidP="00E04121">
      <w:pPr>
        <w:pStyle w:val="Heading3"/>
        <w:spacing w:before="0"/>
        <w:ind w:left="360"/>
        <w:jc w:val="both"/>
        <w:rPr>
          <w:rFonts w:ascii="Verdana" w:hAnsi="Verdana"/>
          <w:i/>
          <w:color w:val="auto"/>
          <w:sz w:val="20"/>
          <w:szCs w:val="20"/>
        </w:rPr>
      </w:pPr>
      <w:bookmarkStart w:id="42" w:name="_Toc421868207"/>
      <w:bookmarkStart w:id="43" w:name="_Toc437247327"/>
      <w:r>
        <w:rPr>
          <w:rFonts w:ascii="Verdana" w:hAnsi="Verdana"/>
          <w:i/>
          <w:color w:val="auto"/>
          <w:sz w:val="20"/>
          <w:szCs w:val="20"/>
        </w:rPr>
        <w:t>B</w:t>
      </w:r>
      <w:r w:rsidRPr="0036495D">
        <w:rPr>
          <w:rFonts w:ascii="Verdana" w:hAnsi="Verdana"/>
          <w:i/>
          <w:color w:val="auto"/>
          <w:sz w:val="20"/>
          <w:szCs w:val="20"/>
        </w:rPr>
        <w:t xml:space="preserve">.2 Título definitivo de dominio pleno </w:t>
      </w:r>
      <w:r>
        <w:rPr>
          <w:rFonts w:ascii="Verdana" w:hAnsi="Verdana"/>
          <w:i/>
          <w:color w:val="auto"/>
          <w:sz w:val="20"/>
          <w:szCs w:val="20"/>
        </w:rPr>
        <w:t xml:space="preserve">del año 1999 (1,513 </w:t>
      </w:r>
      <w:r w:rsidR="00B6463D">
        <w:rPr>
          <w:rFonts w:ascii="Verdana" w:hAnsi="Verdana"/>
          <w:i/>
          <w:color w:val="auto"/>
          <w:sz w:val="20"/>
          <w:szCs w:val="20"/>
        </w:rPr>
        <w:t>ha</w:t>
      </w:r>
      <w:r>
        <w:rPr>
          <w:rFonts w:ascii="Verdana" w:hAnsi="Verdana"/>
          <w:i/>
          <w:color w:val="auto"/>
          <w:sz w:val="20"/>
          <w:szCs w:val="20"/>
        </w:rPr>
        <w:t xml:space="preserve"> 54 </w:t>
      </w:r>
      <w:r w:rsidR="00B6463D">
        <w:rPr>
          <w:rFonts w:ascii="Verdana" w:hAnsi="Verdana"/>
          <w:i/>
          <w:color w:val="auto"/>
          <w:sz w:val="20"/>
          <w:szCs w:val="20"/>
        </w:rPr>
        <w:t>a</w:t>
      </w:r>
      <w:r>
        <w:rPr>
          <w:rFonts w:ascii="Verdana" w:hAnsi="Verdana"/>
          <w:i/>
          <w:color w:val="auto"/>
          <w:sz w:val="20"/>
          <w:szCs w:val="20"/>
        </w:rPr>
        <w:t xml:space="preserve"> 45.03 </w:t>
      </w:r>
      <w:proofErr w:type="spellStart"/>
      <w:r>
        <w:rPr>
          <w:rFonts w:ascii="Verdana" w:hAnsi="Verdana"/>
          <w:i/>
          <w:color w:val="auto"/>
          <w:sz w:val="20"/>
          <w:szCs w:val="20"/>
        </w:rPr>
        <w:t>c</w:t>
      </w:r>
      <w:r w:rsidR="00B6463D">
        <w:rPr>
          <w:rFonts w:ascii="Verdana" w:hAnsi="Verdana"/>
          <w:i/>
          <w:color w:val="auto"/>
          <w:sz w:val="20"/>
          <w:szCs w:val="20"/>
        </w:rPr>
        <w:t>a</w:t>
      </w:r>
      <w:proofErr w:type="spellEnd"/>
      <w:r w:rsidRPr="0036495D">
        <w:rPr>
          <w:rFonts w:ascii="Verdana" w:hAnsi="Verdana"/>
          <w:i/>
          <w:color w:val="auto"/>
          <w:sz w:val="20"/>
          <w:szCs w:val="20"/>
        </w:rPr>
        <w:t>)</w:t>
      </w:r>
      <w:bookmarkEnd w:id="42"/>
      <w:bookmarkEnd w:id="43"/>
    </w:p>
    <w:p w14:paraId="0C704A00" w14:textId="77777777" w:rsidR="00E04121" w:rsidRPr="00167F1B" w:rsidRDefault="00E04121" w:rsidP="00E04121">
      <w:pPr>
        <w:pStyle w:val="ListParagraph"/>
        <w:rPr>
          <w:rFonts w:ascii="Verdana" w:hAnsi="Verdana"/>
          <w:sz w:val="20"/>
          <w:szCs w:val="20"/>
        </w:rPr>
      </w:pPr>
    </w:p>
    <w:p w14:paraId="0C704A01" w14:textId="147B2B2B"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rPr>
        <w:t>El 8 de julio de 1999 se inició el expediente No.52147-10775 en atención a la solicitud por parte de la Comunidad de Punta Piedra de ampliación del área originalmente adjudicada. Debido a ello, el 6 de diciembre de 1999, el INA otorgó a la Comunidad un título definitivo de propiedad, por medio del cual se le concedió el “dominio, posesión, servidumbre, anexidades, usos y demás derechos reales inherentes”, sobre un área adicional de 1</w:t>
      </w:r>
      <w:r>
        <w:rPr>
          <w:rFonts w:ascii="Verdana" w:hAnsi="Verdana"/>
          <w:sz w:val="20"/>
          <w:szCs w:val="20"/>
        </w:rPr>
        <w:t>,</w:t>
      </w:r>
      <w:r w:rsidRPr="00167F1B">
        <w:rPr>
          <w:rFonts w:ascii="Verdana" w:hAnsi="Verdana"/>
          <w:sz w:val="20"/>
          <w:szCs w:val="20"/>
        </w:rPr>
        <w:t xml:space="preserve">513 </w:t>
      </w:r>
      <w:r w:rsidR="00B6463D">
        <w:rPr>
          <w:rFonts w:ascii="Verdana" w:hAnsi="Verdana"/>
          <w:sz w:val="20"/>
          <w:szCs w:val="20"/>
        </w:rPr>
        <w:t>ha</w:t>
      </w:r>
      <w:r w:rsidRPr="00167F1B">
        <w:rPr>
          <w:rFonts w:ascii="Verdana" w:hAnsi="Verdana"/>
          <w:sz w:val="20"/>
          <w:szCs w:val="20"/>
        </w:rPr>
        <w:t xml:space="preserve"> 54 </w:t>
      </w:r>
      <w:r w:rsidR="00B6463D">
        <w:rPr>
          <w:rFonts w:ascii="Verdana" w:hAnsi="Verdana"/>
          <w:sz w:val="20"/>
          <w:szCs w:val="20"/>
        </w:rPr>
        <w:t>a</w:t>
      </w:r>
      <w:r w:rsidRPr="00167F1B">
        <w:rPr>
          <w:rFonts w:ascii="Verdana" w:hAnsi="Verdana"/>
          <w:sz w:val="20"/>
          <w:szCs w:val="20"/>
        </w:rPr>
        <w:t xml:space="preserve"> y 45.03 </w:t>
      </w:r>
      <w:proofErr w:type="spellStart"/>
      <w:r w:rsidRPr="00167F1B">
        <w:rPr>
          <w:rFonts w:ascii="Verdana" w:hAnsi="Verdana"/>
          <w:sz w:val="20"/>
          <w:szCs w:val="20"/>
        </w:rPr>
        <w:t>c</w:t>
      </w:r>
      <w:r w:rsidR="00B6463D">
        <w:rPr>
          <w:rFonts w:ascii="Verdana" w:hAnsi="Verdana"/>
          <w:sz w:val="20"/>
          <w:szCs w:val="20"/>
        </w:rPr>
        <w:t>a</w:t>
      </w:r>
      <w:proofErr w:type="spellEnd"/>
      <w:r w:rsidRPr="00986EB6">
        <w:rPr>
          <w:rStyle w:val="FootnoteReference"/>
          <w:szCs w:val="20"/>
        </w:rPr>
        <w:footnoteReference w:id="74"/>
      </w:r>
      <w:r w:rsidRPr="00167F1B">
        <w:rPr>
          <w:rFonts w:ascii="Verdana" w:hAnsi="Verdana"/>
          <w:sz w:val="20"/>
          <w:szCs w:val="20"/>
        </w:rPr>
        <w:t xml:space="preserve">, también ubicada en el Municipio de </w:t>
      </w:r>
      <w:proofErr w:type="spellStart"/>
      <w:r w:rsidRPr="00167F1B">
        <w:rPr>
          <w:rFonts w:ascii="Verdana" w:hAnsi="Verdana"/>
          <w:sz w:val="20"/>
          <w:szCs w:val="20"/>
        </w:rPr>
        <w:t>Iriona</w:t>
      </w:r>
      <w:proofErr w:type="spellEnd"/>
      <w:r w:rsidRPr="00167F1B">
        <w:rPr>
          <w:rFonts w:ascii="Verdana" w:hAnsi="Verdana"/>
          <w:sz w:val="20"/>
          <w:szCs w:val="20"/>
        </w:rPr>
        <w:t>, Departamento de Colón</w:t>
      </w:r>
      <w:r w:rsidR="00F36CC8">
        <w:rPr>
          <w:rFonts w:ascii="Verdana" w:hAnsi="Verdana"/>
          <w:sz w:val="20"/>
          <w:szCs w:val="20"/>
        </w:rPr>
        <w:t xml:space="preserve">, el cual colinda al norte con las tierras tituladas a la Comunidad de Punta Piedra en 1993. </w:t>
      </w:r>
      <w:r w:rsidRPr="00167F1B">
        <w:rPr>
          <w:rFonts w:ascii="Verdana" w:hAnsi="Verdana"/>
          <w:sz w:val="20"/>
          <w:szCs w:val="20"/>
        </w:rPr>
        <w:t>Este título quedó</w:t>
      </w:r>
      <w:r w:rsidR="00F36CC8">
        <w:rPr>
          <w:rFonts w:ascii="Verdana" w:hAnsi="Verdana"/>
          <w:sz w:val="20"/>
          <w:szCs w:val="20"/>
        </w:rPr>
        <w:t xml:space="preserve"> </w:t>
      </w:r>
      <w:r w:rsidR="00F36CC8" w:rsidRPr="00167F1B">
        <w:rPr>
          <w:rFonts w:ascii="Verdana" w:hAnsi="Verdana"/>
          <w:sz w:val="20"/>
          <w:szCs w:val="20"/>
        </w:rPr>
        <w:t xml:space="preserve">inscrito en el </w:t>
      </w:r>
      <w:r w:rsidR="00F36CC8">
        <w:rPr>
          <w:rFonts w:ascii="Verdana" w:hAnsi="Verdana"/>
          <w:sz w:val="20"/>
          <w:szCs w:val="20"/>
        </w:rPr>
        <w:t xml:space="preserve">Libro de </w:t>
      </w:r>
      <w:r w:rsidR="00F36CC8" w:rsidRPr="00167F1B">
        <w:rPr>
          <w:rFonts w:ascii="Verdana" w:hAnsi="Verdana"/>
          <w:sz w:val="20"/>
          <w:szCs w:val="20"/>
        </w:rPr>
        <w:t>Registro de la Propiedad, Hipotecas y Anotaciones Preventivas</w:t>
      </w:r>
      <w:r w:rsidR="00F36CC8">
        <w:rPr>
          <w:rFonts w:ascii="Verdana" w:hAnsi="Verdana"/>
          <w:sz w:val="20"/>
          <w:szCs w:val="20"/>
        </w:rPr>
        <w:t xml:space="preserve"> del Registro de la Propiedad y Mercantil de Colón, </w:t>
      </w:r>
      <w:r w:rsidRPr="00167F1B">
        <w:rPr>
          <w:rFonts w:ascii="Verdana" w:hAnsi="Verdana"/>
          <w:sz w:val="20"/>
          <w:szCs w:val="20"/>
        </w:rPr>
        <w:t>el 3 de enero de 2000</w:t>
      </w:r>
      <w:r w:rsidRPr="00986EB6">
        <w:rPr>
          <w:rStyle w:val="FootnoteReference"/>
          <w:szCs w:val="20"/>
        </w:rPr>
        <w:footnoteReference w:id="75"/>
      </w:r>
      <w:r w:rsidRPr="00167F1B">
        <w:rPr>
          <w:rFonts w:ascii="Verdana" w:hAnsi="Verdana"/>
          <w:sz w:val="20"/>
          <w:szCs w:val="20"/>
        </w:rPr>
        <w:t>.</w:t>
      </w:r>
      <w:r>
        <w:rPr>
          <w:rFonts w:ascii="Verdana" w:hAnsi="Verdana"/>
          <w:sz w:val="20"/>
          <w:szCs w:val="20"/>
          <w:lang w:val="es-CR"/>
        </w:rPr>
        <w:t xml:space="preserve"> </w:t>
      </w:r>
    </w:p>
    <w:p w14:paraId="0C704A03" w14:textId="0375702B"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rPr>
        <w:lastRenderedPageBreak/>
        <w:t>L</w:t>
      </w:r>
      <w:r w:rsidRPr="00167F1B">
        <w:rPr>
          <w:rFonts w:ascii="Verdana" w:hAnsi="Verdana"/>
          <w:sz w:val="20"/>
          <w:szCs w:val="20"/>
          <w:lang w:val="es-CR"/>
        </w:rPr>
        <w:t xml:space="preserve">a adjudicación se realizó a título gratuito y con base en la normativa citada </w:t>
      </w:r>
      <w:r w:rsidR="00AE039E">
        <w:rPr>
          <w:rFonts w:ascii="Verdana" w:hAnsi="Verdana"/>
          <w:sz w:val="20"/>
          <w:szCs w:val="20"/>
          <w:lang w:val="es-CR"/>
        </w:rPr>
        <w:t xml:space="preserve">anteriormente </w:t>
      </w:r>
      <w:r w:rsidRPr="00167F1B">
        <w:rPr>
          <w:rFonts w:ascii="Verdana" w:hAnsi="Verdana"/>
          <w:sz w:val="20"/>
          <w:szCs w:val="20"/>
        </w:rPr>
        <w:t>(</w:t>
      </w:r>
      <w:r w:rsidRPr="00167F1B">
        <w:rPr>
          <w:rFonts w:ascii="Verdana" w:hAnsi="Verdana"/>
          <w:i/>
          <w:sz w:val="20"/>
          <w:szCs w:val="20"/>
        </w:rPr>
        <w:t>supra</w:t>
      </w:r>
      <w:r w:rsidRPr="00167F1B">
        <w:rPr>
          <w:rFonts w:ascii="Verdana" w:hAnsi="Verdana"/>
          <w:sz w:val="20"/>
          <w:szCs w:val="20"/>
        </w:rPr>
        <w:t xml:space="preserve"> párr. </w:t>
      </w:r>
      <w:r w:rsidR="00AE039E">
        <w:rPr>
          <w:rFonts w:ascii="Verdana" w:hAnsi="Verdana"/>
          <w:sz w:val="20"/>
          <w:szCs w:val="20"/>
        </w:rPr>
        <w:t>94</w:t>
      </w:r>
      <w:r w:rsidRPr="00167F1B">
        <w:rPr>
          <w:rFonts w:ascii="Verdana" w:hAnsi="Verdana"/>
          <w:sz w:val="20"/>
          <w:szCs w:val="20"/>
        </w:rPr>
        <w:t xml:space="preserve">), así como </w:t>
      </w:r>
      <w:r w:rsidR="00AE039E">
        <w:rPr>
          <w:rFonts w:ascii="Verdana" w:hAnsi="Verdana"/>
          <w:sz w:val="20"/>
          <w:szCs w:val="20"/>
        </w:rPr>
        <w:t xml:space="preserve">en </w:t>
      </w:r>
      <w:r w:rsidRPr="00167F1B">
        <w:rPr>
          <w:rFonts w:ascii="Verdana" w:hAnsi="Verdana"/>
          <w:sz w:val="20"/>
          <w:szCs w:val="20"/>
        </w:rPr>
        <w:t>el artículo 14 del Convenio 169 de la OIT</w:t>
      </w:r>
      <w:r w:rsidRPr="00986EB6">
        <w:rPr>
          <w:rStyle w:val="FootnoteReference"/>
          <w:szCs w:val="20"/>
        </w:rPr>
        <w:footnoteReference w:id="76"/>
      </w:r>
      <w:r w:rsidRPr="00167F1B">
        <w:rPr>
          <w:rFonts w:ascii="Verdana" w:hAnsi="Verdana"/>
          <w:sz w:val="20"/>
          <w:szCs w:val="20"/>
        </w:rPr>
        <w:t>. El título estableció expresamente que el mismo constituía un patrimonio inalienable de la comunidad, con excepción de transferencias de dominio que se realicen entre los mismos miembros de esta, sin que sea posible la venta a terceras personas naturales o jurídicas</w:t>
      </w:r>
      <w:r w:rsidRPr="00986EB6">
        <w:rPr>
          <w:rStyle w:val="FootnoteReference"/>
          <w:szCs w:val="20"/>
        </w:rPr>
        <w:footnoteReference w:id="77"/>
      </w:r>
      <w:r w:rsidRPr="00167F1B">
        <w:rPr>
          <w:rFonts w:ascii="Verdana" w:hAnsi="Verdana"/>
          <w:sz w:val="20"/>
          <w:szCs w:val="20"/>
        </w:rPr>
        <w:t>.</w:t>
      </w:r>
      <w:r>
        <w:rPr>
          <w:rFonts w:ascii="Verdana" w:hAnsi="Verdana"/>
          <w:sz w:val="20"/>
          <w:szCs w:val="20"/>
          <w:lang w:val="es-CR"/>
        </w:rPr>
        <w:t xml:space="preserve"> </w:t>
      </w:r>
    </w:p>
    <w:p w14:paraId="0C704A04" w14:textId="77777777" w:rsidR="00E04121" w:rsidRPr="00167F1B" w:rsidRDefault="00E04121" w:rsidP="00E04121">
      <w:pPr>
        <w:pStyle w:val="ListParagraph"/>
        <w:rPr>
          <w:rFonts w:ascii="Verdana" w:hAnsi="Verdana"/>
          <w:sz w:val="20"/>
          <w:szCs w:val="20"/>
          <w:lang w:val="es-CR"/>
        </w:rPr>
      </w:pPr>
    </w:p>
    <w:p w14:paraId="0C704A05" w14:textId="657E4CCC"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Si bien el título otorgaba el dominio pleno sobre el territorio adjudicado, se estableció una primera cláusula de exclusión que señalaba que “[e]n el predio descrito queda comprendida una superficie de [46] </w:t>
      </w:r>
      <w:r w:rsidR="00B6463D">
        <w:rPr>
          <w:rFonts w:ascii="Verdana" w:hAnsi="Verdana"/>
          <w:sz w:val="20"/>
          <w:szCs w:val="20"/>
          <w:lang w:val="es-CR"/>
        </w:rPr>
        <w:t>ha</w:t>
      </w:r>
      <w:r w:rsidRPr="00167F1B">
        <w:rPr>
          <w:rFonts w:ascii="Verdana" w:hAnsi="Verdana"/>
          <w:sz w:val="20"/>
          <w:szCs w:val="20"/>
          <w:lang w:val="es-CR"/>
        </w:rPr>
        <w:t xml:space="preserve">, [12] </w:t>
      </w:r>
      <w:r w:rsidR="00B6463D">
        <w:rPr>
          <w:rFonts w:ascii="Verdana" w:hAnsi="Verdana"/>
          <w:sz w:val="20"/>
          <w:szCs w:val="20"/>
          <w:lang w:val="es-CR"/>
        </w:rPr>
        <w:t>a</w:t>
      </w:r>
      <w:r w:rsidRPr="00167F1B">
        <w:rPr>
          <w:rFonts w:ascii="Verdana" w:hAnsi="Verdana"/>
          <w:sz w:val="20"/>
          <w:szCs w:val="20"/>
          <w:lang w:val="es-CR"/>
        </w:rPr>
        <w:t xml:space="preserve"> con [96.66] </w:t>
      </w:r>
      <w:proofErr w:type="spellStart"/>
      <w:r w:rsidRPr="00167F1B">
        <w:rPr>
          <w:rFonts w:ascii="Verdana" w:hAnsi="Verdana"/>
          <w:sz w:val="20"/>
          <w:szCs w:val="20"/>
          <w:lang w:val="es-CR"/>
        </w:rPr>
        <w:t>c</w:t>
      </w:r>
      <w:r w:rsidR="00B6463D">
        <w:rPr>
          <w:rFonts w:ascii="Verdana" w:hAnsi="Verdana"/>
          <w:sz w:val="20"/>
          <w:szCs w:val="20"/>
          <w:lang w:val="es-CR"/>
        </w:rPr>
        <w:t>a</w:t>
      </w:r>
      <w:proofErr w:type="spellEnd"/>
      <w:r w:rsidRPr="00167F1B">
        <w:rPr>
          <w:rFonts w:ascii="Verdana" w:hAnsi="Verdana"/>
          <w:sz w:val="20"/>
          <w:szCs w:val="20"/>
          <w:lang w:val="es-CR"/>
        </w:rPr>
        <w:t xml:space="preserve"> (46 </w:t>
      </w:r>
      <w:r>
        <w:rPr>
          <w:rFonts w:ascii="Verdana" w:hAnsi="Verdana"/>
          <w:sz w:val="20"/>
          <w:szCs w:val="20"/>
          <w:lang w:val="es-CR"/>
        </w:rPr>
        <w:t>[ha]</w:t>
      </w:r>
      <w:r w:rsidRPr="00167F1B">
        <w:rPr>
          <w:rFonts w:ascii="Verdana" w:hAnsi="Verdana"/>
          <w:sz w:val="20"/>
          <w:szCs w:val="20"/>
          <w:lang w:val="es-CR"/>
        </w:rPr>
        <w:t xml:space="preserve"> 12 </w:t>
      </w:r>
      <w:r>
        <w:rPr>
          <w:rFonts w:ascii="Verdana" w:hAnsi="Verdana"/>
          <w:sz w:val="20"/>
          <w:szCs w:val="20"/>
          <w:lang w:val="es-CR"/>
        </w:rPr>
        <w:t>[a]</w:t>
      </w:r>
      <w:r w:rsidRPr="00167F1B">
        <w:rPr>
          <w:rFonts w:ascii="Verdana" w:hAnsi="Verdana"/>
          <w:sz w:val="20"/>
          <w:szCs w:val="20"/>
          <w:lang w:val="es-CR"/>
        </w:rPr>
        <w:t xml:space="preserve"> 96.66 </w:t>
      </w:r>
      <w:r>
        <w:rPr>
          <w:rFonts w:ascii="Verdana" w:hAnsi="Verdana"/>
          <w:sz w:val="20"/>
          <w:szCs w:val="20"/>
          <w:lang w:val="es-CR"/>
        </w:rPr>
        <w:t>[</w:t>
      </w:r>
      <w:proofErr w:type="spellStart"/>
      <w:r>
        <w:rPr>
          <w:rFonts w:ascii="Verdana" w:hAnsi="Verdana"/>
          <w:sz w:val="20"/>
          <w:szCs w:val="20"/>
          <w:lang w:val="es-CR"/>
        </w:rPr>
        <w:t>ca</w:t>
      </w:r>
      <w:proofErr w:type="spellEnd"/>
      <w:r>
        <w:rPr>
          <w:rFonts w:ascii="Verdana" w:hAnsi="Verdana"/>
          <w:sz w:val="20"/>
          <w:szCs w:val="20"/>
          <w:lang w:val="es-CR"/>
        </w:rPr>
        <w:t>]</w:t>
      </w:r>
      <w:r w:rsidRPr="00167F1B">
        <w:rPr>
          <w:rFonts w:ascii="Verdana" w:hAnsi="Verdana"/>
          <w:sz w:val="20"/>
          <w:szCs w:val="20"/>
          <w:lang w:val="es-CR"/>
        </w:rPr>
        <w:t xml:space="preserve">), que por estar tituladas en Dominio Pleno a favor de los señores: </w:t>
      </w:r>
      <w:proofErr w:type="spellStart"/>
      <w:r w:rsidRPr="00167F1B">
        <w:rPr>
          <w:rFonts w:ascii="Verdana" w:hAnsi="Verdana"/>
          <w:sz w:val="20"/>
          <w:szCs w:val="20"/>
          <w:lang w:val="es-CR"/>
        </w:rPr>
        <w:t>Ambrocio</w:t>
      </w:r>
      <w:proofErr w:type="spellEnd"/>
      <w:r w:rsidRPr="00167F1B">
        <w:rPr>
          <w:rFonts w:ascii="Verdana" w:hAnsi="Verdana"/>
          <w:sz w:val="20"/>
          <w:szCs w:val="20"/>
          <w:lang w:val="es-CR"/>
        </w:rPr>
        <w:t xml:space="preserve"> Thomas Castillo, con dos (2) predios, uno de 22 </w:t>
      </w:r>
      <w:r>
        <w:rPr>
          <w:rFonts w:ascii="Verdana" w:hAnsi="Verdana"/>
          <w:sz w:val="20"/>
          <w:szCs w:val="20"/>
          <w:lang w:val="es-CR"/>
        </w:rPr>
        <w:t>[</w:t>
      </w:r>
      <w:r w:rsidR="00B6463D">
        <w:rPr>
          <w:rFonts w:ascii="Verdana" w:hAnsi="Verdana"/>
          <w:sz w:val="20"/>
          <w:szCs w:val="20"/>
          <w:lang w:val="es-CR"/>
        </w:rPr>
        <w:t>ha</w:t>
      </w:r>
      <w:r>
        <w:rPr>
          <w:rFonts w:ascii="Verdana" w:hAnsi="Verdana"/>
          <w:sz w:val="20"/>
          <w:szCs w:val="20"/>
          <w:lang w:val="es-CR"/>
        </w:rPr>
        <w:t>]</w:t>
      </w:r>
      <w:r w:rsidRPr="00167F1B">
        <w:rPr>
          <w:rFonts w:ascii="Verdana" w:hAnsi="Verdana"/>
          <w:sz w:val="20"/>
          <w:szCs w:val="20"/>
          <w:lang w:val="es-CR"/>
        </w:rPr>
        <w:t xml:space="preserve"> 65 </w:t>
      </w:r>
      <w:r>
        <w:rPr>
          <w:rFonts w:ascii="Verdana" w:hAnsi="Verdana"/>
          <w:sz w:val="20"/>
          <w:szCs w:val="20"/>
          <w:lang w:val="es-CR"/>
        </w:rPr>
        <w:t>[</w:t>
      </w:r>
      <w:r w:rsidR="00B6463D">
        <w:rPr>
          <w:rFonts w:ascii="Verdana" w:hAnsi="Verdana"/>
          <w:sz w:val="20"/>
          <w:szCs w:val="20"/>
          <w:lang w:val="es-CR"/>
        </w:rPr>
        <w:t>a</w:t>
      </w:r>
      <w:r>
        <w:rPr>
          <w:rFonts w:ascii="Verdana" w:hAnsi="Verdana"/>
          <w:sz w:val="20"/>
          <w:szCs w:val="20"/>
          <w:lang w:val="es-CR"/>
        </w:rPr>
        <w:t>]</w:t>
      </w:r>
      <w:r w:rsidRPr="00167F1B">
        <w:rPr>
          <w:rFonts w:ascii="Verdana" w:hAnsi="Verdana"/>
          <w:sz w:val="20"/>
          <w:szCs w:val="20"/>
          <w:lang w:val="es-CR"/>
        </w:rPr>
        <w:t xml:space="preserve"> </w:t>
      </w:r>
      <w:r w:rsidRPr="000B49DD">
        <w:rPr>
          <w:rFonts w:ascii="Verdana" w:hAnsi="Verdana"/>
          <w:sz w:val="20"/>
          <w:szCs w:val="20"/>
          <w:lang w:val="es-CR"/>
        </w:rPr>
        <w:t>y 75.06 [</w:t>
      </w:r>
      <w:proofErr w:type="spellStart"/>
      <w:r>
        <w:rPr>
          <w:rFonts w:ascii="Verdana" w:hAnsi="Verdana"/>
          <w:sz w:val="20"/>
          <w:szCs w:val="20"/>
          <w:lang w:val="es-CR"/>
        </w:rPr>
        <w:t>c</w:t>
      </w:r>
      <w:r w:rsidR="00B6463D">
        <w:rPr>
          <w:rFonts w:ascii="Verdana" w:hAnsi="Verdana"/>
          <w:sz w:val="20"/>
          <w:szCs w:val="20"/>
          <w:lang w:val="es-CR"/>
        </w:rPr>
        <w:t>a</w:t>
      </w:r>
      <w:proofErr w:type="spellEnd"/>
      <w:r>
        <w:rPr>
          <w:rFonts w:ascii="Verdana" w:hAnsi="Verdana"/>
          <w:sz w:val="20"/>
          <w:szCs w:val="20"/>
          <w:lang w:val="es-CR"/>
        </w:rPr>
        <w:t>]</w:t>
      </w:r>
      <w:r w:rsidRPr="00167F1B">
        <w:rPr>
          <w:rFonts w:ascii="Verdana" w:hAnsi="Verdana"/>
          <w:sz w:val="20"/>
          <w:szCs w:val="20"/>
          <w:lang w:val="es-CR"/>
        </w:rPr>
        <w:t xml:space="preserve"> y otro de 3 </w:t>
      </w:r>
      <w:r>
        <w:rPr>
          <w:rFonts w:ascii="Verdana" w:hAnsi="Verdana"/>
          <w:sz w:val="20"/>
          <w:szCs w:val="20"/>
          <w:lang w:val="es-CR"/>
        </w:rPr>
        <w:t>[</w:t>
      </w:r>
      <w:r w:rsidR="00B6463D">
        <w:rPr>
          <w:rFonts w:ascii="Verdana" w:hAnsi="Verdana"/>
          <w:sz w:val="20"/>
          <w:szCs w:val="20"/>
          <w:lang w:val="es-CR"/>
        </w:rPr>
        <w:t>ha</w:t>
      </w:r>
      <w:r>
        <w:rPr>
          <w:rFonts w:ascii="Verdana" w:hAnsi="Verdana"/>
          <w:sz w:val="20"/>
          <w:szCs w:val="20"/>
          <w:lang w:val="es-CR"/>
        </w:rPr>
        <w:t>]</w:t>
      </w:r>
      <w:r w:rsidRPr="00167F1B">
        <w:rPr>
          <w:rFonts w:ascii="Verdana" w:hAnsi="Verdana"/>
          <w:sz w:val="20"/>
          <w:szCs w:val="20"/>
          <w:lang w:val="es-CR"/>
        </w:rPr>
        <w:t xml:space="preserve"> 61 </w:t>
      </w:r>
      <w:r>
        <w:rPr>
          <w:rFonts w:ascii="Verdana" w:hAnsi="Verdana"/>
          <w:sz w:val="20"/>
          <w:szCs w:val="20"/>
          <w:lang w:val="es-CR"/>
        </w:rPr>
        <w:t>[</w:t>
      </w:r>
      <w:r w:rsidR="00B6463D">
        <w:rPr>
          <w:rFonts w:ascii="Verdana" w:hAnsi="Verdana"/>
          <w:sz w:val="20"/>
          <w:szCs w:val="20"/>
          <w:lang w:val="es-CR"/>
        </w:rPr>
        <w:t>a</w:t>
      </w:r>
      <w:r>
        <w:rPr>
          <w:rFonts w:ascii="Verdana" w:hAnsi="Verdana"/>
          <w:sz w:val="20"/>
          <w:szCs w:val="20"/>
          <w:lang w:val="es-CR"/>
        </w:rPr>
        <w:t>]</w:t>
      </w:r>
      <w:r w:rsidRPr="00167F1B">
        <w:rPr>
          <w:rFonts w:ascii="Verdana" w:hAnsi="Verdana"/>
          <w:sz w:val="20"/>
          <w:szCs w:val="20"/>
          <w:lang w:val="es-CR"/>
        </w:rPr>
        <w:t xml:space="preserve"> 97.99 </w:t>
      </w:r>
      <w:r>
        <w:rPr>
          <w:rFonts w:ascii="Verdana" w:hAnsi="Verdana"/>
          <w:sz w:val="20"/>
          <w:szCs w:val="20"/>
          <w:lang w:val="es-CR"/>
        </w:rPr>
        <w:t>[</w:t>
      </w:r>
      <w:proofErr w:type="spellStart"/>
      <w:r>
        <w:rPr>
          <w:rFonts w:ascii="Verdana" w:hAnsi="Verdana"/>
          <w:sz w:val="20"/>
          <w:szCs w:val="20"/>
          <w:lang w:val="es-CR"/>
        </w:rPr>
        <w:t>c</w:t>
      </w:r>
      <w:r w:rsidR="00B6463D">
        <w:rPr>
          <w:rFonts w:ascii="Verdana" w:hAnsi="Verdana"/>
          <w:sz w:val="20"/>
          <w:szCs w:val="20"/>
          <w:lang w:val="es-CR"/>
        </w:rPr>
        <w:t>a</w:t>
      </w:r>
      <w:proofErr w:type="spellEnd"/>
      <w:r>
        <w:rPr>
          <w:rFonts w:ascii="Verdana" w:hAnsi="Verdana"/>
          <w:sz w:val="20"/>
          <w:szCs w:val="20"/>
          <w:lang w:val="es-CR"/>
        </w:rPr>
        <w:t>]</w:t>
      </w:r>
      <w:r w:rsidRPr="00986EB6">
        <w:rPr>
          <w:rStyle w:val="FootnoteReference"/>
          <w:szCs w:val="20"/>
          <w:lang w:val="es-CR"/>
        </w:rPr>
        <w:footnoteReference w:id="78"/>
      </w:r>
      <w:r w:rsidRPr="00167F1B">
        <w:rPr>
          <w:rFonts w:ascii="Verdana" w:hAnsi="Verdana"/>
          <w:sz w:val="20"/>
          <w:szCs w:val="20"/>
          <w:lang w:val="es-CR"/>
        </w:rPr>
        <w:t xml:space="preserve">, y </w:t>
      </w:r>
      <w:proofErr w:type="spellStart"/>
      <w:r w:rsidRPr="00167F1B">
        <w:rPr>
          <w:rFonts w:ascii="Verdana" w:hAnsi="Verdana"/>
          <w:sz w:val="20"/>
          <w:szCs w:val="20"/>
          <w:lang w:val="es-CR"/>
        </w:rPr>
        <w:t>Sergia</w:t>
      </w:r>
      <w:proofErr w:type="spellEnd"/>
      <w:r w:rsidRPr="00167F1B">
        <w:rPr>
          <w:rFonts w:ascii="Verdana" w:hAnsi="Verdana"/>
          <w:sz w:val="20"/>
          <w:szCs w:val="20"/>
          <w:lang w:val="es-CR"/>
        </w:rPr>
        <w:t xml:space="preserve"> Zapata Martínez</w:t>
      </w:r>
      <w:r w:rsidR="007D2C98">
        <w:rPr>
          <w:rFonts w:ascii="Verdana" w:hAnsi="Verdana"/>
          <w:sz w:val="20"/>
          <w:szCs w:val="20"/>
          <w:lang w:val="es-CR"/>
        </w:rPr>
        <w:t>,</w:t>
      </w:r>
      <w:r w:rsidRPr="00167F1B">
        <w:rPr>
          <w:rFonts w:ascii="Verdana" w:hAnsi="Verdana"/>
          <w:sz w:val="20"/>
          <w:szCs w:val="20"/>
          <w:lang w:val="es-CR"/>
        </w:rPr>
        <w:t xml:space="preserve"> con un predio de 19 </w:t>
      </w:r>
      <w:r>
        <w:rPr>
          <w:rFonts w:ascii="Verdana" w:hAnsi="Verdana"/>
          <w:sz w:val="20"/>
          <w:szCs w:val="20"/>
          <w:lang w:val="es-CR"/>
        </w:rPr>
        <w:t>[</w:t>
      </w:r>
      <w:r w:rsidR="00B6463D">
        <w:rPr>
          <w:rFonts w:ascii="Verdana" w:hAnsi="Verdana"/>
          <w:sz w:val="20"/>
          <w:szCs w:val="20"/>
          <w:lang w:val="es-CR"/>
        </w:rPr>
        <w:t>ha</w:t>
      </w:r>
      <w:r>
        <w:rPr>
          <w:rFonts w:ascii="Verdana" w:hAnsi="Verdana"/>
          <w:sz w:val="20"/>
          <w:szCs w:val="20"/>
          <w:lang w:val="es-CR"/>
        </w:rPr>
        <w:t>]</w:t>
      </w:r>
      <w:r w:rsidRPr="00167F1B">
        <w:rPr>
          <w:rFonts w:ascii="Verdana" w:hAnsi="Verdana"/>
          <w:sz w:val="20"/>
          <w:szCs w:val="20"/>
          <w:lang w:val="es-CR"/>
        </w:rPr>
        <w:t xml:space="preserve"> 85 </w:t>
      </w:r>
      <w:r>
        <w:rPr>
          <w:rFonts w:ascii="Verdana" w:hAnsi="Verdana"/>
          <w:sz w:val="20"/>
          <w:szCs w:val="20"/>
          <w:lang w:val="es-CR"/>
        </w:rPr>
        <w:t>[</w:t>
      </w:r>
      <w:r w:rsidR="00B6463D">
        <w:rPr>
          <w:rFonts w:ascii="Verdana" w:hAnsi="Verdana"/>
          <w:sz w:val="20"/>
          <w:szCs w:val="20"/>
          <w:lang w:val="es-CR"/>
        </w:rPr>
        <w:t>a</w:t>
      </w:r>
      <w:r>
        <w:rPr>
          <w:rFonts w:ascii="Verdana" w:hAnsi="Verdana"/>
          <w:sz w:val="20"/>
          <w:szCs w:val="20"/>
          <w:lang w:val="es-CR"/>
        </w:rPr>
        <w:t>]</w:t>
      </w:r>
      <w:r w:rsidRPr="00167F1B">
        <w:rPr>
          <w:rFonts w:ascii="Verdana" w:hAnsi="Verdana"/>
          <w:sz w:val="20"/>
          <w:szCs w:val="20"/>
          <w:lang w:val="es-CR"/>
        </w:rPr>
        <w:t xml:space="preserve"> 23.61 </w:t>
      </w:r>
      <w:r>
        <w:rPr>
          <w:rFonts w:ascii="Verdana" w:hAnsi="Verdana"/>
          <w:sz w:val="20"/>
          <w:szCs w:val="20"/>
          <w:lang w:val="es-CR"/>
        </w:rPr>
        <w:t>[</w:t>
      </w:r>
      <w:proofErr w:type="spellStart"/>
      <w:r>
        <w:rPr>
          <w:rFonts w:ascii="Verdana" w:hAnsi="Verdana"/>
          <w:sz w:val="20"/>
          <w:szCs w:val="20"/>
          <w:lang w:val="es-CR"/>
        </w:rPr>
        <w:t>c</w:t>
      </w:r>
      <w:r w:rsidR="00B6463D">
        <w:rPr>
          <w:rFonts w:ascii="Verdana" w:hAnsi="Verdana"/>
          <w:sz w:val="20"/>
          <w:szCs w:val="20"/>
          <w:lang w:val="es-CR"/>
        </w:rPr>
        <w:t>a</w:t>
      </w:r>
      <w:proofErr w:type="spellEnd"/>
      <w:r>
        <w:rPr>
          <w:rFonts w:ascii="Verdana" w:hAnsi="Verdana"/>
          <w:sz w:val="20"/>
          <w:szCs w:val="20"/>
          <w:lang w:val="es-CR"/>
        </w:rPr>
        <w:t>]</w:t>
      </w:r>
      <w:r w:rsidRPr="00986EB6">
        <w:rPr>
          <w:rStyle w:val="FootnoteReference"/>
          <w:szCs w:val="20"/>
          <w:lang w:val="es-CR"/>
        </w:rPr>
        <w:footnoteReference w:id="79"/>
      </w:r>
      <w:r w:rsidRPr="00167F1B">
        <w:rPr>
          <w:rFonts w:ascii="Verdana" w:hAnsi="Verdana"/>
          <w:sz w:val="20"/>
          <w:szCs w:val="20"/>
          <w:lang w:val="es-CR"/>
        </w:rPr>
        <w:t xml:space="preserve">, </w:t>
      </w:r>
      <w:r w:rsidR="00AC294E">
        <w:rPr>
          <w:rFonts w:ascii="Verdana" w:hAnsi="Verdana"/>
          <w:sz w:val="20"/>
          <w:szCs w:val="20"/>
          <w:lang w:val="es-CR"/>
        </w:rPr>
        <w:t>[que]</w:t>
      </w:r>
      <w:r w:rsidR="009909C2">
        <w:rPr>
          <w:rFonts w:ascii="Verdana" w:hAnsi="Verdana"/>
          <w:sz w:val="20"/>
          <w:szCs w:val="20"/>
          <w:lang w:val="es-CR"/>
        </w:rPr>
        <w:t xml:space="preserve"> </w:t>
      </w:r>
      <w:r w:rsidRPr="00167F1B">
        <w:rPr>
          <w:rFonts w:ascii="Verdana" w:hAnsi="Verdana"/>
          <w:sz w:val="20"/>
          <w:szCs w:val="20"/>
          <w:lang w:val="es-CR"/>
        </w:rPr>
        <w:t>no forman parte de la presente adjudicación</w:t>
      </w:r>
      <w:r w:rsidR="009909C2">
        <w:rPr>
          <w:rFonts w:ascii="Verdana" w:hAnsi="Verdana"/>
          <w:sz w:val="20"/>
          <w:szCs w:val="20"/>
          <w:lang w:val="es-CR"/>
        </w:rPr>
        <w:t>”</w:t>
      </w:r>
      <w:r w:rsidRPr="00986EB6">
        <w:rPr>
          <w:rStyle w:val="FootnoteReference"/>
          <w:szCs w:val="20"/>
          <w:lang w:val="es-CR"/>
        </w:rPr>
        <w:footnoteReference w:id="80"/>
      </w:r>
      <w:r w:rsidRPr="00167F1B">
        <w:rPr>
          <w:rFonts w:ascii="Verdana" w:hAnsi="Verdana"/>
          <w:sz w:val="20"/>
          <w:szCs w:val="20"/>
          <w:lang w:val="es-CR"/>
        </w:rPr>
        <w:t xml:space="preserve">. Asimismo, el 22 de diciembre de 1999, mediante constancia emitida por el Jefe de Revisión General de Tierras del INA, se clarificó que si bien la Comunidad de Punta Piedra solicitó originalmente la ampliación del dominio pleno sobre 3,000 </w:t>
      </w:r>
      <w:r>
        <w:rPr>
          <w:rFonts w:ascii="Verdana" w:hAnsi="Verdana"/>
          <w:sz w:val="20"/>
          <w:szCs w:val="20"/>
          <w:lang w:val="es-CR"/>
        </w:rPr>
        <w:t>ha</w:t>
      </w:r>
      <w:r w:rsidRPr="00167F1B">
        <w:rPr>
          <w:rFonts w:ascii="Verdana" w:hAnsi="Verdana"/>
          <w:sz w:val="20"/>
          <w:szCs w:val="20"/>
          <w:lang w:val="es-CR"/>
        </w:rPr>
        <w:t xml:space="preserve"> adicionales, el área delineada </w:t>
      </w:r>
      <w:r>
        <w:rPr>
          <w:rFonts w:ascii="Verdana" w:hAnsi="Verdana"/>
          <w:sz w:val="20"/>
          <w:szCs w:val="20"/>
          <w:lang w:val="es-CR"/>
        </w:rPr>
        <w:t>s</w:t>
      </w:r>
      <w:r w:rsidR="00776DA8">
        <w:rPr>
          <w:rFonts w:ascii="Verdana" w:hAnsi="Verdana"/>
          <w:sz w:val="20"/>
          <w:szCs w:val="20"/>
          <w:lang w:val="es-CR"/>
        </w:rPr>
        <w:t>o</w:t>
      </w:r>
      <w:r>
        <w:rPr>
          <w:rFonts w:ascii="Verdana" w:hAnsi="Verdana"/>
          <w:sz w:val="20"/>
          <w:szCs w:val="20"/>
          <w:lang w:val="es-CR"/>
        </w:rPr>
        <w:t xml:space="preserve">lo </w:t>
      </w:r>
      <w:r w:rsidRPr="00167F1B">
        <w:rPr>
          <w:rFonts w:ascii="Verdana" w:hAnsi="Verdana"/>
          <w:sz w:val="20"/>
          <w:szCs w:val="20"/>
          <w:lang w:val="es-CR"/>
        </w:rPr>
        <w:t xml:space="preserve">fue </w:t>
      </w:r>
      <w:r>
        <w:rPr>
          <w:rFonts w:ascii="Verdana" w:hAnsi="Verdana"/>
          <w:sz w:val="20"/>
          <w:szCs w:val="20"/>
          <w:lang w:val="es-CR"/>
        </w:rPr>
        <w:t xml:space="preserve">de </w:t>
      </w:r>
      <w:r w:rsidRPr="00167F1B">
        <w:rPr>
          <w:rFonts w:ascii="Verdana" w:hAnsi="Verdana"/>
          <w:sz w:val="20"/>
          <w:szCs w:val="20"/>
          <w:lang w:val="es-CR"/>
        </w:rPr>
        <w:t xml:space="preserve">1,559 </w:t>
      </w:r>
      <w:r w:rsidR="00B6463D">
        <w:rPr>
          <w:rFonts w:ascii="Verdana" w:hAnsi="Verdana"/>
          <w:sz w:val="20"/>
          <w:szCs w:val="20"/>
          <w:lang w:val="es-CR"/>
        </w:rPr>
        <w:t>ha</w:t>
      </w:r>
      <w:r w:rsidRPr="00167F1B">
        <w:rPr>
          <w:rFonts w:ascii="Verdana" w:hAnsi="Verdana"/>
          <w:sz w:val="20"/>
          <w:szCs w:val="20"/>
          <w:lang w:val="es-CR"/>
        </w:rPr>
        <w:t xml:space="preserve"> 67 </w:t>
      </w:r>
      <w:r w:rsidR="00B6463D">
        <w:rPr>
          <w:rFonts w:ascii="Verdana" w:hAnsi="Verdana"/>
          <w:sz w:val="20"/>
          <w:szCs w:val="20"/>
          <w:lang w:val="es-CR"/>
        </w:rPr>
        <w:t>a</w:t>
      </w:r>
      <w:r w:rsidRPr="00167F1B">
        <w:rPr>
          <w:rFonts w:ascii="Verdana" w:hAnsi="Verdana"/>
          <w:sz w:val="20"/>
          <w:szCs w:val="20"/>
          <w:lang w:val="es-CR"/>
        </w:rPr>
        <w:t xml:space="preserve"> 41.69 </w:t>
      </w:r>
      <w:proofErr w:type="spellStart"/>
      <w:r>
        <w:rPr>
          <w:rFonts w:ascii="Verdana" w:hAnsi="Verdana"/>
          <w:sz w:val="20"/>
          <w:szCs w:val="20"/>
          <w:lang w:val="es-CR"/>
        </w:rPr>
        <w:t>c</w:t>
      </w:r>
      <w:r w:rsidR="00B6463D">
        <w:rPr>
          <w:rFonts w:ascii="Verdana" w:hAnsi="Verdana"/>
          <w:sz w:val="20"/>
          <w:szCs w:val="20"/>
          <w:lang w:val="es-CR"/>
        </w:rPr>
        <w:t>a</w:t>
      </w:r>
      <w:proofErr w:type="spellEnd"/>
      <w:r w:rsidR="00970F45">
        <w:rPr>
          <w:rFonts w:ascii="Verdana" w:hAnsi="Verdana"/>
          <w:sz w:val="20"/>
          <w:szCs w:val="20"/>
          <w:lang w:val="es-CR"/>
        </w:rPr>
        <w:t>,</w:t>
      </w:r>
      <w:r w:rsidRPr="00167F1B">
        <w:rPr>
          <w:rFonts w:ascii="Verdana" w:hAnsi="Verdana"/>
          <w:sz w:val="20"/>
          <w:szCs w:val="20"/>
          <w:lang w:val="es-CR"/>
        </w:rPr>
        <w:t xml:space="preserve"> de las cuales se excluyeron </w:t>
      </w:r>
      <w:r w:rsidRPr="00167F1B">
        <w:rPr>
          <w:rFonts w:ascii="Verdana" w:hAnsi="Verdana"/>
          <w:sz w:val="20"/>
          <w:szCs w:val="20"/>
        </w:rPr>
        <w:t xml:space="preserve">los </w:t>
      </w:r>
      <w:r w:rsidRPr="00167F1B">
        <w:rPr>
          <w:rFonts w:ascii="Verdana" w:hAnsi="Verdana"/>
          <w:sz w:val="20"/>
          <w:szCs w:val="20"/>
        </w:rPr>
        <w:lastRenderedPageBreak/>
        <w:t>territorio</w:t>
      </w:r>
      <w:r>
        <w:rPr>
          <w:rFonts w:ascii="Verdana" w:hAnsi="Verdana"/>
          <w:sz w:val="20"/>
          <w:szCs w:val="20"/>
        </w:rPr>
        <w:t>s</w:t>
      </w:r>
      <w:r w:rsidRPr="00167F1B">
        <w:rPr>
          <w:rFonts w:ascii="Verdana" w:hAnsi="Verdana"/>
          <w:sz w:val="20"/>
          <w:szCs w:val="20"/>
        </w:rPr>
        <w:t xml:space="preserve"> titulado</w:t>
      </w:r>
      <w:r>
        <w:rPr>
          <w:rFonts w:ascii="Verdana" w:hAnsi="Verdana"/>
          <w:sz w:val="20"/>
          <w:szCs w:val="20"/>
        </w:rPr>
        <w:t>s</w:t>
      </w:r>
      <w:r w:rsidRPr="00167F1B">
        <w:rPr>
          <w:rFonts w:ascii="Verdana" w:hAnsi="Verdana"/>
          <w:sz w:val="20"/>
          <w:szCs w:val="20"/>
        </w:rPr>
        <w:t xml:space="preserve"> a favor de los señores</w:t>
      </w:r>
      <w:r w:rsidRPr="00167F1B">
        <w:rPr>
          <w:rFonts w:ascii="Verdana" w:hAnsi="Verdana"/>
          <w:sz w:val="20"/>
          <w:szCs w:val="20"/>
          <w:lang w:val="es-CR"/>
        </w:rPr>
        <w:t xml:space="preserve"> </w:t>
      </w:r>
      <w:proofErr w:type="spellStart"/>
      <w:r w:rsidRPr="00167F1B">
        <w:rPr>
          <w:rFonts w:ascii="Verdana" w:hAnsi="Verdana"/>
          <w:sz w:val="20"/>
          <w:szCs w:val="20"/>
          <w:lang w:val="es-CR"/>
        </w:rPr>
        <w:t>Ambrocio</w:t>
      </w:r>
      <w:proofErr w:type="spellEnd"/>
      <w:r w:rsidRPr="00167F1B">
        <w:rPr>
          <w:rFonts w:ascii="Verdana" w:hAnsi="Verdana"/>
          <w:sz w:val="20"/>
          <w:szCs w:val="20"/>
          <w:lang w:val="es-CR"/>
        </w:rPr>
        <w:t xml:space="preserve"> Thomas Cas</w:t>
      </w:r>
      <w:r>
        <w:rPr>
          <w:rFonts w:ascii="Verdana" w:hAnsi="Verdana"/>
          <w:sz w:val="20"/>
          <w:szCs w:val="20"/>
          <w:lang w:val="es-CR"/>
        </w:rPr>
        <w:t xml:space="preserve">tillo y </w:t>
      </w:r>
      <w:proofErr w:type="spellStart"/>
      <w:r>
        <w:rPr>
          <w:rFonts w:ascii="Verdana" w:hAnsi="Verdana"/>
          <w:sz w:val="20"/>
          <w:szCs w:val="20"/>
          <w:lang w:val="es-CR"/>
        </w:rPr>
        <w:t>Sergia</w:t>
      </w:r>
      <w:proofErr w:type="spellEnd"/>
      <w:r>
        <w:rPr>
          <w:rFonts w:ascii="Verdana" w:hAnsi="Verdana"/>
          <w:sz w:val="20"/>
          <w:szCs w:val="20"/>
          <w:lang w:val="es-CR"/>
        </w:rPr>
        <w:t xml:space="preserve"> Zapata Martínez, por lo que sólo </w:t>
      </w:r>
      <w:r w:rsidRPr="00167F1B">
        <w:rPr>
          <w:rFonts w:ascii="Verdana" w:hAnsi="Verdana"/>
          <w:sz w:val="20"/>
          <w:szCs w:val="20"/>
        </w:rPr>
        <w:t>1</w:t>
      </w:r>
      <w:r>
        <w:rPr>
          <w:rFonts w:ascii="Verdana" w:hAnsi="Verdana"/>
          <w:sz w:val="20"/>
          <w:szCs w:val="20"/>
        </w:rPr>
        <w:t xml:space="preserve">,513 </w:t>
      </w:r>
      <w:r w:rsidR="00B6463D">
        <w:rPr>
          <w:rFonts w:ascii="Verdana" w:hAnsi="Verdana"/>
          <w:sz w:val="20"/>
          <w:szCs w:val="20"/>
        </w:rPr>
        <w:t>ha</w:t>
      </w:r>
      <w:r>
        <w:rPr>
          <w:rFonts w:ascii="Verdana" w:hAnsi="Verdana"/>
          <w:sz w:val="20"/>
          <w:szCs w:val="20"/>
        </w:rPr>
        <w:t xml:space="preserve"> 54 </w:t>
      </w:r>
      <w:r w:rsidR="00B6463D">
        <w:rPr>
          <w:rFonts w:ascii="Verdana" w:hAnsi="Verdana"/>
          <w:sz w:val="20"/>
          <w:szCs w:val="20"/>
        </w:rPr>
        <w:t>a</w:t>
      </w:r>
      <w:r>
        <w:rPr>
          <w:rFonts w:ascii="Verdana" w:hAnsi="Verdana"/>
          <w:sz w:val="20"/>
          <w:szCs w:val="20"/>
        </w:rPr>
        <w:t xml:space="preserve"> y 45.03 </w:t>
      </w:r>
      <w:proofErr w:type="spellStart"/>
      <w:r>
        <w:rPr>
          <w:rFonts w:ascii="Verdana" w:hAnsi="Verdana"/>
          <w:sz w:val="20"/>
          <w:szCs w:val="20"/>
        </w:rPr>
        <w:t>c</w:t>
      </w:r>
      <w:r w:rsidR="00B6463D">
        <w:rPr>
          <w:rFonts w:ascii="Verdana" w:hAnsi="Verdana"/>
          <w:sz w:val="20"/>
          <w:szCs w:val="20"/>
        </w:rPr>
        <w:t>a</w:t>
      </w:r>
      <w:proofErr w:type="spellEnd"/>
      <w:r>
        <w:rPr>
          <w:rFonts w:ascii="Verdana" w:hAnsi="Verdana"/>
          <w:sz w:val="20"/>
          <w:szCs w:val="20"/>
        </w:rPr>
        <w:t xml:space="preserve"> del total solicitado fueron ampliadas en favor de la Comunidad</w:t>
      </w:r>
      <w:r w:rsidRPr="00986EB6">
        <w:rPr>
          <w:rStyle w:val="FootnoteReference"/>
          <w:szCs w:val="20"/>
        </w:rPr>
        <w:footnoteReference w:id="81"/>
      </w:r>
      <w:r>
        <w:rPr>
          <w:rFonts w:ascii="Verdana" w:hAnsi="Verdana"/>
          <w:sz w:val="20"/>
          <w:szCs w:val="20"/>
        </w:rPr>
        <w:t>.</w:t>
      </w:r>
      <w:r w:rsidRPr="00167F1B">
        <w:rPr>
          <w:rFonts w:ascii="Verdana" w:hAnsi="Verdana"/>
          <w:sz w:val="20"/>
          <w:szCs w:val="20"/>
        </w:rPr>
        <w:t xml:space="preserve"> </w:t>
      </w:r>
    </w:p>
    <w:p w14:paraId="0C704A06" w14:textId="77777777" w:rsidR="00E04121" w:rsidRDefault="00E04121" w:rsidP="00E04121">
      <w:pPr>
        <w:pStyle w:val="ListParagraph"/>
        <w:ind w:left="0"/>
        <w:jc w:val="both"/>
        <w:rPr>
          <w:rFonts w:ascii="Verdana" w:hAnsi="Verdana"/>
          <w:sz w:val="20"/>
          <w:szCs w:val="20"/>
          <w:lang w:val="es-CR"/>
        </w:rPr>
      </w:pPr>
    </w:p>
    <w:p w14:paraId="0C704A07" w14:textId="7A3C5DC6"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Asimismo, el título de propiedad de 1999 estableció una segunda cláusula de exclusión, la cual señalaba que “[…] se excluyen de la adjudicación las superficies ocupadas y explotadas por personas ajenas a la Comunidad, reservándose el Estado el derecho de disponer de las mismas para adjudicarlas a favor de los ocupantes que reúnan los requisitos de ley</w:t>
      </w:r>
      <w:r w:rsidRPr="00986EB6">
        <w:rPr>
          <w:rStyle w:val="FootnoteReference"/>
          <w:szCs w:val="20"/>
          <w:lang w:val="es-CR"/>
        </w:rPr>
        <w:footnoteReference w:id="82"/>
      </w:r>
      <w:r w:rsidRPr="00167F1B">
        <w:rPr>
          <w:rFonts w:ascii="Verdana" w:hAnsi="Verdana"/>
          <w:sz w:val="20"/>
          <w:szCs w:val="20"/>
          <w:lang w:val="es-CR"/>
        </w:rPr>
        <w:t xml:space="preserve">”. Dicha cláusula de exclusión no estableció la cantidad de </w:t>
      </w:r>
      <w:r w:rsidR="00970F45">
        <w:rPr>
          <w:rFonts w:ascii="Verdana" w:hAnsi="Verdana"/>
          <w:sz w:val="20"/>
          <w:szCs w:val="20"/>
          <w:lang w:val="es-CR"/>
        </w:rPr>
        <w:t xml:space="preserve">hectáreas </w:t>
      </w:r>
      <w:r w:rsidRPr="00167F1B">
        <w:rPr>
          <w:rFonts w:ascii="Verdana" w:hAnsi="Verdana"/>
          <w:sz w:val="20"/>
          <w:szCs w:val="20"/>
          <w:lang w:val="es-CR"/>
        </w:rPr>
        <w:t>ocupadas por terceros.</w:t>
      </w:r>
      <w:r>
        <w:rPr>
          <w:rFonts w:ascii="Verdana" w:hAnsi="Verdana"/>
          <w:sz w:val="20"/>
          <w:szCs w:val="20"/>
          <w:lang w:val="es-CR"/>
        </w:rPr>
        <w:t xml:space="preserve"> </w:t>
      </w:r>
    </w:p>
    <w:p w14:paraId="0C704A08" w14:textId="77777777" w:rsidR="00E04121" w:rsidRPr="00167F1B" w:rsidRDefault="00E04121" w:rsidP="00E04121">
      <w:pPr>
        <w:pStyle w:val="ListParagraph"/>
        <w:rPr>
          <w:rFonts w:ascii="Verdana" w:hAnsi="Verdana"/>
          <w:sz w:val="20"/>
          <w:szCs w:val="20"/>
        </w:rPr>
      </w:pPr>
    </w:p>
    <w:p w14:paraId="0C704A09" w14:textId="3C030CB5"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rPr>
        <w:t xml:space="preserve">En virtud de la segunda cláusula de exclusión, el señor Edito Suazo Ávila acudió en su carácter de Presidente y Representante Legal del Patronato Pro-Mejoramiento de la Comunidad de Punta Piedra </w:t>
      </w:r>
      <w:r w:rsidR="00776DA8">
        <w:rPr>
          <w:rFonts w:ascii="Verdana" w:hAnsi="Verdana"/>
          <w:sz w:val="20"/>
          <w:szCs w:val="20"/>
        </w:rPr>
        <w:t>(en adelante</w:t>
      </w:r>
      <w:r w:rsidR="00143B4A">
        <w:rPr>
          <w:rFonts w:ascii="Verdana" w:hAnsi="Verdana"/>
          <w:sz w:val="20"/>
          <w:szCs w:val="20"/>
        </w:rPr>
        <w:t>,</w:t>
      </w:r>
      <w:r w:rsidR="00776DA8">
        <w:rPr>
          <w:rFonts w:ascii="Verdana" w:hAnsi="Verdana"/>
          <w:sz w:val="20"/>
          <w:szCs w:val="20"/>
        </w:rPr>
        <w:t xml:space="preserve"> “Patronato de la Comunidad de Punta Piedra”) </w:t>
      </w:r>
      <w:r w:rsidRPr="00167F1B">
        <w:rPr>
          <w:rFonts w:ascii="Verdana" w:hAnsi="Verdana"/>
          <w:sz w:val="20"/>
          <w:szCs w:val="20"/>
        </w:rPr>
        <w:t xml:space="preserve">a solicitar la rectificación de la misma, petición que fue resuelta a su favor, toda vez que en el acto, el Director Ejecutivo del INA reconoció haber incurrido en un “error involuntario al establecer en las condiciones del título”, la exclusión de </w:t>
      </w:r>
      <w:r w:rsidRPr="00167F1B">
        <w:rPr>
          <w:rFonts w:ascii="Verdana" w:hAnsi="Verdana"/>
          <w:sz w:val="20"/>
          <w:szCs w:val="20"/>
          <w:lang w:val="es-CR"/>
        </w:rPr>
        <w:t>las superficies ocupadas y explotadas por personas ajenas a la Comunidad de Punta Piedra</w:t>
      </w:r>
      <w:r w:rsidRPr="00167F1B">
        <w:rPr>
          <w:rFonts w:ascii="Verdana" w:hAnsi="Verdana"/>
          <w:sz w:val="20"/>
          <w:szCs w:val="20"/>
        </w:rPr>
        <w:t>. Por ello, el día 11 de enero de 2000 dicha cláusula se “</w:t>
      </w:r>
      <w:proofErr w:type="spellStart"/>
      <w:r w:rsidRPr="00167F1B">
        <w:rPr>
          <w:rFonts w:ascii="Verdana" w:hAnsi="Verdana"/>
          <w:sz w:val="20"/>
          <w:szCs w:val="20"/>
        </w:rPr>
        <w:t>elimin</w:t>
      </w:r>
      <w:proofErr w:type="spellEnd"/>
      <w:r w:rsidRPr="00167F1B">
        <w:rPr>
          <w:rFonts w:ascii="Verdana" w:hAnsi="Verdana"/>
          <w:sz w:val="20"/>
          <w:szCs w:val="20"/>
        </w:rPr>
        <w:t>[</w:t>
      </w:r>
      <w:proofErr w:type="spellStart"/>
      <w:r w:rsidRPr="00167F1B">
        <w:rPr>
          <w:rFonts w:ascii="Verdana" w:hAnsi="Verdana"/>
          <w:sz w:val="20"/>
          <w:szCs w:val="20"/>
        </w:rPr>
        <w:t>ó</w:t>
      </w:r>
      <w:proofErr w:type="spellEnd"/>
      <w:r w:rsidRPr="00167F1B">
        <w:rPr>
          <w:rFonts w:ascii="Verdana" w:hAnsi="Verdana"/>
          <w:sz w:val="20"/>
          <w:szCs w:val="20"/>
        </w:rPr>
        <w:t xml:space="preserve">] y </w:t>
      </w:r>
      <w:proofErr w:type="spellStart"/>
      <w:r w:rsidRPr="00167F1B">
        <w:rPr>
          <w:rFonts w:ascii="Verdana" w:hAnsi="Verdana"/>
          <w:sz w:val="20"/>
          <w:szCs w:val="20"/>
        </w:rPr>
        <w:t>qued</w:t>
      </w:r>
      <w:proofErr w:type="spellEnd"/>
      <w:r w:rsidRPr="00167F1B">
        <w:rPr>
          <w:rFonts w:ascii="Verdana" w:hAnsi="Verdana"/>
          <w:sz w:val="20"/>
          <w:szCs w:val="20"/>
        </w:rPr>
        <w:t>[</w:t>
      </w:r>
      <w:proofErr w:type="spellStart"/>
      <w:r w:rsidRPr="00167F1B">
        <w:rPr>
          <w:rFonts w:ascii="Verdana" w:hAnsi="Verdana"/>
          <w:sz w:val="20"/>
          <w:szCs w:val="20"/>
        </w:rPr>
        <w:t>ó</w:t>
      </w:r>
      <w:proofErr w:type="spellEnd"/>
      <w:r w:rsidRPr="00167F1B">
        <w:rPr>
          <w:rFonts w:ascii="Verdana" w:hAnsi="Verdana"/>
          <w:sz w:val="20"/>
          <w:szCs w:val="20"/>
        </w:rPr>
        <w:t>] sin ningún valor o efecto”</w:t>
      </w:r>
      <w:r w:rsidRPr="00986EB6">
        <w:rPr>
          <w:rStyle w:val="FootnoteReference"/>
          <w:szCs w:val="20"/>
        </w:rPr>
        <w:footnoteReference w:id="83"/>
      </w:r>
      <w:r w:rsidRPr="00167F1B">
        <w:rPr>
          <w:rFonts w:ascii="Verdana" w:hAnsi="Verdana"/>
          <w:sz w:val="20"/>
          <w:szCs w:val="20"/>
        </w:rPr>
        <w:t xml:space="preserve">. Como consecuencia de dicha rectificación, el título de dominio pleno otorgado por el Estado a la Comunidad de Punta Piedra en 1999 </w:t>
      </w:r>
      <w:r w:rsidR="00776DA8">
        <w:rPr>
          <w:rFonts w:ascii="Verdana" w:hAnsi="Verdana"/>
          <w:sz w:val="20"/>
          <w:szCs w:val="20"/>
        </w:rPr>
        <w:t>abarcó</w:t>
      </w:r>
      <w:r w:rsidRPr="00167F1B">
        <w:rPr>
          <w:rFonts w:ascii="Verdana" w:hAnsi="Verdana"/>
          <w:sz w:val="20"/>
          <w:szCs w:val="20"/>
        </w:rPr>
        <w:t xml:space="preserve"> la totalidad de la superficie entregada</w:t>
      </w:r>
      <w:r w:rsidRPr="00167F1B">
        <w:rPr>
          <w:rFonts w:ascii="Verdana" w:hAnsi="Verdana"/>
          <w:sz w:val="20"/>
          <w:szCs w:val="20"/>
          <w:lang w:val="es-CR"/>
        </w:rPr>
        <w:t xml:space="preserve">, manteniendo solamente la exclusión de la superficie titulada en favor de </w:t>
      </w:r>
      <w:proofErr w:type="spellStart"/>
      <w:r w:rsidRPr="00167F1B">
        <w:rPr>
          <w:rFonts w:ascii="Verdana" w:hAnsi="Verdana"/>
          <w:sz w:val="20"/>
          <w:szCs w:val="20"/>
          <w:lang w:val="es-CR"/>
        </w:rPr>
        <w:t>Ambrocio</w:t>
      </w:r>
      <w:proofErr w:type="spellEnd"/>
      <w:r w:rsidRPr="00167F1B">
        <w:rPr>
          <w:rFonts w:ascii="Verdana" w:hAnsi="Verdana"/>
          <w:sz w:val="20"/>
          <w:szCs w:val="20"/>
          <w:lang w:val="es-CR"/>
        </w:rPr>
        <w:t xml:space="preserve"> Thomas Castillo y </w:t>
      </w:r>
      <w:proofErr w:type="spellStart"/>
      <w:r w:rsidRPr="00167F1B">
        <w:rPr>
          <w:rFonts w:ascii="Verdana" w:hAnsi="Verdana"/>
          <w:sz w:val="20"/>
          <w:szCs w:val="20"/>
          <w:lang w:val="es-CR"/>
        </w:rPr>
        <w:t>Sergia</w:t>
      </w:r>
      <w:proofErr w:type="spellEnd"/>
      <w:r w:rsidRPr="00167F1B">
        <w:rPr>
          <w:rFonts w:ascii="Verdana" w:hAnsi="Verdana"/>
          <w:sz w:val="20"/>
          <w:szCs w:val="20"/>
          <w:lang w:val="es-CR"/>
        </w:rPr>
        <w:t xml:space="preserve"> Zapata Martínez (</w:t>
      </w:r>
      <w:r w:rsidRPr="00167F1B">
        <w:rPr>
          <w:rFonts w:ascii="Verdana" w:hAnsi="Verdana"/>
          <w:i/>
          <w:sz w:val="20"/>
          <w:szCs w:val="20"/>
          <w:lang w:val="es-CR"/>
        </w:rPr>
        <w:t>supra</w:t>
      </w:r>
      <w:r w:rsidRPr="00167F1B">
        <w:rPr>
          <w:rFonts w:ascii="Verdana" w:hAnsi="Verdana"/>
          <w:sz w:val="20"/>
          <w:szCs w:val="20"/>
          <w:lang w:val="es-CR"/>
        </w:rPr>
        <w:t xml:space="preserve"> párr. </w:t>
      </w:r>
      <w:r w:rsidR="006903F6">
        <w:rPr>
          <w:rFonts w:ascii="Verdana" w:hAnsi="Verdana"/>
          <w:sz w:val="20"/>
          <w:szCs w:val="20"/>
          <w:lang w:val="es-CR"/>
        </w:rPr>
        <w:t>9</w:t>
      </w:r>
      <w:r w:rsidR="00CC05CD">
        <w:rPr>
          <w:rFonts w:ascii="Verdana" w:hAnsi="Verdana"/>
          <w:sz w:val="20"/>
          <w:szCs w:val="20"/>
          <w:lang w:val="es-CR"/>
        </w:rPr>
        <w:t>8</w:t>
      </w:r>
      <w:r w:rsidRPr="00167F1B">
        <w:rPr>
          <w:rFonts w:ascii="Verdana" w:hAnsi="Verdana"/>
          <w:sz w:val="20"/>
          <w:szCs w:val="20"/>
          <w:lang w:val="es-CR"/>
        </w:rPr>
        <w:t>).</w:t>
      </w:r>
      <w:r>
        <w:rPr>
          <w:rFonts w:ascii="Verdana" w:hAnsi="Verdana"/>
          <w:sz w:val="20"/>
          <w:szCs w:val="20"/>
          <w:lang w:val="es-CR"/>
        </w:rPr>
        <w:t xml:space="preserve"> </w:t>
      </w:r>
    </w:p>
    <w:p w14:paraId="0C704A0A" w14:textId="77777777" w:rsidR="006A0E8F" w:rsidRDefault="006A0E8F" w:rsidP="00A0324F">
      <w:pPr>
        <w:pStyle w:val="ListParagraph"/>
        <w:ind w:left="0"/>
        <w:jc w:val="both"/>
        <w:rPr>
          <w:rFonts w:ascii="Verdana" w:hAnsi="Verdana"/>
          <w:sz w:val="20"/>
          <w:szCs w:val="20"/>
          <w:lang w:val="es-CR"/>
        </w:rPr>
      </w:pPr>
    </w:p>
    <w:p w14:paraId="0C704A0C" w14:textId="463CB796"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Con base en lo señalado, el Estado otorgó a la Comunidad Garífuna de Punta Piedra dos títulos de dominio pleno</w:t>
      </w:r>
      <w:r w:rsidR="00776DA8">
        <w:rPr>
          <w:rFonts w:ascii="Verdana" w:hAnsi="Verdana"/>
          <w:sz w:val="20"/>
          <w:szCs w:val="20"/>
          <w:lang w:val="es-CR"/>
        </w:rPr>
        <w:t>, tanto</w:t>
      </w:r>
      <w:r w:rsidRPr="00167F1B">
        <w:rPr>
          <w:rFonts w:ascii="Verdana" w:hAnsi="Verdana"/>
          <w:sz w:val="20"/>
          <w:szCs w:val="20"/>
          <w:lang w:val="es-CR"/>
        </w:rPr>
        <w:t xml:space="preserve"> en el año 1993</w:t>
      </w:r>
      <w:r w:rsidR="00776DA8">
        <w:rPr>
          <w:rFonts w:ascii="Verdana" w:hAnsi="Verdana"/>
          <w:sz w:val="20"/>
          <w:szCs w:val="20"/>
          <w:lang w:val="es-CR"/>
        </w:rPr>
        <w:t>, como en</w:t>
      </w:r>
      <w:r w:rsidRPr="00167F1B">
        <w:rPr>
          <w:rFonts w:ascii="Verdana" w:hAnsi="Verdana"/>
          <w:sz w:val="20"/>
          <w:szCs w:val="20"/>
          <w:lang w:val="es-CR"/>
        </w:rPr>
        <w:t xml:space="preserve"> 1999</w:t>
      </w:r>
      <w:r w:rsidR="00776DA8">
        <w:rPr>
          <w:rFonts w:ascii="Verdana" w:hAnsi="Verdana"/>
          <w:sz w:val="20"/>
          <w:szCs w:val="20"/>
          <w:lang w:val="es-CR"/>
        </w:rPr>
        <w:t>,</w:t>
      </w:r>
      <w:r w:rsidRPr="00167F1B">
        <w:rPr>
          <w:rFonts w:ascii="Verdana" w:hAnsi="Verdana"/>
          <w:sz w:val="20"/>
          <w:szCs w:val="20"/>
          <w:lang w:val="es-CR"/>
        </w:rPr>
        <w:t xml:space="preserve"> de </w:t>
      </w:r>
      <w:r w:rsidRPr="00167F1B">
        <w:rPr>
          <w:rFonts w:ascii="Verdana" w:hAnsi="Verdana"/>
          <w:sz w:val="20"/>
          <w:szCs w:val="20"/>
        </w:rPr>
        <w:t xml:space="preserve">800 </w:t>
      </w:r>
      <w:r w:rsidR="00B6463D">
        <w:rPr>
          <w:rFonts w:ascii="Verdana" w:hAnsi="Verdana"/>
          <w:sz w:val="20"/>
          <w:szCs w:val="20"/>
        </w:rPr>
        <w:t>ha</w:t>
      </w:r>
      <w:r w:rsidRPr="00167F1B">
        <w:rPr>
          <w:rFonts w:ascii="Verdana" w:hAnsi="Verdana"/>
          <w:sz w:val="20"/>
          <w:szCs w:val="20"/>
        </w:rPr>
        <w:t xml:space="preserve"> 74 </w:t>
      </w:r>
      <w:r w:rsidR="00B6463D">
        <w:rPr>
          <w:rFonts w:ascii="Verdana" w:hAnsi="Verdana"/>
          <w:sz w:val="20"/>
          <w:szCs w:val="20"/>
        </w:rPr>
        <w:t>a</w:t>
      </w:r>
      <w:r w:rsidRPr="00167F1B">
        <w:rPr>
          <w:rFonts w:ascii="Verdana" w:hAnsi="Verdana"/>
          <w:sz w:val="20"/>
          <w:szCs w:val="20"/>
        </w:rPr>
        <w:t xml:space="preserve"> 8 </w:t>
      </w:r>
      <w:proofErr w:type="spellStart"/>
      <w:r>
        <w:rPr>
          <w:rFonts w:ascii="Verdana" w:hAnsi="Verdana"/>
          <w:sz w:val="20"/>
          <w:szCs w:val="20"/>
        </w:rPr>
        <w:t>c</w:t>
      </w:r>
      <w:r w:rsidR="00B6463D">
        <w:rPr>
          <w:rFonts w:ascii="Verdana" w:hAnsi="Verdana"/>
          <w:sz w:val="20"/>
          <w:szCs w:val="20"/>
        </w:rPr>
        <w:t>a</w:t>
      </w:r>
      <w:proofErr w:type="spellEnd"/>
      <w:r w:rsidRPr="00167F1B">
        <w:rPr>
          <w:rFonts w:ascii="Verdana" w:hAnsi="Verdana"/>
          <w:sz w:val="20"/>
          <w:szCs w:val="20"/>
          <w:lang w:val="es-CR"/>
        </w:rPr>
        <w:t xml:space="preserve"> y de </w:t>
      </w:r>
      <w:r w:rsidRPr="00167F1B">
        <w:rPr>
          <w:rFonts w:ascii="Verdana" w:hAnsi="Verdana"/>
          <w:sz w:val="20"/>
          <w:szCs w:val="20"/>
        </w:rPr>
        <w:t xml:space="preserve">1,513 </w:t>
      </w:r>
      <w:r w:rsidR="00B6463D">
        <w:rPr>
          <w:rFonts w:ascii="Verdana" w:hAnsi="Verdana"/>
          <w:sz w:val="20"/>
          <w:szCs w:val="20"/>
        </w:rPr>
        <w:t>ha</w:t>
      </w:r>
      <w:r w:rsidRPr="00167F1B">
        <w:rPr>
          <w:rFonts w:ascii="Verdana" w:hAnsi="Verdana"/>
          <w:sz w:val="20"/>
          <w:szCs w:val="20"/>
        </w:rPr>
        <w:t xml:space="preserve"> 54 </w:t>
      </w:r>
      <w:r w:rsidR="00B6463D">
        <w:rPr>
          <w:rFonts w:ascii="Verdana" w:hAnsi="Verdana"/>
          <w:sz w:val="20"/>
          <w:szCs w:val="20"/>
        </w:rPr>
        <w:t>a</w:t>
      </w:r>
      <w:r w:rsidRPr="00167F1B">
        <w:rPr>
          <w:rFonts w:ascii="Verdana" w:hAnsi="Verdana"/>
          <w:sz w:val="20"/>
          <w:szCs w:val="20"/>
        </w:rPr>
        <w:t xml:space="preserve"> 45.03 </w:t>
      </w:r>
      <w:proofErr w:type="spellStart"/>
      <w:r>
        <w:rPr>
          <w:rFonts w:ascii="Verdana" w:hAnsi="Verdana"/>
          <w:sz w:val="20"/>
          <w:szCs w:val="20"/>
        </w:rPr>
        <w:t>c</w:t>
      </w:r>
      <w:r w:rsidR="00B6463D">
        <w:rPr>
          <w:rFonts w:ascii="Verdana" w:hAnsi="Verdana"/>
          <w:sz w:val="20"/>
          <w:szCs w:val="20"/>
        </w:rPr>
        <w:t>a</w:t>
      </w:r>
      <w:proofErr w:type="spellEnd"/>
      <w:r w:rsidRPr="00167F1B">
        <w:rPr>
          <w:rFonts w:ascii="Verdana" w:hAnsi="Verdana"/>
          <w:sz w:val="20"/>
          <w:szCs w:val="20"/>
          <w:lang w:val="es-CR"/>
        </w:rPr>
        <w:t xml:space="preserve">, respectivamente, ambos vigentes a la fecha, por un total de 2,314 </w:t>
      </w:r>
      <w:r w:rsidR="00B6463D">
        <w:rPr>
          <w:rFonts w:ascii="Verdana" w:hAnsi="Verdana"/>
          <w:sz w:val="20"/>
          <w:szCs w:val="20"/>
          <w:lang w:val="es-CR"/>
        </w:rPr>
        <w:t>ha</w:t>
      </w:r>
      <w:r w:rsidRPr="00167F1B">
        <w:rPr>
          <w:rFonts w:ascii="Verdana" w:hAnsi="Verdana"/>
          <w:sz w:val="20"/>
          <w:szCs w:val="20"/>
          <w:lang w:val="es-CR"/>
        </w:rPr>
        <w:t xml:space="preserve"> y fracción.</w:t>
      </w:r>
      <w:r>
        <w:rPr>
          <w:rFonts w:ascii="Verdana" w:hAnsi="Verdana"/>
          <w:sz w:val="20"/>
          <w:szCs w:val="20"/>
          <w:lang w:val="es-CR"/>
        </w:rPr>
        <w:t xml:space="preserve"> </w:t>
      </w:r>
    </w:p>
    <w:p w14:paraId="0C704A0D" w14:textId="77777777" w:rsidR="006A0E8F" w:rsidRDefault="006A0E8F" w:rsidP="00A0324F">
      <w:pPr>
        <w:pStyle w:val="ListParagraph"/>
        <w:ind w:left="0"/>
        <w:jc w:val="both"/>
        <w:rPr>
          <w:rFonts w:ascii="Verdana" w:hAnsi="Verdana"/>
          <w:sz w:val="20"/>
          <w:szCs w:val="20"/>
          <w:lang w:val="es-CR"/>
        </w:rPr>
      </w:pPr>
    </w:p>
    <w:p w14:paraId="0C704A0F" w14:textId="77777777" w:rsidR="00E04121" w:rsidRDefault="00E04121" w:rsidP="00E04121">
      <w:pPr>
        <w:pStyle w:val="Heading2"/>
        <w:numPr>
          <w:ilvl w:val="0"/>
          <w:numId w:val="12"/>
        </w:numPr>
        <w:spacing w:before="0"/>
        <w:rPr>
          <w:rFonts w:ascii="Verdana" w:hAnsi="Verdana"/>
          <w:i/>
          <w:color w:val="auto"/>
          <w:sz w:val="20"/>
          <w:szCs w:val="20"/>
        </w:rPr>
      </w:pPr>
      <w:bookmarkStart w:id="44" w:name="_Toc421868208"/>
      <w:bookmarkStart w:id="45" w:name="_Toc437247328"/>
      <w:r>
        <w:rPr>
          <w:rFonts w:ascii="Verdana" w:hAnsi="Verdana"/>
          <w:i/>
          <w:color w:val="auto"/>
          <w:sz w:val="20"/>
          <w:szCs w:val="20"/>
        </w:rPr>
        <w:t>La ocupación de los pobladores de la Aldea de Río Miel en</w:t>
      </w:r>
      <w:r w:rsidRPr="00ED0CB6">
        <w:rPr>
          <w:rFonts w:ascii="Verdana" w:hAnsi="Verdana"/>
          <w:i/>
          <w:color w:val="auto"/>
          <w:sz w:val="20"/>
          <w:szCs w:val="20"/>
        </w:rPr>
        <w:t xml:space="preserve"> el territorio </w:t>
      </w:r>
      <w:r>
        <w:rPr>
          <w:rFonts w:ascii="Verdana" w:hAnsi="Verdana"/>
          <w:i/>
          <w:color w:val="auto"/>
          <w:sz w:val="20"/>
          <w:szCs w:val="20"/>
        </w:rPr>
        <w:t xml:space="preserve">titulado a favor </w:t>
      </w:r>
      <w:r w:rsidRPr="00ED0CB6">
        <w:rPr>
          <w:rFonts w:ascii="Verdana" w:hAnsi="Verdana"/>
          <w:i/>
          <w:color w:val="auto"/>
          <w:sz w:val="20"/>
          <w:szCs w:val="20"/>
        </w:rPr>
        <w:t>de la Comunidad Garífuna de Punta Piedra</w:t>
      </w:r>
      <w:bookmarkEnd w:id="44"/>
      <w:bookmarkEnd w:id="45"/>
    </w:p>
    <w:p w14:paraId="0C704A10" w14:textId="77777777" w:rsidR="00E04121" w:rsidRPr="005906E7" w:rsidRDefault="00E04121" w:rsidP="00E04121"/>
    <w:p w14:paraId="0C704A11" w14:textId="6FA79662"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La ocupación de los territorios de la Comunidad de Punta Piedra por parte de terceros</w:t>
      </w:r>
      <w:r>
        <w:rPr>
          <w:rFonts w:ascii="Verdana" w:hAnsi="Verdana"/>
          <w:sz w:val="20"/>
          <w:szCs w:val="20"/>
          <w:lang w:val="es-CR"/>
        </w:rPr>
        <w:t xml:space="preserve">, según diversos testimonios, </w:t>
      </w:r>
      <w:r w:rsidRPr="00167F1B">
        <w:rPr>
          <w:rFonts w:ascii="Verdana" w:hAnsi="Verdana"/>
          <w:sz w:val="20"/>
          <w:szCs w:val="20"/>
          <w:lang w:val="es-CR"/>
        </w:rPr>
        <w:t xml:space="preserve">se </w:t>
      </w:r>
      <w:r>
        <w:rPr>
          <w:rFonts w:ascii="Verdana" w:hAnsi="Verdana"/>
          <w:sz w:val="20"/>
          <w:szCs w:val="20"/>
          <w:lang w:val="es-CR"/>
        </w:rPr>
        <w:t>habría iniciado</w:t>
      </w:r>
      <w:r w:rsidRPr="00167F1B">
        <w:rPr>
          <w:rFonts w:ascii="Verdana" w:hAnsi="Verdana"/>
          <w:sz w:val="20"/>
          <w:szCs w:val="20"/>
          <w:lang w:val="es-CR"/>
        </w:rPr>
        <w:t xml:space="preserve"> a partir del año 1993, aproximadamente</w:t>
      </w:r>
      <w:r w:rsidRPr="00986EB6">
        <w:rPr>
          <w:rStyle w:val="FootnoteReference"/>
          <w:szCs w:val="20"/>
          <w:lang w:val="es-CR"/>
        </w:rPr>
        <w:footnoteReference w:id="84"/>
      </w:r>
      <w:r w:rsidR="00F56F7B">
        <w:rPr>
          <w:rFonts w:ascii="Verdana" w:hAnsi="Verdana"/>
          <w:sz w:val="20"/>
          <w:szCs w:val="20"/>
          <w:lang w:val="es-CR"/>
        </w:rPr>
        <w:t xml:space="preserve">, </w:t>
      </w:r>
      <w:r w:rsidRPr="00167F1B">
        <w:rPr>
          <w:rFonts w:ascii="Verdana" w:hAnsi="Verdana"/>
          <w:sz w:val="20"/>
          <w:szCs w:val="20"/>
          <w:lang w:val="es-CR"/>
        </w:rPr>
        <w:t xml:space="preserve">con la llegada de los primeros pobladores </w:t>
      </w:r>
      <w:r>
        <w:rPr>
          <w:rFonts w:ascii="Verdana" w:hAnsi="Verdana"/>
          <w:sz w:val="20"/>
          <w:szCs w:val="20"/>
          <w:lang w:val="es-CR"/>
        </w:rPr>
        <w:t xml:space="preserve">a </w:t>
      </w:r>
      <w:r w:rsidRPr="00167F1B">
        <w:rPr>
          <w:rFonts w:ascii="Verdana" w:hAnsi="Verdana"/>
          <w:sz w:val="20"/>
          <w:szCs w:val="20"/>
          <w:lang w:val="es-MX"/>
        </w:rPr>
        <w:t>la zona conocida como “</w:t>
      </w:r>
      <w:proofErr w:type="spellStart"/>
      <w:r w:rsidRPr="00167F1B">
        <w:rPr>
          <w:rFonts w:ascii="Verdana" w:hAnsi="Verdana"/>
          <w:sz w:val="20"/>
          <w:szCs w:val="20"/>
          <w:lang w:val="es-MX"/>
        </w:rPr>
        <w:t>Entrerríos</w:t>
      </w:r>
      <w:proofErr w:type="spellEnd"/>
      <w:r w:rsidRPr="00167F1B">
        <w:rPr>
          <w:rFonts w:ascii="Verdana" w:hAnsi="Verdana"/>
          <w:sz w:val="20"/>
          <w:szCs w:val="20"/>
          <w:lang w:val="es-MX"/>
        </w:rPr>
        <w:t xml:space="preserve">”, lugar del cual </w:t>
      </w:r>
      <w:r>
        <w:rPr>
          <w:rFonts w:ascii="Verdana" w:hAnsi="Verdana"/>
          <w:sz w:val="20"/>
          <w:szCs w:val="20"/>
          <w:lang w:val="es-MX"/>
        </w:rPr>
        <w:t xml:space="preserve">habrían </w:t>
      </w:r>
      <w:r w:rsidRPr="00167F1B">
        <w:rPr>
          <w:rFonts w:ascii="Verdana" w:hAnsi="Verdana"/>
          <w:sz w:val="20"/>
          <w:szCs w:val="20"/>
          <w:lang w:val="es-MX"/>
        </w:rPr>
        <w:t xml:space="preserve">emigraron en 1993 hacia tierras tradicionales </w:t>
      </w:r>
      <w:r w:rsidRPr="00167F1B">
        <w:rPr>
          <w:rFonts w:ascii="Verdana" w:hAnsi="Verdana"/>
          <w:sz w:val="20"/>
          <w:szCs w:val="20"/>
          <w:lang w:val="es-MX"/>
        </w:rPr>
        <w:lastRenderedPageBreak/>
        <w:t>de cultivo ubicadas al margen del Río Miel</w:t>
      </w:r>
      <w:r w:rsidR="00F56F7B">
        <w:rPr>
          <w:rFonts w:ascii="Verdana" w:hAnsi="Verdana"/>
          <w:sz w:val="20"/>
          <w:szCs w:val="20"/>
          <w:lang w:val="es-MX"/>
        </w:rPr>
        <w:t xml:space="preserve">, </w:t>
      </w:r>
      <w:r w:rsidRPr="00167F1B">
        <w:rPr>
          <w:rFonts w:ascii="Verdana" w:hAnsi="Verdana"/>
          <w:sz w:val="20"/>
          <w:szCs w:val="20"/>
          <w:lang w:val="es-MX"/>
        </w:rPr>
        <w:t>actual territorio titulado a favor de la Comunidad.</w:t>
      </w:r>
      <w:r>
        <w:rPr>
          <w:rFonts w:ascii="Verdana" w:hAnsi="Verdana"/>
          <w:sz w:val="20"/>
          <w:szCs w:val="20"/>
          <w:lang w:val="es-CR"/>
        </w:rPr>
        <w:t xml:space="preserve"> Dicha ocupación dio lugar </w:t>
      </w:r>
      <w:r w:rsidRPr="007C366C">
        <w:rPr>
          <w:rFonts w:ascii="Verdana" w:hAnsi="Verdana"/>
          <w:sz w:val="20"/>
          <w:szCs w:val="20"/>
          <w:lang w:val="es-CR"/>
        </w:rPr>
        <w:t>a la comunidad conocida hoy como “Río Miel”</w:t>
      </w:r>
      <w:r w:rsidR="00234BF6">
        <w:rPr>
          <w:rFonts w:ascii="Verdana" w:hAnsi="Verdana"/>
          <w:sz w:val="20"/>
          <w:szCs w:val="20"/>
          <w:lang w:val="es-CR"/>
        </w:rPr>
        <w:t xml:space="preserve">, </w:t>
      </w:r>
      <w:r w:rsidRPr="007C366C">
        <w:rPr>
          <w:rFonts w:ascii="Verdana" w:hAnsi="Verdana"/>
          <w:sz w:val="20"/>
          <w:szCs w:val="20"/>
          <w:lang w:val="es-CR"/>
        </w:rPr>
        <w:t>lo cual derivó en un problema de tenencia de tierras entre ambas comunidades</w:t>
      </w:r>
      <w:r w:rsidRPr="00986EB6">
        <w:rPr>
          <w:rStyle w:val="FootnoteReference"/>
          <w:szCs w:val="20"/>
          <w:lang w:val="es-CR"/>
        </w:rPr>
        <w:footnoteReference w:id="85"/>
      </w:r>
      <w:r w:rsidRPr="007C366C">
        <w:rPr>
          <w:rFonts w:ascii="Verdana" w:hAnsi="Verdana"/>
          <w:sz w:val="20"/>
          <w:szCs w:val="20"/>
          <w:lang w:val="es-CR"/>
        </w:rPr>
        <w:t xml:space="preserve">. Sin embargo, con base en el “Resumen de </w:t>
      </w:r>
      <w:r>
        <w:rPr>
          <w:rFonts w:ascii="Verdana" w:hAnsi="Verdana"/>
          <w:sz w:val="20"/>
          <w:szCs w:val="20"/>
          <w:lang w:val="es-CR"/>
        </w:rPr>
        <w:t xml:space="preserve">la </w:t>
      </w:r>
      <w:r w:rsidRPr="007C366C">
        <w:rPr>
          <w:rFonts w:ascii="Verdana" w:hAnsi="Verdana"/>
          <w:sz w:val="20"/>
          <w:szCs w:val="20"/>
          <w:lang w:val="es-CR"/>
        </w:rPr>
        <w:t>Encuesta Socio Económica”</w:t>
      </w:r>
      <w:r>
        <w:rPr>
          <w:rFonts w:ascii="Verdana" w:hAnsi="Verdana"/>
          <w:sz w:val="20"/>
          <w:szCs w:val="20"/>
          <w:lang w:val="es-CR"/>
        </w:rPr>
        <w:t xml:space="preserve"> de la Aldea de Río Miel</w:t>
      </w:r>
      <w:r w:rsidRPr="007C366C">
        <w:rPr>
          <w:rFonts w:ascii="Verdana" w:hAnsi="Verdana"/>
          <w:sz w:val="20"/>
          <w:szCs w:val="20"/>
          <w:lang w:val="es-CR"/>
        </w:rPr>
        <w:t xml:space="preserve">, elaborado por el INA en junio de </w:t>
      </w:r>
      <w:r>
        <w:rPr>
          <w:rFonts w:ascii="Verdana" w:hAnsi="Verdana"/>
          <w:sz w:val="20"/>
          <w:szCs w:val="20"/>
          <w:lang w:val="es-CR"/>
        </w:rPr>
        <w:t>2007, según dichos de los pobladores, al menos 32 ocupantes</w:t>
      </w:r>
      <w:r w:rsidRPr="007C366C">
        <w:rPr>
          <w:rFonts w:ascii="Verdana" w:hAnsi="Verdana"/>
          <w:sz w:val="20"/>
          <w:szCs w:val="20"/>
          <w:lang w:val="es-CR"/>
        </w:rPr>
        <w:t>, así como sus dependientes, habrían habitado dicha zona desde el año 1987</w:t>
      </w:r>
      <w:r>
        <w:rPr>
          <w:rStyle w:val="FootnoteReference"/>
          <w:szCs w:val="20"/>
          <w:lang w:val="es-CR"/>
        </w:rPr>
        <w:footnoteReference w:id="86"/>
      </w:r>
      <w:r w:rsidRPr="007C366C">
        <w:rPr>
          <w:rFonts w:ascii="Verdana" w:hAnsi="Verdana"/>
          <w:sz w:val="20"/>
          <w:szCs w:val="20"/>
          <w:lang w:val="es-CR"/>
        </w:rPr>
        <w:t xml:space="preserve">. De igual manera, durante la diligencia </w:t>
      </w:r>
      <w:r w:rsidRPr="005906E7">
        <w:rPr>
          <w:rFonts w:ascii="Verdana" w:hAnsi="Verdana"/>
          <w:i/>
          <w:sz w:val="20"/>
          <w:szCs w:val="20"/>
          <w:lang w:val="es-CR"/>
        </w:rPr>
        <w:t>in situ</w:t>
      </w:r>
      <w:r w:rsidRPr="007C366C">
        <w:rPr>
          <w:rFonts w:ascii="Verdana" w:hAnsi="Verdana"/>
          <w:sz w:val="20"/>
          <w:szCs w:val="20"/>
          <w:lang w:val="es-CR"/>
        </w:rPr>
        <w:t xml:space="preserve">, algunas personas señalaron haber vivido en </w:t>
      </w:r>
      <w:r>
        <w:rPr>
          <w:rFonts w:ascii="Verdana" w:hAnsi="Verdana"/>
          <w:sz w:val="20"/>
          <w:szCs w:val="20"/>
          <w:lang w:val="es-CR"/>
        </w:rPr>
        <w:t xml:space="preserve">la zona </w:t>
      </w:r>
      <w:r w:rsidRPr="007C366C">
        <w:rPr>
          <w:rFonts w:ascii="Verdana" w:hAnsi="Verdana"/>
          <w:sz w:val="20"/>
          <w:szCs w:val="20"/>
          <w:lang w:val="es-CR"/>
        </w:rPr>
        <w:t xml:space="preserve">desde hacía 30 años. Debido a ello, la Corte no puede constatar con exactitud </w:t>
      </w:r>
      <w:r>
        <w:rPr>
          <w:rFonts w:ascii="Verdana" w:hAnsi="Verdana"/>
          <w:sz w:val="20"/>
          <w:szCs w:val="20"/>
          <w:lang w:val="es-CR"/>
        </w:rPr>
        <w:t>el año en el cual aquellos</w:t>
      </w:r>
      <w:r w:rsidRPr="007C366C">
        <w:rPr>
          <w:rFonts w:ascii="Verdana" w:hAnsi="Verdana"/>
          <w:sz w:val="20"/>
          <w:szCs w:val="20"/>
          <w:lang w:val="es-CR"/>
        </w:rPr>
        <w:t xml:space="preserve"> pobladores </w:t>
      </w:r>
      <w:r w:rsidRPr="007C366C">
        <w:rPr>
          <w:rFonts w:ascii="Verdana" w:hAnsi="Verdana"/>
          <w:sz w:val="20"/>
          <w:szCs w:val="20"/>
          <w:lang w:val="es-MX"/>
        </w:rPr>
        <w:t xml:space="preserve">(quienes </w:t>
      </w:r>
      <w:r w:rsidR="00CC05CD">
        <w:rPr>
          <w:rFonts w:ascii="Verdana" w:hAnsi="Verdana"/>
          <w:sz w:val="20"/>
          <w:szCs w:val="20"/>
          <w:lang w:val="es-MX"/>
        </w:rPr>
        <w:t>también han sido</w:t>
      </w:r>
      <w:r w:rsidRPr="007C366C">
        <w:rPr>
          <w:rFonts w:ascii="Verdana" w:hAnsi="Verdana"/>
          <w:sz w:val="20"/>
          <w:szCs w:val="20"/>
          <w:lang w:val="es-MX"/>
        </w:rPr>
        <w:t xml:space="preserve"> llamados “ladinos”</w:t>
      </w:r>
      <w:r w:rsidR="005A429F">
        <w:rPr>
          <w:rStyle w:val="FootnoteReference"/>
          <w:szCs w:val="20"/>
          <w:lang w:val="es-MX"/>
        </w:rPr>
        <w:footnoteReference w:id="87"/>
      </w:r>
      <w:r w:rsidRPr="007C366C">
        <w:rPr>
          <w:rFonts w:ascii="Verdana" w:hAnsi="Verdana"/>
          <w:sz w:val="20"/>
          <w:szCs w:val="20"/>
          <w:lang w:val="es-MX"/>
        </w:rPr>
        <w:t xml:space="preserve"> por miembros de la Comunidad de Punta Piedra y en diversos escritos del Estado</w:t>
      </w:r>
      <w:r w:rsidRPr="00986EB6">
        <w:rPr>
          <w:rStyle w:val="FootnoteReference"/>
          <w:szCs w:val="20"/>
          <w:lang w:val="es-MX"/>
        </w:rPr>
        <w:footnoteReference w:id="88"/>
      </w:r>
      <w:r w:rsidRPr="007C366C">
        <w:rPr>
          <w:rFonts w:ascii="Verdana" w:hAnsi="Verdana"/>
          <w:sz w:val="20"/>
          <w:szCs w:val="20"/>
          <w:lang w:val="es-MX"/>
        </w:rPr>
        <w:t xml:space="preserve">) </w:t>
      </w:r>
      <w:r w:rsidRPr="007C366C">
        <w:rPr>
          <w:rFonts w:ascii="Verdana" w:hAnsi="Verdana"/>
          <w:sz w:val="20"/>
          <w:szCs w:val="20"/>
          <w:lang w:val="es-CR"/>
        </w:rPr>
        <w:t xml:space="preserve">iniciaron su asentamiento en </w:t>
      </w:r>
      <w:r>
        <w:rPr>
          <w:rFonts w:ascii="Verdana" w:hAnsi="Verdana"/>
          <w:sz w:val="20"/>
          <w:szCs w:val="20"/>
          <w:lang w:val="es-CR"/>
        </w:rPr>
        <w:t xml:space="preserve">el territorio titulado a favor de la Comunidad de Punta Piedra, no obstante habría ciertos indicios de que existía permanencia de terceros anteriormente al otorgamiento del título de ampliación. </w:t>
      </w:r>
    </w:p>
    <w:p w14:paraId="0C704A12" w14:textId="77777777" w:rsidR="00E04121" w:rsidRDefault="00E04121" w:rsidP="00E04121">
      <w:pPr>
        <w:pStyle w:val="ListParagraph"/>
        <w:ind w:left="0"/>
        <w:jc w:val="both"/>
        <w:rPr>
          <w:rFonts w:ascii="Verdana" w:hAnsi="Verdana"/>
          <w:sz w:val="20"/>
          <w:szCs w:val="20"/>
          <w:lang w:val="es-CR"/>
        </w:rPr>
      </w:pPr>
    </w:p>
    <w:p w14:paraId="0C704A13" w14:textId="34984002"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La </w:t>
      </w:r>
      <w:r w:rsidR="00CB6578">
        <w:rPr>
          <w:rFonts w:ascii="Verdana" w:hAnsi="Verdana"/>
          <w:sz w:val="20"/>
          <w:szCs w:val="20"/>
          <w:lang w:val="es-CR"/>
        </w:rPr>
        <w:t>Aldea de Río Miel</w:t>
      </w:r>
      <w:r>
        <w:rPr>
          <w:rFonts w:ascii="Verdana" w:hAnsi="Verdana"/>
          <w:sz w:val="20"/>
          <w:szCs w:val="20"/>
          <w:lang w:val="es-CR"/>
        </w:rPr>
        <w:t xml:space="preserve"> está </w:t>
      </w:r>
      <w:r w:rsidRPr="00167F1B">
        <w:rPr>
          <w:rFonts w:ascii="Verdana" w:hAnsi="Verdana"/>
          <w:sz w:val="20"/>
          <w:szCs w:val="20"/>
          <w:lang w:val="es-CR"/>
        </w:rPr>
        <w:t>habitada en la actualidad</w:t>
      </w:r>
      <w:r>
        <w:rPr>
          <w:rFonts w:ascii="Verdana" w:hAnsi="Verdana"/>
          <w:sz w:val="20"/>
          <w:szCs w:val="20"/>
          <w:lang w:val="es-CR"/>
        </w:rPr>
        <w:t xml:space="preserve"> por aproximadamente 400 personas</w:t>
      </w:r>
      <w:r w:rsidRPr="00167F1B">
        <w:rPr>
          <w:rFonts w:ascii="Verdana" w:hAnsi="Verdana"/>
          <w:sz w:val="20"/>
          <w:szCs w:val="20"/>
          <w:lang w:val="es-CR"/>
        </w:rPr>
        <w:t>, según lo señaló</w:t>
      </w:r>
      <w:r>
        <w:rPr>
          <w:rFonts w:ascii="Verdana" w:hAnsi="Verdana"/>
          <w:sz w:val="20"/>
          <w:szCs w:val="20"/>
          <w:lang w:val="es-CR"/>
        </w:rPr>
        <w:t xml:space="preserve"> el señor </w:t>
      </w:r>
      <w:proofErr w:type="spellStart"/>
      <w:r>
        <w:rPr>
          <w:rFonts w:ascii="Verdana" w:hAnsi="Verdana"/>
          <w:sz w:val="20"/>
          <w:szCs w:val="20"/>
          <w:lang w:val="es-CR"/>
        </w:rPr>
        <w:t>Petronilo</w:t>
      </w:r>
      <w:proofErr w:type="spellEnd"/>
      <w:r>
        <w:rPr>
          <w:rFonts w:ascii="Verdana" w:hAnsi="Verdana"/>
          <w:sz w:val="20"/>
          <w:szCs w:val="20"/>
          <w:lang w:val="es-CR"/>
        </w:rPr>
        <w:t xml:space="preserve"> López, Presidente del Patronato de Río Miel durante el desarrollo de la visita del caso</w:t>
      </w:r>
      <w:r>
        <w:rPr>
          <w:rStyle w:val="FootnoteReference"/>
          <w:szCs w:val="20"/>
          <w:lang w:val="es-CR"/>
        </w:rPr>
        <w:footnoteReference w:id="89"/>
      </w:r>
      <w:r>
        <w:rPr>
          <w:rFonts w:ascii="Verdana" w:hAnsi="Verdana"/>
          <w:sz w:val="20"/>
          <w:szCs w:val="20"/>
          <w:lang w:val="es-CR"/>
        </w:rPr>
        <w:t>. Dicha información concuerda con e</w:t>
      </w:r>
      <w:r w:rsidRPr="00167F1B">
        <w:rPr>
          <w:rFonts w:ascii="Verdana" w:hAnsi="Verdana"/>
          <w:sz w:val="20"/>
          <w:szCs w:val="20"/>
          <w:lang w:val="es-CR"/>
        </w:rPr>
        <w:t>l Informe de Campo del Instituto Nacional Agrario de 9 mayo de 2013</w:t>
      </w:r>
      <w:r w:rsidR="00D94AE2">
        <w:rPr>
          <w:rFonts w:ascii="Verdana" w:hAnsi="Verdana"/>
          <w:sz w:val="20"/>
          <w:szCs w:val="20"/>
          <w:lang w:val="es-CR"/>
        </w:rPr>
        <w:t xml:space="preserve"> (en adelante “informe de campo de 2013”)</w:t>
      </w:r>
      <w:r w:rsidRPr="00167F1B">
        <w:rPr>
          <w:rFonts w:ascii="Verdana" w:hAnsi="Verdana"/>
          <w:sz w:val="20"/>
          <w:szCs w:val="20"/>
          <w:lang w:val="es-CR"/>
        </w:rPr>
        <w:t xml:space="preserve">, </w:t>
      </w:r>
      <w:r>
        <w:rPr>
          <w:rFonts w:ascii="Verdana" w:hAnsi="Verdana"/>
          <w:sz w:val="20"/>
          <w:szCs w:val="20"/>
          <w:lang w:val="es-CR"/>
        </w:rPr>
        <w:t xml:space="preserve">debido a que </w:t>
      </w:r>
      <w:r w:rsidRPr="00167F1B">
        <w:rPr>
          <w:rFonts w:ascii="Verdana" w:hAnsi="Verdana"/>
          <w:sz w:val="20"/>
          <w:szCs w:val="20"/>
          <w:lang w:val="es-CR"/>
        </w:rPr>
        <w:t xml:space="preserve">sus investigadores señalaron que los habitantes de la </w:t>
      </w:r>
      <w:r w:rsidR="00D840BE">
        <w:rPr>
          <w:rFonts w:ascii="Verdana" w:hAnsi="Verdana"/>
          <w:sz w:val="20"/>
          <w:szCs w:val="20"/>
          <w:lang w:val="es-CR"/>
        </w:rPr>
        <w:t>Aldea de Río Miel</w:t>
      </w:r>
      <w:r w:rsidRPr="00167F1B">
        <w:rPr>
          <w:rFonts w:ascii="Verdana" w:hAnsi="Verdana"/>
          <w:sz w:val="20"/>
          <w:szCs w:val="20"/>
          <w:lang w:val="es-CR"/>
        </w:rPr>
        <w:t xml:space="preserve"> les manifestaron que estaba conformada por </w:t>
      </w:r>
      <w:r>
        <w:rPr>
          <w:rFonts w:ascii="Verdana" w:hAnsi="Verdana"/>
          <w:sz w:val="20"/>
          <w:szCs w:val="20"/>
          <w:lang w:val="es-CR"/>
        </w:rPr>
        <w:t xml:space="preserve">alrededor de </w:t>
      </w:r>
      <w:r w:rsidRPr="00167F1B">
        <w:rPr>
          <w:rFonts w:ascii="Verdana" w:hAnsi="Verdana"/>
          <w:sz w:val="20"/>
          <w:szCs w:val="20"/>
          <w:lang w:val="es-CR"/>
        </w:rPr>
        <w:t>400 pobladores, entre niños y adultos</w:t>
      </w:r>
      <w:r w:rsidRPr="00986EB6">
        <w:rPr>
          <w:rStyle w:val="FootnoteReference"/>
          <w:szCs w:val="20"/>
          <w:lang w:val="es-CR"/>
        </w:rPr>
        <w:footnoteReference w:id="90"/>
      </w:r>
      <w:r w:rsidRPr="00167F1B">
        <w:rPr>
          <w:rFonts w:ascii="Verdana" w:hAnsi="Verdana"/>
          <w:sz w:val="20"/>
          <w:szCs w:val="20"/>
          <w:lang w:val="es-CR"/>
        </w:rPr>
        <w:t>.</w:t>
      </w:r>
      <w:r>
        <w:rPr>
          <w:rFonts w:ascii="Verdana" w:hAnsi="Verdana"/>
          <w:sz w:val="20"/>
          <w:szCs w:val="20"/>
          <w:lang w:val="es-CR"/>
        </w:rPr>
        <w:t xml:space="preserve"> Conforme a lo observado durante la diligencia </w:t>
      </w:r>
      <w:r w:rsidRPr="00A71698">
        <w:rPr>
          <w:rFonts w:ascii="Verdana" w:hAnsi="Verdana"/>
          <w:i/>
          <w:sz w:val="20"/>
          <w:szCs w:val="20"/>
          <w:lang w:val="es-CR"/>
        </w:rPr>
        <w:t>in situ</w:t>
      </w:r>
      <w:r>
        <w:rPr>
          <w:rFonts w:ascii="Verdana" w:hAnsi="Verdana"/>
          <w:sz w:val="20"/>
          <w:szCs w:val="20"/>
          <w:lang w:val="es-CR"/>
        </w:rPr>
        <w:t>, la delegación de la Corte puedo observar la existencia de áreas de cultivo y ganaderas, las cuales estarían siendo explotadas por los aldeanos de Río Miel.</w:t>
      </w:r>
    </w:p>
    <w:p w14:paraId="0C704A14" w14:textId="77777777" w:rsidR="00E04121" w:rsidRPr="00167F1B" w:rsidRDefault="00E04121" w:rsidP="00E04121">
      <w:pPr>
        <w:pStyle w:val="ListParagraph"/>
        <w:rPr>
          <w:rFonts w:ascii="Verdana" w:hAnsi="Verdana"/>
          <w:sz w:val="20"/>
          <w:szCs w:val="20"/>
          <w:lang w:val="es-CR"/>
        </w:rPr>
      </w:pPr>
    </w:p>
    <w:p w14:paraId="0C704A15" w14:textId="1CFEBC0F"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CR"/>
        </w:rPr>
        <w:t xml:space="preserve">La </w:t>
      </w:r>
      <w:r w:rsidR="00CB6578">
        <w:rPr>
          <w:rFonts w:ascii="Verdana" w:hAnsi="Verdana"/>
          <w:sz w:val="20"/>
          <w:szCs w:val="20"/>
          <w:lang w:val="es-CR"/>
        </w:rPr>
        <w:t>Aldea de Río Miel</w:t>
      </w:r>
      <w:r w:rsidRPr="00167F1B">
        <w:rPr>
          <w:rFonts w:ascii="Verdana" w:hAnsi="Verdana"/>
          <w:sz w:val="20"/>
          <w:szCs w:val="20"/>
          <w:lang w:val="es-CR"/>
        </w:rPr>
        <w:t xml:space="preserve"> es una comunidad que </w:t>
      </w:r>
      <w:r>
        <w:rPr>
          <w:rFonts w:ascii="Verdana" w:hAnsi="Verdana"/>
          <w:sz w:val="20"/>
          <w:szCs w:val="20"/>
          <w:lang w:val="es-CR"/>
        </w:rPr>
        <w:t xml:space="preserve">se encuentra asentada en la actualidad y </w:t>
      </w:r>
      <w:r w:rsidRPr="00167F1B">
        <w:rPr>
          <w:rFonts w:ascii="Verdana" w:hAnsi="Verdana"/>
          <w:sz w:val="20"/>
          <w:szCs w:val="20"/>
          <w:lang w:val="es-CR"/>
        </w:rPr>
        <w:t>cuenta con estructuras diversas, entre ellas una escuela, agua potable, vías de comunicación, iglesias de varias denominaciones, un campo de fútbol, y viviendas</w:t>
      </w:r>
      <w:r w:rsidRPr="00986EB6">
        <w:rPr>
          <w:rStyle w:val="FootnoteReference"/>
          <w:szCs w:val="20"/>
          <w:lang w:val="es-CR"/>
        </w:rPr>
        <w:footnoteReference w:id="91"/>
      </w:r>
      <w:r w:rsidRPr="00167F1B">
        <w:rPr>
          <w:rFonts w:ascii="Verdana" w:hAnsi="Verdana"/>
          <w:sz w:val="20"/>
          <w:szCs w:val="20"/>
          <w:lang w:val="es-CR"/>
        </w:rPr>
        <w:t xml:space="preserve"> construidas inicialmente con material local (tierra y madera, bajareque y paja) pero que han sido sustituidas progresivamente por viviendas construidas con material industrial</w:t>
      </w:r>
      <w:r w:rsidRPr="00986EB6">
        <w:rPr>
          <w:rStyle w:val="FootnoteReference"/>
          <w:szCs w:val="20"/>
          <w:lang w:val="es-CR"/>
        </w:rPr>
        <w:footnoteReference w:id="92"/>
      </w:r>
      <w:r w:rsidRPr="00167F1B">
        <w:rPr>
          <w:rFonts w:ascii="Verdana" w:hAnsi="Verdana"/>
          <w:sz w:val="20"/>
          <w:szCs w:val="20"/>
          <w:lang w:val="es-CR"/>
        </w:rPr>
        <w:t>. Asimismo, “</w:t>
      </w:r>
      <w:r w:rsidR="0052292D">
        <w:rPr>
          <w:rFonts w:ascii="Verdana" w:hAnsi="Verdana"/>
          <w:sz w:val="20"/>
          <w:szCs w:val="20"/>
          <w:lang w:val="es-CR"/>
        </w:rPr>
        <w:t>[</w:t>
      </w:r>
      <w:r w:rsidRPr="00167F1B">
        <w:rPr>
          <w:rFonts w:ascii="Verdana" w:hAnsi="Verdana"/>
          <w:sz w:val="20"/>
          <w:szCs w:val="20"/>
          <w:lang w:val="es-CR"/>
        </w:rPr>
        <w:t>d</w:t>
      </w:r>
      <w:r w:rsidR="0052292D">
        <w:rPr>
          <w:rFonts w:ascii="Verdana" w:hAnsi="Verdana"/>
          <w:sz w:val="20"/>
          <w:szCs w:val="20"/>
          <w:lang w:val="es-CR"/>
        </w:rPr>
        <w:t>]</w:t>
      </w:r>
      <w:proofErr w:type="spellStart"/>
      <w:r w:rsidRPr="00167F1B">
        <w:rPr>
          <w:rFonts w:ascii="Verdana" w:hAnsi="Verdana"/>
          <w:sz w:val="20"/>
          <w:szCs w:val="20"/>
          <w:lang w:val="es-CR"/>
        </w:rPr>
        <w:t>esde</w:t>
      </w:r>
      <w:proofErr w:type="spellEnd"/>
      <w:r w:rsidRPr="00167F1B">
        <w:rPr>
          <w:rFonts w:ascii="Verdana" w:hAnsi="Verdana"/>
          <w:sz w:val="20"/>
          <w:szCs w:val="20"/>
          <w:lang w:val="es-CR"/>
        </w:rPr>
        <w:t xml:space="preserve"> el 2007 a </w:t>
      </w:r>
      <w:r>
        <w:rPr>
          <w:rFonts w:ascii="Verdana" w:hAnsi="Verdana"/>
          <w:sz w:val="20"/>
          <w:szCs w:val="20"/>
          <w:lang w:val="es-CR"/>
        </w:rPr>
        <w:t xml:space="preserve">[2013 </w:t>
      </w:r>
      <w:r w:rsidRPr="00167F1B">
        <w:rPr>
          <w:rFonts w:ascii="Verdana" w:hAnsi="Verdana"/>
          <w:sz w:val="20"/>
          <w:szCs w:val="20"/>
          <w:lang w:val="es-CR"/>
        </w:rPr>
        <w:t xml:space="preserve">se </w:t>
      </w:r>
      <w:r>
        <w:rPr>
          <w:rFonts w:ascii="Verdana" w:hAnsi="Verdana"/>
          <w:sz w:val="20"/>
          <w:szCs w:val="20"/>
          <w:lang w:val="es-CR"/>
        </w:rPr>
        <w:t>constru</w:t>
      </w:r>
      <w:r w:rsidR="0052292D">
        <w:rPr>
          <w:rFonts w:ascii="Verdana" w:hAnsi="Verdana"/>
          <w:sz w:val="20"/>
          <w:szCs w:val="20"/>
          <w:lang w:val="es-CR"/>
        </w:rPr>
        <w:t>yeron</w:t>
      </w:r>
      <w:r w:rsidRPr="00167F1B">
        <w:rPr>
          <w:rFonts w:ascii="Verdana" w:hAnsi="Verdana"/>
          <w:sz w:val="20"/>
          <w:szCs w:val="20"/>
          <w:lang w:val="es-CR"/>
        </w:rPr>
        <w:t xml:space="preserve">] 30 nuevas </w:t>
      </w:r>
      <w:r w:rsidRPr="00167F1B">
        <w:rPr>
          <w:rFonts w:ascii="Verdana" w:hAnsi="Verdana"/>
          <w:sz w:val="20"/>
          <w:szCs w:val="20"/>
          <w:lang w:val="es-CR"/>
        </w:rPr>
        <w:lastRenderedPageBreak/>
        <w:t xml:space="preserve">viviendas, lo que </w:t>
      </w:r>
      <w:proofErr w:type="spellStart"/>
      <w:r w:rsidRPr="00167F1B">
        <w:rPr>
          <w:rFonts w:ascii="Verdana" w:hAnsi="Verdana"/>
          <w:sz w:val="20"/>
          <w:szCs w:val="20"/>
          <w:lang w:val="es-CR"/>
        </w:rPr>
        <w:t>signific</w:t>
      </w:r>
      <w:proofErr w:type="spellEnd"/>
      <w:r w:rsidRPr="00167F1B">
        <w:rPr>
          <w:rFonts w:ascii="Verdana" w:hAnsi="Verdana"/>
          <w:sz w:val="20"/>
          <w:szCs w:val="20"/>
          <w:lang w:val="es-CR"/>
        </w:rPr>
        <w:t>[</w:t>
      </w:r>
      <w:proofErr w:type="spellStart"/>
      <w:r w:rsidRPr="00167F1B">
        <w:rPr>
          <w:rFonts w:ascii="Verdana" w:hAnsi="Verdana"/>
          <w:sz w:val="20"/>
          <w:szCs w:val="20"/>
          <w:lang w:val="es-CR"/>
        </w:rPr>
        <w:t>ó</w:t>
      </w:r>
      <w:proofErr w:type="spellEnd"/>
      <w:r w:rsidRPr="00167F1B">
        <w:rPr>
          <w:rFonts w:ascii="Verdana" w:hAnsi="Verdana"/>
          <w:sz w:val="20"/>
          <w:szCs w:val="20"/>
          <w:lang w:val="es-CR"/>
        </w:rPr>
        <w:t xml:space="preserve">] un crecimiento poblacional de un 29% […]”, por lo que las conclusiones del </w:t>
      </w:r>
      <w:r w:rsidR="00D94AE2">
        <w:rPr>
          <w:rFonts w:ascii="Verdana" w:hAnsi="Verdana"/>
          <w:sz w:val="20"/>
          <w:szCs w:val="20"/>
          <w:lang w:val="es-CR"/>
        </w:rPr>
        <w:t>i</w:t>
      </w:r>
      <w:r w:rsidRPr="00167F1B">
        <w:rPr>
          <w:rFonts w:ascii="Verdana" w:hAnsi="Verdana"/>
          <w:sz w:val="20"/>
          <w:szCs w:val="20"/>
          <w:lang w:val="es-CR"/>
        </w:rPr>
        <w:t xml:space="preserve">nforme de </w:t>
      </w:r>
      <w:r w:rsidR="00D94AE2">
        <w:rPr>
          <w:rFonts w:ascii="Verdana" w:hAnsi="Verdana"/>
          <w:sz w:val="20"/>
          <w:szCs w:val="20"/>
          <w:lang w:val="es-CR"/>
        </w:rPr>
        <w:t>c</w:t>
      </w:r>
      <w:r w:rsidRPr="00167F1B">
        <w:rPr>
          <w:rFonts w:ascii="Verdana" w:hAnsi="Verdana"/>
          <w:sz w:val="20"/>
          <w:szCs w:val="20"/>
          <w:lang w:val="es-CR"/>
        </w:rPr>
        <w:t>ampo del INA de 2013 indicaron que “</w:t>
      </w:r>
      <w:proofErr w:type="gramStart"/>
      <w:r w:rsidRPr="00167F1B">
        <w:rPr>
          <w:rFonts w:ascii="Verdana" w:hAnsi="Verdana"/>
          <w:sz w:val="20"/>
          <w:szCs w:val="20"/>
          <w:lang w:val="es-CR"/>
        </w:rPr>
        <w:t>ha[</w:t>
      </w:r>
      <w:proofErr w:type="spellStart"/>
      <w:proofErr w:type="gramEnd"/>
      <w:r w:rsidRPr="00167F1B">
        <w:rPr>
          <w:rFonts w:ascii="Verdana" w:hAnsi="Verdana"/>
          <w:sz w:val="20"/>
          <w:szCs w:val="20"/>
          <w:lang w:val="es-CR"/>
        </w:rPr>
        <w:t>bía</w:t>
      </w:r>
      <w:proofErr w:type="spellEnd"/>
      <w:r w:rsidRPr="00167F1B">
        <w:rPr>
          <w:rFonts w:ascii="Verdana" w:hAnsi="Verdana"/>
          <w:sz w:val="20"/>
          <w:szCs w:val="20"/>
          <w:lang w:val="es-CR"/>
        </w:rPr>
        <w:t>] que ponerle mucha atención a la problemática de los pobladores debido al crecimiento poblacional a través del tiempo</w:t>
      </w:r>
      <w:r w:rsidR="0052292D">
        <w:rPr>
          <w:rFonts w:ascii="Verdana" w:hAnsi="Verdana"/>
          <w:sz w:val="20"/>
          <w:szCs w:val="20"/>
          <w:lang w:val="es-CR"/>
        </w:rPr>
        <w:t>[,]</w:t>
      </w:r>
      <w:r w:rsidRPr="00167F1B">
        <w:rPr>
          <w:rFonts w:ascii="Verdana" w:hAnsi="Verdana"/>
          <w:sz w:val="20"/>
          <w:szCs w:val="20"/>
          <w:lang w:val="es-CR"/>
        </w:rPr>
        <w:t xml:space="preserve"> tanto</w:t>
      </w:r>
      <w:r w:rsidR="0052292D">
        <w:rPr>
          <w:rFonts w:ascii="Verdana" w:hAnsi="Verdana"/>
          <w:sz w:val="20"/>
          <w:szCs w:val="20"/>
          <w:lang w:val="es-CR"/>
        </w:rPr>
        <w:t xml:space="preserve"> </w:t>
      </w:r>
      <w:r w:rsidRPr="00167F1B">
        <w:rPr>
          <w:rFonts w:ascii="Verdana" w:hAnsi="Verdana"/>
          <w:sz w:val="20"/>
          <w:szCs w:val="20"/>
          <w:lang w:val="es-CR"/>
        </w:rPr>
        <w:t>de sus viviendas</w:t>
      </w:r>
      <w:r w:rsidR="0052292D">
        <w:rPr>
          <w:rFonts w:ascii="Verdana" w:hAnsi="Verdana"/>
          <w:sz w:val="20"/>
          <w:szCs w:val="20"/>
          <w:lang w:val="es-CR"/>
        </w:rPr>
        <w:t>[, como de]</w:t>
      </w:r>
      <w:r w:rsidRPr="00167F1B">
        <w:rPr>
          <w:rFonts w:ascii="Verdana" w:hAnsi="Verdana"/>
          <w:sz w:val="20"/>
          <w:szCs w:val="20"/>
          <w:lang w:val="es-CR"/>
        </w:rPr>
        <w:t xml:space="preserve"> áreas de trabajaderos”. De igual manera, dicho informe observó que los pobladores de Río Miel habían manifestado que estaban cumpliendo con el pago de “bienes inmuebles a la [A]</w:t>
      </w:r>
      <w:proofErr w:type="spellStart"/>
      <w:r w:rsidRPr="00167F1B">
        <w:rPr>
          <w:rFonts w:ascii="Verdana" w:hAnsi="Verdana"/>
          <w:sz w:val="20"/>
          <w:szCs w:val="20"/>
          <w:lang w:val="es-CR"/>
        </w:rPr>
        <w:t>lcaldía</w:t>
      </w:r>
      <w:proofErr w:type="spellEnd"/>
      <w:r w:rsidRPr="00167F1B">
        <w:rPr>
          <w:rFonts w:ascii="Verdana" w:hAnsi="Verdana"/>
          <w:sz w:val="20"/>
          <w:szCs w:val="20"/>
          <w:lang w:val="es-CR"/>
        </w:rPr>
        <w:t xml:space="preserve"> de </w:t>
      </w:r>
      <w:proofErr w:type="spellStart"/>
      <w:r w:rsidRPr="00167F1B">
        <w:rPr>
          <w:rFonts w:ascii="Verdana" w:hAnsi="Verdana"/>
          <w:sz w:val="20"/>
          <w:szCs w:val="20"/>
          <w:lang w:val="es-CR"/>
        </w:rPr>
        <w:t>Iriona</w:t>
      </w:r>
      <w:proofErr w:type="spellEnd"/>
      <w:r w:rsidRPr="00167F1B">
        <w:rPr>
          <w:rFonts w:ascii="Verdana" w:hAnsi="Verdana"/>
          <w:sz w:val="20"/>
          <w:szCs w:val="20"/>
          <w:lang w:val="es-CR"/>
        </w:rPr>
        <w:t xml:space="preserve">, Colón […]” y que “se </w:t>
      </w:r>
      <w:proofErr w:type="gramStart"/>
      <w:r w:rsidRPr="00167F1B">
        <w:rPr>
          <w:rFonts w:ascii="Verdana" w:hAnsi="Verdana"/>
          <w:sz w:val="20"/>
          <w:szCs w:val="20"/>
          <w:lang w:val="es-CR"/>
        </w:rPr>
        <w:t>ha</w:t>
      </w:r>
      <w:r>
        <w:rPr>
          <w:rFonts w:ascii="Verdana" w:hAnsi="Verdana"/>
          <w:sz w:val="20"/>
          <w:szCs w:val="20"/>
          <w:lang w:val="es-CR"/>
        </w:rPr>
        <w:t>[</w:t>
      </w:r>
      <w:proofErr w:type="spellStart"/>
      <w:proofErr w:type="gramEnd"/>
      <w:r>
        <w:rPr>
          <w:rFonts w:ascii="Verdana" w:hAnsi="Verdana"/>
          <w:sz w:val="20"/>
          <w:szCs w:val="20"/>
          <w:lang w:val="es-CR"/>
        </w:rPr>
        <w:t>bían</w:t>
      </w:r>
      <w:proofErr w:type="spellEnd"/>
      <w:r>
        <w:rPr>
          <w:rFonts w:ascii="Verdana" w:hAnsi="Verdana"/>
          <w:sz w:val="20"/>
          <w:szCs w:val="20"/>
          <w:lang w:val="es-CR"/>
        </w:rPr>
        <w:t>]</w:t>
      </w:r>
      <w:r w:rsidRPr="00167F1B">
        <w:rPr>
          <w:rFonts w:ascii="Verdana" w:hAnsi="Verdana"/>
          <w:sz w:val="20"/>
          <w:szCs w:val="20"/>
          <w:lang w:val="es-CR"/>
        </w:rPr>
        <w:t xml:space="preserve"> venido haciendo transacciones de compras de viviendas y terrenos entre sí. Supuestamente con documentos de Dominio Útil otorgados por la Municipalidad de </w:t>
      </w:r>
      <w:proofErr w:type="spellStart"/>
      <w:r w:rsidRPr="00167F1B">
        <w:rPr>
          <w:rFonts w:ascii="Verdana" w:hAnsi="Verdana"/>
          <w:sz w:val="20"/>
          <w:szCs w:val="20"/>
          <w:lang w:val="es-CR"/>
        </w:rPr>
        <w:t>Iriona</w:t>
      </w:r>
      <w:proofErr w:type="spellEnd"/>
      <w:r w:rsidRPr="00167F1B">
        <w:rPr>
          <w:rFonts w:ascii="Verdana" w:hAnsi="Verdana"/>
          <w:sz w:val="20"/>
          <w:szCs w:val="20"/>
          <w:lang w:val="es-CR"/>
        </w:rPr>
        <w:t>”</w:t>
      </w:r>
      <w:r w:rsidRPr="00986EB6">
        <w:rPr>
          <w:rStyle w:val="FootnoteReference"/>
          <w:szCs w:val="20"/>
          <w:lang w:val="es-CR"/>
        </w:rPr>
        <w:footnoteReference w:id="93"/>
      </w:r>
      <w:r w:rsidRPr="00167F1B">
        <w:rPr>
          <w:rFonts w:ascii="Verdana" w:hAnsi="Verdana"/>
          <w:sz w:val="20"/>
          <w:szCs w:val="20"/>
          <w:lang w:val="es-CR"/>
        </w:rPr>
        <w:t xml:space="preserve">. </w:t>
      </w:r>
    </w:p>
    <w:p w14:paraId="0C704A16" w14:textId="77777777" w:rsidR="00E04121" w:rsidRDefault="00E04121" w:rsidP="00E04121">
      <w:pPr>
        <w:pStyle w:val="ListParagraph"/>
        <w:ind w:left="0"/>
        <w:jc w:val="both"/>
        <w:rPr>
          <w:rFonts w:ascii="Verdana" w:hAnsi="Verdana"/>
          <w:sz w:val="20"/>
          <w:szCs w:val="20"/>
          <w:lang w:val="es-CR"/>
        </w:rPr>
      </w:pPr>
    </w:p>
    <w:p w14:paraId="0C704A17" w14:textId="026BAFF3" w:rsidR="00E04121" w:rsidRDefault="00E04121" w:rsidP="00E04121">
      <w:pPr>
        <w:pStyle w:val="ListParagraph"/>
        <w:numPr>
          <w:ilvl w:val="0"/>
          <w:numId w:val="17"/>
        </w:numPr>
        <w:ind w:left="0" w:hanging="11"/>
        <w:jc w:val="both"/>
        <w:rPr>
          <w:rFonts w:ascii="Verdana" w:hAnsi="Verdana"/>
          <w:sz w:val="20"/>
          <w:szCs w:val="20"/>
          <w:lang w:val="es-ES"/>
        </w:rPr>
      </w:pPr>
      <w:r w:rsidRPr="005906E7">
        <w:rPr>
          <w:rFonts w:ascii="Verdana" w:hAnsi="Verdana"/>
          <w:sz w:val="20"/>
          <w:szCs w:val="20"/>
          <w:lang w:val="es-CR"/>
        </w:rPr>
        <w:t>Con</w:t>
      </w:r>
      <w:r w:rsidRPr="0062617D">
        <w:rPr>
          <w:rFonts w:ascii="Verdana" w:hAnsi="Verdana"/>
          <w:sz w:val="20"/>
          <w:szCs w:val="20"/>
          <w:lang w:val="es-ES"/>
        </w:rPr>
        <w:t xml:space="preserve"> posterioridad a la visita, el Estado remitió a la Corte copia de </w:t>
      </w:r>
      <w:r w:rsidR="0052292D">
        <w:rPr>
          <w:rFonts w:ascii="Verdana" w:hAnsi="Verdana"/>
          <w:sz w:val="20"/>
          <w:szCs w:val="20"/>
          <w:lang w:val="es-ES"/>
        </w:rPr>
        <w:t xml:space="preserve">cinco </w:t>
      </w:r>
      <w:r w:rsidRPr="0062617D">
        <w:rPr>
          <w:rFonts w:ascii="Verdana" w:hAnsi="Verdana"/>
          <w:sz w:val="20"/>
          <w:szCs w:val="20"/>
          <w:lang w:val="es-ES"/>
        </w:rPr>
        <w:t xml:space="preserve">supuestos títulos de propiedad en favor de personas en la Aldea de Río Miel correspondientes a los años 1991, 1992, </w:t>
      </w:r>
      <w:r w:rsidRPr="00012F57">
        <w:rPr>
          <w:rFonts w:ascii="Verdana" w:hAnsi="Verdana"/>
          <w:sz w:val="20"/>
          <w:szCs w:val="20"/>
          <w:lang w:val="es-ES"/>
        </w:rPr>
        <w:t>1993, 1998, y 2006</w:t>
      </w:r>
      <w:r w:rsidRPr="00012F57">
        <w:rPr>
          <w:rStyle w:val="FootnoteReference"/>
          <w:szCs w:val="20"/>
          <w:lang w:val="es-ES"/>
        </w:rPr>
        <w:footnoteReference w:id="94"/>
      </w:r>
      <w:r w:rsidRPr="00E73F49">
        <w:rPr>
          <w:rFonts w:ascii="Verdana" w:hAnsi="Verdana"/>
          <w:sz w:val="20"/>
          <w:szCs w:val="20"/>
          <w:lang w:val="es-ES"/>
        </w:rPr>
        <w:t>.</w:t>
      </w:r>
      <w:r>
        <w:rPr>
          <w:rFonts w:ascii="Verdana" w:hAnsi="Verdana"/>
          <w:sz w:val="20"/>
          <w:szCs w:val="20"/>
          <w:lang w:val="es-ES"/>
        </w:rPr>
        <w:t xml:space="preserve"> </w:t>
      </w:r>
      <w:r w:rsidRPr="0062617D">
        <w:rPr>
          <w:rFonts w:ascii="Verdana" w:hAnsi="Verdana"/>
          <w:sz w:val="20"/>
          <w:szCs w:val="20"/>
          <w:lang w:val="es-ES"/>
        </w:rPr>
        <w:t xml:space="preserve">Estos títulos no fueron presentados con anterioridad por el Estado ni se incluyeron en el levantamiento de los informes catastrales o en la cláusula de exclusión del título de propiedad de 1999. Por su parte, los representantes no controvirtieron la existencia ni la autenticidad de dichos títulos, e indicaron que su emisión era una muestra más de la falta de garantías de inalienabilidad de los territorios </w:t>
      </w:r>
      <w:r>
        <w:rPr>
          <w:rFonts w:ascii="Verdana" w:hAnsi="Verdana"/>
          <w:sz w:val="20"/>
          <w:szCs w:val="20"/>
          <w:lang w:val="es-ES"/>
        </w:rPr>
        <w:t xml:space="preserve">ancestrales </w:t>
      </w:r>
      <w:r w:rsidR="000F362B">
        <w:rPr>
          <w:rFonts w:ascii="Verdana" w:hAnsi="Verdana"/>
          <w:sz w:val="20"/>
          <w:szCs w:val="20"/>
          <w:lang w:val="es-ES"/>
        </w:rPr>
        <w:t>g</w:t>
      </w:r>
      <w:r w:rsidRPr="0062617D">
        <w:rPr>
          <w:rFonts w:ascii="Verdana" w:hAnsi="Verdana"/>
          <w:sz w:val="20"/>
          <w:szCs w:val="20"/>
          <w:lang w:val="es-ES"/>
        </w:rPr>
        <w:t>arífunas y la profunda ineficiencia del sistema de registro de propiedad en Honduras</w:t>
      </w:r>
      <w:r w:rsidR="0076556E">
        <w:rPr>
          <w:rFonts w:ascii="Verdana" w:hAnsi="Verdana"/>
          <w:sz w:val="20"/>
          <w:szCs w:val="20"/>
          <w:lang w:val="es-ES"/>
        </w:rPr>
        <w:t>.</w:t>
      </w:r>
    </w:p>
    <w:p w14:paraId="0C704A18" w14:textId="77777777" w:rsidR="00E04121" w:rsidRDefault="00E04121" w:rsidP="00E04121">
      <w:pPr>
        <w:pStyle w:val="ListParagraph"/>
        <w:ind w:left="0"/>
        <w:jc w:val="both"/>
        <w:rPr>
          <w:rFonts w:ascii="Verdana" w:hAnsi="Verdana"/>
          <w:sz w:val="20"/>
          <w:szCs w:val="20"/>
          <w:lang w:val="es-CR"/>
        </w:rPr>
      </w:pPr>
    </w:p>
    <w:p w14:paraId="0C704A19" w14:textId="5930AD93"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pacing w:val="-2"/>
          <w:sz w:val="20"/>
          <w:szCs w:val="20"/>
          <w:lang w:val="es-CR"/>
        </w:rPr>
        <w:t xml:space="preserve">Con base en lo señalado, y de acuerdo con la prueba aportada, la Corte constata que </w:t>
      </w:r>
      <w:r w:rsidRPr="00167F1B">
        <w:rPr>
          <w:rFonts w:ascii="Verdana" w:hAnsi="Verdana"/>
          <w:sz w:val="20"/>
          <w:szCs w:val="20"/>
          <w:lang w:val="es-CR"/>
        </w:rPr>
        <w:t>existe coincidencia entre las partes respecto de que una porción del territorio titulado en favor de la Comunidad Punta Piedra se encuentra ocupado por terceros</w:t>
      </w:r>
      <w:r w:rsidRPr="003C3D6A">
        <w:rPr>
          <w:rFonts w:ascii="Verdana" w:hAnsi="Verdana"/>
          <w:sz w:val="20"/>
          <w:szCs w:val="20"/>
          <w:lang w:val="es-CR"/>
        </w:rPr>
        <w:t xml:space="preserve">, los cuales </w:t>
      </w:r>
      <w:r w:rsidRPr="005906E7">
        <w:rPr>
          <w:rFonts w:ascii="Verdana" w:hAnsi="Verdana"/>
          <w:sz w:val="20"/>
          <w:szCs w:val="20"/>
          <w:lang w:val="es-CR"/>
        </w:rPr>
        <w:t xml:space="preserve">en su gran mayoría, </w:t>
      </w:r>
      <w:r w:rsidRPr="003C3D6A">
        <w:rPr>
          <w:rFonts w:ascii="Verdana" w:hAnsi="Verdana"/>
          <w:sz w:val="20"/>
          <w:szCs w:val="20"/>
          <w:lang w:val="es-CR"/>
        </w:rPr>
        <w:t xml:space="preserve">no gozan de título de propiedad alguno, a diferencia de </w:t>
      </w:r>
      <w:proofErr w:type="spellStart"/>
      <w:r w:rsidRPr="003C3D6A">
        <w:rPr>
          <w:rFonts w:ascii="Verdana" w:hAnsi="Verdana"/>
          <w:sz w:val="20"/>
          <w:szCs w:val="20"/>
          <w:lang w:val="es-CR"/>
        </w:rPr>
        <w:t>Sergia</w:t>
      </w:r>
      <w:proofErr w:type="spellEnd"/>
      <w:r w:rsidRPr="003C3D6A">
        <w:rPr>
          <w:rFonts w:ascii="Verdana" w:hAnsi="Verdana"/>
          <w:sz w:val="20"/>
          <w:szCs w:val="20"/>
          <w:lang w:val="es-CR"/>
        </w:rPr>
        <w:t xml:space="preserve"> Zapata Martínez</w:t>
      </w:r>
      <w:r>
        <w:rPr>
          <w:rFonts w:ascii="Verdana" w:hAnsi="Verdana"/>
          <w:sz w:val="20"/>
          <w:szCs w:val="20"/>
          <w:lang w:val="es-CR"/>
        </w:rPr>
        <w:t xml:space="preserve"> y</w:t>
      </w:r>
      <w:r w:rsidRPr="003C3D6A">
        <w:rPr>
          <w:rFonts w:ascii="Verdana" w:hAnsi="Verdana"/>
          <w:sz w:val="20"/>
          <w:szCs w:val="20"/>
          <w:lang w:val="es-CR"/>
        </w:rPr>
        <w:t xml:space="preserve"> </w:t>
      </w:r>
      <w:proofErr w:type="spellStart"/>
      <w:r>
        <w:rPr>
          <w:rFonts w:ascii="Verdana" w:hAnsi="Verdana"/>
          <w:sz w:val="20"/>
          <w:szCs w:val="20"/>
          <w:lang w:val="es-CR"/>
        </w:rPr>
        <w:t>Ambrocio</w:t>
      </w:r>
      <w:proofErr w:type="spellEnd"/>
      <w:r>
        <w:rPr>
          <w:rFonts w:ascii="Verdana" w:hAnsi="Verdana"/>
          <w:sz w:val="20"/>
          <w:szCs w:val="20"/>
          <w:lang w:val="es-CR"/>
        </w:rPr>
        <w:t xml:space="preserve"> Thomas Castillo, quien presuntamente era </w:t>
      </w:r>
      <w:r w:rsidR="002B7200">
        <w:rPr>
          <w:rFonts w:ascii="Verdana" w:hAnsi="Verdana"/>
          <w:sz w:val="20"/>
          <w:szCs w:val="20"/>
          <w:lang w:val="es-CR"/>
        </w:rPr>
        <w:t>g</w:t>
      </w:r>
      <w:r>
        <w:rPr>
          <w:rFonts w:ascii="Verdana" w:hAnsi="Verdana"/>
          <w:sz w:val="20"/>
          <w:szCs w:val="20"/>
          <w:lang w:val="es-CR"/>
        </w:rPr>
        <w:t xml:space="preserve">arífuna y habría vendido sus tierras </w:t>
      </w:r>
      <w:r w:rsidR="002B7200">
        <w:rPr>
          <w:rFonts w:ascii="Verdana" w:hAnsi="Verdana"/>
          <w:sz w:val="20"/>
          <w:szCs w:val="20"/>
          <w:lang w:val="es-CR"/>
        </w:rPr>
        <w:t xml:space="preserve">a </w:t>
      </w:r>
      <w:r>
        <w:rPr>
          <w:rFonts w:ascii="Verdana" w:hAnsi="Verdana"/>
          <w:sz w:val="20"/>
          <w:szCs w:val="20"/>
          <w:lang w:val="es-CR"/>
        </w:rPr>
        <w:t xml:space="preserve">terceros </w:t>
      </w:r>
      <w:r w:rsidRPr="003C3D6A">
        <w:rPr>
          <w:rFonts w:ascii="Verdana" w:hAnsi="Verdana"/>
          <w:sz w:val="20"/>
          <w:szCs w:val="20"/>
          <w:lang w:val="es-CR"/>
        </w:rPr>
        <w:t>(</w:t>
      </w:r>
      <w:r w:rsidRPr="003C3D6A">
        <w:rPr>
          <w:rFonts w:ascii="Verdana" w:hAnsi="Verdana"/>
          <w:i/>
          <w:sz w:val="20"/>
          <w:szCs w:val="20"/>
          <w:lang w:val="es-CR"/>
        </w:rPr>
        <w:t>supra</w:t>
      </w:r>
      <w:r w:rsidRPr="003C3D6A">
        <w:rPr>
          <w:rFonts w:ascii="Verdana" w:hAnsi="Verdana"/>
          <w:sz w:val="20"/>
          <w:szCs w:val="20"/>
          <w:lang w:val="es-CR"/>
        </w:rPr>
        <w:t xml:space="preserve"> párr. </w:t>
      </w:r>
      <w:r w:rsidR="00930B68">
        <w:rPr>
          <w:rFonts w:ascii="Verdana" w:hAnsi="Verdana"/>
          <w:sz w:val="20"/>
          <w:szCs w:val="20"/>
          <w:lang w:val="es-CR"/>
        </w:rPr>
        <w:t>9</w:t>
      </w:r>
      <w:r w:rsidR="006903F6">
        <w:rPr>
          <w:rFonts w:ascii="Verdana" w:hAnsi="Verdana"/>
          <w:sz w:val="20"/>
          <w:szCs w:val="20"/>
          <w:lang w:val="es-CR"/>
        </w:rPr>
        <w:t>8</w:t>
      </w:r>
      <w:r w:rsidRPr="003C3D6A">
        <w:rPr>
          <w:rFonts w:ascii="Verdana" w:hAnsi="Verdana"/>
          <w:sz w:val="20"/>
          <w:szCs w:val="20"/>
          <w:lang w:val="es-CR"/>
        </w:rPr>
        <w:t xml:space="preserve">). No obstante, </w:t>
      </w:r>
      <w:r w:rsidRPr="003C3D6A">
        <w:rPr>
          <w:rFonts w:ascii="Verdana" w:hAnsi="Verdana"/>
          <w:spacing w:val="-2"/>
          <w:sz w:val="20"/>
          <w:szCs w:val="20"/>
          <w:lang w:val="es-CR"/>
        </w:rPr>
        <w:t>existen versiones opu</w:t>
      </w:r>
      <w:r w:rsidRPr="00167F1B">
        <w:rPr>
          <w:rFonts w:ascii="Verdana" w:hAnsi="Verdana"/>
          <w:spacing w:val="-2"/>
          <w:sz w:val="20"/>
          <w:szCs w:val="20"/>
          <w:lang w:val="es-CR"/>
        </w:rPr>
        <w:t xml:space="preserve">estas sobre </w:t>
      </w:r>
      <w:r w:rsidRPr="00167F1B">
        <w:rPr>
          <w:rFonts w:ascii="Verdana" w:hAnsi="Verdana"/>
          <w:sz w:val="20"/>
          <w:szCs w:val="20"/>
          <w:lang w:val="es-CR"/>
        </w:rPr>
        <w:t xml:space="preserve">la cantidad de hectáreas ocupadas por terceros sin instrumentos de dominio pleno, especialmente en relación con las </w:t>
      </w:r>
      <w:r>
        <w:rPr>
          <w:rFonts w:ascii="Verdana" w:hAnsi="Verdana"/>
          <w:sz w:val="20"/>
          <w:szCs w:val="20"/>
          <w:lang w:val="es-CR"/>
        </w:rPr>
        <w:t xml:space="preserve">más de </w:t>
      </w:r>
      <w:r w:rsidRPr="00167F1B">
        <w:rPr>
          <w:rFonts w:ascii="Verdana" w:hAnsi="Verdana"/>
          <w:sz w:val="20"/>
          <w:szCs w:val="20"/>
          <w:lang w:val="es-CR"/>
        </w:rPr>
        <w:t xml:space="preserve">1,513 </w:t>
      </w:r>
      <w:r>
        <w:rPr>
          <w:rFonts w:ascii="Verdana" w:hAnsi="Verdana"/>
          <w:sz w:val="20"/>
          <w:szCs w:val="20"/>
          <w:lang w:val="es-CR"/>
        </w:rPr>
        <w:t>ha</w:t>
      </w:r>
      <w:r w:rsidRPr="00167F1B">
        <w:rPr>
          <w:rFonts w:ascii="Verdana" w:hAnsi="Verdana"/>
          <w:sz w:val="20"/>
          <w:szCs w:val="20"/>
          <w:lang w:val="es-CR"/>
        </w:rPr>
        <w:t xml:space="preserve"> tituladas en 1999</w:t>
      </w:r>
      <w:r w:rsidR="002B7200">
        <w:rPr>
          <w:rFonts w:ascii="Verdana" w:hAnsi="Verdana"/>
          <w:sz w:val="20"/>
          <w:szCs w:val="20"/>
          <w:lang w:val="es-CR"/>
        </w:rPr>
        <w:t xml:space="preserve"> (</w:t>
      </w:r>
      <w:r w:rsidR="0086236B" w:rsidRPr="00A0324F">
        <w:rPr>
          <w:rFonts w:ascii="Verdana" w:hAnsi="Verdana"/>
          <w:i/>
          <w:sz w:val="20"/>
          <w:szCs w:val="20"/>
          <w:lang w:val="es-CR"/>
        </w:rPr>
        <w:t xml:space="preserve">infra </w:t>
      </w:r>
      <w:r w:rsidR="00864417">
        <w:rPr>
          <w:rFonts w:ascii="Verdana" w:hAnsi="Verdana"/>
          <w:sz w:val="20"/>
          <w:szCs w:val="20"/>
          <w:lang w:val="es-CR"/>
        </w:rPr>
        <w:t>párr. 10</w:t>
      </w:r>
      <w:r w:rsidR="00201D90" w:rsidRPr="0003206F">
        <w:rPr>
          <w:rFonts w:ascii="Verdana" w:hAnsi="Verdana"/>
          <w:sz w:val="20"/>
          <w:szCs w:val="20"/>
          <w:lang w:val="es-CR"/>
        </w:rPr>
        <w:t>7</w:t>
      </w:r>
      <w:r w:rsidR="00201D90" w:rsidRPr="00B32821">
        <w:rPr>
          <w:rFonts w:ascii="Verdana" w:hAnsi="Verdana"/>
          <w:sz w:val="20"/>
          <w:szCs w:val="20"/>
          <w:lang w:val="es-CR"/>
        </w:rPr>
        <w:t>).</w:t>
      </w:r>
    </w:p>
    <w:p w14:paraId="0C704A1A" w14:textId="77777777" w:rsidR="00E04121" w:rsidRPr="00167F1B" w:rsidRDefault="00E04121" w:rsidP="00E04121">
      <w:pPr>
        <w:rPr>
          <w:lang w:val="es-MX"/>
        </w:rPr>
      </w:pPr>
    </w:p>
    <w:p w14:paraId="0C704A1B" w14:textId="3575553D" w:rsidR="00E04121" w:rsidRDefault="00E04121" w:rsidP="00E04121">
      <w:pPr>
        <w:pStyle w:val="ListParagraph"/>
        <w:numPr>
          <w:ilvl w:val="0"/>
          <w:numId w:val="17"/>
        </w:numPr>
        <w:ind w:left="0" w:hanging="11"/>
        <w:jc w:val="both"/>
        <w:rPr>
          <w:rFonts w:ascii="Verdana" w:hAnsi="Verdana"/>
          <w:sz w:val="20"/>
          <w:szCs w:val="20"/>
          <w:lang w:val="es-CR"/>
        </w:rPr>
      </w:pPr>
      <w:r w:rsidRPr="00167F1B">
        <w:rPr>
          <w:rFonts w:ascii="Verdana" w:hAnsi="Verdana"/>
          <w:sz w:val="20"/>
          <w:szCs w:val="20"/>
          <w:lang w:val="es-MX"/>
        </w:rPr>
        <w:lastRenderedPageBreak/>
        <w:t>En virtud de la falta de prueba actualizada sometida por las partes, no se puede determinar con certeza el área exacta del territorio que actualmente ocupan los habitantes de Río Miel</w:t>
      </w:r>
      <w:r>
        <w:rPr>
          <w:rStyle w:val="FootnoteReference"/>
          <w:szCs w:val="20"/>
          <w:lang w:val="es-MX"/>
        </w:rPr>
        <w:footnoteReference w:id="95"/>
      </w:r>
      <w:r w:rsidRPr="00167F1B">
        <w:rPr>
          <w:rFonts w:ascii="Verdana" w:hAnsi="Verdana"/>
          <w:sz w:val="20"/>
          <w:szCs w:val="20"/>
          <w:lang w:val="es-MX"/>
        </w:rPr>
        <w:t>. Sin embargo</w:t>
      </w:r>
      <w:r w:rsidRPr="00167F1B">
        <w:rPr>
          <w:rFonts w:ascii="Verdana" w:hAnsi="Verdana"/>
          <w:sz w:val="20"/>
          <w:szCs w:val="20"/>
          <w:lang w:val="es-CR"/>
        </w:rPr>
        <w:t>, conforme a documentos elaborados por el Estado, en particular por el</w:t>
      </w:r>
      <w:r w:rsidR="000F362B">
        <w:rPr>
          <w:rFonts w:ascii="Verdana" w:hAnsi="Verdana"/>
          <w:sz w:val="20"/>
          <w:szCs w:val="20"/>
          <w:lang w:val="es-CR"/>
        </w:rPr>
        <w:t xml:space="preserve"> INA</w:t>
      </w:r>
      <w:r w:rsidRPr="00167F1B">
        <w:rPr>
          <w:rFonts w:ascii="Verdana" w:hAnsi="Verdana"/>
          <w:sz w:val="20"/>
          <w:szCs w:val="20"/>
          <w:lang w:val="es-CR"/>
        </w:rPr>
        <w:t>, y conforme a la prueba obrante en el expediente ante este Tribunal, hasta</w:t>
      </w:r>
      <w:r w:rsidRPr="00167F1B">
        <w:rPr>
          <w:rFonts w:ascii="Verdana" w:hAnsi="Verdana"/>
          <w:sz w:val="20"/>
          <w:szCs w:val="20"/>
        </w:rPr>
        <w:t xml:space="preserve"> diciembre de 2001, el área ocupada por los campesinos en Río Miel alcanzaba 605 </w:t>
      </w:r>
      <w:r w:rsidR="00B6463D">
        <w:rPr>
          <w:rFonts w:ascii="Verdana" w:hAnsi="Verdana"/>
          <w:sz w:val="20"/>
          <w:szCs w:val="20"/>
        </w:rPr>
        <w:t>ha</w:t>
      </w:r>
      <w:r w:rsidRPr="00986EB6">
        <w:rPr>
          <w:rStyle w:val="FootnoteReference"/>
          <w:szCs w:val="20"/>
        </w:rPr>
        <w:footnoteReference w:id="96"/>
      </w:r>
      <w:r w:rsidRPr="00167F1B">
        <w:rPr>
          <w:rFonts w:ascii="Verdana" w:hAnsi="Verdana"/>
          <w:sz w:val="20"/>
          <w:szCs w:val="20"/>
        </w:rPr>
        <w:t>. Posteriormente</w:t>
      </w:r>
      <w:r>
        <w:rPr>
          <w:rFonts w:ascii="Verdana" w:hAnsi="Verdana"/>
          <w:sz w:val="20"/>
          <w:szCs w:val="20"/>
        </w:rPr>
        <w:t>,</w:t>
      </w:r>
      <w:r w:rsidRPr="00167F1B">
        <w:rPr>
          <w:rFonts w:ascii="Verdana" w:hAnsi="Verdana"/>
          <w:sz w:val="20"/>
          <w:szCs w:val="20"/>
        </w:rPr>
        <w:t xml:space="preserve"> el </w:t>
      </w:r>
      <w:r w:rsidRPr="00167F1B">
        <w:rPr>
          <w:rFonts w:ascii="Verdana" w:hAnsi="Verdana"/>
          <w:sz w:val="20"/>
          <w:szCs w:val="20"/>
          <w:lang w:val="es-CR"/>
        </w:rPr>
        <w:t>“Informe Final del Levantamiento Catastral de</w:t>
      </w:r>
      <w:r w:rsidR="000F362B">
        <w:rPr>
          <w:rFonts w:ascii="Verdana" w:hAnsi="Verdana"/>
          <w:sz w:val="20"/>
          <w:szCs w:val="20"/>
          <w:lang w:val="es-CR"/>
        </w:rPr>
        <w:t>l</w:t>
      </w:r>
      <w:r w:rsidRPr="00167F1B">
        <w:rPr>
          <w:rFonts w:ascii="Verdana" w:hAnsi="Verdana"/>
          <w:sz w:val="20"/>
          <w:szCs w:val="20"/>
          <w:lang w:val="es-CR"/>
        </w:rPr>
        <w:t xml:space="preserve"> área titulada en ampliación a favor de la Comunidad Garífuna de Punta Piedra”</w:t>
      </w:r>
      <w:r>
        <w:rPr>
          <w:rStyle w:val="FootnoteReference"/>
          <w:szCs w:val="20"/>
          <w:lang w:val="es-CR"/>
        </w:rPr>
        <w:footnoteReference w:id="97"/>
      </w:r>
      <w:r>
        <w:rPr>
          <w:rFonts w:ascii="Verdana" w:hAnsi="Verdana"/>
          <w:sz w:val="20"/>
          <w:szCs w:val="20"/>
          <w:lang w:val="es-CR"/>
        </w:rPr>
        <w:t xml:space="preserve"> </w:t>
      </w:r>
      <w:r w:rsidRPr="00167F1B">
        <w:rPr>
          <w:rFonts w:ascii="Verdana" w:hAnsi="Verdana"/>
          <w:sz w:val="20"/>
          <w:szCs w:val="20"/>
          <w:lang w:val="es-CR"/>
        </w:rPr>
        <w:t xml:space="preserve">de 12 de julio de 2007 </w:t>
      </w:r>
      <w:r w:rsidR="00FD39FC">
        <w:rPr>
          <w:rFonts w:ascii="Verdana" w:hAnsi="Verdana"/>
          <w:sz w:val="20"/>
          <w:szCs w:val="20"/>
          <w:lang w:val="es-CR"/>
        </w:rPr>
        <w:t>(en adelante,</w:t>
      </w:r>
      <w:r w:rsidRPr="00167F1B">
        <w:rPr>
          <w:rFonts w:ascii="Verdana" w:hAnsi="Verdana"/>
          <w:sz w:val="20"/>
          <w:szCs w:val="20"/>
          <w:lang w:val="es-CR"/>
        </w:rPr>
        <w:t xml:space="preserve"> el “informe catastral de 2007”)</w:t>
      </w:r>
      <w:r>
        <w:rPr>
          <w:rFonts w:ascii="Verdana" w:hAnsi="Verdana"/>
          <w:sz w:val="20"/>
          <w:szCs w:val="20"/>
          <w:lang w:val="es-CR"/>
        </w:rPr>
        <w:t xml:space="preserve">, </w:t>
      </w:r>
      <w:r w:rsidRPr="00167F1B">
        <w:rPr>
          <w:rFonts w:ascii="Verdana" w:hAnsi="Verdana"/>
          <w:sz w:val="20"/>
          <w:szCs w:val="20"/>
        </w:rPr>
        <w:t xml:space="preserve">concluyó que de las </w:t>
      </w:r>
      <w:r>
        <w:rPr>
          <w:rFonts w:ascii="Verdana" w:hAnsi="Verdana"/>
          <w:sz w:val="20"/>
          <w:szCs w:val="20"/>
        </w:rPr>
        <w:t xml:space="preserve">más de </w:t>
      </w:r>
      <w:r w:rsidRPr="00167F1B">
        <w:rPr>
          <w:rFonts w:ascii="Verdana" w:hAnsi="Verdana"/>
          <w:sz w:val="20"/>
          <w:szCs w:val="20"/>
        </w:rPr>
        <w:t xml:space="preserve">1.513 </w:t>
      </w:r>
      <w:r w:rsidR="00B6463D">
        <w:rPr>
          <w:rFonts w:ascii="Verdana" w:hAnsi="Verdana"/>
          <w:sz w:val="20"/>
          <w:szCs w:val="20"/>
        </w:rPr>
        <w:t>ha</w:t>
      </w:r>
      <w:r w:rsidRPr="00167F1B">
        <w:rPr>
          <w:rFonts w:ascii="Verdana" w:hAnsi="Verdana"/>
          <w:sz w:val="20"/>
          <w:szCs w:val="20"/>
        </w:rPr>
        <w:t xml:space="preserve"> concedidas en 1999, </w:t>
      </w:r>
      <w:r w:rsidRPr="00167F1B">
        <w:rPr>
          <w:rFonts w:ascii="Verdana" w:hAnsi="Verdana"/>
          <w:sz w:val="20"/>
          <w:szCs w:val="20"/>
          <w:lang w:val="es-CR"/>
        </w:rPr>
        <w:t xml:space="preserve">612.13 </w:t>
      </w:r>
      <w:r>
        <w:rPr>
          <w:rFonts w:ascii="Verdana" w:hAnsi="Verdana"/>
          <w:sz w:val="20"/>
          <w:szCs w:val="20"/>
          <w:lang w:val="es-CR"/>
        </w:rPr>
        <w:t>ha</w:t>
      </w:r>
      <w:r w:rsidRPr="00167F1B">
        <w:rPr>
          <w:rFonts w:ascii="Verdana" w:hAnsi="Verdana"/>
          <w:sz w:val="20"/>
          <w:szCs w:val="20"/>
          <w:lang w:val="es-CR"/>
        </w:rPr>
        <w:t xml:space="preserve"> estaban ocupadas por los terceros y sólo 653.24 </w:t>
      </w:r>
      <w:r>
        <w:rPr>
          <w:rFonts w:ascii="Verdana" w:hAnsi="Verdana"/>
          <w:sz w:val="20"/>
          <w:szCs w:val="20"/>
          <w:lang w:val="es-CR"/>
        </w:rPr>
        <w:t>ha</w:t>
      </w:r>
      <w:r w:rsidRPr="00167F1B">
        <w:rPr>
          <w:rFonts w:ascii="Verdana" w:hAnsi="Verdana"/>
          <w:sz w:val="20"/>
          <w:szCs w:val="20"/>
          <w:lang w:val="es-CR"/>
        </w:rPr>
        <w:t xml:space="preserve"> estaban habitadas por los </w:t>
      </w:r>
      <w:r w:rsidR="002B7200">
        <w:rPr>
          <w:rFonts w:ascii="Verdana" w:hAnsi="Verdana"/>
          <w:sz w:val="20"/>
          <w:szCs w:val="20"/>
          <w:lang w:val="es-CR"/>
        </w:rPr>
        <w:t>g</w:t>
      </w:r>
      <w:r w:rsidRPr="00167F1B">
        <w:rPr>
          <w:rFonts w:ascii="Verdana" w:hAnsi="Verdana"/>
          <w:sz w:val="20"/>
          <w:szCs w:val="20"/>
          <w:lang w:val="es-CR"/>
        </w:rPr>
        <w:t xml:space="preserve">arífunas. Dicho informe también concluyó que 177.98 </w:t>
      </w:r>
      <w:r>
        <w:rPr>
          <w:rFonts w:ascii="Verdana" w:hAnsi="Verdana"/>
          <w:sz w:val="20"/>
          <w:szCs w:val="20"/>
          <w:lang w:val="es-CR"/>
        </w:rPr>
        <w:t>ha</w:t>
      </w:r>
      <w:r w:rsidRPr="00167F1B">
        <w:rPr>
          <w:rFonts w:ascii="Verdana" w:hAnsi="Verdana"/>
          <w:sz w:val="20"/>
          <w:szCs w:val="20"/>
          <w:lang w:val="es-CR"/>
        </w:rPr>
        <w:t xml:space="preserve"> correspondían a áreas de bosque dentro del área de ampliación, que también se encontraban en posesión de los miembros de Río Miel</w:t>
      </w:r>
      <w:r w:rsidRPr="00986EB6">
        <w:rPr>
          <w:rStyle w:val="FootnoteReference"/>
          <w:szCs w:val="20"/>
          <w:lang w:val="es-CR"/>
        </w:rPr>
        <w:footnoteReference w:id="98"/>
      </w:r>
      <w:r w:rsidRPr="00167F1B">
        <w:rPr>
          <w:rFonts w:ascii="Verdana" w:hAnsi="Verdana"/>
          <w:sz w:val="20"/>
          <w:szCs w:val="20"/>
          <w:lang w:val="es-CR"/>
        </w:rPr>
        <w:t>. En este sentido, si bien la Corte no cuenta con elementos suficientes para determinar con exactitud el área ocupada en la actualidad, se encuentra probado que</w:t>
      </w:r>
      <w:r w:rsidR="002B7200">
        <w:rPr>
          <w:rFonts w:ascii="Verdana" w:hAnsi="Verdana"/>
          <w:sz w:val="20"/>
          <w:szCs w:val="20"/>
          <w:lang w:val="es-CR"/>
        </w:rPr>
        <w:t>,</w:t>
      </w:r>
      <w:r w:rsidRPr="00167F1B">
        <w:rPr>
          <w:rFonts w:ascii="Verdana" w:hAnsi="Verdana"/>
          <w:sz w:val="20"/>
          <w:szCs w:val="20"/>
          <w:lang w:val="es-CR"/>
        </w:rPr>
        <w:t xml:space="preserve"> al menos al 2007, un total de </w:t>
      </w:r>
      <w:r w:rsidRPr="00167F1B">
        <w:rPr>
          <w:rFonts w:ascii="Verdana" w:hAnsi="Verdana"/>
          <w:sz w:val="20"/>
          <w:szCs w:val="20"/>
          <w:lang w:val="es-MX"/>
        </w:rPr>
        <w:t xml:space="preserve">790.11 </w:t>
      </w:r>
      <w:r w:rsidR="00B6463D">
        <w:rPr>
          <w:rFonts w:ascii="Verdana" w:hAnsi="Verdana"/>
          <w:sz w:val="20"/>
          <w:szCs w:val="20"/>
          <w:lang w:val="es-MX"/>
        </w:rPr>
        <w:t>ha</w:t>
      </w:r>
      <w:r w:rsidRPr="00167F1B">
        <w:rPr>
          <w:rFonts w:ascii="Verdana" w:hAnsi="Verdana"/>
          <w:sz w:val="20"/>
          <w:szCs w:val="20"/>
          <w:lang w:val="es-MX"/>
        </w:rPr>
        <w:t xml:space="preserve"> del territorio </w:t>
      </w:r>
      <w:r w:rsidRPr="00D06233">
        <w:rPr>
          <w:rFonts w:ascii="Verdana" w:hAnsi="Verdana"/>
          <w:sz w:val="20"/>
          <w:szCs w:val="20"/>
          <w:lang w:val="es-MX"/>
        </w:rPr>
        <w:t>en ampliación</w:t>
      </w:r>
      <w:r>
        <w:rPr>
          <w:rFonts w:ascii="Verdana" w:hAnsi="Verdana"/>
          <w:sz w:val="20"/>
          <w:szCs w:val="20"/>
          <w:lang w:val="es-MX"/>
        </w:rPr>
        <w:t xml:space="preserve"> </w:t>
      </w:r>
      <w:r w:rsidRPr="00167F1B">
        <w:rPr>
          <w:rFonts w:ascii="Verdana" w:hAnsi="Verdana"/>
          <w:sz w:val="20"/>
          <w:szCs w:val="20"/>
          <w:lang w:val="es-MX"/>
        </w:rPr>
        <w:t>de la Comunidad de Punta Piedra se encontraba ocupad</w:t>
      </w:r>
      <w:r w:rsidR="002B7200">
        <w:rPr>
          <w:rFonts w:ascii="Verdana" w:hAnsi="Verdana"/>
          <w:sz w:val="20"/>
          <w:szCs w:val="20"/>
          <w:lang w:val="es-MX"/>
        </w:rPr>
        <w:t>o</w:t>
      </w:r>
      <w:r w:rsidRPr="00167F1B">
        <w:rPr>
          <w:rFonts w:ascii="Verdana" w:hAnsi="Verdana"/>
          <w:sz w:val="20"/>
          <w:szCs w:val="20"/>
          <w:lang w:val="es-MX"/>
        </w:rPr>
        <w:t xml:space="preserve"> por terceras personas ajenas a la misma</w:t>
      </w:r>
      <w:r w:rsidRPr="00986EB6">
        <w:rPr>
          <w:rStyle w:val="FootnoteReference"/>
          <w:szCs w:val="20"/>
          <w:lang w:val="es-MX"/>
        </w:rPr>
        <w:footnoteReference w:id="99"/>
      </w:r>
      <w:r w:rsidR="002B7200">
        <w:rPr>
          <w:rFonts w:ascii="Verdana" w:hAnsi="Verdana"/>
          <w:sz w:val="20"/>
          <w:szCs w:val="20"/>
          <w:lang w:val="es-MX"/>
        </w:rPr>
        <w:t>. En ellas no se</w:t>
      </w:r>
      <w:r w:rsidRPr="00167F1B">
        <w:rPr>
          <w:rFonts w:ascii="Verdana" w:hAnsi="Verdana"/>
          <w:sz w:val="20"/>
          <w:szCs w:val="20"/>
          <w:lang w:val="es-MX"/>
        </w:rPr>
        <w:t xml:space="preserve"> incluían los territorios titulados en favor de </w:t>
      </w:r>
      <w:proofErr w:type="spellStart"/>
      <w:r w:rsidRPr="00167F1B">
        <w:rPr>
          <w:rFonts w:ascii="Verdana" w:hAnsi="Verdana"/>
          <w:sz w:val="20"/>
          <w:szCs w:val="20"/>
          <w:lang w:val="es-MX"/>
        </w:rPr>
        <w:t>Ambrocio</w:t>
      </w:r>
      <w:proofErr w:type="spellEnd"/>
      <w:r w:rsidRPr="00167F1B">
        <w:rPr>
          <w:rFonts w:ascii="Verdana" w:hAnsi="Verdana"/>
          <w:sz w:val="20"/>
          <w:szCs w:val="20"/>
          <w:lang w:val="es-MX"/>
        </w:rPr>
        <w:t xml:space="preserve"> Thomas Castillo ni </w:t>
      </w:r>
      <w:r w:rsidR="002B7200">
        <w:rPr>
          <w:rFonts w:ascii="Verdana" w:hAnsi="Verdana"/>
          <w:sz w:val="20"/>
          <w:szCs w:val="20"/>
          <w:lang w:val="es-MX"/>
        </w:rPr>
        <w:t xml:space="preserve">de </w:t>
      </w:r>
      <w:proofErr w:type="spellStart"/>
      <w:r w:rsidRPr="00167F1B">
        <w:rPr>
          <w:rFonts w:ascii="Verdana" w:hAnsi="Verdana"/>
          <w:sz w:val="20"/>
          <w:szCs w:val="20"/>
          <w:lang w:val="es-MX"/>
        </w:rPr>
        <w:t>Sergia</w:t>
      </w:r>
      <w:proofErr w:type="spellEnd"/>
      <w:r w:rsidRPr="00167F1B">
        <w:rPr>
          <w:rFonts w:ascii="Verdana" w:hAnsi="Verdana"/>
          <w:sz w:val="20"/>
          <w:szCs w:val="20"/>
          <w:lang w:val="es-MX"/>
        </w:rPr>
        <w:t xml:space="preserve"> Zapata Martínez</w:t>
      </w:r>
      <w:r w:rsidRPr="00510525">
        <w:rPr>
          <w:rStyle w:val="FootnoteReference"/>
          <w:szCs w:val="20"/>
          <w:lang w:val="es-CR"/>
        </w:rPr>
        <w:footnoteReference w:id="100"/>
      </w:r>
      <w:r w:rsidRPr="00510525">
        <w:rPr>
          <w:rFonts w:ascii="Verdana" w:hAnsi="Verdana"/>
          <w:sz w:val="20"/>
          <w:szCs w:val="20"/>
          <w:lang w:val="es-MX"/>
        </w:rPr>
        <w:t>.</w:t>
      </w:r>
      <w:r w:rsidRPr="00510525">
        <w:rPr>
          <w:rFonts w:ascii="Verdana" w:hAnsi="Verdana"/>
          <w:sz w:val="20"/>
          <w:szCs w:val="20"/>
          <w:lang w:val="es-CR"/>
        </w:rPr>
        <w:t xml:space="preserve"> </w:t>
      </w:r>
      <w:r w:rsidRPr="00D06233">
        <w:rPr>
          <w:rFonts w:ascii="Verdana" w:hAnsi="Verdana"/>
          <w:sz w:val="20"/>
          <w:szCs w:val="20"/>
          <w:lang w:val="es-CR"/>
        </w:rPr>
        <w:t xml:space="preserve">Asimismo, parte del territorio del primer título de propiedad, al menos 8.34 </w:t>
      </w:r>
      <w:r w:rsidR="00B6463D">
        <w:rPr>
          <w:rFonts w:ascii="Verdana" w:hAnsi="Verdana"/>
          <w:sz w:val="20"/>
          <w:szCs w:val="20"/>
          <w:lang w:val="es-CR"/>
        </w:rPr>
        <w:t>ha</w:t>
      </w:r>
      <w:r w:rsidRPr="00D06233">
        <w:rPr>
          <w:rFonts w:ascii="Verdana" w:hAnsi="Verdana"/>
          <w:sz w:val="20"/>
          <w:szCs w:val="20"/>
          <w:lang w:val="es-CR"/>
        </w:rPr>
        <w:t>, estaría ocupado por terceros</w:t>
      </w:r>
      <w:r w:rsidRPr="00D06233">
        <w:rPr>
          <w:rStyle w:val="FootnoteReference"/>
          <w:szCs w:val="20"/>
          <w:lang w:val="es-CR"/>
        </w:rPr>
        <w:footnoteReference w:id="101"/>
      </w:r>
      <w:r w:rsidRPr="00D06233">
        <w:rPr>
          <w:rFonts w:ascii="Verdana" w:hAnsi="Verdana"/>
          <w:sz w:val="20"/>
          <w:szCs w:val="20"/>
          <w:lang w:val="es-CR"/>
        </w:rPr>
        <w:t>.</w:t>
      </w:r>
      <w:r>
        <w:rPr>
          <w:rFonts w:ascii="Verdana" w:hAnsi="Verdana"/>
          <w:sz w:val="20"/>
          <w:szCs w:val="20"/>
          <w:lang w:val="es-CR"/>
        </w:rPr>
        <w:t xml:space="preserve"> Dicha información fue ratificada durante la </w:t>
      </w:r>
      <w:r>
        <w:rPr>
          <w:rFonts w:ascii="Verdana" w:hAnsi="Verdana"/>
          <w:sz w:val="20"/>
          <w:szCs w:val="20"/>
          <w:lang w:val="es-CR"/>
        </w:rPr>
        <w:lastRenderedPageBreak/>
        <w:t xml:space="preserve">diligencia </w:t>
      </w:r>
      <w:r w:rsidRPr="00A71698">
        <w:rPr>
          <w:rFonts w:ascii="Verdana" w:hAnsi="Verdana"/>
          <w:i/>
          <w:sz w:val="20"/>
          <w:szCs w:val="20"/>
          <w:lang w:val="es-CR"/>
        </w:rPr>
        <w:t>in situ</w:t>
      </w:r>
      <w:r>
        <w:rPr>
          <w:rFonts w:ascii="Verdana" w:hAnsi="Verdana"/>
          <w:sz w:val="20"/>
          <w:szCs w:val="20"/>
          <w:lang w:val="es-CR"/>
        </w:rPr>
        <w:t xml:space="preserve"> llevada a cabo en el caso sin que las partes hayan proporcionado datos actualizados a la fecha.</w:t>
      </w:r>
    </w:p>
    <w:p w14:paraId="0C704A1C" w14:textId="77777777" w:rsidR="00E04121" w:rsidRPr="00A71698" w:rsidRDefault="00E04121" w:rsidP="00E04121">
      <w:pPr>
        <w:pStyle w:val="ListParagraph"/>
        <w:rPr>
          <w:rFonts w:ascii="Verdana" w:hAnsi="Verdana"/>
          <w:sz w:val="20"/>
          <w:szCs w:val="20"/>
          <w:lang w:val="es-CR"/>
        </w:rPr>
      </w:pPr>
    </w:p>
    <w:p w14:paraId="0C704A1D" w14:textId="7D6FFA31"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8220C6">
        <w:rPr>
          <w:rFonts w:ascii="Verdana" w:hAnsi="Verdana"/>
          <w:sz w:val="20"/>
          <w:szCs w:val="20"/>
          <w:lang w:val="es-CR"/>
        </w:rPr>
        <w:t>Asimismo, la</w:t>
      </w:r>
      <w:r w:rsidRPr="00A71698">
        <w:rPr>
          <w:rFonts w:ascii="Verdana" w:hAnsi="Verdana"/>
          <w:sz w:val="20"/>
          <w:szCs w:val="20"/>
          <w:lang w:val="es-CR"/>
        </w:rPr>
        <w:t xml:space="preserve"> Corte valoró </w:t>
      </w:r>
      <w:r w:rsidRPr="008220C6">
        <w:rPr>
          <w:rFonts w:ascii="Verdana" w:hAnsi="Verdana"/>
          <w:sz w:val="20"/>
          <w:szCs w:val="20"/>
        </w:rPr>
        <w:t xml:space="preserve">diversas imágenes satelitales </w:t>
      </w:r>
      <w:r w:rsidRPr="00A71698">
        <w:rPr>
          <w:rFonts w:ascii="Verdana" w:hAnsi="Verdana"/>
          <w:sz w:val="20"/>
          <w:szCs w:val="20"/>
          <w:lang w:val="es-CR"/>
        </w:rPr>
        <w:t xml:space="preserve">proporcionadas por </w:t>
      </w:r>
      <w:r w:rsidRPr="00A71698">
        <w:rPr>
          <w:rFonts w:ascii="Verdana" w:hAnsi="Verdana"/>
          <w:sz w:val="20"/>
          <w:szCs w:val="20"/>
        </w:rPr>
        <w:t xml:space="preserve">el </w:t>
      </w:r>
      <w:r w:rsidR="00E9248A">
        <w:rPr>
          <w:rFonts w:ascii="Verdana" w:hAnsi="Verdana"/>
          <w:sz w:val="20"/>
          <w:szCs w:val="20"/>
        </w:rPr>
        <w:t>i</w:t>
      </w:r>
      <w:r w:rsidRPr="00A71698">
        <w:rPr>
          <w:rFonts w:ascii="Verdana" w:hAnsi="Verdana"/>
          <w:sz w:val="20"/>
          <w:szCs w:val="20"/>
        </w:rPr>
        <w:t>nforme de</w:t>
      </w:r>
      <w:r w:rsidR="00E9248A">
        <w:rPr>
          <w:rFonts w:ascii="Verdana" w:hAnsi="Verdana"/>
          <w:sz w:val="20"/>
          <w:szCs w:val="20"/>
        </w:rPr>
        <w:t xml:space="preserve"> </w:t>
      </w:r>
      <w:r w:rsidR="000F362B">
        <w:rPr>
          <w:rFonts w:ascii="Verdana" w:hAnsi="Verdana"/>
          <w:sz w:val="20"/>
          <w:szCs w:val="20"/>
        </w:rPr>
        <w:t xml:space="preserve">AAAS </w:t>
      </w:r>
      <w:r w:rsidRPr="00A71698">
        <w:rPr>
          <w:rFonts w:ascii="Verdana" w:hAnsi="Verdana"/>
          <w:sz w:val="20"/>
          <w:szCs w:val="20"/>
        </w:rPr>
        <w:t>(</w:t>
      </w:r>
      <w:r w:rsidRPr="00A71698">
        <w:rPr>
          <w:rFonts w:ascii="Verdana" w:hAnsi="Verdana"/>
          <w:i/>
          <w:sz w:val="20"/>
          <w:szCs w:val="20"/>
        </w:rPr>
        <w:t>supra</w:t>
      </w:r>
      <w:r w:rsidRPr="00A71698">
        <w:rPr>
          <w:rFonts w:ascii="Verdana" w:hAnsi="Verdana"/>
          <w:sz w:val="20"/>
          <w:szCs w:val="20"/>
        </w:rPr>
        <w:t xml:space="preserve"> párr. </w:t>
      </w:r>
      <w:r w:rsidR="00930B68">
        <w:rPr>
          <w:rFonts w:ascii="Verdana" w:hAnsi="Verdana"/>
          <w:sz w:val="20"/>
          <w:szCs w:val="20"/>
        </w:rPr>
        <w:t>17</w:t>
      </w:r>
      <w:r w:rsidRPr="00A71698">
        <w:rPr>
          <w:rFonts w:ascii="Verdana" w:hAnsi="Verdana"/>
          <w:sz w:val="20"/>
          <w:szCs w:val="20"/>
        </w:rPr>
        <w:t>)</w:t>
      </w:r>
      <w:r w:rsidR="0010441D">
        <w:rPr>
          <w:rFonts w:ascii="Verdana" w:hAnsi="Verdana"/>
          <w:sz w:val="20"/>
          <w:szCs w:val="20"/>
        </w:rPr>
        <w:t xml:space="preserve">. Esta imágenes </w:t>
      </w:r>
      <w:r w:rsidRPr="008220C6">
        <w:rPr>
          <w:rFonts w:ascii="Verdana" w:hAnsi="Verdana"/>
          <w:sz w:val="20"/>
          <w:szCs w:val="20"/>
        </w:rPr>
        <w:t>correspond</w:t>
      </w:r>
      <w:r w:rsidR="0010441D">
        <w:rPr>
          <w:rFonts w:ascii="Verdana" w:hAnsi="Verdana"/>
          <w:sz w:val="20"/>
          <w:szCs w:val="20"/>
        </w:rPr>
        <w:t>ían</w:t>
      </w:r>
      <w:r w:rsidRPr="008220C6">
        <w:rPr>
          <w:rFonts w:ascii="Verdana" w:hAnsi="Verdana"/>
          <w:sz w:val="20"/>
          <w:szCs w:val="20"/>
        </w:rPr>
        <w:t xml:space="preserve"> a los años 1993 hasta 2013</w:t>
      </w:r>
      <w:r w:rsidRPr="00192270">
        <w:rPr>
          <w:rFonts w:ascii="Verdana" w:hAnsi="Verdana"/>
          <w:sz w:val="20"/>
          <w:szCs w:val="20"/>
        </w:rPr>
        <w:t xml:space="preserve"> </w:t>
      </w:r>
      <w:r w:rsidR="0010441D">
        <w:rPr>
          <w:rFonts w:ascii="Verdana" w:hAnsi="Verdana"/>
          <w:sz w:val="20"/>
          <w:szCs w:val="20"/>
        </w:rPr>
        <w:t>y fueron captadas sobre</w:t>
      </w:r>
      <w:r w:rsidRPr="00192270">
        <w:rPr>
          <w:rFonts w:ascii="Verdana" w:hAnsi="Verdana"/>
          <w:sz w:val="20"/>
          <w:szCs w:val="20"/>
        </w:rPr>
        <w:t xml:space="preserve"> el área total reconocida a la Comunidad Garífuna de Punta Piedra, lo cual corresponde a 800 </w:t>
      </w:r>
      <w:r w:rsidR="00B6463D">
        <w:rPr>
          <w:rFonts w:ascii="Verdana" w:hAnsi="Verdana"/>
          <w:sz w:val="20"/>
          <w:szCs w:val="20"/>
        </w:rPr>
        <w:t>ha</w:t>
      </w:r>
      <w:r w:rsidRPr="00192270">
        <w:rPr>
          <w:rFonts w:ascii="Verdana" w:hAnsi="Verdana"/>
          <w:sz w:val="20"/>
          <w:szCs w:val="20"/>
        </w:rPr>
        <w:t xml:space="preserve"> otorgadas por el títu</w:t>
      </w:r>
      <w:r w:rsidRPr="008220C6">
        <w:rPr>
          <w:rFonts w:ascii="Verdana" w:hAnsi="Verdana"/>
          <w:sz w:val="20"/>
          <w:szCs w:val="20"/>
        </w:rPr>
        <w:t xml:space="preserve">lo de 1993 (Zona 1) y 1513 </w:t>
      </w:r>
      <w:r w:rsidR="00B6463D">
        <w:rPr>
          <w:rFonts w:ascii="Verdana" w:hAnsi="Verdana"/>
          <w:sz w:val="20"/>
          <w:szCs w:val="20"/>
        </w:rPr>
        <w:t>ha</w:t>
      </w:r>
      <w:r w:rsidRPr="008220C6">
        <w:rPr>
          <w:rFonts w:ascii="Verdana" w:hAnsi="Verdana"/>
          <w:sz w:val="20"/>
          <w:szCs w:val="20"/>
        </w:rPr>
        <w:t xml:space="preserve"> 54 a y 45.03 </w:t>
      </w:r>
      <w:proofErr w:type="spellStart"/>
      <w:r w:rsidRPr="008220C6">
        <w:rPr>
          <w:rFonts w:ascii="Verdana" w:hAnsi="Verdana"/>
          <w:sz w:val="20"/>
          <w:szCs w:val="20"/>
        </w:rPr>
        <w:t>c</w:t>
      </w:r>
      <w:r w:rsidR="00B6463D">
        <w:rPr>
          <w:rFonts w:ascii="Verdana" w:hAnsi="Verdana"/>
          <w:sz w:val="20"/>
          <w:szCs w:val="20"/>
        </w:rPr>
        <w:t>a</w:t>
      </w:r>
      <w:proofErr w:type="spellEnd"/>
      <w:r w:rsidR="0010441D">
        <w:rPr>
          <w:rFonts w:ascii="Verdana" w:hAnsi="Verdana"/>
          <w:sz w:val="20"/>
          <w:szCs w:val="20"/>
        </w:rPr>
        <w:t xml:space="preserve"> otorgadas por el </w:t>
      </w:r>
      <w:r w:rsidRPr="008220C6">
        <w:rPr>
          <w:rFonts w:ascii="Verdana" w:hAnsi="Verdana"/>
          <w:sz w:val="20"/>
          <w:szCs w:val="20"/>
        </w:rPr>
        <w:t>título de ampliación de 1999 (Zona 2)</w:t>
      </w:r>
      <w:r w:rsidR="002C175C">
        <w:rPr>
          <w:rStyle w:val="FootnoteReference"/>
          <w:szCs w:val="20"/>
        </w:rPr>
        <w:footnoteReference w:id="102"/>
      </w:r>
      <w:r w:rsidRPr="008220C6">
        <w:rPr>
          <w:rFonts w:ascii="Verdana" w:hAnsi="Verdana"/>
          <w:sz w:val="20"/>
          <w:szCs w:val="20"/>
        </w:rPr>
        <w:t xml:space="preserve">. </w:t>
      </w:r>
    </w:p>
    <w:p w14:paraId="0C704A1E" w14:textId="77777777" w:rsidR="00E04121" w:rsidRDefault="00E04121" w:rsidP="00E04121">
      <w:pPr>
        <w:pStyle w:val="ListParagraph"/>
        <w:ind w:left="0"/>
        <w:rPr>
          <w:rFonts w:ascii="Verdana" w:hAnsi="Verdana"/>
          <w:sz w:val="20"/>
          <w:szCs w:val="20"/>
        </w:rPr>
      </w:pPr>
    </w:p>
    <w:p w14:paraId="0C704A1F" w14:textId="4FC1224B" w:rsidR="00E04121" w:rsidRDefault="00E04121" w:rsidP="00E04121">
      <w:pPr>
        <w:pStyle w:val="ListParagraph"/>
        <w:numPr>
          <w:ilvl w:val="0"/>
          <w:numId w:val="17"/>
        </w:numPr>
        <w:ind w:left="0" w:hanging="11"/>
        <w:jc w:val="both"/>
        <w:rPr>
          <w:rFonts w:ascii="Verdana" w:hAnsi="Verdana"/>
          <w:sz w:val="20"/>
          <w:szCs w:val="20"/>
        </w:rPr>
      </w:pPr>
      <w:r w:rsidRPr="00E868D8">
        <w:rPr>
          <w:rFonts w:ascii="Verdana" w:hAnsi="Verdana"/>
          <w:sz w:val="20"/>
          <w:szCs w:val="20"/>
        </w:rPr>
        <w:t xml:space="preserve">En relación con la superficie correspondiente al título de ampliación, </w:t>
      </w:r>
      <w:r w:rsidR="0010441D">
        <w:rPr>
          <w:rFonts w:ascii="Verdana" w:hAnsi="Verdana"/>
          <w:sz w:val="20"/>
          <w:szCs w:val="20"/>
        </w:rPr>
        <w:t xml:space="preserve">esta </w:t>
      </w:r>
      <w:r w:rsidRPr="00E868D8">
        <w:rPr>
          <w:rFonts w:ascii="Verdana" w:hAnsi="Verdana"/>
          <w:sz w:val="20"/>
          <w:szCs w:val="20"/>
        </w:rPr>
        <w:t xml:space="preserve">se dividió en dos </w:t>
      </w:r>
      <w:r w:rsidR="00E9248A">
        <w:rPr>
          <w:rFonts w:ascii="Verdana" w:hAnsi="Verdana"/>
          <w:sz w:val="20"/>
          <w:szCs w:val="20"/>
        </w:rPr>
        <w:t>áreas.</w:t>
      </w:r>
      <w:r w:rsidRPr="00E868D8">
        <w:rPr>
          <w:rFonts w:ascii="Verdana" w:hAnsi="Verdana"/>
          <w:sz w:val="20"/>
          <w:szCs w:val="20"/>
        </w:rPr>
        <w:t xml:space="preserve"> La primera </w:t>
      </w:r>
      <w:r w:rsidR="0010441D">
        <w:rPr>
          <w:rFonts w:ascii="Verdana" w:hAnsi="Verdana"/>
          <w:sz w:val="20"/>
          <w:szCs w:val="20"/>
        </w:rPr>
        <w:t>z</w:t>
      </w:r>
      <w:r w:rsidRPr="00E868D8">
        <w:rPr>
          <w:rFonts w:ascii="Verdana" w:hAnsi="Verdana"/>
          <w:sz w:val="20"/>
          <w:szCs w:val="20"/>
        </w:rPr>
        <w:t xml:space="preserve">ona 2-A </w:t>
      </w:r>
      <w:r w:rsidR="0010441D">
        <w:rPr>
          <w:rFonts w:ascii="Verdana" w:hAnsi="Verdana"/>
          <w:sz w:val="20"/>
          <w:szCs w:val="20"/>
        </w:rPr>
        <w:t>que abarcaba las</w:t>
      </w:r>
      <w:r w:rsidRPr="00E868D8">
        <w:rPr>
          <w:rFonts w:ascii="Verdana" w:hAnsi="Verdana"/>
          <w:sz w:val="20"/>
          <w:szCs w:val="20"/>
        </w:rPr>
        <w:t xml:space="preserve"> área</w:t>
      </w:r>
      <w:r w:rsidR="0010441D">
        <w:rPr>
          <w:rFonts w:ascii="Verdana" w:hAnsi="Verdana"/>
          <w:sz w:val="20"/>
          <w:szCs w:val="20"/>
        </w:rPr>
        <w:t>s</w:t>
      </w:r>
      <w:r w:rsidRPr="00E868D8">
        <w:rPr>
          <w:rFonts w:ascii="Verdana" w:hAnsi="Verdana"/>
          <w:sz w:val="20"/>
          <w:szCs w:val="20"/>
        </w:rPr>
        <w:t xml:space="preserve"> de 612.13 </w:t>
      </w:r>
      <w:r w:rsidR="00B6463D">
        <w:rPr>
          <w:rFonts w:ascii="Verdana" w:hAnsi="Verdana"/>
          <w:sz w:val="20"/>
          <w:szCs w:val="20"/>
        </w:rPr>
        <w:t>ha</w:t>
      </w:r>
      <w:r w:rsidRPr="00E868D8">
        <w:rPr>
          <w:rFonts w:ascii="Verdana" w:hAnsi="Verdana"/>
          <w:sz w:val="20"/>
          <w:szCs w:val="20"/>
        </w:rPr>
        <w:t xml:space="preserve"> ocupadas por la </w:t>
      </w:r>
      <w:r w:rsidR="00CB6578">
        <w:rPr>
          <w:rFonts w:ascii="Verdana" w:hAnsi="Verdana"/>
          <w:sz w:val="20"/>
          <w:szCs w:val="20"/>
        </w:rPr>
        <w:t>Aldea de Río Miel</w:t>
      </w:r>
      <w:r w:rsidRPr="00E868D8">
        <w:rPr>
          <w:rFonts w:ascii="Verdana" w:hAnsi="Verdana"/>
          <w:sz w:val="20"/>
          <w:szCs w:val="20"/>
        </w:rPr>
        <w:t xml:space="preserve">, </w:t>
      </w:r>
      <w:r w:rsidR="000F3880">
        <w:rPr>
          <w:rFonts w:ascii="Verdana" w:hAnsi="Verdana"/>
          <w:sz w:val="20"/>
          <w:szCs w:val="20"/>
        </w:rPr>
        <w:t xml:space="preserve">177.98 </w:t>
      </w:r>
      <w:r w:rsidR="00B6463D">
        <w:rPr>
          <w:rFonts w:ascii="Verdana" w:hAnsi="Verdana"/>
          <w:sz w:val="20"/>
          <w:szCs w:val="20"/>
        </w:rPr>
        <w:t>ha</w:t>
      </w:r>
      <w:r w:rsidR="000F3880">
        <w:rPr>
          <w:rFonts w:ascii="Verdana" w:hAnsi="Verdana"/>
          <w:sz w:val="20"/>
          <w:szCs w:val="20"/>
        </w:rPr>
        <w:t xml:space="preserve"> que co</w:t>
      </w:r>
      <w:r w:rsidR="00DD3439">
        <w:rPr>
          <w:rFonts w:ascii="Verdana" w:hAnsi="Verdana"/>
          <w:sz w:val="20"/>
          <w:szCs w:val="20"/>
        </w:rPr>
        <w:t>rrespond</w:t>
      </w:r>
      <w:r w:rsidR="0010441D">
        <w:rPr>
          <w:rFonts w:ascii="Verdana" w:hAnsi="Verdana"/>
          <w:sz w:val="20"/>
          <w:szCs w:val="20"/>
        </w:rPr>
        <w:t>ían</w:t>
      </w:r>
      <w:r w:rsidR="00DD3439">
        <w:rPr>
          <w:rFonts w:ascii="Verdana" w:hAnsi="Verdana"/>
          <w:sz w:val="20"/>
          <w:szCs w:val="20"/>
        </w:rPr>
        <w:t xml:space="preserve"> a las zonas boscosas, 68.06 </w:t>
      </w:r>
      <w:r w:rsidR="00B6463D">
        <w:rPr>
          <w:rFonts w:ascii="Verdana" w:hAnsi="Verdana"/>
          <w:sz w:val="20"/>
          <w:szCs w:val="20"/>
        </w:rPr>
        <w:t>ha</w:t>
      </w:r>
      <w:r w:rsidR="00930B68">
        <w:rPr>
          <w:rFonts w:ascii="Verdana" w:hAnsi="Verdana"/>
          <w:sz w:val="20"/>
          <w:szCs w:val="20"/>
        </w:rPr>
        <w:t xml:space="preserve"> que perten</w:t>
      </w:r>
      <w:r w:rsidR="0010441D">
        <w:rPr>
          <w:rFonts w:ascii="Verdana" w:hAnsi="Verdana"/>
          <w:sz w:val="20"/>
          <w:szCs w:val="20"/>
        </w:rPr>
        <w:t>ecían</w:t>
      </w:r>
      <w:r w:rsidR="00930B68">
        <w:rPr>
          <w:rFonts w:ascii="Verdana" w:hAnsi="Verdana"/>
          <w:sz w:val="20"/>
          <w:szCs w:val="20"/>
        </w:rPr>
        <w:t xml:space="preserve"> a </w:t>
      </w:r>
      <w:proofErr w:type="spellStart"/>
      <w:r w:rsidR="00930B68">
        <w:rPr>
          <w:rFonts w:ascii="Verdana" w:hAnsi="Verdana"/>
          <w:sz w:val="20"/>
          <w:szCs w:val="20"/>
        </w:rPr>
        <w:t>Ambr</w:t>
      </w:r>
      <w:r w:rsidR="00270242">
        <w:rPr>
          <w:rFonts w:ascii="Verdana" w:hAnsi="Verdana"/>
          <w:sz w:val="20"/>
          <w:szCs w:val="20"/>
        </w:rPr>
        <w:t>ocio</w:t>
      </w:r>
      <w:proofErr w:type="spellEnd"/>
      <w:r w:rsidR="00270242">
        <w:rPr>
          <w:rFonts w:ascii="Verdana" w:hAnsi="Verdana"/>
          <w:sz w:val="20"/>
          <w:szCs w:val="20"/>
        </w:rPr>
        <w:t xml:space="preserve"> Thomas y 2.13 que comprend</w:t>
      </w:r>
      <w:r w:rsidR="0010441D">
        <w:rPr>
          <w:rFonts w:ascii="Verdana" w:hAnsi="Verdana"/>
          <w:sz w:val="20"/>
          <w:szCs w:val="20"/>
        </w:rPr>
        <w:t>ían</w:t>
      </w:r>
      <w:r w:rsidR="00270242">
        <w:rPr>
          <w:rFonts w:ascii="Verdana" w:hAnsi="Verdana"/>
          <w:sz w:val="20"/>
          <w:szCs w:val="20"/>
        </w:rPr>
        <w:t xml:space="preserve"> carriles y carreteras</w:t>
      </w:r>
      <w:r w:rsidR="0010441D">
        <w:rPr>
          <w:rFonts w:ascii="Verdana" w:hAnsi="Verdana"/>
          <w:sz w:val="20"/>
          <w:szCs w:val="20"/>
        </w:rPr>
        <w:t>,</w:t>
      </w:r>
      <w:r w:rsidR="000F3880">
        <w:rPr>
          <w:rFonts w:ascii="Verdana" w:hAnsi="Verdana"/>
          <w:sz w:val="20"/>
          <w:szCs w:val="20"/>
        </w:rPr>
        <w:t xml:space="preserve"> </w:t>
      </w:r>
      <w:r w:rsidRPr="00E868D8">
        <w:rPr>
          <w:rFonts w:ascii="Verdana" w:hAnsi="Verdana"/>
          <w:sz w:val="20"/>
          <w:szCs w:val="20"/>
        </w:rPr>
        <w:t>de acu</w:t>
      </w:r>
      <w:r>
        <w:rPr>
          <w:rFonts w:ascii="Verdana" w:hAnsi="Verdana"/>
          <w:sz w:val="20"/>
          <w:szCs w:val="20"/>
        </w:rPr>
        <w:t>e</w:t>
      </w:r>
      <w:r w:rsidRPr="00E868D8">
        <w:rPr>
          <w:rFonts w:ascii="Verdana" w:hAnsi="Verdana"/>
          <w:sz w:val="20"/>
          <w:szCs w:val="20"/>
        </w:rPr>
        <w:t xml:space="preserve">rdo con el </w:t>
      </w:r>
      <w:r w:rsidR="002B7200">
        <w:rPr>
          <w:rFonts w:ascii="Verdana" w:hAnsi="Verdana"/>
          <w:sz w:val="20"/>
          <w:szCs w:val="20"/>
        </w:rPr>
        <w:t>i</w:t>
      </w:r>
      <w:r w:rsidRPr="00E868D8">
        <w:rPr>
          <w:rFonts w:ascii="Verdana" w:hAnsi="Verdana"/>
          <w:sz w:val="20"/>
          <w:szCs w:val="20"/>
        </w:rPr>
        <w:t xml:space="preserve">nforme </w:t>
      </w:r>
      <w:r w:rsidR="002B7200">
        <w:rPr>
          <w:rFonts w:ascii="Verdana" w:hAnsi="Verdana"/>
          <w:sz w:val="20"/>
          <w:szCs w:val="20"/>
        </w:rPr>
        <w:t>c</w:t>
      </w:r>
      <w:r w:rsidRPr="00E868D8">
        <w:rPr>
          <w:rFonts w:ascii="Verdana" w:hAnsi="Verdana"/>
          <w:sz w:val="20"/>
          <w:szCs w:val="20"/>
        </w:rPr>
        <w:t xml:space="preserve">atastral del INA de 2007. La segunda </w:t>
      </w:r>
      <w:r w:rsidR="0010441D">
        <w:rPr>
          <w:rFonts w:ascii="Verdana" w:hAnsi="Verdana"/>
          <w:sz w:val="20"/>
          <w:szCs w:val="20"/>
        </w:rPr>
        <w:t>z</w:t>
      </w:r>
      <w:r w:rsidRPr="00E868D8">
        <w:rPr>
          <w:rFonts w:ascii="Verdana" w:hAnsi="Verdana"/>
          <w:sz w:val="20"/>
          <w:szCs w:val="20"/>
        </w:rPr>
        <w:t xml:space="preserve">ona 2-B consistente en una superficie de 653.24 </w:t>
      </w:r>
      <w:r w:rsidR="00B6463D">
        <w:rPr>
          <w:rFonts w:ascii="Verdana" w:hAnsi="Verdana"/>
          <w:sz w:val="20"/>
          <w:szCs w:val="20"/>
        </w:rPr>
        <w:t>ha</w:t>
      </w:r>
      <w:r w:rsidRPr="00E868D8">
        <w:rPr>
          <w:rFonts w:ascii="Verdana" w:hAnsi="Verdana"/>
          <w:sz w:val="20"/>
          <w:szCs w:val="20"/>
        </w:rPr>
        <w:t>, la cual a la fecha de</w:t>
      </w:r>
      <w:r>
        <w:rPr>
          <w:rFonts w:ascii="Verdana" w:hAnsi="Verdana"/>
          <w:sz w:val="20"/>
          <w:szCs w:val="20"/>
        </w:rPr>
        <w:t xml:space="preserve">l </w:t>
      </w:r>
      <w:r w:rsidRPr="00E868D8">
        <w:rPr>
          <w:rFonts w:ascii="Verdana" w:hAnsi="Verdana"/>
          <w:sz w:val="20"/>
          <w:szCs w:val="20"/>
        </w:rPr>
        <w:t xml:space="preserve">informe </w:t>
      </w:r>
      <w:r>
        <w:rPr>
          <w:rFonts w:ascii="Verdana" w:hAnsi="Verdana"/>
          <w:sz w:val="20"/>
          <w:szCs w:val="20"/>
        </w:rPr>
        <w:t>catastral correspondía al territorio garífuna sobre el cual se alegaría la expansión en la ocupación por parte de pobladores de Río Miel. Tomando esto en cuenta y c</w:t>
      </w:r>
      <w:r w:rsidRPr="008220C6">
        <w:rPr>
          <w:rFonts w:ascii="Verdana" w:hAnsi="Verdana"/>
          <w:sz w:val="20"/>
          <w:szCs w:val="20"/>
        </w:rPr>
        <w:t xml:space="preserve">onforme a </w:t>
      </w:r>
      <w:r>
        <w:rPr>
          <w:rFonts w:ascii="Verdana" w:hAnsi="Verdana"/>
          <w:sz w:val="20"/>
          <w:szCs w:val="20"/>
        </w:rPr>
        <w:t xml:space="preserve">la </w:t>
      </w:r>
      <w:r w:rsidRPr="008220C6">
        <w:rPr>
          <w:rFonts w:ascii="Verdana" w:hAnsi="Verdana"/>
          <w:sz w:val="20"/>
          <w:szCs w:val="20"/>
        </w:rPr>
        <w:t xml:space="preserve">información </w:t>
      </w:r>
      <w:r>
        <w:rPr>
          <w:rFonts w:ascii="Verdana" w:hAnsi="Verdana"/>
          <w:sz w:val="20"/>
          <w:szCs w:val="20"/>
        </w:rPr>
        <w:t xml:space="preserve">proporcionada por el </w:t>
      </w:r>
      <w:r w:rsidRPr="00CD2F53">
        <w:rPr>
          <w:rFonts w:ascii="Verdana" w:hAnsi="Verdana"/>
          <w:sz w:val="20"/>
          <w:szCs w:val="20"/>
        </w:rPr>
        <w:t>Informe AAAS</w:t>
      </w:r>
      <w:r w:rsidR="001B3AAC">
        <w:rPr>
          <w:rFonts w:ascii="Verdana" w:hAnsi="Verdana"/>
          <w:sz w:val="20"/>
          <w:szCs w:val="20"/>
        </w:rPr>
        <w:t xml:space="preserve"> (ver anexo </w:t>
      </w:r>
      <w:r w:rsidR="00AD40F7">
        <w:rPr>
          <w:rFonts w:ascii="Verdana" w:hAnsi="Verdana"/>
          <w:sz w:val="20"/>
          <w:szCs w:val="20"/>
        </w:rPr>
        <w:t>2</w:t>
      </w:r>
      <w:r w:rsidR="000F362B">
        <w:rPr>
          <w:rFonts w:ascii="Verdana" w:hAnsi="Verdana"/>
          <w:sz w:val="20"/>
          <w:szCs w:val="20"/>
        </w:rPr>
        <w:t>)</w:t>
      </w:r>
      <w:r>
        <w:rPr>
          <w:rFonts w:ascii="Verdana" w:hAnsi="Verdana"/>
          <w:sz w:val="20"/>
          <w:szCs w:val="20"/>
        </w:rPr>
        <w:t xml:space="preserve">, el Tribunal constata que: a) en la zona 2-A, </w:t>
      </w:r>
      <w:r w:rsidRPr="00A71698">
        <w:rPr>
          <w:rFonts w:ascii="Verdana" w:hAnsi="Verdana"/>
          <w:sz w:val="20"/>
          <w:szCs w:val="20"/>
        </w:rPr>
        <w:t xml:space="preserve">en donde se ubica la Aldea de Río Miel, las estructuras visibles que lo conforman se </w:t>
      </w:r>
      <w:r>
        <w:rPr>
          <w:rFonts w:ascii="Verdana" w:hAnsi="Verdana"/>
          <w:sz w:val="20"/>
          <w:szCs w:val="20"/>
        </w:rPr>
        <w:t xml:space="preserve">incrementaron, por lo que </w:t>
      </w:r>
      <w:r w:rsidRPr="004A1452">
        <w:rPr>
          <w:rFonts w:ascii="Verdana" w:hAnsi="Verdana"/>
          <w:sz w:val="20"/>
          <w:szCs w:val="20"/>
        </w:rPr>
        <w:t>e</w:t>
      </w:r>
      <w:r w:rsidRPr="00A71698">
        <w:rPr>
          <w:rFonts w:ascii="Verdana" w:eastAsia="Batang" w:hAnsi="Verdana" w:cs="Times"/>
          <w:noProof/>
          <w:sz w:val="20"/>
          <w:szCs w:val="20"/>
        </w:rPr>
        <w:t xml:space="preserve">l número pasó de aproximadamente 92 en 2002 a 134 en </w:t>
      </w:r>
      <w:r w:rsidRPr="00A71698">
        <w:rPr>
          <w:rFonts w:ascii="Verdana" w:hAnsi="Verdana"/>
          <w:sz w:val="20"/>
          <w:szCs w:val="20"/>
        </w:rPr>
        <w:t xml:space="preserve">el año </w:t>
      </w:r>
      <w:r w:rsidRPr="00A71698">
        <w:rPr>
          <w:rFonts w:ascii="Verdana" w:eastAsia="Batang" w:hAnsi="Verdana" w:cs="Times"/>
          <w:noProof/>
          <w:sz w:val="20"/>
          <w:szCs w:val="20"/>
        </w:rPr>
        <w:t>2013</w:t>
      </w:r>
      <w:r w:rsidRPr="004A1452">
        <w:rPr>
          <w:rFonts w:ascii="Verdana" w:eastAsia="Batang" w:hAnsi="Verdana" w:cs="Times"/>
          <w:noProof/>
          <w:sz w:val="20"/>
          <w:szCs w:val="20"/>
        </w:rPr>
        <w:t xml:space="preserve">; b) </w:t>
      </w:r>
      <w:r w:rsidRPr="004A1452">
        <w:rPr>
          <w:rFonts w:ascii="Verdana" w:hAnsi="Verdana"/>
          <w:sz w:val="20"/>
          <w:szCs w:val="20"/>
        </w:rPr>
        <w:t>en la z</w:t>
      </w:r>
      <w:r w:rsidRPr="00A71698">
        <w:rPr>
          <w:rFonts w:ascii="Verdana" w:hAnsi="Verdana"/>
          <w:sz w:val="20"/>
          <w:szCs w:val="20"/>
        </w:rPr>
        <w:t xml:space="preserve">ona 2-B, </w:t>
      </w:r>
      <w:r w:rsidRPr="004A1452">
        <w:rPr>
          <w:rFonts w:ascii="Verdana" w:hAnsi="Verdana"/>
          <w:sz w:val="20"/>
          <w:szCs w:val="20"/>
        </w:rPr>
        <w:t xml:space="preserve">el número de estructuras también se </w:t>
      </w:r>
      <w:r w:rsidRPr="00A71698">
        <w:rPr>
          <w:rFonts w:ascii="Verdana" w:hAnsi="Verdana"/>
          <w:sz w:val="20"/>
          <w:szCs w:val="20"/>
        </w:rPr>
        <w:t>incrementó</w:t>
      </w:r>
      <w:r w:rsidRPr="004A1452">
        <w:rPr>
          <w:rFonts w:ascii="Verdana" w:hAnsi="Verdana"/>
          <w:sz w:val="20"/>
          <w:szCs w:val="20"/>
        </w:rPr>
        <w:t xml:space="preserve">, pasando de </w:t>
      </w:r>
      <w:r w:rsidRPr="00A71698">
        <w:rPr>
          <w:rFonts w:ascii="Verdana" w:hAnsi="Verdana"/>
          <w:sz w:val="20"/>
          <w:szCs w:val="20"/>
        </w:rPr>
        <w:t>un promedio de 7 estructuras</w:t>
      </w:r>
      <w:r w:rsidRPr="004A1452">
        <w:rPr>
          <w:rFonts w:ascii="Verdana" w:hAnsi="Verdana"/>
          <w:sz w:val="20"/>
          <w:szCs w:val="20"/>
        </w:rPr>
        <w:t xml:space="preserve"> a 21</w:t>
      </w:r>
      <w:r w:rsidRPr="00A71698">
        <w:rPr>
          <w:rFonts w:ascii="Verdana" w:hAnsi="Verdana"/>
          <w:sz w:val="20"/>
          <w:szCs w:val="20"/>
        </w:rPr>
        <w:t xml:space="preserve"> para el año 2013, lo que corresponde a un 200%</w:t>
      </w:r>
      <w:r w:rsidRPr="004A1452">
        <w:rPr>
          <w:rFonts w:ascii="Verdana" w:hAnsi="Verdana"/>
          <w:sz w:val="20"/>
          <w:szCs w:val="20"/>
        </w:rPr>
        <w:t xml:space="preserve"> </w:t>
      </w:r>
      <w:r w:rsidR="000F362B">
        <w:rPr>
          <w:rFonts w:ascii="Verdana" w:hAnsi="Verdana"/>
          <w:sz w:val="20"/>
          <w:szCs w:val="20"/>
        </w:rPr>
        <w:t xml:space="preserve">de </w:t>
      </w:r>
      <w:r w:rsidRPr="004A1452">
        <w:rPr>
          <w:rFonts w:ascii="Verdana" w:hAnsi="Verdana"/>
          <w:sz w:val="20"/>
          <w:szCs w:val="20"/>
        </w:rPr>
        <w:t>increment</w:t>
      </w:r>
      <w:r w:rsidR="000F362B">
        <w:rPr>
          <w:rFonts w:ascii="Verdana" w:hAnsi="Verdana"/>
          <w:sz w:val="20"/>
          <w:szCs w:val="20"/>
        </w:rPr>
        <w:t>o</w:t>
      </w:r>
      <w:r w:rsidRPr="004A1452">
        <w:rPr>
          <w:rFonts w:ascii="Verdana" w:hAnsi="Verdana"/>
          <w:sz w:val="20"/>
          <w:szCs w:val="20"/>
        </w:rPr>
        <w:t>; c) se mostró</w:t>
      </w:r>
      <w:r w:rsidRPr="00A71698">
        <w:rPr>
          <w:rFonts w:ascii="Verdana" w:hAnsi="Verdana"/>
          <w:sz w:val="20"/>
          <w:szCs w:val="20"/>
        </w:rPr>
        <w:t xml:space="preserve"> un aumento </w:t>
      </w:r>
      <w:r w:rsidR="005E582F">
        <w:rPr>
          <w:rFonts w:ascii="Verdana" w:hAnsi="Verdana"/>
          <w:sz w:val="20"/>
          <w:szCs w:val="20"/>
        </w:rPr>
        <w:t xml:space="preserve">de </w:t>
      </w:r>
      <w:r w:rsidR="005E582F" w:rsidRPr="00A71698">
        <w:rPr>
          <w:rFonts w:ascii="Verdana" w:hAnsi="Verdana"/>
          <w:sz w:val="20"/>
          <w:szCs w:val="20"/>
        </w:rPr>
        <w:t>tierra des</w:t>
      </w:r>
      <w:r w:rsidR="005E582F" w:rsidRPr="004A1452">
        <w:rPr>
          <w:rFonts w:ascii="Verdana" w:hAnsi="Verdana"/>
          <w:sz w:val="20"/>
          <w:szCs w:val="20"/>
        </w:rPr>
        <w:t>pejada en la z</w:t>
      </w:r>
      <w:r w:rsidR="005E582F" w:rsidRPr="00A71698">
        <w:rPr>
          <w:rFonts w:ascii="Verdana" w:hAnsi="Verdana"/>
          <w:sz w:val="20"/>
          <w:szCs w:val="20"/>
        </w:rPr>
        <w:t>ona 2-B</w:t>
      </w:r>
      <w:r w:rsidR="005E582F">
        <w:rPr>
          <w:rFonts w:ascii="Verdana" w:hAnsi="Verdana"/>
          <w:sz w:val="20"/>
          <w:szCs w:val="20"/>
        </w:rPr>
        <w:t xml:space="preserve">, </w:t>
      </w:r>
      <w:r w:rsidRPr="00A71698">
        <w:rPr>
          <w:rFonts w:ascii="Verdana" w:hAnsi="Verdana"/>
          <w:sz w:val="20"/>
          <w:szCs w:val="20"/>
        </w:rPr>
        <w:t xml:space="preserve">en el área que anteriormente era boscosa, </w:t>
      </w:r>
      <w:r w:rsidRPr="004A1452">
        <w:rPr>
          <w:rFonts w:ascii="Verdana" w:hAnsi="Verdana"/>
          <w:sz w:val="20"/>
          <w:szCs w:val="20"/>
        </w:rPr>
        <w:t xml:space="preserve">por lo que se pasó de 78,15 </w:t>
      </w:r>
      <w:r w:rsidR="001B3AAC">
        <w:rPr>
          <w:rFonts w:ascii="Verdana" w:hAnsi="Verdana"/>
          <w:sz w:val="20"/>
          <w:szCs w:val="20"/>
        </w:rPr>
        <w:t xml:space="preserve">en el 2002 </w:t>
      </w:r>
      <w:r w:rsidRPr="004A1452">
        <w:rPr>
          <w:rFonts w:ascii="Verdana" w:hAnsi="Verdana"/>
          <w:sz w:val="20"/>
          <w:szCs w:val="20"/>
        </w:rPr>
        <w:t>a 262</w:t>
      </w:r>
      <w:r w:rsidRPr="00192270">
        <w:rPr>
          <w:rFonts w:ascii="Verdana" w:hAnsi="Verdana"/>
          <w:sz w:val="20"/>
          <w:szCs w:val="20"/>
        </w:rPr>
        <w:t xml:space="preserve">,57 </w:t>
      </w:r>
      <w:r w:rsidR="00B6463D">
        <w:rPr>
          <w:rFonts w:ascii="Verdana" w:hAnsi="Verdana"/>
          <w:sz w:val="20"/>
          <w:szCs w:val="20"/>
        </w:rPr>
        <w:t>ha</w:t>
      </w:r>
      <w:r>
        <w:rPr>
          <w:rFonts w:ascii="Verdana" w:hAnsi="Verdana"/>
          <w:sz w:val="20"/>
          <w:szCs w:val="20"/>
        </w:rPr>
        <w:t xml:space="preserve"> despejadas</w:t>
      </w:r>
      <w:r w:rsidR="001B3AAC">
        <w:rPr>
          <w:rFonts w:ascii="Verdana" w:hAnsi="Verdana"/>
          <w:sz w:val="20"/>
          <w:szCs w:val="20"/>
        </w:rPr>
        <w:t xml:space="preserve"> en el 2013</w:t>
      </w:r>
      <w:r>
        <w:rPr>
          <w:rFonts w:ascii="Verdana" w:hAnsi="Verdana"/>
          <w:sz w:val="20"/>
          <w:szCs w:val="20"/>
        </w:rPr>
        <w:t>, y d) finalmente, l</w:t>
      </w:r>
      <w:r w:rsidRPr="00A71698">
        <w:rPr>
          <w:rFonts w:ascii="Verdana" w:hAnsi="Verdana"/>
          <w:sz w:val="20"/>
          <w:szCs w:val="20"/>
        </w:rPr>
        <w:t>as tierras identificadas c</w:t>
      </w:r>
      <w:r w:rsidRPr="00192270">
        <w:rPr>
          <w:rFonts w:ascii="Verdana" w:hAnsi="Verdana"/>
          <w:sz w:val="20"/>
          <w:szCs w:val="20"/>
        </w:rPr>
        <w:t xml:space="preserve">omo de cultivo, ubicadas en la </w:t>
      </w:r>
      <w:r>
        <w:rPr>
          <w:rFonts w:ascii="Verdana" w:hAnsi="Verdana"/>
          <w:sz w:val="20"/>
          <w:szCs w:val="20"/>
        </w:rPr>
        <w:t>z</w:t>
      </w:r>
      <w:r w:rsidRPr="00A71698">
        <w:rPr>
          <w:rFonts w:ascii="Verdana" w:hAnsi="Verdana"/>
          <w:sz w:val="20"/>
          <w:szCs w:val="20"/>
        </w:rPr>
        <w:t xml:space="preserve">ona 2-B, también aumentaron en aproximadamente un 100% entre los años 2002 y 2013, pasando de </w:t>
      </w:r>
      <w:r w:rsidR="000F3880">
        <w:rPr>
          <w:rFonts w:ascii="Verdana" w:hAnsi="Verdana"/>
          <w:sz w:val="20"/>
          <w:szCs w:val="20"/>
        </w:rPr>
        <w:t>6.28</w:t>
      </w:r>
      <w:r w:rsidRPr="00A71698">
        <w:rPr>
          <w:rFonts w:ascii="Verdana" w:hAnsi="Verdana"/>
          <w:sz w:val="20"/>
          <w:szCs w:val="20"/>
        </w:rPr>
        <w:t xml:space="preserve"> a </w:t>
      </w:r>
      <w:r w:rsidR="000F3880">
        <w:rPr>
          <w:rFonts w:ascii="Verdana" w:hAnsi="Verdana"/>
          <w:sz w:val="20"/>
          <w:szCs w:val="20"/>
        </w:rPr>
        <w:t>13.16</w:t>
      </w:r>
      <w:r w:rsidRPr="00A71698">
        <w:rPr>
          <w:rFonts w:ascii="Verdana" w:hAnsi="Verdana"/>
          <w:sz w:val="20"/>
          <w:szCs w:val="20"/>
        </w:rPr>
        <w:t xml:space="preserve"> </w:t>
      </w:r>
      <w:r w:rsidR="00DB46DF">
        <w:rPr>
          <w:rFonts w:ascii="Verdana" w:hAnsi="Verdana"/>
          <w:sz w:val="20"/>
          <w:szCs w:val="20"/>
        </w:rPr>
        <w:t>ha</w:t>
      </w:r>
      <w:r w:rsidR="0010441D">
        <w:rPr>
          <w:rFonts w:ascii="Verdana" w:hAnsi="Verdana"/>
          <w:sz w:val="20"/>
          <w:szCs w:val="20"/>
        </w:rPr>
        <w:t xml:space="preserve">. </w:t>
      </w:r>
      <w:r>
        <w:rPr>
          <w:rFonts w:ascii="Verdana" w:hAnsi="Verdana"/>
          <w:sz w:val="20"/>
          <w:szCs w:val="20"/>
        </w:rPr>
        <w:t>Lo anterior, será analizado en el apartado de fondo correspondiente (</w:t>
      </w:r>
      <w:r w:rsidR="0086236B" w:rsidRPr="00A0324F">
        <w:rPr>
          <w:rFonts w:ascii="Verdana" w:hAnsi="Verdana"/>
          <w:i/>
          <w:sz w:val="20"/>
        </w:rPr>
        <w:t>infra</w:t>
      </w:r>
      <w:r>
        <w:rPr>
          <w:rFonts w:ascii="Verdana" w:hAnsi="Verdana"/>
          <w:sz w:val="20"/>
          <w:szCs w:val="20"/>
        </w:rPr>
        <w:t xml:space="preserve"> párr</w:t>
      </w:r>
      <w:r w:rsidR="00201D90">
        <w:rPr>
          <w:rFonts w:ascii="Verdana" w:hAnsi="Verdana"/>
          <w:sz w:val="20"/>
          <w:szCs w:val="20"/>
        </w:rPr>
        <w:t>s</w:t>
      </w:r>
      <w:r>
        <w:rPr>
          <w:rFonts w:ascii="Verdana" w:hAnsi="Verdana"/>
          <w:sz w:val="20"/>
          <w:szCs w:val="20"/>
        </w:rPr>
        <w:t xml:space="preserve">. </w:t>
      </w:r>
      <w:r w:rsidR="00270242">
        <w:rPr>
          <w:rFonts w:ascii="Verdana" w:hAnsi="Verdana"/>
          <w:sz w:val="20"/>
          <w:szCs w:val="20"/>
        </w:rPr>
        <w:t>19</w:t>
      </w:r>
      <w:r w:rsidR="00201D90">
        <w:rPr>
          <w:rFonts w:ascii="Verdana" w:hAnsi="Verdana"/>
          <w:sz w:val="20"/>
          <w:szCs w:val="20"/>
        </w:rPr>
        <w:t>5 a 197</w:t>
      </w:r>
      <w:r>
        <w:rPr>
          <w:rFonts w:ascii="Verdana" w:hAnsi="Verdana"/>
          <w:sz w:val="20"/>
          <w:szCs w:val="20"/>
        </w:rPr>
        <w:t xml:space="preserve">). </w:t>
      </w:r>
    </w:p>
    <w:p w14:paraId="0C704A20" w14:textId="77777777" w:rsidR="00E04121" w:rsidRDefault="00E04121" w:rsidP="00E04121">
      <w:pPr>
        <w:pStyle w:val="ListParagraph"/>
        <w:ind w:left="0"/>
        <w:jc w:val="both"/>
        <w:rPr>
          <w:rFonts w:ascii="Verdana" w:hAnsi="Verdana"/>
          <w:sz w:val="20"/>
          <w:szCs w:val="20"/>
        </w:rPr>
      </w:pPr>
    </w:p>
    <w:p w14:paraId="0C704A21" w14:textId="77777777" w:rsidR="00E04121" w:rsidRPr="00ED0CB6" w:rsidRDefault="00E04121" w:rsidP="00E04121">
      <w:pPr>
        <w:pStyle w:val="Heading2"/>
        <w:numPr>
          <w:ilvl w:val="0"/>
          <w:numId w:val="12"/>
        </w:numPr>
        <w:spacing w:before="0"/>
        <w:rPr>
          <w:rFonts w:ascii="Verdana" w:hAnsi="Verdana"/>
          <w:i/>
          <w:color w:val="auto"/>
          <w:sz w:val="20"/>
          <w:szCs w:val="20"/>
        </w:rPr>
      </w:pPr>
      <w:bookmarkStart w:id="46" w:name="_Toc429724438"/>
      <w:bookmarkStart w:id="47" w:name="_Toc429724439"/>
      <w:bookmarkStart w:id="48" w:name="_Toc421868209"/>
      <w:bookmarkStart w:id="49" w:name="_Toc437247329"/>
      <w:bookmarkEnd w:id="46"/>
      <w:bookmarkEnd w:id="47"/>
      <w:r w:rsidRPr="00ED0CB6">
        <w:rPr>
          <w:rFonts w:ascii="Verdana" w:hAnsi="Verdana"/>
          <w:i/>
          <w:color w:val="auto"/>
          <w:sz w:val="20"/>
          <w:szCs w:val="20"/>
        </w:rPr>
        <w:t xml:space="preserve">Gestiones realizadas para </w:t>
      </w:r>
      <w:r>
        <w:rPr>
          <w:rFonts w:ascii="Verdana" w:hAnsi="Verdana"/>
          <w:i/>
          <w:color w:val="auto"/>
          <w:sz w:val="20"/>
          <w:szCs w:val="20"/>
        </w:rPr>
        <w:t xml:space="preserve">lograr </w:t>
      </w:r>
      <w:r w:rsidRPr="00ED0CB6">
        <w:rPr>
          <w:rFonts w:ascii="Verdana" w:hAnsi="Verdana"/>
          <w:i/>
          <w:color w:val="auto"/>
          <w:sz w:val="20"/>
          <w:szCs w:val="20"/>
        </w:rPr>
        <w:t>el saneamiento de</w:t>
      </w:r>
      <w:r>
        <w:rPr>
          <w:rFonts w:ascii="Verdana" w:hAnsi="Verdana"/>
          <w:i/>
          <w:color w:val="auto"/>
          <w:sz w:val="20"/>
          <w:szCs w:val="20"/>
        </w:rPr>
        <w:t>l</w:t>
      </w:r>
      <w:r w:rsidRPr="00ED0CB6">
        <w:rPr>
          <w:rFonts w:ascii="Verdana" w:hAnsi="Verdana"/>
          <w:i/>
          <w:color w:val="auto"/>
          <w:sz w:val="20"/>
          <w:szCs w:val="20"/>
        </w:rPr>
        <w:t xml:space="preserve"> territorio</w:t>
      </w:r>
      <w:bookmarkEnd w:id="48"/>
      <w:r w:rsidRPr="00ED0CB6">
        <w:rPr>
          <w:rFonts w:ascii="Verdana" w:hAnsi="Verdana"/>
          <w:i/>
          <w:color w:val="auto"/>
          <w:sz w:val="20"/>
          <w:szCs w:val="20"/>
        </w:rPr>
        <w:t xml:space="preserve"> </w:t>
      </w:r>
      <w:r>
        <w:rPr>
          <w:rFonts w:ascii="Verdana" w:hAnsi="Verdana"/>
          <w:i/>
          <w:color w:val="auto"/>
          <w:sz w:val="20"/>
          <w:szCs w:val="20"/>
        </w:rPr>
        <w:t xml:space="preserve">de la </w:t>
      </w:r>
      <w:r w:rsidRPr="00ED0CB6">
        <w:rPr>
          <w:rFonts w:ascii="Verdana" w:hAnsi="Verdana"/>
          <w:i/>
          <w:color w:val="auto"/>
          <w:sz w:val="20"/>
          <w:szCs w:val="20"/>
        </w:rPr>
        <w:t>Comunidad Garífuna de Punta Piedra</w:t>
      </w:r>
      <w:bookmarkEnd w:id="49"/>
    </w:p>
    <w:p w14:paraId="0C704A22" w14:textId="77777777" w:rsidR="00E04121" w:rsidRPr="008446E1" w:rsidRDefault="00E04121" w:rsidP="00E04121">
      <w:pPr>
        <w:pStyle w:val="ListParagraph"/>
        <w:rPr>
          <w:rFonts w:ascii="Verdana" w:hAnsi="Verdana"/>
          <w:sz w:val="20"/>
          <w:szCs w:val="20"/>
        </w:rPr>
      </w:pPr>
    </w:p>
    <w:p w14:paraId="0C704A23" w14:textId="7151D2C3" w:rsidR="00E04121" w:rsidRDefault="00E04121" w:rsidP="00E04121">
      <w:pPr>
        <w:pStyle w:val="ListParagraph"/>
        <w:numPr>
          <w:ilvl w:val="0"/>
          <w:numId w:val="17"/>
        </w:numPr>
        <w:ind w:left="0" w:hanging="11"/>
        <w:jc w:val="both"/>
        <w:rPr>
          <w:rFonts w:ascii="Verdana" w:hAnsi="Verdana"/>
          <w:sz w:val="20"/>
          <w:szCs w:val="20"/>
          <w:lang w:val="es-CR"/>
        </w:rPr>
      </w:pPr>
      <w:r w:rsidRPr="00986EB6">
        <w:rPr>
          <w:rFonts w:ascii="Verdana" w:hAnsi="Verdana"/>
          <w:sz w:val="20"/>
          <w:szCs w:val="20"/>
          <w:lang w:val="es-CR"/>
        </w:rPr>
        <w:t xml:space="preserve">En virtud de que parte de las 1,513.54 </w:t>
      </w:r>
      <w:r>
        <w:rPr>
          <w:rFonts w:ascii="Verdana" w:hAnsi="Verdana"/>
          <w:sz w:val="20"/>
          <w:szCs w:val="20"/>
          <w:lang w:val="es-CR"/>
        </w:rPr>
        <w:t>ha</w:t>
      </w:r>
      <w:r w:rsidRPr="00986EB6">
        <w:rPr>
          <w:rFonts w:ascii="Verdana" w:hAnsi="Verdana"/>
          <w:sz w:val="20"/>
          <w:szCs w:val="20"/>
          <w:lang w:val="es-CR"/>
        </w:rPr>
        <w:t xml:space="preserve"> tituladas a través del segundo título en 1999, habían sido ocupadas por terceros, la Comunidad de Punta Piedra efectuó múltiples acciones para lograr el saneamiento de su territorio ancestral y con ello, el uso y goce pacífico del mismo, a saber: suscripción de un acta de compromiso en el 2001, solicitudes al Congreso Nacional para la adopción de partidas presupuestales, peticiones de información al INA, adopción de un acta de entendimiento en el 2006, y participación en reuniones de trabajo a efectos de concretizar el saneamiento de su territorio</w:t>
      </w:r>
      <w:r w:rsidR="00A35F18">
        <w:rPr>
          <w:rFonts w:ascii="Verdana" w:hAnsi="Verdana"/>
          <w:sz w:val="20"/>
          <w:szCs w:val="20"/>
          <w:lang w:val="es-CR"/>
        </w:rPr>
        <w:t>.</w:t>
      </w:r>
      <w:r w:rsidRPr="00986EB6">
        <w:rPr>
          <w:rFonts w:ascii="Verdana" w:hAnsi="Verdana"/>
          <w:sz w:val="20"/>
          <w:szCs w:val="20"/>
          <w:lang w:val="es-CR"/>
        </w:rPr>
        <w:t xml:space="preserve"> </w:t>
      </w:r>
    </w:p>
    <w:p w14:paraId="0C704A24" w14:textId="77777777" w:rsidR="00E04121" w:rsidRDefault="00E04121" w:rsidP="00E04121">
      <w:pPr>
        <w:pStyle w:val="ListParagraph"/>
        <w:ind w:left="0"/>
        <w:jc w:val="both"/>
        <w:rPr>
          <w:rFonts w:ascii="Verdana" w:hAnsi="Verdana"/>
          <w:sz w:val="20"/>
          <w:szCs w:val="20"/>
          <w:lang w:val="es-CR"/>
        </w:rPr>
      </w:pPr>
    </w:p>
    <w:p w14:paraId="0C704A25" w14:textId="09A1B690" w:rsidR="00E04121" w:rsidRDefault="00E04121" w:rsidP="00E04121">
      <w:pPr>
        <w:pStyle w:val="ListParagraph"/>
        <w:numPr>
          <w:ilvl w:val="0"/>
          <w:numId w:val="17"/>
        </w:numPr>
        <w:ind w:left="0" w:hanging="11"/>
        <w:jc w:val="both"/>
        <w:rPr>
          <w:rFonts w:ascii="Verdana" w:hAnsi="Verdana"/>
          <w:sz w:val="20"/>
          <w:szCs w:val="20"/>
          <w:lang w:val="es-CR"/>
        </w:rPr>
      </w:pPr>
      <w:r w:rsidRPr="00D7566B">
        <w:rPr>
          <w:rFonts w:ascii="Verdana" w:hAnsi="Verdana"/>
          <w:sz w:val="20"/>
          <w:szCs w:val="20"/>
          <w:lang w:val="es-CR"/>
        </w:rPr>
        <w:t>Con motivo de estas gestiones</w:t>
      </w:r>
      <w:r w:rsidRPr="00D7566B">
        <w:rPr>
          <w:rFonts w:ascii="Verdana" w:hAnsi="Verdana"/>
          <w:sz w:val="20"/>
          <w:szCs w:val="20"/>
        </w:rPr>
        <w:t xml:space="preserve">, el Estado a través del INA y del Congreso Nacional, efectuó diversas acciones encaminadas al saneamiento de la propiedad titulada a favor de la Comunidad </w:t>
      </w:r>
      <w:r w:rsidR="00BC5F26">
        <w:rPr>
          <w:rFonts w:ascii="Verdana" w:hAnsi="Verdana"/>
          <w:sz w:val="20"/>
          <w:szCs w:val="20"/>
        </w:rPr>
        <w:t>I</w:t>
      </w:r>
      <w:r w:rsidRPr="00D7566B">
        <w:rPr>
          <w:rFonts w:ascii="Verdana" w:hAnsi="Verdana"/>
          <w:sz w:val="20"/>
          <w:szCs w:val="20"/>
        </w:rPr>
        <w:t xml:space="preserve">ndígena de Punta Piedra. Dentro de las medidas adoptadas por el Estado, se establecieron dos </w:t>
      </w:r>
      <w:r w:rsidRPr="00D7566B">
        <w:rPr>
          <w:rFonts w:ascii="Verdana" w:hAnsi="Verdana"/>
          <w:sz w:val="20"/>
          <w:szCs w:val="20"/>
          <w:lang w:val="es-ES"/>
        </w:rPr>
        <w:t>comisiones interinstitucionales (2001 y 2007)</w:t>
      </w:r>
      <w:r>
        <w:rPr>
          <w:rFonts w:ascii="Verdana" w:hAnsi="Verdana"/>
          <w:sz w:val="20"/>
          <w:szCs w:val="20"/>
          <w:lang w:val="es-ES"/>
        </w:rPr>
        <w:t xml:space="preserve">, </w:t>
      </w:r>
      <w:r w:rsidRPr="00D7566B">
        <w:rPr>
          <w:rFonts w:ascii="Verdana" w:hAnsi="Verdana"/>
          <w:sz w:val="20"/>
          <w:szCs w:val="20"/>
          <w:lang w:val="es-ES"/>
        </w:rPr>
        <w:t>se adoptó un acta de entendimiento (2006), dos actas especiales (2007),</w:t>
      </w:r>
      <w:r w:rsidRPr="00D7566B">
        <w:rPr>
          <w:rFonts w:ascii="Verdana" w:hAnsi="Verdana"/>
          <w:sz w:val="20"/>
          <w:szCs w:val="20"/>
        </w:rPr>
        <w:t xml:space="preserve"> </w:t>
      </w:r>
      <w:r w:rsidRPr="00D7566B">
        <w:rPr>
          <w:rFonts w:ascii="Verdana" w:hAnsi="Verdana"/>
          <w:sz w:val="20"/>
          <w:szCs w:val="20"/>
          <w:lang w:val="es-ES"/>
        </w:rPr>
        <w:t xml:space="preserve">y reuniones de trabajo por medio de las cuales se suscribieron algunos acuerdos entre </w:t>
      </w:r>
      <w:r w:rsidRPr="00D7566B">
        <w:rPr>
          <w:rFonts w:ascii="Verdana" w:hAnsi="Verdana"/>
          <w:sz w:val="20"/>
          <w:szCs w:val="20"/>
          <w:lang w:val="es-ES"/>
        </w:rPr>
        <w:lastRenderedPageBreak/>
        <w:t xml:space="preserve">autoridades estatales, la Comunidad de Punta Piedra y los habitantes de Río Miel. En este sentido, </w:t>
      </w:r>
      <w:r w:rsidRPr="00D7566B">
        <w:rPr>
          <w:rFonts w:ascii="Verdana" w:hAnsi="Verdana"/>
          <w:sz w:val="20"/>
          <w:szCs w:val="20"/>
          <w:lang w:val="es-CR"/>
        </w:rPr>
        <w:t xml:space="preserve">el INA se comprometió </w:t>
      </w:r>
      <w:r w:rsidRPr="00D7566B">
        <w:rPr>
          <w:rFonts w:ascii="Verdana" w:hAnsi="Verdana"/>
          <w:sz w:val="20"/>
          <w:szCs w:val="20"/>
          <w:lang w:val="es-ES"/>
        </w:rPr>
        <w:t xml:space="preserve">a evaluar el territorio ocupado por terceros a efectos de determinar quiénes eran los que lo ocupaban, cuánto territorio se ocupaba y el monto de las mejoras introducidas por aquellos para el pago de las mismas. En virtud de dichos acuerdos, el INA gestionó dos avalúos </w:t>
      </w:r>
      <w:r w:rsidR="00530D49" w:rsidRPr="00D7566B">
        <w:rPr>
          <w:rFonts w:ascii="Verdana" w:hAnsi="Verdana"/>
          <w:sz w:val="20"/>
          <w:szCs w:val="20"/>
          <w:lang w:val="es-ES"/>
        </w:rPr>
        <w:t>en 2001 y 2007</w:t>
      </w:r>
      <w:r w:rsidR="00530D49">
        <w:rPr>
          <w:rFonts w:ascii="Verdana" w:hAnsi="Verdana"/>
          <w:sz w:val="20"/>
          <w:szCs w:val="20"/>
          <w:lang w:val="es-ES"/>
        </w:rPr>
        <w:t xml:space="preserve">, </w:t>
      </w:r>
      <w:r w:rsidRPr="00D7566B">
        <w:rPr>
          <w:rFonts w:ascii="Verdana" w:hAnsi="Verdana"/>
          <w:sz w:val="20"/>
          <w:szCs w:val="20"/>
          <w:lang w:val="es-ES"/>
        </w:rPr>
        <w:t>respecto de las mejoras introducidas en Río Miel</w:t>
      </w:r>
      <w:r w:rsidRPr="00986EB6">
        <w:rPr>
          <w:rStyle w:val="FootnoteReference"/>
          <w:szCs w:val="20"/>
        </w:rPr>
        <w:footnoteReference w:id="103"/>
      </w:r>
      <w:r w:rsidRPr="00D7566B">
        <w:rPr>
          <w:rFonts w:ascii="Verdana" w:hAnsi="Verdana"/>
          <w:sz w:val="20"/>
          <w:szCs w:val="20"/>
          <w:lang w:val="es-ES"/>
        </w:rPr>
        <w:t xml:space="preserve"> e intentó realizar un tercer avalúo en 2013, que no pudo llevarse a cabo debido a la oposición de sus pobladores</w:t>
      </w:r>
      <w:r w:rsidRPr="00986EB6">
        <w:rPr>
          <w:rStyle w:val="FootnoteReference"/>
          <w:szCs w:val="20"/>
        </w:rPr>
        <w:footnoteReference w:id="104"/>
      </w:r>
      <w:r w:rsidRPr="00D7566B">
        <w:rPr>
          <w:rFonts w:ascii="Verdana" w:hAnsi="Verdana"/>
          <w:sz w:val="20"/>
          <w:szCs w:val="20"/>
          <w:lang w:val="es-ES"/>
        </w:rPr>
        <w:t xml:space="preserve">. De igual manera </w:t>
      </w:r>
      <w:r>
        <w:rPr>
          <w:rFonts w:ascii="Verdana" w:hAnsi="Verdana"/>
          <w:sz w:val="20"/>
          <w:szCs w:val="20"/>
          <w:lang w:val="es-ES"/>
        </w:rPr>
        <w:t xml:space="preserve">el INA presentó </w:t>
      </w:r>
      <w:r w:rsidRPr="00D7566B">
        <w:rPr>
          <w:rFonts w:ascii="Verdana" w:hAnsi="Verdana"/>
          <w:sz w:val="20"/>
          <w:szCs w:val="20"/>
          <w:lang w:val="es-ES"/>
        </w:rPr>
        <w:t xml:space="preserve">solicitudes al Congreso Nacional </w:t>
      </w:r>
      <w:r>
        <w:rPr>
          <w:rFonts w:ascii="Verdana" w:hAnsi="Verdana"/>
          <w:sz w:val="20"/>
          <w:szCs w:val="20"/>
          <w:lang w:val="es-ES"/>
        </w:rPr>
        <w:t xml:space="preserve">y a la Secretaría de Finanzas </w:t>
      </w:r>
      <w:r w:rsidRPr="00D7566B">
        <w:rPr>
          <w:rFonts w:ascii="Verdana" w:hAnsi="Verdana"/>
          <w:sz w:val="20"/>
          <w:szCs w:val="20"/>
          <w:lang w:val="es-ES"/>
        </w:rPr>
        <w:t>para la creación de un partida presupuestal con el fin de pagar las mejoras establecidas por los avalúos; sin embargo, esta no fue adoptada</w:t>
      </w:r>
      <w:r w:rsidR="00A35F18">
        <w:rPr>
          <w:rFonts w:ascii="Verdana" w:hAnsi="Verdana"/>
          <w:sz w:val="20"/>
          <w:szCs w:val="20"/>
          <w:lang w:val="es-ES"/>
        </w:rPr>
        <w:t>.</w:t>
      </w:r>
    </w:p>
    <w:p w14:paraId="0C704A26" w14:textId="77777777" w:rsidR="00E04121" w:rsidRDefault="00E04121" w:rsidP="00E04121">
      <w:pPr>
        <w:pStyle w:val="ListParagraph"/>
        <w:ind w:left="0"/>
        <w:jc w:val="both"/>
        <w:rPr>
          <w:rFonts w:ascii="Verdana" w:hAnsi="Verdana"/>
          <w:sz w:val="20"/>
          <w:szCs w:val="20"/>
          <w:lang w:val="es-CR"/>
        </w:rPr>
      </w:pPr>
    </w:p>
    <w:p w14:paraId="0C704A27" w14:textId="77777777" w:rsidR="00E04121" w:rsidRPr="00A0324F" w:rsidRDefault="00E04121" w:rsidP="00E04121">
      <w:pPr>
        <w:pStyle w:val="ListParagraph"/>
        <w:numPr>
          <w:ilvl w:val="0"/>
          <w:numId w:val="17"/>
        </w:numPr>
        <w:ind w:left="0" w:hanging="11"/>
        <w:jc w:val="both"/>
        <w:rPr>
          <w:rFonts w:ascii="Verdana" w:hAnsi="Verdana"/>
          <w:sz w:val="20"/>
          <w:szCs w:val="20"/>
          <w:lang w:val="es-CR"/>
        </w:rPr>
      </w:pPr>
      <w:r w:rsidRPr="00D7566B">
        <w:rPr>
          <w:rFonts w:ascii="Verdana" w:hAnsi="Verdana"/>
          <w:sz w:val="20"/>
          <w:szCs w:val="20"/>
          <w:lang w:val="es-ES"/>
        </w:rPr>
        <w:t>Con base en lo señalado, el Tribunal pasará a desarrollar en los apartados siguientes, las gestiones llevadas a cabo para lograr el saneamiento.</w:t>
      </w:r>
      <w:r>
        <w:rPr>
          <w:rFonts w:ascii="Verdana" w:hAnsi="Verdana"/>
          <w:sz w:val="20"/>
          <w:szCs w:val="20"/>
          <w:lang w:val="es-ES"/>
        </w:rPr>
        <w:t xml:space="preserve"> </w:t>
      </w:r>
    </w:p>
    <w:p w14:paraId="0C704A28" w14:textId="77777777" w:rsidR="006A0E8F" w:rsidRDefault="006A0E8F" w:rsidP="00A0324F">
      <w:pPr>
        <w:pStyle w:val="ListParagraph"/>
        <w:ind w:left="0"/>
        <w:jc w:val="both"/>
        <w:rPr>
          <w:rFonts w:ascii="Verdana" w:hAnsi="Verdana"/>
          <w:sz w:val="20"/>
          <w:szCs w:val="20"/>
          <w:lang w:val="es-CR"/>
        </w:rPr>
      </w:pPr>
    </w:p>
    <w:p w14:paraId="0C704A2A" w14:textId="1BE57B72" w:rsidR="00E04121" w:rsidRPr="0036495D" w:rsidRDefault="00E04121" w:rsidP="00E04121">
      <w:pPr>
        <w:pStyle w:val="Heading3"/>
        <w:spacing w:before="0"/>
        <w:ind w:left="360"/>
        <w:jc w:val="both"/>
        <w:rPr>
          <w:rFonts w:ascii="Verdana" w:hAnsi="Verdana"/>
          <w:i/>
          <w:color w:val="auto"/>
          <w:sz w:val="20"/>
          <w:szCs w:val="20"/>
        </w:rPr>
      </w:pPr>
      <w:bookmarkStart w:id="50" w:name="_Toc421868210"/>
      <w:bookmarkStart w:id="51" w:name="_Toc437247330"/>
      <w:r>
        <w:rPr>
          <w:rFonts w:ascii="Verdana" w:hAnsi="Verdana"/>
          <w:i/>
          <w:color w:val="auto"/>
          <w:sz w:val="20"/>
          <w:szCs w:val="20"/>
        </w:rPr>
        <w:t>D</w:t>
      </w:r>
      <w:r w:rsidRPr="0036495D">
        <w:rPr>
          <w:rFonts w:ascii="Verdana" w:hAnsi="Verdana"/>
          <w:i/>
          <w:color w:val="auto"/>
          <w:sz w:val="20"/>
          <w:szCs w:val="20"/>
        </w:rPr>
        <w:t xml:space="preserve">.1 Comisión Interinstitucional Ad-Hoc y </w:t>
      </w:r>
      <w:r w:rsidR="00530D49">
        <w:rPr>
          <w:rFonts w:ascii="Verdana" w:hAnsi="Verdana"/>
          <w:i/>
          <w:color w:val="auto"/>
          <w:sz w:val="20"/>
          <w:szCs w:val="20"/>
        </w:rPr>
        <w:t>A</w:t>
      </w:r>
      <w:r w:rsidRPr="0036495D">
        <w:rPr>
          <w:rFonts w:ascii="Verdana" w:hAnsi="Verdana"/>
          <w:i/>
          <w:color w:val="auto"/>
          <w:sz w:val="20"/>
          <w:szCs w:val="20"/>
        </w:rPr>
        <w:t>cta de compromiso de 13 de diciembre de 2001</w:t>
      </w:r>
      <w:bookmarkEnd w:id="50"/>
      <w:bookmarkEnd w:id="51"/>
    </w:p>
    <w:p w14:paraId="0C704A2B" w14:textId="77777777" w:rsidR="00E04121" w:rsidRPr="00D7566B" w:rsidRDefault="00E04121" w:rsidP="00E04121">
      <w:pPr>
        <w:pStyle w:val="ListParagraph"/>
        <w:ind w:left="0"/>
        <w:jc w:val="both"/>
        <w:rPr>
          <w:rFonts w:ascii="Verdana" w:hAnsi="Verdana"/>
          <w:sz w:val="20"/>
          <w:szCs w:val="20"/>
        </w:rPr>
      </w:pPr>
    </w:p>
    <w:p w14:paraId="0C704A2D" w14:textId="5C3BF0D8" w:rsidR="006A0E8F" w:rsidRDefault="00E04121" w:rsidP="00A0324F">
      <w:pPr>
        <w:pStyle w:val="ListParagraph"/>
        <w:numPr>
          <w:ilvl w:val="0"/>
          <w:numId w:val="17"/>
        </w:numPr>
        <w:ind w:left="0" w:hanging="11"/>
        <w:jc w:val="both"/>
        <w:rPr>
          <w:rFonts w:ascii="Verdana" w:hAnsi="Verdana"/>
          <w:sz w:val="20"/>
          <w:szCs w:val="20"/>
          <w:lang w:val="es-CR"/>
        </w:rPr>
      </w:pPr>
      <w:r w:rsidRPr="00D7566B">
        <w:rPr>
          <w:rFonts w:ascii="Verdana" w:hAnsi="Verdana"/>
          <w:sz w:val="20"/>
          <w:szCs w:val="20"/>
        </w:rPr>
        <w:t xml:space="preserve">El 7 de abril de 2001 se estableció una Comisión Interinstitucional </w:t>
      </w:r>
      <w:r w:rsidR="0086236B" w:rsidRPr="00A0324F">
        <w:rPr>
          <w:rFonts w:ascii="Verdana" w:hAnsi="Verdana"/>
          <w:i/>
          <w:sz w:val="20"/>
          <w:szCs w:val="20"/>
        </w:rPr>
        <w:t>Ad-Hoc</w:t>
      </w:r>
      <w:r w:rsidRPr="00D7566B">
        <w:rPr>
          <w:rFonts w:ascii="Verdana" w:hAnsi="Verdana"/>
          <w:sz w:val="20"/>
          <w:szCs w:val="20"/>
        </w:rPr>
        <w:t xml:space="preserve"> integrada por representantes del Instituto Nacional Agrario, el Comisionado Nacional de Derechos Humanos y la Pastoral Social de la Diócesis de Trujillo, “como organismo de conciliación y concertación en la búsqueda de una solución pacífica al conflicto”</w:t>
      </w:r>
      <w:r w:rsidRPr="00986EB6">
        <w:rPr>
          <w:rStyle w:val="FootnoteReference"/>
          <w:szCs w:val="20"/>
        </w:rPr>
        <w:footnoteReference w:id="105"/>
      </w:r>
      <w:r w:rsidRPr="00D7566B">
        <w:rPr>
          <w:rFonts w:ascii="Verdana" w:hAnsi="Verdana"/>
          <w:sz w:val="20"/>
          <w:szCs w:val="20"/>
        </w:rPr>
        <w:t xml:space="preserve"> entre las Comunidades de Punta Piedra y Río Miel. En virtud de ello, el </w:t>
      </w:r>
      <w:r w:rsidRPr="00D7566B">
        <w:rPr>
          <w:rFonts w:ascii="Verdana" w:hAnsi="Verdana"/>
          <w:sz w:val="20"/>
          <w:szCs w:val="20"/>
          <w:lang w:val="es-CR"/>
        </w:rPr>
        <w:t xml:space="preserve">13 de diciembre de 2001 la Comisión Interinstitucional </w:t>
      </w:r>
      <w:r w:rsidRPr="008446E1">
        <w:rPr>
          <w:rFonts w:ascii="Verdana" w:hAnsi="Verdana"/>
          <w:i/>
          <w:sz w:val="20"/>
          <w:szCs w:val="20"/>
          <w:lang w:val="es-CR"/>
        </w:rPr>
        <w:t>Ad-Hoc</w:t>
      </w:r>
      <w:r w:rsidRPr="00D7566B">
        <w:rPr>
          <w:rFonts w:ascii="Verdana" w:hAnsi="Verdana"/>
          <w:sz w:val="20"/>
          <w:szCs w:val="20"/>
          <w:lang w:val="es-CR"/>
        </w:rPr>
        <w:t xml:space="preserve">, los representantes de la Comunidad de Punta Piedra, de la </w:t>
      </w:r>
      <w:r w:rsidR="00CB6578">
        <w:rPr>
          <w:rFonts w:ascii="Verdana" w:hAnsi="Verdana"/>
          <w:sz w:val="20"/>
          <w:szCs w:val="20"/>
          <w:lang w:val="es-CR"/>
        </w:rPr>
        <w:t>Aldea de Río Miel</w:t>
      </w:r>
      <w:r w:rsidRPr="00D7566B">
        <w:rPr>
          <w:rFonts w:ascii="Verdana" w:hAnsi="Verdana"/>
          <w:sz w:val="20"/>
          <w:szCs w:val="20"/>
          <w:lang w:val="es-CR"/>
        </w:rPr>
        <w:t xml:space="preserve">, de la OFRANEH, y de la Organización de Desarrollo Étnico Comunitario (ODECO), se reunieron con la finalidad de buscar una solución al conflicto existente, </w:t>
      </w:r>
      <w:r w:rsidRPr="00D7566B">
        <w:rPr>
          <w:rFonts w:ascii="Verdana" w:hAnsi="Verdana"/>
          <w:sz w:val="20"/>
          <w:szCs w:val="20"/>
        </w:rPr>
        <w:t xml:space="preserve">de la cual derivó el “Acta de </w:t>
      </w:r>
      <w:r w:rsidR="00D74C1A">
        <w:rPr>
          <w:rFonts w:ascii="Verdana" w:hAnsi="Verdana"/>
          <w:sz w:val="20"/>
          <w:szCs w:val="20"/>
        </w:rPr>
        <w:t>c</w:t>
      </w:r>
      <w:r w:rsidRPr="00D7566B">
        <w:rPr>
          <w:rFonts w:ascii="Verdana" w:hAnsi="Verdana"/>
          <w:sz w:val="20"/>
          <w:szCs w:val="20"/>
        </w:rPr>
        <w:t xml:space="preserve">ompromiso suscrita el 13 de diciembre de 2001” </w:t>
      </w:r>
      <w:r w:rsidR="00FD39FC">
        <w:rPr>
          <w:rFonts w:ascii="Verdana" w:hAnsi="Verdana"/>
          <w:sz w:val="20"/>
          <w:szCs w:val="20"/>
        </w:rPr>
        <w:t>(en adelante,</w:t>
      </w:r>
      <w:r w:rsidRPr="00D7566B">
        <w:rPr>
          <w:rFonts w:ascii="Verdana" w:hAnsi="Verdana"/>
          <w:sz w:val="20"/>
          <w:szCs w:val="20"/>
        </w:rPr>
        <w:t xml:space="preserve"> “acta de compromiso de 2001”).</w:t>
      </w:r>
      <w:r>
        <w:rPr>
          <w:rFonts w:ascii="Verdana" w:hAnsi="Verdana"/>
          <w:sz w:val="20"/>
          <w:szCs w:val="20"/>
          <w:lang w:val="es-CR"/>
        </w:rPr>
        <w:t xml:space="preserve"> </w:t>
      </w:r>
    </w:p>
    <w:p w14:paraId="0C704A2E" w14:textId="77777777" w:rsidR="00D74C1A" w:rsidRDefault="00D74C1A" w:rsidP="00E04121">
      <w:pPr>
        <w:pStyle w:val="ListParagraph"/>
        <w:ind w:left="0"/>
        <w:jc w:val="both"/>
        <w:rPr>
          <w:rFonts w:ascii="Verdana" w:hAnsi="Verdana"/>
          <w:sz w:val="20"/>
          <w:szCs w:val="20"/>
          <w:lang w:val="es-CR"/>
        </w:rPr>
      </w:pPr>
    </w:p>
    <w:p w14:paraId="46C725D0" w14:textId="3C17EE8F" w:rsidR="00D01D74" w:rsidRPr="00D01D74"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CR"/>
        </w:rPr>
        <w:t>En dicho evento</w:t>
      </w:r>
      <w:r>
        <w:rPr>
          <w:rFonts w:ascii="Verdana" w:hAnsi="Verdana"/>
          <w:sz w:val="20"/>
          <w:szCs w:val="20"/>
          <w:lang w:val="es-CR"/>
        </w:rPr>
        <w:t xml:space="preserve">, las partes participantes </w:t>
      </w:r>
      <w:r w:rsidRPr="00220846">
        <w:rPr>
          <w:rFonts w:ascii="Verdana" w:hAnsi="Verdana"/>
          <w:sz w:val="20"/>
          <w:szCs w:val="20"/>
        </w:rPr>
        <w:t>reconocieron</w:t>
      </w:r>
      <w:r>
        <w:rPr>
          <w:rFonts w:ascii="Verdana" w:hAnsi="Verdana"/>
          <w:sz w:val="20"/>
          <w:szCs w:val="20"/>
        </w:rPr>
        <w:t xml:space="preserve"> </w:t>
      </w:r>
      <w:r w:rsidRPr="00220846">
        <w:rPr>
          <w:rFonts w:ascii="Verdana" w:hAnsi="Verdana"/>
          <w:sz w:val="20"/>
          <w:szCs w:val="20"/>
        </w:rPr>
        <w:t>la existencia de una problemática entre las comunidades de Río Miel y Punta Piedra, situación que ya no solo se tratab</w:t>
      </w:r>
      <w:r>
        <w:rPr>
          <w:rFonts w:ascii="Verdana" w:hAnsi="Verdana"/>
          <w:sz w:val="20"/>
          <w:szCs w:val="20"/>
        </w:rPr>
        <w:t>a</w:t>
      </w:r>
      <w:r w:rsidR="00D01D74">
        <w:rPr>
          <w:rFonts w:ascii="Verdana" w:hAnsi="Verdana"/>
          <w:sz w:val="20"/>
          <w:szCs w:val="20"/>
        </w:rPr>
        <w:t xml:space="preserve"> </w:t>
      </w:r>
      <w:r w:rsidR="00D01D74" w:rsidRPr="00220846">
        <w:rPr>
          <w:rFonts w:ascii="Verdana" w:hAnsi="Verdana"/>
          <w:sz w:val="20"/>
          <w:szCs w:val="20"/>
        </w:rPr>
        <w:t>de una disputa por la tierra “sino que pon[</w:t>
      </w:r>
      <w:proofErr w:type="spellStart"/>
      <w:r w:rsidR="00D01D74" w:rsidRPr="00220846">
        <w:rPr>
          <w:rFonts w:ascii="Verdana" w:hAnsi="Verdana"/>
          <w:sz w:val="20"/>
          <w:szCs w:val="20"/>
        </w:rPr>
        <w:t>ía</w:t>
      </w:r>
      <w:proofErr w:type="spellEnd"/>
      <w:r w:rsidR="00D01D74" w:rsidRPr="00220846">
        <w:rPr>
          <w:rFonts w:ascii="Verdana" w:hAnsi="Verdana"/>
          <w:sz w:val="20"/>
          <w:szCs w:val="20"/>
        </w:rPr>
        <w:t xml:space="preserve">] en peligro la integridad física y algunos bienes de los habitantes de las comunidades representadas”. Asimismo, se reconoció “que el problema se [concretizó…] cuando </w:t>
      </w:r>
      <w:proofErr w:type="spellStart"/>
      <w:r w:rsidR="00D01D74" w:rsidRPr="00220846">
        <w:rPr>
          <w:rFonts w:ascii="Verdana" w:hAnsi="Verdana"/>
          <w:sz w:val="20"/>
          <w:szCs w:val="20"/>
        </w:rPr>
        <w:t>el</w:t>
      </w:r>
      <w:proofErr w:type="spellEnd"/>
      <w:r w:rsidR="00D01D74" w:rsidRPr="00220846">
        <w:rPr>
          <w:rFonts w:ascii="Verdana" w:hAnsi="Verdana"/>
          <w:sz w:val="20"/>
          <w:szCs w:val="20"/>
        </w:rPr>
        <w:t xml:space="preserve"> [INA] le concedió a la </w:t>
      </w:r>
      <w:r w:rsidR="00D01D74">
        <w:rPr>
          <w:rFonts w:ascii="Verdana" w:hAnsi="Verdana"/>
          <w:sz w:val="20"/>
          <w:szCs w:val="20"/>
        </w:rPr>
        <w:t>[C]</w:t>
      </w:r>
      <w:proofErr w:type="spellStart"/>
      <w:r w:rsidR="00D01D74" w:rsidRPr="00220846">
        <w:rPr>
          <w:rFonts w:ascii="Verdana" w:hAnsi="Verdana"/>
          <w:sz w:val="20"/>
          <w:szCs w:val="20"/>
        </w:rPr>
        <w:t>omunidad</w:t>
      </w:r>
      <w:proofErr w:type="spellEnd"/>
      <w:r w:rsidR="00D01D74" w:rsidRPr="00220846">
        <w:rPr>
          <w:rFonts w:ascii="Verdana" w:hAnsi="Verdana"/>
          <w:sz w:val="20"/>
          <w:szCs w:val="20"/>
        </w:rPr>
        <w:t xml:space="preserve"> </w:t>
      </w:r>
      <w:r w:rsidR="00D01D74">
        <w:rPr>
          <w:rFonts w:ascii="Verdana" w:hAnsi="Verdana"/>
          <w:sz w:val="20"/>
          <w:szCs w:val="20"/>
        </w:rPr>
        <w:t>[</w:t>
      </w:r>
      <w:r w:rsidR="00D01D74" w:rsidRPr="00220846">
        <w:rPr>
          <w:rFonts w:ascii="Verdana" w:hAnsi="Verdana"/>
          <w:sz w:val="20"/>
          <w:szCs w:val="20"/>
        </w:rPr>
        <w:t>G</w:t>
      </w:r>
      <w:r w:rsidR="00D01D74">
        <w:rPr>
          <w:rFonts w:ascii="Verdana" w:hAnsi="Verdana"/>
          <w:sz w:val="20"/>
          <w:szCs w:val="20"/>
        </w:rPr>
        <w:t>]</w:t>
      </w:r>
      <w:proofErr w:type="spellStart"/>
      <w:r w:rsidR="00D01D74" w:rsidRPr="00220846">
        <w:rPr>
          <w:rFonts w:ascii="Verdana" w:hAnsi="Verdana"/>
          <w:sz w:val="20"/>
          <w:szCs w:val="20"/>
        </w:rPr>
        <w:t>arífuna</w:t>
      </w:r>
      <w:proofErr w:type="spellEnd"/>
      <w:r w:rsidR="00D01D74" w:rsidRPr="00220846">
        <w:rPr>
          <w:rFonts w:ascii="Verdana" w:hAnsi="Verdana"/>
          <w:sz w:val="20"/>
          <w:szCs w:val="20"/>
        </w:rPr>
        <w:t xml:space="preserve"> de Punta Piedra un título en dominio pleno por la cantidad de 1,513 hectáreas sin haber hecho el saneamiento respectivo, o sea, el pago de mejoras a los ocupantes de la </w:t>
      </w:r>
      <w:r w:rsidR="00D01D74">
        <w:rPr>
          <w:rFonts w:ascii="Verdana" w:hAnsi="Verdana"/>
          <w:sz w:val="20"/>
          <w:szCs w:val="20"/>
        </w:rPr>
        <w:t>[C]</w:t>
      </w:r>
      <w:proofErr w:type="spellStart"/>
      <w:r w:rsidR="00D01D74" w:rsidRPr="00220846">
        <w:rPr>
          <w:rFonts w:ascii="Verdana" w:hAnsi="Verdana"/>
          <w:sz w:val="20"/>
          <w:szCs w:val="20"/>
        </w:rPr>
        <w:t>omunidad</w:t>
      </w:r>
      <w:proofErr w:type="spellEnd"/>
      <w:r w:rsidR="00D01D74" w:rsidRPr="00220846">
        <w:rPr>
          <w:rFonts w:ascii="Verdana" w:hAnsi="Verdana"/>
          <w:sz w:val="20"/>
          <w:szCs w:val="20"/>
        </w:rPr>
        <w:t xml:space="preserve"> de Río Miel”</w:t>
      </w:r>
      <w:r w:rsidR="00D01D74" w:rsidRPr="00986EB6">
        <w:rPr>
          <w:rStyle w:val="FootnoteReference"/>
          <w:szCs w:val="20"/>
        </w:rPr>
        <w:footnoteReference w:id="106"/>
      </w:r>
      <w:r w:rsidR="00D01D74" w:rsidRPr="00220846">
        <w:rPr>
          <w:rFonts w:ascii="Verdana" w:hAnsi="Verdana"/>
          <w:sz w:val="20"/>
          <w:szCs w:val="20"/>
        </w:rPr>
        <w:t>.</w:t>
      </w:r>
      <w:r w:rsidR="00D01D74">
        <w:rPr>
          <w:rFonts w:ascii="Verdana" w:hAnsi="Verdana"/>
          <w:sz w:val="20"/>
          <w:szCs w:val="20"/>
          <w:lang w:val="es-CR"/>
        </w:rPr>
        <w:t xml:space="preserve"> </w:t>
      </w:r>
      <w:r w:rsidR="00D01D74" w:rsidRPr="00220846">
        <w:rPr>
          <w:rFonts w:ascii="Verdana" w:hAnsi="Verdana"/>
          <w:sz w:val="20"/>
          <w:szCs w:val="20"/>
          <w:lang w:val="es-CR"/>
        </w:rPr>
        <w:t>En este sentido, adoptaron un acta de compromiso en la que establecieron los siguientes acuerdos:</w:t>
      </w:r>
      <w:r w:rsidR="00D01D74" w:rsidRPr="00220846">
        <w:rPr>
          <w:rFonts w:ascii="Verdana" w:hAnsi="Verdana"/>
          <w:sz w:val="20"/>
          <w:szCs w:val="20"/>
        </w:rPr>
        <w:t xml:space="preserve"> a) buscar una solución pacífica y </w:t>
      </w:r>
      <w:r w:rsidR="00D01D74">
        <w:rPr>
          <w:rFonts w:ascii="Verdana" w:hAnsi="Verdana"/>
          <w:sz w:val="20"/>
          <w:szCs w:val="20"/>
        </w:rPr>
        <w:t>extra</w:t>
      </w:r>
      <w:r w:rsidR="00D01D74" w:rsidRPr="00220846">
        <w:rPr>
          <w:rFonts w:ascii="Verdana" w:hAnsi="Verdana"/>
          <w:sz w:val="20"/>
          <w:szCs w:val="20"/>
        </w:rPr>
        <w:t xml:space="preserve">judicial al conflicto; b) que el Estado cumpla con su obligación de realizar el proceso de saneamiento a favor de la Comunidad de Punta Piedra, pagando las mejoras y reubicando </w:t>
      </w:r>
      <w:r w:rsidR="00D01D74" w:rsidRPr="00220846">
        <w:rPr>
          <w:rFonts w:ascii="Verdana" w:hAnsi="Verdana"/>
          <w:sz w:val="20"/>
          <w:szCs w:val="20"/>
          <w:lang w:val="es-MX"/>
        </w:rPr>
        <w:t>a los campesinos de Río Miel, y c) formular un pliego de peticiones y hacer un calendario de trabajo que contenga las actividades tendientes para cumplir con los compromisos asumidos</w:t>
      </w:r>
      <w:r w:rsidR="00D01D74" w:rsidRPr="00986EB6">
        <w:rPr>
          <w:rStyle w:val="FootnoteReference"/>
          <w:szCs w:val="20"/>
          <w:lang w:val="es-MX"/>
        </w:rPr>
        <w:footnoteReference w:id="107"/>
      </w:r>
      <w:r w:rsidR="00D01D74" w:rsidRPr="00220846">
        <w:rPr>
          <w:rFonts w:ascii="Verdana" w:hAnsi="Verdana"/>
          <w:sz w:val="20"/>
          <w:szCs w:val="20"/>
          <w:lang w:val="es-MX"/>
        </w:rPr>
        <w:t>.</w:t>
      </w:r>
    </w:p>
    <w:p w14:paraId="0C704A33" w14:textId="4FFE2841" w:rsidR="00E04121" w:rsidRDefault="00E04121"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lang w:val="es-MX"/>
        </w:rPr>
        <w:lastRenderedPageBreak/>
        <w:t>Con el fin</w:t>
      </w:r>
      <w:r w:rsidRPr="00220846">
        <w:rPr>
          <w:rFonts w:ascii="Verdana" w:hAnsi="Verdana"/>
          <w:sz w:val="20"/>
          <w:szCs w:val="20"/>
          <w:lang w:val="es-MX"/>
        </w:rPr>
        <w:t xml:space="preserve"> de ejecutar los compromisos adoptados, el Instituto Nacional Agrario procedió a efectuar un avalúo de las mejoras introducidas por los ocupantes en el año 2001, resultando un monto de 13</w:t>
      </w:r>
      <w:proofErr w:type="gramStart"/>
      <w:r w:rsidRPr="00220846">
        <w:rPr>
          <w:rFonts w:ascii="Verdana" w:hAnsi="Verdana"/>
          <w:sz w:val="20"/>
          <w:szCs w:val="20"/>
          <w:lang w:val="es-MX"/>
        </w:rPr>
        <w:t>,168,982.84</w:t>
      </w:r>
      <w:proofErr w:type="gramEnd"/>
      <w:r w:rsidRPr="00220846">
        <w:rPr>
          <w:rFonts w:ascii="Verdana" w:hAnsi="Verdana"/>
          <w:sz w:val="20"/>
          <w:szCs w:val="20"/>
          <w:lang w:val="es-MX"/>
        </w:rPr>
        <w:t xml:space="preserve"> lempiras</w:t>
      </w:r>
      <w:r w:rsidRPr="00986EB6">
        <w:rPr>
          <w:rStyle w:val="FootnoteReference"/>
          <w:szCs w:val="20"/>
          <w:lang w:val="es-MX"/>
        </w:rPr>
        <w:footnoteReference w:id="108"/>
      </w:r>
      <w:r w:rsidRPr="00220846">
        <w:rPr>
          <w:rFonts w:ascii="Verdana" w:hAnsi="Verdana"/>
          <w:sz w:val="20"/>
          <w:szCs w:val="20"/>
          <w:lang w:val="es-MX"/>
        </w:rPr>
        <w:t xml:space="preserve">. El 21 de febrero de 2002 la OFRANEH remitió una carta al Director del INA para solicitar “una copia del </w:t>
      </w:r>
      <w:r w:rsidR="00B42934">
        <w:rPr>
          <w:rFonts w:ascii="Verdana" w:hAnsi="Verdana"/>
          <w:sz w:val="20"/>
          <w:szCs w:val="20"/>
          <w:lang w:val="es-MX"/>
        </w:rPr>
        <w:t>A</w:t>
      </w:r>
      <w:r w:rsidRPr="00220846">
        <w:rPr>
          <w:rFonts w:ascii="Verdana" w:hAnsi="Verdana"/>
          <w:sz w:val="20"/>
          <w:szCs w:val="20"/>
          <w:lang w:val="es-MX"/>
        </w:rPr>
        <w:t xml:space="preserve">valúo de las mejoras de Río Miel”, esto con el objeto de activar los </w:t>
      </w:r>
      <w:r w:rsidR="00DE79AD">
        <w:rPr>
          <w:rFonts w:ascii="Verdana" w:hAnsi="Verdana"/>
          <w:sz w:val="20"/>
          <w:szCs w:val="20"/>
          <w:lang w:val="es-MX"/>
        </w:rPr>
        <w:t>“</w:t>
      </w:r>
      <w:r w:rsidRPr="00220846">
        <w:rPr>
          <w:rFonts w:ascii="Verdana" w:hAnsi="Verdana"/>
          <w:sz w:val="20"/>
          <w:szCs w:val="20"/>
          <w:lang w:val="es-MX"/>
        </w:rPr>
        <w:t>mecanismos necesarios para lograr la aprobación de la partida presupuestaria del respectivo saneamiento en mención”</w:t>
      </w:r>
      <w:r w:rsidRPr="00986EB6">
        <w:rPr>
          <w:rStyle w:val="FootnoteReference"/>
          <w:szCs w:val="20"/>
          <w:lang w:val="es-MX"/>
        </w:rPr>
        <w:footnoteReference w:id="109"/>
      </w:r>
      <w:r w:rsidRPr="00220846">
        <w:rPr>
          <w:rFonts w:ascii="Verdana" w:hAnsi="Verdana"/>
          <w:sz w:val="20"/>
          <w:szCs w:val="20"/>
          <w:lang w:val="es-MX"/>
        </w:rPr>
        <w:t>.</w:t>
      </w:r>
      <w:r>
        <w:rPr>
          <w:rFonts w:ascii="Verdana" w:hAnsi="Verdana"/>
          <w:sz w:val="20"/>
          <w:szCs w:val="20"/>
          <w:lang w:val="es-CR"/>
        </w:rPr>
        <w:t xml:space="preserve"> </w:t>
      </w:r>
      <w:r w:rsidRPr="00220846">
        <w:rPr>
          <w:rFonts w:ascii="Verdana" w:hAnsi="Verdana"/>
          <w:sz w:val="20"/>
          <w:szCs w:val="20"/>
          <w:lang w:val="es-CR"/>
        </w:rPr>
        <w:t>En virtud de ello</w:t>
      </w:r>
      <w:r w:rsidRPr="00220846">
        <w:rPr>
          <w:rFonts w:ascii="Verdana" w:hAnsi="Verdana"/>
          <w:sz w:val="20"/>
          <w:szCs w:val="20"/>
          <w:lang w:val="es-MX"/>
        </w:rPr>
        <w:t xml:space="preserve">, </w:t>
      </w:r>
      <w:r>
        <w:rPr>
          <w:rFonts w:ascii="Verdana" w:hAnsi="Verdana"/>
          <w:sz w:val="20"/>
          <w:szCs w:val="20"/>
          <w:lang w:val="es-MX"/>
        </w:rPr>
        <w:t xml:space="preserve">miembros de </w:t>
      </w:r>
      <w:r w:rsidRPr="00220846">
        <w:rPr>
          <w:rFonts w:ascii="Verdana" w:hAnsi="Verdana"/>
          <w:sz w:val="20"/>
          <w:szCs w:val="20"/>
          <w:lang w:val="es-MX"/>
        </w:rPr>
        <w:t>la Comunidad de Punta Piedra llevaron a cabo una marcha a Tegucigalpa el 16 de abril de 2002 para solicitarle al Congreso Nacional y a otras autoridades del Poder Ejecutivo la resolución del caso</w:t>
      </w:r>
      <w:r w:rsidRPr="00986EB6">
        <w:rPr>
          <w:rStyle w:val="FootnoteReference"/>
          <w:szCs w:val="20"/>
          <w:lang w:val="es-MX"/>
        </w:rPr>
        <w:footnoteReference w:id="110"/>
      </w:r>
      <w:r w:rsidRPr="00220846">
        <w:rPr>
          <w:rFonts w:ascii="Verdana" w:hAnsi="Verdana"/>
          <w:sz w:val="20"/>
          <w:szCs w:val="20"/>
          <w:lang w:val="es-MX"/>
        </w:rPr>
        <w:t xml:space="preserve">. </w:t>
      </w:r>
      <w:r>
        <w:rPr>
          <w:rFonts w:ascii="Verdana" w:hAnsi="Verdana"/>
          <w:sz w:val="20"/>
          <w:szCs w:val="20"/>
          <w:lang w:val="es-MX"/>
        </w:rPr>
        <w:t>Como consecuencia de ello</w:t>
      </w:r>
      <w:r w:rsidRPr="00220846">
        <w:rPr>
          <w:rFonts w:ascii="Verdana" w:hAnsi="Verdana"/>
          <w:sz w:val="20"/>
          <w:szCs w:val="20"/>
          <w:lang w:val="es-MX"/>
        </w:rPr>
        <w:t>, el 18 de abril de 2002 un grupo de diputados presentó una Moción al Congreso Nacional para la aprobación de la partida en el “Presupuesto General de Ingresos y Egresos de la República 2002” para que el INA procediera al saneamiento de las tierras reivindicadas por la Comunidad de Punta Piedra</w:t>
      </w:r>
      <w:r w:rsidRPr="00986EB6">
        <w:rPr>
          <w:rStyle w:val="FootnoteReference"/>
          <w:szCs w:val="20"/>
          <w:lang w:val="es-MX"/>
        </w:rPr>
        <w:footnoteReference w:id="111"/>
      </w:r>
      <w:r w:rsidRPr="00220846">
        <w:rPr>
          <w:rFonts w:ascii="Verdana" w:hAnsi="Verdana"/>
          <w:sz w:val="20"/>
          <w:szCs w:val="20"/>
          <w:lang w:val="es-MX"/>
        </w:rPr>
        <w:t>.</w:t>
      </w:r>
      <w:r>
        <w:rPr>
          <w:rFonts w:ascii="Verdana" w:hAnsi="Verdana"/>
          <w:sz w:val="20"/>
          <w:szCs w:val="20"/>
          <w:lang w:val="es-CR"/>
        </w:rPr>
        <w:t xml:space="preserve"> </w:t>
      </w:r>
    </w:p>
    <w:p w14:paraId="0C704A34" w14:textId="77777777" w:rsidR="006A0E8F" w:rsidRDefault="006A0E8F" w:rsidP="00A0324F">
      <w:pPr>
        <w:pStyle w:val="ListParagraph"/>
        <w:ind w:left="0"/>
        <w:jc w:val="both"/>
        <w:rPr>
          <w:rFonts w:ascii="Verdana" w:hAnsi="Verdana"/>
          <w:sz w:val="20"/>
          <w:szCs w:val="20"/>
          <w:lang w:val="es-CR"/>
        </w:rPr>
      </w:pPr>
    </w:p>
    <w:p w14:paraId="0C704A35" w14:textId="1600A042" w:rsidR="00E04121" w:rsidRPr="00D67823"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MX"/>
        </w:rPr>
        <w:t>El 24 de agosto de 2002 y el 5 de septiembre de 2003 el representante del Patronato de la Comunidad de Punta Piedra solicitó al INA la reactivación de las negociaciones para el saneamiento y la intervención de esta institución debido a que la llegada de los foráneos</w:t>
      </w:r>
      <w:r w:rsidR="00820003">
        <w:rPr>
          <w:rFonts w:ascii="Verdana" w:hAnsi="Verdana"/>
          <w:sz w:val="20"/>
          <w:szCs w:val="20"/>
          <w:lang w:val="es-MX"/>
        </w:rPr>
        <w:t xml:space="preserve"> se</w:t>
      </w:r>
      <w:r w:rsidRPr="00220846">
        <w:rPr>
          <w:rFonts w:ascii="Verdana" w:hAnsi="Verdana"/>
          <w:sz w:val="20"/>
          <w:szCs w:val="20"/>
          <w:lang w:val="es-MX"/>
        </w:rPr>
        <w:t xml:space="preserve"> incrementaba</w:t>
      </w:r>
      <w:r w:rsidRPr="00986EB6">
        <w:rPr>
          <w:rStyle w:val="FootnoteReference"/>
          <w:szCs w:val="20"/>
          <w:lang w:val="es-MX"/>
        </w:rPr>
        <w:footnoteReference w:id="112"/>
      </w:r>
      <w:r w:rsidRPr="00220846">
        <w:rPr>
          <w:rFonts w:ascii="Verdana" w:hAnsi="Verdana"/>
          <w:sz w:val="20"/>
          <w:szCs w:val="20"/>
          <w:lang w:val="es-MX"/>
        </w:rPr>
        <w:t>, así como la tala y venta de tierras garífunas a terceros, por parte de los campesinos</w:t>
      </w:r>
      <w:r w:rsidRPr="00986EB6">
        <w:rPr>
          <w:rStyle w:val="FootnoteReference"/>
          <w:szCs w:val="20"/>
          <w:lang w:val="es-MX"/>
        </w:rPr>
        <w:footnoteReference w:id="113"/>
      </w:r>
      <w:r w:rsidRPr="00220846">
        <w:rPr>
          <w:rFonts w:ascii="Verdana" w:hAnsi="Verdana"/>
          <w:sz w:val="20"/>
          <w:szCs w:val="20"/>
          <w:lang w:val="es-MX"/>
        </w:rPr>
        <w:t>.</w:t>
      </w:r>
    </w:p>
    <w:p w14:paraId="0C704A36" w14:textId="77777777" w:rsidR="00E04121" w:rsidRDefault="00E04121" w:rsidP="00E04121">
      <w:pPr>
        <w:pStyle w:val="ListParagraph"/>
        <w:ind w:left="0"/>
        <w:jc w:val="both"/>
        <w:rPr>
          <w:rFonts w:ascii="Verdana" w:hAnsi="Verdana"/>
          <w:sz w:val="20"/>
          <w:szCs w:val="20"/>
          <w:lang w:val="es-CR"/>
        </w:rPr>
      </w:pPr>
      <w:r>
        <w:rPr>
          <w:rFonts w:ascii="Verdana" w:hAnsi="Verdana"/>
          <w:sz w:val="20"/>
          <w:szCs w:val="20"/>
          <w:lang w:val="es-CR"/>
        </w:rPr>
        <w:t xml:space="preserve"> </w:t>
      </w:r>
    </w:p>
    <w:p w14:paraId="0C704A37" w14:textId="77777777" w:rsidR="00E04121"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CR"/>
        </w:rPr>
        <w:t>E</w:t>
      </w:r>
      <w:r w:rsidRPr="00220846">
        <w:rPr>
          <w:rFonts w:ascii="Verdana" w:hAnsi="Verdana"/>
          <w:sz w:val="20"/>
          <w:szCs w:val="20"/>
          <w:lang w:val="es-MX"/>
        </w:rPr>
        <w:t>l 29 de agosto de 2002 el Presidente de la Comisión de Presupuesto del Congreso Nacional envió al INA el Proyecto de Decreto “Desarrollo del Pueblo Garífuna” con el fin de que emitiera su opinión al respecto</w:t>
      </w:r>
      <w:r w:rsidRPr="00986EB6">
        <w:rPr>
          <w:rStyle w:val="FootnoteReference"/>
          <w:szCs w:val="20"/>
          <w:lang w:val="es-MX"/>
        </w:rPr>
        <w:footnoteReference w:id="114"/>
      </w:r>
      <w:r w:rsidRPr="00220846">
        <w:rPr>
          <w:rFonts w:ascii="Verdana" w:hAnsi="Verdana"/>
          <w:sz w:val="20"/>
          <w:szCs w:val="20"/>
          <w:lang w:val="es-MX"/>
        </w:rPr>
        <w:t>, quien mediante comunicado de fecha 4 de septiembre y 2 de octubre de 2002 manifestó estar de acuerdo con</w:t>
      </w:r>
      <w:r>
        <w:rPr>
          <w:rFonts w:ascii="Verdana" w:hAnsi="Verdana"/>
          <w:sz w:val="20"/>
          <w:szCs w:val="20"/>
          <w:lang w:val="es-MX"/>
        </w:rPr>
        <w:t xml:space="preserve"> la</w:t>
      </w:r>
      <w:r w:rsidRPr="00220846">
        <w:rPr>
          <w:rFonts w:ascii="Verdana" w:hAnsi="Verdana"/>
          <w:sz w:val="20"/>
          <w:szCs w:val="20"/>
          <w:lang w:val="es-MX"/>
        </w:rPr>
        <w:t xml:space="preserve"> </w:t>
      </w:r>
      <w:r w:rsidRPr="00220846">
        <w:rPr>
          <w:rFonts w:ascii="Verdana" w:hAnsi="Verdana"/>
          <w:sz w:val="20"/>
          <w:szCs w:val="20"/>
          <w:lang w:val="es-MX"/>
        </w:rPr>
        <w:lastRenderedPageBreak/>
        <w:t xml:space="preserve">aprobación de la partida presupuestaria </w:t>
      </w:r>
      <w:r>
        <w:rPr>
          <w:rFonts w:ascii="Verdana" w:hAnsi="Verdana"/>
          <w:sz w:val="20"/>
          <w:szCs w:val="20"/>
          <w:lang w:val="es-MX"/>
        </w:rPr>
        <w:t xml:space="preserve">para pagar las mejoras correspondientes a efectos de sanear </w:t>
      </w:r>
      <w:r w:rsidRPr="00220846">
        <w:rPr>
          <w:rFonts w:ascii="Verdana" w:hAnsi="Verdana"/>
          <w:sz w:val="20"/>
          <w:szCs w:val="20"/>
          <w:lang w:val="es-MX"/>
        </w:rPr>
        <w:t>las tierras colectivas de la Comunidad de Punta Piedra</w:t>
      </w:r>
      <w:r w:rsidRPr="00986EB6">
        <w:rPr>
          <w:rStyle w:val="FootnoteReference"/>
          <w:szCs w:val="20"/>
          <w:lang w:val="es-MX"/>
        </w:rPr>
        <w:footnoteReference w:id="115"/>
      </w:r>
      <w:r w:rsidRPr="00220846">
        <w:rPr>
          <w:rFonts w:ascii="Verdana" w:hAnsi="Verdana"/>
          <w:sz w:val="20"/>
          <w:szCs w:val="20"/>
          <w:lang w:val="es-MX"/>
        </w:rPr>
        <w:t xml:space="preserve">. </w:t>
      </w:r>
      <w:r>
        <w:rPr>
          <w:rFonts w:ascii="Verdana" w:hAnsi="Verdana"/>
          <w:sz w:val="20"/>
          <w:szCs w:val="20"/>
          <w:lang w:val="es-CR"/>
        </w:rPr>
        <w:t xml:space="preserve"> </w:t>
      </w:r>
    </w:p>
    <w:p w14:paraId="0C704A38" w14:textId="77777777" w:rsidR="00E04121" w:rsidRPr="00220846" w:rsidRDefault="00E04121" w:rsidP="00E04121">
      <w:pPr>
        <w:pStyle w:val="ListParagraph"/>
        <w:rPr>
          <w:rFonts w:ascii="Verdana" w:hAnsi="Verdana"/>
          <w:sz w:val="20"/>
          <w:szCs w:val="20"/>
          <w:lang w:val="es-CR"/>
        </w:rPr>
      </w:pPr>
    </w:p>
    <w:p w14:paraId="0C704A39" w14:textId="77777777"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CR"/>
        </w:rPr>
        <w:t>E</w:t>
      </w:r>
      <w:r w:rsidRPr="00220846">
        <w:rPr>
          <w:rFonts w:ascii="Verdana" w:hAnsi="Verdana"/>
          <w:sz w:val="20"/>
          <w:szCs w:val="20"/>
          <w:lang w:val="es-MX"/>
        </w:rPr>
        <w:t>l 1 de octubre de 2002 y el 14 de mayo de 2003 la Comunidad de Punta Piedra envió comunicaciones al Congreso Nacional y al INA, respectivamente, con el objeto de conocer si la partida presupuestaria había sido aprobada</w:t>
      </w:r>
      <w:r w:rsidRPr="00986EB6">
        <w:rPr>
          <w:rStyle w:val="FootnoteReference"/>
          <w:szCs w:val="20"/>
          <w:lang w:val="es-MX"/>
        </w:rPr>
        <w:footnoteReference w:id="116"/>
      </w:r>
      <w:r w:rsidRPr="00220846">
        <w:rPr>
          <w:rFonts w:ascii="Verdana" w:hAnsi="Verdana"/>
          <w:sz w:val="20"/>
          <w:szCs w:val="20"/>
          <w:lang w:val="es-MX"/>
        </w:rPr>
        <w:t>. El 26 de mayo de 2003 el INA informó a la Comunidad de Punta Piedra que la partida no había sido incorporada en su presupuesto</w:t>
      </w:r>
      <w:r w:rsidRPr="00986EB6">
        <w:rPr>
          <w:rStyle w:val="FootnoteReference"/>
          <w:szCs w:val="20"/>
          <w:lang w:val="es-MX"/>
        </w:rPr>
        <w:footnoteReference w:id="117"/>
      </w:r>
      <w:r w:rsidRPr="00220846">
        <w:rPr>
          <w:rFonts w:ascii="Verdana" w:hAnsi="Verdana"/>
          <w:sz w:val="20"/>
          <w:szCs w:val="20"/>
          <w:lang w:val="es-MX"/>
        </w:rPr>
        <w:t xml:space="preserve"> y el 29 de junio de 2004 presentó una solicitud al Presidente del Congreso Nacional, solicitando la adopción de la misma a efectos de realizar el saneamiento respectivo</w:t>
      </w:r>
      <w:r w:rsidRPr="00986EB6">
        <w:rPr>
          <w:rStyle w:val="FootnoteReference"/>
          <w:szCs w:val="20"/>
          <w:lang w:val="es-MX"/>
        </w:rPr>
        <w:footnoteReference w:id="118"/>
      </w:r>
      <w:r w:rsidRPr="00220846">
        <w:rPr>
          <w:rFonts w:ascii="Verdana" w:hAnsi="Verdana"/>
          <w:sz w:val="20"/>
          <w:szCs w:val="20"/>
          <w:lang w:val="es-MX"/>
        </w:rPr>
        <w:t xml:space="preserve">. </w:t>
      </w:r>
    </w:p>
    <w:p w14:paraId="0C704A3A" w14:textId="77777777" w:rsidR="00E04121" w:rsidRPr="002A0971" w:rsidRDefault="00E04121" w:rsidP="00E04121">
      <w:pPr>
        <w:pStyle w:val="ListParagraph"/>
        <w:ind w:left="0"/>
        <w:jc w:val="both"/>
        <w:rPr>
          <w:rFonts w:ascii="Verdana" w:hAnsi="Verdana"/>
          <w:sz w:val="20"/>
          <w:szCs w:val="20"/>
          <w:lang w:val="es-CR"/>
        </w:rPr>
      </w:pPr>
    </w:p>
    <w:p w14:paraId="0C704A3B" w14:textId="3110B0EF" w:rsidR="00E04121" w:rsidRPr="0036495D" w:rsidRDefault="00E04121" w:rsidP="00E04121">
      <w:pPr>
        <w:pStyle w:val="Heading3"/>
        <w:spacing w:before="0"/>
        <w:ind w:left="360"/>
        <w:jc w:val="both"/>
        <w:rPr>
          <w:rFonts w:ascii="Verdana" w:hAnsi="Verdana"/>
          <w:i/>
          <w:color w:val="auto"/>
          <w:sz w:val="20"/>
          <w:szCs w:val="20"/>
        </w:rPr>
      </w:pPr>
      <w:bookmarkStart w:id="52" w:name="_Toc421868211"/>
      <w:bookmarkStart w:id="53" w:name="_Toc437247331"/>
      <w:r>
        <w:rPr>
          <w:rFonts w:ascii="Verdana" w:hAnsi="Verdana"/>
          <w:i/>
          <w:color w:val="auto"/>
          <w:sz w:val="20"/>
          <w:szCs w:val="20"/>
        </w:rPr>
        <w:t>D</w:t>
      </w:r>
      <w:r w:rsidRPr="0036495D">
        <w:rPr>
          <w:rFonts w:ascii="Verdana" w:hAnsi="Verdana"/>
          <w:i/>
          <w:color w:val="auto"/>
          <w:sz w:val="20"/>
          <w:szCs w:val="20"/>
        </w:rPr>
        <w:t xml:space="preserve">.2 Acta de Entendimiento de 2006, Acta Especial con la </w:t>
      </w:r>
      <w:r w:rsidR="00CB6578">
        <w:rPr>
          <w:rFonts w:ascii="Verdana" w:hAnsi="Verdana"/>
          <w:i/>
          <w:color w:val="auto"/>
          <w:sz w:val="20"/>
          <w:szCs w:val="20"/>
        </w:rPr>
        <w:t>Aldea de Río Miel</w:t>
      </w:r>
      <w:r w:rsidRPr="0036495D">
        <w:rPr>
          <w:rFonts w:ascii="Verdana" w:hAnsi="Verdana"/>
          <w:i/>
          <w:color w:val="auto"/>
          <w:sz w:val="20"/>
          <w:szCs w:val="20"/>
        </w:rPr>
        <w:t xml:space="preserve"> de 20 de abril de 2007 y gestiones posteriores</w:t>
      </w:r>
      <w:bookmarkEnd w:id="52"/>
      <w:bookmarkEnd w:id="53"/>
    </w:p>
    <w:p w14:paraId="0C704A3C" w14:textId="77777777" w:rsidR="00E04121" w:rsidRPr="00220846" w:rsidRDefault="00E04121" w:rsidP="00E04121">
      <w:pPr>
        <w:pStyle w:val="ListParagraph"/>
        <w:rPr>
          <w:rFonts w:ascii="Verdana" w:hAnsi="Verdana"/>
          <w:sz w:val="20"/>
          <w:szCs w:val="20"/>
        </w:rPr>
      </w:pPr>
    </w:p>
    <w:p w14:paraId="0C704A3D" w14:textId="68609A10" w:rsidR="00E04121" w:rsidRDefault="00E04121"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rPr>
        <w:t>A</w:t>
      </w:r>
      <w:r w:rsidRPr="00220846">
        <w:rPr>
          <w:rFonts w:ascii="Verdana" w:hAnsi="Verdana"/>
          <w:sz w:val="20"/>
          <w:szCs w:val="20"/>
          <w:lang w:val="es-MX"/>
        </w:rPr>
        <w:t xml:space="preserve"> efectos de hacerle seguimiento a los compromisos adoptados mediante el acta de compromiso de 2001</w:t>
      </w:r>
      <w:r>
        <w:rPr>
          <w:rFonts w:ascii="Verdana" w:hAnsi="Verdana"/>
          <w:sz w:val="20"/>
          <w:szCs w:val="20"/>
          <w:lang w:val="es-MX"/>
        </w:rPr>
        <w:t xml:space="preserve">, </w:t>
      </w:r>
      <w:r w:rsidRPr="00220846">
        <w:rPr>
          <w:rFonts w:ascii="Verdana" w:hAnsi="Verdana"/>
          <w:sz w:val="20"/>
          <w:szCs w:val="20"/>
          <w:lang w:val="es-MX"/>
        </w:rPr>
        <w:t xml:space="preserve">el 28 de septiembre de 2006 se firmó un “Acta de Entendimiento entre la Organización Fraternal Negra Hondureña (OFRANEH) y Autoridades del Gobierno de la República” </w:t>
      </w:r>
      <w:r w:rsidR="00FD39FC">
        <w:rPr>
          <w:rFonts w:ascii="Verdana" w:hAnsi="Verdana"/>
          <w:sz w:val="20"/>
          <w:szCs w:val="20"/>
          <w:lang w:val="es-MX"/>
        </w:rPr>
        <w:t>(en adelante,</w:t>
      </w:r>
      <w:r w:rsidRPr="00220846">
        <w:rPr>
          <w:rFonts w:ascii="Verdana" w:hAnsi="Verdana"/>
          <w:sz w:val="20"/>
          <w:szCs w:val="20"/>
          <w:lang w:val="es-MX"/>
        </w:rPr>
        <w:t xml:space="preserve"> “acta de entendimiento de 2006”), en la cual se ratificó la necesidad del cumplimiento de los acuerdos sobre la Comunidad de Punta Piedra en lo referente a la aprobación de una partida presupuestaria para el saneamiento de su territorio</w:t>
      </w:r>
      <w:r w:rsidRPr="00986EB6">
        <w:rPr>
          <w:rStyle w:val="FootnoteReference"/>
          <w:szCs w:val="20"/>
          <w:lang w:val="es-MX"/>
        </w:rPr>
        <w:footnoteReference w:id="119"/>
      </w:r>
      <w:r w:rsidRPr="00220846">
        <w:rPr>
          <w:rFonts w:ascii="Verdana" w:hAnsi="Verdana"/>
          <w:sz w:val="20"/>
          <w:szCs w:val="20"/>
          <w:lang w:val="es-MX"/>
        </w:rPr>
        <w:t xml:space="preserve"> y la necesidad de la realización de un nuevo avalúo.</w:t>
      </w:r>
    </w:p>
    <w:p w14:paraId="0C704A3E" w14:textId="77777777" w:rsidR="00E04121" w:rsidRDefault="00E04121" w:rsidP="00E04121">
      <w:pPr>
        <w:pStyle w:val="ListParagraph"/>
        <w:ind w:left="0"/>
        <w:jc w:val="both"/>
        <w:rPr>
          <w:rFonts w:ascii="Verdana" w:hAnsi="Verdana"/>
          <w:sz w:val="20"/>
          <w:szCs w:val="20"/>
          <w:lang w:val="es-CR"/>
        </w:rPr>
      </w:pPr>
    </w:p>
    <w:p w14:paraId="0C704A3F" w14:textId="76B9E522" w:rsidR="00E04121"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MX"/>
        </w:rPr>
        <w:t>En virtud del acta de entendimiento de 2006, de</w:t>
      </w:r>
      <w:r w:rsidRPr="00220846">
        <w:rPr>
          <w:rFonts w:ascii="Verdana" w:hAnsi="Verdana"/>
          <w:sz w:val="20"/>
          <w:szCs w:val="20"/>
          <w:lang w:val="es-ES"/>
        </w:rPr>
        <w:t xml:space="preserve">l 30 de noviembre al 3 de diciembre de </w:t>
      </w:r>
      <w:r w:rsidRPr="00220846">
        <w:rPr>
          <w:rFonts w:ascii="Verdana" w:hAnsi="Verdana"/>
          <w:sz w:val="20"/>
          <w:szCs w:val="20"/>
          <w:lang w:val="es-MX"/>
        </w:rPr>
        <w:t>2006, los funcionarios estatales del INA y la Procuraduría General de la República, iniciaron nuevas gestiones con los habitantes de Río Miel, por lo que se apersonaron en el territorio para actualizar el avalúo, ante lo cual estos se opusieron</w:t>
      </w:r>
      <w:r w:rsidRPr="00986EB6">
        <w:rPr>
          <w:rStyle w:val="FootnoteReference"/>
          <w:szCs w:val="20"/>
          <w:lang w:val="es-MX"/>
        </w:rPr>
        <w:footnoteReference w:id="120"/>
      </w:r>
      <w:r w:rsidRPr="00220846">
        <w:rPr>
          <w:rFonts w:ascii="Verdana" w:hAnsi="Verdana"/>
          <w:sz w:val="20"/>
          <w:szCs w:val="20"/>
          <w:lang w:val="es-MX"/>
        </w:rPr>
        <w:t>.</w:t>
      </w:r>
      <w:r w:rsidRPr="00220846">
        <w:rPr>
          <w:rFonts w:ascii="Verdana" w:hAnsi="Verdana"/>
          <w:sz w:val="20"/>
          <w:szCs w:val="20"/>
          <w:lang w:val="es-CR"/>
        </w:rPr>
        <w:t xml:space="preserve"> Asimismo, </w:t>
      </w:r>
      <w:r w:rsidRPr="00220846">
        <w:rPr>
          <w:rFonts w:ascii="Verdana" w:hAnsi="Verdana"/>
          <w:sz w:val="20"/>
          <w:szCs w:val="20"/>
          <w:lang w:val="es-MX"/>
        </w:rPr>
        <w:t>el 22 de enero, 20 de febrero, y 8 de junio de 2007 se realizaron reuniones diversas entre autoridades del Estado y la OFRANEH a efectos de ratificar la necesidad de un nuevo evalúo, y coordinar la realización del mismo</w:t>
      </w:r>
      <w:r w:rsidRPr="00986EB6">
        <w:rPr>
          <w:rStyle w:val="FootnoteReference"/>
          <w:szCs w:val="20"/>
          <w:lang w:val="es-MX"/>
        </w:rPr>
        <w:footnoteReference w:id="121"/>
      </w:r>
      <w:r w:rsidRPr="00220846">
        <w:rPr>
          <w:rFonts w:ascii="Verdana" w:hAnsi="Verdana"/>
          <w:sz w:val="20"/>
          <w:szCs w:val="20"/>
          <w:lang w:val="es-MX"/>
        </w:rPr>
        <w:t xml:space="preserve">. La </w:t>
      </w:r>
      <w:r w:rsidRPr="00220846">
        <w:rPr>
          <w:rFonts w:ascii="Verdana" w:hAnsi="Verdana"/>
          <w:sz w:val="20"/>
          <w:szCs w:val="20"/>
          <w:lang w:val="es-MX"/>
        </w:rPr>
        <w:lastRenderedPageBreak/>
        <w:t>reunión del 20 de febrero de 2007 contó con la participación de un representante de la Comunidad de Punta Piedra y creó una Comisión Interinstitucional</w:t>
      </w:r>
      <w:r w:rsidRPr="00986EB6">
        <w:rPr>
          <w:rStyle w:val="FootnoteReference"/>
          <w:szCs w:val="20"/>
          <w:lang w:val="es-MX"/>
        </w:rPr>
        <w:footnoteReference w:id="122"/>
      </w:r>
      <w:r w:rsidRPr="00220846">
        <w:rPr>
          <w:rFonts w:ascii="Verdana" w:hAnsi="Verdana"/>
          <w:sz w:val="20"/>
          <w:szCs w:val="20"/>
          <w:lang w:val="es-MX"/>
        </w:rPr>
        <w:t xml:space="preserve">, la cual se reunió con el Alcalde Municipal de </w:t>
      </w:r>
      <w:proofErr w:type="spellStart"/>
      <w:r w:rsidRPr="00220846">
        <w:rPr>
          <w:rFonts w:ascii="Verdana" w:hAnsi="Verdana"/>
          <w:sz w:val="20"/>
          <w:szCs w:val="20"/>
          <w:lang w:val="es-MX"/>
        </w:rPr>
        <w:t>Iriona</w:t>
      </w:r>
      <w:proofErr w:type="spellEnd"/>
      <w:r w:rsidRPr="00220846">
        <w:rPr>
          <w:rFonts w:ascii="Verdana" w:hAnsi="Verdana"/>
          <w:sz w:val="20"/>
          <w:szCs w:val="20"/>
          <w:lang w:val="es-MX"/>
        </w:rPr>
        <w:t xml:space="preserve"> Puerto y representantes de la </w:t>
      </w:r>
      <w:r w:rsidR="00CB6578">
        <w:rPr>
          <w:rFonts w:ascii="Verdana" w:hAnsi="Verdana"/>
          <w:sz w:val="20"/>
          <w:szCs w:val="20"/>
          <w:lang w:val="es-MX"/>
        </w:rPr>
        <w:t>Aldea de Río Miel</w:t>
      </w:r>
      <w:r w:rsidRPr="00220846">
        <w:rPr>
          <w:rFonts w:ascii="Verdana" w:hAnsi="Verdana"/>
          <w:sz w:val="20"/>
          <w:szCs w:val="20"/>
          <w:lang w:val="es-MX"/>
        </w:rPr>
        <w:t xml:space="preserve"> el 14 de marzo de 2007, pero sin la participación de</w:t>
      </w:r>
      <w:r w:rsidR="00931800">
        <w:rPr>
          <w:rFonts w:ascii="Verdana" w:hAnsi="Verdana"/>
          <w:sz w:val="20"/>
          <w:szCs w:val="20"/>
          <w:lang w:val="es-MX"/>
        </w:rPr>
        <w:t xml:space="preserve"> representantes</w:t>
      </w:r>
      <w:r w:rsidRPr="00220846">
        <w:rPr>
          <w:rFonts w:ascii="Verdana" w:hAnsi="Verdana"/>
          <w:sz w:val="20"/>
          <w:szCs w:val="20"/>
          <w:lang w:val="es-MX"/>
        </w:rPr>
        <w:t xml:space="preserve"> de la Comunidad de Punta Piedra </w:t>
      </w:r>
      <w:r w:rsidR="00931800">
        <w:rPr>
          <w:rFonts w:ascii="Verdana" w:hAnsi="Verdana"/>
          <w:sz w:val="20"/>
          <w:szCs w:val="20"/>
          <w:lang w:val="es-MX"/>
        </w:rPr>
        <w:t>ni</w:t>
      </w:r>
      <w:r w:rsidRPr="00220846">
        <w:rPr>
          <w:rFonts w:ascii="Verdana" w:hAnsi="Verdana"/>
          <w:sz w:val="20"/>
          <w:szCs w:val="20"/>
          <w:lang w:val="es-MX"/>
        </w:rPr>
        <w:t xml:space="preserve"> de la OFRANEH, adoptándose un acta en la que se dejó constancia de la oposición al</w:t>
      </w:r>
      <w:r>
        <w:rPr>
          <w:rFonts w:ascii="Verdana" w:hAnsi="Verdana"/>
          <w:sz w:val="20"/>
          <w:szCs w:val="20"/>
          <w:lang w:val="es-MX"/>
        </w:rPr>
        <w:t xml:space="preserve"> primer</w:t>
      </w:r>
      <w:r w:rsidRPr="00220846">
        <w:rPr>
          <w:rFonts w:ascii="Verdana" w:hAnsi="Verdana"/>
          <w:sz w:val="20"/>
          <w:szCs w:val="20"/>
          <w:lang w:val="es-MX"/>
        </w:rPr>
        <w:t xml:space="preserve"> avalúo realizado en el 2001 por parte de los pobladores de Río Miel. Sin embargo, en dicha reunión se acordó continuar con las gestiones necesarias para solucionar el problema entre ambas comunidades de forma concilia</w:t>
      </w:r>
      <w:r w:rsidR="00931800">
        <w:rPr>
          <w:rFonts w:ascii="Verdana" w:hAnsi="Verdana"/>
          <w:sz w:val="20"/>
          <w:szCs w:val="20"/>
          <w:lang w:val="es-MX"/>
        </w:rPr>
        <w:t>toria</w:t>
      </w:r>
      <w:r w:rsidRPr="00986EB6">
        <w:rPr>
          <w:rStyle w:val="FootnoteReference"/>
          <w:szCs w:val="20"/>
          <w:lang w:val="es-MX"/>
        </w:rPr>
        <w:footnoteReference w:id="123"/>
      </w:r>
      <w:r w:rsidRPr="00220846">
        <w:rPr>
          <w:rFonts w:ascii="Verdana" w:hAnsi="Verdana"/>
          <w:sz w:val="20"/>
          <w:szCs w:val="20"/>
          <w:lang w:val="es-MX"/>
        </w:rPr>
        <w:t>.</w:t>
      </w:r>
      <w:r>
        <w:rPr>
          <w:rFonts w:ascii="Verdana" w:hAnsi="Verdana"/>
          <w:sz w:val="20"/>
          <w:szCs w:val="20"/>
          <w:lang w:val="es-CR"/>
        </w:rPr>
        <w:t xml:space="preserve"> </w:t>
      </w:r>
    </w:p>
    <w:p w14:paraId="0C704A40" w14:textId="77777777" w:rsidR="00E04121" w:rsidRDefault="00E04121" w:rsidP="00E04121">
      <w:pPr>
        <w:pStyle w:val="ListParagraph"/>
        <w:ind w:left="0"/>
        <w:jc w:val="both"/>
        <w:rPr>
          <w:rFonts w:ascii="Verdana" w:hAnsi="Verdana"/>
          <w:sz w:val="20"/>
          <w:szCs w:val="20"/>
          <w:lang w:val="es-CR"/>
        </w:rPr>
      </w:pPr>
    </w:p>
    <w:p w14:paraId="0C704A41" w14:textId="1D2978C1" w:rsidR="00E04121"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MX"/>
        </w:rPr>
        <w:t>El 20 de abril de 2007, el Ministro Director del INA, junto con distintas autoridades estatales</w:t>
      </w:r>
      <w:r w:rsidRPr="00986EB6">
        <w:rPr>
          <w:rStyle w:val="FootnoteReference"/>
          <w:szCs w:val="20"/>
          <w:lang w:val="es-MX"/>
        </w:rPr>
        <w:footnoteReference w:id="124"/>
      </w:r>
      <w:r w:rsidRPr="00220846">
        <w:rPr>
          <w:rFonts w:ascii="Verdana" w:hAnsi="Verdana"/>
          <w:sz w:val="20"/>
          <w:szCs w:val="20"/>
          <w:lang w:val="es-MX"/>
        </w:rPr>
        <w:t xml:space="preserve"> y representantes de la </w:t>
      </w:r>
      <w:r w:rsidR="00931800">
        <w:rPr>
          <w:rFonts w:ascii="Verdana" w:hAnsi="Verdana"/>
          <w:sz w:val="20"/>
          <w:szCs w:val="20"/>
          <w:lang w:val="es-MX"/>
        </w:rPr>
        <w:t>C</w:t>
      </w:r>
      <w:r w:rsidRPr="00220846">
        <w:rPr>
          <w:rFonts w:ascii="Verdana" w:hAnsi="Verdana"/>
          <w:sz w:val="20"/>
          <w:szCs w:val="20"/>
          <w:lang w:val="es-MX"/>
        </w:rPr>
        <w:t>omunidad de Río Miel, suscribieron un “Acta Especial” en la que se estableció, entre otros aspectos, lo siguiente: a) El INA manifestó su pretensión de llegar a un “arreglo amistoso” para solucionar el conflicto entre garífunas y los terceros ocupantes; b) por esta razón se comprometió a “definir el área de la aldea, ocupantes, trabajaderos, origen de posesión, número de dependientes, el valor de mejoras en el área de t</w:t>
      </w:r>
      <w:r w:rsidR="00931800">
        <w:rPr>
          <w:rFonts w:ascii="Verdana" w:hAnsi="Verdana"/>
          <w:sz w:val="20"/>
          <w:szCs w:val="20"/>
          <w:lang w:val="es-MX"/>
        </w:rPr>
        <w:t>erreno</w:t>
      </w:r>
      <w:r w:rsidRPr="00220846">
        <w:rPr>
          <w:rFonts w:ascii="Verdana" w:hAnsi="Verdana"/>
          <w:sz w:val="20"/>
          <w:szCs w:val="20"/>
          <w:lang w:val="es-MX"/>
        </w:rPr>
        <w:t xml:space="preserve"> que ocupa</w:t>
      </w:r>
      <w:r w:rsidR="00931800">
        <w:rPr>
          <w:rFonts w:ascii="Verdana" w:hAnsi="Verdana"/>
          <w:sz w:val="20"/>
          <w:szCs w:val="20"/>
          <w:lang w:val="es-MX"/>
        </w:rPr>
        <w:t>ba</w:t>
      </w:r>
      <w:r w:rsidRPr="00220846">
        <w:rPr>
          <w:rFonts w:ascii="Verdana" w:hAnsi="Verdana"/>
          <w:sz w:val="20"/>
          <w:szCs w:val="20"/>
          <w:lang w:val="es-MX"/>
        </w:rPr>
        <w:t xml:space="preserve"> cada miembro de la </w:t>
      </w:r>
      <w:r w:rsidR="00931800">
        <w:rPr>
          <w:rFonts w:ascii="Verdana" w:hAnsi="Verdana"/>
          <w:sz w:val="20"/>
          <w:szCs w:val="20"/>
          <w:lang w:val="es-MX"/>
        </w:rPr>
        <w:t>C</w:t>
      </w:r>
      <w:r w:rsidRPr="00220846">
        <w:rPr>
          <w:rFonts w:ascii="Verdana" w:hAnsi="Verdana"/>
          <w:sz w:val="20"/>
          <w:szCs w:val="20"/>
          <w:lang w:val="es-MX"/>
        </w:rPr>
        <w:t>omunidad de Río Miel, estas acciones iniciarían a más tardar en el término de diez días laborales; c) se determinó concertar una reunión con ambas comunidades para resolver el problema</w:t>
      </w:r>
      <w:r w:rsidR="00931800">
        <w:rPr>
          <w:rFonts w:ascii="Verdana" w:hAnsi="Verdana"/>
          <w:sz w:val="20"/>
          <w:szCs w:val="20"/>
          <w:lang w:val="es-MX"/>
        </w:rPr>
        <w:t>, y</w:t>
      </w:r>
      <w:r w:rsidRPr="00220846">
        <w:rPr>
          <w:rFonts w:ascii="Verdana" w:hAnsi="Verdana"/>
          <w:sz w:val="20"/>
          <w:szCs w:val="20"/>
          <w:lang w:val="es-MX"/>
        </w:rPr>
        <w:t xml:space="preserve"> d) quedó nuevamente asentado el rechazo de la </w:t>
      </w:r>
      <w:r w:rsidR="00931800">
        <w:rPr>
          <w:rFonts w:ascii="Verdana" w:hAnsi="Verdana"/>
          <w:sz w:val="20"/>
          <w:szCs w:val="20"/>
          <w:lang w:val="es-MX"/>
        </w:rPr>
        <w:t>C</w:t>
      </w:r>
      <w:r w:rsidRPr="00220846">
        <w:rPr>
          <w:rFonts w:ascii="Verdana" w:hAnsi="Verdana"/>
          <w:sz w:val="20"/>
          <w:szCs w:val="20"/>
          <w:lang w:val="es-MX"/>
        </w:rPr>
        <w:t>omunidad de Río Miel a la pretensión de desalojo</w:t>
      </w:r>
      <w:r w:rsidR="00931800">
        <w:rPr>
          <w:rFonts w:ascii="Verdana" w:hAnsi="Verdana"/>
          <w:sz w:val="20"/>
          <w:szCs w:val="20"/>
          <w:lang w:val="es-MX"/>
        </w:rPr>
        <w:t>, por lo que</w:t>
      </w:r>
      <w:r w:rsidRPr="00220846">
        <w:rPr>
          <w:rFonts w:ascii="Verdana" w:hAnsi="Verdana"/>
          <w:sz w:val="20"/>
          <w:szCs w:val="20"/>
          <w:lang w:val="es-MX"/>
        </w:rPr>
        <w:t xml:space="preserve"> se “</w:t>
      </w:r>
      <w:proofErr w:type="spellStart"/>
      <w:r w:rsidRPr="00220846">
        <w:rPr>
          <w:rFonts w:ascii="Verdana" w:hAnsi="Verdana"/>
          <w:sz w:val="20"/>
          <w:szCs w:val="20"/>
          <w:lang w:val="es-MX"/>
        </w:rPr>
        <w:t>reafirm</w:t>
      </w:r>
      <w:proofErr w:type="spellEnd"/>
      <w:r w:rsidRPr="00220846">
        <w:rPr>
          <w:rFonts w:ascii="Verdana" w:hAnsi="Verdana"/>
          <w:sz w:val="20"/>
          <w:szCs w:val="20"/>
          <w:lang w:val="es-MX"/>
        </w:rPr>
        <w:t>[</w:t>
      </w:r>
      <w:proofErr w:type="spellStart"/>
      <w:r w:rsidRPr="00220846">
        <w:rPr>
          <w:rFonts w:ascii="Verdana" w:hAnsi="Verdana"/>
          <w:sz w:val="20"/>
          <w:szCs w:val="20"/>
          <w:lang w:val="es-MX"/>
        </w:rPr>
        <w:t>ó</w:t>
      </w:r>
      <w:proofErr w:type="spellEnd"/>
      <w:r w:rsidRPr="00220846">
        <w:rPr>
          <w:rFonts w:ascii="Verdana" w:hAnsi="Verdana"/>
          <w:sz w:val="20"/>
          <w:szCs w:val="20"/>
          <w:lang w:val="es-MX"/>
        </w:rPr>
        <w:t xml:space="preserve">] que una actuación sobre esta referencia </w:t>
      </w:r>
      <w:proofErr w:type="spellStart"/>
      <w:r w:rsidRPr="00220846">
        <w:rPr>
          <w:rFonts w:ascii="Verdana" w:hAnsi="Verdana"/>
          <w:sz w:val="20"/>
          <w:szCs w:val="20"/>
          <w:lang w:val="es-MX"/>
        </w:rPr>
        <w:t>est</w:t>
      </w:r>
      <w:proofErr w:type="spellEnd"/>
      <w:r w:rsidRPr="00220846">
        <w:rPr>
          <w:rFonts w:ascii="Verdana" w:hAnsi="Verdana"/>
          <w:sz w:val="20"/>
          <w:szCs w:val="20"/>
          <w:lang w:val="es-MX"/>
        </w:rPr>
        <w:t>[</w:t>
      </w:r>
      <w:proofErr w:type="spellStart"/>
      <w:r w:rsidRPr="00220846">
        <w:rPr>
          <w:rFonts w:ascii="Verdana" w:hAnsi="Verdana"/>
          <w:sz w:val="20"/>
          <w:szCs w:val="20"/>
          <w:lang w:val="es-MX"/>
        </w:rPr>
        <w:t>aría</w:t>
      </w:r>
      <w:proofErr w:type="spellEnd"/>
      <w:r w:rsidRPr="00220846">
        <w:rPr>
          <w:rFonts w:ascii="Verdana" w:hAnsi="Verdana"/>
          <w:sz w:val="20"/>
          <w:szCs w:val="20"/>
          <w:lang w:val="es-MX"/>
        </w:rPr>
        <w:t xml:space="preserve">] estrictamente sujeta a una resolución o sentencia </w:t>
      </w:r>
      <w:r w:rsidR="00931800">
        <w:rPr>
          <w:rFonts w:ascii="Verdana" w:hAnsi="Verdana"/>
          <w:sz w:val="20"/>
          <w:szCs w:val="20"/>
          <w:lang w:val="es-MX"/>
        </w:rPr>
        <w:t>[</w:t>
      </w:r>
      <w:r w:rsidRPr="00220846">
        <w:rPr>
          <w:rFonts w:ascii="Verdana" w:hAnsi="Verdana"/>
          <w:sz w:val="20"/>
          <w:szCs w:val="20"/>
          <w:lang w:val="es-MX"/>
        </w:rPr>
        <w:t>j</w:t>
      </w:r>
      <w:r w:rsidR="00931800">
        <w:rPr>
          <w:rFonts w:ascii="Verdana" w:hAnsi="Verdana"/>
          <w:sz w:val="20"/>
          <w:szCs w:val="20"/>
          <w:lang w:val="es-MX"/>
        </w:rPr>
        <w:t>]</w:t>
      </w:r>
      <w:proofErr w:type="spellStart"/>
      <w:r w:rsidRPr="00220846">
        <w:rPr>
          <w:rFonts w:ascii="Verdana" w:hAnsi="Verdana"/>
          <w:sz w:val="20"/>
          <w:szCs w:val="20"/>
          <w:lang w:val="es-MX"/>
        </w:rPr>
        <w:t>udicial</w:t>
      </w:r>
      <w:proofErr w:type="spellEnd"/>
      <w:r w:rsidRPr="00220846">
        <w:rPr>
          <w:rFonts w:ascii="Verdana" w:hAnsi="Verdana"/>
          <w:sz w:val="20"/>
          <w:szCs w:val="20"/>
          <w:lang w:val="es-MX"/>
        </w:rPr>
        <w:t>, emitida por los Juzgados competentes que [tuviera] carácter de firme o cosa juzgada”</w:t>
      </w:r>
      <w:r w:rsidRPr="00986EB6">
        <w:rPr>
          <w:rStyle w:val="FootnoteReference"/>
          <w:szCs w:val="20"/>
          <w:lang w:val="es-MX"/>
        </w:rPr>
        <w:footnoteReference w:id="125"/>
      </w:r>
      <w:r w:rsidRPr="00220846">
        <w:rPr>
          <w:rFonts w:ascii="Verdana" w:hAnsi="Verdana"/>
          <w:sz w:val="20"/>
          <w:szCs w:val="20"/>
          <w:lang w:val="es-MX"/>
        </w:rPr>
        <w:t>.</w:t>
      </w:r>
      <w:r>
        <w:rPr>
          <w:rFonts w:ascii="Verdana" w:hAnsi="Verdana"/>
          <w:sz w:val="20"/>
          <w:szCs w:val="20"/>
          <w:lang w:val="es-CR"/>
        </w:rPr>
        <w:t xml:space="preserve"> </w:t>
      </w:r>
    </w:p>
    <w:p w14:paraId="0C704A42" w14:textId="77777777" w:rsidR="00E04121" w:rsidRPr="00220846" w:rsidRDefault="00E04121" w:rsidP="00E04121">
      <w:pPr>
        <w:pStyle w:val="ListParagraph"/>
        <w:ind w:left="0"/>
        <w:jc w:val="both"/>
        <w:rPr>
          <w:rFonts w:ascii="Verdana" w:hAnsi="Verdana"/>
          <w:sz w:val="20"/>
          <w:szCs w:val="20"/>
          <w:lang w:val="es-CR"/>
        </w:rPr>
      </w:pPr>
    </w:p>
    <w:p w14:paraId="0C704A43" w14:textId="191ACA6B" w:rsidR="00E04121"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MX"/>
        </w:rPr>
        <w:t>En virtud de las gestiones para la actualización del avalúo, los pobladores de Río Miel accedieron a que este se realizara</w:t>
      </w:r>
      <w:r>
        <w:rPr>
          <w:rFonts w:ascii="Verdana" w:hAnsi="Verdana"/>
          <w:sz w:val="20"/>
          <w:szCs w:val="20"/>
          <w:lang w:val="es-MX"/>
        </w:rPr>
        <w:t xml:space="preserve"> por segunda vez</w:t>
      </w:r>
      <w:r w:rsidRPr="00986EB6">
        <w:rPr>
          <w:rStyle w:val="FootnoteReference"/>
          <w:szCs w:val="20"/>
          <w:lang w:val="es-MX"/>
        </w:rPr>
        <w:footnoteReference w:id="126"/>
      </w:r>
      <w:r>
        <w:rPr>
          <w:rFonts w:ascii="Verdana" w:hAnsi="Verdana"/>
          <w:sz w:val="20"/>
          <w:szCs w:val="20"/>
          <w:lang w:val="es-MX"/>
        </w:rPr>
        <w:t>,</w:t>
      </w:r>
      <w:r w:rsidRPr="00220846">
        <w:rPr>
          <w:rFonts w:ascii="Verdana" w:hAnsi="Verdana"/>
          <w:sz w:val="20"/>
          <w:szCs w:val="20"/>
          <w:lang w:val="es-MX"/>
        </w:rPr>
        <w:t xml:space="preserve"> por lo que en mayo y junio de 2007 una comisión agraria del INA realizó una inspección en dicha zona, luego de la cual preparó el informe catastral de 2007 (</w:t>
      </w:r>
      <w:r w:rsidRPr="00220846">
        <w:rPr>
          <w:rFonts w:ascii="Verdana" w:hAnsi="Verdana"/>
          <w:i/>
          <w:sz w:val="20"/>
          <w:szCs w:val="20"/>
          <w:lang w:val="es-MX"/>
        </w:rPr>
        <w:t xml:space="preserve">supra </w:t>
      </w:r>
      <w:r w:rsidRPr="00220846">
        <w:rPr>
          <w:rFonts w:ascii="Verdana" w:hAnsi="Verdana"/>
          <w:sz w:val="20"/>
          <w:szCs w:val="20"/>
          <w:lang w:val="es-MX"/>
        </w:rPr>
        <w:t xml:space="preserve">párr. </w:t>
      </w:r>
      <w:r w:rsidR="00176225">
        <w:rPr>
          <w:rFonts w:ascii="Verdana" w:hAnsi="Verdana"/>
          <w:sz w:val="20"/>
          <w:szCs w:val="20"/>
          <w:lang w:val="es-MX"/>
        </w:rPr>
        <w:t>107</w:t>
      </w:r>
      <w:r w:rsidR="00F34B93">
        <w:rPr>
          <w:rFonts w:ascii="Verdana" w:hAnsi="Verdana"/>
          <w:sz w:val="20"/>
          <w:szCs w:val="20"/>
          <w:lang w:val="es-MX"/>
        </w:rPr>
        <w:t xml:space="preserve"> y 111</w:t>
      </w:r>
      <w:r w:rsidRPr="00220846">
        <w:rPr>
          <w:rFonts w:ascii="Verdana" w:hAnsi="Verdana"/>
          <w:sz w:val="20"/>
          <w:szCs w:val="20"/>
          <w:lang w:val="es-MX"/>
        </w:rPr>
        <w:t xml:space="preserve">) y </w:t>
      </w:r>
      <w:r w:rsidRPr="00220846">
        <w:rPr>
          <w:rFonts w:ascii="Verdana" w:hAnsi="Verdana"/>
          <w:sz w:val="20"/>
          <w:szCs w:val="20"/>
          <w:lang w:val="es-CR"/>
        </w:rPr>
        <w:t xml:space="preserve">un nuevo </w:t>
      </w:r>
      <w:r w:rsidRPr="00220846">
        <w:rPr>
          <w:rFonts w:ascii="Verdana" w:hAnsi="Verdana"/>
          <w:sz w:val="20"/>
          <w:szCs w:val="20"/>
          <w:lang w:val="es-MX"/>
        </w:rPr>
        <w:t>“Informe de Avalúo”</w:t>
      </w:r>
      <w:r w:rsidRPr="00986EB6">
        <w:rPr>
          <w:rStyle w:val="FootnoteReference"/>
          <w:szCs w:val="20"/>
          <w:lang w:val="es-MX"/>
        </w:rPr>
        <w:footnoteReference w:id="127"/>
      </w:r>
      <w:r w:rsidRPr="00220846">
        <w:rPr>
          <w:rFonts w:ascii="Verdana" w:hAnsi="Verdana"/>
          <w:sz w:val="20"/>
          <w:szCs w:val="20"/>
          <w:lang w:val="es-MX"/>
        </w:rPr>
        <w:t xml:space="preserve"> de fecha 23 de julio de 2007. En el mismo, se concluyó que las mejoras útiles introducidas por los pobladores de Río Miel, por concepto de viviendas y de obras sociales, ascendían a la suma de 17</w:t>
      </w:r>
      <w:proofErr w:type="gramStart"/>
      <w:r w:rsidRPr="00220846">
        <w:rPr>
          <w:rFonts w:ascii="Verdana" w:hAnsi="Verdana"/>
          <w:sz w:val="20"/>
          <w:szCs w:val="20"/>
          <w:lang w:val="es-MX"/>
        </w:rPr>
        <w:t>,108,848.58</w:t>
      </w:r>
      <w:proofErr w:type="gramEnd"/>
      <w:r w:rsidRPr="00220846">
        <w:rPr>
          <w:rFonts w:ascii="Verdana" w:hAnsi="Verdana"/>
          <w:sz w:val="20"/>
          <w:szCs w:val="20"/>
          <w:lang w:val="es-MX"/>
        </w:rPr>
        <w:t xml:space="preserve"> lempiras</w:t>
      </w:r>
      <w:r>
        <w:rPr>
          <w:rStyle w:val="FootnoteReference"/>
          <w:szCs w:val="20"/>
          <w:lang w:val="es-MX"/>
        </w:rPr>
        <w:footnoteReference w:id="128"/>
      </w:r>
      <w:r w:rsidRPr="00220846">
        <w:rPr>
          <w:rFonts w:ascii="Verdana" w:hAnsi="Verdana"/>
          <w:sz w:val="20"/>
          <w:szCs w:val="20"/>
          <w:lang w:val="es-MX"/>
        </w:rPr>
        <w:t xml:space="preserve">. Asimismo, indicó que el terreno detentado por los habitantes de Río Miel, presentaba “un alto grado de erosión, específicamente las partes altas y nuevas </w:t>
      </w:r>
      <w:r w:rsidR="00B6463D">
        <w:rPr>
          <w:rFonts w:ascii="Verdana" w:hAnsi="Verdana"/>
          <w:sz w:val="20"/>
          <w:szCs w:val="20"/>
          <w:lang w:val="es-MX"/>
        </w:rPr>
        <w:t>a</w:t>
      </w:r>
      <w:r w:rsidRPr="00220846">
        <w:rPr>
          <w:rFonts w:ascii="Verdana" w:hAnsi="Verdana"/>
          <w:sz w:val="20"/>
          <w:szCs w:val="20"/>
          <w:lang w:val="es-MX"/>
        </w:rPr>
        <w:t xml:space="preserve"> descombradas para la explotación ganadera (cultivo de pastos)”, además estableció que “durante la inspección se pudo ver el avance y la destrucción del bosque de manera muy tradicional (quema)”</w:t>
      </w:r>
      <w:r w:rsidRPr="00986EB6">
        <w:rPr>
          <w:rStyle w:val="FootnoteReference"/>
          <w:szCs w:val="20"/>
          <w:lang w:val="es-MX"/>
        </w:rPr>
        <w:footnoteReference w:id="129"/>
      </w:r>
      <w:r w:rsidRPr="00220846">
        <w:rPr>
          <w:rFonts w:ascii="Verdana" w:hAnsi="Verdana"/>
          <w:sz w:val="20"/>
          <w:szCs w:val="20"/>
          <w:lang w:val="es-MX"/>
        </w:rPr>
        <w:t>.</w:t>
      </w:r>
      <w:r>
        <w:rPr>
          <w:rFonts w:ascii="Verdana" w:hAnsi="Verdana"/>
          <w:sz w:val="20"/>
          <w:szCs w:val="20"/>
          <w:lang w:val="es-CR"/>
        </w:rPr>
        <w:t xml:space="preserve"> </w:t>
      </w:r>
    </w:p>
    <w:p w14:paraId="0C704A44" w14:textId="77777777" w:rsidR="00E04121" w:rsidRPr="008446E1" w:rsidRDefault="00E04121" w:rsidP="00E04121">
      <w:pPr>
        <w:pStyle w:val="ListParagraph"/>
        <w:rPr>
          <w:rFonts w:ascii="Verdana" w:hAnsi="Verdana"/>
          <w:sz w:val="20"/>
          <w:szCs w:val="20"/>
          <w:lang w:val="es-CR"/>
        </w:rPr>
      </w:pPr>
    </w:p>
    <w:p w14:paraId="0C704A45" w14:textId="5A5277BD" w:rsidR="00E04121" w:rsidRPr="009876D8" w:rsidRDefault="00E04121" w:rsidP="00E04121">
      <w:pPr>
        <w:pStyle w:val="ListParagraph"/>
        <w:numPr>
          <w:ilvl w:val="0"/>
          <w:numId w:val="17"/>
        </w:numPr>
        <w:ind w:left="0" w:hanging="11"/>
        <w:jc w:val="both"/>
        <w:rPr>
          <w:rFonts w:ascii="Verdana" w:hAnsi="Verdana"/>
          <w:sz w:val="20"/>
          <w:szCs w:val="20"/>
          <w:lang w:val="es-CR"/>
        </w:rPr>
      </w:pPr>
      <w:r w:rsidRPr="00220846">
        <w:rPr>
          <w:rFonts w:ascii="Verdana" w:hAnsi="Verdana"/>
          <w:sz w:val="20"/>
          <w:szCs w:val="20"/>
          <w:lang w:val="es-CR"/>
        </w:rPr>
        <w:t>Con base en la actualización del avalúo</w:t>
      </w:r>
      <w:r w:rsidRPr="00220846">
        <w:rPr>
          <w:rFonts w:ascii="Verdana" w:hAnsi="Verdana"/>
          <w:sz w:val="20"/>
          <w:szCs w:val="20"/>
          <w:lang w:val="es-MX"/>
        </w:rPr>
        <w:t xml:space="preserve"> para el saneamiento del territorio de la Comunidad de Punta Piedra</w:t>
      </w:r>
      <w:r w:rsidRPr="00220846">
        <w:rPr>
          <w:rFonts w:ascii="Verdana" w:hAnsi="Verdana"/>
          <w:sz w:val="20"/>
          <w:szCs w:val="20"/>
          <w:lang w:val="es-CR"/>
        </w:rPr>
        <w:t>, e</w:t>
      </w:r>
      <w:r w:rsidRPr="00220846">
        <w:rPr>
          <w:rFonts w:ascii="Verdana" w:hAnsi="Verdana"/>
          <w:sz w:val="20"/>
          <w:szCs w:val="20"/>
          <w:lang w:val="es-MX"/>
        </w:rPr>
        <w:t xml:space="preserve">l 19 de diciembre de 2007 el Ministro Director del INA solicitó a la Secretaría de Estado en el Despacho de Finanzas la asignación de una </w:t>
      </w:r>
      <w:r w:rsidRPr="00220846">
        <w:rPr>
          <w:rFonts w:ascii="Verdana" w:hAnsi="Verdana"/>
          <w:sz w:val="20"/>
          <w:szCs w:val="20"/>
          <w:lang w:val="es-MX"/>
        </w:rPr>
        <w:lastRenderedPageBreak/>
        <w:t>partida adicional al presupuesto de dicha institución de 17</w:t>
      </w:r>
      <w:proofErr w:type="gramStart"/>
      <w:r w:rsidRPr="00220846">
        <w:rPr>
          <w:rFonts w:ascii="Verdana" w:hAnsi="Verdana"/>
          <w:sz w:val="20"/>
          <w:szCs w:val="20"/>
          <w:lang w:val="es-MX"/>
        </w:rPr>
        <w:t>,108,848.58</w:t>
      </w:r>
      <w:proofErr w:type="gramEnd"/>
      <w:r w:rsidRPr="00220846">
        <w:rPr>
          <w:rFonts w:ascii="Verdana" w:hAnsi="Verdana"/>
          <w:sz w:val="20"/>
          <w:szCs w:val="20"/>
          <w:lang w:val="es-MX"/>
        </w:rPr>
        <w:t xml:space="preserve"> lempiras</w:t>
      </w:r>
      <w:r w:rsidRPr="00986EB6">
        <w:rPr>
          <w:rStyle w:val="FootnoteReference"/>
          <w:szCs w:val="20"/>
          <w:lang w:val="es-MX"/>
        </w:rPr>
        <w:footnoteReference w:id="130"/>
      </w:r>
      <w:r w:rsidRPr="00220846">
        <w:rPr>
          <w:rFonts w:ascii="Verdana" w:hAnsi="Verdana"/>
          <w:sz w:val="20"/>
          <w:szCs w:val="20"/>
          <w:lang w:val="es-MX"/>
        </w:rPr>
        <w:t>. Dicha solicitud no obtuvo respuesta, por lo que el 16 de mayo de 2013 el INA reiteró el pedido inicial</w:t>
      </w:r>
      <w:r w:rsidRPr="00986EB6">
        <w:rPr>
          <w:rStyle w:val="FootnoteReference"/>
          <w:szCs w:val="20"/>
          <w:lang w:val="es-MX"/>
        </w:rPr>
        <w:footnoteReference w:id="131"/>
      </w:r>
      <w:r w:rsidRPr="00220846">
        <w:rPr>
          <w:rFonts w:ascii="Verdana" w:hAnsi="Verdana"/>
          <w:sz w:val="20"/>
          <w:szCs w:val="20"/>
          <w:lang w:val="es-MX"/>
        </w:rPr>
        <w:t>. El 7 de junio de 2013, la Secretaría de Finanzas concluyó que dada la difícil situación económica de la Administración Pública, no se contaba con disponibilidad financiera para atender dicha demanda que implicaría un recurso adicional a los ya consignados en el presupuesto nacional</w:t>
      </w:r>
      <w:r w:rsidRPr="00986EB6">
        <w:rPr>
          <w:rStyle w:val="FootnoteReference"/>
          <w:szCs w:val="20"/>
          <w:lang w:val="es-MX"/>
        </w:rPr>
        <w:footnoteReference w:id="132"/>
      </w:r>
      <w:r w:rsidRPr="00220846">
        <w:rPr>
          <w:rFonts w:ascii="Verdana" w:hAnsi="Verdana"/>
          <w:sz w:val="20"/>
          <w:szCs w:val="20"/>
          <w:lang w:val="es-MX"/>
        </w:rPr>
        <w:t>. Luego de dos solicitudes de reconsideración de fechas 17 de junio y 9 de septiembre de 2013</w:t>
      </w:r>
      <w:r w:rsidRPr="00986EB6">
        <w:rPr>
          <w:rStyle w:val="FootnoteReference"/>
          <w:szCs w:val="20"/>
          <w:lang w:val="es-MX"/>
        </w:rPr>
        <w:footnoteReference w:id="133"/>
      </w:r>
      <w:r w:rsidRPr="00220846">
        <w:rPr>
          <w:rFonts w:ascii="Verdana" w:hAnsi="Verdana"/>
          <w:sz w:val="20"/>
          <w:szCs w:val="20"/>
          <w:lang w:val="es-MX"/>
        </w:rPr>
        <w:t>, la Secretaría de Finanzas ratificó la negativa de la creación de la nueva partida presupuestal el 12 de septiembre y el 10 de octubre de 2013</w:t>
      </w:r>
      <w:r w:rsidRPr="00986EB6">
        <w:rPr>
          <w:rStyle w:val="FootnoteReference"/>
          <w:szCs w:val="20"/>
          <w:lang w:val="es-MX"/>
        </w:rPr>
        <w:footnoteReference w:id="134"/>
      </w:r>
      <w:r w:rsidRPr="00220846">
        <w:rPr>
          <w:rFonts w:ascii="Verdana" w:hAnsi="Verdana"/>
          <w:sz w:val="20"/>
          <w:szCs w:val="20"/>
          <w:lang w:val="es-MX"/>
        </w:rPr>
        <w:t>.</w:t>
      </w:r>
      <w:r>
        <w:rPr>
          <w:rFonts w:ascii="Verdana" w:hAnsi="Verdana"/>
          <w:sz w:val="20"/>
          <w:szCs w:val="20"/>
          <w:lang w:val="es-CR"/>
        </w:rPr>
        <w:t xml:space="preserve"> </w:t>
      </w:r>
      <w:r w:rsidRPr="00220846">
        <w:rPr>
          <w:rFonts w:ascii="Verdana" w:hAnsi="Verdana"/>
          <w:sz w:val="20"/>
          <w:szCs w:val="20"/>
          <w:lang w:val="es-MX"/>
        </w:rPr>
        <w:t xml:space="preserve">En este sentido, la partida presupuestaria no fue </w:t>
      </w:r>
      <w:r w:rsidR="00530D49">
        <w:rPr>
          <w:rFonts w:ascii="Verdana" w:hAnsi="Verdana"/>
          <w:sz w:val="20"/>
          <w:szCs w:val="20"/>
          <w:lang w:val="es-MX"/>
        </w:rPr>
        <w:t>adoptada</w:t>
      </w:r>
      <w:r w:rsidR="00530D49" w:rsidRPr="00220846">
        <w:rPr>
          <w:rFonts w:ascii="Verdana" w:hAnsi="Verdana"/>
          <w:sz w:val="20"/>
          <w:szCs w:val="20"/>
          <w:lang w:val="es-MX"/>
        </w:rPr>
        <w:t xml:space="preserve"> </w:t>
      </w:r>
      <w:r w:rsidRPr="00220846">
        <w:rPr>
          <w:rFonts w:ascii="Verdana" w:hAnsi="Verdana"/>
          <w:sz w:val="20"/>
          <w:szCs w:val="20"/>
          <w:lang w:val="es-MX"/>
        </w:rPr>
        <w:t xml:space="preserve">ni el saneamiento del territorio de la Comunidad Garífuna de Punta Piedra fue </w:t>
      </w:r>
      <w:r>
        <w:rPr>
          <w:rFonts w:ascii="Verdana" w:hAnsi="Verdana"/>
          <w:sz w:val="20"/>
          <w:szCs w:val="20"/>
          <w:lang w:val="es-MX"/>
        </w:rPr>
        <w:t>efectuado</w:t>
      </w:r>
      <w:r w:rsidRPr="00220846">
        <w:rPr>
          <w:rFonts w:ascii="Verdana" w:hAnsi="Verdana"/>
          <w:sz w:val="20"/>
          <w:szCs w:val="20"/>
          <w:lang w:val="es-MX"/>
        </w:rPr>
        <w:t>, tal como el Estado ha reconocido ante este Tribunal (</w:t>
      </w:r>
      <w:r w:rsidRPr="00220846">
        <w:rPr>
          <w:rFonts w:ascii="Verdana" w:hAnsi="Verdana"/>
          <w:i/>
          <w:sz w:val="20"/>
          <w:szCs w:val="20"/>
          <w:lang w:val="es-MX"/>
        </w:rPr>
        <w:t>supra</w:t>
      </w:r>
      <w:r w:rsidRPr="00220846">
        <w:rPr>
          <w:rFonts w:ascii="Verdana" w:hAnsi="Verdana"/>
          <w:sz w:val="20"/>
          <w:szCs w:val="20"/>
          <w:lang w:val="es-MX"/>
        </w:rPr>
        <w:t xml:space="preserve"> párr. </w:t>
      </w:r>
      <w:r w:rsidR="00F34B93">
        <w:rPr>
          <w:rFonts w:ascii="Verdana" w:hAnsi="Verdana"/>
          <w:sz w:val="20"/>
          <w:szCs w:val="20"/>
          <w:lang w:val="es-MX"/>
        </w:rPr>
        <w:t>37</w:t>
      </w:r>
      <w:r w:rsidRPr="00220846">
        <w:rPr>
          <w:rFonts w:ascii="Verdana" w:hAnsi="Verdana"/>
          <w:sz w:val="20"/>
          <w:szCs w:val="20"/>
          <w:lang w:val="es-MX"/>
        </w:rPr>
        <w:t>).</w:t>
      </w:r>
    </w:p>
    <w:p w14:paraId="0C704A46" w14:textId="77777777" w:rsidR="00E04121" w:rsidRPr="009876D8" w:rsidRDefault="00E04121" w:rsidP="00E04121">
      <w:pPr>
        <w:pStyle w:val="ListParagraph"/>
        <w:ind w:left="0"/>
        <w:jc w:val="both"/>
        <w:rPr>
          <w:rFonts w:ascii="Verdana" w:hAnsi="Verdana"/>
          <w:sz w:val="20"/>
          <w:szCs w:val="20"/>
          <w:lang w:val="es-CR"/>
        </w:rPr>
      </w:pPr>
      <w:r>
        <w:rPr>
          <w:rFonts w:ascii="Verdana" w:hAnsi="Verdana"/>
          <w:sz w:val="20"/>
          <w:szCs w:val="20"/>
          <w:lang w:val="es-MX"/>
        </w:rPr>
        <w:t xml:space="preserve"> </w:t>
      </w:r>
    </w:p>
    <w:p w14:paraId="0C704A47" w14:textId="27C6B920" w:rsidR="00E04121" w:rsidRPr="00A71698" w:rsidRDefault="00E04121"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lang w:val="es-MX"/>
        </w:rPr>
        <w:t xml:space="preserve">En sus observaciones a la </w:t>
      </w:r>
      <w:r w:rsidR="00D3280D">
        <w:rPr>
          <w:rFonts w:ascii="Verdana" w:hAnsi="Verdana"/>
          <w:sz w:val="20"/>
          <w:szCs w:val="20"/>
          <w:lang w:val="es-MX"/>
        </w:rPr>
        <w:t xml:space="preserve">diligencia </w:t>
      </w:r>
      <w:r w:rsidRPr="009876D8">
        <w:rPr>
          <w:rFonts w:ascii="Verdana" w:hAnsi="Verdana"/>
          <w:i/>
          <w:sz w:val="20"/>
          <w:szCs w:val="20"/>
          <w:lang w:val="es-MX"/>
        </w:rPr>
        <w:t>in situ</w:t>
      </w:r>
      <w:r>
        <w:rPr>
          <w:rFonts w:ascii="Verdana" w:hAnsi="Verdana"/>
          <w:sz w:val="20"/>
          <w:szCs w:val="20"/>
          <w:lang w:val="es-MX"/>
        </w:rPr>
        <w:t xml:space="preserve">, los representantes enfatizaron que los líderes del </w:t>
      </w:r>
      <w:r w:rsidR="00D3280D">
        <w:rPr>
          <w:rFonts w:ascii="Verdana" w:hAnsi="Verdana"/>
          <w:sz w:val="20"/>
          <w:szCs w:val="20"/>
          <w:lang w:val="es-MX"/>
        </w:rPr>
        <w:t>P</w:t>
      </w:r>
      <w:r>
        <w:rPr>
          <w:rFonts w:ascii="Verdana" w:hAnsi="Verdana"/>
          <w:sz w:val="20"/>
          <w:szCs w:val="20"/>
          <w:lang w:val="es-MX"/>
        </w:rPr>
        <w:t xml:space="preserve">atronato de la Aldea de Río Miel señalaron inicialmente a la delegación de la Corte que estarían dispuestos a recibir el pago de las mejoras y reubicarse, si el Estado les otorgaba predios de calidad, ya que había un acuerdo de por medio, lo cual fue corroborado por la </w:t>
      </w:r>
      <w:r w:rsidR="00D3280D">
        <w:rPr>
          <w:rFonts w:ascii="Verdana" w:hAnsi="Verdana"/>
          <w:sz w:val="20"/>
          <w:szCs w:val="20"/>
          <w:lang w:val="es-MX"/>
        </w:rPr>
        <w:t>d</w:t>
      </w:r>
      <w:r>
        <w:rPr>
          <w:rFonts w:ascii="Verdana" w:hAnsi="Verdana"/>
          <w:sz w:val="20"/>
          <w:szCs w:val="20"/>
          <w:lang w:val="es-MX"/>
        </w:rPr>
        <w:t>elegación de la Corte. No obstante, posteriormente durante la misma diligencia, miembros de dicha aldea señalaron que no</w:t>
      </w:r>
      <w:r w:rsidR="00D3280D">
        <w:rPr>
          <w:rFonts w:ascii="Verdana" w:hAnsi="Verdana"/>
          <w:sz w:val="20"/>
          <w:szCs w:val="20"/>
          <w:lang w:val="es-MX"/>
        </w:rPr>
        <w:t xml:space="preserve"> </w:t>
      </w:r>
      <w:r>
        <w:rPr>
          <w:rFonts w:ascii="Verdana" w:hAnsi="Verdana"/>
          <w:sz w:val="20"/>
          <w:szCs w:val="20"/>
          <w:lang w:val="es-MX"/>
        </w:rPr>
        <w:t>se querían ir</w:t>
      </w:r>
      <w:r w:rsidR="00D3280D">
        <w:rPr>
          <w:rFonts w:ascii="Verdana" w:hAnsi="Verdana"/>
          <w:sz w:val="20"/>
          <w:szCs w:val="20"/>
          <w:lang w:val="es-MX"/>
        </w:rPr>
        <w:t>,</w:t>
      </w:r>
      <w:r>
        <w:rPr>
          <w:rFonts w:ascii="Verdana" w:hAnsi="Verdana"/>
          <w:sz w:val="20"/>
          <w:szCs w:val="20"/>
          <w:lang w:val="es-MX"/>
        </w:rPr>
        <w:t xml:space="preserve"> ya que había</w:t>
      </w:r>
      <w:r w:rsidR="00D3280D">
        <w:rPr>
          <w:rFonts w:ascii="Verdana" w:hAnsi="Verdana"/>
          <w:sz w:val="20"/>
          <w:szCs w:val="20"/>
          <w:lang w:val="es-MX"/>
        </w:rPr>
        <w:t>n</w:t>
      </w:r>
      <w:r>
        <w:rPr>
          <w:rFonts w:ascii="Verdana" w:hAnsi="Verdana"/>
          <w:sz w:val="20"/>
          <w:szCs w:val="20"/>
          <w:lang w:val="es-MX"/>
        </w:rPr>
        <w:t xml:space="preserve"> hecho grandes inversiones en su desarrollo y crecimiento.</w:t>
      </w:r>
    </w:p>
    <w:p w14:paraId="0C704A48" w14:textId="77777777" w:rsidR="00E04121" w:rsidRDefault="00E04121" w:rsidP="00E04121">
      <w:pPr>
        <w:pStyle w:val="ListParagraph"/>
        <w:ind w:left="0"/>
        <w:jc w:val="both"/>
        <w:rPr>
          <w:rFonts w:ascii="Verdana" w:hAnsi="Verdana"/>
          <w:sz w:val="20"/>
          <w:szCs w:val="20"/>
          <w:lang w:val="es-CR"/>
        </w:rPr>
      </w:pPr>
    </w:p>
    <w:p w14:paraId="0C704A49" w14:textId="77777777" w:rsidR="00E04121" w:rsidRPr="00090B8E" w:rsidRDefault="00E04121" w:rsidP="00E04121">
      <w:pPr>
        <w:pStyle w:val="Heading2"/>
        <w:numPr>
          <w:ilvl w:val="0"/>
          <w:numId w:val="12"/>
        </w:numPr>
        <w:spacing w:before="0"/>
        <w:rPr>
          <w:rFonts w:ascii="Verdana" w:hAnsi="Verdana"/>
          <w:i/>
          <w:color w:val="auto"/>
          <w:sz w:val="20"/>
          <w:szCs w:val="20"/>
        </w:rPr>
      </w:pPr>
      <w:bookmarkStart w:id="54" w:name="_Toc437247332"/>
      <w:r w:rsidRPr="00090B8E">
        <w:rPr>
          <w:rFonts w:ascii="Verdana" w:hAnsi="Verdana"/>
          <w:i/>
          <w:color w:val="auto"/>
          <w:sz w:val="20"/>
          <w:szCs w:val="20"/>
        </w:rPr>
        <w:t>Concesión minera no metálica “Punta Piedra II”</w:t>
      </w:r>
      <w:bookmarkEnd w:id="54"/>
    </w:p>
    <w:p w14:paraId="0C704A4A" w14:textId="77777777" w:rsidR="00E04121" w:rsidRPr="00A71698" w:rsidRDefault="00E04121" w:rsidP="00E04121">
      <w:pPr>
        <w:pStyle w:val="ListParagraph"/>
        <w:ind w:left="0"/>
        <w:jc w:val="both"/>
        <w:rPr>
          <w:rFonts w:ascii="Verdana" w:hAnsi="Verdana"/>
          <w:sz w:val="20"/>
          <w:szCs w:val="20"/>
        </w:rPr>
      </w:pPr>
    </w:p>
    <w:p w14:paraId="0C704A4B" w14:textId="025515F3"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A71698">
        <w:rPr>
          <w:rFonts w:ascii="Verdana" w:eastAsia="Times New Roman" w:hAnsi="Verdana"/>
          <w:sz w:val="20"/>
          <w:szCs w:val="20"/>
          <w:lang w:eastAsia="es-CR"/>
        </w:rPr>
        <w:t>El 4 de diciembre de 2014, mediante resolución No. 105/12/201</w:t>
      </w:r>
      <w:r w:rsidR="00D3280D">
        <w:rPr>
          <w:rFonts w:ascii="Verdana" w:eastAsia="Times New Roman" w:hAnsi="Verdana"/>
          <w:sz w:val="20"/>
          <w:szCs w:val="20"/>
          <w:lang w:eastAsia="es-CR"/>
        </w:rPr>
        <w:t>4</w:t>
      </w:r>
      <w:r w:rsidRPr="00A71698">
        <w:rPr>
          <w:rFonts w:ascii="Verdana" w:eastAsia="Times New Roman" w:hAnsi="Verdana"/>
          <w:sz w:val="20"/>
          <w:szCs w:val="20"/>
          <w:lang w:eastAsia="es-CR"/>
        </w:rPr>
        <w:t xml:space="preserve"> del Instituto Hondureño de Geología y Minas, la Corporación Minera CANIXA S.A. obtuvo una concesión para la exploración minera no metálica, con la cual se pretende desarrollar el proyecto denominado “Punta Piedra II”. Dicha concesión fue otorgada por un período de 10 años, prorrogables a solicitud del contratista, y tiene una extensión de 800 </w:t>
      </w:r>
      <w:r w:rsidR="00D3280D">
        <w:rPr>
          <w:rFonts w:ascii="Verdana" w:eastAsia="Times New Roman" w:hAnsi="Verdana"/>
          <w:sz w:val="20"/>
          <w:szCs w:val="20"/>
          <w:lang w:eastAsia="es-CR"/>
        </w:rPr>
        <w:t>h</w:t>
      </w:r>
      <w:r w:rsidRPr="00A71698">
        <w:rPr>
          <w:rFonts w:ascii="Verdana" w:eastAsia="Times New Roman" w:hAnsi="Verdana"/>
          <w:sz w:val="20"/>
          <w:szCs w:val="20"/>
          <w:lang w:eastAsia="es-CR"/>
        </w:rPr>
        <w:t>a</w:t>
      </w:r>
      <w:r>
        <w:rPr>
          <w:rStyle w:val="FootnoteReference"/>
          <w:rFonts w:eastAsia="Times New Roman"/>
          <w:szCs w:val="20"/>
          <w:lang w:eastAsia="es-CR"/>
        </w:rPr>
        <w:footnoteReference w:id="135"/>
      </w:r>
      <w:r w:rsidRPr="00A71698">
        <w:rPr>
          <w:rFonts w:ascii="Verdana" w:eastAsia="Times New Roman" w:hAnsi="Verdana"/>
          <w:sz w:val="20"/>
          <w:szCs w:val="20"/>
          <w:lang w:eastAsia="es-CR"/>
        </w:rPr>
        <w:t xml:space="preserve">. </w:t>
      </w:r>
    </w:p>
    <w:p w14:paraId="0C704A4C" w14:textId="77777777" w:rsidR="00E04121" w:rsidRPr="00A71698" w:rsidRDefault="00E04121" w:rsidP="00E04121">
      <w:pPr>
        <w:pStyle w:val="ListParagraph"/>
        <w:ind w:left="0"/>
        <w:jc w:val="both"/>
        <w:rPr>
          <w:rFonts w:ascii="Verdana" w:hAnsi="Verdana"/>
          <w:sz w:val="20"/>
          <w:szCs w:val="20"/>
          <w:lang w:val="es-CR"/>
        </w:rPr>
      </w:pPr>
    </w:p>
    <w:p w14:paraId="0C704A4D" w14:textId="7F01D0C0"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A71698">
        <w:rPr>
          <w:rFonts w:ascii="Verdana" w:eastAsia="Times New Roman" w:hAnsi="Verdana"/>
          <w:sz w:val="20"/>
          <w:szCs w:val="20"/>
          <w:lang w:eastAsia="es-CR"/>
        </w:rPr>
        <w:t>En cuanto a su ubicación, de acuerdo con el Estado, el territorio de la Comunidad de Punta Piedra no forma parte del área otorgada en concesión, ya que los puntos más cercanos entre dichos territorios se encuentran a una distancia de 1.25 kilómetros</w:t>
      </w:r>
      <w:r>
        <w:rPr>
          <w:rFonts w:ascii="Verdana" w:eastAsia="Times New Roman" w:hAnsi="Verdana"/>
          <w:sz w:val="20"/>
          <w:szCs w:val="20"/>
          <w:lang w:eastAsia="es-CR"/>
        </w:rPr>
        <w:t>.</w:t>
      </w:r>
      <w:r w:rsidRPr="00A71698">
        <w:rPr>
          <w:rFonts w:ascii="Verdana" w:eastAsia="Times New Roman" w:hAnsi="Verdana"/>
          <w:sz w:val="20"/>
          <w:szCs w:val="20"/>
          <w:lang w:eastAsia="es-CR"/>
        </w:rPr>
        <w:t xml:space="preserve"> Sin embargo, durante la diligencia </w:t>
      </w:r>
      <w:r w:rsidRPr="00A71698">
        <w:rPr>
          <w:rFonts w:ascii="Verdana" w:eastAsia="Times New Roman" w:hAnsi="Verdana"/>
          <w:i/>
          <w:sz w:val="20"/>
          <w:szCs w:val="20"/>
          <w:lang w:eastAsia="es-CR"/>
        </w:rPr>
        <w:t>in situ</w:t>
      </w:r>
      <w:r w:rsidRPr="00A71698">
        <w:rPr>
          <w:rFonts w:ascii="Verdana" w:eastAsia="Times New Roman" w:hAnsi="Verdana"/>
          <w:sz w:val="20"/>
          <w:szCs w:val="20"/>
          <w:lang w:eastAsia="es-CR"/>
        </w:rPr>
        <w:t xml:space="preserve"> realizada en el presente caso, </w:t>
      </w:r>
      <w:r>
        <w:rPr>
          <w:rFonts w:ascii="Verdana" w:eastAsia="Times New Roman" w:hAnsi="Verdana"/>
          <w:sz w:val="20"/>
          <w:szCs w:val="20"/>
          <w:lang w:eastAsia="es-CR"/>
        </w:rPr>
        <w:t>el Estado [</w:t>
      </w:r>
      <w:r w:rsidRPr="00A71698">
        <w:rPr>
          <w:rFonts w:ascii="Verdana" w:eastAsia="Times New Roman" w:hAnsi="Verdana"/>
          <w:sz w:val="20"/>
          <w:szCs w:val="20"/>
          <w:lang w:eastAsia="es-CR"/>
        </w:rPr>
        <w:t xml:space="preserve">el señor </w:t>
      </w:r>
      <w:r w:rsidRPr="00A71698">
        <w:rPr>
          <w:rFonts w:ascii="Verdana" w:hAnsi="Verdana"/>
          <w:sz w:val="20"/>
          <w:szCs w:val="20"/>
        </w:rPr>
        <w:t>Jesús Flores, Ingeniero del INA</w:t>
      </w:r>
      <w:r>
        <w:rPr>
          <w:rFonts w:ascii="Verdana" w:hAnsi="Verdana"/>
          <w:sz w:val="20"/>
          <w:szCs w:val="20"/>
        </w:rPr>
        <w:t>]</w:t>
      </w:r>
      <w:r w:rsidRPr="00A71698">
        <w:rPr>
          <w:rFonts w:ascii="Verdana" w:hAnsi="Verdana"/>
          <w:sz w:val="20"/>
          <w:szCs w:val="20"/>
        </w:rPr>
        <w:t xml:space="preserve">, entregó a la delegación del Tribunal un mapa en el cual se constató que el área otorgada en concesión abarca parte del margen </w:t>
      </w:r>
      <w:r w:rsidR="00530D49">
        <w:rPr>
          <w:rFonts w:ascii="Verdana" w:hAnsi="Verdana"/>
          <w:sz w:val="20"/>
          <w:szCs w:val="20"/>
        </w:rPr>
        <w:t>E</w:t>
      </w:r>
      <w:r w:rsidRPr="00A71698">
        <w:rPr>
          <w:rFonts w:ascii="Verdana" w:hAnsi="Verdana"/>
          <w:sz w:val="20"/>
          <w:szCs w:val="20"/>
        </w:rPr>
        <w:t>ste del territorio de la Comunidad de Punta, tanto del título definitivo de domino pleno de 1993, como su ampliación de 1999</w:t>
      </w:r>
      <w:r w:rsidRPr="00E666BC">
        <w:rPr>
          <w:rStyle w:val="FootnoteReference"/>
          <w:szCs w:val="20"/>
        </w:rPr>
        <w:footnoteReference w:id="136"/>
      </w:r>
      <w:r w:rsidR="00530D49">
        <w:rPr>
          <w:rFonts w:ascii="Verdana" w:hAnsi="Verdana"/>
          <w:sz w:val="20"/>
          <w:szCs w:val="20"/>
        </w:rPr>
        <w:t xml:space="preserve"> (ver anexo  3)</w:t>
      </w:r>
      <w:r w:rsidRPr="00A71698">
        <w:rPr>
          <w:rFonts w:ascii="Verdana" w:hAnsi="Verdana"/>
          <w:sz w:val="20"/>
          <w:szCs w:val="20"/>
        </w:rPr>
        <w:t>.</w:t>
      </w:r>
    </w:p>
    <w:p w14:paraId="0C704A4F" w14:textId="77777777"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A71698">
        <w:rPr>
          <w:rFonts w:ascii="Verdana" w:hAnsi="Verdana"/>
          <w:sz w:val="20"/>
          <w:szCs w:val="20"/>
        </w:rPr>
        <w:lastRenderedPageBreak/>
        <w:t>Asimismo, se verificó que el proyecto “Punta Piedra II” se encontraba en una fase de exploración y determinación de viabilidad económica del yacimiento a ser explotado. Una vez concluida dicha fase, se procedería a la elaboración de un Estudio de Impacto Ambiental con el objetivo de obtener la licencia ambiental del proyecto de explotación</w:t>
      </w:r>
      <w:r>
        <w:rPr>
          <w:rStyle w:val="FootnoteReference"/>
          <w:szCs w:val="20"/>
        </w:rPr>
        <w:footnoteReference w:id="137"/>
      </w:r>
      <w:r w:rsidRPr="00A71698">
        <w:rPr>
          <w:rFonts w:ascii="Verdana" w:hAnsi="Verdana"/>
          <w:sz w:val="20"/>
          <w:szCs w:val="20"/>
        </w:rPr>
        <w:t>.</w:t>
      </w:r>
      <w:r>
        <w:rPr>
          <w:rFonts w:ascii="Verdana" w:hAnsi="Verdana"/>
          <w:sz w:val="20"/>
          <w:szCs w:val="20"/>
        </w:rPr>
        <w:t xml:space="preserve"> </w:t>
      </w:r>
    </w:p>
    <w:p w14:paraId="0C704A50" w14:textId="77777777" w:rsidR="00E04121" w:rsidRPr="00A71698" w:rsidRDefault="00E04121" w:rsidP="00E04121">
      <w:pPr>
        <w:pStyle w:val="ListParagraph"/>
        <w:rPr>
          <w:rFonts w:ascii="Verdana" w:hAnsi="Verdana"/>
          <w:sz w:val="20"/>
          <w:szCs w:val="20"/>
        </w:rPr>
      </w:pPr>
    </w:p>
    <w:p w14:paraId="0C704A51" w14:textId="77777777" w:rsidR="00E04121" w:rsidRPr="00A71698" w:rsidRDefault="00E04121" w:rsidP="00E04121">
      <w:pPr>
        <w:pStyle w:val="ListParagraph"/>
        <w:numPr>
          <w:ilvl w:val="0"/>
          <w:numId w:val="17"/>
        </w:numPr>
        <w:ind w:left="0" w:hanging="11"/>
        <w:jc w:val="both"/>
        <w:rPr>
          <w:rFonts w:ascii="Verdana" w:hAnsi="Verdana"/>
          <w:sz w:val="20"/>
          <w:szCs w:val="20"/>
          <w:lang w:val="es-CR"/>
        </w:rPr>
      </w:pPr>
      <w:r w:rsidRPr="00A71698">
        <w:rPr>
          <w:rFonts w:ascii="Verdana" w:hAnsi="Verdana"/>
          <w:sz w:val="20"/>
          <w:szCs w:val="20"/>
        </w:rPr>
        <w:t xml:space="preserve">De acuerdo con la información recibida durante la diligencia </w:t>
      </w:r>
      <w:r w:rsidRPr="00A71698">
        <w:rPr>
          <w:rFonts w:ascii="Verdana" w:hAnsi="Verdana"/>
          <w:i/>
          <w:sz w:val="20"/>
          <w:szCs w:val="20"/>
        </w:rPr>
        <w:t>in situ</w:t>
      </w:r>
      <w:r w:rsidRPr="00A71698">
        <w:rPr>
          <w:rFonts w:ascii="Verdana" w:hAnsi="Verdana"/>
          <w:sz w:val="20"/>
          <w:szCs w:val="20"/>
        </w:rPr>
        <w:t xml:space="preserve">, los riesgos de una eventual explotación minera se relacionan con la contaminación de una microcuenca hidrográfica que abastece tanto a la Comunidad de Punta Piedra como a la Comunidad de </w:t>
      </w:r>
      <w:proofErr w:type="spellStart"/>
      <w:r w:rsidRPr="00A71698">
        <w:rPr>
          <w:rFonts w:ascii="Verdana" w:hAnsi="Verdana"/>
          <w:sz w:val="20"/>
          <w:szCs w:val="20"/>
        </w:rPr>
        <w:t>Cosuna</w:t>
      </w:r>
      <w:proofErr w:type="spellEnd"/>
      <w:r>
        <w:rPr>
          <w:rStyle w:val="FootnoteReference"/>
          <w:szCs w:val="20"/>
        </w:rPr>
        <w:footnoteReference w:id="138"/>
      </w:r>
      <w:r w:rsidRPr="00A71698">
        <w:rPr>
          <w:rFonts w:ascii="Verdana" w:hAnsi="Verdana"/>
          <w:sz w:val="20"/>
          <w:szCs w:val="20"/>
        </w:rPr>
        <w:t>.</w:t>
      </w:r>
      <w:r>
        <w:rPr>
          <w:rFonts w:ascii="Verdana" w:hAnsi="Verdana"/>
          <w:sz w:val="20"/>
          <w:szCs w:val="20"/>
        </w:rPr>
        <w:t xml:space="preserve"> </w:t>
      </w:r>
    </w:p>
    <w:p w14:paraId="0C704A52" w14:textId="77777777" w:rsidR="00E04121" w:rsidRPr="00A71698" w:rsidRDefault="00E04121" w:rsidP="00E04121">
      <w:pPr>
        <w:pStyle w:val="ListParagraph"/>
        <w:rPr>
          <w:rFonts w:ascii="Verdana" w:hAnsi="Verdana"/>
          <w:sz w:val="20"/>
          <w:szCs w:val="20"/>
        </w:rPr>
      </w:pPr>
    </w:p>
    <w:p w14:paraId="0C704A53" w14:textId="14D79839" w:rsidR="00E04121" w:rsidRPr="00197FDA" w:rsidRDefault="00E04121" w:rsidP="00E04121">
      <w:pPr>
        <w:pStyle w:val="ListParagraph"/>
        <w:numPr>
          <w:ilvl w:val="0"/>
          <w:numId w:val="17"/>
        </w:numPr>
        <w:ind w:left="0" w:hanging="11"/>
        <w:jc w:val="both"/>
        <w:rPr>
          <w:rFonts w:ascii="Verdana" w:hAnsi="Verdana"/>
          <w:sz w:val="20"/>
          <w:szCs w:val="20"/>
          <w:lang w:val="es-CR"/>
        </w:rPr>
      </w:pPr>
      <w:r w:rsidRPr="00A71698">
        <w:rPr>
          <w:rFonts w:ascii="Verdana" w:hAnsi="Verdana"/>
          <w:sz w:val="20"/>
          <w:szCs w:val="20"/>
        </w:rPr>
        <w:t xml:space="preserve">A su vez, durante la diligencia </w:t>
      </w:r>
      <w:r w:rsidRPr="00A71698">
        <w:rPr>
          <w:rFonts w:ascii="Verdana" w:hAnsi="Verdana"/>
          <w:i/>
          <w:sz w:val="20"/>
          <w:szCs w:val="20"/>
        </w:rPr>
        <w:t>in situ</w:t>
      </w:r>
      <w:r w:rsidRPr="00A71698">
        <w:rPr>
          <w:rFonts w:ascii="Verdana" w:hAnsi="Verdana"/>
          <w:sz w:val="20"/>
          <w:szCs w:val="20"/>
        </w:rPr>
        <w:t xml:space="preserve"> la delegación del Tribunal fue informada que no ha sido realizado un proceso de consulta a los miembros de las comunidades de Punta Piedra y </w:t>
      </w:r>
      <w:proofErr w:type="spellStart"/>
      <w:r w:rsidRPr="00A71698">
        <w:rPr>
          <w:rFonts w:ascii="Verdana" w:hAnsi="Verdana"/>
          <w:sz w:val="20"/>
          <w:szCs w:val="20"/>
        </w:rPr>
        <w:t>Cosuna</w:t>
      </w:r>
      <w:proofErr w:type="spellEnd"/>
      <w:r w:rsidRPr="00A71698">
        <w:rPr>
          <w:rFonts w:ascii="Verdana" w:hAnsi="Verdana"/>
          <w:sz w:val="20"/>
          <w:szCs w:val="20"/>
        </w:rPr>
        <w:t xml:space="preserve"> sobre el proyecto de exploración minera, ya que </w:t>
      </w:r>
      <w:r>
        <w:rPr>
          <w:rFonts w:ascii="Verdana" w:hAnsi="Verdana"/>
          <w:sz w:val="20"/>
          <w:szCs w:val="20"/>
        </w:rPr>
        <w:t xml:space="preserve">según el Estado, </w:t>
      </w:r>
      <w:r w:rsidRPr="00A71698">
        <w:rPr>
          <w:rFonts w:ascii="Verdana" w:hAnsi="Verdana"/>
          <w:sz w:val="20"/>
          <w:szCs w:val="20"/>
        </w:rPr>
        <w:t>dicha consulta se realiza al momento en que estén por iniciarse las actividades de explotación</w:t>
      </w:r>
      <w:r>
        <w:rPr>
          <w:rFonts w:ascii="Verdana" w:hAnsi="Verdana"/>
          <w:sz w:val="20"/>
          <w:szCs w:val="20"/>
        </w:rPr>
        <w:t xml:space="preserve"> y no así de exploración</w:t>
      </w:r>
      <w:r>
        <w:rPr>
          <w:rStyle w:val="FootnoteReference"/>
          <w:szCs w:val="20"/>
        </w:rPr>
        <w:footnoteReference w:id="139"/>
      </w:r>
      <w:r>
        <w:rPr>
          <w:rFonts w:ascii="Verdana" w:hAnsi="Verdana"/>
          <w:sz w:val="20"/>
          <w:szCs w:val="20"/>
        </w:rPr>
        <w:t xml:space="preserve">, </w:t>
      </w:r>
      <w:r w:rsidRPr="00012F57">
        <w:rPr>
          <w:rFonts w:ascii="Verdana" w:hAnsi="Verdana"/>
          <w:sz w:val="20"/>
          <w:szCs w:val="20"/>
        </w:rPr>
        <w:t>conforme a su legislación interna, en particular el artículo 82 del Reglamento de la Ley General de Minería (</w:t>
      </w:r>
      <w:r w:rsidRPr="00012F57">
        <w:rPr>
          <w:rFonts w:ascii="Verdana" w:hAnsi="Verdana"/>
          <w:i/>
          <w:sz w:val="20"/>
          <w:szCs w:val="20"/>
        </w:rPr>
        <w:t xml:space="preserve">infra </w:t>
      </w:r>
      <w:r w:rsidRPr="00012F57">
        <w:rPr>
          <w:rFonts w:ascii="Verdana" w:hAnsi="Verdana"/>
          <w:sz w:val="20"/>
          <w:szCs w:val="20"/>
        </w:rPr>
        <w:t xml:space="preserve">párr. </w:t>
      </w:r>
      <w:r w:rsidR="00A35F18">
        <w:rPr>
          <w:rFonts w:ascii="Verdana" w:hAnsi="Verdana"/>
          <w:sz w:val="20"/>
          <w:szCs w:val="20"/>
        </w:rPr>
        <w:t>221</w:t>
      </w:r>
      <w:r w:rsidRPr="00012F57">
        <w:rPr>
          <w:rFonts w:ascii="Verdana" w:hAnsi="Verdana"/>
          <w:sz w:val="20"/>
          <w:szCs w:val="20"/>
        </w:rPr>
        <w:t>).</w:t>
      </w:r>
      <w:r w:rsidRPr="00CB26E3">
        <w:rPr>
          <w:rFonts w:ascii="Verdana" w:hAnsi="Verdana"/>
          <w:b/>
          <w:sz w:val="20"/>
          <w:szCs w:val="20"/>
        </w:rPr>
        <w:t xml:space="preserve">  </w:t>
      </w:r>
    </w:p>
    <w:p w14:paraId="0C704A54" w14:textId="77777777" w:rsidR="00E04121" w:rsidRPr="00A71698" w:rsidRDefault="00E04121" w:rsidP="00E04121">
      <w:pPr>
        <w:rPr>
          <w:rFonts w:ascii="Verdana" w:hAnsi="Verdana"/>
          <w:sz w:val="20"/>
          <w:szCs w:val="20"/>
          <w:lang w:val="es-CR"/>
        </w:rPr>
      </w:pPr>
    </w:p>
    <w:p w14:paraId="0C704A55" w14:textId="77777777" w:rsidR="00E04121" w:rsidRPr="00ED0CB6" w:rsidRDefault="00E04121" w:rsidP="00D01D74">
      <w:pPr>
        <w:pStyle w:val="Heading2"/>
        <w:numPr>
          <w:ilvl w:val="0"/>
          <w:numId w:val="12"/>
        </w:numPr>
        <w:spacing w:before="0"/>
        <w:jc w:val="both"/>
        <w:rPr>
          <w:rFonts w:ascii="Verdana" w:hAnsi="Verdana"/>
          <w:i/>
          <w:color w:val="auto"/>
          <w:sz w:val="20"/>
          <w:szCs w:val="20"/>
        </w:rPr>
      </w:pPr>
      <w:bookmarkStart w:id="55" w:name="_Toc429724444"/>
      <w:bookmarkStart w:id="56" w:name="_Toc421868212"/>
      <w:bookmarkStart w:id="57" w:name="_Toc437247333"/>
      <w:bookmarkEnd w:id="55"/>
      <w:r>
        <w:rPr>
          <w:rFonts w:ascii="Verdana" w:hAnsi="Verdana"/>
          <w:i/>
          <w:color w:val="auto"/>
          <w:sz w:val="20"/>
          <w:szCs w:val="20"/>
        </w:rPr>
        <w:t>D</w:t>
      </w:r>
      <w:r w:rsidRPr="00ED0CB6">
        <w:rPr>
          <w:rFonts w:ascii="Verdana" w:hAnsi="Verdana"/>
          <w:i/>
          <w:color w:val="auto"/>
          <w:sz w:val="20"/>
          <w:szCs w:val="20"/>
        </w:rPr>
        <w:t>enuncias interpuestas a nivel interno</w:t>
      </w:r>
      <w:bookmarkEnd w:id="56"/>
      <w:r>
        <w:rPr>
          <w:rFonts w:ascii="Verdana" w:hAnsi="Verdana"/>
          <w:i/>
          <w:color w:val="auto"/>
          <w:sz w:val="20"/>
          <w:szCs w:val="20"/>
        </w:rPr>
        <w:t xml:space="preserve"> derivadas de la situación de conflicto</w:t>
      </w:r>
      <w:bookmarkEnd w:id="57"/>
      <w:r>
        <w:rPr>
          <w:rFonts w:ascii="Verdana" w:hAnsi="Verdana"/>
          <w:i/>
          <w:color w:val="auto"/>
          <w:sz w:val="20"/>
          <w:szCs w:val="20"/>
        </w:rPr>
        <w:t xml:space="preserve"> </w:t>
      </w:r>
    </w:p>
    <w:p w14:paraId="0C704A56" w14:textId="77777777" w:rsidR="00E04121" w:rsidRDefault="00E04121" w:rsidP="00E04121">
      <w:pPr>
        <w:pStyle w:val="ListParagraph"/>
        <w:tabs>
          <w:tab w:val="left" w:pos="567"/>
        </w:tabs>
        <w:ind w:left="0"/>
        <w:jc w:val="both"/>
        <w:rPr>
          <w:rFonts w:ascii="Verdana" w:hAnsi="Verdana"/>
          <w:sz w:val="20"/>
          <w:szCs w:val="20"/>
        </w:rPr>
      </w:pPr>
    </w:p>
    <w:p w14:paraId="0C704A57" w14:textId="57BC4E2E" w:rsidR="00E04121" w:rsidRDefault="00E04121" w:rsidP="00E04121">
      <w:pPr>
        <w:pStyle w:val="ListParagraph"/>
        <w:numPr>
          <w:ilvl w:val="0"/>
          <w:numId w:val="17"/>
        </w:numPr>
        <w:ind w:left="0" w:hanging="11"/>
        <w:jc w:val="both"/>
        <w:rPr>
          <w:rFonts w:ascii="Verdana" w:hAnsi="Verdana"/>
          <w:sz w:val="20"/>
          <w:szCs w:val="20"/>
          <w:lang w:val="es-MX"/>
        </w:rPr>
      </w:pPr>
      <w:r w:rsidRPr="00981180">
        <w:rPr>
          <w:rFonts w:ascii="Verdana" w:hAnsi="Verdana"/>
          <w:sz w:val="20"/>
          <w:szCs w:val="20"/>
          <w:lang w:val="es-MX"/>
        </w:rPr>
        <w:t>La ocupación de</w:t>
      </w:r>
      <w:r w:rsidR="00F332B4">
        <w:rPr>
          <w:rFonts w:ascii="Verdana" w:hAnsi="Verdana"/>
          <w:sz w:val="20"/>
          <w:szCs w:val="20"/>
          <w:lang w:val="es-MX"/>
        </w:rPr>
        <w:t xml:space="preserve"> los pobladores de Río Miel</w:t>
      </w:r>
      <w:r w:rsidRPr="00981180">
        <w:rPr>
          <w:rFonts w:ascii="Verdana" w:hAnsi="Verdana"/>
          <w:sz w:val="20"/>
          <w:szCs w:val="20"/>
          <w:lang w:val="es-MX"/>
        </w:rPr>
        <w:t xml:space="preserve"> de</w:t>
      </w:r>
      <w:r w:rsidR="00F332B4">
        <w:rPr>
          <w:rFonts w:ascii="Verdana" w:hAnsi="Verdana"/>
          <w:sz w:val="20"/>
          <w:szCs w:val="20"/>
          <w:lang w:val="es-MX"/>
        </w:rPr>
        <w:t xml:space="preserve"> parte del</w:t>
      </w:r>
      <w:r w:rsidRPr="00981180">
        <w:rPr>
          <w:rFonts w:ascii="Verdana" w:hAnsi="Verdana"/>
          <w:sz w:val="20"/>
          <w:szCs w:val="20"/>
          <w:lang w:val="es-MX"/>
        </w:rPr>
        <w:t xml:space="preserve"> territorio de la Comunidad de Punta Piedra generó un problema de tenencia de tierra entre ambas comunidades y como consecuencia de ello, una situación de conflicto que produjo a su vez, violencia en la zona, caracterizada por amenazas y actos de hostigamiento por parte de los campesinos</w:t>
      </w:r>
      <w:r>
        <w:rPr>
          <w:rStyle w:val="FootnoteReference"/>
          <w:szCs w:val="20"/>
          <w:lang w:val="es-MX"/>
        </w:rPr>
        <w:footnoteReference w:id="140"/>
      </w:r>
      <w:r w:rsidRPr="00981180">
        <w:rPr>
          <w:rFonts w:ascii="Verdana" w:hAnsi="Verdana"/>
          <w:sz w:val="20"/>
          <w:szCs w:val="20"/>
          <w:lang w:val="es-MX"/>
        </w:rPr>
        <w:t>.</w:t>
      </w:r>
      <w:r>
        <w:rPr>
          <w:rFonts w:ascii="Verdana" w:hAnsi="Verdana"/>
          <w:sz w:val="20"/>
          <w:szCs w:val="20"/>
          <w:lang w:val="es-MX"/>
        </w:rPr>
        <w:t xml:space="preserve"> </w:t>
      </w:r>
      <w:r w:rsidRPr="00981180">
        <w:rPr>
          <w:rFonts w:ascii="Verdana" w:hAnsi="Verdana"/>
          <w:sz w:val="20"/>
          <w:szCs w:val="20"/>
          <w:lang w:val="es-MX"/>
        </w:rPr>
        <w:t xml:space="preserve">Dicho conflicto habría derivado en la muerte de un miembro de la Comunidad Garífuna de Punta Piedra, el señor Félix Ordóñez Suazo, el </w:t>
      </w:r>
      <w:r w:rsidRPr="00981180">
        <w:rPr>
          <w:rFonts w:ascii="Verdana" w:hAnsi="Verdana"/>
          <w:sz w:val="20"/>
          <w:szCs w:val="20"/>
          <w:lang w:val="es-MX"/>
        </w:rPr>
        <w:lastRenderedPageBreak/>
        <w:t xml:space="preserve">11 de junio de 2007. </w:t>
      </w:r>
      <w:r>
        <w:rPr>
          <w:rFonts w:ascii="Verdana" w:hAnsi="Verdana"/>
          <w:sz w:val="20"/>
          <w:szCs w:val="20"/>
          <w:lang w:val="es-MX"/>
        </w:rPr>
        <w:t xml:space="preserve">Esta situación </w:t>
      </w:r>
      <w:r w:rsidRPr="00981180">
        <w:rPr>
          <w:rFonts w:ascii="Verdana" w:hAnsi="Verdana"/>
          <w:sz w:val="20"/>
          <w:szCs w:val="20"/>
          <w:lang w:val="es-ES"/>
        </w:rPr>
        <w:t>fue conocida por el Estado en documentos emitidos por el INA y otras autoridades, como será descrito en el apartado correspondiente de la presente Sentencia (</w:t>
      </w:r>
      <w:r w:rsidRPr="00981180">
        <w:rPr>
          <w:rFonts w:ascii="Verdana" w:hAnsi="Verdana"/>
          <w:i/>
          <w:sz w:val="20"/>
          <w:szCs w:val="20"/>
          <w:lang w:val="es-ES"/>
        </w:rPr>
        <w:t>infra</w:t>
      </w:r>
      <w:r w:rsidRPr="00981180">
        <w:rPr>
          <w:rFonts w:ascii="Verdana" w:hAnsi="Verdana"/>
          <w:sz w:val="20"/>
          <w:szCs w:val="20"/>
          <w:lang w:val="es-ES"/>
        </w:rPr>
        <w:t xml:space="preserve"> párrs. </w:t>
      </w:r>
      <w:r w:rsidR="00257D2F">
        <w:rPr>
          <w:rFonts w:ascii="Verdana" w:hAnsi="Verdana"/>
          <w:sz w:val="20"/>
          <w:szCs w:val="20"/>
          <w:lang w:val="es-ES"/>
        </w:rPr>
        <w:t>271 y 276</w:t>
      </w:r>
      <w:r w:rsidRPr="00981180">
        <w:rPr>
          <w:rFonts w:ascii="Verdana" w:hAnsi="Verdana"/>
          <w:sz w:val="20"/>
          <w:szCs w:val="20"/>
          <w:lang w:val="es-ES"/>
        </w:rPr>
        <w:t>)</w:t>
      </w:r>
      <w:r w:rsidRPr="00981180">
        <w:rPr>
          <w:rFonts w:ascii="Verdana" w:hAnsi="Verdana"/>
          <w:sz w:val="20"/>
          <w:szCs w:val="20"/>
          <w:lang w:val="es-MX"/>
        </w:rPr>
        <w:t>.</w:t>
      </w:r>
      <w:r>
        <w:rPr>
          <w:rFonts w:ascii="Verdana" w:hAnsi="Verdana"/>
          <w:sz w:val="20"/>
          <w:szCs w:val="20"/>
          <w:lang w:val="es-MX"/>
        </w:rPr>
        <w:t xml:space="preserve"> </w:t>
      </w:r>
    </w:p>
    <w:p w14:paraId="0C704A58" w14:textId="77777777" w:rsidR="00E04121" w:rsidRDefault="00E04121" w:rsidP="00E04121">
      <w:pPr>
        <w:pStyle w:val="ListParagraph"/>
        <w:ind w:left="0"/>
        <w:jc w:val="both"/>
        <w:rPr>
          <w:rFonts w:ascii="Verdana" w:hAnsi="Verdana"/>
          <w:sz w:val="20"/>
          <w:szCs w:val="20"/>
          <w:lang w:val="es-MX"/>
        </w:rPr>
      </w:pPr>
    </w:p>
    <w:p w14:paraId="0C704A59" w14:textId="7E2A0644" w:rsidR="00E04121" w:rsidRPr="009876D8" w:rsidRDefault="00E04121" w:rsidP="00E04121">
      <w:pPr>
        <w:pStyle w:val="ListParagraph"/>
        <w:numPr>
          <w:ilvl w:val="0"/>
          <w:numId w:val="17"/>
        </w:numPr>
        <w:ind w:left="0" w:hanging="11"/>
        <w:jc w:val="both"/>
        <w:rPr>
          <w:rFonts w:ascii="Verdana" w:hAnsi="Verdana"/>
          <w:sz w:val="20"/>
          <w:szCs w:val="20"/>
          <w:lang w:val="es-MX"/>
        </w:rPr>
      </w:pPr>
      <w:r w:rsidRPr="00CE32BD">
        <w:rPr>
          <w:rFonts w:ascii="Verdana" w:hAnsi="Verdana"/>
          <w:sz w:val="20"/>
          <w:szCs w:val="20"/>
          <w:lang w:val="es-MX"/>
        </w:rPr>
        <w:t xml:space="preserve">Por otro lado, si bien durante la diligencia </w:t>
      </w:r>
      <w:r w:rsidRPr="009876D8">
        <w:rPr>
          <w:rFonts w:ascii="Verdana" w:hAnsi="Verdana"/>
          <w:i/>
          <w:sz w:val="20"/>
          <w:szCs w:val="20"/>
          <w:lang w:val="es-MX"/>
        </w:rPr>
        <w:t>in situ</w:t>
      </w:r>
      <w:r w:rsidRPr="00CE32BD">
        <w:rPr>
          <w:rFonts w:ascii="Verdana" w:hAnsi="Verdana"/>
          <w:sz w:val="20"/>
          <w:szCs w:val="20"/>
          <w:lang w:val="es-MX"/>
        </w:rPr>
        <w:t xml:space="preserve">, los pobladores de Río Miel indicaron que las relaciones con los </w:t>
      </w:r>
      <w:r w:rsidRPr="009876D8">
        <w:rPr>
          <w:rFonts w:ascii="Verdana" w:hAnsi="Verdana"/>
          <w:sz w:val="20"/>
          <w:szCs w:val="20"/>
          <w:lang w:val="es-MX"/>
        </w:rPr>
        <w:t xml:space="preserve">“hermanos de Punta Piedra” eran pacíficas, los representantes indicaron </w:t>
      </w:r>
      <w:r w:rsidR="00F332B4">
        <w:rPr>
          <w:rFonts w:ascii="Verdana" w:hAnsi="Verdana"/>
          <w:sz w:val="20"/>
          <w:szCs w:val="20"/>
          <w:lang w:val="es-MX"/>
        </w:rPr>
        <w:t xml:space="preserve">en sus observaciones respecto de la visita, </w:t>
      </w:r>
      <w:r w:rsidRPr="009876D8">
        <w:rPr>
          <w:rFonts w:ascii="Verdana" w:hAnsi="Verdana"/>
          <w:sz w:val="20"/>
          <w:szCs w:val="20"/>
          <w:lang w:val="es-MX"/>
        </w:rPr>
        <w:t>que “no [era] cierto que ha[</w:t>
      </w:r>
      <w:proofErr w:type="spellStart"/>
      <w:r w:rsidRPr="009876D8">
        <w:rPr>
          <w:rFonts w:ascii="Verdana" w:hAnsi="Verdana"/>
          <w:sz w:val="20"/>
          <w:szCs w:val="20"/>
          <w:lang w:val="es-MX"/>
        </w:rPr>
        <w:t>bía</w:t>
      </w:r>
      <w:proofErr w:type="spellEnd"/>
      <w:r w:rsidRPr="009876D8">
        <w:rPr>
          <w:rFonts w:ascii="Verdana" w:hAnsi="Verdana"/>
          <w:sz w:val="20"/>
          <w:szCs w:val="20"/>
          <w:lang w:val="es-MX"/>
        </w:rPr>
        <w:t xml:space="preserve">] armonía entre las comunidades” y que “la seguridad del día de la visita [se debía a que] la zona se militarizó”; asimismo indicaron </w:t>
      </w:r>
      <w:r w:rsidRPr="00CE32BD">
        <w:rPr>
          <w:rFonts w:ascii="Verdana" w:hAnsi="Verdana"/>
          <w:sz w:val="20"/>
          <w:szCs w:val="20"/>
          <w:lang w:val="es-MX"/>
        </w:rPr>
        <w:t xml:space="preserve">que “la </w:t>
      </w:r>
      <w:r w:rsidRPr="00171BB0">
        <w:rPr>
          <w:rFonts w:ascii="Verdana" w:hAnsi="Verdana"/>
          <w:sz w:val="20"/>
          <w:szCs w:val="20"/>
          <w:lang w:val="es-MX"/>
        </w:rPr>
        <w:t>presencia de los colonos no ha[</w:t>
      </w:r>
      <w:proofErr w:type="spellStart"/>
      <w:r w:rsidRPr="00171BB0">
        <w:rPr>
          <w:rFonts w:ascii="Verdana" w:hAnsi="Verdana"/>
          <w:sz w:val="20"/>
          <w:szCs w:val="20"/>
          <w:lang w:val="es-MX"/>
        </w:rPr>
        <w:t>bía</w:t>
      </w:r>
      <w:proofErr w:type="spellEnd"/>
      <w:r w:rsidRPr="00171BB0">
        <w:rPr>
          <w:rFonts w:ascii="Verdana" w:hAnsi="Verdana"/>
          <w:sz w:val="20"/>
          <w:szCs w:val="20"/>
          <w:lang w:val="es-MX"/>
        </w:rPr>
        <w:t>] sido pacífica”</w:t>
      </w:r>
      <w:r w:rsidR="00F332B4">
        <w:rPr>
          <w:rFonts w:ascii="Verdana" w:hAnsi="Verdana"/>
          <w:sz w:val="20"/>
          <w:szCs w:val="20"/>
          <w:lang w:val="es-MX"/>
        </w:rPr>
        <w:t>.</w:t>
      </w:r>
    </w:p>
    <w:p w14:paraId="0C704A5A" w14:textId="77777777" w:rsidR="00E04121" w:rsidRPr="00F114DE" w:rsidRDefault="00E04121" w:rsidP="00E04121">
      <w:pPr>
        <w:pStyle w:val="ListParagraph"/>
        <w:ind w:left="0"/>
        <w:jc w:val="both"/>
        <w:rPr>
          <w:rFonts w:ascii="Verdana" w:hAnsi="Verdana"/>
          <w:sz w:val="20"/>
          <w:szCs w:val="20"/>
          <w:lang w:val="es-MX"/>
        </w:rPr>
      </w:pPr>
    </w:p>
    <w:p w14:paraId="0C704A5B" w14:textId="4019036D" w:rsidR="00E04121"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ES"/>
        </w:rPr>
        <w:t xml:space="preserve">La situación de conflicto derivó en la interposición de cinco denuncias, las que serán descritas por este Tribunal en los siguientes apartados: a) denuncia por usurpación en perjuicio de </w:t>
      </w:r>
      <w:r w:rsidR="00631669">
        <w:rPr>
          <w:rFonts w:ascii="Verdana" w:hAnsi="Verdana"/>
          <w:sz w:val="20"/>
          <w:szCs w:val="20"/>
          <w:lang w:val="es-ES"/>
        </w:rPr>
        <w:t>Félix Ordóñez Suazo</w:t>
      </w:r>
      <w:r w:rsidRPr="000955FE">
        <w:rPr>
          <w:rFonts w:ascii="Verdana" w:hAnsi="Verdana"/>
          <w:sz w:val="20"/>
          <w:szCs w:val="20"/>
          <w:lang w:val="es-ES"/>
        </w:rPr>
        <w:t xml:space="preserve"> </w:t>
      </w:r>
      <w:r>
        <w:rPr>
          <w:rFonts w:ascii="Verdana" w:hAnsi="Verdana"/>
          <w:sz w:val="20"/>
          <w:szCs w:val="20"/>
          <w:lang w:val="es-ES"/>
        </w:rPr>
        <w:t xml:space="preserve">de 2003 </w:t>
      </w:r>
      <w:r w:rsidRPr="000955FE">
        <w:rPr>
          <w:rFonts w:ascii="Verdana" w:hAnsi="Verdana"/>
          <w:sz w:val="20"/>
          <w:szCs w:val="20"/>
          <w:lang w:val="es-ES"/>
        </w:rPr>
        <w:t>y denuncia por su consecuente asesinato</w:t>
      </w:r>
      <w:r>
        <w:rPr>
          <w:rFonts w:ascii="Verdana" w:hAnsi="Verdana"/>
          <w:sz w:val="20"/>
          <w:szCs w:val="20"/>
          <w:lang w:val="es-ES"/>
        </w:rPr>
        <w:t xml:space="preserve"> de 2007</w:t>
      </w:r>
      <w:r w:rsidRPr="000955FE">
        <w:rPr>
          <w:rFonts w:ascii="Verdana" w:hAnsi="Verdana"/>
          <w:sz w:val="20"/>
          <w:szCs w:val="20"/>
          <w:lang w:val="es-ES"/>
        </w:rPr>
        <w:t xml:space="preserve">; b) denuncia por usurpación y amenazas en perjuicio de Paulino Mejía y de la </w:t>
      </w:r>
      <w:r w:rsidR="002A2F53">
        <w:rPr>
          <w:rFonts w:ascii="Verdana" w:hAnsi="Verdana"/>
          <w:sz w:val="20"/>
          <w:szCs w:val="20"/>
          <w:lang w:val="es-ES"/>
        </w:rPr>
        <w:t>Comunidad Garífuna de Punta Piedra</w:t>
      </w:r>
      <w:r>
        <w:rPr>
          <w:rFonts w:ascii="Verdana" w:hAnsi="Verdana"/>
          <w:sz w:val="20"/>
          <w:szCs w:val="20"/>
          <w:lang w:val="es-ES"/>
        </w:rPr>
        <w:t xml:space="preserve"> de 2010</w:t>
      </w:r>
      <w:r w:rsidRPr="000955FE">
        <w:rPr>
          <w:rFonts w:ascii="Verdana" w:hAnsi="Verdana"/>
          <w:sz w:val="20"/>
          <w:szCs w:val="20"/>
          <w:lang w:val="es-ES"/>
        </w:rPr>
        <w:t xml:space="preserve">, y c) denuncia por </w:t>
      </w:r>
      <w:r w:rsidR="00F332B4">
        <w:rPr>
          <w:rFonts w:ascii="Verdana" w:hAnsi="Verdana"/>
          <w:sz w:val="20"/>
          <w:szCs w:val="20"/>
          <w:lang w:val="es-ES"/>
        </w:rPr>
        <w:t xml:space="preserve">abuso de autoridad por </w:t>
      </w:r>
      <w:r w:rsidRPr="000955FE">
        <w:rPr>
          <w:rFonts w:ascii="Verdana" w:hAnsi="Verdana"/>
          <w:sz w:val="20"/>
          <w:szCs w:val="20"/>
          <w:lang w:val="es-ES"/>
        </w:rPr>
        <w:t xml:space="preserve">la construcción de una brecha de carretera en el territorio de la </w:t>
      </w:r>
      <w:r w:rsidR="002A2F53">
        <w:rPr>
          <w:rFonts w:ascii="Verdana" w:hAnsi="Verdana"/>
          <w:sz w:val="20"/>
          <w:szCs w:val="20"/>
          <w:lang w:val="es-ES"/>
        </w:rPr>
        <w:t>Comunidad Garífuna de Punta Piedra</w:t>
      </w:r>
      <w:r>
        <w:rPr>
          <w:rFonts w:ascii="Verdana" w:hAnsi="Verdana"/>
          <w:sz w:val="20"/>
          <w:szCs w:val="20"/>
          <w:lang w:val="es-MX"/>
        </w:rPr>
        <w:t xml:space="preserve"> de 2010.</w:t>
      </w:r>
    </w:p>
    <w:p w14:paraId="0C704A5C" w14:textId="77777777" w:rsidR="00E04121" w:rsidRPr="009876D8" w:rsidRDefault="00E04121" w:rsidP="00E04121">
      <w:pPr>
        <w:rPr>
          <w:rFonts w:ascii="Verdana" w:hAnsi="Verdana"/>
          <w:sz w:val="20"/>
          <w:szCs w:val="20"/>
          <w:lang w:val="es-MX"/>
        </w:rPr>
      </w:pPr>
    </w:p>
    <w:p w14:paraId="0C704A5D" w14:textId="77777777" w:rsidR="00E04121" w:rsidRPr="000955FE" w:rsidRDefault="00E04121" w:rsidP="00E04121">
      <w:pPr>
        <w:pStyle w:val="Heading3"/>
        <w:spacing w:before="0"/>
        <w:ind w:left="360"/>
        <w:jc w:val="both"/>
        <w:rPr>
          <w:rFonts w:ascii="Verdana" w:hAnsi="Verdana"/>
          <w:i/>
          <w:color w:val="auto"/>
          <w:sz w:val="20"/>
          <w:szCs w:val="20"/>
        </w:rPr>
      </w:pPr>
      <w:bookmarkStart w:id="58" w:name="_Toc421868213"/>
      <w:bookmarkStart w:id="59" w:name="_Toc437247334"/>
      <w:r>
        <w:rPr>
          <w:rFonts w:ascii="Verdana" w:hAnsi="Verdana"/>
          <w:i/>
          <w:color w:val="auto"/>
          <w:sz w:val="20"/>
          <w:szCs w:val="20"/>
        </w:rPr>
        <w:t>F</w:t>
      </w:r>
      <w:r w:rsidRPr="000955FE">
        <w:rPr>
          <w:rFonts w:ascii="Verdana" w:hAnsi="Verdana"/>
          <w:i/>
          <w:color w:val="auto"/>
          <w:sz w:val="20"/>
          <w:szCs w:val="20"/>
        </w:rPr>
        <w:t>.1. Denuncia por delito de usurpación, e investigación y proceso penal por la muerte de Félix Ordóñez Suazo</w:t>
      </w:r>
      <w:bookmarkEnd w:id="58"/>
      <w:bookmarkEnd w:id="59"/>
      <w:r w:rsidRPr="000955FE">
        <w:rPr>
          <w:rFonts w:ascii="Verdana" w:hAnsi="Verdana"/>
          <w:i/>
          <w:color w:val="auto"/>
          <w:sz w:val="20"/>
          <w:szCs w:val="20"/>
        </w:rPr>
        <w:t xml:space="preserve"> </w:t>
      </w:r>
    </w:p>
    <w:p w14:paraId="0C704A5E" w14:textId="77777777" w:rsidR="00E04121" w:rsidRPr="000955FE" w:rsidRDefault="00E04121" w:rsidP="00E04121">
      <w:pPr>
        <w:pStyle w:val="Heading4"/>
        <w:rPr>
          <w:rFonts w:eastAsia="Calibri"/>
        </w:rPr>
      </w:pPr>
    </w:p>
    <w:p w14:paraId="0C704A5F" w14:textId="77777777" w:rsidR="00E04121" w:rsidRPr="000955FE" w:rsidRDefault="00E04121" w:rsidP="00E04121">
      <w:pPr>
        <w:pStyle w:val="Heading4"/>
      </w:pPr>
      <w:bookmarkStart w:id="60" w:name="_Toc437247335"/>
      <w:r>
        <w:t>F</w:t>
      </w:r>
      <w:r w:rsidRPr="000955FE">
        <w:t>.1.1 Denuncia por delito de usurpación</w:t>
      </w:r>
      <w:r>
        <w:t xml:space="preserve"> de 2003</w:t>
      </w:r>
      <w:bookmarkEnd w:id="60"/>
    </w:p>
    <w:p w14:paraId="0C704A60" w14:textId="77777777" w:rsidR="00E04121" w:rsidRPr="000955FE" w:rsidRDefault="00E04121" w:rsidP="00E04121">
      <w:pPr>
        <w:rPr>
          <w:rFonts w:ascii="Verdana" w:hAnsi="Verdana"/>
          <w:sz w:val="20"/>
          <w:szCs w:val="20"/>
          <w:lang w:val="es-CR"/>
        </w:rPr>
      </w:pPr>
    </w:p>
    <w:p w14:paraId="0C704A61" w14:textId="78C0326D"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 xml:space="preserve">El 22 mayo de 2003 Félix Ordóñez Suazo interpuso denuncia No. 188-2003 en contra de Luis Portillo, ante la Dirección General de Investigación Criminal </w:t>
      </w:r>
      <w:r w:rsidR="00DB46DF">
        <w:rPr>
          <w:rFonts w:ascii="Verdana" w:hAnsi="Verdana"/>
          <w:sz w:val="20"/>
          <w:szCs w:val="20"/>
          <w:lang w:val="es-CR"/>
        </w:rPr>
        <w:t>(</w:t>
      </w:r>
      <w:r w:rsidR="00FD39FC">
        <w:rPr>
          <w:rFonts w:ascii="Verdana" w:hAnsi="Verdana"/>
          <w:sz w:val="20"/>
          <w:szCs w:val="20"/>
          <w:lang w:val="es-CR"/>
        </w:rPr>
        <w:t>en adelante,</w:t>
      </w:r>
      <w:r w:rsidRPr="000955FE">
        <w:rPr>
          <w:rFonts w:ascii="Verdana" w:hAnsi="Verdana"/>
          <w:sz w:val="20"/>
          <w:szCs w:val="20"/>
          <w:lang w:val="es-CR"/>
        </w:rPr>
        <w:t xml:space="preserve"> “DGIC”) de la Secretaría de Seguridad en Trujillo, por la presunta comisión del delito de usurpación de tierras en su perjuicio</w:t>
      </w:r>
      <w:r w:rsidRPr="000955FE">
        <w:rPr>
          <w:rStyle w:val="FootnoteReference"/>
          <w:szCs w:val="20"/>
          <w:lang w:val="es-CR"/>
        </w:rPr>
        <w:footnoteReference w:id="141"/>
      </w:r>
      <w:r w:rsidRPr="000955FE">
        <w:rPr>
          <w:rFonts w:ascii="Verdana" w:hAnsi="Verdana"/>
          <w:sz w:val="20"/>
          <w:szCs w:val="20"/>
          <w:lang w:val="es-CR"/>
        </w:rPr>
        <w:t>. Esta señaló que en mayo de 2003, Luis Portillo, el cual era terrateniente de la zona, quiso apoderarse de un área aproximada de tres a ocho manzanas de terreno, ubicados en la Comunidad de Punta Piedra</w:t>
      </w:r>
      <w:r w:rsidRPr="000955FE">
        <w:rPr>
          <w:rStyle w:val="FootnoteReference"/>
          <w:szCs w:val="20"/>
          <w:lang w:val="es-CR"/>
        </w:rPr>
        <w:footnoteReference w:id="142"/>
      </w:r>
      <w:r w:rsidRPr="000955FE">
        <w:rPr>
          <w:rFonts w:ascii="Verdana" w:hAnsi="Verdana"/>
          <w:sz w:val="20"/>
          <w:szCs w:val="20"/>
          <w:lang w:val="es-CR"/>
        </w:rPr>
        <w:t xml:space="preserve">. Asimismo, </w:t>
      </w:r>
      <w:r w:rsidRPr="000955FE">
        <w:rPr>
          <w:rFonts w:ascii="Verdana" w:hAnsi="Verdana"/>
          <w:sz w:val="20"/>
          <w:szCs w:val="20"/>
          <w:lang w:val="es-ES"/>
        </w:rPr>
        <w:t xml:space="preserve">el 11 de julio de 2003, </w:t>
      </w:r>
      <w:r w:rsidRPr="000955FE">
        <w:rPr>
          <w:rFonts w:ascii="Verdana" w:hAnsi="Verdana"/>
          <w:sz w:val="20"/>
          <w:szCs w:val="20"/>
          <w:lang w:val="es-CR"/>
        </w:rPr>
        <w:t xml:space="preserve">esa misma denuncia fue registrada bajo el No. 6714-2003 ante la </w:t>
      </w:r>
      <w:r w:rsidRPr="000955FE">
        <w:rPr>
          <w:rFonts w:ascii="Verdana" w:hAnsi="Verdana"/>
          <w:sz w:val="20"/>
          <w:szCs w:val="20"/>
          <w:lang w:val="es-ES"/>
        </w:rPr>
        <w:t xml:space="preserve">Fiscalía Especial de Etnias y Patrimonio Cultural </w:t>
      </w:r>
      <w:r w:rsidR="00FD39FC">
        <w:rPr>
          <w:rFonts w:ascii="Verdana" w:hAnsi="Verdana"/>
          <w:sz w:val="20"/>
          <w:szCs w:val="20"/>
          <w:lang w:val="es-ES"/>
        </w:rPr>
        <w:t>(en adelante,</w:t>
      </w:r>
      <w:r w:rsidRPr="000955FE">
        <w:rPr>
          <w:rFonts w:ascii="Verdana" w:hAnsi="Verdana"/>
          <w:sz w:val="20"/>
          <w:szCs w:val="20"/>
          <w:lang w:val="es-ES"/>
        </w:rPr>
        <w:t xml:space="preserve"> la “Fiscalía de Etnias”)</w:t>
      </w:r>
      <w:r w:rsidRPr="000955FE">
        <w:rPr>
          <w:rStyle w:val="FootnoteReference"/>
          <w:szCs w:val="20"/>
        </w:rPr>
        <w:footnoteReference w:id="143"/>
      </w:r>
      <w:r w:rsidRPr="000955FE">
        <w:rPr>
          <w:rFonts w:ascii="Verdana" w:hAnsi="Verdana"/>
          <w:sz w:val="20"/>
          <w:szCs w:val="20"/>
          <w:lang w:val="es-ES"/>
        </w:rPr>
        <w:t xml:space="preserve">. </w:t>
      </w:r>
      <w:r w:rsidRPr="000955FE">
        <w:rPr>
          <w:rFonts w:ascii="Verdana" w:hAnsi="Verdana"/>
          <w:sz w:val="20"/>
          <w:szCs w:val="20"/>
          <w:lang w:val="es-MX"/>
        </w:rPr>
        <w:t xml:space="preserve"> </w:t>
      </w:r>
    </w:p>
    <w:p w14:paraId="0C704A62" w14:textId="77777777" w:rsidR="00E04121" w:rsidRPr="000955FE" w:rsidRDefault="00E04121" w:rsidP="00E04121">
      <w:pPr>
        <w:pStyle w:val="ListParagraph"/>
        <w:ind w:left="0"/>
        <w:jc w:val="both"/>
        <w:rPr>
          <w:rFonts w:ascii="Verdana" w:hAnsi="Verdana"/>
          <w:sz w:val="20"/>
          <w:szCs w:val="20"/>
          <w:lang w:val="es-MX"/>
        </w:rPr>
      </w:pPr>
    </w:p>
    <w:p w14:paraId="0C704A63" w14:textId="21EFF6E8"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ES"/>
        </w:rPr>
        <w:t>El 11 de julio de 2003 la Fiscalía de Etnias emitió un auto de requerimiento de investigación policial a fin de que la DGIC iniciara la investigación de los hechos. Por ello, instruyó la realización de algunas diligencias, entre las más importantes: la identificación del imputado</w:t>
      </w:r>
      <w:r w:rsidR="009A09DA">
        <w:rPr>
          <w:rFonts w:ascii="Verdana" w:hAnsi="Verdana"/>
          <w:sz w:val="20"/>
          <w:szCs w:val="20"/>
          <w:lang w:val="es-ES"/>
        </w:rPr>
        <w:t>;</w:t>
      </w:r>
      <w:r w:rsidRPr="000955FE">
        <w:rPr>
          <w:rFonts w:ascii="Verdana" w:hAnsi="Verdana"/>
          <w:sz w:val="20"/>
          <w:szCs w:val="20"/>
          <w:lang w:val="es-ES"/>
        </w:rPr>
        <w:t xml:space="preserve"> la toma de declaraciones del imputado, testigos y la víctima</w:t>
      </w:r>
      <w:r w:rsidR="009A09DA">
        <w:rPr>
          <w:rFonts w:ascii="Verdana" w:hAnsi="Verdana"/>
          <w:sz w:val="20"/>
          <w:szCs w:val="20"/>
          <w:lang w:val="es-ES"/>
        </w:rPr>
        <w:t>;</w:t>
      </w:r>
      <w:r w:rsidRPr="000955FE">
        <w:rPr>
          <w:rFonts w:ascii="Verdana" w:hAnsi="Verdana"/>
          <w:sz w:val="20"/>
          <w:szCs w:val="20"/>
          <w:lang w:val="es-ES"/>
        </w:rPr>
        <w:t xml:space="preserve"> la valoración de daños, y de manera específica, se ordenó el monitoreo de la investigación en la Fiscalía de Trujillo</w:t>
      </w:r>
      <w:r w:rsidR="009A09DA">
        <w:rPr>
          <w:rFonts w:ascii="Verdana" w:hAnsi="Verdana"/>
          <w:sz w:val="20"/>
          <w:szCs w:val="20"/>
          <w:lang w:val="es-ES"/>
        </w:rPr>
        <w:t>;</w:t>
      </w:r>
      <w:r w:rsidRPr="000955FE">
        <w:rPr>
          <w:rFonts w:ascii="Verdana" w:hAnsi="Verdana"/>
          <w:sz w:val="20"/>
          <w:szCs w:val="20"/>
          <w:lang w:val="es-ES"/>
        </w:rPr>
        <w:t xml:space="preserve"> la obtención de mapas y documentos de propiedad de las partes en conflicto, y la inspección del sitio</w:t>
      </w:r>
      <w:r w:rsidRPr="000955FE">
        <w:rPr>
          <w:rStyle w:val="FootnoteReference"/>
          <w:szCs w:val="20"/>
        </w:rPr>
        <w:footnoteReference w:id="144"/>
      </w:r>
      <w:r w:rsidRPr="000955FE">
        <w:rPr>
          <w:rFonts w:ascii="Verdana" w:hAnsi="Verdana"/>
          <w:sz w:val="20"/>
          <w:szCs w:val="20"/>
          <w:lang w:val="es-ES"/>
        </w:rPr>
        <w:t>.</w:t>
      </w:r>
      <w:r w:rsidRPr="000955FE">
        <w:rPr>
          <w:rFonts w:ascii="Verdana" w:hAnsi="Verdana"/>
          <w:sz w:val="20"/>
          <w:szCs w:val="20"/>
          <w:lang w:val="es-MX"/>
        </w:rPr>
        <w:t xml:space="preserve"> </w:t>
      </w:r>
    </w:p>
    <w:p w14:paraId="0C704A64" w14:textId="77777777" w:rsidR="00E04121" w:rsidRPr="000955FE" w:rsidRDefault="00E04121" w:rsidP="00E04121">
      <w:pPr>
        <w:pStyle w:val="ListParagraph"/>
        <w:rPr>
          <w:rFonts w:ascii="Verdana" w:hAnsi="Verdana"/>
          <w:sz w:val="20"/>
          <w:szCs w:val="20"/>
          <w:lang w:val="es-ES"/>
        </w:rPr>
      </w:pPr>
    </w:p>
    <w:p w14:paraId="0C704A65" w14:textId="77777777"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ES"/>
        </w:rPr>
        <w:lastRenderedPageBreak/>
        <w:t>El 10 de septiembre de 2014 la Fiscalía de Trujillo recibió un oficio de la Fiscalía de Etnias de 7 de junio de 2013, a través del cual esta solicitó información en torno a los avances y estado actual de la denuncia por el delito de usurpación</w:t>
      </w:r>
      <w:r w:rsidRPr="000955FE">
        <w:rPr>
          <w:rStyle w:val="FootnoteReference"/>
          <w:szCs w:val="20"/>
        </w:rPr>
        <w:footnoteReference w:id="145"/>
      </w:r>
      <w:r w:rsidRPr="000955FE">
        <w:rPr>
          <w:rFonts w:ascii="Verdana" w:hAnsi="Verdana"/>
          <w:sz w:val="20"/>
          <w:szCs w:val="20"/>
          <w:lang w:val="es-ES"/>
        </w:rPr>
        <w:t>, sin que conste en el expediente respuesta a dicha solicitud.</w:t>
      </w:r>
      <w:r w:rsidRPr="000955FE">
        <w:rPr>
          <w:rFonts w:ascii="Verdana" w:hAnsi="Verdana"/>
          <w:sz w:val="20"/>
          <w:szCs w:val="20"/>
          <w:lang w:val="es-MX"/>
        </w:rPr>
        <w:t xml:space="preserve"> </w:t>
      </w:r>
    </w:p>
    <w:p w14:paraId="0C704A66" w14:textId="77777777" w:rsidR="00E04121" w:rsidRPr="000955FE" w:rsidRDefault="00E04121" w:rsidP="00E04121">
      <w:pPr>
        <w:pStyle w:val="ListParagraph"/>
        <w:rPr>
          <w:rFonts w:ascii="Verdana" w:hAnsi="Verdana"/>
          <w:sz w:val="20"/>
          <w:szCs w:val="20"/>
          <w:lang w:val="es-ES"/>
        </w:rPr>
      </w:pPr>
    </w:p>
    <w:p w14:paraId="0C704A67" w14:textId="77777777"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ES"/>
        </w:rPr>
        <w:t>La Corte solicitó al Estado como prueba para mejor resolver la copia completa del expediente respecto a la denuncia por usurpación. Con base en la prueba remitida, la Corte nota que de la información allí vertida, no se practicaron las diligencias ordenadas por la Fiscalía de Etnias. El Tribunal carece de información adicional y actualizada del estado de la denuncia luego de la muerte de Félix Ordóñez Suazo.</w:t>
      </w:r>
      <w:r w:rsidRPr="000955FE">
        <w:rPr>
          <w:rFonts w:ascii="Verdana" w:hAnsi="Verdana"/>
          <w:sz w:val="20"/>
          <w:szCs w:val="20"/>
          <w:lang w:val="es-MX"/>
        </w:rPr>
        <w:t xml:space="preserve"> </w:t>
      </w:r>
    </w:p>
    <w:p w14:paraId="0C704A68" w14:textId="77777777" w:rsidR="00E04121" w:rsidRPr="000955FE" w:rsidRDefault="00E04121" w:rsidP="00E04121">
      <w:pPr>
        <w:rPr>
          <w:rFonts w:ascii="Verdana" w:hAnsi="Verdana"/>
          <w:sz w:val="20"/>
          <w:szCs w:val="20"/>
          <w:lang w:val="es-CR"/>
        </w:rPr>
      </w:pPr>
    </w:p>
    <w:p w14:paraId="0C704A69" w14:textId="77777777" w:rsidR="00E04121" w:rsidRPr="000955FE" w:rsidRDefault="00E04121" w:rsidP="00E04121">
      <w:pPr>
        <w:pStyle w:val="Heading4"/>
      </w:pPr>
      <w:bookmarkStart w:id="61" w:name="_Toc437247336"/>
      <w:r>
        <w:t>F</w:t>
      </w:r>
      <w:r w:rsidRPr="000955FE">
        <w:t>.1.2 Muerte de Félix Ordóñez Suazo</w:t>
      </w:r>
      <w:bookmarkEnd w:id="61"/>
    </w:p>
    <w:p w14:paraId="0C704A6A" w14:textId="77777777" w:rsidR="00E04121" w:rsidRPr="000F7019" w:rsidRDefault="00E04121" w:rsidP="00E04121">
      <w:pPr>
        <w:pStyle w:val="ListParagraph"/>
        <w:rPr>
          <w:rFonts w:ascii="Verdana" w:hAnsi="Verdana"/>
          <w:sz w:val="20"/>
          <w:szCs w:val="20"/>
          <w:lang w:val="es-MX"/>
        </w:rPr>
      </w:pPr>
    </w:p>
    <w:p w14:paraId="0C704A6B" w14:textId="0DDFD636" w:rsidR="00E04121"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 xml:space="preserve">De acuerdo </w:t>
      </w:r>
      <w:r>
        <w:rPr>
          <w:rFonts w:ascii="Verdana" w:hAnsi="Verdana"/>
          <w:sz w:val="20"/>
          <w:szCs w:val="20"/>
          <w:lang w:val="es-CR"/>
        </w:rPr>
        <w:t>con</w:t>
      </w:r>
      <w:r w:rsidRPr="000955FE">
        <w:rPr>
          <w:rFonts w:ascii="Verdana" w:hAnsi="Verdana"/>
          <w:sz w:val="20"/>
          <w:szCs w:val="20"/>
          <w:lang w:val="es-CR"/>
        </w:rPr>
        <w:t xml:space="preserve"> la prueba aportada por las partes, la Corte constata que Félix Ordóñez Suazo, quien fuera el Coordinador y Vocal del Patronato de la Comunidad de Punta Piedra</w:t>
      </w:r>
      <w:r w:rsidRPr="000955FE">
        <w:rPr>
          <w:rStyle w:val="FootnoteReference"/>
          <w:szCs w:val="20"/>
          <w:lang w:val="es-CR"/>
        </w:rPr>
        <w:footnoteReference w:id="146"/>
      </w:r>
      <w:r w:rsidRPr="000955FE">
        <w:rPr>
          <w:rFonts w:ascii="Verdana" w:hAnsi="Verdana"/>
          <w:sz w:val="20"/>
          <w:szCs w:val="20"/>
          <w:lang w:val="es-CR"/>
        </w:rPr>
        <w:t>, falleció el 11 de junio de 2007 con motivo de tres impactos de bala</w:t>
      </w:r>
      <w:r w:rsidRPr="000955FE">
        <w:rPr>
          <w:rStyle w:val="FootnoteReference"/>
          <w:szCs w:val="20"/>
          <w:lang w:val="es-CR"/>
        </w:rPr>
        <w:footnoteReference w:id="147"/>
      </w:r>
      <w:r w:rsidRPr="000955FE">
        <w:rPr>
          <w:rFonts w:ascii="Verdana" w:hAnsi="Verdana"/>
          <w:sz w:val="20"/>
          <w:szCs w:val="20"/>
          <w:lang w:val="es-CR"/>
        </w:rPr>
        <w:t xml:space="preserve">. Según la declaración del único testigo de la muerte de </w:t>
      </w:r>
      <w:r w:rsidR="00631669">
        <w:rPr>
          <w:rFonts w:ascii="Verdana" w:hAnsi="Verdana"/>
          <w:sz w:val="20"/>
          <w:szCs w:val="20"/>
          <w:lang w:val="es-CR"/>
        </w:rPr>
        <w:t>Félix Ordóñez Suazo</w:t>
      </w:r>
      <w:r w:rsidRPr="000955FE">
        <w:rPr>
          <w:rFonts w:ascii="Verdana" w:hAnsi="Verdana"/>
          <w:sz w:val="20"/>
          <w:szCs w:val="20"/>
          <w:lang w:val="es-CR"/>
        </w:rPr>
        <w:t>, el señor Marcos Bonifacio Castillo, la muerte habría ocurrido en la fecha indicada, alrededor de las 7:30 horas. Por otro lado, el acta de defunción señaló que la hora de muerte fue a las 11:00 horas</w:t>
      </w:r>
      <w:r w:rsidRPr="000955FE">
        <w:rPr>
          <w:rStyle w:val="FootnoteReference"/>
          <w:szCs w:val="20"/>
          <w:lang w:val="es-CR"/>
        </w:rPr>
        <w:footnoteReference w:id="148"/>
      </w:r>
      <w:r w:rsidRPr="000955FE">
        <w:rPr>
          <w:rFonts w:ascii="Verdana" w:hAnsi="Verdana"/>
          <w:sz w:val="20"/>
          <w:szCs w:val="20"/>
          <w:lang w:val="es-CR"/>
        </w:rPr>
        <w:t xml:space="preserve">. </w:t>
      </w:r>
      <w:r w:rsidRPr="000955FE">
        <w:rPr>
          <w:rFonts w:ascii="Verdana" w:hAnsi="Verdana"/>
          <w:sz w:val="20"/>
          <w:szCs w:val="20"/>
          <w:lang w:val="es-MX"/>
        </w:rPr>
        <w:t xml:space="preserve"> </w:t>
      </w:r>
    </w:p>
    <w:p w14:paraId="0C704A6C" w14:textId="77777777" w:rsidR="00E04121" w:rsidRPr="000955FE" w:rsidRDefault="00E04121" w:rsidP="00E04121">
      <w:pPr>
        <w:pStyle w:val="ListParagraph"/>
        <w:ind w:left="0"/>
        <w:jc w:val="both"/>
        <w:rPr>
          <w:rFonts w:ascii="Verdana" w:hAnsi="Verdana"/>
          <w:sz w:val="20"/>
          <w:szCs w:val="20"/>
          <w:lang w:val="es-MX"/>
        </w:rPr>
      </w:pPr>
    </w:p>
    <w:p w14:paraId="0C704A6D" w14:textId="7A5049BE"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Asimismo, conforme a la versión de los hechos narrada por el señor Marcos Bonifacio Castillo, el 11 de junio de 2007, alrededor de las 7:30</w:t>
      </w:r>
      <w:r w:rsidR="00530D49">
        <w:rPr>
          <w:rFonts w:ascii="Verdana" w:hAnsi="Verdana"/>
          <w:sz w:val="20"/>
          <w:szCs w:val="20"/>
          <w:lang w:val="es-CR"/>
        </w:rPr>
        <w:t xml:space="preserve"> horas</w:t>
      </w:r>
      <w:r w:rsidRPr="000955FE">
        <w:rPr>
          <w:rFonts w:ascii="Verdana" w:hAnsi="Verdana"/>
          <w:sz w:val="20"/>
          <w:szCs w:val="20"/>
          <w:lang w:val="es-CR"/>
        </w:rPr>
        <w:t xml:space="preserve">, este se encontraba </w:t>
      </w:r>
      <w:r w:rsidRPr="000955FE">
        <w:rPr>
          <w:rFonts w:ascii="Verdana" w:hAnsi="Verdana"/>
          <w:sz w:val="20"/>
          <w:szCs w:val="20"/>
          <w:lang w:val="es-MX"/>
        </w:rPr>
        <w:t xml:space="preserve">ayudando al señor </w:t>
      </w:r>
      <w:r w:rsidR="00631669">
        <w:rPr>
          <w:rFonts w:ascii="Verdana" w:hAnsi="Verdana"/>
          <w:sz w:val="20"/>
          <w:szCs w:val="20"/>
          <w:lang w:val="es-MX"/>
        </w:rPr>
        <w:t>Félix Ordóñez Suazo</w:t>
      </w:r>
      <w:r w:rsidRPr="000955FE">
        <w:rPr>
          <w:rFonts w:ascii="Verdana" w:hAnsi="Verdana"/>
          <w:sz w:val="20"/>
          <w:szCs w:val="20"/>
          <w:lang w:val="es-MX"/>
        </w:rPr>
        <w:t xml:space="preserve"> a reparar un alambrado, en una propiedad situada en </w:t>
      </w:r>
      <w:r w:rsidR="009A09DA">
        <w:rPr>
          <w:rFonts w:ascii="Verdana" w:hAnsi="Verdana"/>
          <w:sz w:val="20"/>
          <w:szCs w:val="20"/>
          <w:lang w:val="es-MX"/>
        </w:rPr>
        <w:t>un lugar conocido como El</w:t>
      </w:r>
      <w:r w:rsidRPr="000955FE">
        <w:rPr>
          <w:rFonts w:ascii="Verdana" w:hAnsi="Verdana"/>
          <w:sz w:val="20"/>
          <w:szCs w:val="20"/>
          <w:lang w:val="es-MX"/>
        </w:rPr>
        <w:t xml:space="preserve"> Castillo, sector aledaño a Punta Piedra</w:t>
      </w:r>
      <w:r w:rsidRPr="000955FE">
        <w:rPr>
          <w:rStyle w:val="FootnoteReference"/>
          <w:szCs w:val="20"/>
          <w:lang w:val="es-MX"/>
        </w:rPr>
        <w:footnoteReference w:id="149"/>
      </w:r>
      <w:r w:rsidRPr="000955FE">
        <w:rPr>
          <w:rFonts w:ascii="Verdana" w:hAnsi="Verdana"/>
          <w:sz w:val="20"/>
          <w:szCs w:val="20"/>
          <w:lang w:val="es-MX"/>
        </w:rPr>
        <w:t xml:space="preserve">. </w:t>
      </w:r>
      <w:r w:rsidR="00D01D74">
        <w:rPr>
          <w:rFonts w:ascii="Verdana" w:hAnsi="Verdana"/>
          <w:sz w:val="20"/>
          <w:szCs w:val="20"/>
          <w:lang w:val="es-PE"/>
        </w:rPr>
        <w:t>Ambos</w:t>
      </w:r>
      <w:r w:rsidRPr="000955FE">
        <w:rPr>
          <w:rFonts w:ascii="Verdana" w:hAnsi="Verdana"/>
          <w:sz w:val="20"/>
          <w:szCs w:val="20"/>
          <w:lang w:val="es-MX"/>
        </w:rPr>
        <w:t xml:space="preserve"> vieron que por un camino cercano pasaba </w:t>
      </w:r>
      <w:r w:rsidR="004A7FC0">
        <w:rPr>
          <w:rFonts w:ascii="Verdana" w:hAnsi="Verdana"/>
          <w:sz w:val="20"/>
          <w:szCs w:val="20"/>
          <w:lang w:val="es-MX"/>
        </w:rPr>
        <w:t xml:space="preserve">David Portillo </w:t>
      </w:r>
      <w:r w:rsidRPr="000955FE">
        <w:rPr>
          <w:rFonts w:ascii="Verdana" w:hAnsi="Verdana"/>
          <w:sz w:val="20"/>
          <w:szCs w:val="20"/>
          <w:lang w:val="es-MX"/>
        </w:rPr>
        <w:t xml:space="preserve">Chacón, como de 25 años, hijo de Luis Portillo, quien vivía en Río Miel. El mismo estaba armado, llevando una escopeta. Al terminar de trabajar, </w:t>
      </w:r>
      <w:r w:rsidR="00631669">
        <w:rPr>
          <w:rFonts w:ascii="Verdana" w:hAnsi="Verdana"/>
          <w:sz w:val="20"/>
          <w:szCs w:val="20"/>
          <w:lang w:val="es-MX"/>
        </w:rPr>
        <w:t>Félix Ordóñez Suazo</w:t>
      </w:r>
      <w:r w:rsidRPr="000955FE">
        <w:rPr>
          <w:rFonts w:ascii="Verdana" w:hAnsi="Verdana"/>
          <w:sz w:val="20"/>
          <w:szCs w:val="20"/>
          <w:lang w:val="es-MX"/>
        </w:rPr>
        <w:t xml:space="preserve"> y </w:t>
      </w:r>
      <w:r w:rsidR="00DB46DF">
        <w:rPr>
          <w:rFonts w:ascii="Verdana" w:hAnsi="Verdana"/>
          <w:sz w:val="20"/>
          <w:szCs w:val="20"/>
          <w:lang w:val="es-MX"/>
        </w:rPr>
        <w:t>Marcos Bonifacio Castillo</w:t>
      </w:r>
      <w:r w:rsidRPr="000955FE">
        <w:rPr>
          <w:rFonts w:ascii="Verdana" w:hAnsi="Verdana"/>
          <w:sz w:val="20"/>
          <w:szCs w:val="20"/>
          <w:lang w:val="es-MX"/>
        </w:rPr>
        <w:t xml:space="preserve"> se dirigieron a Punta Piedra, y luego de caminar por aproximadamente unos cinco minutos, </w:t>
      </w:r>
      <w:r w:rsidR="00DB46DF">
        <w:rPr>
          <w:rFonts w:ascii="Verdana" w:hAnsi="Verdana"/>
          <w:sz w:val="20"/>
          <w:szCs w:val="20"/>
          <w:lang w:val="es-MX"/>
        </w:rPr>
        <w:t>este último</w:t>
      </w:r>
      <w:r w:rsidRPr="000955FE">
        <w:rPr>
          <w:rFonts w:ascii="Verdana" w:hAnsi="Verdana"/>
          <w:sz w:val="20"/>
          <w:szCs w:val="20"/>
          <w:lang w:val="es-MX"/>
        </w:rPr>
        <w:t xml:space="preserve">, quien se encontraba tres metros detrás del </w:t>
      </w:r>
      <w:r w:rsidR="00D01D74">
        <w:rPr>
          <w:rFonts w:ascii="Verdana" w:hAnsi="Verdana"/>
          <w:sz w:val="20"/>
          <w:szCs w:val="20"/>
          <w:lang w:val="es-MX"/>
        </w:rPr>
        <w:t>Félix</w:t>
      </w:r>
      <w:r w:rsidR="00530D49" w:rsidRPr="000955FE">
        <w:rPr>
          <w:rFonts w:ascii="Verdana" w:hAnsi="Verdana"/>
          <w:sz w:val="20"/>
          <w:szCs w:val="20"/>
          <w:lang w:val="es-MX"/>
        </w:rPr>
        <w:t xml:space="preserve"> </w:t>
      </w:r>
      <w:r w:rsidRPr="000955FE">
        <w:rPr>
          <w:rFonts w:ascii="Verdana" w:hAnsi="Verdana"/>
          <w:sz w:val="20"/>
          <w:szCs w:val="20"/>
          <w:lang w:val="es-MX"/>
        </w:rPr>
        <w:t>Ordóñez, escuchó un disparo de arma de fuego y vio que este soltó la motosierra que llevaba consigo</w:t>
      </w:r>
      <w:r w:rsidRPr="000955FE">
        <w:rPr>
          <w:rStyle w:val="FootnoteReference"/>
          <w:szCs w:val="20"/>
          <w:lang w:val="es-MX"/>
        </w:rPr>
        <w:footnoteReference w:id="150"/>
      </w:r>
      <w:r w:rsidRPr="000955FE">
        <w:rPr>
          <w:rFonts w:ascii="Verdana" w:hAnsi="Verdana"/>
          <w:sz w:val="20"/>
          <w:szCs w:val="20"/>
          <w:lang w:val="es-MX"/>
        </w:rPr>
        <w:t xml:space="preserve">. </w:t>
      </w:r>
      <w:r w:rsidR="00DB46DF">
        <w:rPr>
          <w:rFonts w:ascii="Verdana" w:hAnsi="Verdana"/>
          <w:sz w:val="20"/>
          <w:szCs w:val="20"/>
          <w:lang w:val="es-MX"/>
        </w:rPr>
        <w:t>Marcos Bonifacio Castillo</w:t>
      </w:r>
      <w:r w:rsidRPr="000955FE">
        <w:rPr>
          <w:rFonts w:ascii="Verdana" w:hAnsi="Verdana"/>
          <w:sz w:val="20"/>
          <w:szCs w:val="20"/>
          <w:lang w:val="es-MX"/>
        </w:rPr>
        <w:t xml:space="preserve"> señaló que corrió hacia el monte para salvar su vida, en donde escuchó tres disparos más. Después de ello, volvió al pueblo donde contó a la gente lo sucedido. Doroteo Thomas también declaró haber escuchado tres disparos, luego de lo cual se encontró con </w:t>
      </w:r>
      <w:r w:rsidR="00DB46DF">
        <w:rPr>
          <w:rFonts w:ascii="Verdana" w:hAnsi="Verdana"/>
          <w:sz w:val="20"/>
          <w:szCs w:val="20"/>
          <w:lang w:val="es-MX"/>
        </w:rPr>
        <w:t>Marcos Bonifacio Castillo</w:t>
      </w:r>
      <w:r w:rsidRPr="000955FE">
        <w:rPr>
          <w:rFonts w:ascii="Verdana" w:hAnsi="Verdana"/>
          <w:sz w:val="20"/>
          <w:szCs w:val="20"/>
          <w:lang w:val="es-MX"/>
        </w:rPr>
        <w:t>, quien le relató lo sucedido</w:t>
      </w:r>
      <w:r w:rsidRPr="000955FE">
        <w:rPr>
          <w:rStyle w:val="FootnoteReference"/>
          <w:szCs w:val="20"/>
          <w:lang w:val="es-MX"/>
        </w:rPr>
        <w:footnoteReference w:id="151"/>
      </w:r>
      <w:r w:rsidRPr="000955FE">
        <w:rPr>
          <w:rFonts w:ascii="Verdana" w:hAnsi="Verdana"/>
          <w:sz w:val="20"/>
          <w:szCs w:val="20"/>
          <w:lang w:val="es-MX"/>
        </w:rPr>
        <w:t xml:space="preserve">. Según la declaración de </w:t>
      </w:r>
      <w:r w:rsidR="00DB46DF">
        <w:rPr>
          <w:rFonts w:ascii="Verdana" w:hAnsi="Verdana"/>
          <w:sz w:val="20"/>
          <w:szCs w:val="20"/>
          <w:lang w:val="es-MX"/>
        </w:rPr>
        <w:t>Marcos Bonifacio Castillo</w:t>
      </w:r>
      <w:r w:rsidRPr="000955FE">
        <w:rPr>
          <w:rFonts w:ascii="Verdana" w:hAnsi="Verdana"/>
          <w:sz w:val="20"/>
          <w:szCs w:val="20"/>
          <w:lang w:val="es-MX"/>
        </w:rPr>
        <w:t xml:space="preserve"> al autor del disparo habría sido </w:t>
      </w:r>
      <w:r w:rsidR="004A7FC0">
        <w:rPr>
          <w:rFonts w:ascii="Verdana" w:hAnsi="Verdana"/>
          <w:sz w:val="20"/>
          <w:szCs w:val="20"/>
          <w:lang w:val="es-MX"/>
        </w:rPr>
        <w:t>David Portillo Chacón</w:t>
      </w:r>
      <w:r w:rsidRPr="000955FE">
        <w:rPr>
          <w:rStyle w:val="FootnoteReference"/>
          <w:szCs w:val="20"/>
          <w:lang w:val="es-MX"/>
        </w:rPr>
        <w:footnoteReference w:id="152"/>
      </w:r>
      <w:r w:rsidRPr="000955FE">
        <w:rPr>
          <w:rFonts w:ascii="Verdana" w:hAnsi="Verdana"/>
          <w:sz w:val="20"/>
          <w:szCs w:val="20"/>
          <w:lang w:val="es-MX"/>
        </w:rPr>
        <w:t xml:space="preserve">. </w:t>
      </w:r>
    </w:p>
    <w:p w14:paraId="0C704A6F" w14:textId="6BFBB5CA"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PE"/>
        </w:rPr>
        <w:lastRenderedPageBreak/>
        <w:t>De acuerdo con las declaraciones de Marcos Bonifacio Castillo, Nieves Oswaldo Bonifacio Castillo y Marcial Martínez Suazo, la muerte de Félix Ordóñez Suazo se debió al conflicto de tierras existente entre este</w:t>
      </w:r>
      <w:r w:rsidR="00530D49">
        <w:rPr>
          <w:rFonts w:ascii="Verdana" w:hAnsi="Verdana"/>
          <w:sz w:val="20"/>
          <w:szCs w:val="20"/>
          <w:lang w:val="es-PE"/>
        </w:rPr>
        <w:t xml:space="preserve"> con</w:t>
      </w:r>
      <w:r w:rsidRPr="000955FE">
        <w:rPr>
          <w:rFonts w:ascii="Verdana" w:hAnsi="Verdana"/>
          <w:sz w:val="20"/>
          <w:szCs w:val="20"/>
          <w:lang w:val="es-PE"/>
        </w:rPr>
        <w:t xml:space="preserve"> Luis Portillo y su hijo David Portillo Chacón</w:t>
      </w:r>
      <w:r w:rsidR="0075334A" w:rsidRPr="000955FE">
        <w:rPr>
          <w:rStyle w:val="FootnoteReference"/>
          <w:szCs w:val="20"/>
          <w:lang w:val="es-PE"/>
        </w:rPr>
        <w:footnoteReference w:id="153"/>
      </w:r>
      <w:r w:rsidR="00530D49">
        <w:rPr>
          <w:rFonts w:ascii="Verdana" w:hAnsi="Verdana"/>
          <w:sz w:val="20"/>
          <w:szCs w:val="20"/>
          <w:lang w:val="es-PE"/>
        </w:rPr>
        <w:t>. Dicho</w:t>
      </w:r>
      <w:r w:rsidRPr="000955FE">
        <w:rPr>
          <w:rFonts w:ascii="Verdana" w:hAnsi="Verdana"/>
          <w:sz w:val="20"/>
          <w:szCs w:val="20"/>
          <w:lang w:val="es-PE"/>
        </w:rPr>
        <w:t xml:space="preserve"> conflicto había sido puesto en conocimiento del Ministerio Público a través de una denuncia de usurpación</w:t>
      </w:r>
      <w:r w:rsidR="0075334A">
        <w:rPr>
          <w:rStyle w:val="FootnoteReference"/>
          <w:szCs w:val="20"/>
          <w:lang w:val="es-PE"/>
        </w:rPr>
        <w:footnoteReference w:id="154"/>
      </w:r>
      <w:r w:rsidRPr="000955FE">
        <w:rPr>
          <w:rFonts w:ascii="Verdana" w:hAnsi="Verdana"/>
          <w:sz w:val="20"/>
          <w:szCs w:val="20"/>
          <w:lang w:val="es-PE"/>
        </w:rPr>
        <w:t xml:space="preserve"> (</w:t>
      </w:r>
      <w:r w:rsidRPr="000955FE">
        <w:rPr>
          <w:rFonts w:ascii="Verdana" w:hAnsi="Verdana"/>
          <w:i/>
          <w:sz w:val="20"/>
          <w:szCs w:val="20"/>
          <w:lang w:val="es-PE"/>
        </w:rPr>
        <w:t xml:space="preserve">supra </w:t>
      </w:r>
      <w:r w:rsidRPr="000955FE">
        <w:rPr>
          <w:rFonts w:ascii="Verdana" w:hAnsi="Verdana"/>
          <w:sz w:val="20"/>
          <w:szCs w:val="20"/>
          <w:lang w:val="es-PE"/>
        </w:rPr>
        <w:t xml:space="preserve">párr. </w:t>
      </w:r>
      <w:r w:rsidR="000D313E">
        <w:rPr>
          <w:rFonts w:ascii="Verdana" w:hAnsi="Verdana"/>
          <w:sz w:val="20"/>
          <w:szCs w:val="20"/>
          <w:lang w:val="es-PE"/>
        </w:rPr>
        <w:t>1</w:t>
      </w:r>
      <w:r w:rsidR="00D33282">
        <w:rPr>
          <w:rFonts w:ascii="Verdana" w:hAnsi="Verdana"/>
          <w:sz w:val="20"/>
          <w:szCs w:val="20"/>
          <w:lang w:val="es-PE"/>
        </w:rPr>
        <w:t>33</w:t>
      </w:r>
      <w:r w:rsidRPr="000955FE">
        <w:rPr>
          <w:rFonts w:ascii="Verdana" w:hAnsi="Verdana"/>
          <w:sz w:val="20"/>
          <w:szCs w:val="20"/>
          <w:lang w:val="es-PE"/>
        </w:rPr>
        <w:t xml:space="preserve">). </w:t>
      </w:r>
      <w:r w:rsidR="00DB46DF">
        <w:rPr>
          <w:rFonts w:ascii="Verdana" w:hAnsi="Verdana"/>
          <w:sz w:val="20"/>
          <w:szCs w:val="20"/>
          <w:lang w:val="es-PE"/>
        </w:rPr>
        <w:t>Marcos Bonifacio Castillo</w:t>
      </w:r>
      <w:r w:rsidRPr="000955FE">
        <w:rPr>
          <w:rFonts w:ascii="Verdana" w:hAnsi="Verdana"/>
          <w:sz w:val="20"/>
          <w:szCs w:val="20"/>
          <w:lang w:val="es-PE"/>
        </w:rPr>
        <w:t xml:space="preserve"> señaló que </w:t>
      </w:r>
      <w:r w:rsidRPr="000955FE">
        <w:rPr>
          <w:rFonts w:ascii="Verdana" w:hAnsi="Verdana"/>
          <w:sz w:val="20"/>
          <w:szCs w:val="20"/>
        </w:rPr>
        <w:t xml:space="preserve">“Félix ya había recibido amenazas </w:t>
      </w:r>
      <w:r w:rsidR="000D313E">
        <w:rPr>
          <w:rFonts w:ascii="Verdana" w:hAnsi="Verdana"/>
          <w:sz w:val="20"/>
          <w:szCs w:val="20"/>
        </w:rPr>
        <w:t>de</w:t>
      </w:r>
      <w:r w:rsidRPr="000955FE">
        <w:rPr>
          <w:rFonts w:ascii="Verdana" w:hAnsi="Verdana"/>
          <w:sz w:val="20"/>
          <w:szCs w:val="20"/>
        </w:rPr>
        <w:t xml:space="preserve"> parte de Luis Portillo, padre de </w:t>
      </w:r>
      <w:r w:rsidR="004A7FC0">
        <w:rPr>
          <w:rFonts w:ascii="Verdana" w:hAnsi="Verdana"/>
          <w:sz w:val="20"/>
          <w:szCs w:val="20"/>
        </w:rPr>
        <w:t>David Portillo Chacón</w:t>
      </w:r>
      <w:r w:rsidRPr="000955FE">
        <w:rPr>
          <w:rFonts w:ascii="Verdana" w:hAnsi="Verdana"/>
          <w:sz w:val="20"/>
          <w:szCs w:val="20"/>
        </w:rPr>
        <w:t xml:space="preserve">, y el problema que tenían era por un </w:t>
      </w:r>
      <w:proofErr w:type="gramStart"/>
      <w:r w:rsidRPr="000955FE">
        <w:rPr>
          <w:rFonts w:ascii="Verdana" w:hAnsi="Verdana"/>
          <w:sz w:val="20"/>
          <w:szCs w:val="20"/>
        </w:rPr>
        <w:t>terreno[</w:t>
      </w:r>
      <w:proofErr w:type="gramEnd"/>
      <w:r w:rsidRPr="000955FE">
        <w:rPr>
          <w:rFonts w:ascii="Verdana" w:hAnsi="Verdana"/>
          <w:sz w:val="20"/>
          <w:szCs w:val="20"/>
        </w:rPr>
        <w:t>,] ya que le habían tomado parte del terreno a don Félix [quien] denunció este problema a la fiscalía”</w:t>
      </w:r>
      <w:r w:rsidRPr="000955FE">
        <w:rPr>
          <w:rStyle w:val="FootnoteReference"/>
          <w:szCs w:val="20"/>
        </w:rPr>
        <w:footnoteReference w:id="155"/>
      </w:r>
      <w:r w:rsidRPr="000955FE">
        <w:rPr>
          <w:rFonts w:ascii="Verdana" w:hAnsi="Verdana"/>
          <w:sz w:val="20"/>
          <w:szCs w:val="20"/>
        </w:rPr>
        <w:t>.</w:t>
      </w:r>
      <w:r w:rsidRPr="000955FE">
        <w:rPr>
          <w:rFonts w:ascii="Verdana" w:hAnsi="Verdana"/>
          <w:sz w:val="20"/>
          <w:szCs w:val="20"/>
          <w:lang w:val="es-MX"/>
        </w:rPr>
        <w:t xml:space="preserve"> </w:t>
      </w:r>
    </w:p>
    <w:p w14:paraId="0C704A70" w14:textId="77777777" w:rsidR="00E04121" w:rsidRPr="000955FE" w:rsidRDefault="00E04121" w:rsidP="00E04121">
      <w:pPr>
        <w:pStyle w:val="ListParagraph"/>
        <w:rPr>
          <w:rFonts w:ascii="Verdana" w:hAnsi="Verdana"/>
          <w:sz w:val="20"/>
          <w:szCs w:val="20"/>
          <w:lang w:val="es-ES"/>
        </w:rPr>
      </w:pPr>
    </w:p>
    <w:p w14:paraId="0C704A71" w14:textId="1EC4C2A3" w:rsidR="00E04121"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ES"/>
        </w:rPr>
        <w:t xml:space="preserve">El 15 de junio de 2007 la OFRANEH solicitó la adopción de medidas cautelares a la Comisión Interamericana “a favor de la </w:t>
      </w:r>
      <w:r w:rsidR="0075334A">
        <w:rPr>
          <w:rFonts w:ascii="Verdana" w:hAnsi="Verdana"/>
          <w:sz w:val="20"/>
          <w:szCs w:val="20"/>
          <w:lang w:val="es-ES"/>
        </w:rPr>
        <w:t>[</w:t>
      </w:r>
      <w:r w:rsidRPr="000955FE">
        <w:rPr>
          <w:rFonts w:ascii="Verdana" w:hAnsi="Verdana"/>
          <w:sz w:val="20"/>
          <w:szCs w:val="20"/>
          <w:lang w:val="es-ES"/>
        </w:rPr>
        <w:t>C</w:t>
      </w:r>
      <w:r w:rsidR="0075334A">
        <w:rPr>
          <w:rFonts w:ascii="Verdana" w:hAnsi="Verdana"/>
          <w:sz w:val="20"/>
          <w:szCs w:val="20"/>
          <w:lang w:val="es-ES"/>
        </w:rPr>
        <w:t>]</w:t>
      </w:r>
      <w:proofErr w:type="spellStart"/>
      <w:r w:rsidRPr="000955FE">
        <w:rPr>
          <w:rFonts w:ascii="Verdana" w:hAnsi="Verdana"/>
          <w:sz w:val="20"/>
          <w:szCs w:val="20"/>
          <w:lang w:val="es-ES"/>
        </w:rPr>
        <w:t>omunidad</w:t>
      </w:r>
      <w:proofErr w:type="spellEnd"/>
      <w:r w:rsidRPr="000955FE">
        <w:rPr>
          <w:rFonts w:ascii="Verdana" w:hAnsi="Verdana"/>
          <w:sz w:val="20"/>
          <w:szCs w:val="20"/>
          <w:lang w:val="es-ES"/>
        </w:rPr>
        <w:t xml:space="preserve"> de Punta Piedra, en especial [a favor de</w:t>
      </w:r>
      <w:r w:rsidR="0075334A">
        <w:rPr>
          <w:rFonts w:ascii="Verdana" w:hAnsi="Verdana"/>
          <w:sz w:val="20"/>
          <w:szCs w:val="20"/>
          <w:lang w:val="es-ES"/>
        </w:rPr>
        <w:t>]</w:t>
      </w:r>
      <w:r w:rsidRPr="000955FE">
        <w:rPr>
          <w:rFonts w:ascii="Verdana" w:hAnsi="Verdana"/>
          <w:sz w:val="20"/>
          <w:szCs w:val="20"/>
          <w:lang w:val="es-ES"/>
        </w:rPr>
        <w:t xml:space="preserve"> </w:t>
      </w:r>
      <w:r w:rsidRPr="000955FE">
        <w:rPr>
          <w:rFonts w:ascii="Verdana" w:hAnsi="Verdana"/>
          <w:sz w:val="20"/>
          <w:szCs w:val="20"/>
        </w:rPr>
        <w:t>Marcos Bonifacio</w:t>
      </w:r>
      <w:r w:rsidRPr="000955FE">
        <w:rPr>
          <w:rFonts w:ascii="Verdana" w:hAnsi="Verdana"/>
          <w:sz w:val="20"/>
          <w:szCs w:val="20"/>
          <w:lang w:val="es-ES"/>
        </w:rPr>
        <w:t xml:space="preserve"> Castillo […] el cual </w:t>
      </w:r>
      <w:proofErr w:type="gramStart"/>
      <w:r w:rsidRPr="000955FE">
        <w:rPr>
          <w:rFonts w:ascii="Verdana" w:hAnsi="Verdana"/>
          <w:sz w:val="20"/>
          <w:szCs w:val="20"/>
          <w:lang w:val="es-ES"/>
        </w:rPr>
        <w:t>ha[</w:t>
      </w:r>
      <w:proofErr w:type="spellStart"/>
      <w:proofErr w:type="gramEnd"/>
      <w:r w:rsidRPr="000955FE">
        <w:rPr>
          <w:rFonts w:ascii="Verdana" w:hAnsi="Verdana"/>
          <w:sz w:val="20"/>
          <w:szCs w:val="20"/>
          <w:lang w:val="es-ES"/>
        </w:rPr>
        <w:t>bía</w:t>
      </w:r>
      <w:proofErr w:type="spellEnd"/>
      <w:r w:rsidRPr="000955FE">
        <w:rPr>
          <w:rFonts w:ascii="Verdana" w:hAnsi="Verdana"/>
          <w:sz w:val="20"/>
          <w:szCs w:val="20"/>
          <w:lang w:val="es-ES"/>
        </w:rPr>
        <w:t>] sido amenazado de muerte por los hechos del crimen”</w:t>
      </w:r>
      <w:r w:rsidRPr="000955FE">
        <w:rPr>
          <w:rStyle w:val="FootnoteReference"/>
          <w:szCs w:val="20"/>
          <w:lang w:val="es-MX"/>
        </w:rPr>
        <w:footnoteReference w:id="156"/>
      </w:r>
      <w:r w:rsidRPr="000955FE">
        <w:rPr>
          <w:rFonts w:ascii="Verdana" w:hAnsi="Verdana"/>
          <w:sz w:val="20"/>
          <w:szCs w:val="20"/>
          <w:lang w:val="es-MX"/>
        </w:rPr>
        <w:t xml:space="preserve">. La solicitud fue </w:t>
      </w:r>
      <w:r w:rsidR="00530D49">
        <w:rPr>
          <w:rFonts w:ascii="Verdana" w:hAnsi="Verdana"/>
          <w:sz w:val="20"/>
          <w:szCs w:val="20"/>
          <w:lang w:val="es-MX"/>
        </w:rPr>
        <w:t>registrada</w:t>
      </w:r>
      <w:r w:rsidR="00530D49" w:rsidRPr="000955FE">
        <w:rPr>
          <w:rFonts w:ascii="Verdana" w:hAnsi="Verdana"/>
          <w:sz w:val="20"/>
          <w:szCs w:val="20"/>
          <w:lang w:val="es-MX"/>
        </w:rPr>
        <w:t xml:space="preserve"> </w:t>
      </w:r>
      <w:r w:rsidRPr="000955FE">
        <w:rPr>
          <w:rFonts w:ascii="Verdana" w:hAnsi="Verdana"/>
          <w:sz w:val="20"/>
          <w:szCs w:val="20"/>
          <w:lang w:val="es-MX"/>
        </w:rPr>
        <w:t xml:space="preserve">con el No. MC-109-07. El 20 de agosto de 2007 la Comisión adoptó dichas medidas y ordenó al Estado que tomara las medidas necesarias para garantizar la vida e integridad física del señor Marcos Bonifacio Castillo, y que informara sobre las acciones ejecutadas para el esclarecimiento de los hechos que justificaban las medidas, es decir tanto el asesinato de </w:t>
      </w:r>
      <w:r w:rsidR="00631669">
        <w:rPr>
          <w:rFonts w:ascii="Verdana" w:hAnsi="Verdana"/>
          <w:sz w:val="20"/>
          <w:szCs w:val="20"/>
          <w:lang w:val="es-MX"/>
        </w:rPr>
        <w:t>Félix Ordóñez Suazo</w:t>
      </w:r>
      <w:r w:rsidRPr="000955FE">
        <w:rPr>
          <w:rFonts w:ascii="Verdana" w:hAnsi="Verdana"/>
          <w:sz w:val="20"/>
          <w:szCs w:val="20"/>
          <w:lang w:val="es-MX"/>
        </w:rPr>
        <w:t xml:space="preserve">, como las amenazas de muerte presuntamente recibidas por </w:t>
      </w:r>
      <w:r w:rsidR="00DB46DF">
        <w:rPr>
          <w:rFonts w:ascii="Verdana" w:hAnsi="Verdana"/>
          <w:sz w:val="20"/>
          <w:szCs w:val="20"/>
          <w:lang w:val="es-MX"/>
        </w:rPr>
        <w:t>Marcos Bonifacio Castillo</w:t>
      </w:r>
      <w:r w:rsidRPr="000955FE">
        <w:rPr>
          <w:rStyle w:val="FootnoteReference"/>
          <w:szCs w:val="20"/>
          <w:lang w:val="es-MX"/>
        </w:rPr>
        <w:footnoteReference w:id="157"/>
      </w:r>
      <w:r w:rsidRPr="000955FE">
        <w:rPr>
          <w:rFonts w:ascii="Verdana" w:hAnsi="Verdana"/>
          <w:sz w:val="20"/>
          <w:szCs w:val="20"/>
          <w:lang w:val="es-MX"/>
        </w:rPr>
        <w:t xml:space="preserve">. </w:t>
      </w:r>
    </w:p>
    <w:p w14:paraId="0C704A72" w14:textId="77777777" w:rsidR="00E04121" w:rsidRPr="000955FE" w:rsidRDefault="00E04121" w:rsidP="00E04121">
      <w:pPr>
        <w:pStyle w:val="ListParagraph"/>
        <w:ind w:left="0"/>
        <w:jc w:val="both"/>
        <w:rPr>
          <w:rFonts w:ascii="Verdana" w:hAnsi="Verdana"/>
          <w:sz w:val="20"/>
          <w:szCs w:val="20"/>
          <w:lang w:val="es-MX"/>
        </w:rPr>
      </w:pPr>
    </w:p>
    <w:p w14:paraId="0C704A73" w14:textId="7D6B9BF6" w:rsidR="00E04121" w:rsidRPr="000955FE" w:rsidRDefault="00E04121" w:rsidP="00E04121">
      <w:pPr>
        <w:pStyle w:val="Heading4"/>
      </w:pPr>
      <w:bookmarkStart w:id="62" w:name="_Toc437247337"/>
      <w:r>
        <w:t>F</w:t>
      </w:r>
      <w:r w:rsidRPr="000955FE">
        <w:t xml:space="preserve">.1.3 Investigación preliminar y proceso penal por la muerte de </w:t>
      </w:r>
      <w:r w:rsidR="00631669">
        <w:t>Félix Ordóñez Suazo</w:t>
      </w:r>
      <w:bookmarkEnd w:id="62"/>
    </w:p>
    <w:p w14:paraId="0C704A74" w14:textId="77777777" w:rsidR="00E04121" w:rsidRPr="000955FE" w:rsidRDefault="00E04121" w:rsidP="00E04121">
      <w:pPr>
        <w:pStyle w:val="ListParagraph"/>
        <w:rPr>
          <w:rFonts w:ascii="Verdana" w:hAnsi="Verdana"/>
          <w:sz w:val="20"/>
          <w:szCs w:val="20"/>
          <w:lang w:val="es-CR"/>
        </w:rPr>
      </w:pPr>
    </w:p>
    <w:p w14:paraId="0C704A75" w14:textId="244B27C7" w:rsidR="00E04121" w:rsidRPr="001A327C"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 xml:space="preserve">El 11 de junio de 2007 a las 15:30 horas aproximadamente, el Juez de Paz del Municipio de </w:t>
      </w:r>
      <w:proofErr w:type="spellStart"/>
      <w:r w:rsidRPr="000955FE">
        <w:rPr>
          <w:rFonts w:ascii="Verdana" w:hAnsi="Verdana"/>
          <w:sz w:val="20"/>
          <w:szCs w:val="20"/>
          <w:lang w:val="es-CR"/>
        </w:rPr>
        <w:t>Iriona</w:t>
      </w:r>
      <w:proofErr w:type="spellEnd"/>
      <w:r w:rsidRPr="000955FE">
        <w:rPr>
          <w:rFonts w:ascii="Verdana" w:hAnsi="Verdana"/>
          <w:sz w:val="20"/>
          <w:szCs w:val="20"/>
          <w:lang w:val="es-CR"/>
        </w:rPr>
        <w:t>, Departamento de Colón, se apersonó a la zona de los hechos denominada “El Castillo”, en la jurisdicción de Punta Piedra, a efectos de llevar a cabo la diligencia del levantamiento de cadáver, el cual fue reconocido por testigos y familiares como el cuerpo del señor Félix Ordóñez Suazo</w:t>
      </w:r>
      <w:r w:rsidRPr="000955FE">
        <w:rPr>
          <w:rStyle w:val="FootnoteReference"/>
          <w:szCs w:val="20"/>
          <w:lang w:val="es-CR"/>
        </w:rPr>
        <w:footnoteReference w:id="158"/>
      </w:r>
      <w:r w:rsidRPr="000955FE">
        <w:rPr>
          <w:rFonts w:ascii="Verdana" w:hAnsi="Verdana"/>
          <w:sz w:val="20"/>
          <w:szCs w:val="20"/>
          <w:lang w:val="es-CR"/>
        </w:rPr>
        <w:t>.</w:t>
      </w:r>
      <w:r w:rsidRPr="000955FE">
        <w:rPr>
          <w:rFonts w:ascii="Verdana" w:hAnsi="Verdana"/>
          <w:sz w:val="20"/>
          <w:szCs w:val="20"/>
          <w:lang w:val="es-MX"/>
        </w:rPr>
        <w:t xml:space="preserve"> </w:t>
      </w:r>
      <w:r w:rsidRPr="008446E1">
        <w:rPr>
          <w:rFonts w:ascii="Verdana" w:hAnsi="Verdana"/>
          <w:sz w:val="20"/>
          <w:szCs w:val="20"/>
          <w:lang w:val="es-CR"/>
        </w:rPr>
        <w:t xml:space="preserve">De acuerdo con el acta de levantamiento del cadáver, al llegar el Juez de Paz a la zona de los hechos, se comprobó la presencia de agentes de la Jefatura Municipal de </w:t>
      </w:r>
      <w:proofErr w:type="spellStart"/>
      <w:r w:rsidRPr="008446E1">
        <w:rPr>
          <w:rFonts w:ascii="Verdana" w:hAnsi="Verdana"/>
          <w:sz w:val="20"/>
          <w:szCs w:val="20"/>
          <w:lang w:val="es-CR"/>
        </w:rPr>
        <w:t>Iriona</w:t>
      </w:r>
      <w:proofErr w:type="spellEnd"/>
      <w:r w:rsidRPr="008446E1">
        <w:rPr>
          <w:rFonts w:ascii="Verdana" w:hAnsi="Verdana"/>
          <w:sz w:val="20"/>
          <w:szCs w:val="20"/>
          <w:lang w:val="es-CR"/>
        </w:rPr>
        <w:t xml:space="preserve">, sin embargo, por la dificultad de acceso y por la demora, el cuerpo del señor </w:t>
      </w:r>
      <w:r w:rsidR="00631669">
        <w:rPr>
          <w:rFonts w:ascii="Verdana" w:hAnsi="Verdana"/>
          <w:sz w:val="20"/>
          <w:szCs w:val="20"/>
          <w:lang w:val="es-CR"/>
        </w:rPr>
        <w:t>Félix Ordóñez Suazo</w:t>
      </w:r>
      <w:r w:rsidRPr="008446E1">
        <w:rPr>
          <w:rFonts w:ascii="Verdana" w:hAnsi="Verdana"/>
          <w:sz w:val="20"/>
          <w:szCs w:val="20"/>
          <w:lang w:val="es-CR"/>
        </w:rPr>
        <w:t xml:space="preserve"> habría sido movido por los pobladores de la comunidad. Al llegar las autoridades, se inspeccionó el cuerpo y se acordonó un área aproximada de dos metros</w:t>
      </w:r>
      <w:r w:rsidRPr="008446E1">
        <w:rPr>
          <w:rStyle w:val="FootnoteReference"/>
          <w:szCs w:val="20"/>
          <w:lang w:val="es-CR"/>
        </w:rPr>
        <w:footnoteReference w:id="159"/>
      </w:r>
      <w:r w:rsidRPr="008446E1">
        <w:rPr>
          <w:rFonts w:ascii="Verdana" w:hAnsi="Verdana"/>
          <w:sz w:val="20"/>
          <w:szCs w:val="20"/>
          <w:lang w:val="es-CR"/>
        </w:rPr>
        <w:t xml:space="preserve">. </w:t>
      </w:r>
    </w:p>
    <w:p w14:paraId="0C704A76" w14:textId="77777777" w:rsidR="00E04121" w:rsidRPr="000955FE" w:rsidRDefault="00E04121" w:rsidP="00E04121">
      <w:pPr>
        <w:pStyle w:val="ListParagraph"/>
        <w:rPr>
          <w:rFonts w:ascii="Verdana" w:hAnsi="Verdana"/>
          <w:sz w:val="20"/>
          <w:szCs w:val="20"/>
          <w:lang w:val="es-CR"/>
        </w:rPr>
      </w:pPr>
    </w:p>
    <w:p w14:paraId="0C704A77" w14:textId="5E18BC60"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La diligencia</w:t>
      </w:r>
      <w:r>
        <w:rPr>
          <w:rFonts w:ascii="Verdana" w:hAnsi="Verdana"/>
          <w:sz w:val="20"/>
          <w:szCs w:val="20"/>
          <w:lang w:val="es-CR"/>
        </w:rPr>
        <w:t xml:space="preserve"> de levantamiento del cadáver </w:t>
      </w:r>
      <w:r w:rsidRPr="000955FE">
        <w:rPr>
          <w:rFonts w:ascii="Verdana" w:hAnsi="Verdana"/>
          <w:sz w:val="20"/>
          <w:szCs w:val="20"/>
          <w:lang w:val="es-CR"/>
        </w:rPr>
        <w:t>no cont</w:t>
      </w:r>
      <w:r>
        <w:rPr>
          <w:rFonts w:ascii="Verdana" w:hAnsi="Verdana"/>
          <w:sz w:val="20"/>
          <w:szCs w:val="20"/>
          <w:lang w:val="es-CR"/>
        </w:rPr>
        <w:t>ó</w:t>
      </w:r>
      <w:r w:rsidRPr="000955FE">
        <w:rPr>
          <w:rFonts w:ascii="Verdana" w:hAnsi="Verdana"/>
          <w:sz w:val="20"/>
          <w:szCs w:val="20"/>
          <w:lang w:val="es-CR"/>
        </w:rPr>
        <w:t xml:space="preserve"> con la presencia del Fiscal del Ministerio Público ni del médico forense, por lo que ante su ausencia, el Juez de Paz </w:t>
      </w:r>
      <w:r w:rsidRPr="000955FE">
        <w:rPr>
          <w:rFonts w:ascii="Verdana" w:hAnsi="Verdana"/>
          <w:sz w:val="20"/>
          <w:szCs w:val="20"/>
          <w:lang w:val="es-CR"/>
        </w:rPr>
        <w:lastRenderedPageBreak/>
        <w:t>dejó constancia de</w:t>
      </w:r>
      <w:r>
        <w:rPr>
          <w:rFonts w:ascii="Verdana" w:hAnsi="Verdana"/>
          <w:sz w:val="20"/>
          <w:szCs w:val="20"/>
          <w:lang w:val="es-CR"/>
        </w:rPr>
        <w:t xml:space="preserve">: a) la existencia de </w:t>
      </w:r>
      <w:r w:rsidRPr="000955FE">
        <w:rPr>
          <w:rFonts w:ascii="Verdana" w:hAnsi="Verdana"/>
          <w:sz w:val="20"/>
          <w:szCs w:val="20"/>
          <w:lang w:val="es-CR"/>
        </w:rPr>
        <w:t xml:space="preserve">lesiones con proyectil de arma de fuego: “un tiro en el costado derecho, un tiro en el pecho con salida, un tiro </w:t>
      </w:r>
      <w:r w:rsidR="0075334A">
        <w:rPr>
          <w:rFonts w:ascii="Verdana" w:hAnsi="Verdana"/>
          <w:sz w:val="20"/>
          <w:szCs w:val="20"/>
          <w:lang w:val="es-CR"/>
        </w:rPr>
        <w:t xml:space="preserve">[…] </w:t>
      </w:r>
      <w:r w:rsidRPr="000955FE">
        <w:rPr>
          <w:rFonts w:ascii="Verdana" w:hAnsi="Verdana"/>
          <w:sz w:val="20"/>
          <w:szCs w:val="20"/>
          <w:lang w:val="es-CR"/>
        </w:rPr>
        <w:t>en el oído derecho”</w:t>
      </w:r>
      <w:r w:rsidR="00530D49">
        <w:rPr>
          <w:rFonts w:ascii="Verdana" w:hAnsi="Verdana"/>
          <w:sz w:val="20"/>
          <w:szCs w:val="20"/>
          <w:lang w:val="es-CR"/>
        </w:rPr>
        <w:t>.</w:t>
      </w:r>
      <w:r w:rsidRPr="000955FE">
        <w:rPr>
          <w:rFonts w:ascii="Verdana" w:hAnsi="Verdana"/>
          <w:sz w:val="20"/>
          <w:szCs w:val="20"/>
          <w:lang w:val="es-CR"/>
        </w:rPr>
        <w:t xml:space="preserve"> Aproximadamente a las 16:30 horas se autorizó la entrega del cuerpo del señor Félix Ordóñez Suazo a sus familiares</w:t>
      </w:r>
      <w:r w:rsidRPr="000955FE">
        <w:rPr>
          <w:rStyle w:val="FootnoteReference"/>
          <w:szCs w:val="20"/>
          <w:lang w:val="es-CR"/>
        </w:rPr>
        <w:footnoteReference w:id="160"/>
      </w:r>
      <w:r w:rsidRPr="000955FE">
        <w:rPr>
          <w:rFonts w:ascii="Verdana" w:hAnsi="Verdana"/>
          <w:sz w:val="20"/>
          <w:szCs w:val="20"/>
          <w:lang w:val="es-CR"/>
        </w:rPr>
        <w:t>, sin que se realizara una autopsia</w:t>
      </w:r>
      <w:r>
        <w:rPr>
          <w:rFonts w:ascii="Verdana" w:hAnsi="Verdana"/>
          <w:sz w:val="20"/>
          <w:szCs w:val="20"/>
          <w:lang w:val="es-CR"/>
        </w:rPr>
        <w:t>, y b) la existencia de</w:t>
      </w:r>
      <w:r w:rsidRPr="000955FE">
        <w:rPr>
          <w:rFonts w:ascii="Verdana" w:hAnsi="Verdana"/>
          <w:sz w:val="20"/>
          <w:szCs w:val="20"/>
          <w:lang w:val="es-CR"/>
        </w:rPr>
        <w:t xml:space="preserve"> dos cápsulas de proyectil</w:t>
      </w:r>
      <w:r w:rsidRPr="000955FE">
        <w:rPr>
          <w:rStyle w:val="FootnoteReference"/>
          <w:szCs w:val="20"/>
          <w:lang w:val="es-CR"/>
        </w:rPr>
        <w:footnoteReference w:id="161"/>
      </w:r>
      <w:r w:rsidRPr="000955FE">
        <w:rPr>
          <w:rFonts w:ascii="Verdana" w:hAnsi="Verdana"/>
          <w:sz w:val="20"/>
          <w:szCs w:val="20"/>
          <w:lang w:val="es-CR"/>
        </w:rPr>
        <w:t xml:space="preserve"> calibre 16 mm </w:t>
      </w:r>
      <w:r>
        <w:rPr>
          <w:rFonts w:ascii="Verdana" w:hAnsi="Verdana"/>
          <w:sz w:val="20"/>
          <w:szCs w:val="20"/>
          <w:lang w:val="es-CR"/>
        </w:rPr>
        <w:t xml:space="preserve">recogidas </w:t>
      </w:r>
      <w:r w:rsidRPr="000955FE">
        <w:rPr>
          <w:rFonts w:ascii="Verdana" w:hAnsi="Verdana"/>
          <w:sz w:val="20"/>
          <w:szCs w:val="20"/>
          <w:lang w:val="es-CR"/>
        </w:rPr>
        <w:t>por el auxiliar en la escena del delito</w:t>
      </w:r>
      <w:r>
        <w:rPr>
          <w:rFonts w:ascii="Verdana" w:hAnsi="Verdana"/>
          <w:sz w:val="20"/>
          <w:szCs w:val="20"/>
          <w:lang w:val="es-CR"/>
        </w:rPr>
        <w:t>,</w:t>
      </w:r>
      <w:r w:rsidRPr="000955FE">
        <w:rPr>
          <w:rFonts w:ascii="Verdana" w:hAnsi="Verdana"/>
          <w:sz w:val="20"/>
          <w:szCs w:val="20"/>
          <w:lang w:val="es-CR"/>
        </w:rPr>
        <w:t xml:space="preserve"> </w:t>
      </w:r>
      <w:r>
        <w:rPr>
          <w:rFonts w:ascii="Verdana" w:hAnsi="Verdana"/>
          <w:sz w:val="20"/>
          <w:szCs w:val="20"/>
          <w:lang w:val="es-CR"/>
        </w:rPr>
        <w:t>las que fueron</w:t>
      </w:r>
      <w:r w:rsidRPr="000955FE">
        <w:rPr>
          <w:rFonts w:ascii="Verdana" w:hAnsi="Verdana"/>
          <w:sz w:val="20"/>
          <w:szCs w:val="20"/>
          <w:lang w:val="es-CR"/>
        </w:rPr>
        <w:t xml:space="preserve"> trasladadas al Juzgado de Paz</w:t>
      </w:r>
      <w:r w:rsidRPr="000955FE">
        <w:rPr>
          <w:rStyle w:val="FootnoteReference"/>
          <w:szCs w:val="20"/>
          <w:lang w:val="es-CR"/>
        </w:rPr>
        <w:footnoteReference w:id="162"/>
      </w:r>
      <w:r w:rsidRPr="000955FE">
        <w:rPr>
          <w:rFonts w:ascii="Verdana" w:hAnsi="Verdana"/>
          <w:sz w:val="20"/>
          <w:szCs w:val="20"/>
          <w:lang w:val="es-CR"/>
        </w:rPr>
        <w:t>. La Corte no cuenta con información respecto de ninguna pericia o diligencia llevada a cabo en relación con la evidencia recolectada</w:t>
      </w:r>
      <w:r>
        <w:rPr>
          <w:rFonts w:ascii="Verdana" w:hAnsi="Verdana"/>
          <w:sz w:val="20"/>
          <w:szCs w:val="20"/>
          <w:lang w:val="es-MX"/>
        </w:rPr>
        <w:t>.</w:t>
      </w:r>
    </w:p>
    <w:p w14:paraId="0C704A78" w14:textId="77777777" w:rsidR="00E04121" w:rsidRPr="000955FE" w:rsidRDefault="00E04121" w:rsidP="00E04121">
      <w:pPr>
        <w:pStyle w:val="ListParagraph"/>
        <w:rPr>
          <w:rFonts w:ascii="Verdana" w:hAnsi="Verdana"/>
          <w:sz w:val="20"/>
          <w:szCs w:val="20"/>
          <w:lang w:val="es-CR"/>
        </w:rPr>
      </w:pPr>
    </w:p>
    <w:p w14:paraId="0C704A79" w14:textId="66F8E87A"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0955FE">
        <w:rPr>
          <w:rFonts w:ascii="Verdana" w:hAnsi="Verdana"/>
          <w:sz w:val="20"/>
          <w:szCs w:val="20"/>
          <w:lang w:val="es-CR"/>
        </w:rPr>
        <w:t xml:space="preserve">El 13 de junio de 2007 el señor Marcial Martínez Suazo, hermano de Félix Ordóñez Suazo, formalizó “denuncia administrativa” por la muerte “en forma violenta” de su hermano, ocurrida en un área conflictiva con la </w:t>
      </w:r>
      <w:r w:rsidR="00D3280D">
        <w:rPr>
          <w:rFonts w:ascii="Verdana" w:hAnsi="Verdana"/>
          <w:sz w:val="20"/>
          <w:szCs w:val="20"/>
          <w:lang w:val="es-CR"/>
        </w:rPr>
        <w:t>C</w:t>
      </w:r>
      <w:r w:rsidRPr="000955FE">
        <w:rPr>
          <w:rFonts w:ascii="Verdana" w:hAnsi="Verdana"/>
          <w:sz w:val="20"/>
          <w:szCs w:val="20"/>
          <w:lang w:val="es-CR"/>
        </w:rPr>
        <w:t>omunidad de Río Miel, “</w:t>
      </w:r>
      <w:proofErr w:type="spellStart"/>
      <w:proofErr w:type="gramStart"/>
      <w:r w:rsidRPr="000955FE">
        <w:rPr>
          <w:rFonts w:ascii="Verdana" w:hAnsi="Verdana"/>
          <w:sz w:val="20"/>
          <w:szCs w:val="20"/>
          <w:lang w:val="es-CR"/>
        </w:rPr>
        <w:t>provoc</w:t>
      </w:r>
      <w:proofErr w:type="spellEnd"/>
      <w:r w:rsidR="00F167DB">
        <w:rPr>
          <w:rFonts w:ascii="Verdana" w:hAnsi="Verdana"/>
          <w:sz w:val="20"/>
          <w:szCs w:val="20"/>
          <w:lang w:val="es-CR"/>
        </w:rPr>
        <w:t>[</w:t>
      </w:r>
      <w:proofErr w:type="spellStart"/>
      <w:proofErr w:type="gramEnd"/>
      <w:r w:rsidRPr="000955FE">
        <w:rPr>
          <w:rFonts w:ascii="Verdana" w:hAnsi="Verdana"/>
          <w:sz w:val="20"/>
          <w:szCs w:val="20"/>
          <w:lang w:val="es-CR"/>
        </w:rPr>
        <w:t>ada</w:t>
      </w:r>
      <w:proofErr w:type="spellEnd"/>
      <w:r w:rsidR="00F167DB">
        <w:rPr>
          <w:rFonts w:ascii="Verdana" w:hAnsi="Verdana"/>
          <w:sz w:val="20"/>
          <w:szCs w:val="20"/>
          <w:lang w:val="es-CR"/>
        </w:rPr>
        <w:t>]</w:t>
      </w:r>
      <w:r w:rsidRPr="000955FE">
        <w:rPr>
          <w:rFonts w:ascii="Verdana" w:hAnsi="Verdana"/>
          <w:sz w:val="20"/>
          <w:szCs w:val="20"/>
          <w:lang w:val="es-CR"/>
        </w:rPr>
        <w:t xml:space="preserve"> por la disputa de tierra entre las dos comunidades”</w:t>
      </w:r>
      <w:r w:rsidRPr="000955FE">
        <w:rPr>
          <w:rStyle w:val="FootnoteReference"/>
          <w:szCs w:val="20"/>
          <w:lang w:val="es-CR"/>
        </w:rPr>
        <w:footnoteReference w:id="163"/>
      </w:r>
      <w:r w:rsidRPr="000955FE">
        <w:rPr>
          <w:rFonts w:ascii="Verdana" w:hAnsi="Verdana"/>
          <w:sz w:val="20"/>
          <w:szCs w:val="20"/>
          <w:lang w:val="es-CR"/>
        </w:rPr>
        <w:t xml:space="preserve">. La denuncia señaló que </w:t>
      </w:r>
      <w:r w:rsidR="00631669">
        <w:rPr>
          <w:rFonts w:ascii="Verdana" w:hAnsi="Verdana"/>
          <w:sz w:val="20"/>
          <w:szCs w:val="20"/>
          <w:lang w:val="es-CR"/>
        </w:rPr>
        <w:t>Félix Ordóñez Suazo</w:t>
      </w:r>
      <w:r w:rsidRPr="000955FE">
        <w:rPr>
          <w:rFonts w:ascii="Verdana" w:hAnsi="Verdana"/>
          <w:sz w:val="20"/>
          <w:szCs w:val="20"/>
          <w:lang w:val="es-CR"/>
        </w:rPr>
        <w:t xml:space="preserve"> habría sido asesinado tras una serie de amenazas por la familia de Luis Portillo, debido a problemas surgidos por la colindancia de tierras y estableció que Marcos Bonifacio Castillo fue el único testigo de la muerte, la cual se</w:t>
      </w:r>
      <w:r>
        <w:rPr>
          <w:rFonts w:ascii="Verdana" w:hAnsi="Verdana"/>
          <w:sz w:val="20"/>
          <w:szCs w:val="20"/>
          <w:lang w:val="es-CR"/>
        </w:rPr>
        <w:t>gún el denunciante, se</w:t>
      </w:r>
      <w:r w:rsidRPr="000955FE">
        <w:rPr>
          <w:rFonts w:ascii="Verdana" w:hAnsi="Verdana"/>
          <w:sz w:val="20"/>
          <w:szCs w:val="20"/>
          <w:lang w:val="es-CR"/>
        </w:rPr>
        <w:t xml:space="preserve"> atribuyó a David Portillo</w:t>
      </w:r>
      <w:r w:rsidR="00DD3439">
        <w:rPr>
          <w:rFonts w:ascii="Verdana" w:hAnsi="Verdana"/>
          <w:sz w:val="20"/>
          <w:szCs w:val="20"/>
          <w:lang w:val="es-CR"/>
        </w:rPr>
        <w:t xml:space="preserve"> Chacón</w:t>
      </w:r>
      <w:r w:rsidRPr="000955FE">
        <w:rPr>
          <w:rFonts w:ascii="Verdana" w:hAnsi="Verdana"/>
          <w:sz w:val="20"/>
          <w:szCs w:val="20"/>
          <w:lang w:val="es-CR"/>
        </w:rPr>
        <w:t>, hijo de Luis Portillo, ambos de Río Miel</w:t>
      </w:r>
      <w:r w:rsidRPr="000955FE">
        <w:rPr>
          <w:rStyle w:val="FootnoteReference"/>
          <w:szCs w:val="20"/>
          <w:lang w:val="es-CR"/>
        </w:rPr>
        <w:footnoteReference w:id="164"/>
      </w:r>
      <w:r w:rsidRPr="000955FE">
        <w:rPr>
          <w:rFonts w:ascii="Verdana" w:hAnsi="Verdana"/>
          <w:sz w:val="20"/>
          <w:szCs w:val="20"/>
          <w:lang w:val="es-CR"/>
        </w:rPr>
        <w:t xml:space="preserve">. </w:t>
      </w:r>
      <w:r w:rsidRPr="000955FE">
        <w:rPr>
          <w:rFonts w:ascii="Verdana" w:hAnsi="Verdana"/>
          <w:sz w:val="20"/>
          <w:szCs w:val="20"/>
          <w:lang w:val="es-MX"/>
        </w:rPr>
        <w:t xml:space="preserve"> </w:t>
      </w:r>
    </w:p>
    <w:p w14:paraId="0C704A7A" w14:textId="77777777" w:rsidR="00E04121" w:rsidRPr="000955FE" w:rsidRDefault="00E04121" w:rsidP="00E04121">
      <w:pPr>
        <w:pStyle w:val="ListParagraph"/>
        <w:rPr>
          <w:rFonts w:ascii="Verdana" w:hAnsi="Verdana"/>
          <w:sz w:val="20"/>
          <w:szCs w:val="20"/>
          <w:lang w:val="es-CR"/>
        </w:rPr>
      </w:pPr>
    </w:p>
    <w:p w14:paraId="0C704A7B" w14:textId="75FB8D86" w:rsidR="00E04121" w:rsidRPr="00053E40" w:rsidRDefault="00E04121" w:rsidP="00E04121">
      <w:pPr>
        <w:pStyle w:val="ListParagraph"/>
        <w:numPr>
          <w:ilvl w:val="0"/>
          <w:numId w:val="17"/>
        </w:numPr>
        <w:ind w:left="0" w:hanging="11"/>
        <w:jc w:val="both"/>
        <w:rPr>
          <w:rFonts w:ascii="Verdana" w:hAnsi="Verdana"/>
          <w:sz w:val="20"/>
          <w:szCs w:val="20"/>
          <w:lang w:val="es-MX"/>
        </w:rPr>
      </w:pPr>
      <w:r w:rsidRPr="00053E40">
        <w:rPr>
          <w:rFonts w:ascii="Verdana" w:hAnsi="Verdana"/>
          <w:sz w:val="20"/>
          <w:szCs w:val="20"/>
          <w:lang w:val="es-CR"/>
        </w:rPr>
        <w:t xml:space="preserve">En la misma fecha, </w:t>
      </w:r>
      <w:r w:rsidRPr="00053E40">
        <w:rPr>
          <w:rFonts w:ascii="Verdana" w:hAnsi="Verdana"/>
          <w:sz w:val="20"/>
          <w:szCs w:val="20"/>
          <w:lang w:val="es-MX"/>
        </w:rPr>
        <w:t>la Fiscalía de Etnias recibió una denuncia vía correo electrónico interpuesta por la OFRANEH, por la comisión del del</w:t>
      </w:r>
      <w:r w:rsidRPr="004059A9">
        <w:rPr>
          <w:rFonts w:ascii="Verdana" w:hAnsi="Verdana"/>
          <w:sz w:val="20"/>
          <w:szCs w:val="20"/>
          <w:lang w:val="es-MX"/>
        </w:rPr>
        <w:t>ito de asesinato de Félix Ordóñez</w:t>
      </w:r>
      <w:r w:rsidR="00F167DB">
        <w:rPr>
          <w:rFonts w:ascii="Verdana" w:hAnsi="Verdana"/>
          <w:sz w:val="20"/>
          <w:szCs w:val="20"/>
          <w:lang w:val="es-MX"/>
        </w:rPr>
        <w:t xml:space="preserve"> Suazo</w:t>
      </w:r>
      <w:r w:rsidRPr="004059A9">
        <w:rPr>
          <w:rFonts w:ascii="Verdana" w:hAnsi="Verdana"/>
          <w:sz w:val="20"/>
          <w:szCs w:val="20"/>
          <w:lang w:val="es-MX"/>
        </w:rPr>
        <w:t xml:space="preserve">, en contra de Luis Portillo y </w:t>
      </w:r>
      <w:r w:rsidR="004A7FC0">
        <w:rPr>
          <w:rFonts w:ascii="Verdana" w:hAnsi="Verdana"/>
          <w:sz w:val="20"/>
          <w:szCs w:val="20"/>
          <w:lang w:val="es-MX"/>
        </w:rPr>
        <w:t>David Portillo Chacón</w:t>
      </w:r>
      <w:r w:rsidRPr="004059A9">
        <w:rPr>
          <w:rFonts w:ascii="Verdana" w:hAnsi="Verdana"/>
          <w:sz w:val="20"/>
          <w:szCs w:val="20"/>
          <w:lang w:val="es-MX"/>
        </w:rPr>
        <w:t xml:space="preserve">, a la cual se le asignó el No. 7277-2007, la cual </w:t>
      </w:r>
      <w:r w:rsidRPr="00814F68">
        <w:rPr>
          <w:rFonts w:ascii="Verdana" w:hAnsi="Verdana"/>
          <w:sz w:val="20"/>
          <w:szCs w:val="20"/>
          <w:lang w:val="es-MX"/>
        </w:rPr>
        <w:t>fue remitida a la Directora General de Fiscalía en la misma fecha</w:t>
      </w:r>
      <w:r w:rsidRPr="00053E40">
        <w:rPr>
          <w:rStyle w:val="FootnoteReference"/>
          <w:szCs w:val="20"/>
          <w:lang w:val="es-MX"/>
        </w:rPr>
        <w:footnoteReference w:id="165"/>
      </w:r>
      <w:r w:rsidRPr="00053E40">
        <w:rPr>
          <w:rFonts w:ascii="Verdana" w:hAnsi="Verdana"/>
          <w:sz w:val="20"/>
          <w:szCs w:val="20"/>
          <w:lang w:val="es-MX"/>
        </w:rPr>
        <w:t xml:space="preserve">, y finalmente asignada a </w:t>
      </w:r>
      <w:r w:rsidR="00D74DF4">
        <w:rPr>
          <w:rFonts w:ascii="Verdana" w:hAnsi="Verdana"/>
          <w:sz w:val="20"/>
          <w:szCs w:val="20"/>
          <w:lang w:val="es-MX"/>
        </w:rPr>
        <w:t xml:space="preserve">la </w:t>
      </w:r>
      <w:r w:rsidRPr="00053E40">
        <w:rPr>
          <w:rFonts w:ascii="Verdana" w:hAnsi="Verdana"/>
          <w:sz w:val="20"/>
          <w:szCs w:val="20"/>
          <w:lang w:val="es-MX"/>
        </w:rPr>
        <w:t>Fiscalía Local de Trujillo, Colón</w:t>
      </w:r>
      <w:r w:rsidRPr="00053E40">
        <w:rPr>
          <w:rStyle w:val="FootnoteReference"/>
          <w:szCs w:val="20"/>
          <w:lang w:val="es-MX"/>
        </w:rPr>
        <w:footnoteReference w:id="166"/>
      </w:r>
      <w:r w:rsidRPr="008446E1">
        <w:rPr>
          <w:rFonts w:ascii="Verdana" w:hAnsi="Verdana"/>
          <w:sz w:val="20"/>
          <w:szCs w:val="20"/>
          <w:lang w:val="es-MX"/>
        </w:rPr>
        <w:t xml:space="preserve">. </w:t>
      </w:r>
      <w:r w:rsidRPr="00053E40">
        <w:rPr>
          <w:rFonts w:ascii="Verdana" w:hAnsi="Verdana"/>
          <w:sz w:val="20"/>
          <w:szCs w:val="20"/>
          <w:lang w:val="es-CR"/>
        </w:rPr>
        <w:t xml:space="preserve">Esta denuncia fue registrada ante </w:t>
      </w:r>
      <w:r w:rsidRPr="008446E1">
        <w:rPr>
          <w:rFonts w:ascii="Verdana" w:hAnsi="Verdana"/>
          <w:sz w:val="20"/>
          <w:szCs w:val="20"/>
          <w:lang w:val="es-CR"/>
        </w:rPr>
        <w:t>la</w:t>
      </w:r>
      <w:r w:rsidRPr="00053E40">
        <w:rPr>
          <w:rFonts w:ascii="Verdana" w:hAnsi="Verdana"/>
          <w:sz w:val="20"/>
          <w:szCs w:val="20"/>
          <w:lang w:val="es-CR"/>
        </w:rPr>
        <w:t xml:space="preserve"> Fiscalía de Trujillo con el No. 0273-2007 y ante la Dirección General de Investigación Criminal con el No.</w:t>
      </w:r>
      <w:r w:rsidRPr="00053E40">
        <w:rPr>
          <w:rFonts w:ascii="Verdana" w:hAnsi="Verdana"/>
          <w:sz w:val="20"/>
          <w:szCs w:val="20"/>
          <w:lang w:val="es-MX"/>
        </w:rPr>
        <w:t xml:space="preserve"> TJC 310-07</w:t>
      </w:r>
      <w:r w:rsidRPr="00053E40">
        <w:rPr>
          <w:rStyle w:val="FootnoteReference"/>
          <w:szCs w:val="20"/>
          <w:lang w:val="es-MX"/>
        </w:rPr>
        <w:footnoteReference w:id="167"/>
      </w:r>
      <w:r w:rsidRPr="00053E40">
        <w:rPr>
          <w:rFonts w:ascii="Verdana" w:hAnsi="Verdana"/>
          <w:sz w:val="20"/>
          <w:szCs w:val="20"/>
          <w:lang w:val="es-MX"/>
        </w:rPr>
        <w:t>.</w:t>
      </w:r>
      <w:r w:rsidRPr="00053E40">
        <w:rPr>
          <w:rFonts w:ascii="Verdana" w:hAnsi="Verdana"/>
          <w:sz w:val="20"/>
          <w:szCs w:val="20"/>
          <w:lang w:val="es-CR"/>
        </w:rPr>
        <w:t xml:space="preserve"> </w:t>
      </w:r>
      <w:r w:rsidRPr="00053E40">
        <w:rPr>
          <w:rFonts w:ascii="Verdana" w:hAnsi="Verdana"/>
          <w:sz w:val="20"/>
          <w:szCs w:val="20"/>
          <w:lang w:val="es-MX"/>
        </w:rPr>
        <w:t xml:space="preserve"> </w:t>
      </w:r>
    </w:p>
    <w:p w14:paraId="0C704A7C" w14:textId="77777777" w:rsidR="00E04121" w:rsidRPr="00053E40" w:rsidRDefault="00E04121" w:rsidP="00E04121">
      <w:pPr>
        <w:rPr>
          <w:lang w:val="es-MX"/>
        </w:rPr>
      </w:pPr>
    </w:p>
    <w:p w14:paraId="0C704A7D" w14:textId="69056875" w:rsidR="00E04121" w:rsidRPr="000955FE" w:rsidRDefault="00E04121" w:rsidP="00E04121">
      <w:pPr>
        <w:pStyle w:val="ListParagraph"/>
        <w:numPr>
          <w:ilvl w:val="0"/>
          <w:numId w:val="17"/>
        </w:numPr>
        <w:ind w:left="0" w:hanging="11"/>
        <w:jc w:val="both"/>
        <w:rPr>
          <w:rFonts w:ascii="Verdana" w:hAnsi="Verdana"/>
          <w:sz w:val="20"/>
          <w:szCs w:val="20"/>
          <w:lang w:val="es-MX"/>
        </w:rPr>
      </w:pPr>
      <w:r w:rsidRPr="004059A9">
        <w:rPr>
          <w:rFonts w:ascii="Verdana" w:hAnsi="Verdana"/>
          <w:sz w:val="20"/>
          <w:szCs w:val="20"/>
          <w:lang w:val="es-MX"/>
        </w:rPr>
        <w:t xml:space="preserve">El 26 de junio de 2007 la Fiscalía de Etnias emitió un auto de requerimiento de investigación policial a fin de que la </w:t>
      </w:r>
      <w:r w:rsidRPr="004059A9">
        <w:rPr>
          <w:rFonts w:ascii="Verdana" w:hAnsi="Verdana"/>
          <w:sz w:val="20"/>
          <w:szCs w:val="20"/>
          <w:lang w:val="es-ES"/>
        </w:rPr>
        <w:t>DGIC actuara ciertas diligencias</w:t>
      </w:r>
      <w:r w:rsidRPr="00053E40">
        <w:rPr>
          <w:rStyle w:val="FootnoteReference"/>
          <w:szCs w:val="20"/>
        </w:rPr>
        <w:footnoteReference w:id="168"/>
      </w:r>
      <w:r w:rsidRPr="00053E40">
        <w:rPr>
          <w:rFonts w:ascii="Verdana" w:hAnsi="Verdana"/>
          <w:sz w:val="20"/>
          <w:szCs w:val="20"/>
          <w:lang w:val="es-ES"/>
        </w:rPr>
        <w:t xml:space="preserve">, las cuales fueron pospuestas </w:t>
      </w:r>
      <w:r w:rsidRPr="00053E40">
        <w:rPr>
          <w:rFonts w:ascii="Verdana" w:hAnsi="Verdana"/>
          <w:sz w:val="20"/>
          <w:szCs w:val="20"/>
          <w:lang w:val="es-MX"/>
        </w:rPr>
        <w:t>por falta de transporte para realizarlas</w:t>
      </w:r>
      <w:r w:rsidRPr="00053E40">
        <w:rPr>
          <w:rStyle w:val="FootnoteReference"/>
          <w:szCs w:val="20"/>
          <w:lang w:val="es-MX"/>
        </w:rPr>
        <w:footnoteReference w:id="169"/>
      </w:r>
      <w:r w:rsidRPr="00053E40">
        <w:rPr>
          <w:rFonts w:ascii="Verdana" w:hAnsi="Verdana"/>
          <w:sz w:val="20"/>
          <w:szCs w:val="20"/>
          <w:lang w:val="es-MX"/>
        </w:rPr>
        <w:t xml:space="preserve">. De las diligencias </w:t>
      </w:r>
      <w:r w:rsidRPr="00053E40">
        <w:rPr>
          <w:rFonts w:ascii="Verdana" w:hAnsi="Verdana"/>
          <w:sz w:val="20"/>
          <w:szCs w:val="20"/>
          <w:lang w:val="es-MX"/>
        </w:rPr>
        <w:lastRenderedPageBreak/>
        <w:t xml:space="preserve">ordenadas, en julio de 2007 la DGCI </w:t>
      </w:r>
      <w:r w:rsidRPr="00D01D74">
        <w:rPr>
          <w:rFonts w:ascii="Verdana" w:hAnsi="Verdana"/>
          <w:sz w:val="20"/>
          <w:szCs w:val="20"/>
          <w:lang w:val="es-CR"/>
        </w:rPr>
        <w:t>tomó</w:t>
      </w:r>
      <w:r w:rsidRPr="00053E40">
        <w:rPr>
          <w:rFonts w:ascii="Verdana" w:hAnsi="Verdana"/>
          <w:sz w:val="20"/>
          <w:szCs w:val="20"/>
          <w:lang w:val="es-PE"/>
        </w:rPr>
        <w:t xml:space="preserve"> </w:t>
      </w:r>
      <w:r w:rsidR="00556C1C">
        <w:rPr>
          <w:rFonts w:ascii="Verdana" w:hAnsi="Verdana"/>
          <w:sz w:val="20"/>
          <w:szCs w:val="20"/>
          <w:lang w:val="es-PE"/>
        </w:rPr>
        <w:t>cuatro</w:t>
      </w:r>
      <w:r w:rsidRPr="00053E40">
        <w:rPr>
          <w:rFonts w:ascii="Verdana" w:hAnsi="Verdana"/>
          <w:sz w:val="20"/>
          <w:szCs w:val="20"/>
          <w:lang w:val="es-PE"/>
        </w:rPr>
        <w:t xml:space="preserve"> declaraciones</w:t>
      </w:r>
      <w:r w:rsidRPr="00053E40">
        <w:rPr>
          <w:rStyle w:val="FootnoteReference"/>
          <w:szCs w:val="20"/>
          <w:lang w:val="es-CR"/>
        </w:rPr>
        <w:footnoteReference w:id="170"/>
      </w:r>
      <w:r w:rsidRPr="00053E40">
        <w:rPr>
          <w:rFonts w:ascii="Verdana" w:hAnsi="Verdana"/>
          <w:sz w:val="20"/>
          <w:szCs w:val="20"/>
          <w:lang w:val="es-CR"/>
        </w:rPr>
        <w:t xml:space="preserve"> y elaboró</w:t>
      </w:r>
      <w:r w:rsidRPr="00053E40">
        <w:rPr>
          <w:rFonts w:ascii="Verdana" w:hAnsi="Verdana"/>
          <w:sz w:val="20"/>
          <w:szCs w:val="20"/>
          <w:lang w:val="es-MX"/>
        </w:rPr>
        <w:t xml:space="preserve"> </w:t>
      </w:r>
      <w:r w:rsidRPr="00053E40">
        <w:rPr>
          <w:rFonts w:ascii="Verdana" w:hAnsi="Verdana"/>
          <w:sz w:val="20"/>
          <w:szCs w:val="20"/>
          <w:lang w:val="es-CR"/>
        </w:rPr>
        <w:t>informes en los que concluyó que la inspección minuciosa de la escena del crimen, así como la</w:t>
      </w:r>
      <w:r w:rsidRPr="000955FE">
        <w:rPr>
          <w:rFonts w:ascii="Verdana" w:hAnsi="Verdana"/>
          <w:sz w:val="20"/>
          <w:szCs w:val="20"/>
          <w:lang w:val="es-CR"/>
        </w:rPr>
        <w:t xml:space="preserve"> ubicación y captura de Luis y </w:t>
      </w:r>
      <w:r w:rsidR="004A7FC0">
        <w:rPr>
          <w:rFonts w:ascii="Verdana" w:hAnsi="Verdana"/>
          <w:sz w:val="20"/>
          <w:szCs w:val="20"/>
          <w:lang w:val="es-CR"/>
        </w:rPr>
        <w:t>David Portillo Chacón</w:t>
      </w:r>
      <w:r w:rsidRPr="000955FE">
        <w:rPr>
          <w:rFonts w:ascii="Verdana" w:hAnsi="Verdana"/>
          <w:sz w:val="20"/>
          <w:szCs w:val="20"/>
          <w:lang w:val="es-CR"/>
        </w:rPr>
        <w:t>, se encontraban pendientes de cumplimiento</w:t>
      </w:r>
      <w:r w:rsidRPr="000955FE">
        <w:rPr>
          <w:rStyle w:val="FootnoteReference"/>
          <w:szCs w:val="20"/>
          <w:lang w:val="es-CR"/>
        </w:rPr>
        <w:footnoteReference w:id="171"/>
      </w:r>
      <w:r w:rsidRPr="000955FE">
        <w:rPr>
          <w:rFonts w:ascii="Verdana" w:hAnsi="Verdana"/>
          <w:sz w:val="20"/>
          <w:szCs w:val="20"/>
          <w:lang w:val="es-CR"/>
        </w:rPr>
        <w:t>.</w:t>
      </w:r>
      <w:r>
        <w:rPr>
          <w:rFonts w:ascii="Verdana" w:hAnsi="Verdana"/>
          <w:sz w:val="20"/>
          <w:szCs w:val="20"/>
          <w:lang w:val="es-CR"/>
        </w:rPr>
        <w:t xml:space="preserve"> Asimismo, </w:t>
      </w:r>
      <w:r>
        <w:rPr>
          <w:rFonts w:ascii="Verdana" w:hAnsi="Verdana"/>
          <w:sz w:val="20"/>
          <w:szCs w:val="20"/>
          <w:lang w:val="es-MX"/>
        </w:rPr>
        <w:t>e</w:t>
      </w:r>
      <w:r w:rsidRPr="000955FE">
        <w:rPr>
          <w:rFonts w:ascii="Verdana" w:hAnsi="Verdana"/>
          <w:sz w:val="20"/>
          <w:szCs w:val="20"/>
          <w:lang w:val="es-CR"/>
        </w:rPr>
        <w:t>l 16 de julio de 2007 el Fiscal de Trujillo emitió un auto de requerimiento de ampliación de investigación policial</w:t>
      </w:r>
      <w:r w:rsidRPr="000955FE">
        <w:rPr>
          <w:rStyle w:val="FootnoteReference"/>
          <w:szCs w:val="20"/>
          <w:lang w:val="es-CR"/>
        </w:rPr>
        <w:footnoteReference w:id="172"/>
      </w:r>
      <w:r w:rsidRPr="000955FE">
        <w:rPr>
          <w:rFonts w:ascii="Verdana" w:hAnsi="Verdana"/>
          <w:sz w:val="20"/>
          <w:szCs w:val="20"/>
          <w:lang w:val="es-CR"/>
        </w:rPr>
        <w:t xml:space="preserve">, </w:t>
      </w:r>
      <w:r>
        <w:rPr>
          <w:rFonts w:ascii="Verdana" w:hAnsi="Verdana"/>
          <w:sz w:val="20"/>
          <w:szCs w:val="20"/>
          <w:lang w:val="es-CR"/>
        </w:rPr>
        <w:t xml:space="preserve">en donde se ordenó principalmente, la individualización de </w:t>
      </w:r>
      <w:r w:rsidRPr="000955FE">
        <w:rPr>
          <w:rFonts w:ascii="Verdana" w:hAnsi="Verdana"/>
          <w:sz w:val="20"/>
          <w:szCs w:val="20"/>
          <w:lang w:val="es-CR"/>
        </w:rPr>
        <w:t xml:space="preserve">David Portillo Chacón, </w:t>
      </w:r>
      <w:r>
        <w:rPr>
          <w:rFonts w:ascii="Verdana" w:hAnsi="Verdana"/>
          <w:sz w:val="20"/>
          <w:szCs w:val="20"/>
          <w:lang w:val="es-CR"/>
        </w:rPr>
        <w:t xml:space="preserve">la obtención del </w:t>
      </w:r>
      <w:r w:rsidRPr="000955FE">
        <w:rPr>
          <w:rFonts w:ascii="Verdana" w:hAnsi="Verdana"/>
          <w:sz w:val="20"/>
          <w:szCs w:val="20"/>
          <w:lang w:val="es-CR"/>
        </w:rPr>
        <w:t xml:space="preserve">acta de levantamiento del cadáver del Juez de Paz de </w:t>
      </w:r>
      <w:proofErr w:type="spellStart"/>
      <w:r w:rsidRPr="000955FE">
        <w:rPr>
          <w:rFonts w:ascii="Verdana" w:hAnsi="Verdana"/>
          <w:sz w:val="20"/>
          <w:szCs w:val="20"/>
          <w:lang w:val="es-CR"/>
        </w:rPr>
        <w:t>Iriona</w:t>
      </w:r>
      <w:proofErr w:type="spellEnd"/>
      <w:r w:rsidRPr="000955FE">
        <w:rPr>
          <w:rFonts w:ascii="Verdana" w:hAnsi="Verdana"/>
          <w:sz w:val="20"/>
          <w:szCs w:val="20"/>
          <w:lang w:val="es-CR"/>
        </w:rPr>
        <w:t>,</w:t>
      </w:r>
      <w:r>
        <w:rPr>
          <w:rFonts w:ascii="Verdana" w:hAnsi="Verdana"/>
          <w:sz w:val="20"/>
          <w:szCs w:val="20"/>
          <w:lang w:val="es-CR"/>
        </w:rPr>
        <w:t xml:space="preserve"> el embalaje de </w:t>
      </w:r>
      <w:r w:rsidRPr="000955FE">
        <w:rPr>
          <w:rFonts w:ascii="Verdana" w:hAnsi="Verdana"/>
          <w:sz w:val="20"/>
          <w:szCs w:val="20"/>
          <w:lang w:val="es-CR"/>
        </w:rPr>
        <w:t>los casquillos recogidos manteniendo la cadena de custodia, y se practicara la inspección del lugar de los hechos, todo ello en un plazo de diez días.</w:t>
      </w:r>
      <w:r w:rsidRPr="000955FE">
        <w:rPr>
          <w:rFonts w:ascii="Verdana" w:hAnsi="Verdana"/>
          <w:sz w:val="20"/>
          <w:szCs w:val="20"/>
          <w:lang w:val="es-MX"/>
        </w:rPr>
        <w:t xml:space="preserve"> </w:t>
      </w:r>
      <w:r>
        <w:rPr>
          <w:rFonts w:ascii="Verdana" w:hAnsi="Verdana"/>
          <w:sz w:val="20"/>
          <w:szCs w:val="20"/>
          <w:lang w:val="es-MX"/>
        </w:rPr>
        <w:t>Dichas diligencias no fueron realizadas.</w:t>
      </w:r>
    </w:p>
    <w:p w14:paraId="0C704A7E" w14:textId="77777777" w:rsidR="00E04121" w:rsidRPr="000955FE" w:rsidRDefault="00E04121" w:rsidP="00E04121">
      <w:pPr>
        <w:pStyle w:val="ListParagraph"/>
        <w:rPr>
          <w:rFonts w:ascii="Verdana" w:hAnsi="Verdana"/>
          <w:sz w:val="20"/>
          <w:szCs w:val="20"/>
          <w:lang w:val="es-CR"/>
        </w:rPr>
      </w:pPr>
    </w:p>
    <w:p w14:paraId="0C704A7F" w14:textId="7DAD8316" w:rsidR="00E04121" w:rsidRPr="002955C7" w:rsidRDefault="00E04121" w:rsidP="00E04121">
      <w:pPr>
        <w:pStyle w:val="ListParagraph"/>
        <w:numPr>
          <w:ilvl w:val="0"/>
          <w:numId w:val="17"/>
        </w:numPr>
        <w:ind w:left="0" w:hanging="11"/>
        <w:jc w:val="both"/>
        <w:rPr>
          <w:rFonts w:ascii="Verdana" w:hAnsi="Verdana"/>
          <w:sz w:val="20"/>
          <w:lang w:val="es-MX"/>
        </w:rPr>
      </w:pPr>
      <w:r w:rsidRPr="002147F8">
        <w:rPr>
          <w:rFonts w:ascii="Verdana" w:hAnsi="Verdana"/>
          <w:sz w:val="20"/>
          <w:lang w:val="es-CR"/>
        </w:rPr>
        <w:t xml:space="preserve">De igual manera la Fiscalía de Trujillo: a) presentó ante el Juzgado de Letras Seccional de Trujillo </w:t>
      </w:r>
      <w:r w:rsidR="00FD39FC">
        <w:rPr>
          <w:rFonts w:ascii="Verdana" w:hAnsi="Verdana"/>
          <w:sz w:val="20"/>
          <w:lang w:val="es-CR"/>
        </w:rPr>
        <w:t>(en adelante,</w:t>
      </w:r>
      <w:r w:rsidRPr="002147F8">
        <w:rPr>
          <w:rFonts w:ascii="Verdana" w:hAnsi="Verdana"/>
          <w:sz w:val="20"/>
          <w:lang w:val="es-CR"/>
        </w:rPr>
        <w:t xml:space="preserve"> “Juzgado de Letras”) un “Requerimiento Fiscal” contra el señor </w:t>
      </w:r>
      <w:r w:rsidR="004A7FC0">
        <w:rPr>
          <w:rFonts w:ascii="Verdana" w:hAnsi="Verdana"/>
          <w:sz w:val="20"/>
          <w:lang w:val="es-CR"/>
        </w:rPr>
        <w:t>David Portillo Chacón</w:t>
      </w:r>
      <w:r w:rsidRPr="002147F8">
        <w:rPr>
          <w:rFonts w:ascii="Verdana" w:hAnsi="Verdana"/>
          <w:sz w:val="20"/>
          <w:lang w:val="es-CR"/>
        </w:rPr>
        <w:t xml:space="preserve"> como presunto autor del delito de </w:t>
      </w:r>
      <w:r w:rsidR="00F167DB">
        <w:rPr>
          <w:rFonts w:ascii="Verdana" w:hAnsi="Verdana"/>
          <w:sz w:val="20"/>
          <w:lang w:val="es-CR"/>
        </w:rPr>
        <w:t>a</w:t>
      </w:r>
      <w:r w:rsidRPr="002147F8">
        <w:rPr>
          <w:rFonts w:ascii="Verdana" w:hAnsi="Verdana"/>
          <w:sz w:val="20"/>
          <w:lang w:val="es-CR"/>
        </w:rPr>
        <w:t>sesinato en perjuicio de Félix Ordóñez</w:t>
      </w:r>
      <w:r w:rsidR="00F167DB">
        <w:rPr>
          <w:rFonts w:ascii="Verdana" w:hAnsi="Verdana"/>
          <w:sz w:val="20"/>
          <w:lang w:val="es-CR"/>
        </w:rPr>
        <w:t xml:space="preserve"> Suazo</w:t>
      </w:r>
      <w:r w:rsidR="007779AF">
        <w:rPr>
          <w:rFonts w:ascii="Verdana" w:hAnsi="Verdana"/>
          <w:sz w:val="20"/>
          <w:lang w:val="es-CR"/>
        </w:rPr>
        <w:t xml:space="preserve"> con el No 057-2007</w:t>
      </w:r>
      <w:r w:rsidRPr="002147F8">
        <w:rPr>
          <w:rStyle w:val="FootnoteReference"/>
          <w:lang w:val="es-CR"/>
        </w:rPr>
        <w:footnoteReference w:id="173"/>
      </w:r>
      <w:r w:rsidRPr="002147F8">
        <w:rPr>
          <w:rFonts w:ascii="Verdana" w:hAnsi="Verdana"/>
          <w:sz w:val="20"/>
          <w:lang w:val="es-CR"/>
        </w:rPr>
        <w:t>; b) pidió el libramiento de las órdenes de captura correspondientes</w:t>
      </w:r>
      <w:r w:rsidRPr="002955C7">
        <w:rPr>
          <w:rFonts w:ascii="Verdana" w:hAnsi="Verdana"/>
          <w:sz w:val="20"/>
          <w:lang w:val="es-MX"/>
        </w:rPr>
        <w:t>, por lo que</w:t>
      </w:r>
      <w:r w:rsidRPr="002147F8">
        <w:rPr>
          <w:rFonts w:ascii="Verdana" w:hAnsi="Verdana"/>
          <w:sz w:val="20"/>
          <w:lang w:val="es-CR"/>
        </w:rPr>
        <w:t xml:space="preserve"> el 13 de agosto de 2007 el Juzgado de Letras expidió una orden de captura contra David Portillo Chacón</w:t>
      </w:r>
      <w:r w:rsidRPr="002147F8">
        <w:rPr>
          <w:rStyle w:val="FootnoteReference"/>
          <w:lang w:val="es-CR"/>
        </w:rPr>
        <w:footnoteReference w:id="174"/>
      </w:r>
      <w:r w:rsidRPr="002147F8">
        <w:rPr>
          <w:rFonts w:ascii="Verdana" w:hAnsi="Verdana"/>
          <w:sz w:val="20"/>
          <w:lang w:val="es-CR"/>
        </w:rPr>
        <w:t xml:space="preserve">; </w:t>
      </w:r>
      <w:r w:rsidRPr="002147F8">
        <w:rPr>
          <w:rFonts w:ascii="Verdana" w:hAnsi="Verdana"/>
          <w:sz w:val="20"/>
          <w:lang w:val="es-MX"/>
        </w:rPr>
        <w:t xml:space="preserve">c) </w:t>
      </w:r>
      <w:r w:rsidRPr="002147F8">
        <w:rPr>
          <w:rFonts w:ascii="Verdana" w:hAnsi="Verdana"/>
          <w:sz w:val="20"/>
          <w:lang w:val="es-CR"/>
        </w:rPr>
        <w:t>solicitó a dicho Juzgado</w:t>
      </w:r>
      <w:r w:rsidRPr="00BF5E31">
        <w:rPr>
          <w:rFonts w:ascii="Verdana" w:hAnsi="Verdana"/>
          <w:sz w:val="20"/>
          <w:lang w:val="es-CR"/>
        </w:rPr>
        <w:t xml:space="preserve"> </w:t>
      </w:r>
      <w:r w:rsidRPr="00BF5E31">
        <w:rPr>
          <w:rFonts w:ascii="Verdana" w:hAnsi="Verdana"/>
          <w:sz w:val="20"/>
          <w:lang w:val="es-MX"/>
        </w:rPr>
        <w:t xml:space="preserve">el </w:t>
      </w:r>
      <w:r w:rsidRPr="00BF5E31">
        <w:rPr>
          <w:rFonts w:ascii="Verdana" w:hAnsi="Verdana"/>
          <w:sz w:val="20"/>
          <w:lang w:val="es-CR"/>
        </w:rPr>
        <w:t xml:space="preserve">24 de marzo de 2011, </w:t>
      </w:r>
      <w:r w:rsidRPr="002147F8">
        <w:rPr>
          <w:rFonts w:ascii="Verdana" w:hAnsi="Verdana"/>
          <w:sz w:val="20"/>
          <w:lang w:val="es-CR"/>
        </w:rPr>
        <w:t>la celebración de una audiencia de declaración de testigos bajo el protocolo de prueba anticipada, a fin de recabar la declaración de Marcos Bonifacio Castillo</w:t>
      </w:r>
      <w:r w:rsidRPr="002147F8">
        <w:rPr>
          <w:rStyle w:val="FootnoteReference"/>
          <w:lang w:val="es-CR"/>
        </w:rPr>
        <w:footnoteReference w:id="175"/>
      </w:r>
      <w:r w:rsidRPr="002147F8">
        <w:rPr>
          <w:rFonts w:ascii="Verdana" w:hAnsi="Verdana"/>
          <w:sz w:val="20"/>
          <w:lang w:val="es-CR"/>
        </w:rPr>
        <w:t>, conforme a lo solicitado por la Fiscalía de Etnias</w:t>
      </w:r>
      <w:r w:rsidRPr="002147F8">
        <w:rPr>
          <w:rStyle w:val="FootnoteReference"/>
          <w:lang w:val="es-CR"/>
        </w:rPr>
        <w:footnoteReference w:id="176"/>
      </w:r>
      <w:r w:rsidRPr="002147F8">
        <w:rPr>
          <w:rFonts w:ascii="Verdana" w:hAnsi="Verdana"/>
          <w:sz w:val="20"/>
          <w:lang w:val="es-CR"/>
        </w:rPr>
        <w:t>. La audiencia para dichos efectos, fue establecida para el 18 de agosto de 2011</w:t>
      </w:r>
      <w:r w:rsidRPr="002147F8">
        <w:rPr>
          <w:rStyle w:val="FootnoteReference"/>
          <w:lang w:val="es-CR"/>
        </w:rPr>
        <w:footnoteReference w:id="177"/>
      </w:r>
      <w:r w:rsidRPr="002147F8">
        <w:rPr>
          <w:rFonts w:ascii="Verdana" w:hAnsi="Verdana"/>
          <w:sz w:val="20"/>
          <w:lang w:val="es-CR"/>
        </w:rPr>
        <w:t xml:space="preserve">, sin embargo, la Corte no cuenta con información respecto de la realización de la misma; d) </w:t>
      </w:r>
      <w:r w:rsidRPr="002955C7">
        <w:rPr>
          <w:rFonts w:ascii="Verdana" w:hAnsi="Verdana"/>
          <w:sz w:val="20"/>
          <w:lang w:val="es-CR"/>
        </w:rPr>
        <w:t>requirió a la Directora Regional de Medicina Fore</w:t>
      </w:r>
      <w:r w:rsidRPr="002147F8">
        <w:rPr>
          <w:rFonts w:ascii="Verdana" w:hAnsi="Verdana"/>
          <w:sz w:val="20"/>
          <w:lang w:val="es-CR"/>
        </w:rPr>
        <w:t xml:space="preserve">nse, con carácter de urgencia, la asignación de un perito para la exhumación del cadáver de </w:t>
      </w:r>
      <w:r w:rsidR="00631669">
        <w:rPr>
          <w:rFonts w:ascii="Verdana" w:hAnsi="Verdana"/>
          <w:sz w:val="20"/>
          <w:lang w:val="es-CR"/>
        </w:rPr>
        <w:t>Félix Ordóñez Suazo</w:t>
      </w:r>
      <w:r w:rsidRPr="002147F8">
        <w:rPr>
          <w:rFonts w:ascii="Verdana" w:hAnsi="Verdana"/>
          <w:sz w:val="20"/>
          <w:lang w:val="es-CR"/>
        </w:rPr>
        <w:t>, conforme a lo solicitado por la Fiscalía de Etnias, para que se le practica</w:t>
      </w:r>
      <w:r w:rsidR="00D74DF4">
        <w:rPr>
          <w:rFonts w:ascii="Verdana" w:hAnsi="Verdana"/>
          <w:sz w:val="20"/>
          <w:lang w:val="es-CR"/>
        </w:rPr>
        <w:t>ra</w:t>
      </w:r>
      <w:r w:rsidRPr="002147F8">
        <w:rPr>
          <w:rFonts w:ascii="Verdana" w:hAnsi="Verdana"/>
          <w:sz w:val="20"/>
          <w:lang w:val="es-CR"/>
        </w:rPr>
        <w:t xml:space="preserve"> la autopsia, la cual no se realizó al momento de su muerte</w:t>
      </w:r>
      <w:r w:rsidRPr="002147F8">
        <w:rPr>
          <w:rStyle w:val="FootnoteReference"/>
          <w:lang w:val="es-CR"/>
        </w:rPr>
        <w:footnoteReference w:id="178"/>
      </w:r>
      <w:r w:rsidRPr="002147F8">
        <w:rPr>
          <w:rFonts w:ascii="Verdana" w:hAnsi="Verdana"/>
          <w:sz w:val="20"/>
          <w:lang w:val="es-CR"/>
        </w:rPr>
        <w:t xml:space="preserve">. Sin embargo, </w:t>
      </w:r>
      <w:r w:rsidRPr="00BF5E31">
        <w:rPr>
          <w:rFonts w:ascii="Verdana" w:hAnsi="Verdana"/>
          <w:sz w:val="20"/>
          <w:lang w:val="es-CR"/>
        </w:rPr>
        <w:t>e</w:t>
      </w:r>
      <w:r w:rsidRPr="002955C7">
        <w:rPr>
          <w:rFonts w:ascii="Verdana" w:hAnsi="Verdana"/>
          <w:sz w:val="20"/>
          <w:lang w:val="es-CR"/>
        </w:rPr>
        <w:t xml:space="preserve">l 12 de agosto de 2011 informó a </w:t>
      </w:r>
      <w:r w:rsidR="00D74DF4">
        <w:rPr>
          <w:rFonts w:ascii="Verdana" w:hAnsi="Verdana"/>
          <w:sz w:val="20"/>
          <w:lang w:val="es-CR"/>
        </w:rPr>
        <w:t>dicha</w:t>
      </w:r>
      <w:r w:rsidRPr="002955C7">
        <w:rPr>
          <w:rFonts w:ascii="Verdana" w:hAnsi="Verdana"/>
          <w:sz w:val="20"/>
          <w:lang w:val="es-CR"/>
        </w:rPr>
        <w:t xml:space="preserve"> Fiscalía requirente no haber recibido respuesta al respecto</w:t>
      </w:r>
      <w:r w:rsidRPr="002147F8">
        <w:rPr>
          <w:rStyle w:val="FootnoteReference"/>
          <w:lang w:val="es-CR"/>
        </w:rPr>
        <w:footnoteReference w:id="179"/>
      </w:r>
      <w:r w:rsidRPr="002147F8">
        <w:rPr>
          <w:rFonts w:ascii="Verdana" w:hAnsi="Verdana"/>
          <w:sz w:val="20"/>
          <w:lang w:val="es-CR"/>
        </w:rPr>
        <w:t>.</w:t>
      </w:r>
    </w:p>
    <w:p w14:paraId="0C704A80" w14:textId="77777777" w:rsidR="00E04121" w:rsidRPr="002147F8" w:rsidRDefault="00E04121" w:rsidP="00E04121">
      <w:pPr>
        <w:pStyle w:val="ListParagraph"/>
        <w:rPr>
          <w:rFonts w:ascii="Verdana" w:hAnsi="Verdana"/>
          <w:sz w:val="20"/>
          <w:lang w:val="es-MX"/>
        </w:rPr>
      </w:pPr>
    </w:p>
    <w:p w14:paraId="0C704A81" w14:textId="7CDF8827" w:rsidR="00E04121" w:rsidRPr="002147F8" w:rsidRDefault="00E04121" w:rsidP="00E04121">
      <w:pPr>
        <w:pStyle w:val="ListParagraph"/>
        <w:numPr>
          <w:ilvl w:val="0"/>
          <w:numId w:val="17"/>
        </w:numPr>
        <w:ind w:left="0" w:hanging="11"/>
        <w:jc w:val="both"/>
        <w:rPr>
          <w:rFonts w:ascii="Verdana" w:hAnsi="Verdana"/>
          <w:sz w:val="20"/>
          <w:lang w:val="es-CR"/>
        </w:rPr>
      </w:pPr>
      <w:r w:rsidRPr="002147F8">
        <w:rPr>
          <w:rFonts w:ascii="Verdana" w:hAnsi="Verdana"/>
          <w:sz w:val="20"/>
          <w:lang w:val="es-MX"/>
        </w:rPr>
        <w:lastRenderedPageBreak/>
        <w:t xml:space="preserve">Por su parte, la Fiscalía de Etnias: a) </w:t>
      </w:r>
      <w:r w:rsidRPr="002147F8">
        <w:rPr>
          <w:rFonts w:ascii="Verdana" w:hAnsi="Verdana"/>
          <w:sz w:val="20"/>
          <w:lang w:val="es-CR"/>
        </w:rPr>
        <w:t>solicitó la ejecución de la orden de captura en cuatro oportunidades</w:t>
      </w:r>
      <w:r w:rsidRPr="002147F8">
        <w:rPr>
          <w:rStyle w:val="FootnoteReference"/>
          <w:lang w:val="es-CR"/>
        </w:rPr>
        <w:footnoteReference w:id="180"/>
      </w:r>
      <w:r w:rsidRPr="002147F8">
        <w:rPr>
          <w:rFonts w:ascii="Verdana" w:hAnsi="Verdana"/>
          <w:sz w:val="20"/>
          <w:lang w:val="es-CR"/>
        </w:rPr>
        <w:t>, no obstante, hasta la fecha, esta no ha sido ejec</w:t>
      </w:r>
      <w:r w:rsidRPr="002955C7">
        <w:rPr>
          <w:rFonts w:ascii="Verdana" w:hAnsi="Verdana"/>
          <w:sz w:val="20"/>
          <w:lang w:val="es-CR"/>
        </w:rPr>
        <w:t>utada</w:t>
      </w:r>
      <w:r w:rsidRPr="002147F8">
        <w:rPr>
          <w:rFonts w:ascii="Verdana" w:hAnsi="Verdana"/>
          <w:sz w:val="20"/>
          <w:lang w:val="es-MX"/>
        </w:rPr>
        <w:t>; b)</w:t>
      </w:r>
      <w:r w:rsidRPr="00BF5E31">
        <w:rPr>
          <w:rFonts w:ascii="Verdana" w:hAnsi="Verdana"/>
          <w:sz w:val="20"/>
          <w:lang w:val="es-MX"/>
        </w:rPr>
        <w:t xml:space="preserve"> </w:t>
      </w:r>
      <w:r w:rsidRPr="002955C7">
        <w:rPr>
          <w:rFonts w:ascii="Verdana" w:hAnsi="Verdana"/>
          <w:sz w:val="20"/>
          <w:lang w:val="es-CR"/>
        </w:rPr>
        <w:t>requirió directamente a la Dirección de Medicina Forense</w:t>
      </w:r>
      <w:r w:rsidRPr="00BF5E31">
        <w:rPr>
          <w:rFonts w:ascii="Verdana" w:hAnsi="Verdana"/>
          <w:sz w:val="20"/>
          <w:lang w:val="es-CR"/>
        </w:rPr>
        <w:t>, ante la falta de respuesta sobre su solicitud de información,</w:t>
      </w:r>
      <w:r w:rsidRPr="002147F8">
        <w:rPr>
          <w:rFonts w:ascii="Verdana" w:hAnsi="Verdana"/>
          <w:sz w:val="20"/>
          <w:lang w:val="es-CR"/>
        </w:rPr>
        <w:t xml:space="preserve"> la asignación de un perito forense para</w:t>
      </w:r>
      <w:r w:rsidRPr="002955C7">
        <w:rPr>
          <w:rFonts w:ascii="Verdana" w:hAnsi="Verdana"/>
          <w:sz w:val="20"/>
          <w:lang w:val="es-CR"/>
        </w:rPr>
        <w:t xml:space="preserve"> la exhumación y autopsia al cadáver del señor Félix Ordóñez</w:t>
      </w:r>
      <w:r w:rsidR="00F167DB">
        <w:rPr>
          <w:rFonts w:ascii="Verdana" w:hAnsi="Verdana"/>
          <w:sz w:val="20"/>
          <w:lang w:val="es-CR"/>
        </w:rPr>
        <w:t xml:space="preserve"> Suazo</w:t>
      </w:r>
      <w:r w:rsidRPr="002147F8">
        <w:rPr>
          <w:rStyle w:val="FootnoteReference"/>
          <w:lang w:val="es-CR"/>
        </w:rPr>
        <w:footnoteReference w:id="181"/>
      </w:r>
      <w:r w:rsidRPr="002147F8">
        <w:rPr>
          <w:rFonts w:ascii="Verdana" w:hAnsi="Verdana"/>
          <w:sz w:val="20"/>
          <w:lang w:val="es-CR"/>
        </w:rPr>
        <w:t>; c) pidió</w:t>
      </w:r>
      <w:r w:rsidR="00F167DB">
        <w:rPr>
          <w:rFonts w:ascii="Verdana" w:hAnsi="Verdana"/>
          <w:sz w:val="20"/>
          <w:lang w:val="es-CR"/>
        </w:rPr>
        <w:t xml:space="preserve"> a la Fiscalía de Trujillo</w:t>
      </w:r>
      <w:r w:rsidRPr="002147F8">
        <w:rPr>
          <w:rFonts w:ascii="Verdana" w:hAnsi="Verdana"/>
          <w:sz w:val="20"/>
          <w:lang w:val="es-CR"/>
        </w:rPr>
        <w:t>, por lo menos en cuatro ocasiones, le brindara información respecto de la actuación de diligencias del caso</w:t>
      </w:r>
      <w:r w:rsidRPr="002147F8">
        <w:rPr>
          <w:rStyle w:val="FootnoteReference"/>
          <w:lang w:val="es-CR"/>
        </w:rPr>
        <w:footnoteReference w:id="182"/>
      </w:r>
      <w:r w:rsidRPr="002147F8">
        <w:rPr>
          <w:rFonts w:ascii="Verdana" w:hAnsi="Verdana"/>
          <w:sz w:val="20"/>
          <w:lang w:val="es-CR"/>
        </w:rPr>
        <w:t>, y d) solicitó a la Dirección Nacional de Investigación Criminal la remisión del padrón fotográfico del imputado,</w:t>
      </w:r>
      <w:r w:rsidRPr="00BF5E31">
        <w:rPr>
          <w:rFonts w:ascii="Verdana" w:hAnsi="Verdana"/>
          <w:sz w:val="20"/>
          <w:lang w:val="es-CR"/>
        </w:rPr>
        <w:t xml:space="preserve"> </w:t>
      </w:r>
      <w:r w:rsidR="00D74DF4">
        <w:rPr>
          <w:rFonts w:ascii="Verdana" w:hAnsi="Verdana"/>
          <w:sz w:val="20"/>
          <w:lang w:val="es-CR"/>
        </w:rPr>
        <w:t xml:space="preserve">los días </w:t>
      </w:r>
      <w:r w:rsidRPr="00BF5E31">
        <w:rPr>
          <w:rFonts w:ascii="Verdana" w:hAnsi="Verdana"/>
          <w:sz w:val="20"/>
          <w:lang w:val="es-CR"/>
        </w:rPr>
        <w:t>13 de mayo de 2013 y 16 de septiembre de 2014,</w:t>
      </w:r>
      <w:r w:rsidRPr="002147F8">
        <w:rPr>
          <w:rFonts w:ascii="Verdana" w:hAnsi="Verdana"/>
          <w:sz w:val="20"/>
          <w:lang w:val="es-CR"/>
        </w:rPr>
        <w:t xml:space="preserve"> siendo estas las últimas actuaciones en el proceso, conforme a la prueba obrante en el expediente ante la Corte.</w:t>
      </w:r>
    </w:p>
    <w:p w14:paraId="0C704A82" w14:textId="77777777" w:rsidR="00E04121" w:rsidRDefault="00E04121" w:rsidP="00E04121">
      <w:pPr>
        <w:pStyle w:val="ListParagraph"/>
        <w:rPr>
          <w:rFonts w:ascii="Verdana" w:hAnsi="Verdana"/>
          <w:sz w:val="20"/>
          <w:szCs w:val="20"/>
          <w:lang w:val="es-CR"/>
        </w:rPr>
      </w:pPr>
    </w:p>
    <w:p w14:paraId="0C704A83" w14:textId="45976929" w:rsidR="00E04121" w:rsidRPr="000955FE"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ES"/>
        </w:rPr>
        <w:t xml:space="preserve">Conforme a lo señalado por el Estado, </w:t>
      </w:r>
      <w:r>
        <w:rPr>
          <w:rFonts w:ascii="Verdana" w:hAnsi="Verdana"/>
          <w:sz w:val="20"/>
          <w:szCs w:val="20"/>
          <w:lang w:val="es-ES"/>
        </w:rPr>
        <w:t xml:space="preserve">la muerte de Félix Ordóñez Suazo continúa investigándose y tanto la exhumación como la ejecución de la orden de captura se encuentran </w:t>
      </w:r>
      <w:r w:rsidRPr="000955FE">
        <w:rPr>
          <w:rFonts w:ascii="Verdana" w:hAnsi="Verdana"/>
          <w:sz w:val="20"/>
          <w:szCs w:val="20"/>
          <w:lang w:val="es-ES"/>
        </w:rPr>
        <w:t xml:space="preserve">pendientes de cumplimiento a la fecha. </w:t>
      </w:r>
    </w:p>
    <w:p w14:paraId="0C704A84" w14:textId="77777777" w:rsidR="00E04121" w:rsidRPr="000955FE" w:rsidRDefault="00E04121" w:rsidP="00E04121">
      <w:pPr>
        <w:pStyle w:val="ListParagraph"/>
        <w:ind w:left="0"/>
        <w:jc w:val="both"/>
        <w:rPr>
          <w:rFonts w:ascii="Verdana" w:hAnsi="Verdana"/>
          <w:sz w:val="20"/>
          <w:szCs w:val="20"/>
          <w:lang w:val="es-CR"/>
        </w:rPr>
      </w:pPr>
    </w:p>
    <w:p w14:paraId="0C704A85" w14:textId="77777777" w:rsidR="00E04121" w:rsidRPr="000955FE" w:rsidRDefault="00E04121" w:rsidP="00E04121">
      <w:pPr>
        <w:pStyle w:val="Heading3"/>
        <w:spacing w:before="0"/>
        <w:ind w:left="360"/>
        <w:jc w:val="both"/>
        <w:rPr>
          <w:rFonts w:ascii="Verdana" w:hAnsi="Verdana"/>
          <w:i/>
          <w:color w:val="auto"/>
          <w:sz w:val="20"/>
          <w:szCs w:val="20"/>
        </w:rPr>
      </w:pPr>
      <w:bookmarkStart w:id="63" w:name="_Toc421868214"/>
      <w:bookmarkStart w:id="64" w:name="_Toc437247338"/>
      <w:r>
        <w:rPr>
          <w:rFonts w:ascii="Verdana" w:hAnsi="Verdana"/>
          <w:i/>
          <w:color w:val="auto"/>
          <w:sz w:val="20"/>
          <w:szCs w:val="20"/>
          <w:lang w:val="es-CR"/>
        </w:rPr>
        <w:t>F</w:t>
      </w:r>
      <w:r w:rsidRPr="000955FE">
        <w:rPr>
          <w:rFonts w:ascii="Verdana" w:hAnsi="Verdana"/>
          <w:i/>
          <w:color w:val="auto"/>
          <w:sz w:val="20"/>
          <w:szCs w:val="20"/>
        </w:rPr>
        <w:t>.2 Denuncia por el delito de usurpación y amenazas en perjuicio de Paulino Mejía y de la Comunidad Garífuna de Punta Piedra</w:t>
      </w:r>
      <w:bookmarkEnd w:id="63"/>
      <w:bookmarkEnd w:id="64"/>
    </w:p>
    <w:p w14:paraId="0C704A86" w14:textId="77777777" w:rsidR="00E04121" w:rsidRPr="000955FE" w:rsidRDefault="00E04121" w:rsidP="00E04121">
      <w:pPr>
        <w:pStyle w:val="ListParagraph"/>
        <w:ind w:left="0"/>
        <w:jc w:val="both"/>
        <w:rPr>
          <w:rFonts w:ascii="Verdana" w:hAnsi="Verdana"/>
          <w:sz w:val="20"/>
          <w:szCs w:val="20"/>
          <w:lang w:val="es-CR"/>
        </w:rPr>
      </w:pPr>
    </w:p>
    <w:p w14:paraId="0C704A87" w14:textId="5CAA1113" w:rsidR="00E04121" w:rsidRPr="000955FE"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MX"/>
        </w:rPr>
        <w:t>El 13 de abril de 2010</w:t>
      </w:r>
      <w:r w:rsidRPr="000955FE">
        <w:rPr>
          <w:rFonts w:ascii="Verdana" w:hAnsi="Verdana"/>
          <w:sz w:val="20"/>
          <w:szCs w:val="20"/>
          <w:lang w:val="es-ES"/>
        </w:rPr>
        <w:t xml:space="preserve"> </w:t>
      </w:r>
      <w:r w:rsidRPr="000955FE">
        <w:rPr>
          <w:rFonts w:ascii="Verdana" w:hAnsi="Verdana"/>
          <w:sz w:val="20"/>
          <w:szCs w:val="20"/>
          <w:lang w:val="es-MX"/>
        </w:rPr>
        <w:t xml:space="preserve">Edito Suazo Ávila, representante del Patronato de la Comunidad de Punta Piedra interpuso ante el Ministerio Público una denuncia por los delitos de usurpación y amenazas </w:t>
      </w:r>
      <w:r w:rsidRPr="000955FE">
        <w:rPr>
          <w:rFonts w:ascii="Verdana" w:hAnsi="Verdana"/>
          <w:sz w:val="20"/>
          <w:szCs w:val="20"/>
          <w:lang w:val="es-ES"/>
        </w:rPr>
        <w:t xml:space="preserve">contra “ladinos o foráneos”, debido a la invasión de terrenos de la Comunidad y con base en que la Comunidad estaba siendo “objeto de amenazas” derivadas dicho conflicto, </w:t>
      </w:r>
      <w:r w:rsidRPr="000955FE">
        <w:rPr>
          <w:rFonts w:ascii="Verdana" w:hAnsi="Verdana"/>
          <w:sz w:val="20"/>
          <w:szCs w:val="20"/>
          <w:lang w:val="es-MX"/>
        </w:rPr>
        <w:t>por lo que se dio inicio a la averiguación No. 0801-2010</w:t>
      </w:r>
      <w:r w:rsidRPr="000955FE">
        <w:rPr>
          <w:rFonts w:ascii="Verdana" w:hAnsi="Verdana"/>
          <w:sz w:val="20"/>
          <w:szCs w:val="20"/>
          <w:lang w:val="es-ES"/>
        </w:rPr>
        <w:t>-1</w:t>
      </w:r>
      <w:r w:rsidRPr="000955FE">
        <w:rPr>
          <w:rFonts w:ascii="Verdana" w:hAnsi="Verdana"/>
          <w:sz w:val="20"/>
          <w:szCs w:val="20"/>
          <w:lang w:val="es-CR"/>
        </w:rPr>
        <w:t>2</w:t>
      </w:r>
      <w:r w:rsidRPr="000955FE">
        <w:rPr>
          <w:rFonts w:ascii="Verdana" w:hAnsi="Verdana"/>
          <w:sz w:val="20"/>
          <w:szCs w:val="20"/>
          <w:lang w:val="es-ES"/>
        </w:rPr>
        <w:t>292</w:t>
      </w:r>
      <w:r w:rsidR="00057AC3" w:rsidRPr="000955FE">
        <w:rPr>
          <w:rStyle w:val="FootnoteReference"/>
          <w:szCs w:val="20"/>
          <w:lang w:val="es-MX"/>
        </w:rPr>
        <w:footnoteReference w:id="183"/>
      </w:r>
      <w:r w:rsidRPr="000955FE">
        <w:rPr>
          <w:rFonts w:ascii="Verdana" w:hAnsi="Verdana"/>
          <w:sz w:val="20"/>
          <w:szCs w:val="20"/>
          <w:lang w:val="es-ES"/>
        </w:rPr>
        <w:t>.</w:t>
      </w:r>
      <w:r w:rsidRPr="000955FE">
        <w:rPr>
          <w:rFonts w:ascii="Verdana" w:hAnsi="Verdana"/>
          <w:sz w:val="20"/>
          <w:szCs w:val="20"/>
          <w:lang w:val="es-CR"/>
        </w:rPr>
        <w:t xml:space="preserve"> </w:t>
      </w:r>
    </w:p>
    <w:p w14:paraId="0C704A88" w14:textId="77777777" w:rsidR="00E04121" w:rsidRPr="000955FE" w:rsidRDefault="00E04121" w:rsidP="00E04121">
      <w:pPr>
        <w:pStyle w:val="ListParagraph"/>
        <w:ind w:left="0"/>
        <w:jc w:val="both"/>
        <w:rPr>
          <w:rFonts w:ascii="Verdana" w:hAnsi="Verdana"/>
          <w:sz w:val="20"/>
          <w:szCs w:val="20"/>
          <w:lang w:val="es-CR"/>
        </w:rPr>
      </w:pPr>
    </w:p>
    <w:p w14:paraId="0C704A89" w14:textId="469368B5" w:rsidR="00E04121" w:rsidRPr="000955FE"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ES"/>
        </w:rPr>
        <w:t xml:space="preserve">De igual manera, el 16 de abril de 2010, los señores Edito Suazo Ávila y Antonio Bernárdez Suazo, miembros de la Comunidad de Punta Piedra, interpusieron denuncia por amenazas ante la Fiscalía de Etnias, en contra de Alejandro Ortiz, Efraín Ortiz, y </w:t>
      </w:r>
      <w:proofErr w:type="spellStart"/>
      <w:r w:rsidRPr="000955FE">
        <w:rPr>
          <w:rFonts w:ascii="Verdana" w:hAnsi="Verdana"/>
          <w:sz w:val="20"/>
          <w:szCs w:val="20"/>
          <w:lang w:val="es-ES"/>
        </w:rPr>
        <w:t>Calín</w:t>
      </w:r>
      <w:proofErr w:type="spellEnd"/>
      <w:r w:rsidRPr="000955FE">
        <w:rPr>
          <w:rFonts w:ascii="Verdana" w:hAnsi="Verdana"/>
          <w:sz w:val="20"/>
          <w:szCs w:val="20"/>
          <w:lang w:val="es-ES"/>
        </w:rPr>
        <w:t xml:space="preserve"> Ortiz, </w:t>
      </w:r>
      <w:r w:rsidRPr="000955FE">
        <w:rPr>
          <w:rFonts w:ascii="Verdana" w:hAnsi="Verdana"/>
          <w:sz w:val="20"/>
          <w:szCs w:val="20"/>
        </w:rPr>
        <w:t xml:space="preserve">en perjuicio de Paulino Mejía, miembro de </w:t>
      </w:r>
      <w:r w:rsidRPr="000955FE">
        <w:rPr>
          <w:rFonts w:ascii="Verdana" w:hAnsi="Verdana"/>
          <w:sz w:val="20"/>
          <w:szCs w:val="20"/>
          <w:lang w:val="es-ES"/>
        </w:rPr>
        <w:t xml:space="preserve">la misma comunidad. La denuncia signada con el </w:t>
      </w:r>
      <w:r w:rsidRPr="000955FE">
        <w:rPr>
          <w:rFonts w:ascii="Verdana" w:hAnsi="Verdana"/>
          <w:sz w:val="20"/>
          <w:szCs w:val="20"/>
          <w:lang w:val="es-CR"/>
        </w:rPr>
        <w:t xml:space="preserve">No. </w:t>
      </w:r>
      <w:r w:rsidRPr="000955FE">
        <w:rPr>
          <w:rFonts w:ascii="Verdana" w:hAnsi="Verdana"/>
          <w:sz w:val="20"/>
          <w:szCs w:val="20"/>
          <w:lang w:val="es-MX"/>
        </w:rPr>
        <w:t>0801-2010</w:t>
      </w:r>
      <w:r w:rsidRPr="000955FE">
        <w:rPr>
          <w:rFonts w:ascii="Verdana" w:hAnsi="Verdana"/>
          <w:sz w:val="20"/>
          <w:szCs w:val="20"/>
          <w:lang w:val="es-ES"/>
        </w:rPr>
        <w:t>-1</w:t>
      </w:r>
      <w:r w:rsidRPr="000955FE">
        <w:rPr>
          <w:rFonts w:ascii="Verdana" w:hAnsi="Verdana"/>
          <w:sz w:val="20"/>
          <w:szCs w:val="20"/>
          <w:lang w:val="es-CR"/>
        </w:rPr>
        <w:t>2</w:t>
      </w:r>
      <w:r w:rsidRPr="000955FE">
        <w:rPr>
          <w:rFonts w:ascii="Verdana" w:hAnsi="Verdana"/>
          <w:sz w:val="20"/>
          <w:szCs w:val="20"/>
          <w:lang w:val="es-ES"/>
        </w:rPr>
        <w:t xml:space="preserve">739, señaló que dichos sujetos habían invadido tierras pertenecientes a la </w:t>
      </w:r>
      <w:r>
        <w:rPr>
          <w:rFonts w:ascii="Verdana" w:hAnsi="Verdana"/>
          <w:sz w:val="20"/>
          <w:szCs w:val="20"/>
          <w:lang w:val="es-ES"/>
        </w:rPr>
        <w:t>C</w:t>
      </w:r>
      <w:r w:rsidRPr="000955FE">
        <w:rPr>
          <w:rFonts w:ascii="Verdana" w:hAnsi="Verdana"/>
          <w:sz w:val="20"/>
          <w:szCs w:val="20"/>
          <w:lang w:val="es-ES"/>
        </w:rPr>
        <w:t xml:space="preserve">omunidad, en particular, una parte del territorio que el </w:t>
      </w:r>
      <w:r w:rsidR="002A2F53">
        <w:rPr>
          <w:rFonts w:ascii="Verdana" w:hAnsi="Verdana"/>
          <w:sz w:val="20"/>
          <w:szCs w:val="20"/>
          <w:lang w:val="es-ES"/>
        </w:rPr>
        <w:t>p</w:t>
      </w:r>
      <w:r w:rsidRPr="000955FE">
        <w:rPr>
          <w:rFonts w:ascii="Verdana" w:hAnsi="Verdana"/>
          <w:sz w:val="20"/>
          <w:szCs w:val="20"/>
          <w:lang w:val="es-ES"/>
        </w:rPr>
        <w:t xml:space="preserve">atronato de la misma había otorgado a Paulino Mejía, a efectos de que la trabajara. La denuncia indicó que </w:t>
      </w:r>
      <w:r w:rsidRPr="000955FE">
        <w:rPr>
          <w:rFonts w:ascii="Verdana" w:hAnsi="Verdana"/>
          <w:sz w:val="20"/>
          <w:szCs w:val="20"/>
          <w:lang w:val="es-MX"/>
        </w:rPr>
        <w:t xml:space="preserve">esas personas habrían amenazado </w:t>
      </w:r>
      <w:r w:rsidRPr="000955FE">
        <w:rPr>
          <w:rFonts w:ascii="Verdana" w:hAnsi="Verdana"/>
          <w:sz w:val="20"/>
          <w:szCs w:val="20"/>
          <w:lang w:val="es-ES"/>
        </w:rPr>
        <w:t>a Paulino Mejía diciéndole que abandonara las tierras y se las entregara, ya que de lo contrario</w:t>
      </w:r>
      <w:r w:rsidRPr="000955FE">
        <w:rPr>
          <w:rFonts w:ascii="Verdana" w:hAnsi="Verdana"/>
          <w:sz w:val="20"/>
          <w:szCs w:val="20"/>
          <w:lang w:val="es-MX"/>
        </w:rPr>
        <w:t xml:space="preserve">, le sucedería lo mismo que a </w:t>
      </w:r>
      <w:r w:rsidR="00631669">
        <w:rPr>
          <w:rFonts w:ascii="Verdana" w:hAnsi="Verdana"/>
          <w:sz w:val="20"/>
          <w:szCs w:val="20"/>
          <w:lang w:val="es-MX"/>
        </w:rPr>
        <w:t>Félix Ordóñez Suazo</w:t>
      </w:r>
      <w:r w:rsidRPr="000955FE">
        <w:rPr>
          <w:rFonts w:ascii="Verdana" w:hAnsi="Verdana"/>
          <w:sz w:val="20"/>
          <w:szCs w:val="20"/>
          <w:lang w:val="es-MX"/>
        </w:rPr>
        <w:t>, presuntamente asesinado con anterioridad, por un conflicto de tierras</w:t>
      </w:r>
      <w:r w:rsidRPr="000955FE">
        <w:rPr>
          <w:rStyle w:val="FootnoteReference"/>
          <w:szCs w:val="20"/>
          <w:lang w:val="es-MX"/>
        </w:rPr>
        <w:footnoteReference w:id="184"/>
      </w:r>
      <w:r w:rsidRPr="000955FE">
        <w:rPr>
          <w:rFonts w:ascii="Verdana" w:hAnsi="Verdana"/>
          <w:sz w:val="20"/>
          <w:szCs w:val="20"/>
          <w:lang w:val="es-MX"/>
        </w:rPr>
        <w:t>.</w:t>
      </w:r>
      <w:r w:rsidRPr="000955FE">
        <w:rPr>
          <w:rFonts w:ascii="Verdana" w:hAnsi="Verdana"/>
          <w:sz w:val="20"/>
          <w:szCs w:val="20"/>
          <w:lang w:val="es-CR"/>
        </w:rPr>
        <w:t xml:space="preserve"> </w:t>
      </w:r>
    </w:p>
    <w:p w14:paraId="0C704A8A" w14:textId="77777777" w:rsidR="00E04121" w:rsidRPr="000955FE" w:rsidRDefault="00E04121" w:rsidP="00E04121">
      <w:pPr>
        <w:pStyle w:val="ListParagraph"/>
        <w:rPr>
          <w:rFonts w:ascii="Verdana" w:hAnsi="Verdana"/>
          <w:sz w:val="20"/>
          <w:szCs w:val="20"/>
          <w:lang w:val="es-CR"/>
        </w:rPr>
      </w:pPr>
    </w:p>
    <w:p w14:paraId="0C704A8B" w14:textId="77777777" w:rsidR="00E04121" w:rsidRPr="00A0324F"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CR"/>
        </w:rPr>
        <w:lastRenderedPageBreak/>
        <w:t>Respecto a la denuncia de usurpación y amenazas en perjuicio de la Comunidad de Punta Piedra (denuncia No.</w:t>
      </w:r>
      <w:r w:rsidRPr="000955FE">
        <w:rPr>
          <w:rFonts w:ascii="Verdana" w:hAnsi="Verdana"/>
          <w:sz w:val="20"/>
          <w:szCs w:val="20"/>
          <w:lang w:val="es-MX"/>
        </w:rPr>
        <w:t>0801-2010</w:t>
      </w:r>
      <w:r w:rsidRPr="000955FE">
        <w:rPr>
          <w:rFonts w:ascii="Verdana" w:hAnsi="Verdana"/>
          <w:sz w:val="20"/>
          <w:szCs w:val="20"/>
          <w:lang w:val="es-ES"/>
        </w:rPr>
        <w:t>-1</w:t>
      </w:r>
      <w:r w:rsidRPr="000955FE">
        <w:rPr>
          <w:rFonts w:ascii="Verdana" w:hAnsi="Verdana"/>
          <w:sz w:val="20"/>
          <w:szCs w:val="20"/>
          <w:lang w:val="es-CR"/>
        </w:rPr>
        <w:t>2</w:t>
      </w:r>
      <w:r w:rsidRPr="000955FE">
        <w:rPr>
          <w:rFonts w:ascii="Verdana" w:hAnsi="Verdana"/>
          <w:sz w:val="20"/>
          <w:szCs w:val="20"/>
          <w:lang w:val="es-ES"/>
        </w:rPr>
        <w:t>292)</w:t>
      </w:r>
      <w:r w:rsidRPr="000955FE">
        <w:rPr>
          <w:rFonts w:ascii="Verdana" w:hAnsi="Verdana"/>
          <w:sz w:val="20"/>
          <w:szCs w:val="20"/>
          <w:lang w:val="es-CR"/>
        </w:rPr>
        <w:t>, el 13 de abril de 2010 la Fiscalía de Etnias emitió un auto de requerimiento de investigación policial</w:t>
      </w:r>
      <w:r w:rsidRPr="000955FE">
        <w:rPr>
          <w:rFonts w:ascii="Verdana" w:hAnsi="Verdana"/>
          <w:sz w:val="20"/>
          <w:szCs w:val="20"/>
          <w:lang w:val="es-ES"/>
        </w:rPr>
        <w:t>, ordenando una serie de diligencias a la Dirección General de Investigación Criminal, a efectos de investigar la presunta usurpación de la zona a manos de los terceros ocupantes</w:t>
      </w:r>
      <w:r w:rsidRPr="000955FE">
        <w:rPr>
          <w:rStyle w:val="FootnoteReference"/>
          <w:szCs w:val="20"/>
        </w:rPr>
        <w:footnoteReference w:id="185"/>
      </w:r>
      <w:r w:rsidRPr="000955FE">
        <w:rPr>
          <w:rFonts w:ascii="Verdana" w:hAnsi="Verdana"/>
          <w:sz w:val="20"/>
          <w:szCs w:val="20"/>
        </w:rPr>
        <w:t>.</w:t>
      </w:r>
      <w:r w:rsidRPr="000955FE">
        <w:rPr>
          <w:rFonts w:ascii="Verdana" w:hAnsi="Verdana"/>
          <w:sz w:val="20"/>
          <w:szCs w:val="20"/>
          <w:lang w:val="es-ES"/>
        </w:rPr>
        <w:t xml:space="preserve"> </w:t>
      </w:r>
    </w:p>
    <w:p w14:paraId="0C704A8C" w14:textId="77777777" w:rsidR="006A0E8F" w:rsidRDefault="006A0E8F" w:rsidP="00A0324F">
      <w:pPr>
        <w:pStyle w:val="ListParagraph"/>
        <w:ind w:left="0"/>
        <w:jc w:val="both"/>
        <w:rPr>
          <w:rFonts w:ascii="Verdana" w:hAnsi="Verdana"/>
          <w:sz w:val="20"/>
          <w:szCs w:val="20"/>
          <w:lang w:val="es-CR"/>
        </w:rPr>
      </w:pPr>
    </w:p>
    <w:p w14:paraId="0C704A8E" w14:textId="3EAAA44D" w:rsidR="00E04121" w:rsidRPr="000955FE"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CR"/>
        </w:rPr>
        <w:t xml:space="preserve">Respecto a la denuncia de amenazas en perjuicio de Paulino Mejía (denuncia No. </w:t>
      </w:r>
      <w:r w:rsidRPr="000955FE">
        <w:rPr>
          <w:rFonts w:ascii="Verdana" w:hAnsi="Verdana"/>
          <w:sz w:val="20"/>
          <w:szCs w:val="20"/>
          <w:lang w:val="es-MX"/>
        </w:rPr>
        <w:t>0801-2010</w:t>
      </w:r>
      <w:r w:rsidRPr="000955FE">
        <w:rPr>
          <w:rFonts w:ascii="Verdana" w:hAnsi="Verdana"/>
          <w:sz w:val="20"/>
          <w:szCs w:val="20"/>
          <w:lang w:val="es-ES"/>
        </w:rPr>
        <w:t>-1</w:t>
      </w:r>
      <w:r w:rsidRPr="000955FE">
        <w:rPr>
          <w:rFonts w:ascii="Verdana" w:hAnsi="Verdana"/>
          <w:sz w:val="20"/>
          <w:szCs w:val="20"/>
          <w:lang w:val="es-CR"/>
        </w:rPr>
        <w:t>2</w:t>
      </w:r>
      <w:r w:rsidRPr="000955FE">
        <w:rPr>
          <w:rFonts w:ascii="Verdana" w:hAnsi="Verdana"/>
          <w:sz w:val="20"/>
          <w:szCs w:val="20"/>
          <w:lang w:val="es-ES"/>
        </w:rPr>
        <w:t>739)</w:t>
      </w:r>
      <w:r w:rsidRPr="000955FE">
        <w:rPr>
          <w:rFonts w:ascii="Verdana" w:hAnsi="Verdana"/>
          <w:sz w:val="20"/>
          <w:szCs w:val="20"/>
          <w:lang w:val="es-CR"/>
        </w:rPr>
        <w:t xml:space="preserve">, </w:t>
      </w:r>
      <w:r w:rsidRPr="000955FE">
        <w:rPr>
          <w:rFonts w:ascii="Verdana" w:hAnsi="Verdana"/>
          <w:spacing w:val="-2"/>
          <w:sz w:val="20"/>
          <w:szCs w:val="20"/>
          <w:lang w:val="es-CR"/>
        </w:rPr>
        <w:t>el 17 de abril de 2010, la Fiscalía de Etnias emitió un auto de requerimiento solicitando una serie de diligencias iniciales pertinentes</w:t>
      </w:r>
      <w:r w:rsidRPr="000955FE">
        <w:rPr>
          <w:rStyle w:val="FootnoteReference"/>
          <w:spacing w:val="-2"/>
          <w:szCs w:val="20"/>
          <w:lang w:val="es-CR"/>
        </w:rPr>
        <w:footnoteReference w:id="186"/>
      </w:r>
      <w:r w:rsidRPr="000955FE">
        <w:rPr>
          <w:rFonts w:ascii="Verdana" w:hAnsi="Verdana"/>
          <w:spacing w:val="-2"/>
          <w:sz w:val="20"/>
          <w:szCs w:val="20"/>
          <w:lang w:val="es-CR"/>
        </w:rPr>
        <w:t xml:space="preserve"> (</w:t>
      </w:r>
      <w:r w:rsidRPr="000955FE">
        <w:rPr>
          <w:rFonts w:ascii="Verdana" w:hAnsi="Verdana"/>
          <w:i/>
          <w:spacing w:val="-2"/>
          <w:sz w:val="20"/>
          <w:szCs w:val="20"/>
          <w:lang w:val="es-CR"/>
        </w:rPr>
        <w:t>infra</w:t>
      </w:r>
      <w:r w:rsidRPr="000955FE">
        <w:rPr>
          <w:rFonts w:ascii="Verdana" w:hAnsi="Verdana"/>
          <w:spacing w:val="-2"/>
          <w:sz w:val="20"/>
          <w:szCs w:val="20"/>
          <w:lang w:val="es-CR"/>
        </w:rPr>
        <w:t xml:space="preserve"> párr. </w:t>
      </w:r>
      <w:r w:rsidR="00257D2F">
        <w:rPr>
          <w:rFonts w:ascii="Verdana" w:hAnsi="Verdana"/>
          <w:spacing w:val="-2"/>
          <w:sz w:val="20"/>
          <w:szCs w:val="20"/>
          <w:lang w:val="es-CR"/>
        </w:rPr>
        <w:t>304</w:t>
      </w:r>
      <w:r w:rsidRPr="000955FE">
        <w:rPr>
          <w:rFonts w:ascii="Verdana" w:hAnsi="Verdana"/>
          <w:spacing w:val="-2"/>
          <w:sz w:val="20"/>
          <w:szCs w:val="20"/>
          <w:lang w:val="es-CR"/>
        </w:rPr>
        <w:t>).</w:t>
      </w:r>
      <w:r>
        <w:rPr>
          <w:rFonts w:ascii="Verdana" w:hAnsi="Verdana"/>
          <w:spacing w:val="-2"/>
          <w:sz w:val="20"/>
          <w:szCs w:val="20"/>
          <w:lang w:val="es-CR"/>
        </w:rPr>
        <w:t xml:space="preserve"> A</w:t>
      </w:r>
      <w:r w:rsidRPr="000955FE">
        <w:rPr>
          <w:rFonts w:ascii="Verdana" w:hAnsi="Verdana"/>
          <w:spacing w:val="-2"/>
          <w:sz w:val="20"/>
          <w:szCs w:val="20"/>
          <w:lang w:val="es-CR"/>
        </w:rPr>
        <w:t xml:space="preserve">mbas denuncias, tanto la </w:t>
      </w:r>
      <w:r w:rsidRPr="000955FE">
        <w:rPr>
          <w:rFonts w:ascii="Verdana" w:hAnsi="Verdana"/>
          <w:sz w:val="20"/>
          <w:szCs w:val="20"/>
          <w:lang w:val="es-CR"/>
        </w:rPr>
        <w:t xml:space="preserve">de usurpación y amenazas en perjuicio de la Comunidad de Punta Piedra, como la de amenazas en contra de Paulino Mejía, fueron investigadas conjuntamente, bajo la numeración </w:t>
      </w:r>
      <w:r w:rsidRPr="000955FE">
        <w:rPr>
          <w:rFonts w:ascii="Verdana" w:hAnsi="Verdana"/>
          <w:sz w:val="20"/>
          <w:szCs w:val="20"/>
          <w:lang w:val="es-MX"/>
        </w:rPr>
        <w:t>0801-2010</w:t>
      </w:r>
      <w:r w:rsidRPr="000955FE">
        <w:rPr>
          <w:rFonts w:ascii="Verdana" w:hAnsi="Verdana"/>
          <w:sz w:val="20"/>
          <w:szCs w:val="20"/>
          <w:lang w:val="es-ES"/>
        </w:rPr>
        <w:t>-1</w:t>
      </w:r>
      <w:r w:rsidRPr="000955FE">
        <w:rPr>
          <w:rFonts w:ascii="Verdana" w:hAnsi="Verdana"/>
          <w:sz w:val="20"/>
          <w:szCs w:val="20"/>
          <w:lang w:val="es-CR"/>
        </w:rPr>
        <w:t>2</w:t>
      </w:r>
      <w:r w:rsidRPr="000955FE">
        <w:rPr>
          <w:rFonts w:ascii="Verdana" w:hAnsi="Verdana"/>
          <w:sz w:val="20"/>
          <w:szCs w:val="20"/>
          <w:lang w:val="es-ES"/>
        </w:rPr>
        <w:t>292.</w:t>
      </w:r>
      <w:r w:rsidRPr="000955FE">
        <w:rPr>
          <w:rFonts w:ascii="Verdana" w:hAnsi="Verdana"/>
          <w:sz w:val="20"/>
          <w:szCs w:val="20"/>
          <w:lang w:val="es-CR"/>
        </w:rPr>
        <w:t xml:space="preserve"> </w:t>
      </w:r>
    </w:p>
    <w:p w14:paraId="0C704A8F" w14:textId="77777777" w:rsidR="00E04121" w:rsidRPr="000955FE" w:rsidRDefault="00E04121" w:rsidP="00E04121">
      <w:pPr>
        <w:rPr>
          <w:lang w:val="es-CR"/>
        </w:rPr>
      </w:pPr>
    </w:p>
    <w:p w14:paraId="0C704A90" w14:textId="77777777" w:rsidR="00D924DA"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lang w:val="es-CR"/>
        </w:rPr>
        <w:t>E</w:t>
      </w:r>
      <w:r>
        <w:rPr>
          <w:rFonts w:ascii="Verdana" w:hAnsi="Verdana"/>
          <w:sz w:val="20"/>
          <w:szCs w:val="20"/>
          <w:lang w:val="es-CR"/>
        </w:rPr>
        <w:t xml:space="preserve">l </w:t>
      </w:r>
      <w:r w:rsidRPr="000955FE">
        <w:rPr>
          <w:rFonts w:ascii="Verdana" w:hAnsi="Verdana"/>
          <w:sz w:val="20"/>
          <w:szCs w:val="20"/>
          <w:lang w:val="es-CR"/>
        </w:rPr>
        <w:t xml:space="preserve">3 y 4 de junio de 2013, </w:t>
      </w:r>
      <w:r w:rsidRPr="008446E1">
        <w:rPr>
          <w:rFonts w:ascii="Verdana" w:hAnsi="Verdana"/>
          <w:sz w:val="20"/>
          <w:szCs w:val="20"/>
          <w:lang w:val="es-CR"/>
        </w:rPr>
        <w:t>agentes de</w:t>
      </w:r>
      <w:r>
        <w:rPr>
          <w:rFonts w:ascii="Verdana" w:hAnsi="Verdana"/>
          <w:sz w:val="20"/>
          <w:szCs w:val="20"/>
          <w:lang w:val="es-CR"/>
        </w:rPr>
        <w:t xml:space="preserve"> la DNIC</w:t>
      </w:r>
      <w:r w:rsidRPr="00A7589A">
        <w:rPr>
          <w:rFonts w:ascii="Verdana" w:hAnsi="Verdana"/>
          <w:sz w:val="20"/>
          <w:szCs w:val="20"/>
          <w:lang w:val="es-CR"/>
        </w:rPr>
        <w:t xml:space="preserve"> realizaron</w:t>
      </w:r>
      <w:r>
        <w:rPr>
          <w:rFonts w:ascii="Verdana" w:hAnsi="Verdana"/>
          <w:sz w:val="20"/>
          <w:szCs w:val="20"/>
          <w:lang w:val="es-CR"/>
        </w:rPr>
        <w:t xml:space="preserve"> la visita a la zona de los hechos, conforme a lo solicitado por la Fiscalía de Etnias</w:t>
      </w:r>
      <w:r w:rsidRPr="000955FE">
        <w:rPr>
          <w:rStyle w:val="FootnoteReference"/>
          <w:szCs w:val="20"/>
          <w:lang w:val="es-CR"/>
        </w:rPr>
        <w:footnoteReference w:id="187"/>
      </w:r>
      <w:r>
        <w:rPr>
          <w:rFonts w:ascii="Verdana" w:hAnsi="Verdana"/>
          <w:sz w:val="20"/>
          <w:szCs w:val="20"/>
          <w:lang w:val="es-CR"/>
        </w:rPr>
        <w:t>, y</w:t>
      </w:r>
      <w:r w:rsidRPr="000955FE">
        <w:rPr>
          <w:rFonts w:ascii="Verdana" w:hAnsi="Verdana"/>
          <w:sz w:val="20"/>
          <w:szCs w:val="20"/>
          <w:lang w:val="es-CR"/>
        </w:rPr>
        <w:t xml:space="preserve"> recabaron las declaraciones de cuatro miembros de la Comunidad de Punta Pied</w:t>
      </w:r>
      <w:r>
        <w:rPr>
          <w:rFonts w:ascii="Verdana" w:hAnsi="Verdana"/>
          <w:sz w:val="20"/>
          <w:szCs w:val="20"/>
          <w:lang w:val="es-CR"/>
        </w:rPr>
        <w:t>ra</w:t>
      </w:r>
      <w:r w:rsidRPr="000955FE">
        <w:rPr>
          <w:rStyle w:val="FootnoteReference"/>
          <w:szCs w:val="20"/>
          <w:lang w:val="es-CR"/>
        </w:rPr>
        <w:footnoteReference w:id="188"/>
      </w:r>
      <w:r w:rsidRPr="000955FE">
        <w:rPr>
          <w:rFonts w:ascii="Verdana" w:hAnsi="Verdana"/>
          <w:sz w:val="20"/>
          <w:szCs w:val="20"/>
          <w:lang w:val="es-CR"/>
        </w:rPr>
        <w:t xml:space="preserve">. Las declaraciones fueron consistentes en señalar que parte del territorio de la </w:t>
      </w:r>
      <w:r>
        <w:rPr>
          <w:rFonts w:ascii="Verdana" w:hAnsi="Verdana"/>
          <w:sz w:val="20"/>
          <w:szCs w:val="20"/>
          <w:lang w:val="es-CR"/>
        </w:rPr>
        <w:t>C</w:t>
      </w:r>
      <w:r w:rsidRPr="000955FE">
        <w:rPr>
          <w:rFonts w:ascii="Verdana" w:hAnsi="Verdana"/>
          <w:sz w:val="20"/>
          <w:szCs w:val="20"/>
          <w:lang w:val="es-CR"/>
        </w:rPr>
        <w:t>omunidad estaba siendo ocupado desde 1993 por personas ajenas a esta, quienes habrían amenazado a sus miembros en diversas ocasiones.</w:t>
      </w:r>
    </w:p>
    <w:p w14:paraId="0C704A91" w14:textId="77777777" w:rsidR="006A0E8F" w:rsidRDefault="00E04121" w:rsidP="00A0324F">
      <w:pPr>
        <w:pStyle w:val="ListParagraph"/>
        <w:ind w:left="0"/>
        <w:jc w:val="both"/>
        <w:rPr>
          <w:rFonts w:ascii="Verdana" w:hAnsi="Verdana"/>
          <w:sz w:val="20"/>
          <w:szCs w:val="20"/>
          <w:lang w:val="es-CR"/>
        </w:rPr>
      </w:pPr>
      <w:r w:rsidRPr="000955FE">
        <w:rPr>
          <w:rFonts w:ascii="Verdana" w:hAnsi="Verdana"/>
          <w:sz w:val="20"/>
          <w:szCs w:val="20"/>
          <w:lang w:val="es-CR"/>
        </w:rPr>
        <w:t xml:space="preserve"> </w:t>
      </w:r>
    </w:p>
    <w:p w14:paraId="0C704A92" w14:textId="77777777" w:rsidR="00E04121" w:rsidRPr="000955FE" w:rsidRDefault="00E04121" w:rsidP="00E04121">
      <w:pPr>
        <w:pStyle w:val="ListParagraph"/>
        <w:numPr>
          <w:ilvl w:val="0"/>
          <w:numId w:val="17"/>
        </w:numPr>
        <w:ind w:left="0" w:hanging="11"/>
        <w:jc w:val="both"/>
        <w:rPr>
          <w:rFonts w:ascii="Verdana" w:hAnsi="Verdana"/>
          <w:sz w:val="20"/>
          <w:szCs w:val="20"/>
          <w:lang w:val="es-CR"/>
        </w:rPr>
      </w:pPr>
      <w:r>
        <w:rPr>
          <w:rFonts w:ascii="Verdana" w:hAnsi="Verdana"/>
          <w:sz w:val="20"/>
          <w:szCs w:val="20"/>
          <w:lang w:val="es-CR"/>
        </w:rPr>
        <w:t>Como consecuencia de la visita a la zona de los hechos los agentes de la DNIC emitieron dos actas de diligencia policial</w:t>
      </w:r>
      <w:r>
        <w:rPr>
          <w:rStyle w:val="FootnoteReference"/>
          <w:szCs w:val="20"/>
          <w:lang w:val="es-CR"/>
        </w:rPr>
        <w:footnoteReference w:id="189"/>
      </w:r>
      <w:r>
        <w:rPr>
          <w:rFonts w:ascii="Verdana" w:hAnsi="Verdana"/>
          <w:sz w:val="20"/>
          <w:szCs w:val="20"/>
          <w:lang w:val="es-CR"/>
        </w:rPr>
        <w:t xml:space="preserve"> y un informe </w:t>
      </w:r>
      <w:r w:rsidR="00D924DA">
        <w:rPr>
          <w:rFonts w:ascii="Verdana" w:hAnsi="Verdana"/>
          <w:sz w:val="20"/>
          <w:szCs w:val="20"/>
          <w:lang w:val="es-CR"/>
        </w:rPr>
        <w:t>p</w:t>
      </w:r>
      <w:r>
        <w:rPr>
          <w:rFonts w:ascii="Verdana" w:hAnsi="Verdana"/>
          <w:sz w:val="20"/>
          <w:szCs w:val="20"/>
          <w:lang w:val="es-CR"/>
        </w:rPr>
        <w:t>a</w:t>
      </w:r>
      <w:r w:rsidR="00D924DA">
        <w:rPr>
          <w:rFonts w:ascii="Verdana" w:hAnsi="Verdana"/>
          <w:sz w:val="20"/>
          <w:szCs w:val="20"/>
          <w:lang w:val="es-CR"/>
        </w:rPr>
        <w:t>ra</w:t>
      </w:r>
      <w:r>
        <w:rPr>
          <w:rFonts w:ascii="Verdana" w:hAnsi="Verdana"/>
          <w:sz w:val="20"/>
          <w:szCs w:val="20"/>
          <w:lang w:val="es-CR"/>
        </w:rPr>
        <w:t xml:space="preserve"> la Fiscalía de Etnias</w:t>
      </w:r>
      <w:r>
        <w:rPr>
          <w:rStyle w:val="FootnoteReference"/>
          <w:szCs w:val="20"/>
          <w:lang w:val="es-CR"/>
        </w:rPr>
        <w:footnoteReference w:id="190"/>
      </w:r>
      <w:r>
        <w:rPr>
          <w:rFonts w:ascii="Verdana" w:hAnsi="Verdana"/>
          <w:sz w:val="20"/>
          <w:szCs w:val="20"/>
          <w:lang w:val="es-CR"/>
        </w:rPr>
        <w:t xml:space="preserve"> en donde se dejó constancia</w:t>
      </w:r>
      <w:r w:rsidR="00D924DA">
        <w:rPr>
          <w:rFonts w:ascii="Verdana" w:hAnsi="Verdana"/>
          <w:sz w:val="20"/>
          <w:szCs w:val="20"/>
          <w:lang w:val="es-CR"/>
        </w:rPr>
        <w:t xml:space="preserve"> de</w:t>
      </w:r>
      <w:r>
        <w:rPr>
          <w:rFonts w:ascii="Verdana" w:hAnsi="Verdana"/>
          <w:sz w:val="20"/>
          <w:szCs w:val="20"/>
          <w:lang w:val="es-CR"/>
        </w:rPr>
        <w:t xml:space="preserve"> que: a) </w:t>
      </w:r>
      <w:r w:rsidRPr="000955FE">
        <w:rPr>
          <w:rFonts w:ascii="Verdana" w:hAnsi="Verdana"/>
          <w:sz w:val="20"/>
          <w:szCs w:val="20"/>
          <w:lang w:val="es-CR"/>
        </w:rPr>
        <w:t>Paulino Mejía no se apersonó a declarar ante los agentes del DNIC presentes en la zona, a pesar de que se solicitó su presencia</w:t>
      </w:r>
      <w:r>
        <w:rPr>
          <w:rFonts w:ascii="Verdana" w:hAnsi="Verdana"/>
          <w:sz w:val="20"/>
          <w:szCs w:val="20"/>
          <w:lang w:val="es-CR"/>
        </w:rPr>
        <w:t>; b)</w:t>
      </w:r>
      <w:r w:rsidRPr="000955FE">
        <w:rPr>
          <w:rFonts w:ascii="Verdana" w:hAnsi="Verdana"/>
          <w:sz w:val="20"/>
          <w:szCs w:val="20"/>
          <w:lang w:val="es-CR"/>
        </w:rPr>
        <w:t xml:space="preserve"> ni las oficinas de la DNIC ni las del Ministerio Público de Trujillo tenían registro o habían realizado diligencias en relación con las denuncias de usurpación y amenazas</w:t>
      </w:r>
      <w:r>
        <w:rPr>
          <w:rFonts w:ascii="Verdana" w:hAnsi="Verdana"/>
          <w:sz w:val="20"/>
          <w:szCs w:val="20"/>
          <w:lang w:val="es-CR"/>
        </w:rPr>
        <w:t xml:space="preserve">; c) </w:t>
      </w:r>
      <w:r w:rsidRPr="000955FE">
        <w:rPr>
          <w:rFonts w:ascii="Verdana" w:hAnsi="Verdana"/>
          <w:sz w:val="20"/>
          <w:szCs w:val="20"/>
          <w:lang w:val="es-CR"/>
        </w:rPr>
        <w:t>las diligencias planeadas</w:t>
      </w:r>
      <w:r>
        <w:rPr>
          <w:rFonts w:ascii="Verdana" w:hAnsi="Verdana"/>
          <w:sz w:val="20"/>
          <w:szCs w:val="20"/>
          <w:lang w:val="es-CR"/>
        </w:rPr>
        <w:t xml:space="preserve"> no pudieron culminarse debido a que </w:t>
      </w:r>
      <w:r w:rsidRPr="000955FE">
        <w:rPr>
          <w:rFonts w:ascii="Verdana" w:hAnsi="Verdana"/>
          <w:sz w:val="20"/>
          <w:szCs w:val="20"/>
          <w:lang w:val="es-CR"/>
        </w:rPr>
        <w:t>los agentes de la DNIC no pudieron reg</w:t>
      </w:r>
      <w:r>
        <w:rPr>
          <w:rFonts w:ascii="Verdana" w:hAnsi="Verdana"/>
          <w:sz w:val="20"/>
          <w:szCs w:val="20"/>
          <w:lang w:val="es-CR"/>
        </w:rPr>
        <w:t xml:space="preserve">resar a la zona de Punta Piedra por falta de </w:t>
      </w:r>
      <w:r w:rsidRPr="000955FE">
        <w:rPr>
          <w:rFonts w:ascii="Verdana" w:hAnsi="Verdana"/>
          <w:sz w:val="20"/>
          <w:szCs w:val="20"/>
          <w:lang w:val="es-CR"/>
        </w:rPr>
        <w:t>apoyo logístico de combustible</w:t>
      </w:r>
      <w:r>
        <w:rPr>
          <w:rFonts w:ascii="Verdana" w:hAnsi="Verdana"/>
          <w:sz w:val="20"/>
          <w:szCs w:val="20"/>
          <w:lang w:val="es-CR"/>
        </w:rPr>
        <w:t>; d)</w:t>
      </w:r>
      <w:r w:rsidRPr="000955FE">
        <w:rPr>
          <w:rFonts w:ascii="Verdana" w:hAnsi="Verdana"/>
          <w:sz w:val="20"/>
          <w:szCs w:val="20"/>
          <w:lang w:val="es-CR"/>
        </w:rPr>
        <w:t xml:space="preserve"> no se realizó la inspección de la zona presuntamente usurpada por la familia Ortiz, ni se identificó plenamente a las personas denunciadas. La Corte no cuenta con mayor información respecto de este proceso.</w:t>
      </w:r>
      <w:bookmarkEnd w:id="39"/>
      <w:r w:rsidRPr="000955FE">
        <w:rPr>
          <w:rFonts w:ascii="Verdana" w:hAnsi="Verdana"/>
          <w:sz w:val="20"/>
          <w:szCs w:val="20"/>
          <w:lang w:val="es-CR"/>
        </w:rPr>
        <w:t xml:space="preserve"> </w:t>
      </w:r>
    </w:p>
    <w:p w14:paraId="0C704A93" w14:textId="77777777" w:rsidR="00E04121" w:rsidRPr="000955FE" w:rsidRDefault="00E04121" w:rsidP="00E04121">
      <w:pPr>
        <w:rPr>
          <w:rFonts w:ascii="Verdana" w:hAnsi="Verdana"/>
          <w:sz w:val="20"/>
          <w:szCs w:val="20"/>
        </w:rPr>
      </w:pPr>
    </w:p>
    <w:p w14:paraId="0C704A94" w14:textId="336E0659" w:rsidR="00E04121" w:rsidRPr="000955FE" w:rsidRDefault="00E04121" w:rsidP="00E04121">
      <w:pPr>
        <w:pStyle w:val="Heading3"/>
        <w:spacing w:before="0"/>
        <w:ind w:left="360"/>
        <w:jc w:val="both"/>
        <w:rPr>
          <w:rFonts w:ascii="Verdana" w:hAnsi="Verdana"/>
          <w:i/>
          <w:color w:val="auto"/>
          <w:sz w:val="20"/>
          <w:szCs w:val="20"/>
        </w:rPr>
      </w:pPr>
      <w:bookmarkStart w:id="65" w:name="_Toc421868215"/>
      <w:bookmarkStart w:id="66" w:name="_Toc437247339"/>
      <w:r>
        <w:rPr>
          <w:rFonts w:ascii="Verdana" w:hAnsi="Verdana"/>
          <w:i/>
          <w:color w:val="auto"/>
          <w:sz w:val="20"/>
          <w:szCs w:val="20"/>
        </w:rPr>
        <w:t>F</w:t>
      </w:r>
      <w:r w:rsidRPr="000955FE">
        <w:rPr>
          <w:rFonts w:ascii="Verdana" w:hAnsi="Verdana"/>
          <w:i/>
          <w:color w:val="auto"/>
          <w:sz w:val="20"/>
          <w:szCs w:val="20"/>
        </w:rPr>
        <w:t xml:space="preserve">.3 Denuncia por abuso de autoridad por la construcción de una brecha de carretera en territorio de la </w:t>
      </w:r>
      <w:bookmarkEnd w:id="65"/>
      <w:r w:rsidR="002A2F53">
        <w:rPr>
          <w:rFonts w:ascii="Verdana" w:hAnsi="Verdana"/>
          <w:i/>
          <w:color w:val="auto"/>
          <w:sz w:val="20"/>
          <w:szCs w:val="20"/>
        </w:rPr>
        <w:t>Comunidad Garífuna de Punta Piedra</w:t>
      </w:r>
      <w:bookmarkEnd w:id="66"/>
    </w:p>
    <w:p w14:paraId="0C704A95" w14:textId="77777777" w:rsidR="00E04121" w:rsidRPr="000955FE" w:rsidRDefault="00E04121" w:rsidP="00E04121">
      <w:pPr>
        <w:rPr>
          <w:rFonts w:ascii="Verdana" w:hAnsi="Verdana"/>
          <w:sz w:val="20"/>
          <w:szCs w:val="20"/>
        </w:rPr>
      </w:pPr>
    </w:p>
    <w:p w14:paraId="0C704A96" w14:textId="41325A00" w:rsidR="00E04121" w:rsidRPr="000955FE" w:rsidRDefault="00E04121" w:rsidP="00E04121">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lastRenderedPageBreak/>
        <w:t xml:space="preserve">El 19 de octubre de 2010 </w:t>
      </w:r>
      <w:r w:rsidRPr="000955FE">
        <w:rPr>
          <w:rFonts w:ascii="Verdana" w:hAnsi="Verdana"/>
          <w:sz w:val="20"/>
          <w:szCs w:val="20"/>
          <w:lang w:val="es-ES"/>
        </w:rPr>
        <w:t xml:space="preserve">los señores Edito Suazo Ávila y Antonio Bernárdez Suazo, interpusieron </w:t>
      </w:r>
      <w:r w:rsidR="00D74DF4">
        <w:rPr>
          <w:rFonts w:ascii="Verdana" w:hAnsi="Verdana"/>
          <w:sz w:val="20"/>
          <w:szCs w:val="20"/>
          <w:lang w:val="es-ES"/>
        </w:rPr>
        <w:t xml:space="preserve">una </w:t>
      </w:r>
      <w:r w:rsidRPr="000955FE">
        <w:rPr>
          <w:rFonts w:ascii="Verdana" w:hAnsi="Verdana"/>
          <w:sz w:val="20"/>
          <w:szCs w:val="20"/>
          <w:lang w:val="es-ES"/>
        </w:rPr>
        <w:t xml:space="preserve">denuncia por el delito de abuso de autoridad ante la Fiscalía de Etnias, a efectos de investigar la presunta “construcción de una brecha de carretera que </w:t>
      </w:r>
      <w:proofErr w:type="gramStart"/>
      <w:r w:rsidRPr="000955FE">
        <w:rPr>
          <w:rFonts w:ascii="Verdana" w:hAnsi="Verdana"/>
          <w:sz w:val="20"/>
          <w:szCs w:val="20"/>
          <w:lang w:val="es-ES"/>
        </w:rPr>
        <w:t>pasa[</w:t>
      </w:r>
      <w:proofErr w:type="gramEnd"/>
      <w:r w:rsidRPr="000955FE">
        <w:rPr>
          <w:rFonts w:ascii="Verdana" w:hAnsi="Verdana"/>
          <w:sz w:val="20"/>
          <w:szCs w:val="20"/>
          <w:lang w:val="es-ES"/>
        </w:rPr>
        <w:t>ría] por tierra propiedad de la [C]</w:t>
      </w:r>
      <w:proofErr w:type="spellStart"/>
      <w:r w:rsidRPr="000955FE">
        <w:rPr>
          <w:rFonts w:ascii="Verdana" w:hAnsi="Verdana"/>
          <w:sz w:val="20"/>
          <w:szCs w:val="20"/>
          <w:lang w:val="es-ES"/>
        </w:rPr>
        <w:t>omunidad</w:t>
      </w:r>
      <w:proofErr w:type="spellEnd"/>
      <w:r w:rsidRPr="000955FE">
        <w:rPr>
          <w:rFonts w:ascii="Verdana" w:hAnsi="Verdana"/>
          <w:sz w:val="20"/>
          <w:szCs w:val="20"/>
          <w:lang w:val="es-ES"/>
        </w:rPr>
        <w:t xml:space="preserve"> [G]</w:t>
      </w:r>
      <w:proofErr w:type="spellStart"/>
      <w:r w:rsidRPr="000955FE">
        <w:rPr>
          <w:rFonts w:ascii="Verdana" w:hAnsi="Verdana"/>
          <w:sz w:val="20"/>
          <w:szCs w:val="20"/>
          <w:lang w:val="es-ES"/>
        </w:rPr>
        <w:t>arífuna</w:t>
      </w:r>
      <w:proofErr w:type="spellEnd"/>
      <w:r w:rsidRPr="000955FE">
        <w:rPr>
          <w:rFonts w:ascii="Verdana" w:hAnsi="Verdana"/>
          <w:sz w:val="20"/>
          <w:szCs w:val="20"/>
          <w:lang w:val="es-ES"/>
        </w:rPr>
        <w:t xml:space="preserve"> de Punta Piedra, actualmente conocida como Río Miel, sin que se haya hecho la consulta debida a la comunidad tal como lo establece el Convenio 169[…]”</w:t>
      </w:r>
      <w:r w:rsidRPr="000955FE">
        <w:rPr>
          <w:rStyle w:val="FootnoteReference"/>
          <w:szCs w:val="20"/>
        </w:rPr>
        <w:footnoteReference w:id="191"/>
      </w:r>
      <w:r w:rsidRPr="000955FE">
        <w:rPr>
          <w:rFonts w:ascii="Verdana" w:hAnsi="Verdana"/>
          <w:sz w:val="20"/>
          <w:szCs w:val="20"/>
          <w:lang w:val="es-ES"/>
        </w:rPr>
        <w:t>.</w:t>
      </w:r>
      <w:r w:rsidRPr="000955FE">
        <w:rPr>
          <w:rFonts w:ascii="Verdana" w:hAnsi="Verdana"/>
          <w:sz w:val="20"/>
          <w:szCs w:val="20"/>
          <w:lang w:val="es-CR"/>
        </w:rPr>
        <w:t xml:space="preserve"> </w:t>
      </w:r>
      <w:r w:rsidRPr="000955FE">
        <w:rPr>
          <w:rFonts w:ascii="Verdana" w:hAnsi="Verdana"/>
          <w:sz w:val="20"/>
          <w:szCs w:val="20"/>
          <w:lang w:val="es-ES"/>
        </w:rPr>
        <w:t xml:space="preserve">La denuncia fue </w:t>
      </w:r>
      <w:r w:rsidR="00D74DF4">
        <w:rPr>
          <w:rFonts w:ascii="Verdana" w:hAnsi="Verdana"/>
          <w:sz w:val="20"/>
          <w:szCs w:val="20"/>
          <w:lang w:val="es-ES"/>
        </w:rPr>
        <w:t>registrada</w:t>
      </w:r>
      <w:r w:rsidR="00D74DF4" w:rsidRPr="000955FE">
        <w:rPr>
          <w:rFonts w:ascii="Verdana" w:hAnsi="Verdana"/>
          <w:sz w:val="20"/>
          <w:szCs w:val="20"/>
          <w:lang w:val="es-ES"/>
        </w:rPr>
        <w:t xml:space="preserve"> </w:t>
      </w:r>
      <w:r w:rsidRPr="000955FE">
        <w:rPr>
          <w:rFonts w:ascii="Verdana" w:hAnsi="Verdana"/>
          <w:sz w:val="20"/>
          <w:szCs w:val="20"/>
          <w:lang w:val="es-ES"/>
        </w:rPr>
        <w:t>con el No. 0801-2010-34463.</w:t>
      </w:r>
      <w:r w:rsidRPr="000955FE">
        <w:rPr>
          <w:rFonts w:ascii="Verdana" w:hAnsi="Verdana"/>
          <w:sz w:val="20"/>
          <w:szCs w:val="20"/>
          <w:lang w:val="es-CR"/>
        </w:rPr>
        <w:t xml:space="preserve"> </w:t>
      </w:r>
    </w:p>
    <w:p w14:paraId="0C704A97" w14:textId="77777777" w:rsidR="00E04121" w:rsidRPr="000955FE" w:rsidRDefault="00E04121" w:rsidP="00E04121">
      <w:pPr>
        <w:pStyle w:val="ListParagraph"/>
        <w:ind w:left="0"/>
        <w:jc w:val="both"/>
        <w:rPr>
          <w:rFonts w:ascii="Verdana" w:hAnsi="Verdana"/>
          <w:sz w:val="20"/>
          <w:szCs w:val="20"/>
          <w:lang w:val="es-CR"/>
        </w:rPr>
      </w:pPr>
    </w:p>
    <w:p w14:paraId="0C704A98" w14:textId="4FB2D986" w:rsidR="00E04121" w:rsidRPr="002147F8" w:rsidRDefault="00E04121" w:rsidP="00E04121">
      <w:pPr>
        <w:pStyle w:val="ListParagraph"/>
        <w:numPr>
          <w:ilvl w:val="0"/>
          <w:numId w:val="17"/>
        </w:numPr>
        <w:ind w:left="0" w:hanging="11"/>
        <w:jc w:val="both"/>
        <w:rPr>
          <w:rFonts w:ascii="Verdana" w:hAnsi="Verdana"/>
          <w:sz w:val="20"/>
          <w:lang w:val="es-CR"/>
        </w:rPr>
      </w:pPr>
      <w:r w:rsidRPr="002147F8">
        <w:rPr>
          <w:rFonts w:ascii="Verdana" w:hAnsi="Verdana"/>
          <w:sz w:val="20"/>
          <w:lang w:val="es-CR"/>
        </w:rPr>
        <w:t>Al respecto, la Fiscalía de Etnias: a) emi</w:t>
      </w:r>
      <w:r w:rsidRPr="002955C7">
        <w:rPr>
          <w:rFonts w:ascii="Verdana" w:hAnsi="Verdana"/>
          <w:sz w:val="20"/>
          <w:lang w:val="es-CR"/>
        </w:rPr>
        <w:t>tió un auto de requerimiento de investigación policial</w:t>
      </w:r>
      <w:r w:rsidRPr="00BF5E31">
        <w:rPr>
          <w:rFonts w:ascii="Verdana" w:hAnsi="Verdana"/>
          <w:sz w:val="20"/>
          <w:lang w:val="es-CR"/>
        </w:rPr>
        <w:t xml:space="preserve"> el 3 de noviembre de 2010</w:t>
      </w:r>
      <w:r w:rsidRPr="002147F8">
        <w:rPr>
          <w:rFonts w:ascii="Verdana" w:hAnsi="Verdana"/>
          <w:sz w:val="20"/>
          <w:lang w:val="es-CR"/>
        </w:rPr>
        <w:t xml:space="preserve">, </w:t>
      </w:r>
      <w:r w:rsidRPr="002147F8">
        <w:rPr>
          <w:rFonts w:ascii="Verdana" w:hAnsi="Verdana"/>
          <w:sz w:val="20"/>
          <w:lang w:val="es-ES"/>
        </w:rPr>
        <w:t>ordenando una serie de diligencias a la DGIC, tales como: recabar declaraciones de testigos y del denunciante, solicitar información respecto de si la Alcaldía había autoriza</w:t>
      </w:r>
      <w:r w:rsidRPr="002955C7">
        <w:rPr>
          <w:rFonts w:ascii="Verdana" w:hAnsi="Verdana"/>
          <w:sz w:val="20"/>
          <w:lang w:val="es-ES"/>
        </w:rPr>
        <w:t>do la construcción de la brecha de carretera y la documentación pertinente, así como solicitar información sobre la realización de una consulta previa en relación con la construcción y la prueba pertinente de su realización</w:t>
      </w:r>
      <w:r w:rsidRPr="002147F8">
        <w:rPr>
          <w:rStyle w:val="FootnoteReference"/>
        </w:rPr>
        <w:footnoteReference w:id="192"/>
      </w:r>
      <w:r w:rsidRPr="002147F8">
        <w:rPr>
          <w:rFonts w:ascii="Verdana" w:hAnsi="Verdana"/>
          <w:sz w:val="20"/>
          <w:lang w:val="es-ES"/>
        </w:rPr>
        <w:t>; b)</w:t>
      </w:r>
      <w:r w:rsidRPr="002147F8">
        <w:rPr>
          <w:rFonts w:ascii="Verdana" w:hAnsi="Verdana"/>
          <w:sz w:val="20"/>
          <w:lang w:val="es-CR"/>
        </w:rPr>
        <w:t xml:space="preserve"> </w:t>
      </w:r>
      <w:r w:rsidRPr="002147F8">
        <w:rPr>
          <w:rFonts w:ascii="Verdana" w:hAnsi="Verdana"/>
          <w:sz w:val="20"/>
          <w:lang w:val="es-ES"/>
        </w:rPr>
        <w:t>solicitó al Director de INA</w:t>
      </w:r>
      <w:r w:rsidRPr="002955C7">
        <w:rPr>
          <w:rFonts w:ascii="Verdana" w:hAnsi="Verdana"/>
          <w:sz w:val="20"/>
          <w:lang w:val="es-ES"/>
        </w:rPr>
        <w:t xml:space="preserve"> la inspección de los terrenos propios de las comunidades para determinar las </w:t>
      </w:r>
      <w:r w:rsidR="00D74DF4">
        <w:rPr>
          <w:rFonts w:ascii="Verdana" w:hAnsi="Verdana"/>
          <w:sz w:val="20"/>
          <w:lang w:val="es-ES"/>
        </w:rPr>
        <w:t>áreas</w:t>
      </w:r>
      <w:r w:rsidRPr="002955C7">
        <w:rPr>
          <w:rFonts w:ascii="Verdana" w:hAnsi="Verdana"/>
          <w:sz w:val="20"/>
          <w:lang w:val="es-ES"/>
        </w:rPr>
        <w:t xml:space="preserve"> usurpadas, lo que no se logró inicialmente, por falta de viáticos</w:t>
      </w:r>
      <w:r w:rsidRPr="002147F8">
        <w:rPr>
          <w:rStyle w:val="FootnoteReference"/>
        </w:rPr>
        <w:footnoteReference w:id="193"/>
      </w:r>
      <w:r w:rsidRPr="002147F8">
        <w:rPr>
          <w:rFonts w:ascii="Verdana" w:hAnsi="Verdana"/>
          <w:sz w:val="20"/>
        </w:rPr>
        <w:t>; c)</w:t>
      </w:r>
      <w:r w:rsidRPr="002147F8">
        <w:rPr>
          <w:rFonts w:ascii="Verdana" w:hAnsi="Verdana"/>
          <w:sz w:val="20"/>
          <w:lang w:val="es-CR"/>
        </w:rPr>
        <w:t xml:space="preserve"> </w:t>
      </w:r>
      <w:r w:rsidRPr="002955C7">
        <w:rPr>
          <w:rFonts w:ascii="Verdana" w:hAnsi="Verdana"/>
          <w:sz w:val="20"/>
          <w:lang w:val="es-CR"/>
        </w:rPr>
        <w:t>emitió un nuevo auto de requerimiento de investigación policial</w:t>
      </w:r>
      <w:r w:rsidRPr="00BF5E31">
        <w:rPr>
          <w:rFonts w:ascii="Verdana" w:hAnsi="Verdana"/>
          <w:sz w:val="20"/>
          <w:lang w:val="es-CR"/>
        </w:rPr>
        <w:t xml:space="preserve"> el 14 de mayo de 2013</w:t>
      </w:r>
      <w:r w:rsidRPr="002147F8">
        <w:rPr>
          <w:rFonts w:ascii="Verdana" w:hAnsi="Verdana"/>
          <w:sz w:val="20"/>
          <w:lang w:val="es-ES"/>
        </w:rPr>
        <w:t>, reiterando las diligencias anteriormente dictadas y ordenando a la DGIC la realización de nuevas diligencias, tales como: una inspección ocular en la zona, y la solicitud de información sobre los encargados de la construcción de la carretera</w:t>
      </w:r>
      <w:r w:rsidRPr="002147F8">
        <w:rPr>
          <w:rStyle w:val="FootnoteReference"/>
        </w:rPr>
        <w:footnoteReference w:id="194"/>
      </w:r>
      <w:r w:rsidRPr="002147F8">
        <w:rPr>
          <w:rFonts w:ascii="Verdana" w:hAnsi="Verdana"/>
          <w:sz w:val="20"/>
        </w:rPr>
        <w:t xml:space="preserve">; d) </w:t>
      </w:r>
      <w:r w:rsidRPr="00BF5E31">
        <w:rPr>
          <w:rFonts w:ascii="Verdana" w:hAnsi="Verdana"/>
          <w:sz w:val="20"/>
          <w:lang w:val="es-CR"/>
        </w:rPr>
        <w:t>pidió</w:t>
      </w:r>
      <w:r w:rsidRPr="002147F8">
        <w:rPr>
          <w:rFonts w:ascii="Verdana" w:hAnsi="Verdana"/>
          <w:sz w:val="20"/>
          <w:lang w:val="es-CR"/>
        </w:rPr>
        <w:t xml:space="preserve"> a la </w:t>
      </w:r>
      <w:r w:rsidRPr="002147F8">
        <w:rPr>
          <w:rFonts w:ascii="Verdana" w:hAnsi="Verdana"/>
          <w:sz w:val="20"/>
          <w:lang w:val="es-ES"/>
        </w:rPr>
        <w:t>Secretaría de Obras Públicas, Transporte y Vivienda (SOPTRAVI) de la zona</w:t>
      </w:r>
      <w:r w:rsidR="00D74DF4">
        <w:rPr>
          <w:rFonts w:ascii="Verdana" w:hAnsi="Verdana"/>
          <w:sz w:val="20"/>
          <w:lang w:val="es-ES"/>
        </w:rPr>
        <w:t>,</w:t>
      </w:r>
      <w:r w:rsidRPr="002955C7" w:rsidDel="000A1E59">
        <w:rPr>
          <w:rFonts w:ascii="Verdana" w:hAnsi="Verdana"/>
          <w:sz w:val="20"/>
          <w:lang w:val="es-CR"/>
        </w:rPr>
        <w:t xml:space="preserve"> </w:t>
      </w:r>
      <w:r w:rsidRPr="002147F8">
        <w:rPr>
          <w:rFonts w:ascii="Verdana" w:hAnsi="Verdana"/>
          <w:sz w:val="20"/>
          <w:lang w:val="es-CR"/>
        </w:rPr>
        <w:t>la remisión de información respecto a la unidad y personal encargados de la construcción de la carretera en el 2010</w:t>
      </w:r>
      <w:r w:rsidRPr="002147F8">
        <w:rPr>
          <w:rStyle w:val="FootnoteReference"/>
          <w:lang w:val="es-CR"/>
        </w:rPr>
        <w:footnoteReference w:id="195"/>
      </w:r>
      <w:r w:rsidRPr="002147F8">
        <w:rPr>
          <w:rFonts w:ascii="Verdana" w:hAnsi="Verdana"/>
          <w:sz w:val="20"/>
          <w:lang w:val="es-CR"/>
        </w:rPr>
        <w:t>. Al día siguiente, el Dir</w:t>
      </w:r>
      <w:r w:rsidRPr="002955C7">
        <w:rPr>
          <w:rFonts w:ascii="Verdana" w:hAnsi="Verdana"/>
          <w:sz w:val="20"/>
          <w:lang w:val="es-CR"/>
        </w:rPr>
        <w:t>ector General de Carreteras informó que no se tenía proyecto alguno en la Comunidad de Punta Piedra</w:t>
      </w:r>
      <w:r w:rsidRPr="002147F8">
        <w:rPr>
          <w:rStyle w:val="FootnoteReference"/>
          <w:lang w:val="es-CR"/>
        </w:rPr>
        <w:footnoteReference w:id="196"/>
      </w:r>
      <w:r w:rsidRPr="002147F8">
        <w:rPr>
          <w:rFonts w:ascii="Verdana" w:hAnsi="Verdana"/>
          <w:sz w:val="20"/>
          <w:lang w:val="es-CR"/>
        </w:rPr>
        <w:t xml:space="preserve">; e) requirió al Alcalde del Municipio de </w:t>
      </w:r>
      <w:proofErr w:type="spellStart"/>
      <w:r w:rsidRPr="002147F8">
        <w:rPr>
          <w:rFonts w:ascii="Verdana" w:hAnsi="Verdana"/>
          <w:sz w:val="20"/>
          <w:lang w:val="es-CR"/>
        </w:rPr>
        <w:t>Iriona</w:t>
      </w:r>
      <w:proofErr w:type="spellEnd"/>
      <w:r w:rsidRPr="002147F8">
        <w:rPr>
          <w:rFonts w:ascii="Verdana" w:hAnsi="Verdana"/>
          <w:sz w:val="20"/>
          <w:lang w:val="es-CR"/>
        </w:rPr>
        <w:t xml:space="preserve"> copia del permiso de construcción de la carretera del 2010</w:t>
      </w:r>
      <w:r w:rsidRPr="002147F8">
        <w:rPr>
          <w:rStyle w:val="FootnoteReference"/>
          <w:lang w:val="es-CR"/>
        </w:rPr>
        <w:footnoteReference w:id="197"/>
      </w:r>
      <w:r w:rsidRPr="002147F8">
        <w:rPr>
          <w:rFonts w:ascii="Verdana" w:hAnsi="Verdana"/>
          <w:sz w:val="20"/>
          <w:lang w:val="es-CR"/>
        </w:rPr>
        <w:t>, por lo que el Vice</w:t>
      </w:r>
      <w:r w:rsidR="00C865CF">
        <w:rPr>
          <w:rFonts w:ascii="Verdana" w:hAnsi="Verdana"/>
          <w:sz w:val="20"/>
          <w:lang w:val="es-CR"/>
        </w:rPr>
        <w:t xml:space="preserve"> </w:t>
      </w:r>
      <w:r w:rsidRPr="002147F8">
        <w:rPr>
          <w:rFonts w:ascii="Verdana" w:hAnsi="Verdana"/>
          <w:sz w:val="20"/>
          <w:lang w:val="es-CR"/>
        </w:rPr>
        <w:t>Alcalde contestó indicando que no existía permiso alguno otorgado por la Alcaldía ni documentación de estudio de soporte alguno respecto de la misma</w:t>
      </w:r>
      <w:r w:rsidRPr="002147F8">
        <w:rPr>
          <w:rStyle w:val="FootnoteReference"/>
          <w:lang w:val="es-CR"/>
        </w:rPr>
        <w:footnoteReference w:id="198"/>
      </w:r>
      <w:r w:rsidRPr="002147F8">
        <w:rPr>
          <w:rFonts w:ascii="Verdana" w:hAnsi="Verdana"/>
          <w:sz w:val="20"/>
          <w:lang w:val="es-CR"/>
        </w:rPr>
        <w:t>.</w:t>
      </w:r>
    </w:p>
    <w:p w14:paraId="0C704A99" w14:textId="77777777" w:rsidR="00E04121" w:rsidRPr="000955FE" w:rsidRDefault="00E04121" w:rsidP="00E04121">
      <w:pPr>
        <w:pStyle w:val="ListParagraph"/>
        <w:rPr>
          <w:rFonts w:ascii="Verdana" w:hAnsi="Verdana"/>
          <w:sz w:val="20"/>
          <w:szCs w:val="20"/>
          <w:lang w:val="es-CR"/>
        </w:rPr>
      </w:pPr>
    </w:p>
    <w:p w14:paraId="0C704A9A" w14:textId="5D014304" w:rsidR="009139F9" w:rsidRPr="002147F8" w:rsidRDefault="00E04121" w:rsidP="00E04121">
      <w:pPr>
        <w:pStyle w:val="ListParagraph"/>
        <w:numPr>
          <w:ilvl w:val="0"/>
          <w:numId w:val="17"/>
        </w:numPr>
        <w:ind w:left="0" w:hanging="11"/>
        <w:jc w:val="both"/>
        <w:rPr>
          <w:rFonts w:ascii="Verdana" w:hAnsi="Verdana"/>
          <w:sz w:val="20"/>
          <w:lang w:val="es-CR"/>
        </w:rPr>
      </w:pPr>
      <w:r w:rsidRPr="002147F8">
        <w:rPr>
          <w:rFonts w:ascii="Verdana" w:hAnsi="Verdana"/>
          <w:sz w:val="20"/>
          <w:lang w:val="es-CR"/>
        </w:rPr>
        <w:t>De las diligencias ordenadas, agentes de la DNIC realizaron la inspección ocular de la zona de Río Miel, por medio de la cual: a) confirm</w:t>
      </w:r>
      <w:r w:rsidRPr="00BF5E31">
        <w:rPr>
          <w:rFonts w:ascii="Verdana" w:hAnsi="Verdana"/>
          <w:sz w:val="20"/>
          <w:lang w:val="es-CR"/>
        </w:rPr>
        <w:t>aron</w:t>
      </w:r>
      <w:r w:rsidRPr="002147F8">
        <w:rPr>
          <w:rFonts w:ascii="Verdana" w:hAnsi="Verdana"/>
          <w:sz w:val="20"/>
          <w:lang w:val="es-CR"/>
        </w:rPr>
        <w:t xml:space="preserve"> la existencia de una apertura de carretera frente a un lugar denominado “Pulpería y Hospedaje La </w:t>
      </w:r>
      <w:r w:rsidR="00C865CF">
        <w:rPr>
          <w:rFonts w:ascii="Verdana" w:hAnsi="Verdana"/>
          <w:sz w:val="20"/>
          <w:lang w:val="es-CR"/>
        </w:rPr>
        <w:t>Ú</w:t>
      </w:r>
      <w:r w:rsidRPr="002147F8">
        <w:rPr>
          <w:rFonts w:ascii="Verdana" w:hAnsi="Verdana"/>
          <w:sz w:val="20"/>
          <w:lang w:val="es-CR"/>
        </w:rPr>
        <w:t>ni</w:t>
      </w:r>
      <w:r w:rsidR="00C865CF">
        <w:rPr>
          <w:rFonts w:ascii="Verdana" w:hAnsi="Verdana"/>
          <w:sz w:val="20"/>
          <w:lang w:val="es-CR"/>
        </w:rPr>
        <w:t>c</w:t>
      </w:r>
      <w:r w:rsidRPr="002147F8">
        <w:rPr>
          <w:rFonts w:ascii="Verdana" w:hAnsi="Verdana"/>
          <w:sz w:val="20"/>
          <w:lang w:val="es-CR"/>
        </w:rPr>
        <w:t xml:space="preserve">a”. Dicha carretera conducía a “El Río Tinto Negro”, pasando por el sector “Cerro Castillo”, cerca de las propiedades </w:t>
      </w:r>
      <w:r w:rsidRPr="002955C7">
        <w:rPr>
          <w:rFonts w:ascii="Verdana" w:hAnsi="Verdana"/>
          <w:sz w:val="20"/>
          <w:lang w:val="es-CR"/>
        </w:rPr>
        <w:t>de Paulino Mejía, sin embargo, los agentes no pudieron llegar hasta el final de la misma por la presunta presencia de personas armadas en la zona</w:t>
      </w:r>
      <w:r w:rsidRPr="002147F8">
        <w:rPr>
          <w:rFonts w:ascii="Verdana" w:hAnsi="Verdana"/>
          <w:sz w:val="20"/>
          <w:lang w:val="es-CR"/>
        </w:rPr>
        <w:t>; b) tomaron fotografías de la apertura de dicha carretera, y c)</w:t>
      </w:r>
      <w:r w:rsidRPr="00BF5E31">
        <w:rPr>
          <w:rFonts w:ascii="Verdana" w:hAnsi="Verdana"/>
          <w:sz w:val="20"/>
          <w:lang w:val="es-CR"/>
        </w:rPr>
        <w:t xml:space="preserve"> dejaron </w:t>
      </w:r>
      <w:r w:rsidRPr="002147F8">
        <w:rPr>
          <w:rFonts w:ascii="Verdana" w:hAnsi="Verdana"/>
          <w:sz w:val="20"/>
          <w:lang w:val="es-CR"/>
        </w:rPr>
        <w:t>constancia de que la Alcaldía no había autorizado ninguna construcción</w:t>
      </w:r>
      <w:r w:rsidR="00D74DF4">
        <w:rPr>
          <w:rFonts w:ascii="Verdana" w:hAnsi="Verdana"/>
          <w:sz w:val="20"/>
          <w:lang w:val="es-CR"/>
        </w:rPr>
        <w:t>.</w:t>
      </w:r>
      <w:r w:rsidRPr="002147F8">
        <w:rPr>
          <w:rFonts w:ascii="Verdana" w:hAnsi="Verdana"/>
          <w:sz w:val="20"/>
          <w:lang w:val="es-CR"/>
        </w:rPr>
        <w:t xml:space="preserve"> Ello fue informado a la </w:t>
      </w:r>
      <w:r w:rsidRPr="002147F8">
        <w:rPr>
          <w:rFonts w:ascii="Verdana" w:hAnsi="Verdana"/>
          <w:sz w:val="20"/>
          <w:lang w:val="es-CR"/>
        </w:rPr>
        <w:lastRenderedPageBreak/>
        <w:t>Fiscalía de Etnias el 1 de agosto de 2013</w:t>
      </w:r>
      <w:r w:rsidRPr="002147F8">
        <w:rPr>
          <w:rStyle w:val="FootnoteReference"/>
          <w:lang w:val="es-CR"/>
        </w:rPr>
        <w:footnoteReference w:id="199"/>
      </w:r>
      <w:r w:rsidRPr="002147F8">
        <w:rPr>
          <w:rFonts w:ascii="Verdana" w:hAnsi="Verdana"/>
          <w:sz w:val="20"/>
          <w:lang w:val="es-CR"/>
        </w:rPr>
        <w:t>. La Corte no cuenta con mayor información respecto de este proceso.</w:t>
      </w:r>
    </w:p>
    <w:p w14:paraId="0C704A9B" w14:textId="77777777" w:rsidR="009139F9" w:rsidRPr="009139F9" w:rsidRDefault="009139F9" w:rsidP="00D22B93">
      <w:pPr>
        <w:jc w:val="both"/>
        <w:rPr>
          <w:rFonts w:ascii="Verdana" w:hAnsi="Verdana"/>
          <w:sz w:val="20"/>
          <w:szCs w:val="20"/>
          <w:lang w:val="es-CR"/>
        </w:rPr>
      </w:pPr>
    </w:p>
    <w:p w14:paraId="0C704A9C" w14:textId="1474C979" w:rsidR="00F02DDD" w:rsidRPr="000955FE" w:rsidRDefault="00A17487" w:rsidP="00F02DDD">
      <w:pPr>
        <w:pStyle w:val="Heading1"/>
        <w:tabs>
          <w:tab w:val="left" w:pos="851"/>
        </w:tabs>
        <w:spacing w:before="0"/>
        <w:jc w:val="center"/>
        <w:rPr>
          <w:rFonts w:ascii="Verdana" w:hAnsi="Verdana" w:cs="Verdana"/>
          <w:caps/>
          <w:snapToGrid w:val="0"/>
          <w:color w:val="auto"/>
          <w:sz w:val="20"/>
          <w:szCs w:val="20"/>
        </w:rPr>
      </w:pPr>
      <w:bookmarkStart w:id="67" w:name="_Toc405300020"/>
      <w:bookmarkStart w:id="68" w:name="_Toc437247340"/>
      <w:r>
        <w:rPr>
          <w:rFonts w:ascii="Verdana" w:hAnsi="Verdana" w:cs="Verdana"/>
          <w:caps/>
          <w:snapToGrid w:val="0"/>
          <w:color w:val="auto"/>
          <w:sz w:val="20"/>
          <w:szCs w:val="20"/>
        </w:rPr>
        <w:t>ix</w:t>
      </w:r>
      <w:r w:rsidR="00F02DDD" w:rsidRPr="000955FE">
        <w:rPr>
          <w:rFonts w:ascii="Verdana" w:hAnsi="Verdana" w:cs="Verdana"/>
          <w:caps/>
          <w:snapToGrid w:val="0"/>
          <w:color w:val="auto"/>
          <w:sz w:val="20"/>
          <w:szCs w:val="20"/>
        </w:rPr>
        <w:br/>
        <w:t>FONDO</w:t>
      </w:r>
      <w:bookmarkEnd w:id="67"/>
      <w:bookmarkEnd w:id="68"/>
    </w:p>
    <w:p w14:paraId="0C704A9D" w14:textId="77777777" w:rsidR="00F02DDD" w:rsidRPr="000955FE" w:rsidRDefault="00F02DDD" w:rsidP="00F02DDD">
      <w:pPr>
        <w:pStyle w:val="Heading1"/>
        <w:tabs>
          <w:tab w:val="left" w:pos="851"/>
        </w:tabs>
        <w:spacing w:before="0"/>
        <w:jc w:val="center"/>
        <w:rPr>
          <w:rFonts w:ascii="Verdana" w:hAnsi="Verdana" w:cs="Verdana"/>
          <w:caps/>
          <w:snapToGrid w:val="0"/>
          <w:color w:val="auto"/>
          <w:sz w:val="20"/>
          <w:szCs w:val="20"/>
        </w:rPr>
      </w:pPr>
    </w:p>
    <w:p w14:paraId="0C704A9E" w14:textId="77777777" w:rsidR="00F02DDD" w:rsidRPr="00CB26E3" w:rsidRDefault="00F02DDD" w:rsidP="00F02DDD">
      <w:pPr>
        <w:pStyle w:val="ListParagraph"/>
        <w:numPr>
          <w:ilvl w:val="0"/>
          <w:numId w:val="17"/>
        </w:numPr>
        <w:ind w:left="0" w:hanging="11"/>
        <w:jc w:val="both"/>
        <w:rPr>
          <w:rFonts w:ascii="Verdana" w:hAnsi="Verdana"/>
          <w:b/>
          <w:sz w:val="20"/>
          <w:szCs w:val="20"/>
          <w:lang w:val="es-CR"/>
        </w:rPr>
      </w:pPr>
      <w:r w:rsidRPr="000955FE">
        <w:rPr>
          <w:rFonts w:ascii="Verdana" w:hAnsi="Verdana"/>
          <w:sz w:val="20"/>
          <w:szCs w:val="20"/>
          <w:lang w:val="es-CR"/>
        </w:rPr>
        <w:t>En atención a los derechos de la Convención alegados en el presente caso, la Corte realizará el siguiente análisis: 1) Derecho a la propiedad colectiva en relación con los artículos 1.1 y 2 de la Convención</w:t>
      </w:r>
      <w:r>
        <w:rPr>
          <w:rFonts w:ascii="Verdana" w:hAnsi="Verdana"/>
          <w:sz w:val="20"/>
          <w:szCs w:val="20"/>
          <w:lang w:val="es-CR"/>
        </w:rPr>
        <w:t xml:space="preserve"> Americana</w:t>
      </w:r>
      <w:r w:rsidRPr="000955FE">
        <w:rPr>
          <w:rFonts w:ascii="Verdana" w:hAnsi="Verdana"/>
          <w:sz w:val="20"/>
          <w:szCs w:val="20"/>
          <w:lang w:val="es-CR"/>
        </w:rPr>
        <w:t xml:space="preserve">; 2) Derecho a la protección judicial, en relación con los artículos 1.1 y 2 de la </w:t>
      </w:r>
      <w:r>
        <w:rPr>
          <w:rFonts w:ascii="Verdana" w:hAnsi="Verdana"/>
          <w:sz w:val="20"/>
          <w:szCs w:val="20"/>
          <w:lang w:val="es-CR"/>
        </w:rPr>
        <w:t>C</w:t>
      </w:r>
      <w:r w:rsidRPr="000955FE">
        <w:rPr>
          <w:rFonts w:ascii="Verdana" w:hAnsi="Verdana"/>
          <w:sz w:val="20"/>
          <w:szCs w:val="20"/>
          <w:lang w:val="es-CR"/>
        </w:rPr>
        <w:t xml:space="preserve">onvención </w:t>
      </w:r>
      <w:r>
        <w:rPr>
          <w:rFonts w:ascii="Verdana" w:hAnsi="Verdana"/>
          <w:sz w:val="20"/>
          <w:szCs w:val="20"/>
          <w:lang w:val="es-CR"/>
        </w:rPr>
        <w:t>A</w:t>
      </w:r>
      <w:r w:rsidRPr="000955FE">
        <w:rPr>
          <w:rFonts w:ascii="Verdana" w:hAnsi="Verdana"/>
          <w:sz w:val="20"/>
          <w:szCs w:val="20"/>
          <w:lang w:val="es-CR"/>
        </w:rPr>
        <w:t>mericana</w:t>
      </w:r>
      <w:r>
        <w:rPr>
          <w:rFonts w:ascii="Verdana" w:hAnsi="Verdana"/>
          <w:sz w:val="20"/>
          <w:szCs w:val="20"/>
          <w:lang w:val="es-CR"/>
        </w:rPr>
        <w:t>, y</w:t>
      </w:r>
      <w:r w:rsidRPr="000955FE">
        <w:rPr>
          <w:rFonts w:ascii="Verdana" w:hAnsi="Verdana"/>
          <w:sz w:val="20"/>
          <w:szCs w:val="20"/>
          <w:lang w:val="es-CR"/>
        </w:rPr>
        <w:t xml:space="preserve"> 3) </w:t>
      </w:r>
      <w:r w:rsidRPr="00393C85">
        <w:rPr>
          <w:rFonts w:ascii="Verdana" w:hAnsi="Verdana"/>
          <w:sz w:val="20"/>
          <w:szCs w:val="20"/>
          <w:lang w:val="es-CR"/>
        </w:rPr>
        <w:t>Derecho a la vida</w:t>
      </w:r>
      <w:r w:rsidRPr="007926DD">
        <w:rPr>
          <w:rFonts w:ascii="Verdana" w:hAnsi="Verdana"/>
          <w:sz w:val="20"/>
          <w:szCs w:val="20"/>
          <w:lang w:val="es-CR"/>
        </w:rPr>
        <w:t>, a las garantías judiciales y a la protección judicial.</w:t>
      </w:r>
      <w:r w:rsidRPr="00CB26E3">
        <w:rPr>
          <w:rFonts w:ascii="Verdana" w:hAnsi="Verdana"/>
          <w:b/>
          <w:sz w:val="20"/>
          <w:szCs w:val="20"/>
          <w:lang w:val="es-CR"/>
        </w:rPr>
        <w:t xml:space="preserve"> </w:t>
      </w:r>
    </w:p>
    <w:p w14:paraId="0C704A9F" w14:textId="77777777" w:rsidR="00F02DDD" w:rsidRPr="000955FE" w:rsidRDefault="00F02DDD" w:rsidP="00F02DDD">
      <w:pPr>
        <w:pStyle w:val="ListParagraph"/>
        <w:ind w:left="0"/>
        <w:jc w:val="both"/>
        <w:rPr>
          <w:rFonts w:ascii="Verdana" w:hAnsi="Verdana"/>
          <w:sz w:val="20"/>
          <w:szCs w:val="20"/>
          <w:lang w:val="es-CR"/>
        </w:rPr>
      </w:pPr>
    </w:p>
    <w:p w14:paraId="0C704AA0" w14:textId="5F61D257" w:rsidR="00F02DDD" w:rsidRPr="000955FE" w:rsidRDefault="00A17487" w:rsidP="00F02DDD">
      <w:pPr>
        <w:pStyle w:val="Heading1"/>
        <w:tabs>
          <w:tab w:val="left" w:pos="851"/>
        </w:tabs>
        <w:spacing w:before="0"/>
        <w:jc w:val="center"/>
        <w:rPr>
          <w:rFonts w:ascii="Verdana" w:hAnsi="Verdana" w:cs="Verdana"/>
          <w:caps/>
          <w:snapToGrid w:val="0"/>
          <w:color w:val="auto"/>
          <w:sz w:val="20"/>
          <w:szCs w:val="20"/>
        </w:rPr>
      </w:pPr>
      <w:bookmarkStart w:id="69" w:name="_Toc405300021"/>
      <w:bookmarkStart w:id="70" w:name="_Toc437247341"/>
      <w:r>
        <w:rPr>
          <w:rFonts w:ascii="Verdana" w:hAnsi="Verdana" w:cs="Verdana"/>
          <w:caps/>
          <w:snapToGrid w:val="0"/>
          <w:color w:val="auto"/>
          <w:sz w:val="20"/>
          <w:szCs w:val="20"/>
        </w:rPr>
        <w:t>ix</w:t>
      </w:r>
      <w:r w:rsidR="00F02DDD" w:rsidRPr="000955FE">
        <w:rPr>
          <w:rFonts w:ascii="Verdana" w:hAnsi="Verdana" w:cs="Verdana"/>
          <w:caps/>
          <w:snapToGrid w:val="0"/>
          <w:color w:val="auto"/>
          <w:sz w:val="20"/>
          <w:szCs w:val="20"/>
        </w:rPr>
        <w:t xml:space="preserve"> - 1</w:t>
      </w:r>
      <w:r w:rsidR="00F02DDD" w:rsidRPr="000955FE">
        <w:rPr>
          <w:rFonts w:ascii="Verdana" w:hAnsi="Verdana" w:cs="Verdana"/>
          <w:caps/>
          <w:snapToGrid w:val="0"/>
          <w:color w:val="auto"/>
          <w:sz w:val="20"/>
          <w:szCs w:val="20"/>
        </w:rPr>
        <w:br/>
        <w:t xml:space="preserve">DERECHO A LA PROPIEDAD </w:t>
      </w:r>
      <w:bookmarkEnd w:id="69"/>
      <w:r w:rsidR="00F02DDD" w:rsidRPr="000955FE">
        <w:rPr>
          <w:rFonts w:ascii="Verdana" w:hAnsi="Verdana" w:cs="Verdana"/>
          <w:caps/>
          <w:snapToGrid w:val="0"/>
          <w:color w:val="auto"/>
          <w:sz w:val="20"/>
          <w:szCs w:val="20"/>
        </w:rPr>
        <w:t>COLECTIVA EN RELACIÓN CON LOS ARTÍCULOS 1.1 Y 2 DE LA CONVENCIÓN AMERICANA</w:t>
      </w:r>
      <w:bookmarkEnd w:id="70"/>
    </w:p>
    <w:p w14:paraId="0C704AA1" w14:textId="77777777" w:rsidR="00F02DDD" w:rsidRPr="000955FE" w:rsidRDefault="00F02DDD" w:rsidP="00F02DDD">
      <w:pPr>
        <w:jc w:val="both"/>
        <w:rPr>
          <w:rFonts w:ascii="Verdana" w:hAnsi="Verdana"/>
          <w:sz w:val="20"/>
          <w:szCs w:val="20"/>
        </w:rPr>
      </w:pPr>
    </w:p>
    <w:p w14:paraId="0C704AA2" w14:textId="77777777" w:rsidR="00F02DDD" w:rsidRPr="000955FE" w:rsidRDefault="00F02DDD" w:rsidP="00F02DDD">
      <w:pPr>
        <w:pStyle w:val="Heading2"/>
        <w:numPr>
          <w:ilvl w:val="0"/>
          <w:numId w:val="14"/>
        </w:numPr>
        <w:spacing w:before="0"/>
        <w:jc w:val="both"/>
        <w:rPr>
          <w:rFonts w:ascii="Verdana" w:hAnsi="Verdana"/>
          <w:i/>
          <w:sz w:val="20"/>
          <w:szCs w:val="20"/>
        </w:rPr>
      </w:pPr>
      <w:bookmarkStart w:id="71" w:name="_Toc437247342"/>
      <w:r w:rsidRPr="000955FE">
        <w:rPr>
          <w:rFonts w:ascii="Verdana" w:hAnsi="Verdana"/>
          <w:i/>
          <w:color w:val="auto"/>
          <w:sz w:val="20"/>
          <w:szCs w:val="20"/>
        </w:rPr>
        <w:t>Argumentos de la Comisión y de las partes</w:t>
      </w:r>
      <w:bookmarkEnd w:id="71"/>
      <w:r w:rsidRPr="000955FE">
        <w:rPr>
          <w:rFonts w:ascii="Verdana" w:hAnsi="Verdana"/>
          <w:i/>
          <w:color w:val="auto"/>
          <w:sz w:val="20"/>
          <w:szCs w:val="20"/>
        </w:rPr>
        <w:t xml:space="preserve"> </w:t>
      </w:r>
    </w:p>
    <w:p w14:paraId="0C704AA3" w14:textId="77777777" w:rsidR="00F02DDD" w:rsidRPr="000955FE" w:rsidRDefault="00F02DDD" w:rsidP="00F02DDD">
      <w:pPr>
        <w:pStyle w:val="ListParagraph"/>
        <w:ind w:left="0"/>
        <w:jc w:val="both"/>
        <w:rPr>
          <w:rFonts w:ascii="Verdana" w:hAnsi="Verdana"/>
          <w:sz w:val="20"/>
          <w:szCs w:val="20"/>
          <w:lang w:val="es-CR"/>
        </w:rPr>
      </w:pPr>
    </w:p>
    <w:p w14:paraId="0C704AA4" w14:textId="1BFA0664"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 xml:space="preserve">La </w:t>
      </w:r>
      <w:r w:rsidRPr="000955FE">
        <w:rPr>
          <w:rFonts w:ascii="Verdana" w:hAnsi="Verdana"/>
          <w:b/>
          <w:i/>
          <w:sz w:val="20"/>
          <w:szCs w:val="20"/>
        </w:rPr>
        <w:t>Comisión</w:t>
      </w:r>
      <w:r w:rsidRPr="000955FE">
        <w:rPr>
          <w:rFonts w:ascii="Verdana" w:hAnsi="Verdana"/>
          <w:sz w:val="20"/>
          <w:szCs w:val="20"/>
        </w:rPr>
        <w:t xml:space="preserve"> señaló que el Estado violó el artículo 21 de la Convención en perjuicio de la Comunidad Garífuna de Punta Piedra, debido a que, si bien en el presente caso no está en controversia el reconocimiento del derecho de propiedad de la Comunidad por parte del Estado, el mismo ha violado su obligación de garantizar la posesión pacífica de su territorio a través del saneamiento y su protección efectiva frente a terceros</w:t>
      </w:r>
      <w:r w:rsidR="008D0A8B">
        <w:rPr>
          <w:rFonts w:ascii="Verdana" w:hAnsi="Verdana"/>
          <w:sz w:val="20"/>
          <w:szCs w:val="20"/>
        </w:rPr>
        <w:t xml:space="preserve">. </w:t>
      </w:r>
      <w:r w:rsidRPr="000955FE">
        <w:rPr>
          <w:rFonts w:ascii="Verdana" w:hAnsi="Verdana"/>
          <w:sz w:val="20"/>
          <w:szCs w:val="20"/>
        </w:rPr>
        <w:t>Esto implica que</w:t>
      </w:r>
      <w:r w:rsidR="008D0A8B">
        <w:rPr>
          <w:rFonts w:ascii="Verdana" w:hAnsi="Verdana"/>
          <w:sz w:val="20"/>
          <w:szCs w:val="20"/>
        </w:rPr>
        <w:t>,</w:t>
      </w:r>
      <w:r w:rsidRPr="000955FE">
        <w:rPr>
          <w:rFonts w:ascii="Verdana" w:hAnsi="Verdana"/>
          <w:sz w:val="20"/>
          <w:szCs w:val="20"/>
        </w:rPr>
        <w:t xml:space="preserve"> desde 1993 hasta la fecha, la Comunidad Garífuna de Punta Piedra no</w:t>
      </w:r>
      <w:r w:rsidR="008D0A8B">
        <w:rPr>
          <w:rFonts w:ascii="Verdana" w:hAnsi="Verdana"/>
          <w:sz w:val="20"/>
          <w:szCs w:val="20"/>
        </w:rPr>
        <w:t xml:space="preserve"> solo no</w:t>
      </w:r>
      <w:r w:rsidRPr="000955FE">
        <w:rPr>
          <w:rFonts w:ascii="Verdana" w:hAnsi="Verdana"/>
          <w:sz w:val="20"/>
          <w:szCs w:val="20"/>
        </w:rPr>
        <w:t xml:space="preserve"> puede controlar efectivamente y de manera armoniosa el territorio que históricamente le pertenece, sino que además sus miembros se encuentran en una situación de inseguridad que pone en riesgo sus derechos a la vida e integridad personal. Aunado a lo anterior, la Comisión indicó que el saneamiento del territorio ancestral de un pueblo indígena, es decir, </w:t>
      </w:r>
      <w:r w:rsidR="008D0A8B">
        <w:rPr>
          <w:rFonts w:ascii="Verdana" w:hAnsi="Verdana"/>
          <w:sz w:val="20"/>
          <w:szCs w:val="20"/>
        </w:rPr>
        <w:t xml:space="preserve">el </w:t>
      </w:r>
      <w:r w:rsidRPr="000955FE">
        <w:rPr>
          <w:rFonts w:ascii="Verdana" w:hAnsi="Verdana"/>
          <w:sz w:val="20"/>
          <w:szCs w:val="20"/>
        </w:rPr>
        <w:t>asegura</w:t>
      </w:r>
      <w:r w:rsidR="008D0A8B">
        <w:rPr>
          <w:rFonts w:ascii="Verdana" w:hAnsi="Verdana"/>
          <w:sz w:val="20"/>
          <w:szCs w:val="20"/>
        </w:rPr>
        <w:t>miento</w:t>
      </w:r>
      <w:r w:rsidRPr="000955FE">
        <w:rPr>
          <w:rFonts w:ascii="Verdana" w:hAnsi="Verdana"/>
          <w:sz w:val="20"/>
          <w:szCs w:val="20"/>
        </w:rPr>
        <w:t xml:space="preserve"> </w:t>
      </w:r>
      <w:r w:rsidR="008D0A8B">
        <w:rPr>
          <w:rFonts w:ascii="Verdana" w:hAnsi="Verdana"/>
          <w:sz w:val="20"/>
          <w:szCs w:val="20"/>
        </w:rPr>
        <w:t>d</w:t>
      </w:r>
      <w:r w:rsidRPr="000955FE">
        <w:rPr>
          <w:rFonts w:ascii="Verdana" w:hAnsi="Verdana"/>
          <w:sz w:val="20"/>
          <w:szCs w:val="20"/>
        </w:rPr>
        <w:t xml:space="preserve">el goce y disfrute efectivo </w:t>
      </w:r>
      <w:r w:rsidR="008D0A8B">
        <w:rPr>
          <w:rFonts w:ascii="Verdana" w:hAnsi="Verdana"/>
          <w:sz w:val="20"/>
          <w:szCs w:val="20"/>
        </w:rPr>
        <w:t>de</w:t>
      </w:r>
      <w:r w:rsidRPr="000955FE">
        <w:rPr>
          <w:rFonts w:ascii="Verdana" w:hAnsi="Verdana"/>
          <w:sz w:val="20"/>
          <w:szCs w:val="20"/>
        </w:rPr>
        <w:t xml:space="preserve"> su territorio tradicional de manera pacífica, es un componente del derecho a la propiedad colectiva</w:t>
      </w:r>
      <w:r w:rsidR="008D0A8B">
        <w:rPr>
          <w:rFonts w:ascii="Verdana" w:hAnsi="Verdana"/>
          <w:sz w:val="20"/>
          <w:szCs w:val="20"/>
        </w:rPr>
        <w:t xml:space="preserve">. </w:t>
      </w:r>
    </w:p>
    <w:p w14:paraId="0C704AA5" w14:textId="77777777" w:rsidR="00F02DDD" w:rsidRPr="000955FE" w:rsidRDefault="00F02DDD" w:rsidP="00F02DDD">
      <w:pPr>
        <w:pStyle w:val="ListParagraph"/>
        <w:ind w:left="0"/>
        <w:jc w:val="both"/>
        <w:rPr>
          <w:rFonts w:ascii="Verdana" w:hAnsi="Verdana"/>
          <w:sz w:val="20"/>
          <w:szCs w:val="20"/>
          <w:lang w:val="es-CR"/>
        </w:rPr>
      </w:pPr>
    </w:p>
    <w:p w14:paraId="0C704AA6" w14:textId="564A30DF" w:rsidR="00F02DDD" w:rsidRPr="00012F57" w:rsidRDefault="00F02DDD" w:rsidP="00F02DDD">
      <w:pPr>
        <w:pStyle w:val="ListParagraph"/>
        <w:numPr>
          <w:ilvl w:val="0"/>
          <w:numId w:val="17"/>
        </w:numPr>
        <w:ind w:left="0" w:hanging="11"/>
        <w:jc w:val="both"/>
        <w:rPr>
          <w:rFonts w:ascii="Verdana" w:eastAsiaTheme="minorHAnsi" w:hAnsi="Verdana" w:cs="URWBookmanL-Ligh"/>
          <w:color w:val="00000A"/>
          <w:sz w:val="20"/>
          <w:szCs w:val="20"/>
          <w:lang w:val="es-CR"/>
        </w:rPr>
      </w:pPr>
      <w:r w:rsidRPr="003D7EE7">
        <w:rPr>
          <w:rFonts w:ascii="Verdana" w:hAnsi="Verdana"/>
          <w:sz w:val="20"/>
          <w:szCs w:val="20"/>
        </w:rPr>
        <w:t xml:space="preserve">Los </w:t>
      </w:r>
      <w:r w:rsidRPr="003D7EE7">
        <w:rPr>
          <w:rFonts w:ascii="Verdana" w:hAnsi="Verdana"/>
          <w:b/>
          <w:i/>
          <w:sz w:val="20"/>
          <w:szCs w:val="20"/>
        </w:rPr>
        <w:t>representantes</w:t>
      </w:r>
      <w:r w:rsidRPr="003D7EE7">
        <w:rPr>
          <w:rFonts w:ascii="Verdana" w:hAnsi="Verdana"/>
          <w:sz w:val="20"/>
          <w:szCs w:val="20"/>
        </w:rPr>
        <w:t xml:space="preserve"> coincidieron en líneas generales con la Comisión. Aceptaron el hecho de que el Estado ha propuesto soluciones, pero </w:t>
      </w:r>
      <w:r w:rsidR="008D0A8B">
        <w:rPr>
          <w:rFonts w:ascii="Verdana" w:hAnsi="Verdana"/>
          <w:sz w:val="20"/>
          <w:szCs w:val="20"/>
        </w:rPr>
        <w:t xml:space="preserve">a diferencia de la Comisión </w:t>
      </w:r>
      <w:r w:rsidRPr="003D7EE7">
        <w:rPr>
          <w:rFonts w:ascii="Verdana" w:hAnsi="Verdana"/>
          <w:sz w:val="20"/>
          <w:szCs w:val="20"/>
        </w:rPr>
        <w:t>mantuvieron que estas no están definidas claramente en la ley ni han sido eficaces en la práctica, por lo que están condenadas al fracaso al no ser mecanismos idóneos para dar una respuesta adecuada</w:t>
      </w:r>
      <w:proofErr w:type="gramStart"/>
      <w:r w:rsidRPr="003D7EE7">
        <w:rPr>
          <w:rFonts w:ascii="Verdana" w:hAnsi="Verdana"/>
          <w:sz w:val="20"/>
          <w:szCs w:val="20"/>
        </w:rPr>
        <w:t>..</w:t>
      </w:r>
      <w:proofErr w:type="gramEnd"/>
      <w:r w:rsidRPr="003D7EE7">
        <w:rPr>
          <w:rFonts w:ascii="Verdana" w:hAnsi="Verdana"/>
          <w:sz w:val="20"/>
          <w:szCs w:val="20"/>
        </w:rPr>
        <w:t xml:space="preserve"> </w:t>
      </w:r>
      <w:r w:rsidR="008D0A8B">
        <w:rPr>
          <w:rFonts w:ascii="Verdana" w:hAnsi="Verdana"/>
          <w:sz w:val="20"/>
          <w:szCs w:val="20"/>
        </w:rPr>
        <w:t>E</w:t>
      </w:r>
      <w:r w:rsidRPr="003D7EE7">
        <w:rPr>
          <w:rFonts w:ascii="Verdana" w:hAnsi="Verdana"/>
          <w:sz w:val="20"/>
          <w:szCs w:val="20"/>
        </w:rPr>
        <w:t xml:space="preserve">l Estado no garantizó la posesión pacífica del territorio indígena </w:t>
      </w:r>
      <w:r w:rsidRPr="004656AE">
        <w:rPr>
          <w:rFonts w:ascii="Verdana" w:hAnsi="Verdana"/>
          <w:sz w:val="20"/>
          <w:szCs w:val="20"/>
        </w:rPr>
        <w:t xml:space="preserve">al no investigar denuncias, utilizar mecanismos ineficaces y haber permitido </w:t>
      </w:r>
      <w:r w:rsidR="008D0A8B">
        <w:rPr>
          <w:rFonts w:ascii="Verdana" w:hAnsi="Verdana"/>
          <w:sz w:val="20"/>
          <w:szCs w:val="20"/>
        </w:rPr>
        <w:t xml:space="preserve">que </w:t>
      </w:r>
      <w:r w:rsidRPr="004656AE">
        <w:rPr>
          <w:rFonts w:ascii="Verdana" w:hAnsi="Verdana"/>
          <w:sz w:val="20"/>
          <w:szCs w:val="20"/>
        </w:rPr>
        <w:t xml:space="preserve">se generara violencia por omisión en </w:t>
      </w:r>
      <w:r w:rsidR="008D0A8B">
        <w:rPr>
          <w:rFonts w:ascii="Verdana" w:hAnsi="Verdana"/>
          <w:sz w:val="20"/>
          <w:szCs w:val="20"/>
        </w:rPr>
        <w:t xml:space="preserve">el </w:t>
      </w:r>
      <w:r w:rsidRPr="004656AE">
        <w:rPr>
          <w:rFonts w:ascii="Verdana" w:hAnsi="Verdana"/>
          <w:sz w:val="20"/>
          <w:szCs w:val="20"/>
        </w:rPr>
        <w:t>cumplimiento de sus obligaciones</w:t>
      </w:r>
      <w:r w:rsidR="008D0A8B">
        <w:rPr>
          <w:rFonts w:ascii="Verdana" w:hAnsi="Verdana"/>
          <w:sz w:val="20"/>
          <w:szCs w:val="20"/>
        </w:rPr>
        <w:t xml:space="preserve">. </w:t>
      </w:r>
      <w:r w:rsidRPr="004656AE">
        <w:rPr>
          <w:rFonts w:ascii="Verdana" w:hAnsi="Verdana"/>
          <w:sz w:val="20"/>
          <w:szCs w:val="20"/>
        </w:rPr>
        <w:t>Asimismo, agregaron que “</w:t>
      </w:r>
      <w:r w:rsidRPr="00012F57">
        <w:rPr>
          <w:rFonts w:ascii="Verdana" w:eastAsiaTheme="minorHAnsi" w:hAnsi="Verdana" w:cs="URWBookmanL-Ligh"/>
          <w:color w:val="00000A"/>
          <w:sz w:val="20"/>
          <w:szCs w:val="20"/>
          <w:lang w:val="es-CR"/>
        </w:rPr>
        <w:t xml:space="preserve">sobre la salvaguarda a favor de terceros que se suprimió de la segunda titulación es preciso que la Corte aplique la </w:t>
      </w:r>
      <w:r w:rsidRPr="003D7EE7">
        <w:rPr>
          <w:rFonts w:ascii="Verdana" w:eastAsiaTheme="minorHAnsi" w:hAnsi="Verdana" w:cs="URWBookmanL-DemiBold"/>
          <w:bCs/>
          <w:color w:val="00000A"/>
          <w:sz w:val="20"/>
          <w:szCs w:val="20"/>
          <w:lang w:val="es-CR"/>
        </w:rPr>
        <w:t>teoría de la continuidad en la identidad de los Estados,</w:t>
      </w:r>
      <w:r w:rsidRPr="003D7EE7">
        <w:rPr>
          <w:rFonts w:ascii="Verdana" w:eastAsiaTheme="minorHAnsi" w:hAnsi="Verdana" w:cs="URWBookmanL-DemiBold"/>
          <w:b/>
          <w:bCs/>
          <w:color w:val="00000A"/>
          <w:sz w:val="20"/>
          <w:szCs w:val="20"/>
          <w:lang w:val="es-CR"/>
        </w:rPr>
        <w:t xml:space="preserve"> </w:t>
      </w:r>
      <w:r w:rsidRPr="003D7EE7">
        <w:rPr>
          <w:rFonts w:ascii="Verdana" w:eastAsiaTheme="minorHAnsi" w:hAnsi="Verdana" w:cs="URWBookmanL-Ligh"/>
          <w:color w:val="00000A"/>
          <w:sz w:val="20"/>
          <w:szCs w:val="20"/>
          <w:lang w:val="es-CR"/>
        </w:rPr>
        <w:t>en términos de que la eliminación de esa cláusula fue realizada a través de un acto administrativo del Estado de Honduras en un auténtico avance en el reconocimiento de los derechos indígenas en Honduras y no un acto de un exministro a título personal</w:t>
      </w:r>
      <w:r w:rsidR="008D0A8B">
        <w:rPr>
          <w:rFonts w:ascii="Verdana" w:eastAsiaTheme="minorHAnsi" w:hAnsi="Verdana" w:cs="URWBookmanL-Ligh"/>
          <w:color w:val="00000A"/>
          <w:sz w:val="20"/>
          <w:szCs w:val="20"/>
          <w:lang w:val="es-CR"/>
        </w:rPr>
        <w:t xml:space="preserve">, </w:t>
      </w:r>
      <w:r w:rsidRPr="003D7EE7">
        <w:rPr>
          <w:rFonts w:ascii="Verdana" w:eastAsiaTheme="minorHAnsi" w:hAnsi="Verdana" w:cs="URWBookmanL-Ligh"/>
          <w:color w:val="00000A"/>
          <w:sz w:val="20"/>
          <w:szCs w:val="20"/>
          <w:lang w:val="es-CR"/>
        </w:rPr>
        <w:t xml:space="preserve">por lo que el Estado pretende </w:t>
      </w:r>
      <w:r w:rsidRPr="00012F57">
        <w:rPr>
          <w:rFonts w:ascii="Verdana" w:eastAsiaTheme="minorHAnsi" w:hAnsi="Verdana" w:cs="URWBookmanL-Ligh"/>
          <w:color w:val="00000A"/>
          <w:sz w:val="20"/>
          <w:szCs w:val="20"/>
          <w:lang w:val="es-CR"/>
        </w:rPr>
        <w:t>“desconocer los actos firmes del mismo e ignorar los derechos ancestrales, titulares y convencionales de los Garífunas de Punta Piedra, [lo cual] representa un retroceso inaceptable”.</w:t>
      </w:r>
    </w:p>
    <w:p w14:paraId="0C704AA8" w14:textId="6D39E905"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lastRenderedPageBreak/>
        <w:t xml:space="preserve">El </w:t>
      </w:r>
      <w:r w:rsidRPr="000955FE">
        <w:rPr>
          <w:rFonts w:ascii="Verdana" w:hAnsi="Verdana"/>
          <w:b/>
          <w:i/>
          <w:sz w:val="20"/>
          <w:szCs w:val="20"/>
        </w:rPr>
        <w:t>Estado</w:t>
      </w:r>
      <w:r w:rsidRPr="000955FE">
        <w:rPr>
          <w:rFonts w:ascii="Verdana" w:hAnsi="Verdana"/>
          <w:sz w:val="20"/>
          <w:szCs w:val="20"/>
        </w:rPr>
        <w:t xml:space="preserve"> reconoció que hacía falta garantizar la posesión pacífica de los territorios de las comunidades indígenas por medio del saneamiento y que por ello, de conformidad con la legislación hondureña, tiene la obligación de sanear el área ocupada por los pobladores de la Aldea Río Miel</w:t>
      </w:r>
      <w:r w:rsidR="008D0A8B">
        <w:rPr>
          <w:rFonts w:ascii="Verdana" w:hAnsi="Verdana"/>
          <w:sz w:val="20"/>
          <w:szCs w:val="20"/>
        </w:rPr>
        <w:t>. E</w:t>
      </w:r>
      <w:r w:rsidRPr="000955FE">
        <w:rPr>
          <w:rFonts w:ascii="Verdana" w:hAnsi="Verdana"/>
          <w:sz w:val="20"/>
          <w:szCs w:val="20"/>
        </w:rPr>
        <w:t>l Estado indicó que ha tratado de sanear el título otorgado a la Comunidad Garífuna de Punta Piedra, para lo cual ha consensuado en dos ocasiones el valor de las mejoras a pagar a los pobladores de Río Miel</w:t>
      </w:r>
      <w:r w:rsidR="008D0A8B">
        <w:rPr>
          <w:rFonts w:ascii="Verdana" w:hAnsi="Verdana"/>
          <w:sz w:val="20"/>
          <w:szCs w:val="20"/>
        </w:rPr>
        <w:t xml:space="preserve">. </w:t>
      </w:r>
      <w:r w:rsidRPr="000955FE">
        <w:rPr>
          <w:rFonts w:ascii="Verdana" w:hAnsi="Verdana"/>
          <w:sz w:val="20"/>
          <w:szCs w:val="20"/>
        </w:rPr>
        <w:t xml:space="preserve">Al respecto, señaló que actualmente desconoce el valor de las mejoras que, a lo largo de más de 20 años de ocupación, han desarrollado en </w:t>
      </w:r>
      <w:r>
        <w:rPr>
          <w:rFonts w:ascii="Verdana" w:hAnsi="Verdana"/>
          <w:sz w:val="20"/>
          <w:szCs w:val="20"/>
        </w:rPr>
        <w:t>tales</w:t>
      </w:r>
      <w:r w:rsidRPr="000955FE">
        <w:rPr>
          <w:rFonts w:ascii="Verdana" w:hAnsi="Verdana"/>
          <w:sz w:val="20"/>
          <w:szCs w:val="20"/>
        </w:rPr>
        <w:t xml:space="preserve"> tierras los pobladores de Río Miel, pero que tiene previsto realizar nuevamente la actualización del avalúo de aquellas para poder proponerles el pago de las mismas, la compra de tierra en otro lugar para asentarlos en ellas y tratar de evitar la violencia que naturalmente se puede generar entre ambas comunidade</w:t>
      </w:r>
      <w:r w:rsidR="00E32C21" w:rsidRPr="00865E06">
        <w:rPr>
          <w:rFonts w:ascii="Verdana" w:hAnsi="Verdana"/>
          <w:sz w:val="20"/>
          <w:szCs w:val="20"/>
        </w:rPr>
        <w:t>s</w:t>
      </w:r>
      <w:r w:rsidRPr="000955FE">
        <w:rPr>
          <w:rFonts w:ascii="Verdana" w:hAnsi="Verdana"/>
          <w:sz w:val="20"/>
          <w:szCs w:val="20"/>
        </w:rPr>
        <w:t>. Posteriormente, en sus alegatos finales subrayó que el “Estado de Honduras cometió desafuero” al modificar el título otorgado en ampliación a la Comunidad, toda vez que esto constituyó una violación al derecho de ocupación de los pobladores de Río Miel y, por lo tanto, al derecho de que se les hubiera concedido en dominio pleno dicha tierra</w:t>
      </w:r>
      <w:r w:rsidR="00845068">
        <w:rPr>
          <w:rFonts w:ascii="Verdana" w:hAnsi="Verdana"/>
          <w:sz w:val="20"/>
          <w:szCs w:val="20"/>
        </w:rPr>
        <w:t>.</w:t>
      </w:r>
      <w:r w:rsidRPr="000955FE">
        <w:rPr>
          <w:rFonts w:ascii="Verdana" w:hAnsi="Verdana"/>
          <w:sz w:val="20"/>
          <w:szCs w:val="20"/>
        </w:rPr>
        <w:t xml:space="preserve"> </w:t>
      </w:r>
      <w:r w:rsidR="00E32C21">
        <w:rPr>
          <w:rFonts w:ascii="Verdana" w:hAnsi="Verdana"/>
          <w:sz w:val="20"/>
          <w:szCs w:val="20"/>
        </w:rPr>
        <w:t>En este sentido</w:t>
      </w:r>
      <w:r w:rsidRPr="000955FE">
        <w:rPr>
          <w:rFonts w:ascii="Verdana" w:hAnsi="Verdana"/>
          <w:sz w:val="20"/>
          <w:szCs w:val="20"/>
        </w:rPr>
        <w:t xml:space="preserve">, el Estado de Honduras insistió </w:t>
      </w:r>
      <w:r>
        <w:rPr>
          <w:rFonts w:ascii="Verdana" w:hAnsi="Verdana"/>
          <w:sz w:val="20"/>
          <w:szCs w:val="20"/>
        </w:rPr>
        <w:t xml:space="preserve">en que </w:t>
      </w:r>
      <w:r w:rsidRPr="000955FE">
        <w:rPr>
          <w:rFonts w:ascii="Verdana" w:hAnsi="Verdana"/>
          <w:sz w:val="20"/>
          <w:szCs w:val="20"/>
        </w:rPr>
        <w:t xml:space="preserve">no violó el derecho de propiedad de la Comunidad de Punta Piedra, ya que la tierra </w:t>
      </w:r>
      <w:r>
        <w:rPr>
          <w:rFonts w:ascii="Verdana" w:hAnsi="Verdana"/>
          <w:sz w:val="20"/>
          <w:szCs w:val="20"/>
        </w:rPr>
        <w:t>reclamada</w:t>
      </w:r>
      <w:r w:rsidRPr="000955FE">
        <w:rPr>
          <w:rFonts w:ascii="Verdana" w:hAnsi="Verdana"/>
          <w:sz w:val="20"/>
          <w:szCs w:val="20"/>
        </w:rPr>
        <w:t xml:space="preserve"> no </w:t>
      </w:r>
      <w:r>
        <w:rPr>
          <w:rFonts w:ascii="Verdana" w:hAnsi="Verdana"/>
          <w:sz w:val="20"/>
          <w:szCs w:val="20"/>
        </w:rPr>
        <w:t>estaba</w:t>
      </w:r>
      <w:r w:rsidRPr="000955FE">
        <w:rPr>
          <w:rFonts w:ascii="Verdana" w:hAnsi="Verdana"/>
          <w:sz w:val="20"/>
          <w:szCs w:val="20"/>
        </w:rPr>
        <w:t xml:space="preserve"> ocupada por ellos al momento de la titulación y </w:t>
      </w:r>
      <w:r w:rsidR="00E32C21">
        <w:rPr>
          <w:rFonts w:ascii="Verdana" w:hAnsi="Verdana"/>
          <w:sz w:val="20"/>
          <w:szCs w:val="20"/>
        </w:rPr>
        <w:t xml:space="preserve">en el </w:t>
      </w:r>
      <w:r w:rsidRPr="000955FE">
        <w:rPr>
          <w:rFonts w:ascii="Verdana" w:hAnsi="Verdana"/>
          <w:sz w:val="20"/>
          <w:szCs w:val="20"/>
        </w:rPr>
        <w:t xml:space="preserve">momento </w:t>
      </w:r>
      <w:r w:rsidR="00E32C21">
        <w:rPr>
          <w:rFonts w:ascii="Verdana" w:hAnsi="Verdana"/>
          <w:sz w:val="20"/>
          <w:szCs w:val="20"/>
        </w:rPr>
        <w:t xml:space="preserve">presente </w:t>
      </w:r>
      <w:r w:rsidRPr="000955FE">
        <w:rPr>
          <w:rFonts w:ascii="Verdana" w:hAnsi="Verdana"/>
          <w:sz w:val="20"/>
          <w:szCs w:val="20"/>
        </w:rPr>
        <w:t xml:space="preserve">tampoco </w:t>
      </w:r>
      <w:r>
        <w:rPr>
          <w:rFonts w:ascii="Verdana" w:hAnsi="Verdana"/>
          <w:sz w:val="20"/>
          <w:szCs w:val="20"/>
        </w:rPr>
        <w:t>se encuentra</w:t>
      </w:r>
      <w:r w:rsidRPr="000955FE">
        <w:rPr>
          <w:rFonts w:ascii="Verdana" w:hAnsi="Verdana"/>
          <w:sz w:val="20"/>
          <w:szCs w:val="20"/>
        </w:rPr>
        <w:t xml:space="preserve"> ocupada por ellos</w:t>
      </w:r>
      <w:r w:rsidR="00E32C21">
        <w:rPr>
          <w:rFonts w:ascii="Verdana" w:hAnsi="Verdana"/>
          <w:sz w:val="20"/>
          <w:szCs w:val="20"/>
        </w:rPr>
        <w:t xml:space="preserve"> y, por tanto, no tienen derecho a que la tierra que solicitan sea saneada. </w:t>
      </w:r>
    </w:p>
    <w:p w14:paraId="0C704AA9" w14:textId="77777777" w:rsidR="00F02DDD" w:rsidRPr="000955FE" w:rsidRDefault="00F02DDD" w:rsidP="00F02DDD">
      <w:pPr>
        <w:pStyle w:val="ListParagraph"/>
        <w:ind w:left="0"/>
        <w:jc w:val="both"/>
        <w:rPr>
          <w:rFonts w:ascii="Verdana" w:hAnsi="Verdana"/>
          <w:sz w:val="20"/>
          <w:szCs w:val="20"/>
          <w:lang w:val="es-CR"/>
        </w:rPr>
      </w:pPr>
    </w:p>
    <w:p w14:paraId="0C704AAA" w14:textId="77777777" w:rsidR="00F02DDD" w:rsidRPr="000955FE" w:rsidRDefault="00F02DDD" w:rsidP="00F02DDD">
      <w:pPr>
        <w:pStyle w:val="Heading2"/>
        <w:numPr>
          <w:ilvl w:val="0"/>
          <w:numId w:val="14"/>
        </w:numPr>
        <w:spacing w:before="0"/>
        <w:jc w:val="both"/>
        <w:rPr>
          <w:rFonts w:ascii="Verdana" w:hAnsi="Verdana"/>
          <w:i/>
          <w:color w:val="auto"/>
          <w:sz w:val="20"/>
          <w:szCs w:val="20"/>
        </w:rPr>
      </w:pPr>
      <w:bookmarkStart w:id="72" w:name="_Toc437247343"/>
      <w:r w:rsidRPr="000955FE">
        <w:rPr>
          <w:rFonts w:ascii="Verdana" w:hAnsi="Verdana"/>
          <w:i/>
          <w:color w:val="auto"/>
          <w:sz w:val="20"/>
          <w:szCs w:val="20"/>
        </w:rPr>
        <w:t>Consideraciones de la Corte</w:t>
      </w:r>
      <w:bookmarkEnd w:id="72"/>
    </w:p>
    <w:p w14:paraId="0C704AAB" w14:textId="77777777" w:rsidR="00F02DDD" w:rsidRPr="000955FE" w:rsidRDefault="00F02DDD" w:rsidP="00F02DDD">
      <w:pPr>
        <w:pStyle w:val="ListParagraph"/>
        <w:ind w:left="0"/>
        <w:jc w:val="both"/>
        <w:rPr>
          <w:rFonts w:ascii="Verdana" w:hAnsi="Verdana"/>
          <w:sz w:val="20"/>
          <w:szCs w:val="20"/>
          <w:lang w:val="es-CR"/>
        </w:rPr>
      </w:pPr>
    </w:p>
    <w:p w14:paraId="0C704AAC" w14:textId="37409CE4"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 xml:space="preserve">Primeramente, la Corte reitera que, como fue establecido en el apartado referente al reconocimiento parcial de responsabilidad del Estado, el mismo generó efectos jurídicos </w:t>
      </w:r>
      <w:r>
        <w:rPr>
          <w:rFonts w:ascii="Verdana" w:hAnsi="Verdana"/>
          <w:sz w:val="20"/>
          <w:szCs w:val="20"/>
        </w:rPr>
        <w:t>en relación con</w:t>
      </w:r>
      <w:r w:rsidRPr="000955FE">
        <w:rPr>
          <w:rFonts w:ascii="Verdana" w:hAnsi="Verdana"/>
          <w:sz w:val="20"/>
          <w:szCs w:val="20"/>
        </w:rPr>
        <w:t xml:space="preserve"> </w:t>
      </w:r>
      <w:r>
        <w:rPr>
          <w:rFonts w:ascii="Verdana" w:hAnsi="Verdana"/>
          <w:sz w:val="20"/>
          <w:szCs w:val="20"/>
        </w:rPr>
        <w:t xml:space="preserve">la violación del derecho a la propiedad, recogido en el </w:t>
      </w:r>
      <w:r w:rsidRPr="000955FE">
        <w:rPr>
          <w:rFonts w:ascii="Verdana" w:hAnsi="Verdana"/>
          <w:sz w:val="20"/>
          <w:szCs w:val="20"/>
        </w:rPr>
        <w:t>artículo 21 de la Convención</w:t>
      </w:r>
      <w:r w:rsidR="00307ECC">
        <w:rPr>
          <w:rFonts w:ascii="Verdana" w:hAnsi="Verdana"/>
          <w:sz w:val="20"/>
          <w:szCs w:val="20"/>
        </w:rPr>
        <w:t xml:space="preserve"> (</w:t>
      </w:r>
      <w:r w:rsidR="00307ECC" w:rsidRPr="008C0496">
        <w:rPr>
          <w:rFonts w:ascii="Verdana" w:hAnsi="Verdana"/>
          <w:i/>
          <w:sz w:val="20"/>
          <w:szCs w:val="20"/>
        </w:rPr>
        <w:t>supra</w:t>
      </w:r>
      <w:r w:rsidR="00307ECC">
        <w:rPr>
          <w:rFonts w:ascii="Verdana" w:hAnsi="Verdana"/>
          <w:sz w:val="20"/>
          <w:szCs w:val="20"/>
        </w:rPr>
        <w:t xml:space="preserve"> párr. 45)</w:t>
      </w:r>
      <w:r w:rsidRPr="000955FE">
        <w:rPr>
          <w:rFonts w:ascii="Verdana" w:hAnsi="Verdana"/>
          <w:sz w:val="20"/>
          <w:szCs w:val="20"/>
        </w:rPr>
        <w:t xml:space="preserve">. No obstante, en el presente capítulo, la Corte analizará los argumentos de las partes y de la Comisión, a fin de determinar el alcance de </w:t>
      </w:r>
      <w:r>
        <w:rPr>
          <w:rFonts w:ascii="Verdana" w:hAnsi="Verdana"/>
          <w:sz w:val="20"/>
          <w:szCs w:val="20"/>
        </w:rPr>
        <w:t>la misma</w:t>
      </w:r>
      <w:r w:rsidRPr="000955FE">
        <w:rPr>
          <w:rFonts w:ascii="Verdana" w:hAnsi="Verdana"/>
          <w:sz w:val="20"/>
          <w:szCs w:val="20"/>
        </w:rPr>
        <w:t xml:space="preserve">. Por su parte, la controversia respecto de los artículos 1.1 y 2 convencionales persiste, la cual será analizada, junto con sus alegatos en el apartado </w:t>
      </w:r>
      <w:r w:rsidRPr="00C83FD6">
        <w:rPr>
          <w:rFonts w:ascii="Verdana" w:hAnsi="Verdana"/>
          <w:sz w:val="20"/>
          <w:szCs w:val="20"/>
        </w:rPr>
        <w:t>correspondientes (</w:t>
      </w:r>
      <w:r w:rsidRPr="00C83FD6">
        <w:rPr>
          <w:rFonts w:ascii="Verdana" w:hAnsi="Verdana"/>
          <w:i/>
          <w:sz w:val="20"/>
          <w:szCs w:val="20"/>
        </w:rPr>
        <w:t>infra</w:t>
      </w:r>
      <w:r w:rsidRPr="00C83FD6">
        <w:rPr>
          <w:rFonts w:ascii="Verdana" w:hAnsi="Verdana"/>
          <w:sz w:val="20"/>
          <w:szCs w:val="20"/>
        </w:rPr>
        <w:t xml:space="preserve"> párr</w:t>
      </w:r>
      <w:r w:rsidR="003B56F9" w:rsidRPr="00C83FD6">
        <w:rPr>
          <w:rFonts w:ascii="Verdana" w:hAnsi="Verdana"/>
          <w:sz w:val="20"/>
          <w:szCs w:val="20"/>
        </w:rPr>
        <w:t>s. 20</w:t>
      </w:r>
      <w:r w:rsidR="0086236B" w:rsidRPr="00A0324F">
        <w:rPr>
          <w:rFonts w:ascii="Verdana" w:hAnsi="Verdana"/>
          <w:sz w:val="20"/>
          <w:szCs w:val="20"/>
        </w:rPr>
        <w:t>3</w:t>
      </w:r>
      <w:r w:rsidR="003B56F9" w:rsidRPr="00C83FD6">
        <w:rPr>
          <w:rFonts w:ascii="Verdana" w:hAnsi="Verdana"/>
          <w:sz w:val="20"/>
          <w:szCs w:val="20"/>
        </w:rPr>
        <w:t xml:space="preserve"> a 21</w:t>
      </w:r>
      <w:r w:rsidR="0086236B" w:rsidRPr="00A0324F">
        <w:rPr>
          <w:rFonts w:ascii="Verdana" w:hAnsi="Verdana"/>
          <w:sz w:val="20"/>
          <w:szCs w:val="20"/>
        </w:rPr>
        <w:t>1</w:t>
      </w:r>
      <w:r w:rsidRPr="00C83FD6">
        <w:rPr>
          <w:rFonts w:ascii="Verdana" w:hAnsi="Verdana"/>
          <w:sz w:val="20"/>
          <w:szCs w:val="20"/>
        </w:rPr>
        <w:t>).</w:t>
      </w:r>
      <w:r w:rsidRPr="000955FE">
        <w:rPr>
          <w:rFonts w:ascii="Verdana" w:hAnsi="Verdana"/>
          <w:sz w:val="20"/>
          <w:szCs w:val="20"/>
        </w:rPr>
        <w:t xml:space="preserve"> Además, de conformidad con lo establecido en la consideración previa (</w:t>
      </w:r>
      <w:r w:rsidRPr="000955FE">
        <w:rPr>
          <w:rFonts w:ascii="Verdana" w:hAnsi="Verdana"/>
          <w:i/>
          <w:sz w:val="20"/>
          <w:szCs w:val="20"/>
        </w:rPr>
        <w:t>supra</w:t>
      </w:r>
      <w:r w:rsidRPr="000955FE">
        <w:rPr>
          <w:rFonts w:ascii="Verdana" w:hAnsi="Verdana"/>
          <w:sz w:val="20"/>
          <w:szCs w:val="20"/>
        </w:rPr>
        <w:t xml:space="preserve"> párr. </w:t>
      </w:r>
      <w:r w:rsidR="00B85CAC">
        <w:rPr>
          <w:rFonts w:ascii="Verdana" w:hAnsi="Verdana"/>
          <w:sz w:val="20"/>
          <w:szCs w:val="20"/>
        </w:rPr>
        <w:t>56</w:t>
      </w:r>
      <w:r w:rsidRPr="000955FE">
        <w:rPr>
          <w:rFonts w:ascii="Verdana" w:hAnsi="Verdana"/>
          <w:sz w:val="20"/>
          <w:szCs w:val="20"/>
        </w:rPr>
        <w:t>) y hechos probados (</w:t>
      </w:r>
      <w:r w:rsidRPr="000955FE">
        <w:rPr>
          <w:rFonts w:ascii="Verdana" w:hAnsi="Verdana"/>
          <w:i/>
          <w:sz w:val="20"/>
          <w:szCs w:val="20"/>
        </w:rPr>
        <w:t>supra</w:t>
      </w:r>
      <w:r w:rsidRPr="000955FE">
        <w:rPr>
          <w:rFonts w:ascii="Verdana" w:hAnsi="Verdana"/>
          <w:sz w:val="20"/>
          <w:szCs w:val="20"/>
        </w:rPr>
        <w:t xml:space="preserve"> párr. </w:t>
      </w:r>
      <w:r w:rsidR="009E6988">
        <w:rPr>
          <w:rFonts w:ascii="Verdana" w:hAnsi="Verdana"/>
          <w:sz w:val="20"/>
          <w:szCs w:val="20"/>
        </w:rPr>
        <w:t>9</w:t>
      </w:r>
      <w:r w:rsidR="00344C76">
        <w:rPr>
          <w:rFonts w:ascii="Verdana" w:hAnsi="Verdana"/>
          <w:sz w:val="20"/>
          <w:szCs w:val="20"/>
        </w:rPr>
        <w:t>1</w:t>
      </w:r>
      <w:r w:rsidRPr="000955FE">
        <w:rPr>
          <w:rFonts w:ascii="Verdana" w:hAnsi="Verdana"/>
          <w:sz w:val="20"/>
          <w:szCs w:val="20"/>
        </w:rPr>
        <w:t xml:space="preserve">), los estándares relativos a los derechos indígenas y tribales le son aplicables a la Comunidad Garífuna de Punta Piedra.   </w:t>
      </w:r>
    </w:p>
    <w:p w14:paraId="0C704AAD" w14:textId="77777777" w:rsidR="00F02DDD" w:rsidRPr="000955FE" w:rsidRDefault="00F02DDD" w:rsidP="00F02DDD">
      <w:pPr>
        <w:pStyle w:val="ListParagraph"/>
        <w:ind w:left="0"/>
        <w:jc w:val="both"/>
        <w:rPr>
          <w:rFonts w:ascii="Verdana" w:hAnsi="Verdana"/>
          <w:sz w:val="20"/>
          <w:szCs w:val="20"/>
          <w:lang w:val="es-CR"/>
        </w:rPr>
      </w:pPr>
    </w:p>
    <w:p w14:paraId="0C704AAE" w14:textId="2B501167"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 xml:space="preserve">Asimismo, en vista de la posición de las partes y la Comisión, se establecen </w:t>
      </w:r>
      <w:r w:rsidR="00110EFA">
        <w:rPr>
          <w:rFonts w:ascii="Verdana" w:hAnsi="Verdana"/>
          <w:sz w:val="20"/>
          <w:szCs w:val="20"/>
        </w:rPr>
        <w:t>tres</w:t>
      </w:r>
      <w:r w:rsidRPr="000955FE">
        <w:rPr>
          <w:rFonts w:ascii="Verdana" w:hAnsi="Verdana"/>
          <w:sz w:val="20"/>
          <w:szCs w:val="20"/>
        </w:rPr>
        <w:t xml:space="preserve">  controversias principales. La primera consiste en determinar el alcance de la obligación del Estado en garantizar el uso y goce de la propiedad </w:t>
      </w:r>
      <w:r>
        <w:rPr>
          <w:rFonts w:ascii="Verdana" w:hAnsi="Verdana"/>
          <w:sz w:val="20"/>
          <w:szCs w:val="20"/>
        </w:rPr>
        <w:t xml:space="preserve">titulada a favor </w:t>
      </w:r>
      <w:r w:rsidRPr="000955FE">
        <w:rPr>
          <w:rFonts w:ascii="Verdana" w:hAnsi="Verdana"/>
          <w:sz w:val="20"/>
          <w:szCs w:val="20"/>
        </w:rPr>
        <w:t>de la Comunidad Garífuna de Punta Piedra</w:t>
      </w:r>
      <w:r>
        <w:rPr>
          <w:rFonts w:ascii="Verdana" w:hAnsi="Verdana"/>
          <w:sz w:val="20"/>
          <w:szCs w:val="20"/>
        </w:rPr>
        <w:t xml:space="preserve"> frente a terceros</w:t>
      </w:r>
      <w:r w:rsidRPr="000955FE">
        <w:rPr>
          <w:rFonts w:ascii="Verdana" w:hAnsi="Verdana"/>
          <w:sz w:val="20"/>
          <w:szCs w:val="20"/>
        </w:rPr>
        <w:t xml:space="preserve">, con motivo de la </w:t>
      </w:r>
      <w:r>
        <w:rPr>
          <w:rFonts w:ascii="Verdana" w:hAnsi="Verdana"/>
          <w:sz w:val="20"/>
          <w:szCs w:val="20"/>
        </w:rPr>
        <w:t>alegada falta de posesión pacífica de su</w:t>
      </w:r>
      <w:r w:rsidRPr="000955FE">
        <w:rPr>
          <w:rFonts w:ascii="Verdana" w:hAnsi="Verdana"/>
          <w:sz w:val="20"/>
          <w:szCs w:val="20"/>
        </w:rPr>
        <w:t xml:space="preserve"> territorio</w:t>
      </w:r>
      <w:r>
        <w:rPr>
          <w:rFonts w:ascii="Verdana" w:hAnsi="Verdana"/>
          <w:sz w:val="20"/>
          <w:szCs w:val="20"/>
        </w:rPr>
        <w:t xml:space="preserve"> tradicional;</w:t>
      </w:r>
      <w:r w:rsidR="00DF5A12">
        <w:rPr>
          <w:rFonts w:ascii="Verdana" w:hAnsi="Verdana"/>
          <w:sz w:val="20"/>
          <w:szCs w:val="20"/>
        </w:rPr>
        <w:t xml:space="preserve"> </w:t>
      </w:r>
      <w:r w:rsidRPr="000955FE">
        <w:rPr>
          <w:rFonts w:ascii="Verdana" w:hAnsi="Verdana"/>
          <w:sz w:val="20"/>
          <w:szCs w:val="20"/>
        </w:rPr>
        <w:t>la segunda, respecto de la compatibilidad de la legislación interna aplicable con la Convención Americana</w:t>
      </w:r>
      <w:r w:rsidR="00DF5A12">
        <w:rPr>
          <w:rFonts w:ascii="Verdana" w:hAnsi="Verdana"/>
          <w:sz w:val="20"/>
          <w:szCs w:val="20"/>
        </w:rPr>
        <w:t xml:space="preserve">, y </w:t>
      </w:r>
      <w:r w:rsidR="00110EFA">
        <w:rPr>
          <w:rFonts w:ascii="Verdana" w:hAnsi="Verdana"/>
          <w:sz w:val="20"/>
          <w:szCs w:val="20"/>
        </w:rPr>
        <w:t>la tercera</w:t>
      </w:r>
      <w:r w:rsidR="00DF5A12">
        <w:rPr>
          <w:rFonts w:ascii="Verdana" w:hAnsi="Verdana"/>
          <w:sz w:val="20"/>
          <w:szCs w:val="20"/>
        </w:rPr>
        <w:t>, respecto del momento en que se actualiza el derecho a la consulta previa.</w:t>
      </w:r>
      <w:r w:rsidRPr="000955FE">
        <w:rPr>
          <w:rFonts w:ascii="Verdana" w:hAnsi="Verdana"/>
          <w:sz w:val="20"/>
          <w:szCs w:val="20"/>
        </w:rPr>
        <w:t xml:space="preserve"> </w:t>
      </w:r>
      <w:r>
        <w:rPr>
          <w:rFonts w:ascii="Verdana" w:hAnsi="Verdana"/>
          <w:sz w:val="20"/>
          <w:szCs w:val="20"/>
        </w:rPr>
        <w:t>Cabe hacer notar, que en este caso la Comisión no presentó como hecho relevante la situación de los habitantes de Río Miel, como una población establecida en el territorio, lo cual este Tribunal tendrá en cuenta al momento de abordar una solución al presente caso.</w:t>
      </w:r>
    </w:p>
    <w:p w14:paraId="0C704AAF" w14:textId="77777777" w:rsidR="00F02DDD" w:rsidRPr="000955FE" w:rsidRDefault="00F02DDD" w:rsidP="00F02DDD">
      <w:pPr>
        <w:pStyle w:val="ListParagraph"/>
        <w:rPr>
          <w:rFonts w:ascii="Verdana" w:hAnsi="Verdana"/>
          <w:sz w:val="20"/>
          <w:szCs w:val="20"/>
        </w:rPr>
      </w:pPr>
    </w:p>
    <w:p w14:paraId="0C704AB0" w14:textId="7BFCBD51"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En este sentido, la Corte analizará dicha</w:t>
      </w:r>
      <w:r>
        <w:rPr>
          <w:rFonts w:ascii="Verdana" w:hAnsi="Verdana"/>
          <w:sz w:val="20"/>
          <w:szCs w:val="20"/>
        </w:rPr>
        <w:t>s</w:t>
      </w:r>
      <w:r w:rsidRPr="000955FE">
        <w:rPr>
          <w:rFonts w:ascii="Verdana" w:hAnsi="Verdana"/>
          <w:sz w:val="20"/>
          <w:szCs w:val="20"/>
        </w:rPr>
        <w:t xml:space="preserve"> controversia</w:t>
      </w:r>
      <w:r>
        <w:rPr>
          <w:rFonts w:ascii="Verdana" w:hAnsi="Verdana"/>
          <w:sz w:val="20"/>
          <w:szCs w:val="20"/>
        </w:rPr>
        <w:t>s</w:t>
      </w:r>
      <w:r w:rsidRPr="000955FE">
        <w:rPr>
          <w:rFonts w:ascii="Verdana" w:hAnsi="Verdana"/>
          <w:sz w:val="20"/>
          <w:szCs w:val="20"/>
        </w:rPr>
        <w:t xml:space="preserve"> en los siguientes apartados: a) el derecho a la propiedad colectiva indígena y tribal; b) </w:t>
      </w:r>
      <w:r>
        <w:rPr>
          <w:rFonts w:ascii="Verdana" w:hAnsi="Verdana"/>
          <w:sz w:val="20"/>
          <w:szCs w:val="20"/>
        </w:rPr>
        <w:t>la</w:t>
      </w:r>
      <w:r w:rsidRPr="000955FE">
        <w:rPr>
          <w:rFonts w:ascii="Verdana" w:hAnsi="Verdana"/>
          <w:sz w:val="20"/>
          <w:szCs w:val="20"/>
        </w:rPr>
        <w:t xml:space="preserve"> garantía de</w:t>
      </w:r>
      <w:r w:rsidR="00B85CAC">
        <w:rPr>
          <w:rFonts w:ascii="Verdana" w:hAnsi="Verdana"/>
          <w:sz w:val="20"/>
          <w:szCs w:val="20"/>
        </w:rPr>
        <w:t>l</w:t>
      </w:r>
      <w:r w:rsidRPr="000955FE">
        <w:rPr>
          <w:rFonts w:ascii="Verdana" w:hAnsi="Verdana"/>
          <w:sz w:val="20"/>
          <w:szCs w:val="20"/>
        </w:rPr>
        <w:t xml:space="preserve"> uso y goce </w:t>
      </w:r>
      <w:r>
        <w:rPr>
          <w:rFonts w:ascii="Verdana" w:hAnsi="Verdana"/>
          <w:sz w:val="20"/>
          <w:szCs w:val="20"/>
        </w:rPr>
        <w:t xml:space="preserve">de </w:t>
      </w:r>
      <w:r w:rsidRPr="000955FE">
        <w:rPr>
          <w:rFonts w:ascii="Verdana" w:hAnsi="Verdana"/>
          <w:sz w:val="20"/>
          <w:szCs w:val="20"/>
        </w:rPr>
        <w:t>la propiedad</w:t>
      </w:r>
      <w:r>
        <w:rPr>
          <w:rFonts w:ascii="Verdana" w:hAnsi="Verdana"/>
          <w:sz w:val="20"/>
          <w:szCs w:val="20"/>
        </w:rPr>
        <w:t xml:space="preserve"> colectiva y la ausencia de saneamiento del territorio garífuna; c) la regulación de Honduras relativa a la propiedad, y d) la obligación de garantizar  el derecho a la  consulta e identidad cultural. </w:t>
      </w:r>
    </w:p>
    <w:p w14:paraId="0C704AB1" w14:textId="77777777" w:rsidR="00F02DDD" w:rsidRPr="00A71698" w:rsidRDefault="00F02DDD" w:rsidP="00F02DDD">
      <w:pPr>
        <w:rPr>
          <w:rFonts w:ascii="Verdana" w:hAnsi="Verdana"/>
          <w:sz w:val="20"/>
          <w:szCs w:val="20"/>
          <w:lang w:val="es-CR"/>
        </w:rPr>
      </w:pPr>
    </w:p>
    <w:p w14:paraId="0C704AB2" w14:textId="77777777" w:rsidR="00F02DDD" w:rsidRPr="000955FE" w:rsidRDefault="00F02DDD" w:rsidP="00F02DDD">
      <w:pPr>
        <w:pStyle w:val="Heading3"/>
        <w:spacing w:before="0"/>
        <w:ind w:left="705"/>
        <w:jc w:val="both"/>
        <w:rPr>
          <w:rFonts w:ascii="Verdana" w:hAnsi="Verdana"/>
          <w:i/>
          <w:color w:val="auto"/>
          <w:sz w:val="20"/>
          <w:szCs w:val="20"/>
          <w:lang w:val="es-CR"/>
        </w:rPr>
      </w:pPr>
      <w:bookmarkStart w:id="73" w:name="_Toc437247344"/>
      <w:r w:rsidRPr="000955FE">
        <w:rPr>
          <w:rFonts w:ascii="Verdana" w:hAnsi="Verdana"/>
          <w:i/>
          <w:color w:val="auto"/>
          <w:sz w:val="20"/>
          <w:szCs w:val="20"/>
          <w:lang w:val="es-CR"/>
        </w:rPr>
        <w:lastRenderedPageBreak/>
        <w:t>B.1 El derecho a la propiedad colectiva indígena y tribal</w:t>
      </w:r>
      <w:bookmarkEnd w:id="73"/>
    </w:p>
    <w:p w14:paraId="0C704AB3" w14:textId="77777777" w:rsidR="00F02DDD" w:rsidRPr="000955FE" w:rsidRDefault="00F02DDD" w:rsidP="00F02DDD">
      <w:pPr>
        <w:rPr>
          <w:rFonts w:ascii="Verdana" w:hAnsi="Verdana"/>
          <w:sz w:val="20"/>
          <w:szCs w:val="20"/>
          <w:lang w:val="es-CR"/>
        </w:rPr>
      </w:pPr>
    </w:p>
    <w:p w14:paraId="0C704AB4" w14:textId="16B41A24" w:rsidR="00F02DDD" w:rsidRPr="000955FE" w:rsidRDefault="00F02DDD" w:rsidP="00F02DDD">
      <w:pPr>
        <w:pStyle w:val="ListParagraph"/>
        <w:numPr>
          <w:ilvl w:val="0"/>
          <w:numId w:val="17"/>
        </w:numPr>
        <w:ind w:left="0" w:hanging="11"/>
        <w:jc w:val="both"/>
        <w:rPr>
          <w:rFonts w:ascii="Verdana" w:hAnsi="Verdana"/>
          <w:sz w:val="20"/>
          <w:szCs w:val="20"/>
          <w:lang w:val="es-CR"/>
        </w:rPr>
      </w:pPr>
      <w:r>
        <w:rPr>
          <w:rFonts w:ascii="Verdana" w:hAnsi="Verdana"/>
          <w:sz w:val="20"/>
          <w:szCs w:val="20"/>
        </w:rPr>
        <w:t xml:space="preserve">La Corte recuerda su jurisprudencia en la materia, en el sentido </w:t>
      </w:r>
      <w:r w:rsidR="006F518C">
        <w:rPr>
          <w:rFonts w:ascii="Verdana" w:hAnsi="Verdana"/>
          <w:sz w:val="20"/>
          <w:szCs w:val="20"/>
        </w:rPr>
        <w:t xml:space="preserve">de </w:t>
      </w:r>
      <w:r>
        <w:rPr>
          <w:rFonts w:ascii="Verdana" w:hAnsi="Verdana"/>
          <w:sz w:val="20"/>
          <w:szCs w:val="20"/>
        </w:rPr>
        <w:t>que e</w:t>
      </w:r>
      <w:r w:rsidRPr="000955FE">
        <w:rPr>
          <w:rFonts w:ascii="Verdana" w:hAnsi="Verdana"/>
          <w:sz w:val="20"/>
          <w:szCs w:val="20"/>
        </w:rPr>
        <w:t>l artículo 21 de la Convención Americana protege la estrecha vinculación que los pueblos indígenas guardan con sus tierras, así como con los recursos naturales de las mismas y los elementos incorporales que se desprend</w:t>
      </w:r>
      <w:r w:rsidR="00E8691F">
        <w:rPr>
          <w:rFonts w:ascii="Verdana" w:hAnsi="Verdana"/>
          <w:sz w:val="20"/>
          <w:szCs w:val="20"/>
        </w:rPr>
        <w:t>e</w:t>
      </w:r>
      <w:r w:rsidRPr="000955FE">
        <w:rPr>
          <w:rFonts w:ascii="Verdana" w:hAnsi="Verdana"/>
          <w:sz w:val="20"/>
          <w:szCs w:val="20"/>
        </w:rPr>
        <w:t>n de ellos. Entre los pueblos indígenas existe una tradición comunitaria sobre</w:t>
      </w:r>
      <w:r>
        <w:rPr>
          <w:rFonts w:ascii="Verdana" w:hAnsi="Verdana"/>
          <w:sz w:val="20"/>
          <w:szCs w:val="20"/>
        </w:rPr>
        <w:t xml:space="preserve"> </w:t>
      </w:r>
      <w:r w:rsidRPr="000955FE">
        <w:rPr>
          <w:rFonts w:ascii="Verdana" w:hAnsi="Verdana"/>
          <w:sz w:val="20"/>
          <w:szCs w:val="20"/>
        </w:rPr>
        <w:t xml:space="preserve">la propiedad colectiva de la tierra, en el sentido de que la pertenencia </w:t>
      </w:r>
      <w:r>
        <w:rPr>
          <w:rFonts w:ascii="Verdana" w:hAnsi="Verdana"/>
          <w:sz w:val="20"/>
          <w:szCs w:val="20"/>
        </w:rPr>
        <w:t xml:space="preserve">a </w:t>
      </w:r>
      <w:r w:rsidR="00E8691F">
        <w:rPr>
          <w:rFonts w:ascii="Verdana" w:hAnsi="Verdana"/>
          <w:sz w:val="20"/>
          <w:szCs w:val="20"/>
        </w:rPr>
        <w:t>e</w:t>
      </w:r>
      <w:r w:rsidRPr="000955FE">
        <w:rPr>
          <w:rFonts w:ascii="Verdana" w:hAnsi="Verdana"/>
          <w:sz w:val="20"/>
          <w:szCs w:val="20"/>
        </w:rPr>
        <w:t>sta no se centra en un individuo sino en el grupo y su comunidad</w:t>
      </w:r>
      <w:r w:rsidRPr="000955FE">
        <w:rPr>
          <w:rFonts w:ascii="Verdana" w:hAnsi="Verdana"/>
          <w:sz w:val="20"/>
          <w:szCs w:val="20"/>
          <w:vertAlign w:val="superscript"/>
        </w:rPr>
        <w:footnoteReference w:id="200"/>
      </w:r>
      <w:r w:rsidRPr="000955FE">
        <w:rPr>
          <w:rFonts w:ascii="Verdana" w:hAnsi="Verdana"/>
          <w:sz w:val="20"/>
          <w:szCs w:val="20"/>
        </w:rPr>
        <w:t xml:space="preserve">. Tales nociones del dominio y de la posesión sobre las tierras no necesariamente corresponden a la concepción clásica de propiedad, pero la Corte ha establecido que merecen igual protección del artículo 21 de la Convención Americana. Desconocer las versiones específicas del </w:t>
      </w:r>
      <w:r>
        <w:rPr>
          <w:rFonts w:ascii="Verdana" w:hAnsi="Verdana"/>
          <w:sz w:val="20"/>
          <w:szCs w:val="20"/>
        </w:rPr>
        <w:t xml:space="preserve">ejercicio del </w:t>
      </w:r>
      <w:r w:rsidRPr="000955FE">
        <w:rPr>
          <w:rFonts w:ascii="Verdana" w:hAnsi="Verdana"/>
          <w:sz w:val="20"/>
          <w:szCs w:val="20"/>
        </w:rPr>
        <w:t xml:space="preserve">derecho al uso y goce de los bienes </w:t>
      </w:r>
      <w:proofErr w:type="gramStart"/>
      <w:r w:rsidRPr="000955FE">
        <w:rPr>
          <w:rFonts w:ascii="Verdana" w:hAnsi="Verdana"/>
          <w:sz w:val="20"/>
          <w:szCs w:val="20"/>
        </w:rPr>
        <w:t>dadas</w:t>
      </w:r>
      <w:proofErr w:type="gramEnd"/>
      <w:r w:rsidRPr="000955FE">
        <w:rPr>
          <w:rFonts w:ascii="Verdana" w:hAnsi="Verdana"/>
          <w:sz w:val="20"/>
          <w:szCs w:val="20"/>
        </w:rPr>
        <w:t xml:space="preserve"> por la cultura, usos, costumbres y creencias de cada pueblo, equivaldría a sostener que solamente existe una forma de usar y disponer de los bienes, lo que a su vez significaría hacer ilusoria la protección de tal disposición </w:t>
      </w:r>
      <w:r w:rsidR="00E8691F">
        <w:rPr>
          <w:rFonts w:ascii="Verdana" w:hAnsi="Verdana"/>
          <w:sz w:val="20"/>
          <w:szCs w:val="20"/>
        </w:rPr>
        <w:t xml:space="preserve">para </w:t>
      </w:r>
      <w:r>
        <w:rPr>
          <w:rFonts w:ascii="Verdana" w:hAnsi="Verdana"/>
          <w:sz w:val="20"/>
          <w:szCs w:val="20"/>
        </w:rPr>
        <w:t>estos colectivos</w:t>
      </w:r>
      <w:r w:rsidRPr="000955FE">
        <w:rPr>
          <w:rFonts w:ascii="Verdana" w:hAnsi="Verdana"/>
          <w:sz w:val="20"/>
          <w:szCs w:val="20"/>
          <w:vertAlign w:val="superscript"/>
        </w:rPr>
        <w:footnoteReference w:id="201"/>
      </w:r>
      <w:r w:rsidRPr="000955FE">
        <w:rPr>
          <w:rFonts w:ascii="Verdana" w:hAnsi="Verdana"/>
          <w:sz w:val="20"/>
          <w:szCs w:val="20"/>
        </w:rPr>
        <w:t xml:space="preserve">.  </w:t>
      </w:r>
    </w:p>
    <w:p w14:paraId="0C704AB5" w14:textId="77777777" w:rsidR="00F02DDD" w:rsidRPr="000955FE" w:rsidRDefault="00F02DDD" w:rsidP="00F02DDD">
      <w:pPr>
        <w:pStyle w:val="ListParagraph"/>
        <w:ind w:left="0"/>
        <w:jc w:val="both"/>
        <w:rPr>
          <w:rFonts w:ascii="Verdana" w:hAnsi="Verdana"/>
          <w:sz w:val="20"/>
          <w:szCs w:val="20"/>
          <w:lang w:val="es-CR"/>
        </w:rPr>
      </w:pPr>
    </w:p>
    <w:p w14:paraId="0C704AB6" w14:textId="165B9559" w:rsidR="00F02DDD" w:rsidRPr="00CA1A2D" w:rsidRDefault="00F02DDD" w:rsidP="00F02DDD">
      <w:pPr>
        <w:pStyle w:val="ListParagraph"/>
        <w:numPr>
          <w:ilvl w:val="0"/>
          <w:numId w:val="17"/>
        </w:numPr>
        <w:ind w:left="0" w:hanging="11"/>
        <w:jc w:val="both"/>
        <w:rPr>
          <w:rFonts w:ascii="Verdana" w:hAnsi="Verdana"/>
          <w:sz w:val="20"/>
          <w:szCs w:val="20"/>
          <w:lang w:val="es-CR"/>
        </w:rPr>
      </w:pPr>
      <w:r w:rsidRPr="00393C85">
        <w:rPr>
          <w:rFonts w:ascii="Verdana" w:hAnsi="Verdana"/>
          <w:sz w:val="20"/>
          <w:szCs w:val="20"/>
        </w:rPr>
        <w:t>La Corte ha tenido en cuenta que los indígenas por el hecho de su propia existencia tienen derecho a vivir libremente en sus territorios;</w:t>
      </w:r>
      <w:r w:rsidRPr="007926DD">
        <w:rPr>
          <w:rFonts w:ascii="Verdana" w:hAnsi="Verdana"/>
          <w:sz w:val="20"/>
          <w:szCs w:val="20"/>
        </w:rPr>
        <w:t xml:space="preserve"> la</w:t>
      </w:r>
      <w:r w:rsidRPr="000955FE">
        <w:rPr>
          <w:rFonts w:ascii="Verdana" w:hAnsi="Verdana"/>
          <w:sz w:val="20"/>
          <w:szCs w:val="20"/>
        </w:rPr>
        <w:t xml:space="preserve"> estrecha relación que los indígenas mantienen con la tierra debe de ser reconocida y comprendida como la base fundamental de sus culturas, su vida espiritual, su integridad y su sistema económico</w:t>
      </w:r>
      <w:r>
        <w:rPr>
          <w:rFonts w:ascii="Verdana" w:hAnsi="Verdana"/>
          <w:sz w:val="20"/>
          <w:szCs w:val="20"/>
        </w:rPr>
        <w:t>.</w:t>
      </w:r>
      <w:r w:rsidRPr="000955FE">
        <w:rPr>
          <w:rFonts w:ascii="Verdana" w:hAnsi="Verdana"/>
          <w:sz w:val="20"/>
          <w:szCs w:val="20"/>
        </w:rPr>
        <w:t xml:space="preserve"> Para las comunidades indígenas la relación con la tierra no es meramente una cuestión </w:t>
      </w:r>
      <w:r w:rsidRPr="00165858">
        <w:rPr>
          <w:rFonts w:ascii="Verdana" w:hAnsi="Verdana"/>
          <w:sz w:val="20"/>
          <w:szCs w:val="20"/>
        </w:rPr>
        <w:t>de posesión y producción</w:t>
      </w:r>
      <w:r w:rsidR="00E8691F">
        <w:rPr>
          <w:rFonts w:ascii="Verdana" w:hAnsi="Verdana"/>
          <w:sz w:val="20"/>
          <w:szCs w:val="20"/>
        </w:rPr>
        <w:t>,</w:t>
      </w:r>
      <w:r w:rsidRPr="00165858">
        <w:rPr>
          <w:rFonts w:ascii="Verdana" w:hAnsi="Verdana"/>
          <w:sz w:val="20"/>
          <w:szCs w:val="20"/>
        </w:rPr>
        <w:t xml:space="preserve"> sino un elemento material y espiritual del que deben gozar plenamente, inclusive para preservar su legado cultural y transmitirlo a las generaciones futuras</w:t>
      </w:r>
      <w:r w:rsidRPr="00165858">
        <w:rPr>
          <w:rFonts w:ascii="Verdana" w:hAnsi="Verdana"/>
          <w:sz w:val="20"/>
          <w:szCs w:val="20"/>
          <w:vertAlign w:val="superscript"/>
        </w:rPr>
        <w:footnoteReference w:id="202"/>
      </w:r>
      <w:r w:rsidRPr="00165858">
        <w:rPr>
          <w:rFonts w:ascii="Verdana" w:hAnsi="Verdana"/>
          <w:sz w:val="20"/>
          <w:szCs w:val="20"/>
        </w:rPr>
        <w:t>.</w:t>
      </w:r>
      <w:r w:rsidRPr="00BF5E31">
        <w:rPr>
          <w:rFonts w:ascii="Verdana" w:hAnsi="Verdana"/>
          <w:sz w:val="20"/>
          <w:szCs w:val="20"/>
        </w:rPr>
        <w:t xml:space="preserve"> </w:t>
      </w:r>
      <w:r>
        <w:rPr>
          <w:rFonts w:ascii="Verdana" w:hAnsi="Verdana"/>
          <w:sz w:val="20"/>
          <w:szCs w:val="20"/>
        </w:rPr>
        <w:t>“</w:t>
      </w:r>
      <w:r w:rsidRPr="00BF5E31">
        <w:rPr>
          <w:rFonts w:ascii="Verdana" w:hAnsi="Verdana"/>
          <w:sz w:val="20"/>
          <w:szCs w:val="20"/>
        </w:rPr>
        <w:t xml:space="preserve">La cultura de los miembros de las comunidades indígenas corresponde a una forma de vida particular de ser, ver y actuar en el mundo, constituido a partir de su estrecha relación con sus tierras tradicionales y recursos naturales, no sólo por ser estos su principal medio de subsistencia, sino </w:t>
      </w:r>
      <w:r w:rsidR="00E8691F">
        <w:rPr>
          <w:rFonts w:ascii="Verdana" w:hAnsi="Verdana"/>
          <w:sz w:val="20"/>
          <w:szCs w:val="20"/>
        </w:rPr>
        <w:t xml:space="preserve">además </w:t>
      </w:r>
      <w:r w:rsidRPr="00BF5E31">
        <w:rPr>
          <w:rFonts w:ascii="Verdana" w:hAnsi="Verdana"/>
          <w:sz w:val="20"/>
          <w:szCs w:val="20"/>
        </w:rPr>
        <w:t>porque constituyen un elemento integrante de su cosmovisión, religiosidad y, por ende, de su identidad cultural</w:t>
      </w:r>
      <w:r w:rsidR="00E8691F">
        <w:rPr>
          <w:rFonts w:ascii="Verdana" w:hAnsi="Verdana"/>
          <w:sz w:val="20"/>
          <w:szCs w:val="20"/>
        </w:rPr>
        <w:t>”</w:t>
      </w:r>
      <w:r w:rsidRPr="00165858">
        <w:rPr>
          <w:rFonts w:ascii="Verdana" w:hAnsi="Verdana"/>
          <w:sz w:val="20"/>
          <w:szCs w:val="20"/>
          <w:vertAlign w:val="superscript"/>
        </w:rPr>
        <w:footnoteReference w:id="203"/>
      </w:r>
      <w:r w:rsidRPr="00165858">
        <w:rPr>
          <w:rFonts w:ascii="Verdana" w:hAnsi="Verdana"/>
          <w:sz w:val="20"/>
          <w:szCs w:val="20"/>
        </w:rPr>
        <w:t>, por lo que la protección y garantía del derecho [al uso y goce de su territorio], es necesaria para garantizar [no sólo] su supervivencia</w:t>
      </w:r>
      <w:r>
        <w:rPr>
          <w:rFonts w:ascii="Verdana" w:hAnsi="Verdana"/>
          <w:sz w:val="20"/>
          <w:szCs w:val="20"/>
        </w:rPr>
        <w:t>”</w:t>
      </w:r>
      <w:r w:rsidRPr="00165858">
        <w:rPr>
          <w:rFonts w:ascii="Verdana" w:hAnsi="Verdana"/>
          <w:sz w:val="20"/>
          <w:szCs w:val="20"/>
          <w:vertAlign w:val="superscript"/>
        </w:rPr>
        <w:footnoteReference w:id="204"/>
      </w:r>
      <w:r w:rsidR="00DF5A12">
        <w:rPr>
          <w:rFonts w:ascii="Verdana" w:hAnsi="Verdana"/>
          <w:sz w:val="20"/>
          <w:szCs w:val="20"/>
        </w:rPr>
        <w:t>,</w:t>
      </w:r>
      <w:r w:rsidRPr="00165858">
        <w:rPr>
          <w:rFonts w:ascii="Verdana" w:hAnsi="Verdana"/>
          <w:sz w:val="20"/>
          <w:szCs w:val="20"/>
        </w:rPr>
        <w:t xml:space="preserve"> sino su </w:t>
      </w:r>
      <w:r>
        <w:rPr>
          <w:rFonts w:ascii="Verdana" w:hAnsi="Verdana"/>
          <w:sz w:val="20"/>
          <w:szCs w:val="20"/>
        </w:rPr>
        <w:t xml:space="preserve">desarrollo y </w:t>
      </w:r>
      <w:r w:rsidRPr="00165858">
        <w:rPr>
          <w:rFonts w:ascii="Verdana" w:hAnsi="Verdana"/>
          <w:sz w:val="20"/>
          <w:szCs w:val="20"/>
        </w:rPr>
        <w:t xml:space="preserve">evolución como Pueblo. </w:t>
      </w:r>
    </w:p>
    <w:p w14:paraId="0C704AB7" w14:textId="77777777" w:rsidR="00F02DDD" w:rsidRDefault="00F02DDD" w:rsidP="00F02DDD">
      <w:pPr>
        <w:pStyle w:val="ListParagraph"/>
        <w:ind w:left="0"/>
        <w:jc w:val="both"/>
        <w:rPr>
          <w:rFonts w:ascii="Verdana" w:hAnsi="Verdana"/>
          <w:sz w:val="20"/>
          <w:szCs w:val="20"/>
          <w:lang w:val="es-CR"/>
        </w:rPr>
      </w:pPr>
    </w:p>
    <w:p w14:paraId="0C704AB8" w14:textId="527D28A2" w:rsidR="00780CDD" w:rsidRPr="00EC1CDE" w:rsidRDefault="00780CDD" w:rsidP="00F06E2B">
      <w:pPr>
        <w:pStyle w:val="ListParagraph"/>
        <w:numPr>
          <w:ilvl w:val="0"/>
          <w:numId w:val="17"/>
        </w:numPr>
        <w:ind w:left="0" w:hanging="11"/>
        <w:jc w:val="both"/>
        <w:rPr>
          <w:rFonts w:ascii="Verdana" w:hAnsi="Verdana"/>
          <w:sz w:val="20"/>
          <w:szCs w:val="20"/>
          <w:lang w:val="es-CL"/>
        </w:rPr>
      </w:pPr>
      <w:r w:rsidRPr="00EC1CDE">
        <w:rPr>
          <w:rFonts w:ascii="Verdana" w:hAnsi="Verdana"/>
          <w:sz w:val="20"/>
          <w:szCs w:val="20"/>
        </w:rPr>
        <w:t>Debido a la conexión intrínseca que los</w:t>
      </w:r>
      <w:r w:rsidRPr="00EC1CDE">
        <w:rPr>
          <w:rFonts w:ascii="Verdana" w:hAnsi="Verdana"/>
          <w:b/>
          <w:sz w:val="20"/>
          <w:szCs w:val="20"/>
        </w:rPr>
        <w:t xml:space="preserve"> </w:t>
      </w:r>
      <w:r w:rsidRPr="00EC1CDE">
        <w:rPr>
          <w:rFonts w:ascii="Verdana" w:hAnsi="Verdana"/>
          <w:sz w:val="20"/>
          <w:szCs w:val="20"/>
        </w:rPr>
        <w:t>integrantes</w:t>
      </w:r>
      <w:r w:rsidRPr="00EC1CDE">
        <w:rPr>
          <w:rFonts w:ascii="Verdana" w:hAnsi="Verdana"/>
          <w:b/>
          <w:sz w:val="20"/>
          <w:szCs w:val="20"/>
        </w:rPr>
        <w:t xml:space="preserve"> </w:t>
      </w:r>
      <w:r w:rsidRPr="00EC1CDE">
        <w:rPr>
          <w:rFonts w:ascii="Verdana" w:hAnsi="Verdana"/>
          <w:sz w:val="20"/>
          <w:szCs w:val="20"/>
        </w:rPr>
        <w:t xml:space="preserve">de los pueblos indígenas y tribales tienen con su territorio, la protección del derecho a la propiedad, uso y goce sobre </w:t>
      </w:r>
      <w:r w:rsidR="00B36F2A">
        <w:rPr>
          <w:rFonts w:ascii="Verdana" w:hAnsi="Verdana"/>
          <w:sz w:val="20"/>
          <w:szCs w:val="20"/>
        </w:rPr>
        <w:t>e</w:t>
      </w:r>
      <w:r w:rsidRPr="00EC1CDE">
        <w:rPr>
          <w:rFonts w:ascii="Verdana" w:hAnsi="Verdana"/>
          <w:sz w:val="20"/>
          <w:szCs w:val="20"/>
        </w:rPr>
        <w:t xml:space="preserve">ste es necesaria para garantizar su supervivencia. Esta conexión entre el territorio y los recursos naturales que han usado tradicionalmente los pueblos indígenas y tribales y que son necesarios para su supervivencia física y cultural, así como el desarrollo y </w:t>
      </w:r>
      <w:r w:rsidR="009F3898">
        <w:rPr>
          <w:rFonts w:ascii="Verdana" w:hAnsi="Verdana"/>
          <w:sz w:val="20"/>
          <w:szCs w:val="20"/>
        </w:rPr>
        <w:t xml:space="preserve">la </w:t>
      </w:r>
      <w:r w:rsidRPr="00EC1CDE">
        <w:rPr>
          <w:rFonts w:ascii="Verdana" w:hAnsi="Verdana"/>
          <w:sz w:val="20"/>
          <w:szCs w:val="20"/>
        </w:rPr>
        <w:t xml:space="preserve">continuidad de su cosmovisión, es preciso protegerla bajo el </w:t>
      </w:r>
      <w:r w:rsidRPr="00EC1CDE">
        <w:rPr>
          <w:rFonts w:ascii="Verdana" w:hAnsi="Verdana"/>
          <w:sz w:val="20"/>
          <w:szCs w:val="20"/>
        </w:rPr>
        <w:lastRenderedPageBreak/>
        <w:t>artículo 21 de la Convención para garantizar que puedan continuar viviendo su modo de vida tradicional y que su identidad cultural, estructura social, sistema económico, costumbres, creencias y tradiciones distintivas serán respetadas, garantizadas y protegidas por los Estados</w:t>
      </w:r>
      <w:r w:rsidRPr="00777B50">
        <w:rPr>
          <w:rStyle w:val="FootnoteReference"/>
          <w:szCs w:val="20"/>
        </w:rPr>
        <w:footnoteReference w:id="205"/>
      </w:r>
      <w:r w:rsidRPr="00EC1CDE">
        <w:rPr>
          <w:rFonts w:ascii="Verdana" w:hAnsi="Verdana"/>
          <w:sz w:val="20"/>
          <w:szCs w:val="20"/>
        </w:rPr>
        <w:t>.</w:t>
      </w:r>
    </w:p>
    <w:p w14:paraId="0C704AB9" w14:textId="77777777" w:rsidR="00780CDD" w:rsidRPr="00F06E2B" w:rsidRDefault="00780CDD" w:rsidP="00F02DDD">
      <w:pPr>
        <w:pStyle w:val="ListParagraph"/>
        <w:ind w:left="0"/>
        <w:jc w:val="both"/>
        <w:rPr>
          <w:rFonts w:ascii="Verdana" w:hAnsi="Verdana"/>
          <w:sz w:val="20"/>
          <w:szCs w:val="20"/>
          <w:lang w:val="es-CL"/>
        </w:rPr>
      </w:pPr>
    </w:p>
    <w:p w14:paraId="0C704ABA" w14:textId="002CFD93" w:rsidR="00F02DDD" w:rsidRPr="005906E7" w:rsidRDefault="00F02DDD" w:rsidP="00F02DDD">
      <w:pPr>
        <w:pStyle w:val="ListParagraph"/>
        <w:numPr>
          <w:ilvl w:val="0"/>
          <w:numId w:val="17"/>
        </w:numPr>
        <w:ind w:left="0" w:hanging="11"/>
        <w:jc w:val="both"/>
        <w:rPr>
          <w:rFonts w:ascii="Verdana" w:hAnsi="Verdana"/>
          <w:sz w:val="20"/>
          <w:szCs w:val="20"/>
          <w:lang w:val="es-CR"/>
        </w:rPr>
      </w:pPr>
      <w:r>
        <w:rPr>
          <w:rFonts w:ascii="Verdana" w:eastAsiaTheme="minorHAnsi" w:hAnsi="Verdana"/>
          <w:sz w:val="20"/>
          <w:szCs w:val="20"/>
        </w:rPr>
        <w:t>L</w:t>
      </w:r>
      <w:r w:rsidRPr="000955FE">
        <w:rPr>
          <w:rFonts w:ascii="Verdana" w:eastAsiaTheme="minorHAnsi" w:hAnsi="Verdana"/>
          <w:sz w:val="20"/>
          <w:szCs w:val="20"/>
        </w:rPr>
        <w:t xml:space="preserve">a jurisprudencia </w:t>
      </w:r>
      <w:r>
        <w:rPr>
          <w:rFonts w:ascii="Verdana" w:eastAsiaTheme="minorHAnsi" w:hAnsi="Verdana"/>
          <w:sz w:val="20"/>
          <w:szCs w:val="20"/>
        </w:rPr>
        <w:t>de esta Corte</w:t>
      </w:r>
      <w:r w:rsidRPr="000955FE">
        <w:rPr>
          <w:rFonts w:ascii="Verdana" w:eastAsiaTheme="minorHAnsi" w:hAnsi="Verdana"/>
          <w:sz w:val="20"/>
          <w:szCs w:val="20"/>
        </w:rPr>
        <w:t xml:space="preserve"> ha reconocido reiteradamente el derecho de propiedad de los pueblos indígenas sobre sus territorios </w:t>
      </w:r>
      <w:r>
        <w:rPr>
          <w:rFonts w:ascii="Verdana" w:eastAsiaTheme="minorHAnsi" w:hAnsi="Verdana"/>
          <w:sz w:val="20"/>
          <w:szCs w:val="20"/>
        </w:rPr>
        <w:t>tradicionales</w:t>
      </w:r>
      <w:r w:rsidRPr="000955FE">
        <w:rPr>
          <w:rFonts w:ascii="Verdana" w:eastAsiaTheme="minorHAnsi" w:hAnsi="Verdana"/>
          <w:sz w:val="20"/>
          <w:szCs w:val="20"/>
        </w:rPr>
        <w:t>, y el deber de protección que emana del artículo 21 de la Convención Americana a la luz de las normas del Convenio 169 de la OIT</w:t>
      </w:r>
      <w:r w:rsidR="005F4A7E">
        <w:rPr>
          <w:rStyle w:val="FootnoteReference"/>
          <w:rFonts w:eastAsiaTheme="minorHAnsi"/>
          <w:szCs w:val="20"/>
        </w:rPr>
        <w:footnoteReference w:id="206"/>
      </w:r>
      <w:r w:rsidRPr="000955FE">
        <w:rPr>
          <w:rFonts w:ascii="Verdana" w:eastAsiaTheme="minorHAnsi" w:hAnsi="Verdana"/>
          <w:sz w:val="20"/>
          <w:szCs w:val="20"/>
        </w:rPr>
        <w:t xml:space="preserve">, la Declaración de las Naciones Unidas sobre los Derechos de los Pueblos </w:t>
      </w:r>
      <w:r>
        <w:rPr>
          <w:rFonts w:ascii="Verdana" w:eastAsiaTheme="minorHAnsi" w:hAnsi="Verdana"/>
          <w:sz w:val="20"/>
          <w:szCs w:val="20"/>
        </w:rPr>
        <w:t>I</w:t>
      </w:r>
      <w:r w:rsidRPr="000955FE">
        <w:rPr>
          <w:rFonts w:ascii="Verdana" w:eastAsiaTheme="minorHAnsi" w:hAnsi="Verdana"/>
          <w:sz w:val="20"/>
          <w:szCs w:val="20"/>
        </w:rPr>
        <w:t>ndígenas, así como los</w:t>
      </w:r>
      <w:r w:rsidRPr="000955FE">
        <w:rPr>
          <w:rFonts w:ascii="Verdana" w:hAnsi="Verdana"/>
          <w:sz w:val="20"/>
          <w:szCs w:val="20"/>
        </w:rPr>
        <w:t xml:space="preserve"> derechos reconocidos por </w:t>
      </w:r>
      <w:r>
        <w:rPr>
          <w:rFonts w:ascii="Verdana" w:hAnsi="Verdana"/>
          <w:sz w:val="20"/>
          <w:szCs w:val="20"/>
        </w:rPr>
        <w:t>los</w:t>
      </w:r>
      <w:r w:rsidRPr="000955FE">
        <w:rPr>
          <w:rFonts w:ascii="Verdana" w:hAnsi="Verdana"/>
          <w:sz w:val="20"/>
          <w:szCs w:val="20"/>
        </w:rPr>
        <w:t xml:space="preserve"> Estado en sus leyes internas o en otr</w:t>
      </w:r>
      <w:r>
        <w:rPr>
          <w:rFonts w:ascii="Verdana" w:hAnsi="Verdana"/>
          <w:sz w:val="20"/>
          <w:szCs w:val="20"/>
        </w:rPr>
        <w:t>os instrumentos y decisiones</w:t>
      </w:r>
      <w:r w:rsidRPr="000955FE">
        <w:rPr>
          <w:rFonts w:ascii="Verdana" w:hAnsi="Verdana"/>
          <w:sz w:val="20"/>
          <w:szCs w:val="20"/>
        </w:rPr>
        <w:t xml:space="preserve"> internacionales</w:t>
      </w:r>
      <w:r>
        <w:rPr>
          <w:rStyle w:val="FootnoteReference"/>
          <w:szCs w:val="20"/>
        </w:rPr>
        <w:footnoteReference w:id="207"/>
      </w:r>
      <w:r w:rsidRPr="000955FE">
        <w:rPr>
          <w:rFonts w:ascii="Verdana" w:eastAsiaTheme="minorHAnsi" w:hAnsi="Verdana"/>
          <w:sz w:val="20"/>
          <w:szCs w:val="20"/>
        </w:rPr>
        <w:t xml:space="preserve">, conformando </w:t>
      </w:r>
      <w:r>
        <w:rPr>
          <w:rFonts w:ascii="Verdana" w:eastAsiaTheme="minorHAnsi" w:hAnsi="Verdana"/>
          <w:sz w:val="20"/>
          <w:szCs w:val="20"/>
        </w:rPr>
        <w:t xml:space="preserve">así </w:t>
      </w:r>
      <w:r w:rsidRPr="000955FE">
        <w:rPr>
          <w:rFonts w:ascii="Verdana" w:eastAsiaTheme="minorHAnsi" w:hAnsi="Verdana"/>
          <w:sz w:val="20"/>
          <w:szCs w:val="20"/>
        </w:rPr>
        <w:t xml:space="preserve">un </w:t>
      </w:r>
      <w:r w:rsidRPr="000955FE">
        <w:rPr>
          <w:rFonts w:ascii="Verdana" w:eastAsiaTheme="minorHAnsi" w:hAnsi="Verdana"/>
          <w:i/>
          <w:sz w:val="20"/>
          <w:szCs w:val="20"/>
        </w:rPr>
        <w:t xml:space="preserve">corpus </w:t>
      </w:r>
      <w:r w:rsidR="009F3898">
        <w:rPr>
          <w:rFonts w:ascii="Verdana" w:eastAsiaTheme="minorHAnsi" w:hAnsi="Verdana"/>
          <w:i/>
          <w:sz w:val="20"/>
          <w:szCs w:val="20"/>
        </w:rPr>
        <w:t>i</w:t>
      </w:r>
      <w:r w:rsidRPr="000955FE">
        <w:rPr>
          <w:rFonts w:ascii="Verdana" w:eastAsiaTheme="minorHAnsi" w:hAnsi="Verdana"/>
          <w:i/>
          <w:sz w:val="20"/>
          <w:szCs w:val="20"/>
        </w:rPr>
        <w:t>uris</w:t>
      </w:r>
      <w:r w:rsidRPr="000955FE">
        <w:rPr>
          <w:rFonts w:ascii="Verdana" w:eastAsiaTheme="minorHAnsi" w:hAnsi="Verdana"/>
          <w:sz w:val="20"/>
          <w:szCs w:val="20"/>
        </w:rPr>
        <w:t xml:space="preserve"> que define las obligaciones de los Estados </w:t>
      </w:r>
      <w:r>
        <w:rPr>
          <w:rFonts w:ascii="Verdana" w:eastAsiaTheme="minorHAnsi" w:hAnsi="Verdana"/>
          <w:sz w:val="20"/>
          <w:szCs w:val="20"/>
        </w:rPr>
        <w:t>Partes de la Convención Americana,</w:t>
      </w:r>
      <w:r w:rsidRPr="000955FE">
        <w:rPr>
          <w:rFonts w:ascii="Verdana" w:eastAsiaTheme="minorHAnsi" w:hAnsi="Verdana"/>
          <w:sz w:val="20"/>
          <w:szCs w:val="20"/>
        </w:rPr>
        <w:t xml:space="preserve"> en relación con la protección de los derechos de propiedad indígenas. </w:t>
      </w:r>
      <w:r w:rsidRPr="000955FE">
        <w:rPr>
          <w:rFonts w:ascii="Verdana" w:hAnsi="Verdana"/>
          <w:sz w:val="20"/>
          <w:szCs w:val="20"/>
        </w:rPr>
        <w:t>Por tanto, al analizar el contenido y alcance del artículo 21 de la Convención en el presente caso, la Corte tomará en cuenta, a la luz de las reglas generales de interpretación establecidas en el artículo 29.b de la misma y como lo ha hecho anteriormente</w:t>
      </w:r>
      <w:r>
        <w:rPr>
          <w:rStyle w:val="FootnoteReference"/>
          <w:szCs w:val="20"/>
        </w:rPr>
        <w:footnoteReference w:id="208"/>
      </w:r>
      <w:r w:rsidRPr="000955FE">
        <w:rPr>
          <w:rFonts w:ascii="Verdana" w:hAnsi="Verdana"/>
          <w:sz w:val="20"/>
          <w:szCs w:val="20"/>
        </w:rPr>
        <w:t xml:space="preserve">, la referida interrelación especial de la propiedad comunal de las tierras </w:t>
      </w:r>
      <w:r w:rsidR="009F3898">
        <w:rPr>
          <w:rFonts w:ascii="Verdana" w:hAnsi="Verdana"/>
          <w:sz w:val="20"/>
          <w:szCs w:val="20"/>
        </w:rPr>
        <w:t xml:space="preserve">y </w:t>
      </w:r>
      <w:r w:rsidRPr="000955FE">
        <w:rPr>
          <w:rFonts w:ascii="Verdana" w:hAnsi="Verdana"/>
          <w:sz w:val="20"/>
          <w:szCs w:val="20"/>
        </w:rPr>
        <w:t>los pueblos indígenas, así como las alegadas gestiones que ha realizado el Estado para hacer plenamente efectivo</w:t>
      </w:r>
      <w:r w:rsidR="009F3898">
        <w:rPr>
          <w:rFonts w:ascii="Verdana" w:hAnsi="Verdana"/>
          <w:sz w:val="20"/>
          <w:szCs w:val="20"/>
        </w:rPr>
        <w:t>s</w:t>
      </w:r>
      <w:r w:rsidRPr="000955FE">
        <w:rPr>
          <w:rFonts w:ascii="Verdana" w:hAnsi="Verdana"/>
          <w:sz w:val="20"/>
          <w:szCs w:val="20"/>
        </w:rPr>
        <w:t xml:space="preserve"> est</w:t>
      </w:r>
      <w:r>
        <w:rPr>
          <w:rFonts w:ascii="Verdana" w:hAnsi="Verdana"/>
          <w:sz w:val="20"/>
          <w:szCs w:val="20"/>
        </w:rPr>
        <w:t>os</w:t>
      </w:r>
      <w:r w:rsidRPr="000955FE">
        <w:rPr>
          <w:rFonts w:ascii="Verdana" w:hAnsi="Verdana"/>
          <w:sz w:val="20"/>
          <w:szCs w:val="20"/>
        </w:rPr>
        <w:t xml:space="preserve"> derecho</w:t>
      </w:r>
      <w:r>
        <w:rPr>
          <w:rFonts w:ascii="Verdana" w:hAnsi="Verdana"/>
          <w:sz w:val="20"/>
          <w:szCs w:val="20"/>
        </w:rPr>
        <w:t>s</w:t>
      </w:r>
      <w:r w:rsidRPr="000955FE">
        <w:rPr>
          <w:rFonts w:ascii="Verdana" w:hAnsi="Verdana"/>
          <w:sz w:val="20"/>
          <w:szCs w:val="20"/>
          <w:vertAlign w:val="superscript"/>
        </w:rPr>
        <w:footnoteReference w:id="209"/>
      </w:r>
      <w:r w:rsidRPr="000955FE">
        <w:rPr>
          <w:rFonts w:ascii="Verdana" w:hAnsi="Verdana"/>
          <w:sz w:val="20"/>
          <w:szCs w:val="20"/>
        </w:rPr>
        <w:t xml:space="preserve">.  </w:t>
      </w:r>
    </w:p>
    <w:p w14:paraId="0C704ABB" w14:textId="77777777" w:rsidR="00F02DDD" w:rsidRPr="000955FE" w:rsidRDefault="00F02DDD" w:rsidP="00F02DDD">
      <w:pPr>
        <w:pStyle w:val="ListParagraph"/>
        <w:ind w:left="0"/>
        <w:jc w:val="both"/>
        <w:rPr>
          <w:rFonts w:ascii="Verdana" w:hAnsi="Verdana"/>
          <w:sz w:val="20"/>
          <w:szCs w:val="20"/>
          <w:lang w:val="es-CR"/>
        </w:rPr>
      </w:pPr>
    </w:p>
    <w:p w14:paraId="0C704ABC" w14:textId="77777777" w:rsidR="00F02DDD" w:rsidRPr="000955FE" w:rsidRDefault="00F02DDD" w:rsidP="00F02DDD">
      <w:pPr>
        <w:pStyle w:val="Heading3"/>
        <w:spacing w:before="0"/>
        <w:ind w:left="705"/>
        <w:jc w:val="both"/>
        <w:rPr>
          <w:rFonts w:ascii="Verdana" w:hAnsi="Verdana"/>
          <w:i/>
          <w:color w:val="auto"/>
          <w:sz w:val="20"/>
          <w:szCs w:val="20"/>
          <w:lang w:val="es-CR"/>
        </w:rPr>
      </w:pPr>
      <w:bookmarkStart w:id="74" w:name="_Toc437247345"/>
      <w:r w:rsidRPr="000955FE">
        <w:rPr>
          <w:rFonts w:ascii="Verdana" w:hAnsi="Verdana"/>
          <w:i/>
          <w:color w:val="auto"/>
          <w:sz w:val="20"/>
          <w:szCs w:val="20"/>
          <w:lang w:val="es-CR"/>
        </w:rPr>
        <w:t xml:space="preserve">B.2 </w:t>
      </w:r>
      <w:r>
        <w:rPr>
          <w:rFonts w:ascii="Verdana" w:hAnsi="Verdana"/>
          <w:i/>
          <w:color w:val="auto"/>
          <w:sz w:val="20"/>
          <w:szCs w:val="20"/>
          <w:lang w:val="es-CR"/>
        </w:rPr>
        <w:t>La</w:t>
      </w:r>
      <w:r w:rsidRPr="000955FE">
        <w:rPr>
          <w:rFonts w:ascii="Verdana" w:hAnsi="Verdana"/>
          <w:i/>
          <w:color w:val="auto"/>
          <w:sz w:val="20"/>
          <w:szCs w:val="20"/>
          <w:lang w:val="es-CR"/>
        </w:rPr>
        <w:t xml:space="preserve"> garantía del uso y goce de</w:t>
      </w:r>
      <w:r>
        <w:rPr>
          <w:rFonts w:ascii="Verdana" w:hAnsi="Verdana"/>
          <w:i/>
          <w:color w:val="auto"/>
          <w:sz w:val="20"/>
          <w:szCs w:val="20"/>
          <w:lang w:val="es-CR"/>
        </w:rPr>
        <w:t xml:space="preserve"> </w:t>
      </w:r>
      <w:r w:rsidRPr="000955FE">
        <w:rPr>
          <w:rFonts w:ascii="Verdana" w:hAnsi="Verdana"/>
          <w:i/>
          <w:color w:val="auto"/>
          <w:sz w:val="20"/>
          <w:szCs w:val="20"/>
          <w:lang w:val="es-CR"/>
        </w:rPr>
        <w:t>la propiedad</w:t>
      </w:r>
      <w:r>
        <w:rPr>
          <w:rFonts w:ascii="Verdana" w:hAnsi="Verdana"/>
          <w:i/>
          <w:color w:val="auto"/>
          <w:sz w:val="20"/>
          <w:szCs w:val="20"/>
          <w:lang w:val="es-CR"/>
        </w:rPr>
        <w:t xml:space="preserve"> colectiva</w:t>
      </w:r>
      <w:bookmarkEnd w:id="74"/>
    </w:p>
    <w:p w14:paraId="0C704ABD" w14:textId="77777777" w:rsidR="00F02DDD" w:rsidRPr="000955FE" w:rsidRDefault="00F02DDD" w:rsidP="00F02DDD">
      <w:pPr>
        <w:pStyle w:val="ListParagraph"/>
        <w:ind w:left="0"/>
        <w:jc w:val="both"/>
        <w:rPr>
          <w:rFonts w:ascii="Verdana" w:hAnsi="Verdana"/>
          <w:sz w:val="20"/>
          <w:szCs w:val="20"/>
          <w:lang w:val="es-CR"/>
        </w:rPr>
      </w:pPr>
    </w:p>
    <w:p w14:paraId="0C704ABE" w14:textId="77777777"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La Corte ha interpretado el artículo 21 de la Convención estableciendo que el deber de los Estados de adoptar medidas para asegurar a los pueblos indígenas su derecho a la propiedad implica necesariamente, en atención al principio de seguridad jurídica, que el Estado debe delimitar, demarcar y titular los territorios de las comunidades indígenas y tribales</w:t>
      </w:r>
      <w:r w:rsidRPr="000955FE">
        <w:rPr>
          <w:rFonts w:ascii="Verdana" w:hAnsi="Verdana"/>
          <w:sz w:val="20"/>
          <w:szCs w:val="20"/>
          <w:vertAlign w:val="superscript"/>
        </w:rPr>
        <w:footnoteReference w:id="210"/>
      </w:r>
      <w:r w:rsidRPr="000955FE">
        <w:rPr>
          <w:rFonts w:ascii="Verdana" w:hAnsi="Verdana"/>
          <w:sz w:val="20"/>
          <w:szCs w:val="20"/>
        </w:rPr>
        <w:t>. Asimismo, la Corte ha explicado que es necesario materializar los derechos territoriales de los pueblos indígenas a través de la adopción de las medidas legislativas y administrativas necesarias para crear un mecanismo efectivo de delimitación, demarcación y titulación, que reconozca tales derechos en la práctica. Lo anterior, considerando que el reconocimiento de los derechos de propiedad comunal indígena debe garantizarse a través del otorgamiento de un título de propiedad formal, u otra forma similar de reconocimiento estatal, que otorgue seguridad jurídica a la tenencia indígena de la tierra frente a la acción de terceros o de los agentes del propio Estado, y que este “reconocimiento meramente abstracto o jurídico de las tierras, territorios o recursos indígenas carece prácticamente de sentido si no se [establece, delimita y demarca] físicamente la propiedad”</w:t>
      </w:r>
      <w:bookmarkStart w:id="75" w:name="_ftnref7"/>
      <w:r w:rsidRPr="000955FE">
        <w:rPr>
          <w:rFonts w:ascii="Verdana" w:hAnsi="Verdana"/>
          <w:sz w:val="20"/>
          <w:szCs w:val="20"/>
          <w:vertAlign w:val="superscript"/>
        </w:rPr>
        <w:footnoteReference w:id="211"/>
      </w:r>
      <w:bookmarkEnd w:id="75"/>
      <w:r w:rsidRPr="000955FE">
        <w:rPr>
          <w:rFonts w:ascii="Verdana" w:hAnsi="Verdana"/>
          <w:sz w:val="20"/>
          <w:szCs w:val="20"/>
        </w:rPr>
        <w:t xml:space="preserve">.  </w:t>
      </w:r>
    </w:p>
    <w:p w14:paraId="0C704ABF" w14:textId="77777777" w:rsidR="00F02DDD" w:rsidRPr="000955FE" w:rsidRDefault="00F02DDD" w:rsidP="00F02DDD">
      <w:pPr>
        <w:pStyle w:val="ListParagraph"/>
        <w:ind w:left="0"/>
        <w:jc w:val="both"/>
        <w:rPr>
          <w:rFonts w:ascii="Verdana" w:hAnsi="Verdana"/>
          <w:sz w:val="20"/>
          <w:szCs w:val="20"/>
          <w:lang w:val="es-CR"/>
        </w:rPr>
      </w:pPr>
    </w:p>
    <w:p w14:paraId="0C704AC0" w14:textId="5908B3C3" w:rsidR="00F02DDD" w:rsidRPr="00D06233"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lastRenderedPageBreak/>
        <w:t>En este caso, no se presenta controversia respecto de los deberes de delimitación, demarcación o titulación del territorio, ya que el Estado realizó los mismos</w:t>
      </w:r>
      <w:r>
        <w:rPr>
          <w:rFonts w:ascii="Verdana" w:hAnsi="Verdana"/>
          <w:sz w:val="20"/>
          <w:szCs w:val="20"/>
        </w:rPr>
        <w:t xml:space="preserve"> y el territorio en conflicto se encuentra actualmente titulado a favor de </w:t>
      </w:r>
      <w:r w:rsidR="00DF5A12">
        <w:rPr>
          <w:rFonts w:ascii="Verdana" w:hAnsi="Verdana"/>
          <w:sz w:val="20"/>
          <w:szCs w:val="20"/>
        </w:rPr>
        <w:t xml:space="preserve">dicha </w:t>
      </w:r>
      <w:r>
        <w:rPr>
          <w:rFonts w:ascii="Verdana" w:hAnsi="Verdana"/>
          <w:sz w:val="20"/>
          <w:szCs w:val="20"/>
        </w:rPr>
        <w:t>comunidad garífuna</w:t>
      </w:r>
      <w:r w:rsidRPr="000955FE">
        <w:rPr>
          <w:rFonts w:ascii="Verdana" w:hAnsi="Verdana"/>
          <w:sz w:val="20"/>
          <w:szCs w:val="20"/>
        </w:rPr>
        <w:t>. Sin embargo, es preciso definir la relevancia y alcance de</w:t>
      </w:r>
      <w:r>
        <w:rPr>
          <w:rFonts w:ascii="Verdana" w:hAnsi="Verdana"/>
          <w:sz w:val="20"/>
          <w:szCs w:val="20"/>
        </w:rPr>
        <w:t xml:space="preserve"> la</w:t>
      </w:r>
      <w:r w:rsidRPr="000955FE">
        <w:rPr>
          <w:rFonts w:ascii="Verdana" w:hAnsi="Verdana"/>
          <w:sz w:val="20"/>
          <w:szCs w:val="20"/>
        </w:rPr>
        <w:t xml:space="preserve"> garant</w:t>
      </w:r>
      <w:r>
        <w:rPr>
          <w:rFonts w:ascii="Verdana" w:hAnsi="Verdana"/>
          <w:sz w:val="20"/>
          <w:szCs w:val="20"/>
        </w:rPr>
        <w:t xml:space="preserve">ía </w:t>
      </w:r>
      <w:r w:rsidRPr="000955FE">
        <w:rPr>
          <w:rFonts w:ascii="Verdana" w:hAnsi="Verdana"/>
          <w:sz w:val="20"/>
          <w:szCs w:val="20"/>
        </w:rPr>
        <w:t xml:space="preserve">efectiva </w:t>
      </w:r>
      <w:r>
        <w:rPr>
          <w:rFonts w:ascii="Verdana" w:hAnsi="Verdana"/>
          <w:sz w:val="20"/>
          <w:szCs w:val="20"/>
        </w:rPr>
        <w:t>del uso y goce</w:t>
      </w:r>
      <w:r w:rsidRPr="000955FE">
        <w:rPr>
          <w:rFonts w:ascii="Verdana" w:hAnsi="Verdana"/>
          <w:sz w:val="20"/>
          <w:szCs w:val="20"/>
        </w:rPr>
        <w:t xml:space="preserve"> </w:t>
      </w:r>
      <w:r>
        <w:rPr>
          <w:rFonts w:ascii="Verdana" w:hAnsi="Verdana"/>
          <w:sz w:val="20"/>
          <w:szCs w:val="20"/>
        </w:rPr>
        <w:t>de</w:t>
      </w:r>
      <w:r w:rsidRPr="000955FE">
        <w:rPr>
          <w:rFonts w:ascii="Verdana" w:hAnsi="Verdana"/>
          <w:sz w:val="20"/>
          <w:szCs w:val="20"/>
        </w:rPr>
        <w:t xml:space="preserve"> la propiedad indígena, l</w:t>
      </w:r>
      <w:r>
        <w:rPr>
          <w:rFonts w:ascii="Verdana" w:hAnsi="Verdana"/>
          <w:sz w:val="20"/>
          <w:szCs w:val="20"/>
        </w:rPr>
        <w:t>a</w:t>
      </w:r>
      <w:r w:rsidRPr="000955FE">
        <w:rPr>
          <w:rFonts w:ascii="Verdana" w:hAnsi="Verdana"/>
          <w:sz w:val="20"/>
          <w:szCs w:val="20"/>
        </w:rPr>
        <w:t xml:space="preserve"> cual se encuentra recogid</w:t>
      </w:r>
      <w:r>
        <w:rPr>
          <w:rFonts w:ascii="Verdana" w:hAnsi="Verdana"/>
          <w:sz w:val="20"/>
          <w:szCs w:val="20"/>
        </w:rPr>
        <w:t>a directamente</w:t>
      </w:r>
      <w:r w:rsidRPr="000955FE">
        <w:rPr>
          <w:rFonts w:ascii="Verdana" w:hAnsi="Verdana"/>
          <w:sz w:val="20"/>
          <w:szCs w:val="20"/>
        </w:rPr>
        <w:t xml:space="preserve"> en el artículo 21 Convención Americana.  </w:t>
      </w:r>
    </w:p>
    <w:p w14:paraId="0C704AC1" w14:textId="77777777" w:rsidR="00D06233" w:rsidRPr="000955FE" w:rsidRDefault="00D06233" w:rsidP="00D06233">
      <w:pPr>
        <w:pStyle w:val="ListParagraph"/>
        <w:ind w:left="0"/>
        <w:jc w:val="both"/>
        <w:rPr>
          <w:rFonts w:ascii="Verdana" w:hAnsi="Verdana"/>
          <w:sz w:val="20"/>
          <w:szCs w:val="20"/>
          <w:lang w:val="es-CR"/>
        </w:rPr>
      </w:pPr>
    </w:p>
    <w:p w14:paraId="0C704AC2" w14:textId="77777777" w:rsidR="00F02DDD" w:rsidRPr="00314598" w:rsidRDefault="00F02DDD" w:rsidP="00F02DDD">
      <w:pPr>
        <w:pStyle w:val="Heading4"/>
      </w:pPr>
      <w:bookmarkStart w:id="76" w:name="_Toc437247346"/>
      <w:r>
        <w:t xml:space="preserve">B.2.1 </w:t>
      </w:r>
      <w:r w:rsidRPr="00314598">
        <w:t xml:space="preserve">Respecto de la garantía del uso y goce de la propiedad </w:t>
      </w:r>
      <w:r>
        <w:t xml:space="preserve">colectiva </w:t>
      </w:r>
      <w:r w:rsidRPr="00314598">
        <w:t>en el derecho internacional</w:t>
      </w:r>
      <w:bookmarkEnd w:id="76"/>
      <w:r w:rsidRPr="00314598">
        <w:t xml:space="preserve"> </w:t>
      </w:r>
    </w:p>
    <w:p w14:paraId="0C704AC3" w14:textId="77777777" w:rsidR="00F02DDD" w:rsidRDefault="00F02DDD" w:rsidP="00F02DDD">
      <w:pPr>
        <w:rPr>
          <w:rFonts w:ascii="Verdana" w:eastAsiaTheme="minorHAnsi" w:hAnsi="Verdana"/>
          <w:sz w:val="20"/>
          <w:szCs w:val="20"/>
          <w:lang w:val="es-PE"/>
        </w:rPr>
      </w:pPr>
    </w:p>
    <w:p w14:paraId="0C704AC4" w14:textId="77777777" w:rsidR="00F02DDD" w:rsidRPr="00FB5679" w:rsidRDefault="00F02DDD" w:rsidP="00F02DDD">
      <w:pPr>
        <w:pStyle w:val="ListParagraph"/>
        <w:numPr>
          <w:ilvl w:val="0"/>
          <w:numId w:val="17"/>
        </w:numPr>
        <w:ind w:left="0" w:hanging="11"/>
        <w:jc w:val="both"/>
        <w:rPr>
          <w:rFonts w:ascii="Verdana" w:hAnsi="Verdana"/>
          <w:sz w:val="20"/>
          <w:szCs w:val="20"/>
          <w:lang w:val="es-CR"/>
        </w:rPr>
      </w:pPr>
      <w:r>
        <w:rPr>
          <w:rFonts w:ascii="Verdana" w:hAnsi="Verdana"/>
          <w:sz w:val="20"/>
          <w:szCs w:val="20"/>
          <w:lang w:val="es-CR"/>
        </w:rPr>
        <w:t xml:space="preserve">A continuación, en el presente apartado se hará alusión a los principales estándares generales en materia de uso y goce de la propiedad indígena y tribal, sin perjuicio de las consideraciones y ponderaciones específicas que amerite el caso en particular. </w:t>
      </w:r>
    </w:p>
    <w:p w14:paraId="0C704AC5" w14:textId="77777777" w:rsidR="00F02DDD" w:rsidRPr="005906E7" w:rsidRDefault="00F02DDD" w:rsidP="00F02DDD">
      <w:pPr>
        <w:rPr>
          <w:rFonts w:ascii="Verdana" w:eastAsiaTheme="minorHAnsi" w:hAnsi="Verdana"/>
          <w:sz w:val="20"/>
          <w:szCs w:val="20"/>
          <w:lang w:val="es-CR"/>
        </w:rPr>
      </w:pPr>
    </w:p>
    <w:p w14:paraId="0C704AC6" w14:textId="3ACB606B" w:rsidR="00F02DDD" w:rsidRPr="00A0324F" w:rsidRDefault="00F02DDD" w:rsidP="00780CDD">
      <w:pPr>
        <w:pStyle w:val="ListParagraph"/>
        <w:numPr>
          <w:ilvl w:val="0"/>
          <w:numId w:val="17"/>
        </w:numPr>
        <w:ind w:left="0" w:hanging="11"/>
        <w:jc w:val="both"/>
        <w:rPr>
          <w:rFonts w:ascii="Verdana" w:hAnsi="Verdana"/>
          <w:sz w:val="20"/>
          <w:szCs w:val="20"/>
          <w:lang w:val="es-MX"/>
        </w:rPr>
      </w:pPr>
      <w:r>
        <w:rPr>
          <w:rFonts w:ascii="Verdana" w:eastAsiaTheme="minorHAnsi" w:hAnsi="Verdana"/>
          <w:sz w:val="20"/>
          <w:szCs w:val="20"/>
        </w:rPr>
        <w:t>R</w:t>
      </w:r>
      <w:r w:rsidRPr="000F206D">
        <w:rPr>
          <w:rFonts w:ascii="Verdana" w:eastAsiaTheme="minorHAnsi" w:hAnsi="Verdana"/>
          <w:sz w:val="20"/>
          <w:szCs w:val="20"/>
        </w:rPr>
        <w:t>especto</w:t>
      </w:r>
      <w:r w:rsidRPr="000955FE">
        <w:rPr>
          <w:rFonts w:ascii="Verdana" w:eastAsiaTheme="minorHAnsi" w:hAnsi="Verdana"/>
          <w:sz w:val="20"/>
          <w:szCs w:val="20"/>
        </w:rPr>
        <w:t xml:space="preserve"> del uso y goce del territorio indígena</w:t>
      </w:r>
      <w:r>
        <w:rPr>
          <w:rFonts w:ascii="Verdana" w:eastAsiaTheme="minorHAnsi" w:hAnsi="Verdana"/>
          <w:sz w:val="20"/>
          <w:szCs w:val="20"/>
        </w:rPr>
        <w:t xml:space="preserve"> y tribal</w:t>
      </w:r>
      <w:r w:rsidRPr="000955FE">
        <w:rPr>
          <w:rFonts w:ascii="Verdana" w:eastAsiaTheme="minorHAnsi" w:hAnsi="Verdana"/>
          <w:sz w:val="20"/>
          <w:szCs w:val="20"/>
        </w:rPr>
        <w:t xml:space="preserve">, </w:t>
      </w:r>
      <w:r>
        <w:rPr>
          <w:rFonts w:ascii="Verdana" w:hAnsi="Verdana"/>
          <w:sz w:val="20"/>
          <w:szCs w:val="20"/>
        </w:rPr>
        <w:t>este Tribunal</w:t>
      </w:r>
      <w:r w:rsidRPr="000955FE">
        <w:rPr>
          <w:rFonts w:ascii="Verdana" w:hAnsi="Verdana"/>
          <w:sz w:val="20"/>
          <w:szCs w:val="20"/>
        </w:rPr>
        <w:t xml:space="preserve"> </w:t>
      </w:r>
      <w:r w:rsidR="00780CDD">
        <w:rPr>
          <w:rFonts w:ascii="Verdana" w:hAnsi="Verdana"/>
          <w:sz w:val="20"/>
          <w:szCs w:val="20"/>
        </w:rPr>
        <w:t xml:space="preserve">recuerda su jurisprudencia según la cual se indica, </w:t>
      </w:r>
      <w:r w:rsidR="00780CDD" w:rsidRPr="00F06E2B">
        <w:rPr>
          <w:rFonts w:ascii="Verdana" w:hAnsi="Verdana"/>
          <w:i/>
          <w:sz w:val="20"/>
          <w:szCs w:val="20"/>
        </w:rPr>
        <w:t>inter alia</w:t>
      </w:r>
      <w:r w:rsidR="00780CDD">
        <w:rPr>
          <w:rFonts w:ascii="Verdana" w:hAnsi="Verdana"/>
          <w:sz w:val="20"/>
          <w:szCs w:val="20"/>
        </w:rPr>
        <w:t xml:space="preserve"> que: </w:t>
      </w:r>
      <w:r w:rsidR="00780CDD">
        <w:rPr>
          <w:rFonts w:ascii="Verdana" w:eastAsiaTheme="minorHAnsi" w:hAnsi="Verdana"/>
          <w:sz w:val="20"/>
          <w:szCs w:val="20"/>
        </w:rPr>
        <w:t>“</w:t>
      </w:r>
      <w:r w:rsidR="00780CDD">
        <w:rPr>
          <w:rFonts w:ascii="Verdana" w:hAnsi="Verdana"/>
          <w:sz w:val="20"/>
          <w:szCs w:val="20"/>
          <w:lang w:val="es-MX"/>
        </w:rPr>
        <w:t>1</w:t>
      </w:r>
      <w:r w:rsidR="00780CDD" w:rsidRPr="0050166F">
        <w:rPr>
          <w:rFonts w:ascii="Verdana" w:hAnsi="Verdana"/>
          <w:sz w:val="20"/>
          <w:szCs w:val="20"/>
          <w:lang w:val="es-MX"/>
        </w:rPr>
        <w:t xml:space="preserve">) la posesión tradicional de los indígenas sobre sus tierras tiene efectos equivalentes al título de pleno dominio que otorga el Estado, por lo que el área poseída en la práctica es equivalente a la propiedad; </w:t>
      </w:r>
      <w:r w:rsidR="00780CDD" w:rsidRPr="00F06E2B">
        <w:rPr>
          <w:rFonts w:ascii="Verdana" w:hAnsi="Verdana"/>
          <w:sz w:val="20"/>
          <w:szCs w:val="20"/>
        </w:rPr>
        <w:t>2) la posesión tradicional otorga a los indígenas el derecho a exigir el reconocimiento oficial de propiedad y su registro</w:t>
      </w:r>
      <w:r w:rsidR="00780CDD">
        <w:rPr>
          <w:rFonts w:ascii="Verdana" w:hAnsi="Verdana"/>
          <w:sz w:val="20"/>
          <w:szCs w:val="20"/>
        </w:rPr>
        <w:t xml:space="preserve">; </w:t>
      </w:r>
      <w:r w:rsidR="00780CDD">
        <w:rPr>
          <w:rFonts w:ascii="Verdana" w:hAnsi="Verdana"/>
          <w:sz w:val="20"/>
          <w:szCs w:val="20"/>
          <w:lang w:val="es-MX"/>
        </w:rPr>
        <w:t>3</w:t>
      </w:r>
      <w:r w:rsidR="00780CDD" w:rsidRPr="00780CDD">
        <w:rPr>
          <w:rFonts w:ascii="Verdana" w:hAnsi="Verdana"/>
          <w:sz w:val="20"/>
          <w:szCs w:val="20"/>
          <w:lang w:val="es-MX"/>
        </w:rPr>
        <w:t xml:space="preserve">) </w:t>
      </w:r>
      <w:r w:rsidR="00780CDD" w:rsidRPr="00780CDD">
        <w:rPr>
          <w:rFonts w:ascii="Verdana" w:hAnsi="Verdana"/>
          <w:sz w:val="20"/>
          <w:szCs w:val="20"/>
          <w:lang w:val="es-CR"/>
        </w:rPr>
        <w:t xml:space="preserve">los miembros de los pueblos indígenas que por causas ajenas a su voluntad han salido o perdido la posesión de sus tierras tradicionales mantienen el derecho de propiedad sobre las mismas, aún a falta de título legal, salvo cuando las tierras hayan sido legítimamente trasladas a terceros de buena fe, y </w:t>
      </w:r>
      <w:r w:rsidR="00DF5A12">
        <w:rPr>
          <w:rFonts w:ascii="Verdana" w:hAnsi="Verdana"/>
          <w:sz w:val="20"/>
          <w:szCs w:val="20"/>
          <w:lang w:val="es-CR"/>
        </w:rPr>
        <w:t>4</w:t>
      </w:r>
      <w:r w:rsidR="00780CDD" w:rsidRPr="00F06E2B">
        <w:rPr>
          <w:rFonts w:ascii="Verdana" w:hAnsi="Verdana"/>
          <w:sz w:val="20"/>
          <w:szCs w:val="20"/>
          <w:lang w:val="es-CR"/>
        </w:rPr>
        <w:t>) los miembros de los pueblos indígenas que involuntariamente han perdido la posesión de sus tierras,</w:t>
      </w:r>
      <w:r w:rsidR="0001111C">
        <w:rPr>
          <w:rFonts w:ascii="Verdana" w:hAnsi="Verdana"/>
          <w:sz w:val="20"/>
          <w:szCs w:val="20"/>
          <w:lang w:val="es-CR"/>
        </w:rPr>
        <w:t xml:space="preserve"> </w:t>
      </w:r>
      <w:r w:rsidR="009F3898">
        <w:rPr>
          <w:rFonts w:ascii="Verdana" w:hAnsi="Verdana"/>
          <w:sz w:val="20"/>
          <w:szCs w:val="20"/>
          <w:lang w:val="es-CR"/>
        </w:rPr>
        <w:t xml:space="preserve">y estas hayan sido trasladadas </w:t>
      </w:r>
      <w:r w:rsidR="00780CDD" w:rsidRPr="00F06E2B">
        <w:rPr>
          <w:rFonts w:ascii="Verdana" w:hAnsi="Verdana"/>
          <w:sz w:val="20"/>
          <w:szCs w:val="20"/>
          <w:lang w:val="es-CR"/>
        </w:rPr>
        <w:t>legítimamente a terceros inocentes, tienen el derecho de recuperarlas o a obtener otras tierras de igual extensión y calidad”</w:t>
      </w:r>
      <w:r w:rsidR="00780CDD" w:rsidRPr="0050166F">
        <w:rPr>
          <w:rStyle w:val="FootnoteReference"/>
          <w:szCs w:val="20"/>
          <w:lang w:val="es-CR"/>
        </w:rPr>
        <w:footnoteReference w:id="212"/>
      </w:r>
      <w:r w:rsidR="00780CDD" w:rsidRPr="00780CDD">
        <w:rPr>
          <w:rFonts w:ascii="Verdana" w:hAnsi="Verdana"/>
          <w:sz w:val="20"/>
          <w:szCs w:val="20"/>
          <w:lang w:val="es-CR"/>
        </w:rPr>
        <w:t>.</w:t>
      </w:r>
      <w:r w:rsidR="00780CDD" w:rsidRPr="00780CDD">
        <w:rPr>
          <w:rFonts w:ascii="Verdana" w:hAnsi="Verdana"/>
          <w:sz w:val="20"/>
          <w:szCs w:val="20"/>
          <w:lang w:val="es-MX"/>
        </w:rPr>
        <w:t xml:space="preserve"> Asimismo, </w:t>
      </w:r>
      <w:r w:rsidRPr="00780CDD">
        <w:rPr>
          <w:rFonts w:ascii="Verdana" w:hAnsi="Verdana"/>
          <w:sz w:val="20"/>
          <w:szCs w:val="20"/>
        </w:rPr>
        <w:t xml:space="preserve">en el </w:t>
      </w:r>
      <w:r w:rsidR="009F3898">
        <w:rPr>
          <w:rFonts w:ascii="Verdana" w:hAnsi="Verdana"/>
          <w:i/>
          <w:sz w:val="20"/>
          <w:szCs w:val="20"/>
        </w:rPr>
        <w:t>C</w:t>
      </w:r>
      <w:r w:rsidR="0086236B" w:rsidRPr="00A0324F">
        <w:rPr>
          <w:rFonts w:ascii="Verdana" w:hAnsi="Verdana"/>
          <w:i/>
          <w:sz w:val="20"/>
          <w:szCs w:val="20"/>
        </w:rPr>
        <w:t xml:space="preserve">aso </w:t>
      </w:r>
      <w:proofErr w:type="spellStart"/>
      <w:r w:rsidRPr="00780CDD">
        <w:rPr>
          <w:rFonts w:ascii="Verdana" w:hAnsi="Verdana"/>
          <w:i/>
          <w:sz w:val="20"/>
          <w:szCs w:val="20"/>
        </w:rPr>
        <w:t>Mayagna</w:t>
      </w:r>
      <w:proofErr w:type="spellEnd"/>
      <w:r w:rsidRPr="00780CDD">
        <w:rPr>
          <w:rFonts w:ascii="Verdana" w:hAnsi="Verdana"/>
          <w:i/>
          <w:sz w:val="20"/>
          <w:szCs w:val="20"/>
        </w:rPr>
        <w:t xml:space="preserve"> </w:t>
      </w:r>
      <w:r w:rsidR="009F3898">
        <w:rPr>
          <w:rFonts w:ascii="Verdana" w:hAnsi="Verdana"/>
          <w:i/>
          <w:sz w:val="20"/>
          <w:szCs w:val="20"/>
        </w:rPr>
        <w:t>(S</w:t>
      </w:r>
      <w:r w:rsidRPr="00780CDD">
        <w:rPr>
          <w:rFonts w:ascii="Verdana" w:hAnsi="Verdana"/>
          <w:i/>
          <w:sz w:val="20"/>
          <w:szCs w:val="20"/>
        </w:rPr>
        <w:t>umo</w:t>
      </w:r>
      <w:r w:rsidR="009F3898">
        <w:rPr>
          <w:rFonts w:ascii="Verdana" w:hAnsi="Verdana"/>
          <w:i/>
          <w:sz w:val="20"/>
          <w:szCs w:val="20"/>
        </w:rPr>
        <w:t>)</w:t>
      </w:r>
      <w:r w:rsidRPr="00780CDD">
        <w:rPr>
          <w:rFonts w:ascii="Verdana" w:hAnsi="Verdana"/>
          <w:i/>
          <w:sz w:val="20"/>
          <w:szCs w:val="20"/>
        </w:rPr>
        <w:t xml:space="preserve"> </w:t>
      </w:r>
      <w:proofErr w:type="spellStart"/>
      <w:r w:rsidRPr="00780CDD">
        <w:rPr>
          <w:rFonts w:ascii="Verdana" w:hAnsi="Verdana"/>
          <w:i/>
          <w:sz w:val="20"/>
          <w:szCs w:val="20"/>
        </w:rPr>
        <w:t>Awas</w:t>
      </w:r>
      <w:proofErr w:type="spellEnd"/>
      <w:r w:rsidRPr="00780CDD">
        <w:rPr>
          <w:rFonts w:ascii="Verdana" w:hAnsi="Verdana"/>
          <w:i/>
          <w:sz w:val="20"/>
          <w:szCs w:val="20"/>
        </w:rPr>
        <w:t xml:space="preserve"> </w:t>
      </w:r>
      <w:proofErr w:type="spellStart"/>
      <w:r w:rsidRPr="00780CDD">
        <w:rPr>
          <w:rFonts w:ascii="Verdana" w:hAnsi="Verdana"/>
          <w:i/>
          <w:sz w:val="20"/>
          <w:szCs w:val="20"/>
        </w:rPr>
        <w:t>Tingni</w:t>
      </w:r>
      <w:proofErr w:type="spellEnd"/>
      <w:r w:rsidRPr="00780CDD">
        <w:rPr>
          <w:rFonts w:ascii="Verdana" w:hAnsi="Verdana"/>
          <w:sz w:val="20"/>
          <w:szCs w:val="20"/>
        </w:rPr>
        <w:t xml:space="preserve"> </w:t>
      </w:r>
      <w:r w:rsidR="009F3898">
        <w:rPr>
          <w:rFonts w:ascii="Verdana" w:hAnsi="Verdana"/>
          <w:i/>
          <w:sz w:val="20"/>
          <w:szCs w:val="20"/>
        </w:rPr>
        <w:t>Vs</w:t>
      </w:r>
      <w:r w:rsidR="00BD1885">
        <w:rPr>
          <w:rFonts w:ascii="Verdana" w:hAnsi="Verdana"/>
          <w:i/>
          <w:sz w:val="20"/>
          <w:szCs w:val="20"/>
        </w:rPr>
        <w:t>.</w:t>
      </w:r>
      <w:r w:rsidR="009F3898">
        <w:rPr>
          <w:rFonts w:ascii="Verdana" w:hAnsi="Verdana"/>
          <w:i/>
          <w:sz w:val="20"/>
          <w:szCs w:val="20"/>
        </w:rPr>
        <w:t xml:space="preserve"> Nicaragua </w:t>
      </w:r>
      <w:r w:rsidR="00780CDD">
        <w:rPr>
          <w:rFonts w:ascii="Verdana" w:hAnsi="Verdana"/>
          <w:sz w:val="20"/>
          <w:szCs w:val="20"/>
        </w:rPr>
        <w:t xml:space="preserve">la Corte </w:t>
      </w:r>
      <w:r w:rsidRPr="00780CDD">
        <w:rPr>
          <w:rFonts w:ascii="Verdana" w:hAnsi="Verdana"/>
          <w:sz w:val="20"/>
          <w:szCs w:val="20"/>
        </w:rPr>
        <w:t xml:space="preserve">señaló que </w:t>
      </w:r>
      <w:r w:rsidRPr="00780CDD">
        <w:rPr>
          <w:rFonts w:ascii="Verdana" w:eastAsiaTheme="minorHAnsi" w:hAnsi="Verdana"/>
          <w:sz w:val="20"/>
          <w:szCs w:val="20"/>
        </w:rPr>
        <w:t>los Estados deben garantizar la propiedad efectiva de los pueblos indígenas y abstenerse de realizar actos que puedan llevar a que los agentes del propio Estado, o terceros que actúen con su aquiescencia o su tolerancia, afecten la existencia, el valor, el uso o el goce de su territorio</w:t>
      </w:r>
      <w:r w:rsidRPr="009E134B">
        <w:rPr>
          <w:rFonts w:ascii="Verdana" w:eastAsiaTheme="minorHAnsi" w:hAnsi="Verdana"/>
          <w:sz w:val="20"/>
          <w:szCs w:val="20"/>
          <w:vertAlign w:val="superscript"/>
        </w:rPr>
        <w:footnoteReference w:id="213"/>
      </w:r>
      <w:r w:rsidRPr="00780CDD">
        <w:rPr>
          <w:rFonts w:ascii="Verdana" w:eastAsiaTheme="minorHAnsi" w:hAnsi="Verdana"/>
          <w:sz w:val="20"/>
          <w:szCs w:val="20"/>
        </w:rPr>
        <w:t xml:space="preserve">. En el </w:t>
      </w:r>
      <w:r w:rsidR="009F3898">
        <w:rPr>
          <w:rFonts w:ascii="Verdana" w:eastAsiaTheme="minorHAnsi" w:hAnsi="Verdana"/>
          <w:i/>
          <w:sz w:val="20"/>
          <w:szCs w:val="20"/>
        </w:rPr>
        <w:t xml:space="preserve">Caso del Pueblo </w:t>
      </w:r>
      <w:proofErr w:type="spellStart"/>
      <w:r w:rsidRPr="00780CDD">
        <w:rPr>
          <w:rFonts w:ascii="Verdana" w:eastAsiaTheme="minorHAnsi" w:hAnsi="Verdana"/>
          <w:i/>
          <w:sz w:val="20"/>
          <w:szCs w:val="20"/>
        </w:rPr>
        <w:t>Saramaka</w:t>
      </w:r>
      <w:proofErr w:type="spellEnd"/>
      <w:r w:rsidR="009F3898">
        <w:rPr>
          <w:rFonts w:ascii="Verdana" w:eastAsiaTheme="minorHAnsi" w:hAnsi="Verdana"/>
          <w:i/>
          <w:sz w:val="20"/>
          <w:szCs w:val="20"/>
        </w:rPr>
        <w:t xml:space="preserve"> Vs</w:t>
      </w:r>
      <w:r w:rsidR="00BD1885">
        <w:rPr>
          <w:rFonts w:ascii="Verdana" w:eastAsiaTheme="minorHAnsi" w:hAnsi="Verdana"/>
          <w:i/>
          <w:sz w:val="20"/>
          <w:szCs w:val="20"/>
        </w:rPr>
        <w:t>.</w:t>
      </w:r>
      <w:r w:rsidR="009F3898">
        <w:rPr>
          <w:rFonts w:ascii="Verdana" w:eastAsiaTheme="minorHAnsi" w:hAnsi="Verdana"/>
          <w:i/>
          <w:sz w:val="20"/>
          <w:szCs w:val="20"/>
        </w:rPr>
        <w:t xml:space="preserve"> </w:t>
      </w:r>
      <w:proofErr w:type="spellStart"/>
      <w:r w:rsidR="009F3898">
        <w:rPr>
          <w:rFonts w:ascii="Verdana" w:eastAsiaTheme="minorHAnsi" w:hAnsi="Verdana"/>
          <w:i/>
          <w:sz w:val="20"/>
          <w:szCs w:val="20"/>
        </w:rPr>
        <w:t>Surinme</w:t>
      </w:r>
      <w:proofErr w:type="spellEnd"/>
      <w:r w:rsidRPr="00780CDD">
        <w:rPr>
          <w:rFonts w:ascii="Verdana" w:eastAsiaTheme="minorHAnsi" w:hAnsi="Verdana"/>
          <w:sz w:val="20"/>
          <w:szCs w:val="20"/>
        </w:rPr>
        <w:t xml:space="preserve"> se estableció que </w:t>
      </w:r>
      <w:r w:rsidRPr="00780CDD">
        <w:rPr>
          <w:rFonts w:ascii="Verdana" w:hAnsi="Verdana"/>
          <w:sz w:val="20"/>
          <w:szCs w:val="20"/>
        </w:rPr>
        <w:t>los Estados deben garantizar el derecho de los pueblos indígena</w:t>
      </w:r>
      <w:r w:rsidRPr="00F06E2B">
        <w:rPr>
          <w:rFonts w:ascii="Verdana" w:hAnsi="Verdana"/>
          <w:sz w:val="20"/>
          <w:szCs w:val="20"/>
        </w:rPr>
        <w:t>s de controlar efectivamente y ser propietarios de su territorio sin ningún tipo de interferencia externa de terceros</w:t>
      </w:r>
      <w:r w:rsidRPr="000955FE">
        <w:rPr>
          <w:rFonts w:ascii="Verdana" w:hAnsi="Verdana"/>
          <w:sz w:val="20"/>
          <w:szCs w:val="20"/>
          <w:vertAlign w:val="superscript"/>
        </w:rPr>
        <w:footnoteReference w:id="214"/>
      </w:r>
      <w:r w:rsidRPr="00780CDD">
        <w:rPr>
          <w:rFonts w:ascii="Verdana" w:hAnsi="Verdana"/>
          <w:sz w:val="20"/>
          <w:szCs w:val="20"/>
        </w:rPr>
        <w:t xml:space="preserve">. En el </w:t>
      </w:r>
      <w:r w:rsidR="009F3898">
        <w:rPr>
          <w:rFonts w:ascii="Verdana" w:hAnsi="Verdana"/>
          <w:i/>
          <w:sz w:val="20"/>
          <w:szCs w:val="20"/>
        </w:rPr>
        <w:t>C</w:t>
      </w:r>
      <w:r w:rsidR="0086236B" w:rsidRPr="00A0324F">
        <w:rPr>
          <w:rFonts w:ascii="Verdana" w:hAnsi="Verdana"/>
          <w:i/>
          <w:sz w:val="20"/>
          <w:szCs w:val="20"/>
        </w:rPr>
        <w:t xml:space="preserve">aso </w:t>
      </w:r>
      <w:proofErr w:type="spellStart"/>
      <w:r w:rsidRPr="009F3898">
        <w:rPr>
          <w:rFonts w:ascii="Verdana" w:hAnsi="Verdana"/>
          <w:i/>
          <w:sz w:val="20"/>
          <w:szCs w:val="20"/>
        </w:rPr>
        <w:t>Sarayaku</w:t>
      </w:r>
      <w:proofErr w:type="spellEnd"/>
      <w:r w:rsidR="009F3898">
        <w:rPr>
          <w:rFonts w:ascii="Verdana" w:hAnsi="Verdana"/>
          <w:i/>
          <w:sz w:val="20"/>
          <w:szCs w:val="20"/>
        </w:rPr>
        <w:t xml:space="preserve"> del Pueblo Indígena </w:t>
      </w:r>
      <w:proofErr w:type="spellStart"/>
      <w:r w:rsidR="009F3898">
        <w:rPr>
          <w:rFonts w:ascii="Verdana" w:hAnsi="Verdana"/>
          <w:i/>
          <w:sz w:val="20"/>
          <w:szCs w:val="20"/>
        </w:rPr>
        <w:t>Kichwa</w:t>
      </w:r>
      <w:proofErr w:type="spellEnd"/>
      <w:r w:rsidR="009F3898">
        <w:rPr>
          <w:rFonts w:ascii="Verdana" w:hAnsi="Verdana"/>
          <w:i/>
          <w:sz w:val="20"/>
          <w:szCs w:val="20"/>
        </w:rPr>
        <w:t xml:space="preserve"> de </w:t>
      </w:r>
      <w:proofErr w:type="spellStart"/>
      <w:r w:rsidR="009F3898">
        <w:rPr>
          <w:rFonts w:ascii="Verdana" w:hAnsi="Verdana"/>
          <w:i/>
          <w:sz w:val="20"/>
          <w:szCs w:val="20"/>
        </w:rPr>
        <w:t>Sarayaku</w:t>
      </w:r>
      <w:proofErr w:type="spellEnd"/>
      <w:r w:rsidR="009F3898">
        <w:rPr>
          <w:rFonts w:ascii="Verdana" w:hAnsi="Verdana"/>
          <w:i/>
          <w:sz w:val="20"/>
          <w:szCs w:val="20"/>
        </w:rPr>
        <w:t xml:space="preserve"> Vs</w:t>
      </w:r>
      <w:r w:rsidR="00BD1885">
        <w:rPr>
          <w:rFonts w:ascii="Verdana" w:hAnsi="Verdana"/>
          <w:i/>
          <w:sz w:val="20"/>
          <w:szCs w:val="20"/>
        </w:rPr>
        <w:t>.</w:t>
      </w:r>
      <w:r w:rsidR="009F3898">
        <w:rPr>
          <w:rFonts w:ascii="Verdana" w:hAnsi="Verdana"/>
          <w:i/>
          <w:sz w:val="20"/>
          <w:szCs w:val="20"/>
        </w:rPr>
        <w:t xml:space="preserve"> Ecuador</w:t>
      </w:r>
      <w:r w:rsidRPr="00780CDD">
        <w:rPr>
          <w:rFonts w:ascii="Verdana" w:hAnsi="Verdana"/>
          <w:sz w:val="20"/>
          <w:szCs w:val="20"/>
        </w:rPr>
        <w:t xml:space="preserve"> se dispuso que </w:t>
      </w:r>
      <w:r w:rsidRPr="00780CDD">
        <w:rPr>
          <w:rFonts w:ascii="Verdana" w:eastAsiaTheme="minorHAnsi" w:hAnsi="Verdana"/>
          <w:sz w:val="20"/>
          <w:szCs w:val="20"/>
        </w:rPr>
        <w:t xml:space="preserve">los Estados deben </w:t>
      </w:r>
      <w:r w:rsidRPr="00780CDD">
        <w:rPr>
          <w:rFonts w:ascii="Verdana" w:eastAsia="HiddenHorzOCR" w:hAnsi="Verdana"/>
          <w:sz w:val="20"/>
          <w:szCs w:val="20"/>
        </w:rPr>
        <w:t xml:space="preserve">garantizar </w:t>
      </w:r>
      <w:r w:rsidRPr="00780CDD">
        <w:rPr>
          <w:rFonts w:ascii="Verdana" w:eastAsiaTheme="minorHAnsi" w:hAnsi="Verdana"/>
          <w:sz w:val="20"/>
          <w:szCs w:val="20"/>
        </w:rPr>
        <w:t xml:space="preserve">el derecho de los pueblos indígenas </w:t>
      </w:r>
      <w:r w:rsidR="009F3898">
        <w:rPr>
          <w:rFonts w:ascii="Verdana" w:eastAsiaTheme="minorHAnsi" w:hAnsi="Verdana"/>
          <w:sz w:val="20"/>
          <w:szCs w:val="20"/>
        </w:rPr>
        <w:t>a</w:t>
      </w:r>
      <w:r w:rsidRPr="00780CDD">
        <w:rPr>
          <w:rFonts w:ascii="Verdana" w:eastAsiaTheme="minorHAnsi" w:hAnsi="Verdana"/>
          <w:sz w:val="20"/>
          <w:szCs w:val="20"/>
        </w:rPr>
        <w:t>l control y uso de su territorio y recursos naturales</w:t>
      </w:r>
      <w:r w:rsidRPr="00BE3079">
        <w:rPr>
          <w:rFonts w:ascii="Verdana" w:eastAsiaTheme="minorHAnsi" w:hAnsi="Verdana"/>
          <w:sz w:val="20"/>
          <w:szCs w:val="20"/>
          <w:vertAlign w:val="superscript"/>
        </w:rPr>
        <w:footnoteReference w:id="215"/>
      </w:r>
      <w:r w:rsidRPr="00780CDD">
        <w:rPr>
          <w:rFonts w:ascii="Verdana" w:eastAsiaTheme="minorHAnsi" w:hAnsi="Verdana"/>
          <w:sz w:val="20"/>
          <w:szCs w:val="20"/>
        </w:rPr>
        <w:t>. La Comisión Interamericana también se ha pronunciado al respecto</w:t>
      </w:r>
      <w:r w:rsidRPr="00BE3079">
        <w:rPr>
          <w:rStyle w:val="FootnoteReference"/>
          <w:rFonts w:eastAsiaTheme="minorHAnsi"/>
          <w:szCs w:val="20"/>
        </w:rPr>
        <w:footnoteReference w:id="216"/>
      </w:r>
      <w:r w:rsidRPr="00780CDD">
        <w:rPr>
          <w:rFonts w:ascii="Verdana" w:eastAsiaTheme="minorHAnsi" w:hAnsi="Verdana"/>
          <w:sz w:val="20"/>
          <w:szCs w:val="20"/>
        </w:rPr>
        <w:t>.</w:t>
      </w:r>
    </w:p>
    <w:p w14:paraId="0C704AC8" w14:textId="69B87547"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lastRenderedPageBreak/>
        <w:t xml:space="preserve">Por su parte, el Convenio 169 de la OIT, en su </w:t>
      </w:r>
      <w:r>
        <w:rPr>
          <w:rFonts w:ascii="Verdana" w:hAnsi="Verdana"/>
          <w:sz w:val="20"/>
          <w:szCs w:val="20"/>
        </w:rPr>
        <w:t xml:space="preserve">artículo 14.1 señala que “[…] deberán tomarse medidas para salvaguardar el derecho de los pueblos interesados a utilizar tierras que no estén exclusivamente ocupadas por ellos, pero a las que hayan tenido tradicionalmente acceso para sus actividades tradicionales y de subsistencia”. El artículo 14.2 dispone que “los gobiernos deberán […] garantizar la protección efectiva de sus derechos de propiedad y posesión”. Asimismo, el artículo </w:t>
      </w:r>
      <w:r w:rsidRPr="000955FE">
        <w:rPr>
          <w:rFonts w:ascii="Verdana" w:hAnsi="Verdana"/>
          <w:sz w:val="20"/>
          <w:szCs w:val="20"/>
        </w:rPr>
        <w:t>17.3 señala la obligación de los Estados parte de impedir que personas ajenas a las comunidades indígenas obtengan la propiedad, posesión o uso de los territorios indígenas</w:t>
      </w:r>
      <w:r w:rsidR="00062FE7">
        <w:rPr>
          <w:rFonts w:ascii="Verdana" w:hAnsi="Verdana"/>
          <w:sz w:val="20"/>
          <w:szCs w:val="20"/>
        </w:rPr>
        <w:t xml:space="preserve"> aprovechándose de sus costumbres o de su desconocimiento de la ley</w:t>
      </w:r>
      <w:r w:rsidRPr="000955FE">
        <w:rPr>
          <w:rFonts w:ascii="Verdana" w:hAnsi="Verdana"/>
          <w:sz w:val="20"/>
          <w:szCs w:val="20"/>
        </w:rPr>
        <w:t>.</w:t>
      </w:r>
      <w:r>
        <w:rPr>
          <w:rFonts w:ascii="Verdana" w:hAnsi="Verdana"/>
          <w:sz w:val="20"/>
          <w:szCs w:val="20"/>
        </w:rPr>
        <w:t xml:space="preserve"> En su</w:t>
      </w:r>
      <w:r w:rsidRPr="000955FE">
        <w:rPr>
          <w:rFonts w:ascii="Verdana" w:hAnsi="Verdana"/>
          <w:sz w:val="20"/>
          <w:szCs w:val="20"/>
        </w:rPr>
        <w:t xml:space="preserve"> artículo 18 dispone que “[l]a ley deberá prever sanciones apropiadas contra toda intrusión no autorizada en las tierras de los pueblos interesados o todo uso no autorizado de las mismas por personas ajenas a ellos, y los gobiernos deberán tomar medidas para impedir tales infracciones”. </w:t>
      </w:r>
    </w:p>
    <w:p w14:paraId="0C704AC9" w14:textId="77777777" w:rsidR="00F02DDD" w:rsidRPr="000955FE" w:rsidRDefault="00F02DDD" w:rsidP="00F02DDD">
      <w:pPr>
        <w:pStyle w:val="ListParagraph"/>
        <w:rPr>
          <w:rFonts w:ascii="Verdana" w:hAnsi="Verdana"/>
          <w:sz w:val="20"/>
          <w:szCs w:val="20"/>
        </w:rPr>
      </w:pPr>
    </w:p>
    <w:p w14:paraId="0C704ACA" w14:textId="61B291FE"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 xml:space="preserve">En este mismo sentido, la Declaración sobre los Derechos de los Pueblos Indígenas de la ONU </w:t>
      </w:r>
      <w:r>
        <w:rPr>
          <w:rFonts w:ascii="Verdana" w:hAnsi="Verdana"/>
          <w:sz w:val="20"/>
          <w:szCs w:val="20"/>
        </w:rPr>
        <w:t>reconoce</w:t>
      </w:r>
      <w:r w:rsidRPr="000955FE">
        <w:rPr>
          <w:rFonts w:ascii="Verdana" w:hAnsi="Verdana"/>
          <w:sz w:val="20"/>
          <w:szCs w:val="20"/>
        </w:rPr>
        <w:t xml:space="preserve"> en su artículo 26 “el derecho a las tierras, territorios y recursos que tradicionalmente han poseído, ocupado o utilizado o adquirido”, así como el derecho a poseer, utilizar, desarrollar y controlar esas tierras, por lo que los Estados deben asegurar el reconocimiento y protección jurídicos de esos territorios respetando las costumbres, tradiciones y los sistemas de tenencia de la tierra de los pueblos indígenas</w:t>
      </w:r>
      <w:r w:rsidRPr="000955FE">
        <w:rPr>
          <w:rStyle w:val="FootnoteReference"/>
          <w:szCs w:val="20"/>
        </w:rPr>
        <w:footnoteReference w:id="217"/>
      </w:r>
      <w:r w:rsidRPr="000955FE">
        <w:rPr>
          <w:rFonts w:ascii="Verdana" w:hAnsi="Verdana"/>
          <w:sz w:val="20"/>
          <w:szCs w:val="20"/>
        </w:rPr>
        <w:t>.</w:t>
      </w:r>
      <w:bookmarkStart w:id="77" w:name="_ftnref1"/>
      <w:bookmarkEnd w:id="77"/>
    </w:p>
    <w:p w14:paraId="0C704ACB" w14:textId="77777777" w:rsidR="00F02DDD" w:rsidRPr="000955FE" w:rsidRDefault="00F02DDD" w:rsidP="00F02DDD">
      <w:pPr>
        <w:pStyle w:val="ListParagraph"/>
        <w:rPr>
          <w:rFonts w:ascii="Verdana" w:eastAsiaTheme="minorHAnsi" w:hAnsi="Verdana"/>
          <w:sz w:val="20"/>
          <w:szCs w:val="20"/>
        </w:rPr>
      </w:pPr>
    </w:p>
    <w:p w14:paraId="0C704ACC" w14:textId="6D99027A"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eastAsiaTheme="minorHAnsi" w:hAnsi="Verdana"/>
          <w:sz w:val="20"/>
          <w:szCs w:val="20"/>
        </w:rPr>
        <w:t xml:space="preserve">De igual manera, el Comité contra la Discriminación Racial en su Observación General No. 23 exhortó a los Estados a que “reconozcan y protejan los derechos de los </w:t>
      </w:r>
      <w:r w:rsidR="00A773A1">
        <w:rPr>
          <w:rFonts w:ascii="Verdana" w:eastAsiaTheme="minorHAnsi" w:hAnsi="Verdana"/>
          <w:sz w:val="20"/>
          <w:szCs w:val="20"/>
        </w:rPr>
        <w:t>[</w:t>
      </w:r>
      <w:r w:rsidRPr="000955FE">
        <w:rPr>
          <w:rFonts w:ascii="Verdana" w:eastAsiaTheme="minorHAnsi" w:hAnsi="Verdana"/>
          <w:sz w:val="20"/>
          <w:szCs w:val="20"/>
        </w:rPr>
        <w:t>P</w:t>
      </w:r>
      <w:r w:rsidR="00A773A1">
        <w:rPr>
          <w:rFonts w:ascii="Verdana" w:eastAsiaTheme="minorHAnsi" w:hAnsi="Verdana"/>
          <w:sz w:val="20"/>
          <w:szCs w:val="20"/>
        </w:rPr>
        <w:t>]</w:t>
      </w:r>
      <w:proofErr w:type="spellStart"/>
      <w:r w:rsidRPr="000955FE">
        <w:rPr>
          <w:rFonts w:ascii="Verdana" w:eastAsiaTheme="minorHAnsi" w:hAnsi="Verdana"/>
          <w:sz w:val="20"/>
          <w:szCs w:val="20"/>
        </w:rPr>
        <w:t>ueblos</w:t>
      </w:r>
      <w:proofErr w:type="spellEnd"/>
      <w:r w:rsidRPr="000955FE">
        <w:rPr>
          <w:rFonts w:ascii="Verdana" w:eastAsiaTheme="minorHAnsi" w:hAnsi="Verdana"/>
          <w:sz w:val="20"/>
          <w:szCs w:val="20"/>
        </w:rPr>
        <w:t xml:space="preserve"> </w:t>
      </w:r>
      <w:r w:rsidR="00A773A1">
        <w:rPr>
          <w:rFonts w:ascii="Verdana" w:eastAsiaTheme="minorHAnsi" w:hAnsi="Verdana"/>
          <w:sz w:val="20"/>
          <w:szCs w:val="20"/>
        </w:rPr>
        <w:t>[</w:t>
      </w:r>
      <w:r w:rsidRPr="000955FE">
        <w:rPr>
          <w:rFonts w:ascii="Verdana" w:eastAsiaTheme="minorHAnsi" w:hAnsi="Verdana"/>
          <w:sz w:val="20"/>
          <w:szCs w:val="20"/>
        </w:rPr>
        <w:t>I</w:t>
      </w:r>
      <w:r w:rsidR="00A773A1">
        <w:rPr>
          <w:rFonts w:ascii="Verdana" w:eastAsiaTheme="minorHAnsi" w:hAnsi="Verdana"/>
          <w:sz w:val="20"/>
          <w:szCs w:val="20"/>
        </w:rPr>
        <w:t>]</w:t>
      </w:r>
      <w:proofErr w:type="spellStart"/>
      <w:r w:rsidRPr="000955FE">
        <w:rPr>
          <w:rFonts w:ascii="Verdana" w:eastAsiaTheme="minorHAnsi" w:hAnsi="Verdana"/>
          <w:sz w:val="20"/>
          <w:szCs w:val="20"/>
        </w:rPr>
        <w:t>ndígenas</w:t>
      </w:r>
      <w:proofErr w:type="spellEnd"/>
      <w:r w:rsidRPr="000955FE">
        <w:rPr>
          <w:rFonts w:ascii="Verdana" w:eastAsiaTheme="minorHAnsi" w:hAnsi="Verdana"/>
          <w:sz w:val="20"/>
          <w:szCs w:val="20"/>
        </w:rPr>
        <w:t xml:space="preserve"> a poseer, explotar, controlar y utilizar sus tierras [y que cuando han sido ocupados por terceros sin </w:t>
      </w:r>
      <w:r w:rsidR="00A773A1">
        <w:rPr>
          <w:rFonts w:ascii="Verdana" w:eastAsiaTheme="minorHAnsi" w:hAnsi="Verdana"/>
          <w:sz w:val="20"/>
          <w:szCs w:val="20"/>
        </w:rPr>
        <w:t>el</w:t>
      </w:r>
      <w:r w:rsidRPr="000955FE">
        <w:rPr>
          <w:rFonts w:ascii="Verdana" w:eastAsiaTheme="minorHAnsi" w:hAnsi="Verdana"/>
          <w:sz w:val="20"/>
          <w:szCs w:val="20"/>
        </w:rPr>
        <w:t xml:space="preserve"> consentimiento libre e informado de esos pueblos</w:t>
      </w:r>
      <w:r w:rsidR="00A773A1">
        <w:rPr>
          <w:rFonts w:ascii="Verdana" w:eastAsiaTheme="minorHAnsi" w:hAnsi="Verdana"/>
          <w:sz w:val="20"/>
          <w:szCs w:val="20"/>
        </w:rPr>
        <w:t>]</w:t>
      </w:r>
      <w:r w:rsidRPr="000955FE">
        <w:rPr>
          <w:rFonts w:ascii="Verdana" w:eastAsiaTheme="minorHAnsi" w:hAnsi="Verdana"/>
          <w:sz w:val="20"/>
          <w:szCs w:val="20"/>
        </w:rPr>
        <w:t xml:space="preserve">, </w:t>
      </w:r>
      <w:r w:rsidR="00A773A1">
        <w:rPr>
          <w:rFonts w:ascii="Verdana" w:eastAsiaTheme="minorHAnsi" w:hAnsi="Verdana"/>
          <w:sz w:val="20"/>
          <w:szCs w:val="20"/>
        </w:rPr>
        <w:t xml:space="preserve">[se] </w:t>
      </w:r>
      <w:r w:rsidRPr="000955FE">
        <w:rPr>
          <w:rFonts w:ascii="Verdana" w:eastAsiaTheme="minorHAnsi" w:hAnsi="Verdana"/>
          <w:sz w:val="20"/>
          <w:szCs w:val="20"/>
        </w:rPr>
        <w:t>adopten medidas para que sean devueltas”</w:t>
      </w:r>
      <w:r w:rsidRPr="000955FE">
        <w:rPr>
          <w:rFonts w:ascii="Verdana" w:eastAsiaTheme="minorHAnsi" w:hAnsi="Verdana"/>
          <w:sz w:val="20"/>
          <w:szCs w:val="20"/>
          <w:vertAlign w:val="superscript"/>
        </w:rPr>
        <w:footnoteReference w:id="218"/>
      </w:r>
      <w:r w:rsidRPr="000955FE">
        <w:rPr>
          <w:rFonts w:ascii="Verdana" w:eastAsiaTheme="minorHAnsi" w:hAnsi="Verdana"/>
          <w:sz w:val="20"/>
          <w:szCs w:val="20"/>
        </w:rPr>
        <w:t>.</w:t>
      </w:r>
    </w:p>
    <w:p w14:paraId="0C704ACD" w14:textId="77777777" w:rsidR="00F02DDD" w:rsidRPr="000955FE" w:rsidRDefault="00F02DDD" w:rsidP="00F02DDD">
      <w:pPr>
        <w:rPr>
          <w:rFonts w:eastAsiaTheme="minorHAnsi"/>
        </w:rPr>
      </w:pPr>
    </w:p>
    <w:p w14:paraId="0C704ACE" w14:textId="4F3E82B6" w:rsidR="00F02DDD" w:rsidRPr="000955FE" w:rsidRDefault="00F02DDD" w:rsidP="00F02DDD">
      <w:pPr>
        <w:pStyle w:val="ListParagraph"/>
        <w:numPr>
          <w:ilvl w:val="0"/>
          <w:numId w:val="17"/>
        </w:numPr>
        <w:ind w:left="0" w:hanging="11"/>
        <w:jc w:val="both"/>
        <w:rPr>
          <w:rFonts w:ascii="Verdana" w:hAnsi="Verdana"/>
          <w:sz w:val="20"/>
          <w:szCs w:val="20"/>
          <w:lang w:val="es-CR"/>
        </w:rPr>
      </w:pPr>
      <w:r>
        <w:rPr>
          <w:rFonts w:ascii="Verdana" w:eastAsiaTheme="minorHAnsi" w:hAnsi="Verdana"/>
          <w:sz w:val="20"/>
          <w:szCs w:val="20"/>
        </w:rPr>
        <w:t>La</w:t>
      </w:r>
      <w:r w:rsidRPr="000955FE">
        <w:rPr>
          <w:rFonts w:ascii="Verdana" w:eastAsiaTheme="minorHAnsi" w:hAnsi="Verdana"/>
          <w:sz w:val="20"/>
          <w:szCs w:val="20"/>
        </w:rPr>
        <w:t xml:space="preserve"> Relator</w:t>
      </w:r>
      <w:r>
        <w:rPr>
          <w:rFonts w:ascii="Verdana" w:eastAsiaTheme="minorHAnsi" w:hAnsi="Verdana"/>
          <w:sz w:val="20"/>
          <w:szCs w:val="20"/>
        </w:rPr>
        <w:t>ía</w:t>
      </w:r>
      <w:r w:rsidRPr="000955FE">
        <w:rPr>
          <w:rFonts w:ascii="Verdana" w:eastAsiaTheme="minorHAnsi" w:hAnsi="Verdana"/>
          <w:sz w:val="20"/>
          <w:szCs w:val="20"/>
        </w:rPr>
        <w:t xml:space="preserve"> Especial sobre los Derechos de los Pueblos Indígenas de la ONU </w:t>
      </w:r>
      <w:r w:rsidRPr="00BF5E31">
        <w:rPr>
          <w:rFonts w:ascii="Verdana" w:eastAsiaTheme="minorHAnsi" w:hAnsi="Verdana"/>
          <w:sz w:val="20"/>
          <w:szCs w:val="20"/>
        </w:rPr>
        <w:t xml:space="preserve">ha resaltado la obligación de </w:t>
      </w:r>
      <w:r w:rsidRPr="00012F57">
        <w:rPr>
          <w:rFonts w:ascii="Verdana" w:eastAsiaTheme="minorHAnsi" w:hAnsi="Verdana"/>
          <w:sz w:val="20"/>
          <w:szCs w:val="20"/>
        </w:rPr>
        <w:t>garantizar el uso y goce de la propiedad indígena y tribal, cuando este se encuentra ocupado por terceros, a través del saneamiento del territorio</w:t>
      </w:r>
      <w:r w:rsidRPr="00BF5E31">
        <w:rPr>
          <w:rFonts w:ascii="Verdana" w:eastAsiaTheme="minorHAnsi" w:hAnsi="Verdana"/>
          <w:sz w:val="20"/>
          <w:szCs w:val="20"/>
          <w:vertAlign w:val="superscript"/>
        </w:rPr>
        <w:footnoteReference w:id="219"/>
      </w:r>
      <w:r w:rsidRPr="00BF5E31">
        <w:rPr>
          <w:rFonts w:ascii="Verdana" w:eastAsiaTheme="minorHAnsi" w:hAnsi="Verdana"/>
          <w:sz w:val="20"/>
          <w:szCs w:val="20"/>
        </w:rPr>
        <w:t>.</w:t>
      </w:r>
      <w:r w:rsidRPr="00F256CF">
        <w:rPr>
          <w:rFonts w:ascii="Verdana" w:eastAsiaTheme="minorHAnsi" w:hAnsi="Verdana"/>
          <w:sz w:val="20"/>
          <w:szCs w:val="20"/>
        </w:rPr>
        <w:t xml:space="preserve"> Por su parte, en</w:t>
      </w:r>
      <w:r w:rsidRPr="000955FE">
        <w:rPr>
          <w:rFonts w:ascii="Verdana" w:eastAsiaTheme="minorHAnsi" w:hAnsi="Verdana"/>
          <w:sz w:val="20"/>
          <w:szCs w:val="20"/>
        </w:rPr>
        <w:t xml:space="preserve"> su peritaje ante esta Corte, </w:t>
      </w:r>
      <w:r w:rsidR="00BD1885">
        <w:rPr>
          <w:rFonts w:ascii="Verdana" w:eastAsiaTheme="minorHAnsi" w:hAnsi="Verdana"/>
          <w:sz w:val="20"/>
          <w:szCs w:val="20"/>
        </w:rPr>
        <w:t xml:space="preserve">el ex Relator, </w:t>
      </w:r>
      <w:r w:rsidRPr="000955FE">
        <w:rPr>
          <w:rFonts w:ascii="Verdana" w:eastAsiaTheme="minorHAnsi" w:hAnsi="Verdana"/>
          <w:sz w:val="20"/>
          <w:szCs w:val="20"/>
        </w:rPr>
        <w:t xml:space="preserve">James Anaya </w:t>
      </w:r>
      <w:r w:rsidRPr="00BF5E31">
        <w:rPr>
          <w:rFonts w:ascii="Verdana" w:eastAsiaTheme="minorHAnsi" w:hAnsi="Verdana"/>
          <w:sz w:val="20"/>
          <w:szCs w:val="20"/>
        </w:rPr>
        <w:t>resaltó el</w:t>
      </w:r>
      <w:r w:rsidRPr="000955FE">
        <w:rPr>
          <w:rFonts w:ascii="Verdana" w:eastAsiaTheme="minorHAnsi" w:hAnsi="Verdana"/>
          <w:sz w:val="20"/>
          <w:szCs w:val="20"/>
        </w:rPr>
        <w:t xml:space="preserve"> deber de los Estados de garantizar el derecho a la propiedad colectiva de pueblos indígenas frente a la invasión de personas no indígenas, así como de resolver la situación de conflictividad derivada de tales situaciones</w:t>
      </w:r>
      <w:r w:rsidRPr="000955FE">
        <w:rPr>
          <w:rFonts w:ascii="Verdana" w:eastAsiaTheme="minorHAnsi" w:hAnsi="Verdana"/>
          <w:sz w:val="20"/>
          <w:szCs w:val="20"/>
          <w:vertAlign w:val="superscript"/>
        </w:rPr>
        <w:footnoteReference w:id="220"/>
      </w:r>
      <w:r w:rsidRPr="000955FE">
        <w:rPr>
          <w:rFonts w:ascii="Verdana" w:eastAsiaTheme="minorHAnsi" w:hAnsi="Verdana"/>
          <w:sz w:val="20"/>
          <w:szCs w:val="20"/>
        </w:rPr>
        <w:t xml:space="preserve">. </w:t>
      </w:r>
    </w:p>
    <w:p w14:paraId="0C704ACF" w14:textId="77777777" w:rsidR="00F02DDD" w:rsidRPr="000955FE" w:rsidRDefault="00F02DDD" w:rsidP="00F02DDD">
      <w:pPr>
        <w:pStyle w:val="ListParagraph"/>
        <w:rPr>
          <w:rFonts w:ascii="Verdana" w:hAnsi="Verdana"/>
          <w:sz w:val="20"/>
          <w:szCs w:val="20"/>
        </w:rPr>
      </w:pPr>
    </w:p>
    <w:p w14:paraId="0C704AD0" w14:textId="1B43866F"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lastRenderedPageBreak/>
        <w:t>Por su parte, el Perito José A</w:t>
      </w:r>
      <w:r>
        <w:rPr>
          <w:rFonts w:ascii="Verdana" w:hAnsi="Verdana"/>
          <w:sz w:val="20"/>
          <w:szCs w:val="20"/>
        </w:rPr>
        <w:t>y</w:t>
      </w:r>
      <w:r w:rsidRPr="000955FE">
        <w:rPr>
          <w:rFonts w:ascii="Verdana" w:hAnsi="Verdana"/>
          <w:sz w:val="20"/>
          <w:szCs w:val="20"/>
        </w:rPr>
        <w:t xml:space="preserve">lwin señaló </w:t>
      </w:r>
      <w:r>
        <w:rPr>
          <w:rFonts w:ascii="Verdana" w:hAnsi="Verdana"/>
          <w:sz w:val="20"/>
          <w:szCs w:val="20"/>
        </w:rPr>
        <w:t>(</w:t>
      </w:r>
      <w:r w:rsidRPr="00F22EE1">
        <w:rPr>
          <w:rFonts w:ascii="Verdana" w:hAnsi="Verdana"/>
          <w:i/>
          <w:sz w:val="20"/>
          <w:szCs w:val="20"/>
        </w:rPr>
        <w:t>supra</w:t>
      </w:r>
      <w:r>
        <w:rPr>
          <w:rFonts w:ascii="Verdana" w:hAnsi="Verdana"/>
          <w:sz w:val="20"/>
          <w:szCs w:val="20"/>
        </w:rPr>
        <w:t xml:space="preserve">, párr. </w:t>
      </w:r>
      <w:r w:rsidR="00685C33">
        <w:rPr>
          <w:rFonts w:ascii="Verdana" w:hAnsi="Verdana"/>
          <w:sz w:val="20"/>
          <w:szCs w:val="20"/>
        </w:rPr>
        <w:t>10</w:t>
      </w:r>
      <w:r>
        <w:rPr>
          <w:rFonts w:ascii="Verdana" w:hAnsi="Verdana"/>
          <w:sz w:val="20"/>
          <w:szCs w:val="20"/>
        </w:rPr>
        <w:t xml:space="preserve">) </w:t>
      </w:r>
      <w:r w:rsidRPr="000955FE">
        <w:rPr>
          <w:rFonts w:ascii="Verdana" w:hAnsi="Verdana"/>
          <w:sz w:val="20"/>
          <w:szCs w:val="20"/>
        </w:rPr>
        <w:t xml:space="preserve">que:  </w:t>
      </w:r>
    </w:p>
    <w:p w14:paraId="0C704AD1" w14:textId="77777777" w:rsidR="00F02DDD" w:rsidRDefault="00F02DDD" w:rsidP="00F02DDD">
      <w:pPr>
        <w:rPr>
          <w:rFonts w:ascii="Verdana" w:hAnsi="Verdana"/>
          <w:sz w:val="20"/>
          <w:szCs w:val="20"/>
        </w:rPr>
      </w:pPr>
    </w:p>
    <w:p w14:paraId="0C704AD2" w14:textId="64EBFD03" w:rsidR="00F02DDD" w:rsidRDefault="00F02DDD" w:rsidP="00C45602">
      <w:pPr>
        <w:ind w:left="708"/>
        <w:jc w:val="both"/>
        <w:rPr>
          <w:rFonts w:ascii="Verdana" w:hAnsi="Verdana"/>
          <w:sz w:val="18"/>
          <w:szCs w:val="18"/>
        </w:rPr>
      </w:pPr>
      <w:r w:rsidRPr="00755445">
        <w:rPr>
          <w:rFonts w:ascii="Verdana" w:hAnsi="Verdana"/>
          <w:sz w:val="18"/>
          <w:szCs w:val="18"/>
        </w:rPr>
        <w:t>“Los Estados deben además prevenir la apropiación e invasión de sus tierras y territorios [indígenas] por parte de terceros […]. [Del mismo modo] [</w:t>
      </w:r>
      <w:proofErr w:type="gramStart"/>
      <w:r w:rsidRPr="00755445">
        <w:rPr>
          <w:rFonts w:ascii="Verdana" w:hAnsi="Verdana"/>
          <w:sz w:val="18"/>
          <w:szCs w:val="18"/>
        </w:rPr>
        <w:t>l]</w:t>
      </w:r>
      <w:proofErr w:type="gramEnd"/>
      <w:r w:rsidRPr="00755445">
        <w:rPr>
          <w:rFonts w:ascii="Verdana" w:hAnsi="Verdana"/>
          <w:sz w:val="18"/>
          <w:szCs w:val="18"/>
        </w:rPr>
        <w:t>os pueblos indígenas tienen derecho a que los Estados les protejan de ataques de terceros en el contexto de conflicto sobre la propiedad adoptando para ello medidas especiales en atención a su situación particular de vulnerabilidad”</w:t>
      </w:r>
      <w:r w:rsidR="00BD1885">
        <w:rPr>
          <w:rFonts w:ascii="Verdana" w:hAnsi="Verdana"/>
          <w:sz w:val="18"/>
          <w:szCs w:val="18"/>
        </w:rPr>
        <w:t>.</w:t>
      </w:r>
      <w:r>
        <w:rPr>
          <w:rFonts w:ascii="Verdana" w:hAnsi="Verdana"/>
          <w:sz w:val="18"/>
          <w:szCs w:val="18"/>
        </w:rPr>
        <w:t xml:space="preserve"> </w:t>
      </w:r>
      <w:r w:rsidRPr="00393C85">
        <w:rPr>
          <w:rFonts w:ascii="Verdana" w:hAnsi="Verdana"/>
          <w:sz w:val="18"/>
          <w:szCs w:val="18"/>
        </w:rPr>
        <w:t>[…</w:t>
      </w:r>
      <w:r w:rsidR="000E3C82">
        <w:rPr>
          <w:rFonts w:ascii="Verdana" w:hAnsi="Verdana"/>
          <w:sz w:val="18"/>
          <w:szCs w:val="18"/>
        </w:rPr>
        <w:t xml:space="preserve">]. </w:t>
      </w:r>
      <w:r w:rsidRPr="007926DD">
        <w:rPr>
          <w:rFonts w:ascii="Verdana" w:hAnsi="Verdana"/>
          <w:sz w:val="18"/>
          <w:szCs w:val="18"/>
        </w:rPr>
        <w:t>[La obligación de sanear los territorios] [</w:t>
      </w:r>
      <w:proofErr w:type="gramStart"/>
      <w:r w:rsidRPr="007926DD">
        <w:rPr>
          <w:rFonts w:ascii="Verdana" w:hAnsi="Verdana"/>
          <w:sz w:val="18"/>
          <w:szCs w:val="18"/>
        </w:rPr>
        <w:t>e]</w:t>
      </w:r>
      <w:proofErr w:type="gramEnd"/>
      <w:r w:rsidRPr="007926DD">
        <w:rPr>
          <w:rFonts w:ascii="Verdana" w:hAnsi="Verdana"/>
          <w:sz w:val="18"/>
          <w:szCs w:val="18"/>
        </w:rPr>
        <w:t>s una realidad común a much</w:t>
      </w:r>
      <w:r w:rsidR="000E3C82">
        <w:rPr>
          <w:rFonts w:ascii="Verdana" w:hAnsi="Verdana"/>
          <w:sz w:val="18"/>
          <w:szCs w:val="18"/>
        </w:rPr>
        <w:t>a</w:t>
      </w:r>
      <w:r w:rsidRPr="007926DD">
        <w:rPr>
          <w:rFonts w:ascii="Verdana" w:hAnsi="Verdana"/>
          <w:sz w:val="18"/>
          <w:szCs w:val="18"/>
        </w:rPr>
        <w:t>s tierras […] indígenas de oc</w:t>
      </w:r>
      <w:r w:rsidRPr="00755445">
        <w:rPr>
          <w:rFonts w:ascii="Verdana" w:hAnsi="Verdana"/>
          <w:sz w:val="18"/>
          <w:szCs w:val="18"/>
        </w:rPr>
        <w:t>upación tradicional [</w:t>
      </w:r>
      <w:r w:rsidR="000E3C82">
        <w:rPr>
          <w:rFonts w:ascii="Verdana" w:hAnsi="Verdana"/>
          <w:sz w:val="18"/>
          <w:szCs w:val="18"/>
        </w:rPr>
        <w:t>en la que</w:t>
      </w:r>
      <w:r w:rsidRPr="00755445">
        <w:rPr>
          <w:rFonts w:ascii="Verdana" w:hAnsi="Verdana"/>
          <w:sz w:val="18"/>
          <w:szCs w:val="18"/>
        </w:rPr>
        <w:t>] los procesos de identificación, demarcación, se encuentran con las propiedades de terceros, muchas veces propiedades ilegales y en ocasiones de buena fe […]. Las obligaciones para los Estados son diversas, ellas incluyen la reubicación</w:t>
      </w:r>
      <w:r>
        <w:rPr>
          <w:rFonts w:ascii="Verdana" w:hAnsi="Verdana"/>
          <w:sz w:val="18"/>
          <w:szCs w:val="18"/>
        </w:rPr>
        <w:t xml:space="preserve"> </w:t>
      </w:r>
      <w:r w:rsidR="000E3C82">
        <w:rPr>
          <w:rFonts w:ascii="Verdana" w:hAnsi="Verdana"/>
          <w:sz w:val="18"/>
          <w:szCs w:val="18"/>
        </w:rPr>
        <w:t>[</w:t>
      </w:r>
      <w:r>
        <w:rPr>
          <w:rFonts w:ascii="Verdana" w:hAnsi="Verdana"/>
          <w:sz w:val="18"/>
          <w:szCs w:val="18"/>
        </w:rPr>
        <w:t>de tercero</w:t>
      </w:r>
      <w:r w:rsidR="000E3C82">
        <w:rPr>
          <w:rFonts w:ascii="Verdana" w:hAnsi="Verdana"/>
          <w:sz w:val="18"/>
          <w:szCs w:val="18"/>
        </w:rPr>
        <w:t>]</w:t>
      </w:r>
      <w:r w:rsidRPr="00755445">
        <w:rPr>
          <w:rFonts w:ascii="Verdana" w:hAnsi="Verdana"/>
          <w:sz w:val="18"/>
          <w:szCs w:val="18"/>
        </w:rPr>
        <w:t>, el pago de una compensación cuando hay mejoras y también el prevenir conflicto</w:t>
      </w:r>
      <w:r w:rsidR="000E3C82">
        <w:rPr>
          <w:rFonts w:ascii="Verdana" w:hAnsi="Verdana"/>
          <w:sz w:val="18"/>
          <w:szCs w:val="18"/>
        </w:rPr>
        <w:t>s</w:t>
      </w:r>
      <w:r w:rsidR="00C45602">
        <w:rPr>
          <w:rFonts w:ascii="Verdana" w:hAnsi="Verdana"/>
          <w:sz w:val="18"/>
          <w:szCs w:val="18"/>
        </w:rPr>
        <w:t xml:space="preserve"> </w:t>
      </w:r>
      <w:r w:rsidRPr="00755445">
        <w:rPr>
          <w:rFonts w:ascii="Verdana" w:hAnsi="Verdana"/>
          <w:sz w:val="18"/>
          <w:szCs w:val="18"/>
        </w:rPr>
        <w:t>que puedan suscitarse como consecuencia de esta intrusión de terceros en esos espacios”</w:t>
      </w:r>
      <w:r>
        <w:rPr>
          <w:rFonts w:ascii="Verdana" w:hAnsi="Verdana"/>
          <w:sz w:val="18"/>
          <w:szCs w:val="18"/>
        </w:rPr>
        <w:t>.</w:t>
      </w:r>
    </w:p>
    <w:p w14:paraId="0C704AD3" w14:textId="77777777" w:rsidR="00F02DDD" w:rsidRPr="000955FE" w:rsidRDefault="00F02DDD" w:rsidP="00F02DDD">
      <w:pPr>
        <w:ind w:left="708"/>
        <w:jc w:val="both"/>
        <w:rPr>
          <w:rFonts w:ascii="Verdana" w:hAnsi="Verdana"/>
          <w:sz w:val="20"/>
          <w:szCs w:val="20"/>
        </w:rPr>
      </w:pPr>
    </w:p>
    <w:p w14:paraId="0C704AD4" w14:textId="5B952E82" w:rsidR="006A0E8F" w:rsidRDefault="00F02DDD" w:rsidP="00A0324F">
      <w:pPr>
        <w:pStyle w:val="ListParagraph"/>
        <w:numPr>
          <w:ilvl w:val="0"/>
          <w:numId w:val="17"/>
        </w:numPr>
        <w:ind w:left="0" w:hanging="11"/>
        <w:jc w:val="both"/>
        <w:rPr>
          <w:rFonts w:ascii="Verdana" w:hAnsi="Verdana"/>
          <w:sz w:val="20"/>
          <w:szCs w:val="20"/>
          <w:lang w:val="es-CR"/>
        </w:rPr>
      </w:pPr>
      <w:r>
        <w:rPr>
          <w:rFonts w:ascii="Verdana" w:hAnsi="Verdana"/>
          <w:sz w:val="20"/>
          <w:szCs w:val="20"/>
        </w:rPr>
        <w:t>L</w:t>
      </w:r>
      <w:r w:rsidRPr="000955FE">
        <w:rPr>
          <w:rFonts w:ascii="Verdana" w:hAnsi="Verdana"/>
          <w:sz w:val="20"/>
          <w:szCs w:val="20"/>
        </w:rPr>
        <w:t xml:space="preserve">a Corte toma nota de </w:t>
      </w:r>
      <w:r>
        <w:rPr>
          <w:rFonts w:ascii="Verdana" w:hAnsi="Verdana"/>
          <w:sz w:val="20"/>
          <w:szCs w:val="20"/>
        </w:rPr>
        <w:t xml:space="preserve">países de la región como Colombia que reconocen expresamente </w:t>
      </w:r>
      <w:r w:rsidRPr="000955FE">
        <w:rPr>
          <w:rFonts w:ascii="Verdana" w:hAnsi="Verdana"/>
          <w:sz w:val="20"/>
          <w:szCs w:val="20"/>
        </w:rPr>
        <w:t>la obligación del saneamiento en su derecho interno</w:t>
      </w:r>
      <w:r>
        <w:rPr>
          <w:rFonts w:ascii="Verdana" w:hAnsi="Verdana"/>
          <w:sz w:val="20"/>
          <w:szCs w:val="20"/>
        </w:rPr>
        <w:t xml:space="preserve"> como garantía del uso y goce de la propiedad colectiva</w:t>
      </w:r>
      <w:r w:rsidRPr="000955FE">
        <w:rPr>
          <w:rFonts w:ascii="Verdana" w:hAnsi="Verdana"/>
          <w:sz w:val="20"/>
          <w:szCs w:val="20"/>
        </w:rPr>
        <w:t xml:space="preserve">. </w:t>
      </w:r>
      <w:r>
        <w:rPr>
          <w:rFonts w:ascii="Verdana" w:hAnsi="Verdana"/>
          <w:sz w:val="20"/>
          <w:szCs w:val="20"/>
        </w:rPr>
        <w:t xml:space="preserve">En este sentido, </w:t>
      </w:r>
      <w:r w:rsidRPr="000955FE">
        <w:rPr>
          <w:rFonts w:ascii="Verdana" w:hAnsi="Verdana"/>
          <w:sz w:val="20"/>
          <w:szCs w:val="20"/>
        </w:rPr>
        <w:t>en junio de 2013, la Corte Constitucional de Colombia emitió su Sentencia T-</w:t>
      </w:r>
      <w:r w:rsidRPr="003B56F9">
        <w:rPr>
          <w:rFonts w:ascii="Verdana" w:hAnsi="Verdana"/>
          <w:sz w:val="20"/>
          <w:szCs w:val="20"/>
        </w:rPr>
        <w:t>387/13, en la cual, utilizando varias de las fuentes anteriormente citadas</w:t>
      </w:r>
      <w:r w:rsidRPr="000955FE">
        <w:rPr>
          <w:rFonts w:ascii="Verdana" w:hAnsi="Verdana"/>
          <w:sz w:val="20"/>
          <w:szCs w:val="20"/>
          <w:vertAlign w:val="superscript"/>
        </w:rPr>
        <w:footnoteReference w:id="221"/>
      </w:r>
      <w:r w:rsidRPr="003B56F9">
        <w:rPr>
          <w:rFonts w:ascii="Verdana" w:hAnsi="Verdana"/>
          <w:sz w:val="20"/>
          <w:szCs w:val="20"/>
        </w:rPr>
        <w:t>, determinó que el Estado se encuentra obligado a proteger los territorios colectivos e indicó que el derecho a la propiedad colectiva comprende la obligación de saneamiento y protección contra actos de terceros</w:t>
      </w:r>
      <w:r w:rsidRPr="000955FE">
        <w:rPr>
          <w:rFonts w:ascii="Verdana" w:hAnsi="Verdana"/>
          <w:sz w:val="20"/>
          <w:szCs w:val="20"/>
          <w:vertAlign w:val="superscript"/>
        </w:rPr>
        <w:footnoteReference w:id="222"/>
      </w:r>
      <w:r w:rsidRPr="003B56F9">
        <w:rPr>
          <w:rFonts w:ascii="Verdana" w:hAnsi="Verdana"/>
          <w:sz w:val="20"/>
          <w:szCs w:val="20"/>
        </w:rPr>
        <w:t>.</w:t>
      </w:r>
    </w:p>
    <w:p w14:paraId="0C704AD5" w14:textId="77777777" w:rsidR="002E04B3" w:rsidRPr="000955FE" w:rsidRDefault="002E04B3" w:rsidP="002E04B3">
      <w:pPr>
        <w:pStyle w:val="ListParagraph"/>
        <w:ind w:left="0"/>
        <w:jc w:val="both"/>
        <w:rPr>
          <w:rFonts w:ascii="Verdana" w:hAnsi="Verdana"/>
          <w:sz w:val="20"/>
          <w:szCs w:val="20"/>
          <w:lang w:val="es-CR"/>
        </w:rPr>
      </w:pPr>
    </w:p>
    <w:p w14:paraId="0C704AD6" w14:textId="052614CF" w:rsidR="00F02DDD" w:rsidRPr="004F423F"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18"/>
        </w:rPr>
        <w:t>Por su parte</w:t>
      </w:r>
      <w:r w:rsidRPr="004F423F">
        <w:rPr>
          <w:rFonts w:ascii="Verdana" w:hAnsi="Verdana"/>
          <w:sz w:val="20"/>
          <w:szCs w:val="18"/>
        </w:rPr>
        <w:t xml:space="preserve">, la Corte </w:t>
      </w:r>
      <w:r w:rsidR="00AE424F">
        <w:rPr>
          <w:rFonts w:ascii="Verdana" w:hAnsi="Verdana"/>
          <w:sz w:val="20"/>
          <w:szCs w:val="18"/>
        </w:rPr>
        <w:t xml:space="preserve">ha verificado </w:t>
      </w:r>
      <w:r w:rsidRPr="004F423F">
        <w:rPr>
          <w:rFonts w:ascii="Verdana" w:hAnsi="Verdana"/>
          <w:sz w:val="20"/>
          <w:szCs w:val="18"/>
        </w:rPr>
        <w:t>un consenso internacional respecto de la inalienabilidad e imprescriptibilidad de los territorios indígenas</w:t>
      </w:r>
      <w:r>
        <w:rPr>
          <w:rFonts w:ascii="Verdana" w:hAnsi="Verdana"/>
          <w:sz w:val="20"/>
          <w:szCs w:val="18"/>
        </w:rPr>
        <w:t xml:space="preserve"> como protección del uso y goce del territorio indígena</w:t>
      </w:r>
      <w:r w:rsidRPr="004F423F">
        <w:rPr>
          <w:rFonts w:ascii="Verdana" w:hAnsi="Verdana"/>
          <w:sz w:val="20"/>
          <w:szCs w:val="18"/>
        </w:rPr>
        <w:t xml:space="preserve">. En este sentido, también </w:t>
      </w:r>
      <w:r w:rsidR="00AE424F">
        <w:rPr>
          <w:rFonts w:ascii="Verdana" w:hAnsi="Verdana"/>
          <w:sz w:val="20"/>
          <w:szCs w:val="18"/>
        </w:rPr>
        <w:t xml:space="preserve">ha sido </w:t>
      </w:r>
      <w:r w:rsidRPr="004F423F">
        <w:rPr>
          <w:rFonts w:ascii="Verdana" w:hAnsi="Verdana"/>
          <w:sz w:val="20"/>
          <w:szCs w:val="18"/>
        </w:rPr>
        <w:t>regulado así en Honduras y varios países de la región, por ejemplo Argentina, Bolivia, Brasil, Chile, Colombia, Costa Rica, Ecuador, Paraguay, Perú y Venezuela</w:t>
      </w:r>
      <w:r w:rsidRPr="004F423F">
        <w:rPr>
          <w:rStyle w:val="FootnoteReference"/>
          <w:szCs w:val="18"/>
        </w:rPr>
        <w:footnoteReference w:id="223"/>
      </w:r>
      <w:r w:rsidRPr="004F423F">
        <w:rPr>
          <w:rFonts w:ascii="Verdana" w:hAnsi="Verdana"/>
          <w:sz w:val="20"/>
          <w:szCs w:val="18"/>
        </w:rPr>
        <w:t xml:space="preserve">.  </w:t>
      </w:r>
    </w:p>
    <w:p w14:paraId="0C704AD8" w14:textId="77777777" w:rsidR="00F02DDD" w:rsidRPr="00314598" w:rsidRDefault="00F02DDD" w:rsidP="00F02DDD">
      <w:pPr>
        <w:pStyle w:val="Heading4"/>
      </w:pPr>
      <w:bookmarkStart w:id="78" w:name="_Toc437247347"/>
      <w:r>
        <w:lastRenderedPageBreak/>
        <w:t>B.2.2 La garantía de</w:t>
      </w:r>
      <w:r w:rsidR="00AE424F">
        <w:t>l</w:t>
      </w:r>
      <w:r>
        <w:t xml:space="preserve"> uso y goce, a través del </w:t>
      </w:r>
      <w:r w:rsidRPr="00314598">
        <w:t xml:space="preserve"> </w:t>
      </w:r>
      <w:r>
        <w:t>s</w:t>
      </w:r>
      <w:r w:rsidRPr="00314598">
        <w:t xml:space="preserve">aneamiento </w:t>
      </w:r>
      <w:r>
        <w:t>en Honduras y el Acta Compromiso de 2001</w:t>
      </w:r>
      <w:bookmarkEnd w:id="78"/>
      <w:r>
        <w:t xml:space="preserve"> </w:t>
      </w:r>
    </w:p>
    <w:p w14:paraId="0C704AD9" w14:textId="77777777" w:rsidR="00F02DDD" w:rsidRPr="000955FE" w:rsidRDefault="00F02DDD" w:rsidP="00F02DDD">
      <w:pPr>
        <w:pStyle w:val="ListParagraph"/>
        <w:ind w:left="0"/>
        <w:jc w:val="both"/>
        <w:rPr>
          <w:rFonts w:ascii="Verdana" w:hAnsi="Verdana"/>
          <w:sz w:val="20"/>
          <w:szCs w:val="20"/>
          <w:lang w:val="es-PE"/>
        </w:rPr>
      </w:pPr>
    </w:p>
    <w:p w14:paraId="0C704ADA" w14:textId="2C30A995" w:rsidR="00F02DDD" w:rsidRPr="000955FE" w:rsidRDefault="00F02DDD" w:rsidP="00F02DDD">
      <w:pPr>
        <w:pStyle w:val="ListParagraph"/>
        <w:numPr>
          <w:ilvl w:val="0"/>
          <w:numId w:val="17"/>
        </w:numPr>
        <w:ind w:left="0" w:hanging="11"/>
        <w:jc w:val="both"/>
        <w:rPr>
          <w:rFonts w:ascii="Verdana" w:hAnsi="Verdana"/>
          <w:sz w:val="20"/>
          <w:szCs w:val="20"/>
          <w:lang w:val="es-CR"/>
        </w:rPr>
      </w:pPr>
      <w:r w:rsidRPr="000955FE">
        <w:rPr>
          <w:rFonts w:ascii="Verdana" w:hAnsi="Verdana"/>
          <w:sz w:val="20"/>
          <w:szCs w:val="20"/>
        </w:rPr>
        <w:t>La Corte nota</w:t>
      </w:r>
      <w:r w:rsidR="00B83CCD">
        <w:rPr>
          <w:rFonts w:ascii="Verdana" w:hAnsi="Verdana"/>
          <w:sz w:val="20"/>
          <w:szCs w:val="20"/>
        </w:rPr>
        <w:t xml:space="preserve"> </w:t>
      </w:r>
      <w:r w:rsidRPr="000955FE">
        <w:rPr>
          <w:rFonts w:ascii="Verdana" w:hAnsi="Verdana"/>
          <w:sz w:val="20"/>
          <w:szCs w:val="20"/>
        </w:rPr>
        <w:t xml:space="preserve">que no existe </w:t>
      </w:r>
      <w:r>
        <w:rPr>
          <w:rFonts w:ascii="Verdana" w:hAnsi="Verdana"/>
          <w:sz w:val="20"/>
          <w:szCs w:val="20"/>
        </w:rPr>
        <w:t>una concepción</w:t>
      </w:r>
      <w:r w:rsidRPr="000955FE">
        <w:rPr>
          <w:rFonts w:ascii="Verdana" w:hAnsi="Verdana"/>
          <w:sz w:val="20"/>
          <w:szCs w:val="20"/>
        </w:rPr>
        <w:t xml:space="preserve"> expresa del saneamiento en materia de territorios indígenas dentro de la legislación hondureña</w:t>
      </w:r>
      <w:r w:rsidRPr="000955FE">
        <w:rPr>
          <w:rFonts w:ascii="Verdana" w:hAnsi="Verdana"/>
          <w:sz w:val="20"/>
          <w:szCs w:val="20"/>
          <w:vertAlign w:val="superscript"/>
        </w:rPr>
        <w:footnoteReference w:id="224"/>
      </w:r>
      <w:r w:rsidRPr="000955FE">
        <w:rPr>
          <w:rFonts w:ascii="Verdana" w:hAnsi="Verdana"/>
          <w:sz w:val="20"/>
          <w:szCs w:val="20"/>
        </w:rPr>
        <w:t xml:space="preserve">. No obstante, el </w:t>
      </w:r>
      <w:r w:rsidR="00811881">
        <w:rPr>
          <w:rFonts w:ascii="Verdana" w:hAnsi="Verdana"/>
          <w:sz w:val="20"/>
          <w:szCs w:val="20"/>
        </w:rPr>
        <w:t>a</w:t>
      </w:r>
      <w:r w:rsidRPr="000955FE">
        <w:rPr>
          <w:rFonts w:ascii="Verdana" w:hAnsi="Verdana"/>
          <w:sz w:val="20"/>
          <w:szCs w:val="20"/>
        </w:rPr>
        <w:t xml:space="preserve">cta </w:t>
      </w:r>
      <w:r w:rsidR="00273CC9">
        <w:rPr>
          <w:rFonts w:ascii="Verdana" w:hAnsi="Verdana"/>
          <w:sz w:val="20"/>
          <w:szCs w:val="20"/>
        </w:rPr>
        <w:t>de c</w:t>
      </w:r>
      <w:r w:rsidRPr="000955FE">
        <w:rPr>
          <w:rFonts w:ascii="Verdana" w:hAnsi="Verdana"/>
          <w:sz w:val="20"/>
          <w:szCs w:val="20"/>
        </w:rPr>
        <w:t>ompromiso de 13 de diciembre de 2001 (</w:t>
      </w:r>
      <w:r w:rsidRPr="000955FE">
        <w:rPr>
          <w:rFonts w:ascii="Verdana" w:hAnsi="Verdana"/>
          <w:i/>
          <w:sz w:val="20"/>
          <w:szCs w:val="20"/>
        </w:rPr>
        <w:t>supra</w:t>
      </w:r>
      <w:r w:rsidRPr="000955FE">
        <w:rPr>
          <w:rFonts w:ascii="Verdana" w:hAnsi="Verdana"/>
          <w:sz w:val="20"/>
          <w:szCs w:val="20"/>
        </w:rPr>
        <w:t xml:space="preserve"> párr</w:t>
      </w:r>
      <w:r w:rsidR="0021193C">
        <w:rPr>
          <w:rFonts w:ascii="Verdana" w:hAnsi="Verdana"/>
          <w:sz w:val="20"/>
          <w:szCs w:val="20"/>
        </w:rPr>
        <w:t xml:space="preserve">s. </w:t>
      </w:r>
      <w:r w:rsidR="00273CC9">
        <w:rPr>
          <w:rFonts w:ascii="Verdana" w:hAnsi="Verdana"/>
          <w:sz w:val="20"/>
          <w:szCs w:val="20"/>
        </w:rPr>
        <w:t xml:space="preserve">113 y 114 </w:t>
      </w:r>
      <w:r w:rsidRPr="000955FE">
        <w:rPr>
          <w:rFonts w:ascii="Verdana" w:hAnsi="Verdana"/>
          <w:sz w:val="20"/>
          <w:szCs w:val="20"/>
        </w:rPr>
        <w:t>)</w:t>
      </w:r>
      <w:r w:rsidRPr="000955FE">
        <w:rPr>
          <w:rFonts w:ascii="Verdana" w:hAnsi="Verdana"/>
          <w:sz w:val="20"/>
          <w:szCs w:val="20"/>
          <w:vertAlign w:val="superscript"/>
        </w:rPr>
        <w:footnoteReference w:id="225"/>
      </w:r>
      <w:r w:rsidRPr="000955FE">
        <w:rPr>
          <w:rFonts w:ascii="Verdana" w:hAnsi="Verdana"/>
          <w:sz w:val="20"/>
          <w:szCs w:val="20"/>
        </w:rPr>
        <w:t xml:space="preserve">, </w:t>
      </w:r>
      <w:r>
        <w:rPr>
          <w:rFonts w:ascii="Verdana" w:hAnsi="Verdana"/>
          <w:sz w:val="20"/>
          <w:szCs w:val="20"/>
        </w:rPr>
        <w:t>se refiere al alcance de dicha obligación de la siguiente manera</w:t>
      </w:r>
      <w:r w:rsidRPr="000955FE">
        <w:rPr>
          <w:rFonts w:ascii="Verdana" w:hAnsi="Verdana"/>
          <w:sz w:val="20"/>
          <w:szCs w:val="20"/>
        </w:rPr>
        <w:t>:</w:t>
      </w:r>
    </w:p>
    <w:p w14:paraId="0C704ADB" w14:textId="77777777" w:rsidR="00F02DDD" w:rsidRPr="00E868D8" w:rsidRDefault="00F02DDD" w:rsidP="00F02DDD">
      <w:pPr>
        <w:jc w:val="both"/>
        <w:rPr>
          <w:rFonts w:ascii="Verdana" w:hAnsi="Verdana"/>
          <w:sz w:val="20"/>
          <w:szCs w:val="20"/>
        </w:rPr>
      </w:pPr>
    </w:p>
    <w:p w14:paraId="0C704ADC" w14:textId="0ED63C22" w:rsidR="00F02DDD" w:rsidRPr="00E868D8" w:rsidRDefault="00F02DDD" w:rsidP="00F02DDD">
      <w:pPr>
        <w:ind w:left="708"/>
        <w:jc w:val="both"/>
        <w:rPr>
          <w:rFonts w:ascii="Verdana" w:hAnsi="Verdana"/>
          <w:sz w:val="18"/>
          <w:szCs w:val="18"/>
        </w:rPr>
      </w:pPr>
      <w:r w:rsidRPr="00E868D8">
        <w:rPr>
          <w:rFonts w:ascii="Verdana" w:hAnsi="Verdana"/>
          <w:sz w:val="18"/>
          <w:szCs w:val="18"/>
        </w:rPr>
        <w:t>“</w:t>
      </w:r>
      <w:r w:rsidR="00273CC9">
        <w:rPr>
          <w:rFonts w:ascii="Verdana" w:hAnsi="Verdana"/>
          <w:sz w:val="18"/>
          <w:szCs w:val="18"/>
        </w:rPr>
        <w:t>E</w:t>
      </w:r>
      <w:r w:rsidRPr="00E868D8">
        <w:rPr>
          <w:rFonts w:ascii="Verdana" w:hAnsi="Verdana"/>
          <w:sz w:val="18"/>
          <w:szCs w:val="18"/>
        </w:rPr>
        <w:t xml:space="preserve">l Estado está obligado a realizar el proceso de saneamiento a favor de la Comunidad de Punta Piedra pagando las mejoras a los habitantes de </w:t>
      </w:r>
      <w:r w:rsidR="00503AA3">
        <w:rPr>
          <w:rFonts w:ascii="Verdana" w:hAnsi="Verdana"/>
          <w:sz w:val="18"/>
          <w:szCs w:val="18"/>
        </w:rPr>
        <w:t xml:space="preserve">la Aldea de </w:t>
      </w:r>
      <w:r w:rsidRPr="00E868D8">
        <w:rPr>
          <w:rFonts w:ascii="Verdana" w:hAnsi="Verdana"/>
          <w:sz w:val="18"/>
          <w:szCs w:val="18"/>
        </w:rPr>
        <w:t xml:space="preserve">Río Miel para que la </w:t>
      </w:r>
      <w:r w:rsidR="00503AA3">
        <w:rPr>
          <w:rFonts w:ascii="Verdana" w:hAnsi="Verdana"/>
          <w:sz w:val="18"/>
          <w:szCs w:val="18"/>
        </w:rPr>
        <w:t>C</w:t>
      </w:r>
      <w:r w:rsidRPr="00E868D8">
        <w:rPr>
          <w:rFonts w:ascii="Verdana" w:hAnsi="Verdana"/>
          <w:sz w:val="18"/>
          <w:szCs w:val="18"/>
        </w:rPr>
        <w:t xml:space="preserve">omunidad </w:t>
      </w:r>
      <w:r w:rsidR="00503AA3">
        <w:rPr>
          <w:rFonts w:ascii="Verdana" w:hAnsi="Verdana"/>
          <w:sz w:val="18"/>
          <w:szCs w:val="18"/>
        </w:rPr>
        <w:t>G</w:t>
      </w:r>
      <w:r w:rsidRPr="00E868D8">
        <w:rPr>
          <w:rFonts w:ascii="Verdana" w:hAnsi="Verdana"/>
          <w:sz w:val="18"/>
          <w:szCs w:val="18"/>
        </w:rPr>
        <w:t xml:space="preserve">arífuna </w:t>
      </w:r>
      <w:r w:rsidR="00503AA3">
        <w:rPr>
          <w:rFonts w:ascii="Verdana" w:hAnsi="Verdana"/>
          <w:sz w:val="18"/>
          <w:szCs w:val="18"/>
        </w:rPr>
        <w:t xml:space="preserve">[de Punta Piedra] </w:t>
      </w:r>
      <w:r w:rsidRPr="00E868D8">
        <w:rPr>
          <w:rFonts w:ascii="Verdana" w:hAnsi="Verdana"/>
          <w:sz w:val="18"/>
          <w:szCs w:val="18"/>
        </w:rPr>
        <w:t>pueda hacer uso del derecho pleno de propiedad que le da la documentación ancestral y la otorgada por el Instituto Nacional Agrario.</w:t>
      </w:r>
    </w:p>
    <w:p w14:paraId="0C704ADD" w14:textId="77777777" w:rsidR="00F02DDD" w:rsidRPr="00E868D8" w:rsidRDefault="00F02DDD" w:rsidP="00F02DDD">
      <w:pPr>
        <w:jc w:val="both"/>
        <w:rPr>
          <w:rFonts w:ascii="Verdana" w:hAnsi="Verdana"/>
          <w:sz w:val="18"/>
          <w:szCs w:val="18"/>
        </w:rPr>
      </w:pPr>
    </w:p>
    <w:p w14:paraId="0C704ADE" w14:textId="4BCDA637" w:rsidR="00F02DDD" w:rsidRPr="00E868D8" w:rsidRDefault="00503AA3" w:rsidP="00F02DDD">
      <w:pPr>
        <w:ind w:left="708"/>
        <w:jc w:val="both"/>
        <w:rPr>
          <w:rFonts w:ascii="Verdana" w:hAnsi="Verdana"/>
          <w:sz w:val="18"/>
          <w:szCs w:val="18"/>
        </w:rPr>
      </w:pPr>
      <w:r>
        <w:rPr>
          <w:rFonts w:ascii="Verdana" w:hAnsi="Verdana"/>
          <w:sz w:val="18"/>
          <w:szCs w:val="18"/>
        </w:rPr>
        <w:t xml:space="preserve">[…] </w:t>
      </w:r>
      <w:r w:rsidR="00F02DDD" w:rsidRPr="00E868D8">
        <w:rPr>
          <w:rFonts w:ascii="Verdana" w:hAnsi="Verdana"/>
          <w:sz w:val="18"/>
          <w:szCs w:val="18"/>
        </w:rPr>
        <w:t xml:space="preserve">El Estado a través del Instituto Nacional Agrario debe buscar de la manera más diligente un predio donde se puedan reubicar las familias indemnizadas, además, a través de las Instituciones competentes se deben de realizar todas las acciones para apoyar el derecho de vivienda, de salud, de educación, de agua y de otros beneficios que garanticen las condiciones apropiadas a la población reubicada y que de una vez por todas la comunidad de Punta Piedra pueda ejercer el dominio en las tierras reivindicadas” </w:t>
      </w:r>
    </w:p>
    <w:p w14:paraId="0C704ADF" w14:textId="77777777" w:rsidR="00F02DDD" w:rsidRPr="00E868D8" w:rsidRDefault="00F02DDD" w:rsidP="00F02DDD">
      <w:pPr>
        <w:rPr>
          <w:rFonts w:ascii="Verdana" w:hAnsi="Verdana"/>
          <w:sz w:val="20"/>
          <w:szCs w:val="20"/>
        </w:rPr>
      </w:pPr>
    </w:p>
    <w:p w14:paraId="0C704AE0" w14:textId="0C17617A" w:rsidR="00F02DDD" w:rsidRDefault="00F02DDD" w:rsidP="00F02DDD">
      <w:pPr>
        <w:pStyle w:val="ListParagraph"/>
        <w:numPr>
          <w:ilvl w:val="0"/>
          <w:numId w:val="17"/>
        </w:numPr>
        <w:ind w:left="0" w:hanging="11"/>
        <w:jc w:val="both"/>
        <w:rPr>
          <w:rFonts w:ascii="Verdana" w:hAnsi="Verdana"/>
          <w:sz w:val="20"/>
          <w:szCs w:val="20"/>
        </w:rPr>
      </w:pPr>
      <w:r w:rsidRPr="00DC12EC">
        <w:rPr>
          <w:rFonts w:ascii="Verdana" w:hAnsi="Verdana"/>
          <w:sz w:val="20"/>
          <w:szCs w:val="20"/>
        </w:rPr>
        <w:lastRenderedPageBreak/>
        <w:t xml:space="preserve">En vista de todo lo anterior, la Corte </w:t>
      </w:r>
      <w:r w:rsidRPr="00510525">
        <w:rPr>
          <w:rFonts w:ascii="Verdana" w:hAnsi="Verdana"/>
          <w:sz w:val="20"/>
          <w:szCs w:val="20"/>
        </w:rPr>
        <w:t>reit</w:t>
      </w:r>
      <w:r w:rsidRPr="00DC12EC">
        <w:rPr>
          <w:rFonts w:ascii="Verdana" w:hAnsi="Verdana"/>
          <w:sz w:val="20"/>
          <w:szCs w:val="20"/>
        </w:rPr>
        <w:t>era la obligación del Estado de garantizar el uso y goce efectivo del derecho a la propiedad indígena o tribal</w:t>
      </w:r>
      <w:r w:rsidR="0086236B" w:rsidRPr="00A0324F">
        <w:rPr>
          <w:rFonts w:ascii="Verdana" w:hAnsi="Verdana"/>
          <w:sz w:val="20"/>
          <w:szCs w:val="20"/>
        </w:rPr>
        <w:t>, para lo cual pueden adoptarse diversas medidas</w:t>
      </w:r>
      <w:r w:rsidRPr="0021193C">
        <w:rPr>
          <w:rFonts w:ascii="Verdana" w:hAnsi="Verdana"/>
          <w:sz w:val="20"/>
          <w:szCs w:val="20"/>
        </w:rPr>
        <w:t xml:space="preserve">, </w:t>
      </w:r>
      <w:r w:rsidR="0086236B" w:rsidRPr="00A0324F">
        <w:rPr>
          <w:rFonts w:ascii="Verdana" w:hAnsi="Verdana"/>
          <w:sz w:val="20"/>
          <w:szCs w:val="20"/>
        </w:rPr>
        <w:t>entre ellas el saneamiento. En este sentido,</w:t>
      </w:r>
      <w:r w:rsidRPr="00DC12EC">
        <w:rPr>
          <w:rFonts w:ascii="Verdana" w:hAnsi="Verdana"/>
          <w:sz w:val="20"/>
          <w:szCs w:val="20"/>
        </w:rPr>
        <w:t xml:space="preserve"> </w:t>
      </w:r>
      <w:r w:rsidRPr="00510525">
        <w:rPr>
          <w:rFonts w:ascii="Verdana" w:hAnsi="Verdana"/>
          <w:sz w:val="20"/>
          <w:szCs w:val="20"/>
        </w:rPr>
        <w:t>p</w:t>
      </w:r>
      <w:r w:rsidRPr="00DC12EC">
        <w:rPr>
          <w:rFonts w:ascii="Verdana" w:hAnsi="Verdana"/>
          <w:sz w:val="20"/>
          <w:szCs w:val="20"/>
        </w:rPr>
        <w:t xml:space="preserve">ara efectos del presente caso, </w:t>
      </w:r>
      <w:r w:rsidR="0086236B" w:rsidRPr="00A0324F">
        <w:rPr>
          <w:rFonts w:ascii="Verdana" w:hAnsi="Verdana"/>
          <w:sz w:val="20"/>
          <w:szCs w:val="20"/>
        </w:rPr>
        <w:t>el Tribunal</w:t>
      </w:r>
      <w:r w:rsidRPr="00DC12EC">
        <w:rPr>
          <w:rFonts w:ascii="Verdana" w:hAnsi="Verdana"/>
          <w:sz w:val="20"/>
          <w:szCs w:val="20"/>
        </w:rPr>
        <w:t xml:space="preserve"> </w:t>
      </w:r>
      <w:r w:rsidRPr="00510525">
        <w:rPr>
          <w:rFonts w:ascii="Verdana" w:hAnsi="Verdana"/>
          <w:sz w:val="20"/>
          <w:szCs w:val="20"/>
        </w:rPr>
        <w:t>entiende</w:t>
      </w:r>
      <w:r w:rsidRPr="00DC12EC">
        <w:rPr>
          <w:rFonts w:ascii="Verdana" w:hAnsi="Verdana"/>
          <w:sz w:val="20"/>
          <w:szCs w:val="20"/>
        </w:rPr>
        <w:t xml:space="preserve"> que</w:t>
      </w:r>
      <w:r w:rsidRPr="00E868D8">
        <w:rPr>
          <w:rFonts w:ascii="Verdana" w:hAnsi="Verdana"/>
          <w:sz w:val="20"/>
          <w:szCs w:val="20"/>
        </w:rPr>
        <w:t xml:space="preserve"> </w:t>
      </w:r>
      <w:r>
        <w:rPr>
          <w:rFonts w:ascii="Verdana" w:hAnsi="Verdana"/>
          <w:sz w:val="20"/>
          <w:szCs w:val="20"/>
        </w:rPr>
        <w:t>el</w:t>
      </w:r>
      <w:r w:rsidRPr="00E868D8">
        <w:rPr>
          <w:rFonts w:ascii="Verdana" w:hAnsi="Verdana"/>
          <w:sz w:val="20"/>
          <w:szCs w:val="20"/>
        </w:rPr>
        <w:t xml:space="preserve"> saneamiento consiste en un proceso que </w:t>
      </w:r>
      <w:r>
        <w:rPr>
          <w:rFonts w:ascii="Verdana" w:hAnsi="Verdana"/>
          <w:sz w:val="20"/>
          <w:szCs w:val="20"/>
        </w:rPr>
        <w:t xml:space="preserve">deriva en la </w:t>
      </w:r>
      <w:r w:rsidRPr="00E868D8">
        <w:rPr>
          <w:rFonts w:ascii="Verdana" w:hAnsi="Verdana"/>
          <w:sz w:val="20"/>
          <w:szCs w:val="20"/>
        </w:rPr>
        <w:t>obliga</w:t>
      </w:r>
      <w:r>
        <w:rPr>
          <w:rFonts w:ascii="Verdana" w:hAnsi="Verdana"/>
          <w:sz w:val="20"/>
          <w:szCs w:val="20"/>
        </w:rPr>
        <w:t>ción</w:t>
      </w:r>
      <w:r w:rsidRPr="00E868D8">
        <w:rPr>
          <w:rFonts w:ascii="Verdana" w:hAnsi="Verdana"/>
          <w:sz w:val="20"/>
          <w:szCs w:val="20"/>
        </w:rPr>
        <w:t xml:space="preserve"> </w:t>
      </w:r>
      <w:r>
        <w:rPr>
          <w:rFonts w:ascii="Verdana" w:hAnsi="Verdana"/>
          <w:sz w:val="20"/>
          <w:szCs w:val="20"/>
        </w:rPr>
        <w:t>del</w:t>
      </w:r>
      <w:r w:rsidRPr="00E868D8">
        <w:rPr>
          <w:rFonts w:ascii="Verdana" w:hAnsi="Verdana"/>
          <w:sz w:val="20"/>
          <w:szCs w:val="20"/>
        </w:rPr>
        <w:t xml:space="preserve"> Estado</w:t>
      </w:r>
      <w:r>
        <w:rPr>
          <w:rFonts w:ascii="Verdana" w:hAnsi="Verdana"/>
          <w:sz w:val="20"/>
          <w:szCs w:val="20"/>
        </w:rPr>
        <w:t xml:space="preserve"> de remover cualquier tipo de interferencia sobre el territorio en cuestión. En particular, </w:t>
      </w:r>
      <w:r w:rsidR="00503AA3">
        <w:rPr>
          <w:rFonts w:ascii="Verdana" w:hAnsi="Verdana"/>
          <w:sz w:val="20"/>
          <w:szCs w:val="20"/>
        </w:rPr>
        <w:t xml:space="preserve">se realizará </w:t>
      </w:r>
      <w:r>
        <w:rPr>
          <w:rFonts w:ascii="Verdana" w:hAnsi="Verdana"/>
          <w:sz w:val="20"/>
          <w:szCs w:val="20"/>
        </w:rPr>
        <w:t>a través de la posesión plena del legítimo propietario</w:t>
      </w:r>
      <w:r w:rsidR="00503AA3">
        <w:rPr>
          <w:rFonts w:ascii="Verdana" w:hAnsi="Verdana"/>
          <w:sz w:val="20"/>
          <w:szCs w:val="20"/>
        </w:rPr>
        <w:t xml:space="preserve"> </w:t>
      </w:r>
      <w:r>
        <w:rPr>
          <w:rFonts w:ascii="Verdana" w:hAnsi="Verdana"/>
          <w:sz w:val="20"/>
          <w:szCs w:val="20"/>
        </w:rPr>
        <w:t>y</w:t>
      </w:r>
      <w:r w:rsidR="00503AA3">
        <w:rPr>
          <w:rFonts w:ascii="Verdana" w:hAnsi="Verdana"/>
          <w:sz w:val="20"/>
          <w:szCs w:val="20"/>
        </w:rPr>
        <w:t>,</w:t>
      </w:r>
      <w:r>
        <w:rPr>
          <w:rFonts w:ascii="Verdana" w:hAnsi="Verdana"/>
          <w:sz w:val="20"/>
          <w:szCs w:val="20"/>
        </w:rPr>
        <w:t xml:space="preserve"> de ser procedente y según lo acordado,</w:t>
      </w:r>
      <w:r w:rsidRPr="00E868D8">
        <w:rPr>
          <w:rFonts w:ascii="Verdana" w:hAnsi="Verdana"/>
          <w:sz w:val="20"/>
          <w:szCs w:val="20"/>
        </w:rPr>
        <w:t xml:space="preserve"> </w:t>
      </w:r>
      <w:r>
        <w:rPr>
          <w:rFonts w:ascii="Verdana" w:hAnsi="Verdana"/>
          <w:sz w:val="20"/>
          <w:szCs w:val="20"/>
        </w:rPr>
        <w:t xml:space="preserve">mediante el </w:t>
      </w:r>
      <w:r w:rsidRPr="00E868D8">
        <w:rPr>
          <w:rFonts w:ascii="Verdana" w:hAnsi="Verdana"/>
          <w:sz w:val="20"/>
          <w:szCs w:val="20"/>
        </w:rPr>
        <w:t>pag</w:t>
      </w:r>
      <w:r>
        <w:rPr>
          <w:rFonts w:ascii="Verdana" w:hAnsi="Verdana"/>
          <w:sz w:val="20"/>
          <w:szCs w:val="20"/>
        </w:rPr>
        <w:t>o de</w:t>
      </w:r>
      <w:r w:rsidRPr="00E868D8">
        <w:rPr>
          <w:rFonts w:ascii="Verdana" w:hAnsi="Verdana"/>
          <w:sz w:val="20"/>
          <w:szCs w:val="20"/>
        </w:rPr>
        <w:t xml:space="preserve"> mejoras y </w:t>
      </w:r>
      <w:r>
        <w:rPr>
          <w:rFonts w:ascii="Verdana" w:hAnsi="Verdana"/>
          <w:sz w:val="20"/>
          <w:szCs w:val="20"/>
        </w:rPr>
        <w:t xml:space="preserve">la </w:t>
      </w:r>
      <w:r w:rsidRPr="00E868D8">
        <w:rPr>
          <w:rFonts w:ascii="Verdana" w:hAnsi="Verdana"/>
          <w:sz w:val="20"/>
          <w:szCs w:val="20"/>
        </w:rPr>
        <w:t>reubica</w:t>
      </w:r>
      <w:r>
        <w:rPr>
          <w:rFonts w:ascii="Verdana" w:hAnsi="Verdana"/>
          <w:sz w:val="20"/>
          <w:szCs w:val="20"/>
        </w:rPr>
        <w:t>ción</w:t>
      </w:r>
      <w:r w:rsidRPr="00E868D8">
        <w:rPr>
          <w:rFonts w:ascii="Verdana" w:hAnsi="Verdana"/>
          <w:sz w:val="20"/>
          <w:szCs w:val="20"/>
        </w:rPr>
        <w:t xml:space="preserve"> </w:t>
      </w:r>
      <w:r>
        <w:rPr>
          <w:rFonts w:ascii="Verdana" w:hAnsi="Verdana"/>
          <w:sz w:val="20"/>
          <w:szCs w:val="20"/>
        </w:rPr>
        <w:t>de</w:t>
      </w:r>
      <w:r w:rsidRPr="00E868D8">
        <w:rPr>
          <w:rFonts w:ascii="Verdana" w:hAnsi="Verdana"/>
          <w:sz w:val="20"/>
          <w:szCs w:val="20"/>
        </w:rPr>
        <w:t xml:space="preserve"> </w:t>
      </w:r>
      <w:r>
        <w:rPr>
          <w:rFonts w:ascii="Verdana" w:hAnsi="Verdana"/>
          <w:sz w:val="20"/>
          <w:szCs w:val="20"/>
        </w:rPr>
        <w:t xml:space="preserve">los terceros </w:t>
      </w:r>
      <w:r w:rsidRPr="00E868D8">
        <w:rPr>
          <w:rFonts w:ascii="Verdana" w:hAnsi="Verdana"/>
          <w:sz w:val="20"/>
          <w:szCs w:val="20"/>
        </w:rPr>
        <w:t>ocupante</w:t>
      </w:r>
      <w:r>
        <w:rPr>
          <w:rFonts w:ascii="Verdana" w:hAnsi="Verdana"/>
          <w:sz w:val="20"/>
          <w:szCs w:val="20"/>
        </w:rPr>
        <w:t xml:space="preserve">s, a fin de </w:t>
      </w:r>
      <w:r w:rsidRPr="00E868D8">
        <w:rPr>
          <w:rFonts w:ascii="Verdana" w:hAnsi="Verdana"/>
          <w:sz w:val="20"/>
          <w:szCs w:val="20"/>
        </w:rPr>
        <w:t xml:space="preserve">que </w:t>
      </w:r>
      <w:r>
        <w:rPr>
          <w:rFonts w:ascii="Verdana" w:hAnsi="Verdana"/>
          <w:sz w:val="20"/>
          <w:szCs w:val="20"/>
        </w:rPr>
        <w:t>la Comunidad de Punta Piedra</w:t>
      </w:r>
      <w:r w:rsidRPr="00E868D8">
        <w:rPr>
          <w:rFonts w:ascii="Verdana" w:hAnsi="Verdana"/>
          <w:sz w:val="20"/>
          <w:szCs w:val="20"/>
        </w:rPr>
        <w:t xml:space="preserve"> pu</w:t>
      </w:r>
      <w:r w:rsidR="00503AA3">
        <w:rPr>
          <w:rFonts w:ascii="Verdana" w:hAnsi="Verdana"/>
          <w:sz w:val="20"/>
          <w:szCs w:val="20"/>
        </w:rPr>
        <w:t>eda</w:t>
      </w:r>
      <w:r w:rsidRPr="00E868D8">
        <w:rPr>
          <w:rFonts w:ascii="Verdana" w:hAnsi="Verdana"/>
          <w:sz w:val="20"/>
          <w:szCs w:val="20"/>
        </w:rPr>
        <w:t xml:space="preserve"> hacer uso </w:t>
      </w:r>
      <w:r>
        <w:rPr>
          <w:rFonts w:ascii="Verdana" w:hAnsi="Verdana"/>
          <w:sz w:val="20"/>
          <w:szCs w:val="20"/>
        </w:rPr>
        <w:t xml:space="preserve">y goce pacífico y efectivo </w:t>
      </w:r>
      <w:r w:rsidRPr="00E868D8">
        <w:rPr>
          <w:rFonts w:ascii="Verdana" w:hAnsi="Verdana"/>
          <w:sz w:val="20"/>
          <w:szCs w:val="20"/>
        </w:rPr>
        <w:t>de su dominio pleno de la propiedad</w:t>
      </w:r>
      <w:r>
        <w:rPr>
          <w:rFonts w:ascii="Verdana" w:hAnsi="Verdana"/>
          <w:sz w:val="20"/>
          <w:szCs w:val="20"/>
        </w:rPr>
        <w:t xml:space="preserve"> colectiva</w:t>
      </w:r>
      <w:r w:rsidRPr="00E868D8">
        <w:rPr>
          <w:rFonts w:ascii="Verdana" w:hAnsi="Verdana"/>
          <w:sz w:val="20"/>
          <w:szCs w:val="20"/>
        </w:rPr>
        <w:t>.</w:t>
      </w:r>
      <w:r>
        <w:rPr>
          <w:rFonts w:ascii="Verdana" w:hAnsi="Verdana"/>
          <w:sz w:val="20"/>
          <w:szCs w:val="20"/>
        </w:rPr>
        <w:t xml:space="preserve"> </w:t>
      </w:r>
    </w:p>
    <w:p w14:paraId="0C704AE1" w14:textId="77777777" w:rsidR="00F02DDD" w:rsidRDefault="00F02DDD" w:rsidP="00F02DDD">
      <w:pPr>
        <w:pStyle w:val="ListParagraph"/>
        <w:ind w:left="0"/>
        <w:jc w:val="both"/>
        <w:rPr>
          <w:rFonts w:ascii="Verdana" w:hAnsi="Verdana"/>
          <w:sz w:val="20"/>
          <w:szCs w:val="20"/>
        </w:rPr>
      </w:pPr>
    </w:p>
    <w:p w14:paraId="0C704AE2" w14:textId="77777777" w:rsidR="00F02DDD" w:rsidRPr="00E868D8" w:rsidRDefault="00F02DDD" w:rsidP="00F02DDD">
      <w:pPr>
        <w:pStyle w:val="Heading3"/>
        <w:spacing w:before="0"/>
        <w:ind w:left="705"/>
        <w:jc w:val="both"/>
        <w:rPr>
          <w:rFonts w:ascii="Verdana" w:hAnsi="Verdana"/>
          <w:i/>
          <w:color w:val="auto"/>
          <w:sz w:val="20"/>
          <w:szCs w:val="20"/>
          <w:lang w:val="es-CR"/>
        </w:rPr>
      </w:pPr>
      <w:bookmarkStart w:id="79" w:name="_Toc437247348"/>
      <w:r>
        <w:rPr>
          <w:rFonts w:ascii="Verdana" w:hAnsi="Verdana"/>
          <w:i/>
          <w:color w:val="auto"/>
          <w:sz w:val="20"/>
          <w:szCs w:val="20"/>
          <w:lang w:val="es-CR"/>
        </w:rPr>
        <w:t xml:space="preserve">B.3 </w:t>
      </w:r>
      <w:r w:rsidRPr="00E868D8">
        <w:rPr>
          <w:rFonts w:ascii="Verdana" w:hAnsi="Verdana"/>
          <w:i/>
          <w:color w:val="auto"/>
          <w:sz w:val="20"/>
          <w:szCs w:val="20"/>
          <w:lang w:val="es-CR"/>
        </w:rPr>
        <w:t xml:space="preserve">La </w:t>
      </w:r>
      <w:r>
        <w:rPr>
          <w:rFonts w:ascii="Verdana" w:hAnsi="Verdana"/>
          <w:i/>
          <w:color w:val="auto"/>
          <w:sz w:val="20"/>
          <w:szCs w:val="20"/>
          <w:lang w:val="es-CR"/>
        </w:rPr>
        <w:t>falta de</w:t>
      </w:r>
      <w:r w:rsidR="00273CC9">
        <w:rPr>
          <w:rFonts w:ascii="Verdana" w:hAnsi="Verdana"/>
          <w:i/>
          <w:color w:val="auto"/>
          <w:sz w:val="20"/>
          <w:szCs w:val="20"/>
          <w:lang w:val="es-CR"/>
        </w:rPr>
        <w:t>l</w:t>
      </w:r>
      <w:r>
        <w:rPr>
          <w:rFonts w:ascii="Verdana" w:hAnsi="Verdana"/>
          <w:i/>
          <w:color w:val="auto"/>
          <w:sz w:val="20"/>
          <w:szCs w:val="20"/>
          <w:lang w:val="es-CR"/>
        </w:rPr>
        <w:t xml:space="preserve"> uso y goce d</w:t>
      </w:r>
      <w:r w:rsidRPr="00E868D8">
        <w:rPr>
          <w:rFonts w:ascii="Verdana" w:hAnsi="Verdana"/>
          <w:i/>
          <w:color w:val="auto"/>
          <w:sz w:val="20"/>
          <w:szCs w:val="20"/>
          <w:lang w:val="es-CR"/>
        </w:rPr>
        <w:t xml:space="preserve">el territorio de la Comunidad </w:t>
      </w:r>
      <w:r>
        <w:rPr>
          <w:rFonts w:ascii="Verdana" w:hAnsi="Verdana"/>
          <w:i/>
          <w:color w:val="auto"/>
          <w:sz w:val="20"/>
          <w:szCs w:val="20"/>
          <w:lang w:val="es-CR"/>
        </w:rPr>
        <w:t xml:space="preserve">de </w:t>
      </w:r>
      <w:r w:rsidRPr="00E868D8">
        <w:rPr>
          <w:rFonts w:ascii="Verdana" w:hAnsi="Verdana"/>
          <w:i/>
          <w:color w:val="auto"/>
          <w:sz w:val="20"/>
          <w:szCs w:val="20"/>
          <w:lang w:val="es-CR"/>
        </w:rPr>
        <w:t>Punta Piedra</w:t>
      </w:r>
      <w:bookmarkEnd w:id="79"/>
      <w:r w:rsidRPr="00E868D8">
        <w:rPr>
          <w:rFonts w:ascii="Verdana" w:hAnsi="Verdana"/>
          <w:i/>
          <w:color w:val="auto"/>
          <w:sz w:val="20"/>
          <w:szCs w:val="20"/>
          <w:lang w:val="es-CR"/>
        </w:rPr>
        <w:t xml:space="preserve"> </w:t>
      </w:r>
    </w:p>
    <w:p w14:paraId="0C704AE3" w14:textId="77777777" w:rsidR="00F02DDD" w:rsidRDefault="00F02DDD" w:rsidP="00F02DDD">
      <w:pPr>
        <w:pStyle w:val="ListParagraph"/>
        <w:ind w:left="0"/>
        <w:jc w:val="both"/>
        <w:rPr>
          <w:rFonts w:ascii="Verdana" w:hAnsi="Verdana"/>
          <w:sz w:val="20"/>
          <w:szCs w:val="20"/>
        </w:rPr>
      </w:pPr>
    </w:p>
    <w:p w14:paraId="0C704AE4" w14:textId="76406CBB"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 xml:space="preserve">Siendo </w:t>
      </w:r>
      <w:r w:rsidRPr="00012F57">
        <w:rPr>
          <w:rFonts w:ascii="Verdana" w:hAnsi="Verdana"/>
          <w:sz w:val="20"/>
          <w:szCs w:val="20"/>
        </w:rPr>
        <w:t xml:space="preserve">reconocida por parte del Estado </w:t>
      </w:r>
      <w:r w:rsidR="00B83CCD">
        <w:rPr>
          <w:rFonts w:ascii="Verdana" w:hAnsi="Verdana"/>
          <w:sz w:val="20"/>
          <w:szCs w:val="20"/>
        </w:rPr>
        <w:t xml:space="preserve">la obligación </w:t>
      </w:r>
      <w:r w:rsidRPr="00012F57">
        <w:rPr>
          <w:rFonts w:ascii="Verdana" w:hAnsi="Verdana"/>
          <w:sz w:val="20"/>
          <w:szCs w:val="20"/>
        </w:rPr>
        <w:t>de garantizar el uso y goce, a través</w:t>
      </w:r>
      <w:r>
        <w:rPr>
          <w:rFonts w:ascii="Verdana" w:hAnsi="Verdana"/>
          <w:sz w:val="20"/>
          <w:szCs w:val="20"/>
        </w:rPr>
        <w:t xml:space="preserve"> del saneamiento (</w:t>
      </w:r>
      <w:r w:rsidR="00C124BF" w:rsidRPr="00C124BF">
        <w:rPr>
          <w:rFonts w:ascii="Verdana" w:hAnsi="Verdana"/>
          <w:i/>
          <w:sz w:val="20"/>
          <w:szCs w:val="20"/>
        </w:rPr>
        <w:t>supra</w:t>
      </w:r>
      <w:r>
        <w:rPr>
          <w:rFonts w:ascii="Verdana" w:hAnsi="Verdana"/>
          <w:sz w:val="20"/>
          <w:szCs w:val="20"/>
        </w:rPr>
        <w:t xml:space="preserve"> párr. </w:t>
      </w:r>
      <w:r w:rsidR="00B83CCD">
        <w:rPr>
          <w:rFonts w:ascii="Verdana" w:hAnsi="Verdana"/>
          <w:sz w:val="20"/>
          <w:szCs w:val="20"/>
        </w:rPr>
        <w:t>114</w:t>
      </w:r>
      <w:r>
        <w:rPr>
          <w:rFonts w:ascii="Verdana" w:hAnsi="Verdana"/>
          <w:sz w:val="20"/>
          <w:szCs w:val="20"/>
        </w:rPr>
        <w:t xml:space="preserve">), la Corte analizará en qué momento el Estado tuvo conocimiento </w:t>
      </w:r>
      <w:r w:rsidR="00B83CCD">
        <w:rPr>
          <w:rFonts w:ascii="Verdana" w:hAnsi="Verdana"/>
          <w:sz w:val="20"/>
          <w:szCs w:val="20"/>
        </w:rPr>
        <w:t>de</w:t>
      </w:r>
      <w:r>
        <w:rPr>
          <w:rFonts w:ascii="Verdana" w:hAnsi="Verdana"/>
          <w:sz w:val="20"/>
          <w:szCs w:val="20"/>
        </w:rPr>
        <w:t xml:space="preserve"> la ocupación de terceros en el territorio en cuestión, a fin de proceder </w:t>
      </w:r>
      <w:r w:rsidR="00B83CCD">
        <w:rPr>
          <w:rFonts w:ascii="Verdana" w:hAnsi="Verdana"/>
          <w:sz w:val="20"/>
          <w:szCs w:val="20"/>
        </w:rPr>
        <w:t>a</w:t>
      </w:r>
      <w:r>
        <w:rPr>
          <w:rFonts w:ascii="Verdana" w:hAnsi="Verdana"/>
          <w:sz w:val="20"/>
          <w:szCs w:val="20"/>
        </w:rPr>
        <w:t xml:space="preserve">l saneamiento respectivo. </w:t>
      </w:r>
    </w:p>
    <w:p w14:paraId="0C704AE5" w14:textId="77777777" w:rsidR="00F02DDD" w:rsidRDefault="00F02DDD" w:rsidP="00F02DDD">
      <w:pPr>
        <w:pStyle w:val="ListParagraph"/>
        <w:ind w:left="0"/>
        <w:jc w:val="both"/>
        <w:rPr>
          <w:rFonts w:ascii="Verdana" w:hAnsi="Verdana"/>
          <w:sz w:val="20"/>
          <w:szCs w:val="20"/>
        </w:rPr>
      </w:pPr>
    </w:p>
    <w:p w14:paraId="0C704AE6" w14:textId="7D982F07" w:rsidR="00F02DDD" w:rsidRPr="002345A4"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 xml:space="preserve">En este sentido, </w:t>
      </w:r>
      <w:r w:rsidRPr="007B0E97">
        <w:rPr>
          <w:rFonts w:ascii="Verdana" w:hAnsi="Verdana"/>
          <w:sz w:val="20"/>
          <w:szCs w:val="20"/>
        </w:rPr>
        <w:t xml:space="preserve">la Corte </w:t>
      </w:r>
      <w:r>
        <w:rPr>
          <w:rFonts w:ascii="Verdana" w:hAnsi="Verdana"/>
          <w:sz w:val="20"/>
          <w:szCs w:val="20"/>
        </w:rPr>
        <w:t>constata</w:t>
      </w:r>
      <w:r w:rsidRPr="007B0E97">
        <w:rPr>
          <w:rFonts w:ascii="Verdana" w:hAnsi="Verdana"/>
          <w:sz w:val="20"/>
          <w:szCs w:val="20"/>
        </w:rPr>
        <w:t xml:space="preserve"> que, según </w:t>
      </w:r>
      <w:r>
        <w:rPr>
          <w:rFonts w:ascii="Verdana" w:hAnsi="Verdana"/>
          <w:sz w:val="20"/>
          <w:szCs w:val="20"/>
        </w:rPr>
        <w:t xml:space="preserve">diversas declaraciones, la ocupación en la </w:t>
      </w:r>
      <w:r w:rsidR="007E5738">
        <w:rPr>
          <w:rFonts w:ascii="Verdana" w:hAnsi="Verdana"/>
          <w:sz w:val="20"/>
          <w:szCs w:val="20"/>
        </w:rPr>
        <w:t>Aldea</w:t>
      </w:r>
      <w:r>
        <w:rPr>
          <w:rFonts w:ascii="Verdana" w:hAnsi="Verdana"/>
          <w:sz w:val="20"/>
          <w:szCs w:val="20"/>
        </w:rPr>
        <w:t xml:space="preserve"> de Río Miel comenzó entre los años 1987 y 1993 (</w:t>
      </w:r>
      <w:r w:rsidRPr="00B317AB">
        <w:rPr>
          <w:rFonts w:ascii="Verdana" w:hAnsi="Verdana"/>
          <w:i/>
          <w:sz w:val="20"/>
          <w:szCs w:val="20"/>
        </w:rPr>
        <w:t>supra</w:t>
      </w:r>
      <w:r>
        <w:rPr>
          <w:rFonts w:ascii="Verdana" w:hAnsi="Verdana"/>
          <w:sz w:val="20"/>
          <w:szCs w:val="20"/>
        </w:rPr>
        <w:t xml:space="preserve"> párr. </w:t>
      </w:r>
      <w:r w:rsidR="007E5738">
        <w:rPr>
          <w:rFonts w:ascii="Verdana" w:hAnsi="Verdana"/>
          <w:sz w:val="20"/>
          <w:szCs w:val="20"/>
        </w:rPr>
        <w:t>102</w:t>
      </w:r>
      <w:r>
        <w:rPr>
          <w:rFonts w:ascii="Verdana" w:hAnsi="Verdana"/>
          <w:sz w:val="20"/>
          <w:szCs w:val="20"/>
        </w:rPr>
        <w:t>), m</w:t>
      </w:r>
      <w:r w:rsidR="007E5738">
        <w:rPr>
          <w:rFonts w:ascii="Verdana" w:hAnsi="Verdana"/>
          <w:sz w:val="20"/>
          <w:szCs w:val="20"/>
        </w:rPr>
        <w:t>a</w:t>
      </w:r>
      <w:r>
        <w:rPr>
          <w:rFonts w:ascii="Verdana" w:hAnsi="Verdana"/>
          <w:sz w:val="20"/>
          <w:szCs w:val="20"/>
        </w:rPr>
        <w:t>s no hay registros oficiales de la misma. Cabe recordar que el primer título le fue otorgado a la Comunidad de Punta Piedra en</w:t>
      </w:r>
      <w:r w:rsidRPr="000955FE">
        <w:rPr>
          <w:rFonts w:ascii="Verdana" w:hAnsi="Verdana"/>
          <w:sz w:val="20"/>
          <w:szCs w:val="20"/>
        </w:rPr>
        <w:t xml:space="preserve"> 1993 por una superficie de </w:t>
      </w:r>
      <w:r>
        <w:rPr>
          <w:rFonts w:ascii="Verdana" w:hAnsi="Verdana"/>
          <w:sz w:val="20"/>
          <w:szCs w:val="20"/>
        </w:rPr>
        <w:t xml:space="preserve">aproximadamente </w:t>
      </w:r>
      <w:r w:rsidRPr="000955FE">
        <w:rPr>
          <w:rFonts w:ascii="Verdana" w:hAnsi="Verdana"/>
          <w:sz w:val="20"/>
          <w:szCs w:val="20"/>
        </w:rPr>
        <w:t xml:space="preserve">800 </w:t>
      </w:r>
      <w:r w:rsidR="00B6463D">
        <w:rPr>
          <w:rFonts w:ascii="Verdana" w:hAnsi="Verdana"/>
          <w:sz w:val="20"/>
          <w:szCs w:val="20"/>
        </w:rPr>
        <w:t>ha</w:t>
      </w:r>
      <w:r w:rsidRPr="000955FE">
        <w:rPr>
          <w:rFonts w:ascii="Verdana" w:hAnsi="Verdana"/>
          <w:sz w:val="20"/>
          <w:szCs w:val="20"/>
        </w:rPr>
        <w:t>, en relación con un territorio respecto del cual contaba con un título ejidal desde 192</w:t>
      </w:r>
      <w:r>
        <w:rPr>
          <w:rFonts w:ascii="Verdana" w:hAnsi="Verdana"/>
          <w:sz w:val="20"/>
          <w:szCs w:val="20"/>
        </w:rPr>
        <w:t>0</w:t>
      </w:r>
      <w:r w:rsidRPr="000955FE">
        <w:rPr>
          <w:rFonts w:ascii="Verdana" w:hAnsi="Verdana"/>
          <w:sz w:val="20"/>
          <w:szCs w:val="20"/>
        </w:rPr>
        <w:t xml:space="preserve"> (</w:t>
      </w:r>
      <w:r w:rsidRPr="000955FE">
        <w:rPr>
          <w:rFonts w:ascii="Verdana" w:hAnsi="Verdana"/>
          <w:i/>
          <w:sz w:val="20"/>
          <w:szCs w:val="20"/>
        </w:rPr>
        <w:t>supra</w:t>
      </w:r>
      <w:r w:rsidRPr="000955FE">
        <w:rPr>
          <w:rFonts w:ascii="Verdana" w:hAnsi="Verdana"/>
          <w:sz w:val="20"/>
          <w:szCs w:val="20"/>
        </w:rPr>
        <w:t xml:space="preserve"> párr. </w:t>
      </w:r>
      <w:r w:rsidR="007E5738">
        <w:rPr>
          <w:rFonts w:ascii="Verdana" w:hAnsi="Verdana"/>
          <w:sz w:val="20"/>
          <w:szCs w:val="20"/>
        </w:rPr>
        <w:t>92</w:t>
      </w:r>
      <w:r w:rsidRPr="000955FE">
        <w:rPr>
          <w:rFonts w:ascii="Verdana" w:hAnsi="Verdana"/>
          <w:sz w:val="20"/>
          <w:szCs w:val="20"/>
        </w:rPr>
        <w:t>)</w:t>
      </w:r>
      <w:r>
        <w:rPr>
          <w:rFonts w:ascii="Verdana" w:hAnsi="Verdana"/>
          <w:sz w:val="20"/>
          <w:szCs w:val="20"/>
        </w:rPr>
        <w:t xml:space="preserve">. Posteriormente, mediante </w:t>
      </w:r>
      <w:r w:rsidRPr="007B0E97">
        <w:rPr>
          <w:rFonts w:ascii="Verdana" w:hAnsi="Verdana"/>
          <w:sz w:val="20"/>
          <w:szCs w:val="20"/>
        </w:rPr>
        <w:t xml:space="preserve">constancia del INA de 22 de diciembre de 1999, la Comunidad de Punta Piedra </w:t>
      </w:r>
      <w:r>
        <w:rPr>
          <w:rFonts w:ascii="Verdana" w:hAnsi="Verdana"/>
          <w:sz w:val="20"/>
          <w:szCs w:val="20"/>
        </w:rPr>
        <w:t>solicitó</w:t>
      </w:r>
      <w:r w:rsidRPr="007B0E97">
        <w:rPr>
          <w:rFonts w:ascii="Verdana" w:hAnsi="Verdana"/>
          <w:sz w:val="20"/>
          <w:szCs w:val="20"/>
        </w:rPr>
        <w:t xml:space="preserve"> la ampliación de su territorio </w:t>
      </w:r>
      <w:r w:rsidR="007E5738">
        <w:rPr>
          <w:rFonts w:ascii="Verdana" w:hAnsi="Verdana"/>
          <w:sz w:val="20"/>
          <w:szCs w:val="20"/>
        </w:rPr>
        <w:t xml:space="preserve">a través del </w:t>
      </w:r>
      <w:r w:rsidR="0086236B" w:rsidRPr="00A0324F">
        <w:rPr>
          <w:rFonts w:ascii="Verdana" w:hAnsi="Verdana"/>
          <w:sz w:val="20"/>
        </w:rPr>
        <w:t>expediente #10775 – 52147</w:t>
      </w:r>
      <w:r w:rsidRPr="007B0E97">
        <w:rPr>
          <w:rFonts w:ascii="Verdana" w:hAnsi="Verdana"/>
          <w:sz w:val="20"/>
          <w:szCs w:val="20"/>
          <w:vertAlign w:val="superscript"/>
        </w:rPr>
        <w:footnoteReference w:id="226"/>
      </w:r>
      <w:r w:rsidRPr="007B0E97">
        <w:rPr>
          <w:rFonts w:ascii="Verdana" w:hAnsi="Verdana"/>
          <w:sz w:val="20"/>
          <w:szCs w:val="20"/>
        </w:rPr>
        <w:t xml:space="preserve"> por un área de 3</w:t>
      </w:r>
      <w:r>
        <w:rPr>
          <w:rFonts w:ascii="Verdana" w:hAnsi="Verdana"/>
          <w:sz w:val="20"/>
          <w:szCs w:val="20"/>
        </w:rPr>
        <w:t>,</w:t>
      </w:r>
      <w:r w:rsidRPr="007B0E97">
        <w:rPr>
          <w:rFonts w:ascii="Verdana" w:hAnsi="Verdana"/>
          <w:sz w:val="20"/>
          <w:szCs w:val="20"/>
        </w:rPr>
        <w:t xml:space="preserve">000 </w:t>
      </w:r>
      <w:r w:rsidR="00B6463D">
        <w:rPr>
          <w:rFonts w:ascii="Verdana" w:hAnsi="Verdana"/>
          <w:sz w:val="20"/>
          <w:szCs w:val="20"/>
        </w:rPr>
        <w:t>ha</w:t>
      </w:r>
      <w:r w:rsidRPr="007B0E97">
        <w:rPr>
          <w:rFonts w:ascii="Verdana" w:hAnsi="Verdana"/>
          <w:sz w:val="20"/>
          <w:szCs w:val="20"/>
        </w:rPr>
        <w:t xml:space="preserve">. No obstante, solamente se </w:t>
      </w:r>
      <w:r>
        <w:rPr>
          <w:rFonts w:ascii="Verdana" w:hAnsi="Verdana"/>
          <w:sz w:val="20"/>
          <w:szCs w:val="20"/>
        </w:rPr>
        <w:t xml:space="preserve">le </w:t>
      </w:r>
      <w:r w:rsidRPr="007B0E97">
        <w:rPr>
          <w:rFonts w:ascii="Verdana" w:hAnsi="Verdana"/>
          <w:sz w:val="20"/>
          <w:szCs w:val="20"/>
        </w:rPr>
        <w:t xml:space="preserve">demarcaron y titularon 1,513 </w:t>
      </w:r>
      <w:r w:rsidR="00B6463D">
        <w:rPr>
          <w:rFonts w:ascii="Verdana" w:hAnsi="Verdana"/>
          <w:sz w:val="20"/>
          <w:szCs w:val="20"/>
        </w:rPr>
        <w:t>ha</w:t>
      </w:r>
      <w:r>
        <w:rPr>
          <w:rFonts w:ascii="Verdana" w:hAnsi="Verdana"/>
          <w:sz w:val="20"/>
          <w:szCs w:val="20"/>
        </w:rPr>
        <w:t xml:space="preserve"> adicionales</w:t>
      </w:r>
      <w:r w:rsidRPr="007B0E97">
        <w:rPr>
          <w:rFonts w:ascii="Verdana" w:hAnsi="Verdana"/>
          <w:sz w:val="20"/>
          <w:szCs w:val="20"/>
        </w:rPr>
        <w:t xml:space="preserve">, excluyendo expresamente 46 </w:t>
      </w:r>
      <w:r w:rsidR="00B6463D">
        <w:rPr>
          <w:rFonts w:ascii="Verdana" w:hAnsi="Verdana"/>
          <w:sz w:val="20"/>
          <w:szCs w:val="20"/>
        </w:rPr>
        <w:t>ha</w:t>
      </w:r>
      <w:r w:rsidRPr="007B0E97">
        <w:rPr>
          <w:rFonts w:ascii="Verdana" w:hAnsi="Verdana"/>
          <w:sz w:val="20"/>
          <w:szCs w:val="20"/>
        </w:rPr>
        <w:t xml:space="preserve"> de qui</w:t>
      </w:r>
      <w:r w:rsidR="00A05CF8">
        <w:rPr>
          <w:rFonts w:ascii="Verdana" w:hAnsi="Verdana"/>
          <w:sz w:val="20"/>
          <w:szCs w:val="20"/>
        </w:rPr>
        <w:t>e</w:t>
      </w:r>
      <w:r w:rsidRPr="007B0E97">
        <w:rPr>
          <w:rFonts w:ascii="Verdana" w:hAnsi="Verdana"/>
          <w:sz w:val="20"/>
          <w:szCs w:val="20"/>
        </w:rPr>
        <w:t>nes tenían título en la zona</w:t>
      </w:r>
      <w:r w:rsidR="00A05CF8">
        <w:rPr>
          <w:rFonts w:ascii="Verdana" w:hAnsi="Verdana"/>
          <w:sz w:val="20"/>
          <w:szCs w:val="20"/>
        </w:rPr>
        <w:t>,</w:t>
      </w:r>
      <w:r w:rsidRPr="007B0E97">
        <w:rPr>
          <w:rFonts w:ascii="Verdana" w:hAnsi="Verdana"/>
          <w:sz w:val="20"/>
          <w:szCs w:val="20"/>
        </w:rPr>
        <w:t xml:space="preserve"> y se precisaron las colindancias (</w:t>
      </w:r>
      <w:r w:rsidRPr="007B0E97">
        <w:rPr>
          <w:rFonts w:ascii="Verdana" w:hAnsi="Verdana"/>
          <w:i/>
          <w:sz w:val="20"/>
          <w:szCs w:val="20"/>
        </w:rPr>
        <w:t>supra</w:t>
      </w:r>
      <w:r>
        <w:rPr>
          <w:rFonts w:ascii="Verdana" w:hAnsi="Verdana"/>
          <w:sz w:val="20"/>
          <w:szCs w:val="20"/>
        </w:rPr>
        <w:t xml:space="preserve"> párr</w:t>
      </w:r>
      <w:r w:rsidR="00165AEE">
        <w:rPr>
          <w:rFonts w:ascii="Verdana" w:hAnsi="Verdana"/>
          <w:sz w:val="20"/>
          <w:szCs w:val="20"/>
        </w:rPr>
        <w:t>s</w:t>
      </w:r>
      <w:r w:rsidRPr="007B0E97">
        <w:rPr>
          <w:rFonts w:ascii="Verdana" w:hAnsi="Verdana"/>
          <w:sz w:val="20"/>
          <w:szCs w:val="20"/>
        </w:rPr>
        <w:t xml:space="preserve">. </w:t>
      </w:r>
      <w:r w:rsidR="00DA7D9B">
        <w:rPr>
          <w:rFonts w:ascii="Verdana" w:hAnsi="Verdana"/>
          <w:sz w:val="20"/>
          <w:szCs w:val="20"/>
        </w:rPr>
        <w:t>9</w:t>
      </w:r>
      <w:r w:rsidR="00165AEE">
        <w:rPr>
          <w:rFonts w:ascii="Verdana" w:hAnsi="Verdana"/>
          <w:sz w:val="20"/>
          <w:szCs w:val="20"/>
        </w:rPr>
        <w:t>6 y 98</w:t>
      </w:r>
      <w:r w:rsidRPr="007B0E97">
        <w:rPr>
          <w:rFonts w:ascii="Verdana" w:hAnsi="Verdana"/>
          <w:sz w:val="20"/>
          <w:szCs w:val="20"/>
        </w:rPr>
        <w:t xml:space="preserve">). </w:t>
      </w:r>
      <w:r w:rsidR="00165AEE">
        <w:rPr>
          <w:rFonts w:ascii="Verdana" w:hAnsi="Verdana"/>
          <w:sz w:val="20"/>
          <w:szCs w:val="20"/>
        </w:rPr>
        <w:t xml:space="preserve">La suma total del </w:t>
      </w:r>
      <w:r w:rsidRPr="000955FE">
        <w:rPr>
          <w:rFonts w:ascii="Verdana" w:hAnsi="Verdana"/>
          <w:sz w:val="20"/>
          <w:szCs w:val="20"/>
        </w:rPr>
        <w:t xml:space="preserve">territorio </w:t>
      </w:r>
      <w:r w:rsidR="00165AEE">
        <w:rPr>
          <w:rFonts w:ascii="Verdana" w:hAnsi="Verdana"/>
          <w:sz w:val="20"/>
          <w:szCs w:val="20"/>
        </w:rPr>
        <w:t>titulado a</w:t>
      </w:r>
      <w:r>
        <w:rPr>
          <w:rFonts w:ascii="Verdana" w:hAnsi="Verdana"/>
          <w:sz w:val="20"/>
          <w:szCs w:val="20"/>
        </w:rPr>
        <w:t xml:space="preserve"> favor de la Comunidad de Punta Piedra </w:t>
      </w:r>
      <w:r w:rsidR="00165AEE">
        <w:rPr>
          <w:rFonts w:ascii="Verdana" w:hAnsi="Verdana"/>
          <w:sz w:val="20"/>
          <w:szCs w:val="20"/>
        </w:rPr>
        <w:t xml:space="preserve">ascendió a </w:t>
      </w:r>
      <w:r w:rsidR="00165AEE" w:rsidRPr="000955FE">
        <w:rPr>
          <w:rFonts w:ascii="Verdana" w:hAnsi="Verdana"/>
          <w:sz w:val="20"/>
          <w:szCs w:val="20"/>
        </w:rPr>
        <w:t xml:space="preserve">2.314 </w:t>
      </w:r>
      <w:r w:rsidR="00165AEE">
        <w:rPr>
          <w:rFonts w:ascii="Verdana" w:hAnsi="Verdana"/>
          <w:sz w:val="20"/>
          <w:szCs w:val="20"/>
        </w:rPr>
        <w:t>ha</w:t>
      </w:r>
      <w:r w:rsidR="00165AEE" w:rsidRPr="000955FE">
        <w:rPr>
          <w:rFonts w:ascii="Verdana" w:hAnsi="Verdana"/>
          <w:sz w:val="20"/>
          <w:szCs w:val="20"/>
        </w:rPr>
        <w:t xml:space="preserve"> </w:t>
      </w:r>
      <w:r w:rsidRPr="000955FE">
        <w:rPr>
          <w:rFonts w:ascii="Verdana" w:hAnsi="Verdana"/>
          <w:sz w:val="20"/>
          <w:szCs w:val="20"/>
        </w:rPr>
        <w:t>(</w:t>
      </w:r>
      <w:r w:rsidRPr="008C0496">
        <w:rPr>
          <w:rFonts w:ascii="Verdana" w:hAnsi="Verdana"/>
          <w:i/>
          <w:sz w:val="20"/>
          <w:szCs w:val="20"/>
        </w:rPr>
        <w:t>supra</w:t>
      </w:r>
      <w:r w:rsidRPr="000955FE">
        <w:rPr>
          <w:rFonts w:ascii="Verdana" w:hAnsi="Verdana"/>
          <w:sz w:val="20"/>
          <w:szCs w:val="20"/>
        </w:rPr>
        <w:t xml:space="preserve"> párr. </w:t>
      </w:r>
      <w:r w:rsidR="00165AEE">
        <w:rPr>
          <w:rFonts w:ascii="Verdana" w:hAnsi="Verdana"/>
          <w:sz w:val="20"/>
          <w:szCs w:val="20"/>
        </w:rPr>
        <w:t>101</w:t>
      </w:r>
      <w:r w:rsidRPr="000955FE">
        <w:rPr>
          <w:rFonts w:ascii="Verdana" w:hAnsi="Verdana"/>
          <w:sz w:val="20"/>
          <w:szCs w:val="20"/>
        </w:rPr>
        <w:t>)</w:t>
      </w:r>
      <w:r w:rsidR="00217088">
        <w:rPr>
          <w:rFonts w:ascii="Verdana" w:hAnsi="Verdana"/>
          <w:sz w:val="20"/>
          <w:szCs w:val="20"/>
        </w:rPr>
        <w:t>.</w:t>
      </w:r>
      <w:r w:rsidRPr="000955FE">
        <w:rPr>
          <w:rFonts w:ascii="Verdana" w:hAnsi="Verdana"/>
          <w:sz w:val="20"/>
          <w:szCs w:val="20"/>
        </w:rPr>
        <w:t xml:space="preserve"> </w:t>
      </w:r>
      <w:r>
        <w:rPr>
          <w:rFonts w:ascii="Verdana" w:hAnsi="Verdana"/>
          <w:sz w:val="20"/>
          <w:szCs w:val="20"/>
        </w:rPr>
        <w:t xml:space="preserve">Cabe señalar, que en el título de ampliación de 6 de diciembre de 1999, </w:t>
      </w:r>
      <w:r w:rsidR="00A05CF8">
        <w:rPr>
          <w:rFonts w:ascii="Verdana" w:hAnsi="Verdana"/>
          <w:sz w:val="20"/>
          <w:szCs w:val="20"/>
        </w:rPr>
        <w:t>el</w:t>
      </w:r>
      <w:r>
        <w:rPr>
          <w:rFonts w:ascii="Verdana" w:hAnsi="Verdana"/>
          <w:sz w:val="20"/>
          <w:szCs w:val="20"/>
        </w:rPr>
        <w:t xml:space="preserve"> </w:t>
      </w:r>
      <w:r w:rsidR="00217088">
        <w:rPr>
          <w:rFonts w:ascii="Verdana" w:hAnsi="Verdana"/>
          <w:sz w:val="20"/>
          <w:szCs w:val="20"/>
        </w:rPr>
        <w:t>cual fue revocado en su cláusula</w:t>
      </w:r>
      <w:r>
        <w:rPr>
          <w:rFonts w:ascii="Verdana" w:hAnsi="Verdana"/>
          <w:sz w:val="20"/>
          <w:szCs w:val="20"/>
        </w:rPr>
        <w:t xml:space="preserve"> el</w:t>
      </w:r>
      <w:r w:rsidR="00217088">
        <w:rPr>
          <w:rFonts w:ascii="Verdana" w:hAnsi="Verdana"/>
          <w:sz w:val="20"/>
          <w:szCs w:val="20"/>
        </w:rPr>
        <w:t xml:space="preserve"> 11</w:t>
      </w:r>
      <w:r>
        <w:rPr>
          <w:rFonts w:ascii="Verdana" w:hAnsi="Verdana"/>
          <w:sz w:val="20"/>
          <w:szCs w:val="20"/>
        </w:rPr>
        <w:t xml:space="preserve"> de enero de 2000 </w:t>
      </w:r>
      <w:r w:rsidR="0086236B" w:rsidRPr="00A0324F">
        <w:rPr>
          <w:rFonts w:ascii="Verdana" w:hAnsi="Verdana"/>
          <w:sz w:val="20"/>
          <w:szCs w:val="20"/>
          <w:lang w:val="es-CR"/>
        </w:rPr>
        <w:t>(</w:t>
      </w:r>
      <w:r w:rsidRPr="003B56F9">
        <w:rPr>
          <w:rFonts w:ascii="Verdana" w:hAnsi="Verdana"/>
          <w:i/>
          <w:sz w:val="20"/>
          <w:szCs w:val="20"/>
          <w:lang w:val="es-CR"/>
        </w:rPr>
        <w:t>supra</w:t>
      </w:r>
      <w:r w:rsidR="0086236B" w:rsidRPr="00A0324F">
        <w:rPr>
          <w:rFonts w:ascii="Verdana" w:hAnsi="Verdana"/>
          <w:sz w:val="20"/>
          <w:szCs w:val="20"/>
          <w:lang w:val="es-CR"/>
        </w:rPr>
        <w:t xml:space="preserve"> párr. 100)</w:t>
      </w:r>
      <w:r w:rsidRPr="003B56F9">
        <w:rPr>
          <w:rFonts w:ascii="Verdana" w:hAnsi="Verdana"/>
          <w:sz w:val="20"/>
          <w:szCs w:val="20"/>
        </w:rPr>
        <w:t xml:space="preserve">, </w:t>
      </w:r>
      <w:r>
        <w:rPr>
          <w:rFonts w:ascii="Verdana" w:hAnsi="Verdana"/>
          <w:sz w:val="20"/>
          <w:szCs w:val="20"/>
        </w:rPr>
        <w:t xml:space="preserve">se preveía </w:t>
      </w:r>
      <w:r w:rsidRPr="00373649">
        <w:rPr>
          <w:rFonts w:ascii="Verdana" w:hAnsi="Verdana"/>
          <w:sz w:val="20"/>
          <w:szCs w:val="20"/>
        </w:rPr>
        <w:t xml:space="preserve">que </w:t>
      </w:r>
      <w:r w:rsidRPr="00A0324F">
        <w:rPr>
          <w:rFonts w:ascii="Verdana" w:hAnsi="Verdana"/>
          <w:sz w:val="20"/>
          <w:szCs w:val="20"/>
        </w:rPr>
        <w:t>“</w:t>
      </w:r>
      <w:r w:rsidRPr="00A0324F">
        <w:rPr>
          <w:rFonts w:ascii="Verdana" w:hAnsi="Verdana"/>
          <w:sz w:val="20"/>
          <w:szCs w:val="20"/>
          <w:lang w:val="es-CR"/>
        </w:rPr>
        <w:t xml:space="preserve">se </w:t>
      </w:r>
      <w:proofErr w:type="gramStart"/>
      <w:r w:rsidRPr="00A0324F">
        <w:rPr>
          <w:rFonts w:ascii="Verdana" w:hAnsi="Verdana"/>
          <w:sz w:val="20"/>
          <w:szCs w:val="20"/>
          <w:lang w:val="es-CR"/>
        </w:rPr>
        <w:t>excluye</w:t>
      </w:r>
      <w:r w:rsidR="00A05CF8" w:rsidRPr="00A0324F">
        <w:rPr>
          <w:rFonts w:ascii="Verdana" w:hAnsi="Verdana"/>
          <w:sz w:val="20"/>
          <w:szCs w:val="20"/>
          <w:lang w:val="es-CR"/>
        </w:rPr>
        <w:t>[</w:t>
      </w:r>
      <w:proofErr w:type="spellStart"/>
      <w:proofErr w:type="gramEnd"/>
      <w:r w:rsidR="00A05CF8" w:rsidRPr="00A0324F">
        <w:rPr>
          <w:rFonts w:ascii="Verdana" w:hAnsi="Verdana"/>
          <w:sz w:val="20"/>
          <w:szCs w:val="20"/>
          <w:lang w:val="es-CR"/>
        </w:rPr>
        <w:t>ran</w:t>
      </w:r>
      <w:proofErr w:type="spellEnd"/>
      <w:r w:rsidR="00A05CF8" w:rsidRPr="00A0324F">
        <w:rPr>
          <w:rFonts w:ascii="Verdana" w:hAnsi="Verdana"/>
          <w:sz w:val="20"/>
          <w:szCs w:val="20"/>
          <w:lang w:val="es-CR"/>
        </w:rPr>
        <w:t>]</w:t>
      </w:r>
      <w:r w:rsidRPr="00A0324F">
        <w:rPr>
          <w:rFonts w:ascii="Verdana" w:hAnsi="Verdana"/>
          <w:sz w:val="20"/>
          <w:szCs w:val="20"/>
          <w:lang w:val="es-CR"/>
        </w:rPr>
        <w:t xml:space="preserve"> de la adjudicación las superficies ocupadas y explotadas por personas ajenas a la Comunidad, reservándose el Estado el derecho de disponer de las mismas para adjudicarlas a favor de los ocupantes que reúnan los requisitos de ley”.</w:t>
      </w:r>
      <w:r w:rsidRPr="002345A4">
        <w:rPr>
          <w:rFonts w:ascii="Verdana" w:hAnsi="Verdana"/>
          <w:i/>
          <w:sz w:val="20"/>
          <w:szCs w:val="20"/>
          <w:lang w:val="es-CR"/>
        </w:rPr>
        <w:t xml:space="preserve"> </w:t>
      </w:r>
      <w:r w:rsidRPr="00CB26E3">
        <w:rPr>
          <w:rFonts w:ascii="Verdana" w:hAnsi="Verdana"/>
          <w:sz w:val="20"/>
          <w:szCs w:val="20"/>
          <w:lang w:val="es-CR"/>
        </w:rPr>
        <w:t>No se especificó el número de personas ni el área ocupada.</w:t>
      </w:r>
      <w:r w:rsidRPr="002345A4">
        <w:rPr>
          <w:rFonts w:ascii="Verdana" w:hAnsi="Verdana"/>
          <w:i/>
          <w:sz w:val="20"/>
          <w:szCs w:val="20"/>
          <w:lang w:val="es-CR"/>
        </w:rPr>
        <w:t xml:space="preserve"> </w:t>
      </w:r>
    </w:p>
    <w:p w14:paraId="0C704AE7" w14:textId="77777777" w:rsidR="00F02DDD" w:rsidRPr="00373649" w:rsidRDefault="00F02DDD" w:rsidP="00F02DDD">
      <w:pPr>
        <w:pStyle w:val="ListParagraph"/>
        <w:ind w:left="0"/>
        <w:jc w:val="both"/>
        <w:rPr>
          <w:rFonts w:ascii="Verdana" w:hAnsi="Verdana"/>
          <w:sz w:val="20"/>
          <w:szCs w:val="20"/>
        </w:rPr>
      </w:pPr>
    </w:p>
    <w:p w14:paraId="0C704AE8" w14:textId="0A6C5AF3" w:rsidR="00F02DDD" w:rsidRPr="00373649" w:rsidRDefault="00F02DDD" w:rsidP="00F02DDD">
      <w:pPr>
        <w:pStyle w:val="ListParagraph"/>
        <w:numPr>
          <w:ilvl w:val="0"/>
          <w:numId w:val="17"/>
        </w:numPr>
        <w:ind w:left="0" w:hanging="11"/>
        <w:jc w:val="both"/>
        <w:rPr>
          <w:rFonts w:ascii="Verdana" w:hAnsi="Verdana"/>
          <w:sz w:val="20"/>
          <w:szCs w:val="20"/>
        </w:rPr>
      </w:pPr>
      <w:r w:rsidRPr="00373649">
        <w:rPr>
          <w:rFonts w:ascii="Verdana" w:hAnsi="Verdana"/>
          <w:sz w:val="20"/>
          <w:szCs w:val="20"/>
        </w:rPr>
        <w:t xml:space="preserve">Además, con motivo de los reclamos de ocupación, en 2001 se firmó el </w:t>
      </w:r>
      <w:r w:rsidR="00A05CF8">
        <w:rPr>
          <w:rFonts w:ascii="Verdana" w:hAnsi="Verdana"/>
          <w:sz w:val="20"/>
          <w:szCs w:val="20"/>
        </w:rPr>
        <w:t>a</w:t>
      </w:r>
      <w:r w:rsidRPr="00373649">
        <w:rPr>
          <w:rFonts w:ascii="Verdana" w:hAnsi="Verdana"/>
          <w:sz w:val="20"/>
          <w:szCs w:val="20"/>
        </w:rPr>
        <w:t xml:space="preserve">cta </w:t>
      </w:r>
      <w:r w:rsidR="00A05CF8">
        <w:rPr>
          <w:rFonts w:ascii="Verdana" w:hAnsi="Verdana"/>
          <w:sz w:val="20"/>
          <w:szCs w:val="20"/>
        </w:rPr>
        <w:t>de c</w:t>
      </w:r>
      <w:r w:rsidRPr="00373649">
        <w:rPr>
          <w:rFonts w:ascii="Verdana" w:hAnsi="Verdana"/>
          <w:sz w:val="20"/>
          <w:szCs w:val="20"/>
        </w:rPr>
        <w:t>ompromiso entre las partes (</w:t>
      </w:r>
      <w:r w:rsidRPr="00373649">
        <w:rPr>
          <w:rFonts w:ascii="Verdana" w:hAnsi="Verdana"/>
          <w:i/>
          <w:sz w:val="20"/>
          <w:szCs w:val="20"/>
        </w:rPr>
        <w:t>supra</w:t>
      </w:r>
      <w:r w:rsidRPr="00373649">
        <w:rPr>
          <w:rFonts w:ascii="Verdana" w:hAnsi="Verdana"/>
          <w:sz w:val="20"/>
          <w:szCs w:val="20"/>
        </w:rPr>
        <w:t xml:space="preserve"> párr. </w:t>
      </w:r>
      <w:r w:rsidR="00A05CF8">
        <w:rPr>
          <w:rFonts w:ascii="Verdana" w:hAnsi="Verdana"/>
          <w:sz w:val="20"/>
          <w:szCs w:val="20"/>
        </w:rPr>
        <w:t>11</w:t>
      </w:r>
      <w:r w:rsidR="00522D5F">
        <w:rPr>
          <w:rFonts w:ascii="Verdana" w:hAnsi="Verdana"/>
          <w:sz w:val="20"/>
          <w:szCs w:val="20"/>
        </w:rPr>
        <w:t>4</w:t>
      </w:r>
      <w:r w:rsidRPr="00373649">
        <w:rPr>
          <w:rFonts w:ascii="Verdana" w:hAnsi="Verdana"/>
          <w:sz w:val="20"/>
          <w:szCs w:val="20"/>
        </w:rPr>
        <w:t xml:space="preserve">), a fin de sanear el territorio titulado y evitar los conflictos presentados, así como el </w:t>
      </w:r>
      <w:r w:rsidR="00A05CF8">
        <w:rPr>
          <w:rFonts w:ascii="Verdana" w:hAnsi="Verdana"/>
          <w:sz w:val="20"/>
          <w:szCs w:val="20"/>
        </w:rPr>
        <w:t>a</w:t>
      </w:r>
      <w:r w:rsidRPr="00373649">
        <w:rPr>
          <w:rFonts w:ascii="Verdana" w:hAnsi="Verdana"/>
          <w:sz w:val="20"/>
          <w:szCs w:val="20"/>
        </w:rPr>
        <w:t xml:space="preserve">cta de </w:t>
      </w:r>
      <w:r w:rsidR="00A05CF8">
        <w:rPr>
          <w:rFonts w:ascii="Verdana" w:hAnsi="Verdana"/>
          <w:sz w:val="20"/>
          <w:szCs w:val="20"/>
        </w:rPr>
        <w:t>e</w:t>
      </w:r>
      <w:r w:rsidRPr="00373649">
        <w:rPr>
          <w:rFonts w:ascii="Verdana" w:hAnsi="Verdana"/>
          <w:sz w:val="20"/>
          <w:szCs w:val="20"/>
        </w:rPr>
        <w:t>ntendimiento en 2006</w:t>
      </w:r>
      <w:r w:rsidRPr="00373649">
        <w:rPr>
          <w:rFonts w:ascii="Verdana" w:hAnsi="Verdana"/>
          <w:sz w:val="20"/>
          <w:szCs w:val="20"/>
          <w:vertAlign w:val="superscript"/>
        </w:rPr>
        <w:footnoteReference w:id="227"/>
      </w:r>
      <w:r w:rsidRPr="00373649">
        <w:rPr>
          <w:rFonts w:ascii="Verdana" w:hAnsi="Verdana"/>
          <w:sz w:val="20"/>
          <w:szCs w:val="20"/>
        </w:rPr>
        <w:t xml:space="preserve"> con el mismo fin, en la cual se reiteró explícitamente a la problemática de ocupación de terceros (</w:t>
      </w:r>
      <w:r w:rsidRPr="00373649">
        <w:rPr>
          <w:rFonts w:ascii="Verdana" w:hAnsi="Verdana"/>
          <w:i/>
          <w:sz w:val="20"/>
          <w:szCs w:val="20"/>
        </w:rPr>
        <w:t>supra</w:t>
      </w:r>
      <w:r w:rsidRPr="00373649">
        <w:rPr>
          <w:rFonts w:ascii="Verdana" w:hAnsi="Verdana"/>
          <w:sz w:val="20"/>
          <w:szCs w:val="20"/>
        </w:rPr>
        <w:t xml:space="preserve"> párr. </w:t>
      </w:r>
      <w:r w:rsidR="00A05CF8">
        <w:rPr>
          <w:rFonts w:ascii="Verdana" w:hAnsi="Verdana"/>
          <w:sz w:val="20"/>
          <w:szCs w:val="20"/>
        </w:rPr>
        <w:t>119</w:t>
      </w:r>
      <w:r w:rsidRPr="00373649">
        <w:rPr>
          <w:rFonts w:ascii="Verdana" w:hAnsi="Verdana"/>
          <w:sz w:val="20"/>
          <w:szCs w:val="20"/>
        </w:rPr>
        <w:t>). En 2007 el INA emitió</w:t>
      </w:r>
      <w:r w:rsidR="00522D5F">
        <w:rPr>
          <w:rFonts w:ascii="Verdana" w:hAnsi="Verdana"/>
          <w:sz w:val="20"/>
          <w:szCs w:val="20"/>
        </w:rPr>
        <w:t xml:space="preserve"> </w:t>
      </w:r>
      <w:r w:rsidRPr="00373649">
        <w:rPr>
          <w:rFonts w:ascii="Verdana" w:hAnsi="Verdana"/>
          <w:sz w:val="20"/>
          <w:szCs w:val="20"/>
        </w:rPr>
        <w:t xml:space="preserve">el </w:t>
      </w:r>
      <w:r w:rsidR="00A05CF8">
        <w:rPr>
          <w:rFonts w:ascii="Verdana" w:hAnsi="Verdana"/>
          <w:sz w:val="20"/>
          <w:szCs w:val="20"/>
        </w:rPr>
        <w:t>i</w:t>
      </w:r>
      <w:r w:rsidRPr="00373649">
        <w:rPr>
          <w:rFonts w:ascii="Verdana" w:hAnsi="Verdana"/>
          <w:sz w:val="20"/>
          <w:szCs w:val="20"/>
        </w:rPr>
        <w:t xml:space="preserve">nforme </w:t>
      </w:r>
      <w:r w:rsidR="00A05CF8">
        <w:rPr>
          <w:rFonts w:ascii="Verdana" w:hAnsi="Verdana"/>
          <w:sz w:val="20"/>
          <w:szCs w:val="20"/>
        </w:rPr>
        <w:t>c</w:t>
      </w:r>
      <w:r w:rsidRPr="00373649">
        <w:rPr>
          <w:rFonts w:ascii="Verdana" w:hAnsi="Verdana"/>
          <w:sz w:val="20"/>
          <w:szCs w:val="20"/>
        </w:rPr>
        <w:t xml:space="preserve">atastral, en el que se registró el incremento en la ocupación de terceros en la zona del segundo título. Adicionalmente, </w:t>
      </w:r>
      <w:r w:rsidR="00AF0D7B">
        <w:rPr>
          <w:rFonts w:ascii="Verdana" w:hAnsi="Verdana"/>
          <w:sz w:val="20"/>
          <w:szCs w:val="20"/>
        </w:rPr>
        <w:t>persistiendo</w:t>
      </w:r>
      <w:r w:rsidRPr="00373649">
        <w:rPr>
          <w:rFonts w:ascii="Verdana" w:hAnsi="Verdana"/>
          <w:sz w:val="20"/>
          <w:szCs w:val="20"/>
        </w:rPr>
        <w:t xml:space="preserve"> la problemática, el caso fue presentado ante la Comisión Interamericana el 29 de octubre de 2003, dictándose el Informe de Admisibilidad el 24 de marzo de 2010 y el Informe de Fondo el 21 de marzo de 2013, donde se describió </w:t>
      </w:r>
      <w:r w:rsidRPr="00373649">
        <w:rPr>
          <w:rFonts w:ascii="Verdana" w:hAnsi="Verdana"/>
          <w:sz w:val="20"/>
          <w:szCs w:val="20"/>
        </w:rPr>
        <w:lastRenderedPageBreak/>
        <w:t xml:space="preserve">la gravedad derivada de la ausencia de saneamiento. Finalmente, según el </w:t>
      </w:r>
      <w:r w:rsidR="00D94AE2">
        <w:rPr>
          <w:rFonts w:ascii="Verdana" w:hAnsi="Verdana"/>
          <w:sz w:val="20"/>
          <w:szCs w:val="20"/>
        </w:rPr>
        <w:t>i</w:t>
      </w:r>
      <w:r w:rsidRPr="00373649">
        <w:rPr>
          <w:rFonts w:ascii="Verdana" w:hAnsi="Verdana"/>
          <w:sz w:val="20"/>
          <w:szCs w:val="20"/>
        </w:rPr>
        <w:t xml:space="preserve">nforme de </w:t>
      </w:r>
      <w:r w:rsidR="00D94AE2">
        <w:rPr>
          <w:rFonts w:ascii="Verdana" w:hAnsi="Verdana"/>
          <w:sz w:val="20"/>
          <w:szCs w:val="20"/>
        </w:rPr>
        <w:t>c</w:t>
      </w:r>
      <w:r w:rsidRPr="00373649">
        <w:rPr>
          <w:rFonts w:ascii="Verdana" w:hAnsi="Verdana"/>
          <w:sz w:val="20"/>
          <w:szCs w:val="20"/>
        </w:rPr>
        <w:t xml:space="preserve">ampo de 2013, la </w:t>
      </w:r>
      <w:r w:rsidR="00CB6578">
        <w:rPr>
          <w:rFonts w:ascii="Verdana" w:hAnsi="Verdana"/>
          <w:sz w:val="20"/>
          <w:szCs w:val="20"/>
        </w:rPr>
        <w:t>Aldea de Río Miel</w:t>
      </w:r>
      <w:r w:rsidRPr="00373649">
        <w:rPr>
          <w:rFonts w:ascii="Verdana" w:hAnsi="Verdana"/>
          <w:sz w:val="20"/>
          <w:szCs w:val="20"/>
        </w:rPr>
        <w:t xml:space="preserve"> </w:t>
      </w:r>
      <w:r w:rsidR="00217088">
        <w:rPr>
          <w:rFonts w:ascii="Verdana" w:hAnsi="Verdana"/>
          <w:sz w:val="20"/>
          <w:szCs w:val="20"/>
        </w:rPr>
        <w:t xml:space="preserve">contaba con un </w:t>
      </w:r>
      <w:r w:rsidR="00AF0D7B">
        <w:rPr>
          <w:rFonts w:ascii="Verdana" w:hAnsi="Verdana"/>
          <w:sz w:val="20"/>
          <w:szCs w:val="20"/>
        </w:rPr>
        <w:t xml:space="preserve">desarrolló </w:t>
      </w:r>
      <w:r w:rsidR="00217088">
        <w:rPr>
          <w:rFonts w:ascii="Verdana" w:hAnsi="Verdana"/>
          <w:sz w:val="20"/>
          <w:szCs w:val="20"/>
        </w:rPr>
        <w:t xml:space="preserve">de </w:t>
      </w:r>
      <w:r w:rsidRPr="00373649">
        <w:rPr>
          <w:rFonts w:ascii="Verdana" w:hAnsi="Verdana"/>
          <w:sz w:val="20"/>
          <w:szCs w:val="20"/>
        </w:rPr>
        <w:t xml:space="preserve">infraestructura </w:t>
      </w:r>
      <w:r w:rsidR="00AF0D7B">
        <w:rPr>
          <w:rFonts w:ascii="Verdana" w:hAnsi="Verdana"/>
          <w:sz w:val="20"/>
          <w:szCs w:val="20"/>
        </w:rPr>
        <w:t>de</w:t>
      </w:r>
      <w:r w:rsidRPr="00373649">
        <w:rPr>
          <w:rFonts w:ascii="Verdana" w:hAnsi="Verdana"/>
          <w:sz w:val="20"/>
          <w:szCs w:val="20"/>
        </w:rPr>
        <w:t xml:space="preserve"> agua y luz, entre otras</w:t>
      </w:r>
      <w:r w:rsidR="003B56F9">
        <w:rPr>
          <w:rFonts w:ascii="Verdana" w:hAnsi="Verdana"/>
          <w:sz w:val="20"/>
          <w:szCs w:val="20"/>
        </w:rPr>
        <w:t>.</w:t>
      </w:r>
    </w:p>
    <w:p w14:paraId="0C704AE9" w14:textId="77777777" w:rsidR="00F02DDD" w:rsidRPr="00373649" w:rsidRDefault="00F02DDD" w:rsidP="00F02DDD">
      <w:pPr>
        <w:pStyle w:val="ListParagraph"/>
        <w:ind w:left="0"/>
        <w:jc w:val="both"/>
        <w:rPr>
          <w:rFonts w:ascii="Verdana" w:hAnsi="Verdana"/>
          <w:sz w:val="20"/>
          <w:szCs w:val="20"/>
        </w:rPr>
      </w:pPr>
    </w:p>
    <w:p w14:paraId="0C704AEA" w14:textId="377C8BD8" w:rsidR="00F02DDD" w:rsidRPr="00170D33" w:rsidRDefault="00F02DDD" w:rsidP="00F02DDD">
      <w:pPr>
        <w:pStyle w:val="ListParagraph"/>
        <w:numPr>
          <w:ilvl w:val="0"/>
          <w:numId w:val="17"/>
        </w:numPr>
        <w:ind w:left="0" w:hanging="11"/>
        <w:jc w:val="both"/>
        <w:rPr>
          <w:rFonts w:ascii="Verdana" w:hAnsi="Verdana"/>
          <w:sz w:val="20"/>
          <w:szCs w:val="20"/>
        </w:rPr>
      </w:pPr>
      <w:r w:rsidRPr="00170D33">
        <w:rPr>
          <w:rFonts w:ascii="Verdana" w:hAnsi="Verdana"/>
          <w:sz w:val="20"/>
          <w:szCs w:val="20"/>
        </w:rPr>
        <w:t xml:space="preserve">En este sentido, la Corte constata que el Estado tuvo conocimiento respecto de la ocupación de terceros en la zona, al menos desde la valoración de la solicitud de ampliación de 1999, luego con el título definitivo de 5 de enero de 2000. Posteriormente, una vez titulado el territorio, el Estado </w:t>
      </w:r>
      <w:r w:rsidR="00AF0D7B">
        <w:rPr>
          <w:rFonts w:ascii="Verdana" w:hAnsi="Verdana"/>
          <w:sz w:val="20"/>
          <w:szCs w:val="20"/>
        </w:rPr>
        <w:t>tuvo noticia</w:t>
      </w:r>
      <w:r w:rsidRPr="00170D33">
        <w:rPr>
          <w:rFonts w:ascii="Verdana" w:hAnsi="Verdana"/>
          <w:sz w:val="20"/>
          <w:szCs w:val="20"/>
        </w:rPr>
        <w:t xml:space="preserve"> en diversas ocasiones más</w:t>
      </w:r>
      <w:r w:rsidR="00AF0D7B">
        <w:rPr>
          <w:rFonts w:ascii="Verdana" w:hAnsi="Verdana"/>
          <w:sz w:val="20"/>
          <w:szCs w:val="20"/>
        </w:rPr>
        <w:t xml:space="preserve"> de</w:t>
      </w:r>
      <w:r w:rsidRPr="00170D33">
        <w:rPr>
          <w:rFonts w:ascii="Verdana" w:hAnsi="Verdana"/>
          <w:sz w:val="20"/>
          <w:szCs w:val="20"/>
        </w:rPr>
        <w:t xml:space="preserve"> la continua y creciente ocupación de terceros en parte del territorio titulado y reclamado, sin que el mismo actuara con </w:t>
      </w:r>
      <w:r w:rsidR="00AF0D7B">
        <w:rPr>
          <w:rFonts w:ascii="Verdana" w:hAnsi="Verdana"/>
          <w:sz w:val="20"/>
          <w:szCs w:val="20"/>
        </w:rPr>
        <w:t xml:space="preserve">la </w:t>
      </w:r>
      <w:r w:rsidRPr="00170D33">
        <w:rPr>
          <w:rFonts w:ascii="Verdana" w:hAnsi="Verdana"/>
          <w:sz w:val="20"/>
          <w:szCs w:val="20"/>
        </w:rPr>
        <w:t xml:space="preserve">debida diligencia para tutelar dicho territorio y/o arribar a una solución definitiva. </w:t>
      </w:r>
    </w:p>
    <w:p w14:paraId="0C704AEB" w14:textId="77777777" w:rsidR="00F02DDD" w:rsidRPr="00170D33" w:rsidRDefault="00F02DDD" w:rsidP="00F02DDD">
      <w:pPr>
        <w:pStyle w:val="ListParagraph"/>
        <w:rPr>
          <w:rFonts w:ascii="Verdana" w:hAnsi="Verdana"/>
          <w:sz w:val="20"/>
          <w:szCs w:val="20"/>
        </w:rPr>
      </w:pPr>
    </w:p>
    <w:p w14:paraId="0C704AEC" w14:textId="15186FDA" w:rsidR="00F02DDD" w:rsidRDefault="00AF0D7B" w:rsidP="00F02DDD">
      <w:pPr>
        <w:pStyle w:val="ListParagraph"/>
        <w:numPr>
          <w:ilvl w:val="0"/>
          <w:numId w:val="17"/>
        </w:numPr>
        <w:ind w:left="0" w:hanging="11"/>
        <w:jc w:val="both"/>
        <w:rPr>
          <w:rFonts w:ascii="Verdana" w:hAnsi="Verdana"/>
          <w:sz w:val="20"/>
          <w:szCs w:val="20"/>
        </w:rPr>
      </w:pPr>
      <w:r>
        <w:rPr>
          <w:rFonts w:ascii="Verdana" w:hAnsi="Verdana"/>
          <w:sz w:val="20"/>
          <w:szCs w:val="20"/>
        </w:rPr>
        <w:t>Respecto del</w:t>
      </w:r>
      <w:r w:rsidR="00F02DDD" w:rsidRPr="00170D33">
        <w:rPr>
          <w:rFonts w:ascii="Verdana" w:hAnsi="Verdana"/>
          <w:sz w:val="20"/>
          <w:szCs w:val="20"/>
        </w:rPr>
        <w:t xml:space="preserve"> momento en el que el Estado debió haber </w:t>
      </w:r>
      <w:r w:rsidR="00F02DDD">
        <w:rPr>
          <w:rFonts w:ascii="Verdana" w:hAnsi="Verdana"/>
          <w:sz w:val="20"/>
          <w:szCs w:val="20"/>
        </w:rPr>
        <w:t xml:space="preserve">saneado </w:t>
      </w:r>
      <w:r w:rsidR="00F02DDD" w:rsidRPr="00170D33">
        <w:rPr>
          <w:rFonts w:ascii="Verdana" w:hAnsi="Verdana"/>
          <w:sz w:val="20"/>
          <w:szCs w:val="20"/>
        </w:rPr>
        <w:t>el territorio, en el presente caso, la Corte toma nota que, de manera previa al segundo título de ampliación, el Estado no deslindó claramente las zonas que supuestamente se encontrarían ocupadas por terceros</w:t>
      </w:r>
      <w:r w:rsidR="00217088">
        <w:rPr>
          <w:rFonts w:ascii="Verdana" w:hAnsi="Verdana"/>
          <w:sz w:val="20"/>
          <w:szCs w:val="20"/>
        </w:rPr>
        <w:t>,</w:t>
      </w:r>
      <w:r w:rsidR="00F02DDD" w:rsidRPr="00170D33">
        <w:rPr>
          <w:rFonts w:ascii="Verdana" w:hAnsi="Verdana"/>
          <w:sz w:val="20"/>
          <w:szCs w:val="20"/>
        </w:rPr>
        <w:t xml:space="preserve"> a fin de prever y resolver los problemas de la ocupación progresiva, a través de medidas destinadas </w:t>
      </w:r>
      <w:r w:rsidR="00F02DDD" w:rsidRPr="00012F57">
        <w:rPr>
          <w:rFonts w:ascii="Verdana" w:hAnsi="Verdana"/>
          <w:sz w:val="20"/>
          <w:szCs w:val="20"/>
        </w:rPr>
        <w:t>a garantizar el uso y goce</w:t>
      </w:r>
      <w:r w:rsidR="00F02DDD">
        <w:rPr>
          <w:rFonts w:ascii="Verdana" w:hAnsi="Verdana"/>
          <w:sz w:val="20"/>
          <w:szCs w:val="20"/>
        </w:rPr>
        <w:t xml:space="preserve"> d</w:t>
      </w:r>
      <w:r w:rsidR="00F02DDD" w:rsidRPr="00170D33">
        <w:rPr>
          <w:rFonts w:ascii="Verdana" w:hAnsi="Verdana"/>
          <w:sz w:val="20"/>
          <w:szCs w:val="20"/>
        </w:rPr>
        <w:t xml:space="preserve">el territorio previo a su titulación. Sin embargo, la Corte estima que, si bien </w:t>
      </w:r>
      <w:r w:rsidR="00F02DDD" w:rsidRPr="00012F57">
        <w:rPr>
          <w:rFonts w:ascii="Verdana" w:hAnsi="Verdana"/>
          <w:sz w:val="20"/>
          <w:szCs w:val="20"/>
        </w:rPr>
        <w:t>dicha medida de</w:t>
      </w:r>
      <w:r w:rsidR="00F02DDD" w:rsidRPr="00CB26E3">
        <w:rPr>
          <w:rFonts w:ascii="Verdana" w:hAnsi="Verdana"/>
          <w:b/>
          <w:sz w:val="20"/>
          <w:szCs w:val="20"/>
        </w:rPr>
        <w:t xml:space="preserve"> </w:t>
      </w:r>
      <w:r w:rsidR="00F02DDD" w:rsidRPr="00170D33">
        <w:rPr>
          <w:rFonts w:ascii="Verdana" w:hAnsi="Verdana"/>
          <w:sz w:val="20"/>
          <w:szCs w:val="20"/>
        </w:rPr>
        <w:t>saneamiento por lo general, y según el caso, debía preceder a la titulación, es en definitiva que, una vez titulado el territorio, que el Estado tenía ya el deber irrebatible de sanear el territorio titulado, a fin de garantizar el uso y goce efectivo de la propiedad colectiva de la Comunidad de Punta Piedra. Dicha obligación correspondía ejercerla al Estado de oficio y con extrema diligencia, tutelando también los derechos de terceros</w:t>
      </w:r>
      <w:r w:rsidR="00F02DDD" w:rsidRPr="00170D33">
        <w:rPr>
          <w:rFonts w:ascii="Verdana" w:hAnsi="Verdana"/>
          <w:sz w:val="20"/>
          <w:szCs w:val="20"/>
          <w:vertAlign w:val="superscript"/>
        </w:rPr>
        <w:footnoteReference w:id="228"/>
      </w:r>
      <w:r w:rsidR="00F02DDD" w:rsidRPr="00170D33">
        <w:rPr>
          <w:rFonts w:ascii="Verdana" w:hAnsi="Verdana"/>
          <w:sz w:val="20"/>
          <w:szCs w:val="20"/>
        </w:rPr>
        <w:t xml:space="preserve">.  </w:t>
      </w:r>
    </w:p>
    <w:p w14:paraId="0C4DA079" w14:textId="77777777" w:rsidR="00217088" w:rsidRPr="00170D33" w:rsidRDefault="00217088" w:rsidP="00A0324F">
      <w:pPr>
        <w:pStyle w:val="ListParagraph"/>
        <w:ind w:left="0"/>
        <w:jc w:val="both"/>
        <w:rPr>
          <w:rFonts w:ascii="Verdana" w:hAnsi="Verdana"/>
          <w:sz w:val="20"/>
          <w:szCs w:val="20"/>
        </w:rPr>
      </w:pPr>
    </w:p>
    <w:p w14:paraId="0C704AEE" w14:textId="63952346" w:rsidR="00F02DDD" w:rsidRDefault="00F02DDD" w:rsidP="00F02DDD">
      <w:pPr>
        <w:pStyle w:val="ListParagraph"/>
        <w:numPr>
          <w:ilvl w:val="0"/>
          <w:numId w:val="17"/>
        </w:numPr>
        <w:ind w:left="0" w:hanging="11"/>
        <w:jc w:val="both"/>
        <w:rPr>
          <w:rFonts w:ascii="Verdana" w:hAnsi="Verdana"/>
          <w:sz w:val="20"/>
          <w:szCs w:val="20"/>
        </w:rPr>
      </w:pPr>
      <w:r w:rsidRPr="000955FE">
        <w:rPr>
          <w:rFonts w:ascii="Verdana" w:hAnsi="Verdana"/>
          <w:sz w:val="20"/>
          <w:szCs w:val="20"/>
        </w:rPr>
        <w:t xml:space="preserve">Sobre las medidas adoptadas por el Estado, si bien </w:t>
      </w:r>
      <w:r w:rsidR="00AF0D7B">
        <w:rPr>
          <w:rFonts w:ascii="Verdana" w:hAnsi="Verdana"/>
          <w:sz w:val="20"/>
          <w:szCs w:val="20"/>
        </w:rPr>
        <w:t>e</w:t>
      </w:r>
      <w:r w:rsidRPr="000955FE">
        <w:rPr>
          <w:rFonts w:ascii="Verdana" w:hAnsi="Verdana"/>
          <w:sz w:val="20"/>
          <w:szCs w:val="20"/>
        </w:rPr>
        <w:t xml:space="preserve">ste realizó </w:t>
      </w:r>
      <w:r>
        <w:rPr>
          <w:rFonts w:ascii="Verdana" w:hAnsi="Verdana"/>
          <w:sz w:val="20"/>
          <w:szCs w:val="20"/>
        </w:rPr>
        <w:t>el</w:t>
      </w:r>
      <w:r w:rsidRPr="000955FE">
        <w:rPr>
          <w:rFonts w:ascii="Verdana" w:hAnsi="Verdana"/>
          <w:sz w:val="20"/>
          <w:szCs w:val="20"/>
        </w:rPr>
        <w:t xml:space="preserve"> acuerdo</w:t>
      </w:r>
      <w:r>
        <w:rPr>
          <w:rFonts w:ascii="Verdana" w:hAnsi="Verdana"/>
          <w:sz w:val="20"/>
          <w:szCs w:val="20"/>
        </w:rPr>
        <w:t xml:space="preserve"> y el acta</w:t>
      </w:r>
      <w:r w:rsidRPr="000955FE">
        <w:rPr>
          <w:rFonts w:ascii="Verdana" w:hAnsi="Verdana"/>
          <w:sz w:val="20"/>
          <w:szCs w:val="20"/>
        </w:rPr>
        <w:t xml:space="preserve"> de 2001 y 2006</w:t>
      </w:r>
      <w:r>
        <w:rPr>
          <w:rFonts w:ascii="Verdana" w:hAnsi="Verdana"/>
          <w:sz w:val="20"/>
          <w:szCs w:val="20"/>
        </w:rPr>
        <w:t>, respectivamente,</w:t>
      </w:r>
      <w:r w:rsidRPr="000955FE">
        <w:rPr>
          <w:rFonts w:ascii="Verdana" w:hAnsi="Verdana"/>
          <w:sz w:val="20"/>
          <w:szCs w:val="20"/>
        </w:rPr>
        <w:t xml:space="preserve"> entre las partes con el fin de pagar las mejoras a la </w:t>
      </w:r>
      <w:r w:rsidR="00D3280D">
        <w:rPr>
          <w:rFonts w:ascii="Verdana" w:hAnsi="Verdana"/>
          <w:sz w:val="20"/>
          <w:szCs w:val="20"/>
        </w:rPr>
        <w:t>C</w:t>
      </w:r>
      <w:r w:rsidRPr="000955FE">
        <w:rPr>
          <w:rFonts w:ascii="Verdana" w:hAnsi="Verdana"/>
          <w:sz w:val="20"/>
          <w:szCs w:val="20"/>
        </w:rPr>
        <w:t xml:space="preserve">omunidad de Río Miel </w:t>
      </w:r>
      <w:r w:rsidRPr="00BF5E31">
        <w:rPr>
          <w:rFonts w:ascii="Verdana" w:hAnsi="Verdana"/>
          <w:sz w:val="20"/>
          <w:szCs w:val="20"/>
        </w:rPr>
        <w:t>y reubicarlos</w:t>
      </w:r>
      <w:r w:rsidRPr="000955FE">
        <w:rPr>
          <w:rFonts w:ascii="Verdana" w:hAnsi="Verdana"/>
          <w:sz w:val="20"/>
          <w:szCs w:val="20"/>
        </w:rPr>
        <w:t xml:space="preserve">, la Corte constata que el Estado no asumió dicho compromiso como un deber propio ni ejecutó acciones sostenidas orientadas a alcanzar su efecto útil, sino </w:t>
      </w:r>
      <w:r>
        <w:rPr>
          <w:rFonts w:ascii="Verdana" w:hAnsi="Verdana"/>
          <w:sz w:val="20"/>
          <w:szCs w:val="20"/>
        </w:rPr>
        <w:t xml:space="preserve">que </w:t>
      </w:r>
      <w:r w:rsidR="00AF0D7B">
        <w:rPr>
          <w:rFonts w:ascii="Verdana" w:hAnsi="Verdana"/>
          <w:sz w:val="20"/>
          <w:szCs w:val="20"/>
        </w:rPr>
        <w:t>de ello</w:t>
      </w:r>
      <w:r>
        <w:rPr>
          <w:rFonts w:ascii="Verdana" w:hAnsi="Verdana"/>
          <w:sz w:val="20"/>
          <w:szCs w:val="20"/>
        </w:rPr>
        <w:t xml:space="preserve"> se desprende que dicho compromiso se siguió </w:t>
      </w:r>
      <w:r w:rsidRPr="000955FE">
        <w:rPr>
          <w:rFonts w:ascii="Verdana" w:hAnsi="Verdana"/>
          <w:sz w:val="20"/>
          <w:szCs w:val="20"/>
        </w:rPr>
        <w:t>como una gestión destinada al fracaso que</w:t>
      </w:r>
      <w:r w:rsidR="00AF0D7B">
        <w:rPr>
          <w:rFonts w:ascii="Verdana" w:hAnsi="Verdana"/>
          <w:sz w:val="20"/>
          <w:szCs w:val="20"/>
        </w:rPr>
        <w:t>,</w:t>
      </w:r>
      <w:r w:rsidRPr="000955FE">
        <w:rPr>
          <w:rFonts w:ascii="Verdana" w:hAnsi="Verdana"/>
          <w:sz w:val="20"/>
          <w:szCs w:val="20"/>
        </w:rPr>
        <w:t xml:space="preserve"> por ejemplo, una vez requerido el presupuesto correspondiente a</w:t>
      </w:r>
      <w:r w:rsidR="00096C71">
        <w:rPr>
          <w:rFonts w:ascii="Verdana" w:hAnsi="Verdana"/>
          <w:sz w:val="20"/>
          <w:szCs w:val="20"/>
        </w:rPr>
        <w:t>l Congreso Nacional</w:t>
      </w:r>
      <w:r w:rsidRPr="000955FE">
        <w:rPr>
          <w:rFonts w:ascii="Verdana" w:hAnsi="Verdana"/>
          <w:sz w:val="20"/>
          <w:szCs w:val="20"/>
        </w:rPr>
        <w:t xml:space="preserve">, </w:t>
      </w:r>
      <w:r w:rsidR="00865E06">
        <w:rPr>
          <w:rFonts w:ascii="Verdana" w:hAnsi="Verdana"/>
          <w:sz w:val="20"/>
          <w:szCs w:val="20"/>
        </w:rPr>
        <w:t>e</w:t>
      </w:r>
      <w:r w:rsidR="0097786F" w:rsidRPr="000955FE">
        <w:rPr>
          <w:rFonts w:ascii="Verdana" w:hAnsi="Verdana"/>
          <w:sz w:val="20"/>
          <w:szCs w:val="20"/>
        </w:rPr>
        <w:t xml:space="preserve">ste nunca se </w:t>
      </w:r>
      <w:r w:rsidR="0097786F">
        <w:rPr>
          <w:rFonts w:ascii="Verdana" w:hAnsi="Verdana"/>
          <w:sz w:val="20"/>
          <w:szCs w:val="20"/>
        </w:rPr>
        <w:t>adoptó</w:t>
      </w:r>
      <w:r w:rsidR="0097786F" w:rsidRPr="000955FE">
        <w:rPr>
          <w:rFonts w:ascii="Verdana" w:hAnsi="Verdana"/>
          <w:sz w:val="20"/>
          <w:szCs w:val="20"/>
        </w:rPr>
        <w:t xml:space="preserve"> para </w:t>
      </w:r>
      <w:r w:rsidR="0097786F">
        <w:rPr>
          <w:rFonts w:ascii="Verdana" w:hAnsi="Verdana"/>
          <w:sz w:val="20"/>
          <w:szCs w:val="20"/>
        </w:rPr>
        <w:t xml:space="preserve">tal </w:t>
      </w:r>
      <w:r w:rsidR="0097786F" w:rsidRPr="000955FE">
        <w:rPr>
          <w:rFonts w:ascii="Verdana" w:hAnsi="Verdana"/>
          <w:sz w:val="20"/>
          <w:szCs w:val="20"/>
        </w:rPr>
        <w:t>fin</w:t>
      </w:r>
      <w:r w:rsidRPr="000955FE">
        <w:rPr>
          <w:rFonts w:ascii="Verdana" w:hAnsi="Verdana"/>
          <w:sz w:val="20"/>
          <w:szCs w:val="20"/>
        </w:rPr>
        <w:t xml:space="preserve"> (</w:t>
      </w:r>
      <w:r w:rsidRPr="000955FE">
        <w:rPr>
          <w:rFonts w:ascii="Verdana" w:hAnsi="Verdana"/>
          <w:i/>
          <w:sz w:val="20"/>
          <w:szCs w:val="20"/>
        </w:rPr>
        <w:t>supra</w:t>
      </w:r>
      <w:r w:rsidRPr="000955FE">
        <w:rPr>
          <w:rFonts w:ascii="Verdana" w:hAnsi="Verdana"/>
          <w:sz w:val="20"/>
          <w:szCs w:val="20"/>
        </w:rPr>
        <w:t xml:space="preserve"> párr. </w:t>
      </w:r>
      <w:r w:rsidR="00DA7D9B">
        <w:rPr>
          <w:rFonts w:ascii="Verdana" w:hAnsi="Verdana"/>
          <w:sz w:val="20"/>
          <w:szCs w:val="20"/>
        </w:rPr>
        <w:t>11</w:t>
      </w:r>
      <w:r w:rsidR="00FB0DC1">
        <w:rPr>
          <w:rFonts w:ascii="Verdana" w:hAnsi="Verdana"/>
          <w:sz w:val="20"/>
          <w:szCs w:val="20"/>
        </w:rPr>
        <w:t>8 y 123</w:t>
      </w:r>
      <w:r w:rsidRPr="000955FE">
        <w:rPr>
          <w:rFonts w:ascii="Verdana" w:hAnsi="Verdana"/>
          <w:sz w:val="20"/>
          <w:szCs w:val="20"/>
        </w:rPr>
        <w:t xml:space="preserve">). Asimismo, según lo alegado por el Estado, son las presuntas víctimas quienes debieron interponer recursos frente al incumplimiento del Estado, delegando así la responsabilidad asumida en los acuerdos alcanzados por el propio Estado </w:t>
      </w:r>
      <w:r w:rsidR="00096C71">
        <w:rPr>
          <w:rFonts w:ascii="Verdana" w:hAnsi="Verdana"/>
          <w:sz w:val="20"/>
          <w:szCs w:val="20"/>
        </w:rPr>
        <w:t>en el</w:t>
      </w:r>
      <w:r w:rsidRPr="000955FE">
        <w:rPr>
          <w:rFonts w:ascii="Verdana" w:hAnsi="Verdana"/>
          <w:sz w:val="20"/>
          <w:szCs w:val="20"/>
        </w:rPr>
        <w:t xml:space="preserve"> actuar recursivo de las presuntas víctimas (</w:t>
      </w:r>
      <w:r w:rsidRPr="008C0496">
        <w:rPr>
          <w:rFonts w:ascii="Verdana" w:hAnsi="Verdana"/>
          <w:i/>
          <w:sz w:val="20"/>
          <w:szCs w:val="20"/>
        </w:rPr>
        <w:t>infra</w:t>
      </w:r>
      <w:r>
        <w:rPr>
          <w:rFonts w:ascii="Verdana" w:hAnsi="Verdana"/>
          <w:sz w:val="20"/>
          <w:szCs w:val="20"/>
        </w:rPr>
        <w:t xml:space="preserve"> párr</w:t>
      </w:r>
      <w:r w:rsidRPr="000955FE">
        <w:rPr>
          <w:rFonts w:ascii="Verdana" w:hAnsi="Verdana"/>
          <w:sz w:val="20"/>
          <w:szCs w:val="20"/>
        </w:rPr>
        <w:t>.</w:t>
      </w:r>
      <w:r w:rsidR="00D961A9">
        <w:rPr>
          <w:rFonts w:ascii="Verdana" w:hAnsi="Verdana"/>
          <w:sz w:val="20"/>
          <w:szCs w:val="20"/>
        </w:rPr>
        <w:t xml:space="preserve"> 2</w:t>
      </w:r>
      <w:r w:rsidR="00C83FD6">
        <w:rPr>
          <w:rFonts w:ascii="Verdana" w:hAnsi="Verdana"/>
          <w:sz w:val="20"/>
          <w:szCs w:val="20"/>
        </w:rPr>
        <w:t>30</w:t>
      </w:r>
      <w:r w:rsidRPr="000955FE">
        <w:rPr>
          <w:rFonts w:ascii="Verdana" w:hAnsi="Verdana"/>
          <w:sz w:val="20"/>
          <w:szCs w:val="20"/>
        </w:rPr>
        <w:t>).</w:t>
      </w:r>
      <w:r>
        <w:rPr>
          <w:rFonts w:ascii="Verdana" w:hAnsi="Verdana"/>
          <w:sz w:val="20"/>
          <w:szCs w:val="20"/>
        </w:rPr>
        <w:t xml:space="preserve"> </w:t>
      </w:r>
    </w:p>
    <w:p w14:paraId="0C704AEF" w14:textId="77777777" w:rsidR="00F02DDD" w:rsidRPr="000955FE" w:rsidRDefault="00F02DDD" w:rsidP="00F02DDD">
      <w:pPr>
        <w:pStyle w:val="ListParagraph"/>
        <w:rPr>
          <w:rFonts w:ascii="Verdana" w:hAnsi="Verdana"/>
          <w:sz w:val="20"/>
          <w:szCs w:val="20"/>
        </w:rPr>
      </w:pPr>
    </w:p>
    <w:p w14:paraId="0C704AF0" w14:textId="645A256F" w:rsidR="00F02DDD" w:rsidRDefault="00F02DDD" w:rsidP="00F02DDD">
      <w:pPr>
        <w:pStyle w:val="ListParagraph"/>
        <w:numPr>
          <w:ilvl w:val="0"/>
          <w:numId w:val="17"/>
        </w:numPr>
        <w:ind w:left="0" w:hanging="11"/>
        <w:jc w:val="both"/>
        <w:rPr>
          <w:rFonts w:ascii="Verdana" w:hAnsi="Verdana"/>
          <w:sz w:val="20"/>
          <w:szCs w:val="20"/>
        </w:rPr>
      </w:pPr>
      <w:r w:rsidRPr="000955FE">
        <w:rPr>
          <w:rFonts w:ascii="Verdana" w:hAnsi="Verdana"/>
          <w:sz w:val="20"/>
          <w:szCs w:val="20"/>
        </w:rPr>
        <w:t xml:space="preserve">Es en este sentido la Corte </w:t>
      </w:r>
      <w:r>
        <w:rPr>
          <w:rFonts w:ascii="Verdana" w:hAnsi="Verdana"/>
          <w:sz w:val="20"/>
          <w:szCs w:val="20"/>
        </w:rPr>
        <w:t>reitera</w:t>
      </w:r>
      <w:r w:rsidRPr="000955FE">
        <w:rPr>
          <w:rFonts w:ascii="Verdana" w:hAnsi="Verdana"/>
          <w:sz w:val="20"/>
          <w:szCs w:val="20"/>
        </w:rPr>
        <w:t xml:space="preserve"> el reconocimiento efectuado por </w:t>
      </w:r>
      <w:r w:rsidR="00217088">
        <w:rPr>
          <w:rFonts w:ascii="Verdana" w:hAnsi="Verdana"/>
          <w:sz w:val="20"/>
          <w:szCs w:val="20"/>
        </w:rPr>
        <w:t>Honduras</w:t>
      </w:r>
      <w:r w:rsidRPr="000955FE">
        <w:rPr>
          <w:rFonts w:ascii="Verdana" w:hAnsi="Verdana"/>
          <w:sz w:val="20"/>
          <w:szCs w:val="20"/>
        </w:rPr>
        <w:t xml:space="preserve">, en el cual manifestó que: </w:t>
      </w:r>
      <w:r>
        <w:rPr>
          <w:rFonts w:ascii="Verdana" w:hAnsi="Verdana"/>
          <w:sz w:val="20"/>
          <w:szCs w:val="20"/>
        </w:rPr>
        <w:t xml:space="preserve"> </w:t>
      </w:r>
    </w:p>
    <w:p w14:paraId="0C704AF1" w14:textId="77777777" w:rsidR="00F02DDD" w:rsidRPr="000955FE" w:rsidRDefault="00F02DDD" w:rsidP="00F02DDD">
      <w:pPr>
        <w:pStyle w:val="ListParagraph"/>
        <w:rPr>
          <w:rFonts w:ascii="Verdana" w:hAnsi="Verdana"/>
          <w:sz w:val="20"/>
          <w:szCs w:val="20"/>
        </w:rPr>
      </w:pPr>
    </w:p>
    <w:p w14:paraId="0C704AF2" w14:textId="7CFF1393" w:rsidR="00F02DDD" w:rsidRPr="00E868D8" w:rsidRDefault="00F02DDD" w:rsidP="00F02DDD">
      <w:pPr>
        <w:ind w:left="708"/>
        <w:jc w:val="both"/>
        <w:rPr>
          <w:rFonts w:ascii="Verdana" w:hAnsi="Verdana"/>
          <w:sz w:val="18"/>
          <w:szCs w:val="18"/>
        </w:rPr>
      </w:pPr>
      <w:r w:rsidRPr="00E868D8">
        <w:rPr>
          <w:rFonts w:ascii="Verdana" w:hAnsi="Verdana"/>
          <w:sz w:val="18"/>
          <w:szCs w:val="18"/>
        </w:rPr>
        <w:lastRenderedPageBreak/>
        <w:t xml:space="preserve">“[e]l Estado de Honduras se allana parcialmente al hecho y pretensión consistente en el pago de las mejoras para sanear el derecho de propiedad de la Comunidad de Punta Piedra sobre su territorio, en razón </w:t>
      </w:r>
      <w:r w:rsidR="00096C71">
        <w:rPr>
          <w:rFonts w:ascii="Verdana" w:hAnsi="Verdana"/>
          <w:sz w:val="18"/>
          <w:szCs w:val="18"/>
        </w:rPr>
        <w:t>[de]</w:t>
      </w:r>
      <w:r w:rsidRPr="00E868D8">
        <w:rPr>
          <w:rFonts w:ascii="Verdana" w:hAnsi="Verdana"/>
          <w:sz w:val="18"/>
          <w:szCs w:val="18"/>
        </w:rPr>
        <w:t xml:space="preserve">que en el presente caso el Estado de Honduras ha mantenido una posición objetiva y coherente, en el sentido </w:t>
      </w:r>
      <w:r w:rsidR="00096C71">
        <w:rPr>
          <w:rFonts w:ascii="Verdana" w:hAnsi="Verdana"/>
          <w:sz w:val="18"/>
          <w:szCs w:val="18"/>
        </w:rPr>
        <w:t xml:space="preserve">[de] </w:t>
      </w:r>
      <w:r w:rsidRPr="00E868D8">
        <w:rPr>
          <w:rFonts w:ascii="Verdana" w:hAnsi="Verdana"/>
          <w:sz w:val="18"/>
          <w:szCs w:val="18"/>
        </w:rPr>
        <w:t>que no está en discusión tal derecho, ni la entrega de un título jurídico que reconozca el mismo, sino la obligación de garantizar su posesión pacífica a través del saneamiento y su protección efectiva frente a terceros”</w:t>
      </w:r>
      <w:r w:rsidR="007379DF">
        <w:rPr>
          <w:rFonts w:ascii="Verdana" w:hAnsi="Verdana"/>
          <w:sz w:val="18"/>
          <w:szCs w:val="18"/>
        </w:rPr>
        <w:t xml:space="preserve"> (</w:t>
      </w:r>
      <w:r w:rsidR="007379DF">
        <w:rPr>
          <w:rFonts w:ascii="Verdana" w:hAnsi="Verdana"/>
          <w:i/>
          <w:sz w:val="18"/>
          <w:szCs w:val="18"/>
        </w:rPr>
        <w:t xml:space="preserve">supra, </w:t>
      </w:r>
      <w:r w:rsidR="007379DF">
        <w:rPr>
          <w:rFonts w:ascii="Verdana" w:hAnsi="Verdana"/>
          <w:sz w:val="18"/>
          <w:szCs w:val="18"/>
        </w:rPr>
        <w:t>párr. 35).</w:t>
      </w:r>
    </w:p>
    <w:p w14:paraId="0C704AF3" w14:textId="77777777" w:rsidR="00F02DDD" w:rsidRPr="000955FE" w:rsidRDefault="00F02DDD" w:rsidP="00F02DDD">
      <w:pPr>
        <w:pStyle w:val="ListParagraph"/>
        <w:rPr>
          <w:rFonts w:ascii="Verdana" w:hAnsi="Verdana"/>
          <w:sz w:val="20"/>
          <w:szCs w:val="20"/>
        </w:rPr>
      </w:pPr>
    </w:p>
    <w:p w14:paraId="0C704AF4" w14:textId="44C9FE2B" w:rsidR="00F02DDD" w:rsidRPr="000955FE" w:rsidRDefault="00F02DDD" w:rsidP="00F02DDD">
      <w:pPr>
        <w:pStyle w:val="ListParagraph"/>
        <w:numPr>
          <w:ilvl w:val="0"/>
          <w:numId w:val="17"/>
        </w:numPr>
        <w:ind w:left="0" w:hanging="11"/>
        <w:jc w:val="both"/>
        <w:rPr>
          <w:rFonts w:ascii="Verdana" w:hAnsi="Verdana"/>
          <w:sz w:val="20"/>
          <w:szCs w:val="20"/>
        </w:rPr>
      </w:pPr>
      <w:r w:rsidRPr="000955FE">
        <w:rPr>
          <w:rFonts w:ascii="Verdana" w:hAnsi="Verdana"/>
          <w:sz w:val="20"/>
          <w:szCs w:val="20"/>
        </w:rPr>
        <w:t xml:space="preserve">Por tanto, la falta de </w:t>
      </w:r>
      <w:r w:rsidRPr="00012F57">
        <w:rPr>
          <w:rFonts w:ascii="Verdana" w:hAnsi="Verdana"/>
          <w:sz w:val="20"/>
          <w:szCs w:val="20"/>
        </w:rPr>
        <w:t>garantía del uso y goce, a través de</w:t>
      </w:r>
      <w:r w:rsidR="008E0BD9">
        <w:rPr>
          <w:rFonts w:ascii="Verdana" w:hAnsi="Verdana"/>
          <w:sz w:val="20"/>
          <w:szCs w:val="20"/>
        </w:rPr>
        <w:t xml:space="preserve"> la ausencia de</w:t>
      </w:r>
      <w:r>
        <w:rPr>
          <w:rFonts w:ascii="Verdana" w:hAnsi="Verdana"/>
          <w:sz w:val="20"/>
          <w:szCs w:val="20"/>
        </w:rPr>
        <w:t xml:space="preserve"> </w:t>
      </w:r>
      <w:r w:rsidRPr="000955FE">
        <w:rPr>
          <w:rFonts w:ascii="Verdana" w:hAnsi="Verdana"/>
          <w:sz w:val="20"/>
          <w:szCs w:val="20"/>
        </w:rPr>
        <w:t xml:space="preserve">saneamiento por parte del Estado del territorio de la Comunidad de Punta Piedra, </w:t>
      </w:r>
      <w:r w:rsidR="008E0BD9">
        <w:rPr>
          <w:rFonts w:ascii="Verdana" w:hAnsi="Verdana"/>
          <w:sz w:val="20"/>
          <w:szCs w:val="20"/>
        </w:rPr>
        <w:t xml:space="preserve">durante </w:t>
      </w:r>
      <w:r>
        <w:rPr>
          <w:rFonts w:ascii="Verdana" w:hAnsi="Verdana"/>
          <w:sz w:val="20"/>
          <w:szCs w:val="20"/>
        </w:rPr>
        <w:t xml:space="preserve">más de 15 años, </w:t>
      </w:r>
      <w:r w:rsidRPr="000955FE">
        <w:rPr>
          <w:rFonts w:ascii="Verdana" w:hAnsi="Verdana"/>
          <w:sz w:val="20"/>
          <w:szCs w:val="20"/>
        </w:rPr>
        <w:t>así como la falta de ejecución de dichos acuerdo</w:t>
      </w:r>
      <w:r w:rsidR="008E0BD9">
        <w:rPr>
          <w:rFonts w:ascii="Verdana" w:hAnsi="Verdana"/>
          <w:sz w:val="20"/>
          <w:szCs w:val="20"/>
        </w:rPr>
        <w:t>s</w:t>
      </w:r>
      <w:r w:rsidRPr="000955FE">
        <w:rPr>
          <w:rFonts w:ascii="Verdana" w:hAnsi="Verdana"/>
          <w:sz w:val="20"/>
          <w:szCs w:val="20"/>
        </w:rPr>
        <w:t>, deriv</w:t>
      </w:r>
      <w:r w:rsidR="008E0BD9">
        <w:rPr>
          <w:rFonts w:ascii="Verdana" w:hAnsi="Verdana"/>
          <w:sz w:val="20"/>
          <w:szCs w:val="20"/>
        </w:rPr>
        <w:t>aron</w:t>
      </w:r>
      <w:r w:rsidRPr="000955FE">
        <w:rPr>
          <w:rFonts w:ascii="Verdana" w:hAnsi="Verdana"/>
          <w:sz w:val="20"/>
          <w:szCs w:val="20"/>
        </w:rPr>
        <w:t xml:space="preserve"> en graves tensiones entre las comunidades en cuestión</w:t>
      </w:r>
      <w:r w:rsidR="008E0BD9">
        <w:rPr>
          <w:rFonts w:ascii="Verdana" w:hAnsi="Verdana"/>
          <w:sz w:val="20"/>
          <w:szCs w:val="20"/>
        </w:rPr>
        <w:t>. Esto</w:t>
      </w:r>
      <w:r w:rsidRPr="000955FE">
        <w:rPr>
          <w:rFonts w:ascii="Verdana" w:hAnsi="Verdana"/>
          <w:sz w:val="20"/>
          <w:szCs w:val="20"/>
        </w:rPr>
        <w:t xml:space="preserve"> ha impedido a la Comunidad de Punta Piedra gozar de la posesión y protección efectiva de su territorio frente a terceros</w:t>
      </w:r>
      <w:r>
        <w:rPr>
          <w:rFonts w:ascii="Verdana" w:hAnsi="Verdana"/>
          <w:sz w:val="20"/>
          <w:szCs w:val="20"/>
        </w:rPr>
        <w:t xml:space="preserve"> en contravención </w:t>
      </w:r>
      <w:r w:rsidR="008E0BD9">
        <w:rPr>
          <w:rFonts w:ascii="Verdana" w:hAnsi="Verdana"/>
          <w:sz w:val="20"/>
          <w:szCs w:val="20"/>
        </w:rPr>
        <w:t>al</w:t>
      </w:r>
      <w:r>
        <w:rPr>
          <w:rFonts w:ascii="Verdana" w:hAnsi="Verdana"/>
          <w:sz w:val="20"/>
          <w:szCs w:val="20"/>
        </w:rPr>
        <w:t xml:space="preserve"> derecho a la propiedad colectiva. </w:t>
      </w:r>
    </w:p>
    <w:p w14:paraId="0C704AF5" w14:textId="77777777" w:rsidR="00F02DDD" w:rsidRPr="00E868D8" w:rsidRDefault="00F02DDD" w:rsidP="00F02DDD">
      <w:pPr>
        <w:jc w:val="both"/>
        <w:rPr>
          <w:rFonts w:ascii="Verdana" w:hAnsi="Verdana"/>
          <w:sz w:val="20"/>
          <w:szCs w:val="20"/>
        </w:rPr>
      </w:pPr>
    </w:p>
    <w:p w14:paraId="0C704AF6" w14:textId="77777777" w:rsidR="00F02DDD" w:rsidRPr="00314598" w:rsidRDefault="00F02DDD" w:rsidP="00F02DDD">
      <w:pPr>
        <w:pStyle w:val="Heading4"/>
      </w:pPr>
      <w:bookmarkStart w:id="80" w:name="_Toc437247349"/>
      <w:r w:rsidRPr="00A71698">
        <w:rPr>
          <w:lang w:val="es-ES_tradnl"/>
        </w:rPr>
        <w:t xml:space="preserve">B.3.1 </w:t>
      </w:r>
      <w:r w:rsidRPr="00A71698">
        <w:t>Respecto del incremento en la ocupación de terceros en el territorio titulado</w:t>
      </w:r>
      <w:bookmarkEnd w:id="80"/>
      <w:r w:rsidRPr="008C1D6D">
        <w:t xml:space="preserve"> </w:t>
      </w:r>
    </w:p>
    <w:p w14:paraId="0C704AF7" w14:textId="77777777" w:rsidR="00F02DDD" w:rsidRPr="00E868D8" w:rsidRDefault="00F02DDD" w:rsidP="00F02DDD">
      <w:pPr>
        <w:rPr>
          <w:rFonts w:ascii="Verdana" w:hAnsi="Verdana"/>
          <w:b/>
          <w:sz w:val="20"/>
          <w:szCs w:val="20"/>
        </w:rPr>
      </w:pPr>
    </w:p>
    <w:p w14:paraId="0C704AF8" w14:textId="560246CF"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 xml:space="preserve">El informe catastral de 2007 </w:t>
      </w:r>
      <w:r w:rsidR="00CF40D5">
        <w:rPr>
          <w:rFonts w:ascii="Verdana" w:hAnsi="Verdana"/>
          <w:sz w:val="20"/>
          <w:szCs w:val="20"/>
        </w:rPr>
        <w:t>aportó la información respecto de</w:t>
      </w:r>
      <w:r>
        <w:rPr>
          <w:rFonts w:ascii="Verdana" w:hAnsi="Verdana"/>
          <w:sz w:val="20"/>
          <w:szCs w:val="20"/>
        </w:rPr>
        <w:t xml:space="preserve"> la extensión de tierra ocupada por terceros </w:t>
      </w:r>
      <w:r w:rsidR="00CF40D5">
        <w:rPr>
          <w:rFonts w:ascii="Verdana" w:hAnsi="Verdana"/>
          <w:sz w:val="20"/>
          <w:szCs w:val="20"/>
        </w:rPr>
        <w:t>en</w:t>
      </w:r>
      <w:r>
        <w:rPr>
          <w:rFonts w:ascii="Verdana" w:hAnsi="Verdana"/>
          <w:sz w:val="20"/>
          <w:szCs w:val="20"/>
        </w:rPr>
        <w:t xml:space="preserve"> esa fecha</w:t>
      </w:r>
      <w:r w:rsidR="00CF40D5">
        <w:rPr>
          <w:rFonts w:ascii="Verdana" w:hAnsi="Verdana"/>
          <w:sz w:val="20"/>
          <w:szCs w:val="20"/>
        </w:rPr>
        <w:t>.</w:t>
      </w:r>
      <w:r>
        <w:rPr>
          <w:rFonts w:ascii="Verdana" w:hAnsi="Verdana"/>
          <w:sz w:val="20"/>
          <w:szCs w:val="20"/>
        </w:rPr>
        <w:t xml:space="preserve"> </w:t>
      </w:r>
      <w:r w:rsidR="00CF40D5">
        <w:rPr>
          <w:rFonts w:ascii="Verdana" w:hAnsi="Verdana"/>
          <w:sz w:val="20"/>
          <w:szCs w:val="20"/>
        </w:rPr>
        <w:t>S</w:t>
      </w:r>
      <w:r>
        <w:rPr>
          <w:rFonts w:ascii="Verdana" w:hAnsi="Verdana"/>
          <w:sz w:val="20"/>
          <w:szCs w:val="20"/>
        </w:rPr>
        <w:t>in embargo</w:t>
      </w:r>
      <w:r w:rsidR="00CF40D5">
        <w:rPr>
          <w:rFonts w:ascii="Verdana" w:hAnsi="Verdana"/>
          <w:sz w:val="20"/>
          <w:szCs w:val="20"/>
        </w:rPr>
        <w:t>,</w:t>
      </w:r>
      <w:r>
        <w:rPr>
          <w:rFonts w:ascii="Verdana" w:hAnsi="Verdana"/>
          <w:sz w:val="20"/>
          <w:szCs w:val="20"/>
        </w:rPr>
        <w:t xml:space="preserve"> existe controversia respecto del territorio del segundo título que </w:t>
      </w:r>
      <w:r w:rsidR="00CF40D5">
        <w:rPr>
          <w:rFonts w:ascii="Verdana" w:hAnsi="Verdana"/>
          <w:sz w:val="20"/>
          <w:szCs w:val="20"/>
        </w:rPr>
        <w:t>posteriormente a</w:t>
      </w:r>
      <w:r>
        <w:rPr>
          <w:rFonts w:ascii="Verdana" w:hAnsi="Verdana"/>
          <w:sz w:val="20"/>
          <w:szCs w:val="20"/>
        </w:rPr>
        <w:t xml:space="preserve"> dicho informe y </w:t>
      </w:r>
      <w:r w:rsidR="00CF40D5">
        <w:rPr>
          <w:rFonts w:ascii="Verdana" w:hAnsi="Verdana"/>
          <w:sz w:val="20"/>
          <w:szCs w:val="20"/>
        </w:rPr>
        <w:t xml:space="preserve">hasta </w:t>
      </w:r>
      <w:r>
        <w:rPr>
          <w:rFonts w:ascii="Verdana" w:hAnsi="Verdana"/>
          <w:sz w:val="20"/>
          <w:szCs w:val="20"/>
        </w:rPr>
        <w:t>la actualidad se encontraría ocupado por terceros ajen</w:t>
      </w:r>
      <w:r w:rsidR="00CF40D5">
        <w:rPr>
          <w:rFonts w:ascii="Verdana" w:hAnsi="Verdana"/>
          <w:sz w:val="20"/>
          <w:szCs w:val="20"/>
        </w:rPr>
        <w:t>o</w:t>
      </w:r>
      <w:r>
        <w:rPr>
          <w:rFonts w:ascii="Verdana" w:hAnsi="Verdana"/>
          <w:sz w:val="20"/>
          <w:szCs w:val="20"/>
        </w:rPr>
        <w:t xml:space="preserve">s a la Comunidad de Punta Piedra. En este sentido, la Corte analizará lo conducente. </w:t>
      </w:r>
    </w:p>
    <w:p w14:paraId="0C704AF9" w14:textId="77777777" w:rsidR="00F02DDD" w:rsidRDefault="00F02DDD" w:rsidP="00F02DDD">
      <w:pPr>
        <w:pStyle w:val="ListParagraph"/>
        <w:ind w:left="0"/>
        <w:jc w:val="both"/>
        <w:rPr>
          <w:rFonts w:ascii="Verdana" w:hAnsi="Verdana"/>
          <w:sz w:val="20"/>
          <w:szCs w:val="20"/>
        </w:rPr>
      </w:pPr>
    </w:p>
    <w:p w14:paraId="0C704AFA" w14:textId="55648A23"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En este sentido, l</w:t>
      </w:r>
      <w:r w:rsidRPr="00E868D8">
        <w:rPr>
          <w:rFonts w:ascii="Verdana" w:hAnsi="Verdana"/>
          <w:sz w:val="20"/>
          <w:szCs w:val="20"/>
        </w:rPr>
        <w:t xml:space="preserve">os </w:t>
      </w:r>
      <w:r w:rsidRPr="000955FE">
        <w:rPr>
          <w:rFonts w:ascii="Verdana" w:hAnsi="Verdana"/>
          <w:b/>
          <w:i/>
          <w:sz w:val="20"/>
          <w:szCs w:val="20"/>
        </w:rPr>
        <w:t>representantes</w:t>
      </w:r>
      <w:r w:rsidRPr="00E868D8">
        <w:rPr>
          <w:rFonts w:ascii="Verdana" w:hAnsi="Verdana"/>
          <w:sz w:val="20"/>
          <w:szCs w:val="20"/>
        </w:rPr>
        <w:t xml:space="preserve"> refirieron en sus alegatos finales que “el área total ocupada por los colonos de Río Miel </w:t>
      </w:r>
      <w:proofErr w:type="spellStart"/>
      <w:r w:rsidRPr="00E868D8">
        <w:rPr>
          <w:rFonts w:ascii="Verdana" w:hAnsi="Verdana"/>
          <w:sz w:val="20"/>
          <w:szCs w:val="20"/>
        </w:rPr>
        <w:t>correspond</w:t>
      </w:r>
      <w:proofErr w:type="spellEnd"/>
      <w:r w:rsidRPr="00E868D8">
        <w:rPr>
          <w:rFonts w:ascii="Verdana" w:hAnsi="Verdana"/>
          <w:sz w:val="20"/>
          <w:szCs w:val="20"/>
        </w:rPr>
        <w:t>[</w:t>
      </w:r>
      <w:proofErr w:type="spellStart"/>
      <w:r w:rsidRPr="00E868D8">
        <w:rPr>
          <w:rFonts w:ascii="Verdana" w:hAnsi="Verdana"/>
          <w:sz w:val="20"/>
          <w:szCs w:val="20"/>
        </w:rPr>
        <w:t>ía</w:t>
      </w:r>
      <w:proofErr w:type="spellEnd"/>
      <w:r w:rsidRPr="00E868D8">
        <w:rPr>
          <w:rFonts w:ascii="Verdana" w:hAnsi="Verdana"/>
          <w:sz w:val="20"/>
          <w:szCs w:val="20"/>
        </w:rPr>
        <w:t xml:space="preserve">] a toda el área del título de ampliación de 1999 </w:t>
      </w:r>
      <w:r w:rsidR="00CF40D5">
        <w:rPr>
          <w:rFonts w:ascii="Verdana" w:hAnsi="Verdana"/>
          <w:sz w:val="20"/>
          <w:szCs w:val="20"/>
        </w:rPr>
        <w:t xml:space="preserve">[…] </w:t>
      </w:r>
      <w:r w:rsidRPr="00E868D8">
        <w:rPr>
          <w:rFonts w:ascii="Verdana" w:hAnsi="Verdana"/>
          <w:sz w:val="20"/>
          <w:szCs w:val="20"/>
        </w:rPr>
        <w:t>a l</w:t>
      </w:r>
      <w:r w:rsidR="00CF40D5">
        <w:rPr>
          <w:rFonts w:ascii="Verdana" w:hAnsi="Verdana"/>
          <w:sz w:val="20"/>
          <w:szCs w:val="20"/>
        </w:rPr>
        <w:t>a</w:t>
      </w:r>
      <w:r w:rsidRPr="00E868D8">
        <w:rPr>
          <w:rFonts w:ascii="Verdana" w:hAnsi="Verdana"/>
          <w:sz w:val="20"/>
          <w:szCs w:val="20"/>
        </w:rPr>
        <w:t xml:space="preserve"> que los colonos han dado uso en potreros cercados para ganadería extensiva, z</w:t>
      </w:r>
      <w:r>
        <w:rPr>
          <w:rFonts w:ascii="Verdana" w:hAnsi="Verdana"/>
          <w:sz w:val="20"/>
          <w:szCs w:val="20"/>
        </w:rPr>
        <w:t>o</w:t>
      </w:r>
      <w:r w:rsidRPr="00E868D8">
        <w:rPr>
          <w:rFonts w:ascii="Verdana" w:hAnsi="Verdana"/>
          <w:sz w:val="20"/>
          <w:szCs w:val="20"/>
        </w:rPr>
        <w:t>nas de vivienda  y zonas de cultivo. Los periodos de ocupación se dan en tres momentos: antes del 93 no existían invasiones de</w:t>
      </w:r>
      <w:r>
        <w:rPr>
          <w:rFonts w:ascii="Verdana" w:hAnsi="Verdana"/>
          <w:sz w:val="20"/>
          <w:szCs w:val="20"/>
        </w:rPr>
        <w:t xml:space="preserve"> </w:t>
      </w:r>
      <w:r w:rsidRPr="00E868D8">
        <w:rPr>
          <w:rFonts w:ascii="Verdana" w:hAnsi="Verdana"/>
          <w:sz w:val="20"/>
          <w:szCs w:val="20"/>
        </w:rPr>
        <w:t>los colonos; del año 1993 a 2003 se establecieron los antiguos colonos</w:t>
      </w:r>
      <w:r w:rsidR="00CF40D5">
        <w:rPr>
          <w:rFonts w:ascii="Verdana" w:hAnsi="Verdana"/>
          <w:sz w:val="20"/>
          <w:szCs w:val="20"/>
        </w:rPr>
        <w:t>,</w:t>
      </w:r>
      <w:r w:rsidRPr="00E868D8">
        <w:rPr>
          <w:rFonts w:ascii="Verdana" w:hAnsi="Verdana"/>
          <w:sz w:val="20"/>
          <w:szCs w:val="20"/>
        </w:rPr>
        <w:t xml:space="preserve"> y del 2003 a la fecha se vendieron estas tierras a los nuevos colonos […]”</w:t>
      </w:r>
      <w:r w:rsidR="00CF40D5">
        <w:rPr>
          <w:rFonts w:ascii="Verdana" w:hAnsi="Verdana"/>
          <w:sz w:val="20"/>
          <w:szCs w:val="20"/>
        </w:rPr>
        <w:t xml:space="preserve">. </w:t>
      </w:r>
      <w:r>
        <w:rPr>
          <w:rFonts w:ascii="Verdana" w:hAnsi="Verdana"/>
          <w:sz w:val="20"/>
          <w:szCs w:val="20"/>
        </w:rPr>
        <w:t xml:space="preserve">En sus observaciones a la </w:t>
      </w:r>
      <w:r w:rsidR="00217088">
        <w:rPr>
          <w:rFonts w:ascii="Verdana" w:hAnsi="Verdana"/>
          <w:sz w:val="20"/>
          <w:szCs w:val="20"/>
        </w:rPr>
        <w:t xml:space="preserve">diligencia </w:t>
      </w:r>
      <w:r w:rsidR="00217088" w:rsidRPr="00A0324F">
        <w:rPr>
          <w:rFonts w:ascii="Verdana" w:hAnsi="Verdana"/>
          <w:i/>
          <w:sz w:val="20"/>
          <w:szCs w:val="20"/>
        </w:rPr>
        <w:t>in situ</w:t>
      </w:r>
      <w:r w:rsidR="00217088">
        <w:rPr>
          <w:rFonts w:ascii="Verdana" w:hAnsi="Verdana"/>
          <w:sz w:val="20"/>
          <w:szCs w:val="20"/>
        </w:rPr>
        <w:t xml:space="preserve"> </w:t>
      </w:r>
      <w:r>
        <w:rPr>
          <w:rFonts w:ascii="Verdana" w:hAnsi="Verdana"/>
          <w:sz w:val="20"/>
          <w:szCs w:val="20"/>
        </w:rPr>
        <w:t>los representantes enfatizaron que del sobrevuelo realizado en la visita se pudo “</w:t>
      </w:r>
      <w:proofErr w:type="spellStart"/>
      <w:proofErr w:type="gramStart"/>
      <w:r>
        <w:rPr>
          <w:rFonts w:ascii="Verdana" w:hAnsi="Verdana"/>
          <w:sz w:val="20"/>
          <w:szCs w:val="20"/>
        </w:rPr>
        <w:t>observ</w:t>
      </w:r>
      <w:proofErr w:type="spellEnd"/>
      <w:r w:rsidR="00CF40D5">
        <w:rPr>
          <w:rFonts w:ascii="Verdana" w:hAnsi="Verdana"/>
          <w:sz w:val="20"/>
          <w:szCs w:val="20"/>
        </w:rPr>
        <w:t>[</w:t>
      </w:r>
      <w:proofErr w:type="spellStart"/>
      <w:proofErr w:type="gramEnd"/>
      <w:r>
        <w:rPr>
          <w:rFonts w:ascii="Verdana" w:hAnsi="Verdana"/>
          <w:sz w:val="20"/>
          <w:szCs w:val="20"/>
        </w:rPr>
        <w:t>ar</w:t>
      </w:r>
      <w:proofErr w:type="spellEnd"/>
      <w:r w:rsidR="00CF40D5">
        <w:rPr>
          <w:rFonts w:ascii="Verdana" w:hAnsi="Verdana"/>
          <w:sz w:val="20"/>
          <w:szCs w:val="20"/>
        </w:rPr>
        <w:t>]</w:t>
      </w:r>
      <w:r>
        <w:rPr>
          <w:rFonts w:ascii="Verdana" w:hAnsi="Verdana"/>
          <w:sz w:val="20"/>
          <w:szCs w:val="20"/>
        </w:rPr>
        <w:t xml:space="preserve"> que la región está totalmente cubierta con monocultivos de palma africana y viviendas de la </w:t>
      </w:r>
      <w:r w:rsidR="00D3280D">
        <w:rPr>
          <w:rFonts w:ascii="Verdana" w:hAnsi="Verdana"/>
          <w:sz w:val="20"/>
          <w:szCs w:val="20"/>
        </w:rPr>
        <w:t>C</w:t>
      </w:r>
      <w:r>
        <w:rPr>
          <w:rFonts w:ascii="Verdana" w:hAnsi="Verdana"/>
          <w:sz w:val="20"/>
          <w:szCs w:val="20"/>
        </w:rPr>
        <w:t xml:space="preserve">omunidad de Río Miel en los cerros, así como extensas zonas de potreros y </w:t>
      </w:r>
      <w:r w:rsidR="00217088">
        <w:rPr>
          <w:rFonts w:ascii="Verdana" w:hAnsi="Verdana"/>
          <w:sz w:val="20"/>
          <w:szCs w:val="20"/>
        </w:rPr>
        <w:t>áreas</w:t>
      </w:r>
      <w:r>
        <w:rPr>
          <w:rFonts w:ascii="Verdana" w:hAnsi="Verdana"/>
          <w:sz w:val="20"/>
          <w:szCs w:val="20"/>
        </w:rPr>
        <w:t xml:space="preserve"> aradas. Ninguna de esas actividades agrícolas responde al modelo de cultivo Garífuna”</w:t>
      </w:r>
      <w:r w:rsidR="00CF40D5">
        <w:rPr>
          <w:rFonts w:ascii="Verdana" w:hAnsi="Verdana"/>
          <w:sz w:val="20"/>
          <w:szCs w:val="20"/>
        </w:rPr>
        <w:t>.</w:t>
      </w:r>
    </w:p>
    <w:p w14:paraId="0C704AFB" w14:textId="77777777" w:rsidR="00F02DDD" w:rsidRDefault="00F02DDD" w:rsidP="00F02DDD">
      <w:pPr>
        <w:pStyle w:val="ListParagraph"/>
        <w:ind w:left="0"/>
        <w:jc w:val="both"/>
        <w:rPr>
          <w:rFonts w:ascii="Verdana" w:hAnsi="Verdana"/>
          <w:sz w:val="20"/>
          <w:szCs w:val="20"/>
        </w:rPr>
      </w:pPr>
    </w:p>
    <w:p w14:paraId="0C704AFC" w14:textId="5C268F8C" w:rsidR="00F02DDD" w:rsidRPr="00980CE6" w:rsidRDefault="00F02DDD" w:rsidP="00980CE6">
      <w:pPr>
        <w:pStyle w:val="ListParagraph"/>
        <w:numPr>
          <w:ilvl w:val="0"/>
          <w:numId w:val="17"/>
        </w:numPr>
        <w:ind w:left="0" w:hanging="11"/>
        <w:jc w:val="both"/>
        <w:rPr>
          <w:rFonts w:ascii="Verdana" w:hAnsi="Verdana"/>
          <w:sz w:val="20"/>
          <w:szCs w:val="20"/>
        </w:rPr>
      </w:pPr>
      <w:r w:rsidRPr="000955FE">
        <w:rPr>
          <w:rFonts w:ascii="Verdana" w:hAnsi="Verdana"/>
          <w:sz w:val="20"/>
          <w:szCs w:val="20"/>
        </w:rPr>
        <w:t xml:space="preserve">Por su parte, en sus alegatos finales el </w:t>
      </w:r>
      <w:r w:rsidRPr="000955FE">
        <w:rPr>
          <w:rFonts w:ascii="Verdana" w:hAnsi="Verdana"/>
          <w:b/>
          <w:i/>
          <w:sz w:val="20"/>
          <w:szCs w:val="20"/>
        </w:rPr>
        <w:t>Estado</w:t>
      </w:r>
      <w:r w:rsidRPr="000955FE">
        <w:rPr>
          <w:rFonts w:ascii="Verdana" w:hAnsi="Verdana"/>
          <w:sz w:val="20"/>
          <w:szCs w:val="20"/>
        </w:rPr>
        <w:t xml:space="preserve"> señaló que es un hecho probado por las declaraciones de los miembros de la Comunidad Garífuna que las tierras que reclaman están ocupadas y explotadas por los pobladores de Río Miel desde el año 1993 y de acuerdo con el Informe Catastral del INA “se constató la existencia de un área aproximada a las 612.13 </w:t>
      </w:r>
      <w:r w:rsidR="00B6463D">
        <w:rPr>
          <w:rFonts w:ascii="Verdana" w:hAnsi="Verdana"/>
          <w:sz w:val="20"/>
          <w:szCs w:val="20"/>
        </w:rPr>
        <w:t>ha</w:t>
      </w:r>
      <w:r w:rsidRPr="000955FE">
        <w:rPr>
          <w:rFonts w:ascii="Verdana" w:hAnsi="Verdana"/>
          <w:sz w:val="20"/>
          <w:szCs w:val="20"/>
        </w:rPr>
        <w:t xml:space="preserve"> que se encontraban ocupadas por estos pobladores”</w:t>
      </w:r>
      <w:r w:rsidR="00CF40D5">
        <w:rPr>
          <w:rFonts w:ascii="Verdana" w:hAnsi="Verdana"/>
          <w:sz w:val="20"/>
          <w:szCs w:val="20"/>
        </w:rPr>
        <w:t xml:space="preserve">. </w:t>
      </w:r>
      <w:r w:rsidRPr="00CF40D5">
        <w:rPr>
          <w:rFonts w:ascii="Verdana" w:hAnsi="Verdana"/>
          <w:sz w:val="20"/>
          <w:szCs w:val="20"/>
        </w:rPr>
        <w:t xml:space="preserve">Según lo dicho por el Estado, actualmente la ocupación de los pobladores de Río Miel “se define como una consolidación de su </w:t>
      </w:r>
      <w:r w:rsidR="00CF40D5">
        <w:rPr>
          <w:rFonts w:ascii="Verdana" w:hAnsi="Verdana"/>
          <w:sz w:val="20"/>
          <w:szCs w:val="20"/>
        </w:rPr>
        <w:t>c</w:t>
      </w:r>
      <w:r w:rsidRPr="00CF40D5">
        <w:rPr>
          <w:rFonts w:ascii="Verdana" w:hAnsi="Verdana"/>
          <w:sz w:val="20"/>
          <w:szCs w:val="20"/>
        </w:rPr>
        <w:t xml:space="preserve">entro </w:t>
      </w:r>
      <w:r w:rsidR="00CF40D5">
        <w:rPr>
          <w:rFonts w:ascii="Verdana" w:hAnsi="Verdana"/>
          <w:sz w:val="20"/>
          <w:szCs w:val="20"/>
        </w:rPr>
        <w:t>p</w:t>
      </w:r>
      <w:r w:rsidRPr="00CF40D5">
        <w:rPr>
          <w:rFonts w:ascii="Verdana" w:hAnsi="Verdana"/>
          <w:sz w:val="20"/>
          <w:szCs w:val="20"/>
        </w:rPr>
        <w:t>obla</w:t>
      </w:r>
      <w:r w:rsidR="00CF40D5">
        <w:rPr>
          <w:rFonts w:ascii="Verdana" w:hAnsi="Verdana"/>
          <w:sz w:val="20"/>
          <w:szCs w:val="20"/>
        </w:rPr>
        <w:t xml:space="preserve">do </w:t>
      </w:r>
      <w:r w:rsidRPr="00CF40D5">
        <w:rPr>
          <w:rFonts w:ascii="Verdana" w:hAnsi="Verdana"/>
          <w:sz w:val="20"/>
          <w:szCs w:val="20"/>
        </w:rPr>
        <w:t xml:space="preserve">en virtud de contar </w:t>
      </w:r>
      <w:r w:rsidR="00217088">
        <w:rPr>
          <w:rFonts w:ascii="Verdana" w:hAnsi="Verdana"/>
          <w:sz w:val="20"/>
          <w:szCs w:val="20"/>
        </w:rPr>
        <w:t xml:space="preserve">con </w:t>
      </w:r>
      <w:r w:rsidRPr="00CF40D5">
        <w:rPr>
          <w:rFonts w:ascii="Verdana" w:hAnsi="Verdana"/>
          <w:sz w:val="20"/>
          <w:szCs w:val="20"/>
        </w:rPr>
        <w:t xml:space="preserve">una infraestructura habitacional consolidada, con construcciones permanentes, servicios públicos como agua potable y energía eléctrica […]. Existe en la actualidad un total de 71 cabezas de familia para un total de 355 habitantes que ocupan en forma conjunta 612.13 </w:t>
      </w:r>
      <w:r w:rsidR="00B6463D">
        <w:rPr>
          <w:rFonts w:ascii="Verdana" w:hAnsi="Verdana"/>
          <w:sz w:val="20"/>
          <w:szCs w:val="20"/>
        </w:rPr>
        <w:t>ha</w:t>
      </w:r>
      <w:r w:rsidRPr="00CF40D5">
        <w:rPr>
          <w:rFonts w:ascii="Verdana" w:hAnsi="Verdana"/>
          <w:sz w:val="20"/>
          <w:szCs w:val="20"/>
        </w:rPr>
        <w:t xml:space="preserve"> que son explotadas en los</w:t>
      </w:r>
      <w:r w:rsidRPr="00CF40D5">
        <w:rPr>
          <w:rFonts w:ascii="Verdana" w:hAnsi="Verdana"/>
          <w:b/>
          <w:sz w:val="20"/>
          <w:szCs w:val="20"/>
        </w:rPr>
        <w:t xml:space="preserve"> </w:t>
      </w:r>
      <w:r w:rsidRPr="00CF40D5">
        <w:rPr>
          <w:rFonts w:ascii="Verdana" w:hAnsi="Verdana"/>
          <w:sz w:val="20"/>
          <w:szCs w:val="20"/>
        </w:rPr>
        <w:t>rubros ganadero, palma africana y cultivos de plátano y arroz”.</w:t>
      </w:r>
    </w:p>
    <w:p w14:paraId="0C704AFD" w14:textId="77777777" w:rsidR="00F02DDD" w:rsidRPr="000955FE" w:rsidRDefault="00F02DDD" w:rsidP="00F02DDD">
      <w:pPr>
        <w:pStyle w:val="ListParagraph"/>
        <w:rPr>
          <w:rFonts w:ascii="Verdana" w:hAnsi="Verdana"/>
          <w:sz w:val="20"/>
          <w:szCs w:val="20"/>
        </w:rPr>
      </w:pPr>
    </w:p>
    <w:p w14:paraId="0C704AFE" w14:textId="698F6966" w:rsidR="00F02DDD" w:rsidRDefault="00F02DDD" w:rsidP="00F02DDD">
      <w:pPr>
        <w:pStyle w:val="ListParagraph"/>
        <w:numPr>
          <w:ilvl w:val="0"/>
          <w:numId w:val="17"/>
        </w:numPr>
        <w:ind w:left="0" w:hanging="11"/>
        <w:jc w:val="both"/>
        <w:rPr>
          <w:rFonts w:ascii="Verdana" w:hAnsi="Verdana"/>
          <w:sz w:val="20"/>
          <w:szCs w:val="20"/>
        </w:rPr>
      </w:pPr>
      <w:r w:rsidRPr="000955FE">
        <w:rPr>
          <w:rFonts w:ascii="Verdana" w:hAnsi="Verdana"/>
          <w:sz w:val="20"/>
          <w:szCs w:val="20"/>
        </w:rPr>
        <w:t>La Corte toma nota</w:t>
      </w:r>
      <w:r w:rsidR="00980CE6">
        <w:rPr>
          <w:rFonts w:ascii="Verdana" w:hAnsi="Verdana"/>
          <w:sz w:val="20"/>
          <w:szCs w:val="20"/>
        </w:rPr>
        <w:t xml:space="preserve"> </w:t>
      </w:r>
      <w:r>
        <w:rPr>
          <w:rFonts w:ascii="Verdana" w:hAnsi="Verdana"/>
          <w:sz w:val="20"/>
          <w:szCs w:val="20"/>
        </w:rPr>
        <w:t xml:space="preserve">que </w:t>
      </w:r>
      <w:r w:rsidRPr="000955FE">
        <w:rPr>
          <w:rFonts w:ascii="Verdana" w:hAnsi="Verdana"/>
          <w:sz w:val="20"/>
          <w:szCs w:val="20"/>
        </w:rPr>
        <w:t>durante la audiencia del caso los representantes preguntaron a la presunta víctima Doroteo Thomas Rodríguez</w:t>
      </w:r>
      <w:r w:rsidR="00980CE6">
        <w:rPr>
          <w:rFonts w:ascii="Verdana" w:hAnsi="Verdana"/>
          <w:sz w:val="20"/>
          <w:szCs w:val="20"/>
        </w:rPr>
        <w:t>,</w:t>
      </w:r>
      <w:r w:rsidRPr="000955FE">
        <w:rPr>
          <w:rFonts w:ascii="Verdana" w:hAnsi="Verdana"/>
          <w:sz w:val="20"/>
          <w:szCs w:val="20"/>
        </w:rPr>
        <w:t xml:space="preserve"> sobre la extensión del área </w:t>
      </w:r>
      <w:r w:rsidR="00217088">
        <w:rPr>
          <w:rFonts w:ascii="Verdana" w:hAnsi="Verdana"/>
          <w:sz w:val="20"/>
          <w:szCs w:val="20"/>
        </w:rPr>
        <w:t>ocupada</w:t>
      </w:r>
      <w:r w:rsidR="00217088" w:rsidRPr="000955FE">
        <w:rPr>
          <w:rFonts w:ascii="Verdana" w:hAnsi="Verdana"/>
          <w:sz w:val="20"/>
          <w:szCs w:val="20"/>
        </w:rPr>
        <w:t xml:space="preserve"> </w:t>
      </w:r>
      <w:r w:rsidRPr="000955FE">
        <w:rPr>
          <w:rFonts w:ascii="Verdana" w:hAnsi="Verdana"/>
          <w:sz w:val="20"/>
          <w:szCs w:val="20"/>
        </w:rPr>
        <w:t xml:space="preserve">por los colonos de Río Miel, a lo que </w:t>
      </w:r>
      <w:r w:rsidR="00217088">
        <w:rPr>
          <w:rFonts w:ascii="Verdana" w:hAnsi="Verdana"/>
          <w:sz w:val="20"/>
          <w:szCs w:val="20"/>
        </w:rPr>
        <w:t xml:space="preserve">este </w:t>
      </w:r>
      <w:r w:rsidRPr="000955FE">
        <w:rPr>
          <w:rFonts w:ascii="Verdana" w:hAnsi="Verdana"/>
          <w:sz w:val="20"/>
          <w:szCs w:val="20"/>
        </w:rPr>
        <w:t>respondió:</w:t>
      </w:r>
      <w:r>
        <w:rPr>
          <w:rFonts w:ascii="Verdana" w:hAnsi="Verdana"/>
          <w:sz w:val="20"/>
          <w:szCs w:val="20"/>
        </w:rPr>
        <w:t xml:space="preserve"> </w:t>
      </w:r>
    </w:p>
    <w:p w14:paraId="0C704AFF" w14:textId="77777777" w:rsidR="00F02DDD" w:rsidRPr="000955FE" w:rsidRDefault="00F02DDD" w:rsidP="00F02DDD">
      <w:pPr>
        <w:pStyle w:val="ListParagraph"/>
        <w:rPr>
          <w:rFonts w:ascii="Verdana" w:hAnsi="Verdana"/>
          <w:sz w:val="20"/>
          <w:szCs w:val="20"/>
        </w:rPr>
      </w:pPr>
    </w:p>
    <w:p w14:paraId="0C704B00" w14:textId="59848A51" w:rsidR="00F02DDD" w:rsidRPr="00E868D8" w:rsidRDefault="00F02DDD" w:rsidP="00F02DDD">
      <w:pPr>
        <w:ind w:left="567"/>
        <w:jc w:val="both"/>
        <w:rPr>
          <w:rFonts w:ascii="Verdana" w:hAnsi="Verdana"/>
          <w:sz w:val="18"/>
          <w:szCs w:val="18"/>
        </w:rPr>
      </w:pPr>
      <w:r w:rsidRPr="00E868D8">
        <w:rPr>
          <w:rFonts w:ascii="Verdana" w:hAnsi="Verdana"/>
          <w:sz w:val="18"/>
          <w:szCs w:val="18"/>
        </w:rPr>
        <w:lastRenderedPageBreak/>
        <w:t xml:space="preserve">“[e]n el título de ampliación [de 1500 </w:t>
      </w:r>
      <w:r w:rsidR="00B6463D">
        <w:rPr>
          <w:rFonts w:ascii="Verdana" w:hAnsi="Verdana"/>
          <w:sz w:val="18"/>
          <w:szCs w:val="18"/>
        </w:rPr>
        <w:t>ha</w:t>
      </w:r>
      <w:r w:rsidRPr="00E868D8">
        <w:rPr>
          <w:rFonts w:ascii="Verdana" w:hAnsi="Verdana"/>
          <w:sz w:val="18"/>
          <w:szCs w:val="18"/>
        </w:rPr>
        <w:t xml:space="preserve">], la comunidad de Punta Piedra no está trabajando absolutamente ninguna pulgada de tierra, porque está en manos de la invasión y siempre </w:t>
      </w:r>
      <w:r w:rsidR="00980CE6">
        <w:rPr>
          <w:rFonts w:ascii="Verdana" w:hAnsi="Verdana"/>
          <w:sz w:val="18"/>
          <w:szCs w:val="18"/>
        </w:rPr>
        <w:t>[les]</w:t>
      </w:r>
      <w:r w:rsidRPr="00E868D8">
        <w:rPr>
          <w:rFonts w:ascii="Verdana" w:hAnsi="Verdana"/>
          <w:sz w:val="18"/>
          <w:szCs w:val="18"/>
        </w:rPr>
        <w:t xml:space="preserve"> han dicho ellos cuando </w:t>
      </w:r>
      <w:r w:rsidR="001A15F9">
        <w:rPr>
          <w:rFonts w:ascii="Verdana" w:hAnsi="Verdana"/>
          <w:sz w:val="18"/>
          <w:szCs w:val="18"/>
        </w:rPr>
        <w:t>[</w:t>
      </w:r>
      <w:r w:rsidRPr="00E868D8">
        <w:rPr>
          <w:rFonts w:ascii="Verdana" w:hAnsi="Verdana"/>
          <w:sz w:val="18"/>
          <w:szCs w:val="18"/>
        </w:rPr>
        <w:t>hace</w:t>
      </w:r>
      <w:r w:rsidR="001A15F9">
        <w:rPr>
          <w:rFonts w:ascii="Verdana" w:hAnsi="Verdana"/>
          <w:sz w:val="18"/>
          <w:szCs w:val="18"/>
        </w:rPr>
        <w:t>n</w:t>
      </w:r>
      <w:r w:rsidR="00217088">
        <w:rPr>
          <w:rFonts w:ascii="Verdana" w:hAnsi="Verdana"/>
          <w:sz w:val="18"/>
          <w:szCs w:val="18"/>
        </w:rPr>
        <w:t xml:space="preserve"> el</w:t>
      </w:r>
      <w:r w:rsidR="001A15F9">
        <w:rPr>
          <w:rFonts w:ascii="Verdana" w:hAnsi="Verdana"/>
          <w:sz w:val="18"/>
          <w:szCs w:val="18"/>
        </w:rPr>
        <w:t>]</w:t>
      </w:r>
      <w:r w:rsidRPr="00E868D8">
        <w:rPr>
          <w:rFonts w:ascii="Verdana" w:hAnsi="Verdana"/>
          <w:sz w:val="18"/>
          <w:szCs w:val="18"/>
        </w:rPr>
        <w:t xml:space="preserve"> reclamo, “ustedes tienen los documentos y nosotros tenemos la tierra”</w:t>
      </w:r>
      <w:r w:rsidR="001A15F9">
        <w:rPr>
          <w:rFonts w:ascii="Verdana" w:hAnsi="Verdana"/>
          <w:sz w:val="18"/>
          <w:szCs w:val="18"/>
        </w:rPr>
        <w:t>.</w:t>
      </w:r>
    </w:p>
    <w:p w14:paraId="0C704B01" w14:textId="77777777" w:rsidR="00F02DDD" w:rsidRPr="000955FE" w:rsidRDefault="00F02DDD" w:rsidP="00F02DDD">
      <w:pPr>
        <w:pStyle w:val="ListParagraph"/>
        <w:rPr>
          <w:rFonts w:ascii="Verdana" w:hAnsi="Verdana"/>
          <w:sz w:val="20"/>
          <w:szCs w:val="20"/>
        </w:rPr>
      </w:pPr>
    </w:p>
    <w:p w14:paraId="0C704B02" w14:textId="4CBB28A1" w:rsidR="00F02DDD" w:rsidRPr="000955FE" w:rsidRDefault="00F02DDD" w:rsidP="00F02DDD">
      <w:pPr>
        <w:pStyle w:val="ListParagraph"/>
        <w:numPr>
          <w:ilvl w:val="0"/>
          <w:numId w:val="17"/>
        </w:numPr>
        <w:ind w:left="0" w:hanging="11"/>
        <w:jc w:val="both"/>
        <w:rPr>
          <w:rFonts w:ascii="Verdana" w:hAnsi="Verdana"/>
          <w:sz w:val="20"/>
          <w:szCs w:val="20"/>
        </w:rPr>
      </w:pPr>
      <w:r w:rsidRPr="000955FE">
        <w:rPr>
          <w:rFonts w:ascii="Verdana" w:hAnsi="Verdana"/>
          <w:sz w:val="20"/>
          <w:szCs w:val="20"/>
        </w:rPr>
        <w:t xml:space="preserve">Por su parte, la presunta víctima Lidia Palacios, a la pregunta del Estado acerca de la </w:t>
      </w:r>
      <w:r w:rsidR="00217088">
        <w:rPr>
          <w:rFonts w:ascii="Verdana" w:hAnsi="Verdana"/>
          <w:sz w:val="20"/>
          <w:szCs w:val="20"/>
        </w:rPr>
        <w:t>ocupación</w:t>
      </w:r>
      <w:r w:rsidR="00217088" w:rsidRPr="000955FE">
        <w:rPr>
          <w:rFonts w:ascii="Verdana" w:hAnsi="Verdana"/>
          <w:sz w:val="20"/>
          <w:szCs w:val="20"/>
        </w:rPr>
        <w:t xml:space="preserve"> </w:t>
      </w:r>
      <w:r w:rsidRPr="000955FE">
        <w:rPr>
          <w:rFonts w:ascii="Verdana" w:hAnsi="Verdana"/>
          <w:sz w:val="20"/>
          <w:szCs w:val="20"/>
        </w:rPr>
        <w:t>de los pobladores de Río Miel sobre la tierra otorgada en el título de ampliación de 1999, respondió que:</w:t>
      </w:r>
    </w:p>
    <w:p w14:paraId="0C704B03" w14:textId="77777777" w:rsidR="00F02DDD" w:rsidRPr="00E868D8" w:rsidRDefault="00F02DDD" w:rsidP="00F02DDD">
      <w:pPr>
        <w:jc w:val="both"/>
        <w:rPr>
          <w:rFonts w:ascii="Verdana" w:hAnsi="Verdana"/>
          <w:sz w:val="20"/>
          <w:szCs w:val="20"/>
        </w:rPr>
      </w:pPr>
    </w:p>
    <w:p w14:paraId="0C704B04" w14:textId="43129536" w:rsidR="00F02DDD" w:rsidRPr="00E868D8" w:rsidRDefault="00F02DDD" w:rsidP="00F02DDD">
      <w:pPr>
        <w:ind w:left="567"/>
        <w:jc w:val="both"/>
        <w:rPr>
          <w:rFonts w:ascii="Verdana" w:hAnsi="Verdana"/>
          <w:sz w:val="18"/>
          <w:szCs w:val="18"/>
        </w:rPr>
      </w:pPr>
      <w:r w:rsidRPr="00E868D8">
        <w:rPr>
          <w:rFonts w:ascii="Verdana" w:hAnsi="Verdana"/>
          <w:sz w:val="18"/>
          <w:szCs w:val="18"/>
        </w:rPr>
        <w:t xml:space="preserve"> “[y]a estaban los invasores pero lo agarraron de </w:t>
      </w:r>
      <w:r>
        <w:rPr>
          <w:rFonts w:ascii="Verdana" w:hAnsi="Verdana"/>
          <w:sz w:val="18"/>
          <w:szCs w:val="18"/>
        </w:rPr>
        <w:t>[su]</w:t>
      </w:r>
      <w:r w:rsidRPr="00E868D8">
        <w:rPr>
          <w:rFonts w:ascii="Verdana" w:hAnsi="Verdana"/>
          <w:sz w:val="18"/>
          <w:szCs w:val="18"/>
        </w:rPr>
        <w:t xml:space="preserve"> tierra, l</w:t>
      </w:r>
      <w:r>
        <w:rPr>
          <w:rFonts w:ascii="Verdana" w:hAnsi="Verdana"/>
          <w:sz w:val="18"/>
          <w:szCs w:val="18"/>
        </w:rPr>
        <w:t>a</w:t>
      </w:r>
      <w:r w:rsidRPr="00E868D8">
        <w:rPr>
          <w:rFonts w:ascii="Verdana" w:hAnsi="Verdana"/>
          <w:sz w:val="18"/>
          <w:szCs w:val="18"/>
        </w:rPr>
        <w:t xml:space="preserve"> invadieron, los que estaban antes </w:t>
      </w:r>
      <w:r>
        <w:rPr>
          <w:rFonts w:ascii="Verdana" w:hAnsi="Verdana"/>
          <w:sz w:val="18"/>
          <w:szCs w:val="18"/>
        </w:rPr>
        <w:t>[eran]</w:t>
      </w:r>
      <w:r w:rsidRPr="00E868D8">
        <w:rPr>
          <w:rFonts w:ascii="Verdana" w:hAnsi="Verdana"/>
          <w:sz w:val="18"/>
          <w:szCs w:val="18"/>
        </w:rPr>
        <w:t xml:space="preserve"> los garífunas, y también, agarraron gran parte de lo que está actualmente en ampliación”</w:t>
      </w:r>
      <w:r>
        <w:rPr>
          <w:rFonts w:ascii="Verdana" w:hAnsi="Verdana"/>
          <w:sz w:val="18"/>
          <w:szCs w:val="18"/>
        </w:rPr>
        <w:t>.</w:t>
      </w:r>
    </w:p>
    <w:p w14:paraId="0C704B05" w14:textId="77777777" w:rsidR="00F02DDD" w:rsidRDefault="00F02DDD" w:rsidP="00F02DDD">
      <w:pPr>
        <w:jc w:val="both"/>
        <w:rPr>
          <w:rFonts w:ascii="Verdana" w:hAnsi="Verdana"/>
          <w:sz w:val="20"/>
          <w:szCs w:val="20"/>
        </w:rPr>
      </w:pPr>
    </w:p>
    <w:p w14:paraId="0C704B06" w14:textId="6931B171" w:rsidR="00F02DDD" w:rsidRDefault="00F02DDD" w:rsidP="00F02DDD">
      <w:pPr>
        <w:pStyle w:val="ListParagraph"/>
        <w:numPr>
          <w:ilvl w:val="0"/>
          <w:numId w:val="17"/>
        </w:numPr>
        <w:ind w:left="0" w:hanging="11"/>
        <w:jc w:val="both"/>
        <w:rPr>
          <w:rFonts w:ascii="Verdana" w:hAnsi="Verdana"/>
          <w:sz w:val="20"/>
          <w:szCs w:val="20"/>
          <w:lang w:val="es-CR"/>
        </w:rPr>
      </w:pPr>
      <w:r>
        <w:rPr>
          <w:rFonts w:ascii="Verdana" w:hAnsi="Verdana"/>
          <w:sz w:val="20"/>
          <w:szCs w:val="20"/>
        </w:rPr>
        <w:t>De conformidad con los hechos probados en el presente caso</w:t>
      </w:r>
      <w:r w:rsidRPr="008220C6">
        <w:rPr>
          <w:rFonts w:ascii="Verdana" w:hAnsi="Verdana"/>
          <w:sz w:val="20"/>
          <w:szCs w:val="20"/>
          <w:lang w:val="es-CR"/>
        </w:rPr>
        <w:t xml:space="preserve">, este Tribunal </w:t>
      </w:r>
      <w:r>
        <w:rPr>
          <w:rFonts w:ascii="Verdana" w:hAnsi="Verdana"/>
          <w:sz w:val="20"/>
          <w:szCs w:val="20"/>
          <w:lang w:val="es-CR"/>
        </w:rPr>
        <w:t>constata</w:t>
      </w:r>
      <w:r w:rsidRPr="008220C6">
        <w:rPr>
          <w:rFonts w:ascii="Verdana" w:hAnsi="Verdana"/>
          <w:sz w:val="20"/>
          <w:szCs w:val="20"/>
          <w:lang w:val="es-CR"/>
        </w:rPr>
        <w:t xml:space="preserve"> que desde 2007 hasta la fecha la </w:t>
      </w:r>
      <w:r w:rsidR="00CB6578">
        <w:rPr>
          <w:rFonts w:ascii="Verdana" w:hAnsi="Verdana"/>
          <w:sz w:val="20"/>
          <w:szCs w:val="20"/>
          <w:lang w:val="es-CR"/>
        </w:rPr>
        <w:t>Aldea de Río Miel</w:t>
      </w:r>
      <w:r w:rsidRPr="008220C6">
        <w:rPr>
          <w:rFonts w:ascii="Verdana" w:hAnsi="Verdana"/>
          <w:sz w:val="20"/>
          <w:szCs w:val="20"/>
          <w:lang w:val="es-CR"/>
        </w:rPr>
        <w:t xml:space="preserve"> ha </w:t>
      </w:r>
      <w:r>
        <w:rPr>
          <w:rFonts w:ascii="Verdana" w:hAnsi="Verdana"/>
          <w:sz w:val="20"/>
          <w:szCs w:val="20"/>
          <w:lang w:val="es-CR"/>
        </w:rPr>
        <w:t>presentado</w:t>
      </w:r>
      <w:r w:rsidRPr="008220C6">
        <w:rPr>
          <w:rFonts w:ascii="Verdana" w:hAnsi="Verdana"/>
          <w:sz w:val="20"/>
          <w:szCs w:val="20"/>
          <w:lang w:val="es-CR"/>
        </w:rPr>
        <w:t xml:space="preserve"> un crecimiento poblacional, según se afirmó en el </w:t>
      </w:r>
      <w:r w:rsidR="00D94AE2">
        <w:rPr>
          <w:rFonts w:ascii="Verdana" w:hAnsi="Verdana"/>
          <w:sz w:val="20"/>
          <w:szCs w:val="20"/>
          <w:lang w:val="es-CR"/>
        </w:rPr>
        <w:t>i</w:t>
      </w:r>
      <w:r w:rsidRPr="008220C6">
        <w:rPr>
          <w:rFonts w:ascii="Verdana" w:hAnsi="Verdana"/>
          <w:sz w:val="20"/>
          <w:szCs w:val="20"/>
          <w:lang w:val="es-CR"/>
        </w:rPr>
        <w:t xml:space="preserve">nforme de </w:t>
      </w:r>
      <w:r w:rsidR="00D94AE2">
        <w:rPr>
          <w:rFonts w:ascii="Verdana" w:hAnsi="Verdana"/>
          <w:sz w:val="20"/>
          <w:szCs w:val="20"/>
          <w:lang w:val="es-CR"/>
        </w:rPr>
        <w:t>c</w:t>
      </w:r>
      <w:r w:rsidRPr="008220C6">
        <w:rPr>
          <w:rFonts w:ascii="Verdana" w:hAnsi="Verdana"/>
          <w:sz w:val="20"/>
          <w:szCs w:val="20"/>
          <w:lang w:val="es-CR"/>
        </w:rPr>
        <w:t xml:space="preserve">ampo </w:t>
      </w:r>
      <w:r w:rsidRPr="00CD2F53">
        <w:rPr>
          <w:rFonts w:ascii="Verdana" w:hAnsi="Verdana"/>
          <w:sz w:val="20"/>
          <w:szCs w:val="20"/>
          <w:lang w:val="es-CR"/>
        </w:rPr>
        <w:t>de 2013, con la existencia de 30 nuevas viviendas, equivalente a un incremento de la población de 29% (</w:t>
      </w:r>
      <w:r w:rsidRPr="00CD2F53">
        <w:rPr>
          <w:rFonts w:ascii="Verdana" w:hAnsi="Verdana"/>
          <w:i/>
          <w:sz w:val="20"/>
          <w:szCs w:val="20"/>
          <w:lang w:val="es-CR"/>
        </w:rPr>
        <w:t>supra</w:t>
      </w:r>
      <w:r w:rsidRPr="00CD2F53">
        <w:rPr>
          <w:rFonts w:ascii="Verdana" w:hAnsi="Verdana"/>
          <w:sz w:val="20"/>
          <w:szCs w:val="20"/>
          <w:lang w:val="es-CR"/>
        </w:rPr>
        <w:t xml:space="preserve"> párr. </w:t>
      </w:r>
      <w:r w:rsidR="001A15F9">
        <w:rPr>
          <w:rFonts w:ascii="Verdana" w:hAnsi="Verdana"/>
          <w:sz w:val="20"/>
          <w:szCs w:val="20"/>
          <w:lang w:val="es-CR"/>
        </w:rPr>
        <w:t>104</w:t>
      </w:r>
      <w:r w:rsidRPr="00CD2F53">
        <w:rPr>
          <w:rFonts w:ascii="Verdana" w:hAnsi="Verdana"/>
          <w:sz w:val="20"/>
          <w:szCs w:val="20"/>
          <w:lang w:val="es-CR"/>
        </w:rPr>
        <w:t>).</w:t>
      </w:r>
      <w:r>
        <w:rPr>
          <w:rFonts w:ascii="Verdana" w:hAnsi="Verdana"/>
          <w:sz w:val="20"/>
          <w:szCs w:val="20"/>
          <w:lang w:val="es-CR"/>
        </w:rPr>
        <w:t xml:space="preserve"> Asimismo, conforme al informe de AAAS, las estructuras en la zona del segundo título que anteriormente no estaban habitada</w:t>
      </w:r>
      <w:r w:rsidR="001A15F9">
        <w:rPr>
          <w:rFonts w:ascii="Verdana" w:hAnsi="Verdana"/>
          <w:sz w:val="20"/>
          <w:szCs w:val="20"/>
          <w:lang w:val="es-CR"/>
        </w:rPr>
        <w:t>s</w:t>
      </w:r>
      <w:r>
        <w:rPr>
          <w:rFonts w:ascii="Verdana" w:hAnsi="Verdana"/>
          <w:sz w:val="20"/>
          <w:szCs w:val="20"/>
          <w:lang w:val="es-CR"/>
        </w:rPr>
        <w:t xml:space="preserve"> por personas de Río Miel (zona 2-B) se habrían incrementado de 7 en el 2002 a 21 </w:t>
      </w:r>
      <w:r w:rsidRPr="001105AF">
        <w:rPr>
          <w:rFonts w:ascii="Verdana" w:hAnsi="Verdana"/>
          <w:sz w:val="20"/>
          <w:szCs w:val="20"/>
          <w:lang w:val="es-CR"/>
        </w:rPr>
        <w:t>al 2013.</w:t>
      </w:r>
      <w:r>
        <w:rPr>
          <w:rFonts w:ascii="Verdana" w:hAnsi="Verdana"/>
          <w:sz w:val="20"/>
          <w:szCs w:val="20"/>
          <w:lang w:val="es-CR"/>
        </w:rPr>
        <w:t xml:space="preserve"> Dicho informe también señaló un incremento en la deforestación de áreas anteriormente boscosas y en la zona de reserva</w:t>
      </w:r>
      <w:r w:rsidR="009E256E">
        <w:rPr>
          <w:rFonts w:ascii="Verdana" w:hAnsi="Verdana"/>
          <w:sz w:val="20"/>
          <w:szCs w:val="20"/>
          <w:lang w:val="es-CR"/>
        </w:rPr>
        <w:t xml:space="preserve"> (</w:t>
      </w:r>
      <w:r w:rsidR="009E256E">
        <w:rPr>
          <w:rFonts w:ascii="Verdana" w:hAnsi="Verdana"/>
          <w:i/>
          <w:sz w:val="20"/>
          <w:szCs w:val="20"/>
          <w:lang w:val="es-CR"/>
        </w:rPr>
        <w:t xml:space="preserve">supra, </w:t>
      </w:r>
      <w:r w:rsidR="009E256E">
        <w:rPr>
          <w:rFonts w:ascii="Verdana" w:hAnsi="Verdana"/>
          <w:sz w:val="20"/>
          <w:szCs w:val="20"/>
          <w:lang w:val="es-CR"/>
        </w:rPr>
        <w:t>párr. 109)</w:t>
      </w:r>
      <w:r>
        <w:rPr>
          <w:rFonts w:ascii="Verdana" w:hAnsi="Verdana"/>
          <w:sz w:val="20"/>
          <w:szCs w:val="20"/>
          <w:lang w:val="es-CR"/>
        </w:rPr>
        <w:t xml:space="preserve">. Durante la </w:t>
      </w:r>
      <w:r w:rsidR="009E256E">
        <w:rPr>
          <w:rFonts w:ascii="Verdana" w:hAnsi="Verdana"/>
          <w:sz w:val="20"/>
          <w:szCs w:val="20"/>
          <w:lang w:val="es-CR"/>
        </w:rPr>
        <w:t xml:space="preserve">diligencia </w:t>
      </w:r>
      <w:r w:rsidRPr="00A71698">
        <w:rPr>
          <w:rFonts w:ascii="Verdana" w:hAnsi="Verdana"/>
          <w:i/>
          <w:sz w:val="20"/>
          <w:szCs w:val="20"/>
          <w:lang w:val="es-CR"/>
        </w:rPr>
        <w:t>in situ</w:t>
      </w:r>
      <w:r>
        <w:rPr>
          <w:rFonts w:ascii="Verdana" w:hAnsi="Verdana"/>
          <w:i/>
          <w:sz w:val="20"/>
          <w:szCs w:val="20"/>
          <w:lang w:val="es-CR"/>
        </w:rPr>
        <w:t xml:space="preserve"> </w:t>
      </w:r>
      <w:r w:rsidRPr="00A71698">
        <w:rPr>
          <w:rFonts w:ascii="Verdana" w:hAnsi="Verdana"/>
          <w:sz w:val="20"/>
          <w:szCs w:val="20"/>
          <w:lang w:val="es-CR"/>
        </w:rPr>
        <w:t>realizada por la Corte</w:t>
      </w:r>
      <w:r>
        <w:rPr>
          <w:rFonts w:ascii="Verdana" w:hAnsi="Verdana"/>
          <w:sz w:val="20"/>
          <w:szCs w:val="20"/>
          <w:lang w:val="es-CR"/>
        </w:rPr>
        <w:t xml:space="preserve">, en la cual se sobrevoló el área del título de ampliación, se corroboró que diversas áreas en dicha zona estarían deforestadas y/o utilizadas como área de cultivo. Por su parte, algunos testimonios de </w:t>
      </w:r>
      <w:r w:rsidR="009E256E">
        <w:rPr>
          <w:rFonts w:ascii="Verdana" w:hAnsi="Verdana"/>
          <w:sz w:val="20"/>
          <w:szCs w:val="20"/>
          <w:lang w:val="es-CR"/>
        </w:rPr>
        <w:t>miembros de</w:t>
      </w:r>
      <w:r>
        <w:rPr>
          <w:rFonts w:ascii="Verdana" w:hAnsi="Verdana"/>
          <w:sz w:val="20"/>
          <w:szCs w:val="20"/>
          <w:lang w:val="es-CR"/>
        </w:rPr>
        <w:t xml:space="preserve"> la Aldea de Río Miel habrían señalado que algunos de dichos incrementos en la zona de ampliación corresponden a que personas garífunas les rentarían tierras en esa área para trabajo, lo cual a criterio de los representantes “constituyen actos que prueban la falta de garantía de seguridad efectiva y estabilidad jurídica por no garantizar la estabilidad de las tierras”. </w:t>
      </w:r>
    </w:p>
    <w:p w14:paraId="0C704B07" w14:textId="77777777" w:rsidR="00D06233" w:rsidRDefault="00D06233" w:rsidP="00D06233">
      <w:pPr>
        <w:pStyle w:val="ListParagraph"/>
        <w:ind w:left="0"/>
        <w:jc w:val="both"/>
        <w:rPr>
          <w:rFonts w:ascii="Verdana" w:hAnsi="Verdana"/>
          <w:sz w:val="20"/>
          <w:szCs w:val="20"/>
          <w:lang w:val="es-CR"/>
        </w:rPr>
      </w:pPr>
    </w:p>
    <w:p w14:paraId="0C704B08" w14:textId="39A083A3" w:rsidR="00F02DDD" w:rsidRPr="00D06233" w:rsidRDefault="00F02DDD" w:rsidP="00F02DDD">
      <w:pPr>
        <w:pStyle w:val="ListParagraph"/>
        <w:numPr>
          <w:ilvl w:val="0"/>
          <w:numId w:val="17"/>
        </w:numPr>
        <w:ind w:left="0" w:hanging="11"/>
        <w:jc w:val="both"/>
        <w:rPr>
          <w:rFonts w:ascii="Verdana" w:hAnsi="Verdana"/>
          <w:sz w:val="20"/>
          <w:szCs w:val="20"/>
          <w:lang w:val="es-CR"/>
        </w:rPr>
      </w:pPr>
      <w:r w:rsidRPr="00D06233">
        <w:rPr>
          <w:rFonts w:ascii="Verdana" w:hAnsi="Verdana"/>
          <w:sz w:val="20"/>
          <w:szCs w:val="20"/>
          <w:lang w:val="es-CR"/>
        </w:rPr>
        <w:t xml:space="preserve">En este sentido, si bien la Corte no cuenta con elementos actualizados respecto </w:t>
      </w:r>
      <w:r w:rsidR="00217088">
        <w:rPr>
          <w:rFonts w:ascii="Verdana" w:hAnsi="Verdana"/>
          <w:sz w:val="20"/>
          <w:szCs w:val="20"/>
          <w:lang w:val="es-CR"/>
        </w:rPr>
        <w:t>de</w:t>
      </w:r>
      <w:r w:rsidRPr="00D06233">
        <w:rPr>
          <w:rFonts w:ascii="Verdana" w:hAnsi="Verdana"/>
          <w:sz w:val="20"/>
          <w:szCs w:val="20"/>
          <w:lang w:val="es-CR"/>
        </w:rPr>
        <w:t xml:space="preserve"> si dicho crecimiento implicó una mayor ocupación de territorio por parte de los aldeanos de Río Miel, y en concreto de la zona 2-B (territorio de ampliación), estima coherente inferir que dichas áreas </w:t>
      </w:r>
      <w:r w:rsidRPr="00D06233">
        <w:rPr>
          <w:rFonts w:ascii="Verdana" w:hAnsi="Verdana"/>
          <w:sz w:val="20"/>
          <w:szCs w:val="20"/>
        </w:rPr>
        <w:t xml:space="preserve">han sido progresivamente ocupadas por otros pobladores ajenos a los miembros de la Comunidad Garífuna de Punta Piedra, las cuales estarían siendo explotadas principalmente en los rubros ganadero y de cultivo. </w:t>
      </w:r>
    </w:p>
    <w:p w14:paraId="0C704B09" w14:textId="77777777" w:rsidR="00F02DDD" w:rsidRPr="005906E7" w:rsidRDefault="00F02DDD" w:rsidP="00F02DDD">
      <w:pPr>
        <w:jc w:val="both"/>
        <w:rPr>
          <w:rFonts w:ascii="Verdana" w:hAnsi="Verdana"/>
          <w:sz w:val="20"/>
          <w:szCs w:val="20"/>
          <w:lang w:val="es-CR"/>
        </w:rPr>
      </w:pPr>
    </w:p>
    <w:p w14:paraId="0C704B0A" w14:textId="5747F41F" w:rsidR="00F02DDD" w:rsidRPr="005906E7" w:rsidRDefault="0097786F" w:rsidP="00F02DDD">
      <w:pPr>
        <w:pStyle w:val="ListParagraph"/>
        <w:numPr>
          <w:ilvl w:val="0"/>
          <w:numId w:val="17"/>
        </w:numPr>
        <w:ind w:left="0" w:hanging="11"/>
        <w:jc w:val="both"/>
        <w:rPr>
          <w:rFonts w:ascii="Verdana" w:hAnsi="Verdana"/>
          <w:sz w:val="20"/>
          <w:szCs w:val="20"/>
        </w:rPr>
      </w:pPr>
      <w:r w:rsidRPr="005906E7">
        <w:rPr>
          <w:rFonts w:ascii="Verdana" w:hAnsi="Verdana"/>
          <w:sz w:val="20"/>
          <w:szCs w:val="20"/>
        </w:rPr>
        <w:t xml:space="preserve">Por tanto, la Corte constata que se ha presentado un incremento paulatino en la ocupación </w:t>
      </w:r>
      <w:r>
        <w:rPr>
          <w:rFonts w:ascii="Verdana" w:hAnsi="Verdana"/>
          <w:sz w:val="20"/>
          <w:szCs w:val="20"/>
        </w:rPr>
        <w:t>por parte de terceros ajenos a la Comunidad en el</w:t>
      </w:r>
      <w:r w:rsidRPr="005906E7">
        <w:rPr>
          <w:rFonts w:ascii="Verdana" w:hAnsi="Verdana"/>
          <w:sz w:val="20"/>
          <w:szCs w:val="20"/>
        </w:rPr>
        <w:t xml:space="preserve"> territorio del segundo título </w:t>
      </w:r>
      <w:r>
        <w:rPr>
          <w:rFonts w:ascii="Verdana" w:hAnsi="Verdana"/>
          <w:sz w:val="20"/>
          <w:szCs w:val="20"/>
        </w:rPr>
        <w:t>otorgado en</w:t>
      </w:r>
      <w:r w:rsidRPr="005906E7">
        <w:rPr>
          <w:rFonts w:ascii="Verdana" w:hAnsi="Verdana"/>
          <w:sz w:val="20"/>
          <w:szCs w:val="20"/>
        </w:rPr>
        <w:t xml:space="preserve"> 1999, posterior al registrado en el </w:t>
      </w:r>
      <w:r>
        <w:rPr>
          <w:rFonts w:ascii="Verdana" w:hAnsi="Verdana"/>
          <w:sz w:val="20"/>
          <w:szCs w:val="20"/>
        </w:rPr>
        <w:t>i</w:t>
      </w:r>
      <w:r w:rsidRPr="005906E7">
        <w:rPr>
          <w:rFonts w:ascii="Verdana" w:hAnsi="Verdana"/>
          <w:sz w:val="20"/>
          <w:szCs w:val="20"/>
        </w:rPr>
        <w:t xml:space="preserve">nforme </w:t>
      </w:r>
      <w:r>
        <w:rPr>
          <w:rFonts w:ascii="Verdana" w:hAnsi="Verdana"/>
          <w:sz w:val="20"/>
          <w:szCs w:val="20"/>
        </w:rPr>
        <w:t>c</w:t>
      </w:r>
      <w:r w:rsidRPr="005906E7">
        <w:rPr>
          <w:rFonts w:ascii="Verdana" w:hAnsi="Verdana"/>
          <w:sz w:val="20"/>
          <w:szCs w:val="20"/>
        </w:rPr>
        <w:t>atastral de 2007</w:t>
      </w:r>
      <w:r w:rsidR="00F02DDD" w:rsidRPr="005906E7">
        <w:rPr>
          <w:rFonts w:ascii="Verdana" w:hAnsi="Verdana"/>
          <w:sz w:val="20"/>
          <w:szCs w:val="20"/>
        </w:rPr>
        <w:t>.</w:t>
      </w:r>
    </w:p>
    <w:p w14:paraId="0C704B0B" w14:textId="77777777" w:rsidR="00F02DDD" w:rsidRPr="005906E7" w:rsidRDefault="00F02DDD" w:rsidP="00F02DDD">
      <w:pPr>
        <w:pStyle w:val="ListParagraph"/>
        <w:ind w:left="0"/>
        <w:jc w:val="both"/>
        <w:rPr>
          <w:rFonts w:ascii="Verdana" w:hAnsi="Verdana"/>
          <w:sz w:val="20"/>
          <w:szCs w:val="20"/>
        </w:rPr>
      </w:pPr>
    </w:p>
    <w:p w14:paraId="0C704B0C" w14:textId="0A9E2BA4" w:rsidR="00F02DDD" w:rsidRPr="00314598" w:rsidRDefault="00F02DDD" w:rsidP="00F02DDD">
      <w:pPr>
        <w:pStyle w:val="Heading4"/>
      </w:pPr>
      <w:bookmarkStart w:id="81" w:name="_Toc437247350"/>
      <w:r>
        <w:t xml:space="preserve">B.3.2 </w:t>
      </w:r>
      <w:r w:rsidRPr="00314598">
        <w:t xml:space="preserve">Respecto de las tierras tituladas </w:t>
      </w:r>
      <w:r>
        <w:t>en</w:t>
      </w:r>
      <w:r w:rsidRPr="00314598">
        <w:t xml:space="preserve"> favor de </w:t>
      </w:r>
      <w:proofErr w:type="spellStart"/>
      <w:r w:rsidRPr="00314598">
        <w:t>Ambrocio</w:t>
      </w:r>
      <w:proofErr w:type="spellEnd"/>
      <w:r w:rsidRPr="00314598">
        <w:t xml:space="preserve"> Thomas Castillo y </w:t>
      </w:r>
      <w:proofErr w:type="spellStart"/>
      <w:r w:rsidRPr="00314598">
        <w:t>Sergia</w:t>
      </w:r>
      <w:proofErr w:type="spellEnd"/>
      <w:r w:rsidRPr="00314598">
        <w:t xml:space="preserve"> Zapata Martínez</w:t>
      </w:r>
      <w:r>
        <w:t>, así como otras alegadas.</w:t>
      </w:r>
      <w:bookmarkEnd w:id="81"/>
      <w:r>
        <w:t xml:space="preserve"> </w:t>
      </w:r>
    </w:p>
    <w:p w14:paraId="0C704B0D" w14:textId="77777777" w:rsidR="00F02DDD" w:rsidRDefault="00F02DDD" w:rsidP="00F02DDD">
      <w:pPr>
        <w:ind w:left="708"/>
        <w:rPr>
          <w:rFonts w:ascii="Verdana" w:hAnsi="Verdana"/>
          <w:sz w:val="20"/>
          <w:szCs w:val="20"/>
        </w:rPr>
      </w:pPr>
    </w:p>
    <w:p w14:paraId="0C704B0E" w14:textId="77777777" w:rsidR="00F02DDD" w:rsidRPr="00A71698"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Los representantes </w:t>
      </w:r>
      <w:r>
        <w:rPr>
          <w:rFonts w:ascii="Verdana" w:hAnsi="Verdana"/>
          <w:sz w:val="20"/>
          <w:szCs w:val="20"/>
        </w:rPr>
        <w:t>solicitaron</w:t>
      </w:r>
      <w:r w:rsidRPr="00A71698">
        <w:rPr>
          <w:rFonts w:ascii="Verdana" w:hAnsi="Verdana"/>
          <w:sz w:val="20"/>
          <w:szCs w:val="20"/>
        </w:rPr>
        <w:t xml:space="preserve"> la reivindicación de todo el territorio correspondiente al segundo título, incluyendo ciertos predios previamente titulados a favor de terceros. </w:t>
      </w:r>
    </w:p>
    <w:p w14:paraId="0C704B0F" w14:textId="77777777" w:rsidR="00F02DDD" w:rsidRPr="00E868D8" w:rsidRDefault="00F02DDD" w:rsidP="00F02DDD">
      <w:pPr>
        <w:ind w:left="708"/>
        <w:rPr>
          <w:rFonts w:ascii="Verdana" w:hAnsi="Verdana"/>
          <w:sz w:val="20"/>
          <w:szCs w:val="20"/>
        </w:rPr>
      </w:pPr>
    </w:p>
    <w:p w14:paraId="0C704B10" w14:textId="33911DC5" w:rsidR="00F02DDD" w:rsidRPr="00A0324F" w:rsidRDefault="00F02DDD" w:rsidP="00F02DDD">
      <w:pPr>
        <w:pStyle w:val="ListParagraph"/>
        <w:numPr>
          <w:ilvl w:val="0"/>
          <w:numId w:val="17"/>
        </w:numPr>
        <w:ind w:left="0" w:hanging="11"/>
        <w:jc w:val="both"/>
        <w:rPr>
          <w:rFonts w:ascii="Verdana" w:hAnsi="Verdana"/>
          <w:sz w:val="20"/>
        </w:rPr>
      </w:pPr>
      <w:r w:rsidRPr="00D06233">
        <w:rPr>
          <w:rFonts w:ascii="Verdana" w:hAnsi="Verdana"/>
          <w:sz w:val="20"/>
          <w:szCs w:val="20"/>
        </w:rPr>
        <w:t xml:space="preserve">En este sentido, cabe recordar que el título de propiedad otorgado por el Estado en 1999 excluyó expresamente 46 </w:t>
      </w:r>
      <w:r w:rsidR="00B6463D">
        <w:rPr>
          <w:rFonts w:ascii="Verdana" w:hAnsi="Verdana"/>
          <w:sz w:val="20"/>
          <w:szCs w:val="20"/>
        </w:rPr>
        <w:t>ha</w:t>
      </w:r>
      <w:r w:rsidRPr="00D06233">
        <w:rPr>
          <w:rFonts w:ascii="Verdana" w:hAnsi="Verdana"/>
          <w:sz w:val="20"/>
          <w:szCs w:val="20"/>
        </w:rPr>
        <w:t xml:space="preserve"> 12 </w:t>
      </w:r>
      <w:r w:rsidR="00B6463D">
        <w:rPr>
          <w:rFonts w:ascii="Verdana" w:hAnsi="Verdana"/>
          <w:sz w:val="20"/>
          <w:szCs w:val="20"/>
        </w:rPr>
        <w:t>a</w:t>
      </w:r>
      <w:r w:rsidRPr="00D06233">
        <w:rPr>
          <w:rFonts w:ascii="Verdana" w:hAnsi="Verdana"/>
          <w:sz w:val="20"/>
          <w:szCs w:val="20"/>
        </w:rPr>
        <w:t xml:space="preserve"> y 96.66 </w:t>
      </w:r>
      <w:proofErr w:type="spellStart"/>
      <w:r w:rsidRPr="00D06233">
        <w:rPr>
          <w:rFonts w:ascii="Verdana" w:hAnsi="Verdana"/>
          <w:sz w:val="20"/>
          <w:szCs w:val="20"/>
        </w:rPr>
        <w:t>c</w:t>
      </w:r>
      <w:r w:rsidR="00B6463D">
        <w:rPr>
          <w:rFonts w:ascii="Verdana" w:hAnsi="Verdana"/>
          <w:sz w:val="20"/>
          <w:szCs w:val="20"/>
        </w:rPr>
        <w:t>a</w:t>
      </w:r>
      <w:proofErr w:type="spellEnd"/>
      <w:r w:rsidRPr="00D06233">
        <w:rPr>
          <w:rFonts w:ascii="Verdana" w:hAnsi="Verdana"/>
          <w:sz w:val="20"/>
          <w:szCs w:val="20"/>
        </w:rPr>
        <w:t xml:space="preserve"> que se encontraban tituladas a favor de dos particulares: i) </w:t>
      </w:r>
      <w:proofErr w:type="spellStart"/>
      <w:r w:rsidRPr="00D06233">
        <w:rPr>
          <w:rFonts w:ascii="Verdana" w:hAnsi="Verdana"/>
          <w:sz w:val="20"/>
          <w:szCs w:val="20"/>
        </w:rPr>
        <w:t>Ambrocio</w:t>
      </w:r>
      <w:proofErr w:type="spellEnd"/>
      <w:r w:rsidRPr="00D06233">
        <w:rPr>
          <w:rFonts w:ascii="Verdana" w:hAnsi="Verdana"/>
          <w:sz w:val="20"/>
          <w:szCs w:val="20"/>
        </w:rPr>
        <w:t xml:space="preserve"> Thomas Castillo</w:t>
      </w:r>
      <w:r w:rsidR="001512C1">
        <w:rPr>
          <w:rFonts w:ascii="Verdana" w:hAnsi="Verdana"/>
          <w:sz w:val="20"/>
          <w:szCs w:val="20"/>
        </w:rPr>
        <w:t xml:space="preserve">, </w:t>
      </w:r>
      <w:r w:rsidRPr="00D06233">
        <w:rPr>
          <w:rFonts w:ascii="Verdana" w:hAnsi="Verdana"/>
          <w:sz w:val="20"/>
          <w:szCs w:val="20"/>
        </w:rPr>
        <w:t xml:space="preserve">quien contaba con 2 predios, uno de 22 </w:t>
      </w:r>
      <w:r w:rsidR="00B6463D">
        <w:rPr>
          <w:rFonts w:ascii="Verdana" w:hAnsi="Verdana"/>
          <w:sz w:val="20"/>
          <w:szCs w:val="20"/>
        </w:rPr>
        <w:t>ha</w:t>
      </w:r>
      <w:r w:rsidRPr="00D06233">
        <w:rPr>
          <w:rFonts w:ascii="Verdana" w:hAnsi="Verdana"/>
          <w:sz w:val="20"/>
          <w:szCs w:val="20"/>
        </w:rPr>
        <w:t xml:space="preserve"> 65 </w:t>
      </w:r>
      <w:r w:rsidR="00B6463D">
        <w:rPr>
          <w:rFonts w:ascii="Verdana" w:hAnsi="Verdana"/>
          <w:sz w:val="20"/>
          <w:szCs w:val="20"/>
        </w:rPr>
        <w:t>a</w:t>
      </w:r>
      <w:r w:rsidRPr="00D06233">
        <w:rPr>
          <w:rFonts w:ascii="Verdana" w:hAnsi="Verdana"/>
          <w:sz w:val="20"/>
          <w:szCs w:val="20"/>
        </w:rPr>
        <w:t xml:space="preserve"> y 75.06 </w:t>
      </w:r>
      <w:proofErr w:type="spellStart"/>
      <w:r w:rsidRPr="00D06233">
        <w:rPr>
          <w:rFonts w:ascii="Verdana" w:hAnsi="Verdana"/>
          <w:sz w:val="20"/>
          <w:szCs w:val="20"/>
        </w:rPr>
        <w:t>c</w:t>
      </w:r>
      <w:r w:rsidR="00B6463D">
        <w:rPr>
          <w:rFonts w:ascii="Verdana" w:hAnsi="Verdana"/>
          <w:sz w:val="20"/>
          <w:szCs w:val="20"/>
        </w:rPr>
        <w:t>a</w:t>
      </w:r>
      <w:proofErr w:type="spellEnd"/>
      <w:r w:rsidRPr="00D06233">
        <w:rPr>
          <w:rFonts w:ascii="Verdana" w:hAnsi="Verdana"/>
          <w:sz w:val="20"/>
          <w:szCs w:val="20"/>
        </w:rPr>
        <w:t xml:space="preserve">, y otro de 3 </w:t>
      </w:r>
      <w:r w:rsidR="00B6463D">
        <w:rPr>
          <w:rFonts w:ascii="Verdana" w:hAnsi="Verdana"/>
          <w:sz w:val="20"/>
          <w:szCs w:val="20"/>
        </w:rPr>
        <w:t>ha</w:t>
      </w:r>
      <w:r w:rsidRPr="00D06233">
        <w:rPr>
          <w:rFonts w:ascii="Verdana" w:hAnsi="Verdana"/>
          <w:sz w:val="20"/>
          <w:szCs w:val="20"/>
        </w:rPr>
        <w:t xml:space="preserve"> 61 </w:t>
      </w:r>
      <w:r w:rsidR="00B6463D">
        <w:rPr>
          <w:rFonts w:ascii="Verdana" w:hAnsi="Verdana"/>
          <w:sz w:val="20"/>
          <w:szCs w:val="20"/>
        </w:rPr>
        <w:t>a</w:t>
      </w:r>
      <w:r w:rsidRPr="00D06233">
        <w:rPr>
          <w:rFonts w:ascii="Verdana" w:hAnsi="Verdana"/>
          <w:sz w:val="20"/>
          <w:szCs w:val="20"/>
        </w:rPr>
        <w:t xml:space="preserve"> y 97.99 </w:t>
      </w:r>
      <w:proofErr w:type="spellStart"/>
      <w:r w:rsidRPr="00D06233">
        <w:rPr>
          <w:rFonts w:ascii="Verdana" w:hAnsi="Verdana"/>
          <w:sz w:val="20"/>
          <w:szCs w:val="20"/>
        </w:rPr>
        <w:t>c</w:t>
      </w:r>
      <w:r w:rsidR="00B6463D">
        <w:rPr>
          <w:rFonts w:ascii="Verdana" w:hAnsi="Verdana"/>
          <w:sz w:val="20"/>
          <w:szCs w:val="20"/>
        </w:rPr>
        <w:t>a</w:t>
      </w:r>
      <w:proofErr w:type="spellEnd"/>
      <w:r w:rsidRPr="00D06233">
        <w:rPr>
          <w:rFonts w:ascii="Verdana" w:hAnsi="Verdana"/>
          <w:sz w:val="20"/>
          <w:szCs w:val="20"/>
        </w:rPr>
        <w:t xml:space="preserve">, y ii) </w:t>
      </w:r>
      <w:proofErr w:type="spellStart"/>
      <w:r w:rsidRPr="00D06233">
        <w:rPr>
          <w:rFonts w:ascii="Verdana" w:hAnsi="Verdana"/>
          <w:sz w:val="20"/>
          <w:szCs w:val="20"/>
        </w:rPr>
        <w:t>Sergia</w:t>
      </w:r>
      <w:proofErr w:type="spellEnd"/>
      <w:r w:rsidRPr="00D06233">
        <w:rPr>
          <w:rFonts w:ascii="Verdana" w:hAnsi="Verdana"/>
          <w:sz w:val="20"/>
          <w:szCs w:val="20"/>
        </w:rPr>
        <w:t xml:space="preserve"> Zapata Martínez, quien era propietaria de 1 predio de 19 </w:t>
      </w:r>
      <w:r w:rsidR="00B6463D">
        <w:rPr>
          <w:rFonts w:ascii="Verdana" w:hAnsi="Verdana"/>
          <w:sz w:val="20"/>
          <w:szCs w:val="20"/>
        </w:rPr>
        <w:t>ha</w:t>
      </w:r>
      <w:r w:rsidR="001512C1">
        <w:rPr>
          <w:rFonts w:ascii="Verdana" w:hAnsi="Verdana"/>
          <w:sz w:val="20"/>
          <w:szCs w:val="20"/>
        </w:rPr>
        <w:t xml:space="preserve"> </w:t>
      </w:r>
      <w:r w:rsidRPr="00D06233">
        <w:rPr>
          <w:rFonts w:ascii="Verdana" w:hAnsi="Verdana"/>
          <w:sz w:val="20"/>
          <w:szCs w:val="20"/>
        </w:rPr>
        <w:t xml:space="preserve">85 </w:t>
      </w:r>
      <w:r w:rsidR="00B6463D">
        <w:rPr>
          <w:rFonts w:ascii="Verdana" w:hAnsi="Verdana"/>
          <w:sz w:val="20"/>
          <w:szCs w:val="20"/>
        </w:rPr>
        <w:t>a</w:t>
      </w:r>
      <w:r w:rsidR="001512C1">
        <w:rPr>
          <w:rFonts w:ascii="Verdana" w:hAnsi="Verdana"/>
          <w:sz w:val="20"/>
          <w:szCs w:val="20"/>
        </w:rPr>
        <w:t xml:space="preserve"> y 23.61 </w:t>
      </w:r>
      <w:proofErr w:type="spellStart"/>
      <w:r w:rsidR="001512C1">
        <w:rPr>
          <w:rFonts w:ascii="Verdana" w:hAnsi="Verdana"/>
          <w:sz w:val="20"/>
          <w:szCs w:val="20"/>
        </w:rPr>
        <w:t>c</w:t>
      </w:r>
      <w:r w:rsidR="00B6463D">
        <w:rPr>
          <w:rFonts w:ascii="Verdana" w:hAnsi="Verdana"/>
          <w:sz w:val="20"/>
          <w:szCs w:val="20"/>
        </w:rPr>
        <w:t>a</w:t>
      </w:r>
      <w:proofErr w:type="spellEnd"/>
      <w:r w:rsidR="001512C1">
        <w:rPr>
          <w:rFonts w:ascii="Verdana" w:hAnsi="Verdana"/>
          <w:sz w:val="20"/>
          <w:szCs w:val="20"/>
        </w:rPr>
        <w:t xml:space="preserve"> </w:t>
      </w:r>
      <w:r w:rsidR="009E256E">
        <w:rPr>
          <w:rFonts w:ascii="Verdana" w:hAnsi="Verdana"/>
          <w:sz w:val="20"/>
          <w:szCs w:val="20"/>
        </w:rPr>
        <w:t>(</w:t>
      </w:r>
      <w:r w:rsidR="009E256E">
        <w:rPr>
          <w:rFonts w:ascii="Verdana" w:hAnsi="Verdana"/>
          <w:i/>
          <w:sz w:val="20"/>
          <w:szCs w:val="20"/>
        </w:rPr>
        <w:t xml:space="preserve">supra, </w:t>
      </w:r>
      <w:r w:rsidR="009E256E">
        <w:rPr>
          <w:rFonts w:ascii="Verdana" w:hAnsi="Verdana"/>
          <w:sz w:val="20"/>
          <w:szCs w:val="20"/>
        </w:rPr>
        <w:t>párr. 98)</w:t>
      </w:r>
      <w:r w:rsidR="001512C1">
        <w:rPr>
          <w:rFonts w:ascii="Verdana" w:hAnsi="Verdana"/>
          <w:sz w:val="20"/>
          <w:szCs w:val="20"/>
        </w:rPr>
        <w:t xml:space="preserve">. </w:t>
      </w:r>
      <w:r w:rsidRPr="00D06233">
        <w:rPr>
          <w:rFonts w:ascii="Verdana" w:hAnsi="Verdana"/>
          <w:sz w:val="20"/>
          <w:szCs w:val="20"/>
        </w:rPr>
        <w:lastRenderedPageBreak/>
        <w:t>Cabe señalar que durante la visita algun</w:t>
      </w:r>
      <w:r w:rsidR="001512C1">
        <w:rPr>
          <w:rFonts w:ascii="Verdana" w:hAnsi="Verdana"/>
          <w:sz w:val="20"/>
          <w:szCs w:val="20"/>
        </w:rPr>
        <w:t xml:space="preserve">as personas señalaron que </w:t>
      </w:r>
      <w:proofErr w:type="spellStart"/>
      <w:r w:rsidR="001512C1">
        <w:rPr>
          <w:rFonts w:ascii="Verdana" w:hAnsi="Verdana"/>
          <w:sz w:val="20"/>
          <w:szCs w:val="20"/>
        </w:rPr>
        <w:t>Ambroc</w:t>
      </w:r>
      <w:r w:rsidRPr="00D06233">
        <w:rPr>
          <w:rFonts w:ascii="Verdana" w:hAnsi="Verdana"/>
          <w:sz w:val="20"/>
          <w:szCs w:val="20"/>
        </w:rPr>
        <w:t>io</w:t>
      </w:r>
      <w:proofErr w:type="spellEnd"/>
      <w:r w:rsidRPr="00D06233">
        <w:rPr>
          <w:rFonts w:ascii="Verdana" w:hAnsi="Verdana"/>
          <w:sz w:val="20"/>
          <w:szCs w:val="20"/>
        </w:rPr>
        <w:t xml:space="preserve"> Thomas </w:t>
      </w:r>
      <w:r w:rsidR="009E256E">
        <w:rPr>
          <w:rFonts w:ascii="Verdana" w:hAnsi="Verdana"/>
          <w:sz w:val="20"/>
          <w:szCs w:val="20"/>
        </w:rPr>
        <w:t xml:space="preserve">Castillo </w:t>
      </w:r>
      <w:r w:rsidRPr="00D06233">
        <w:rPr>
          <w:rFonts w:ascii="Verdana" w:hAnsi="Verdana"/>
          <w:sz w:val="20"/>
          <w:szCs w:val="20"/>
        </w:rPr>
        <w:t>era garífuna y que habría vendido ya su predio a un tercero qu</w:t>
      </w:r>
      <w:r w:rsidR="009E256E">
        <w:rPr>
          <w:rFonts w:ascii="Verdana" w:hAnsi="Verdana"/>
          <w:sz w:val="20"/>
          <w:szCs w:val="20"/>
        </w:rPr>
        <w:t xml:space="preserve">e </w:t>
      </w:r>
      <w:r w:rsidRPr="00D06233">
        <w:rPr>
          <w:rFonts w:ascii="Verdana" w:hAnsi="Verdana"/>
          <w:sz w:val="20"/>
          <w:szCs w:val="20"/>
        </w:rPr>
        <w:t>actualmente vive en ese lugar</w:t>
      </w:r>
      <w:r w:rsidR="009E256E">
        <w:rPr>
          <w:rFonts w:ascii="Verdana" w:hAnsi="Verdana"/>
          <w:sz w:val="20"/>
          <w:szCs w:val="20"/>
        </w:rPr>
        <w:t xml:space="preserve"> (</w:t>
      </w:r>
      <w:r w:rsidR="009E256E">
        <w:rPr>
          <w:rFonts w:ascii="Verdana" w:hAnsi="Verdana"/>
          <w:i/>
          <w:sz w:val="20"/>
          <w:szCs w:val="20"/>
        </w:rPr>
        <w:t xml:space="preserve">supra, </w:t>
      </w:r>
      <w:r w:rsidR="009E256E">
        <w:rPr>
          <w:rFonts w:ascii="Verdana" w:hAnsi="Verdana"/>
          <w:sz w:val="20"/>
          <w:szCs w:val="20"/>
        </w:rPr>
        <w:t>párr. 106).</w:t>
      </w:r>
      <w:r w:rsidR="009E256E">
        <w:rPr>
          <w:rFonts w:ascii="Verdana" w:hAnsi="Verdana"/>
          <w:i/>
          <w:sz w:val="20"/>
          <w:szCs w:val="20"/>
        </w:rPr>
        <w:t xml:space="preserve"> </w:t>
      </w:r>
    </w:p>
    <w:p w14:paraId="0C704B12" w14:textId="77777777" w:rsidR="00F02DDD" w:rsidRPr="00D06233" w:rsidRDefault="00F02DDD" w:rsidP="00F02DDD">
      <w:pPr>
        <w:pStyle w:val="ListParagraph"/>
        <w:ind w:left="0"/>
        <w:jc w:val="both"/>
        <w:rPr>
          <w:rFonts w:ascii="Verdana" w:hAnsi="Verdana"/>
          <w:sz w:val="20"/>
          <w:szCs w:val="20"/>
        </w:rPr>
      </w:pPr>
    </w:p>
    <w:p w14:paraId="0C704B13" w14:textId="4DC1EA05" w:rsidR="00F02DDD" w:rsidRPr="00A71698" w:rsidRDefault="00F02DDD" w:rsidP="00F02DDD">
      <w:pPr>
        <w:pStyle w:val="ListParagraph"/>
        <w:numPr>
          <w:ilvl w:val="0"/>
          <w:numId w:val="17"/>
        </w:numPr>
        <w:ind w:left="0" w:hanging="11"/>
        <w:jc w:val="both"/>
        <w:rPr>
          <w:rFonts w:ascii="Verdana" w:hAnsi="Verdana"/>
          <w:sz w:val="20"/>
          <w:szCs w:val="20"/>
          <w:lang w:val="es-ES"/>
        </w:rPr>
      </w:pPr>
      <w:r w:rsidRPr="00D06233">
        <w:rPr>
          <w:rFonts w:ascii="Verdana" w:hAnsi="Verdana"/>
          <w:sz w:val="20"/>
          <w:szCs w:val="20"/>
        </w:rPr>
        <w:t xml:space="preserve">La Corte nota que siendo que en el presente caso la Comunicad de Punta Piedra no se opuso en el segundo título de propiedad al reconocimiento de las propiedades de </w:t>
      </w:r>
      <w:proofErr w:type="spellStart"/>
      <w:r w:rsidRPr="00D06233">
        <w:rPr>
          <w:rFonts w:ascii="Verdana" w:hAnsi="Verdana"/>
          <w:sz w:val="20"/>
          <w:szCs w:val="20"/>
        </w:rPr>
        <w:t>Ambrocio</w:t>
      </w:r>
      <w:proofErr w:type="spellEnd"/>
      <w:r w:rsidRPr="00D06233">
        <w:rPr>
          <w:rFonts w:ascii="Verdana" w:hAnsi="Verdana"/>
          <w:sz w:val="20"/>
          <w:szCs w:val="20"/>
        </w:rPr>
        <w:t xml:space="preserve"> Thomas Castillo y </w:t>
      </w:r>
      <w:proofErr w:type="spellStart"/>
      <w:r w:rsidRPr="00D06233">
        <w:rPr>
          <w:rFonts w:ascii="Verdana" w:hAnsi="Verdana"/>
          <w:sz w:val="20"/>
          <w:szCs w:val="20"/>
        </w:rPr>
        <w:t>Sergia</w:t>
      </w:r>
      <w:proofErr w:type="spellEnd"/>
      <w:r w:rsidRPr="00D06233">
        <w:rPr>
          <w:rFonts w:ascii="Verdana" w:hAnsi="Verdana"/>
          <w:sz w:val="20"/>
          <w:szCs w:val="20"/>
        </w:rPr>
        <w:t xml:space="preserve"> Zapata Martínez (</w:t>
      </w:r>
      <w:r w:rsidRPr="00D06233">
        <w:rPr>
          <w:rFonts w:ascii="Verdana" w:hAnsi="Verdana"/>
          <w:i/>
          <w:sz w:val="20"/>
          <w:szCs w:val="20"/>
        </w:rPr>
        <w:t xml:space="preserve">supra </w:t>
      </w:r>
      <w:r w:rsidRPr="00D06233">
        <w:rPr>
          <w:rFonts w:ascii="Verdana" w:hAnsi="Verdana"/>
          <w:sz w:val="20"/>
          <w:szCs w:val="20"/>
        </w:rPr>
        <w:t xml:space="preserve">párr. </w:t>
      </w:r>
      <w:r w:rsidR="009E256E">
        <w:rPr>
          <w:rFonts w:ascii="Verdana" w:hAnsi="Verdana"/>
          <w:sz w:val="20"/>
          <w:szCs w:val="20"/>
        </w:rPr>
        <w:t>100</w:t>
      </w:r>
      <w:r w:rsidRPr="00D06233">
        <w:rPr>
          <w:rFonts w:ascii="Verdana" w:hAnsi="Verdana"/>
          <w:sz w:val="20"/>
          <w:szCs w:val="20"/>
        </w:rPr>
        <w:t>),</w:t>
      </w:r>
      <w:r w:rsidR="00B552E5">
        <w:rPr>
          <w:rFonts w:ascii="Verdana" w:hAnsi="Verdana"/>
          <w:sz w:val="20"/>
          <w:szCs w:val="20"/>
        </w:rPr>
        <w:t xml:space="preserve"> de</w:t>
      </w:r>
      <w:r w:rsidRPr="00D06233">
        <w:rPr>
          <w:rFonts w:ascii="Verdana" w:hAnsi="Verdana"/>
          <w:sz w:val="20"/>
          <w:szCs w:val="20"/>
        </w:rPr>
        <w:t xml:space="preserve"> lo cual</w:t>
      </w:r>
      <w:r w:rsidR="00B552E5">
        <w:rPr>
          <w:rFonts w:ascii="Verdana" w:hAnsi="Verdana"/>
          <w:sz w:val="20"/>
          <w:szCs w:val="20"/>
        </w:rPr>
        <w:t xml:space="preserve"> </w:t>
      </w:r>
      <w:r>
        <w:rPr>
          <w:rFonts w:ascii="Verdana" w:hAnsi="Verdana"/>
          <w:sz w:val="20"/>
          <w:szCs w:val="20"/>
        </w:rPr>
        <w:t xml:space="preserve">se desprende que </w:t>
      </w:r>
      <w:r w:rsidR="00B552E5">
        <w:rPr>
          <w:rFonts w:ascii="Verdana" w:hAnsi="Verdana"/>
          <w:sz w:val="20"/>
          <w:szCs w:val="20"/>
        </w:rPr>
        <w:t xml:space="preserve">tampoco </w:t>
      </w:r>
      <w:r w:rsidRPr="00DC09DB">
        <w:rPr>
          <w:rFonts w:ascii="Verdana" w:hAnsi="Verdana"/>
          <w:sz w:val="20"/>
          <w:szCs w:val="20"/>
        </w:rPr>
        <w:t>fue controvertido ante ninguna instancia interna o solicitado su reivindicación</w:t>
      </w:r>
      <w:r>
        <w:rPr>
          <w:rFonts w:ascii="Verdana" w:hAnsi="Verdana"/>
          <w:sz w:val="20"/>
          <w:szCs w:val="20"/>
        </w:rPr>
        <w:t>,</w:t>
      </w:r>
      <w:r w:rsidRPr="00DC09DB">
        <w:rPr>
          <w:rFonts w:ascii="Verdana" w:hAnsi="Verdana"/>
          <w:sz w:val="20"/>
          <w:szCs w:val="20"/>
        </w:rPr>
        <w:t xml:space="preserve"> </w:t>
      </w:r>
      <w:r>
        <w:rPr>
          <w:rFonts w:ascii="Verdana" w:hAnsi="Verdana"/>
          <w:sz w:val="20"/>
          <w:szCs w:val="20"/>
        </w:rPr>
        <w:t xml:space="preserve">no corresponde a la </w:t>
      </w:r>
      <w:r w:rsidRPr="00DC09DB">
        <w:rPr>
          <w:rFonts w:ascii="Verdana" w:hAnsi="Verdana"/>
          <w:sz w:val="20"/>
          <w:szCs w:val="20"/>
        </w:rPr>
        <w:t xml:space="preserve">Corte </w:t>
      </w:r>
      <w:r>
        <w:rPr>
          <w:rFonts w:ascii="Verdana" w:hAnsi="Verdana"/>
          <w:sz w:val="20"/>
          <w:szCs w:val="20"/>
        </w:rPr>
        <w:t>pronunciarse</w:t>
      </w:r>
      <w:r w:rsidRPr="00DC09DB">
        <w:rPr>
          <w:rFonts w:ascii="Verdana" w:hAnsi="Verdana"/>
          <w:sz w:val="20"/>
          <w:szCs w:val="20"/>
        </w:rPr>
        <w:t xml:space="preserve"> al respecto. </w:t>
      </w:r>
    </w:p>
    <w:p w14:paraId="0C704B14" w14:textId="77777777" w:rsidR="00F02DDD" w:rsidRPr="00A71698" w:rsidRDefault="00F02DDD" w:rsidP="00F02DDD">
      <w:pPr>
        <w:pStyle w:val="ListParagraph"/>
        <w:rPr>
          <w:rFonts w:ascii="Verdana" w:hAnsi="Verdana"/>
          <w:sz w:val="20"/>
          <w:szCs w:val="20"/>
          <w:lang w:val="es-ES"/>
        </w:rPr>
      </w:pPr>
    </w:p>
    <w:p w14:paraId="0C704B15" w14:textId="2B2DF7F7" w:rsidR="00F02DDD" w:rsidRPr="00A71698" w:rsidRDefault="00F02DDD" w:rsidP="00F02DDD">
      <w:pPr>
        <w:pStyle w:val="ListParagraph"/>
        <w:numPr>
          <w:ilvl w:val="0"/>
          <w:numId w:val="17"/>
        </w:numPr>
        <w:ind w:left="0" w:hanging="11"/>
        <w:jc w:val="both"/>
        <w:rPr>
          <w:rFonts w:ascii="Verdana" w:hAnsi="Verdana"/>
          <w:sz w:val="20"/>
          <w:szCs w:val="20"/>
          <w:lang w:val="es-ES"/>
        </w:rPr>
      </w:pPr>
      <w:r>
        <w:rPr>
          <w:rFonts w:ascii="Verdana" w:hAnsi="Verdana"/>
          <w:sz w:val="20"/>
          <w:szCs w:val="20"/>
          <w:lang w:val="es-ES"/>
        </w:rPr>
        <w:t xml:space="preserve">Con posterioridad a la visita, el Estado remitió a la Corte copia de </w:t>
      </w:r>
      <w:r w:rsidR="00B552E5">
        <w:rPr>
          <w:rFonts w:ascii="Verdana" w:hAnsi="Verdana"/>
          <w:sz w:val="20"/>
          <w:szCs w:val="20"/>
          <w:lang w:val="es-ES"/>
        </w:rPr>
        <w:t>cinco</w:t>
      </w:r>
      <w:r>
        <w:rPr>
          <w:rFonts w:ascii="Verdana" w:hAnsi="Verdana"/>
          <w:sz w:val="20"/>
          <w:szCs w:val="20"/>
          <w:lang w:val="es-ES"/>
        </w:rPr>
        <w:t xml:space="preserve"> supuestos títulos de propiedad en favor de personas </w:t>
      </w:r>
      <w:r w:rsidR="00B552E5">
        <w:rPr>
          <w:rFonts w:ascii="Verdana" w:hAnsi="Verdana"/>
          <w:sz w:val="20"/>
          <w:szCs w:val="20"/>
          <w:lang w:val="es-ES"/>
        </w:rPr>
        <w:t>de</w:t>
      </w:r>
      <w:r>
        <w:rPr>
          <w:rFonts w:ascii="Verdana" w:hAnsi="Verdana"/>
          <w:sz w:val="20"/>
          <w:szCs w:val="20"/>
          <w:lang w:val="es-ES"/>
        </w:rPr>
        <w:t xml:space="preserve"> la Aldea de Río Miel</w:t>
      </w:r>
      <w:r w:rsidR="00B552E5">
        <w:rPr>
          <w:rFonts w:ascii="Verdana" w:hAnsi="Verdana"/>
          <w:sz w:val="20"/>
          <w:szCs w:val="20"/>
          <w:lang w:val="es-ES"/>
        </w:rPr>
        <w:t>,</w:t>
      </w:r>
      <w:r>
        <w:rPr>
          <w:rFonts w:ascii="Verdana" w:hAnsi="Verdana"/>
          <w:sz w:val="20"/>
          <w:szCs w:val="20"/>
          <w:lang w:val="es-ES"/>
        </w:rPr>
        <w:t xml:space="preserve"> correspondientes a los años 1991, 1992, 1993, 1998, y 2006</w:t>
      </w:r>
      <w:r w:rsidR="00B552E5">
        <w:rPr>
          <w:rFonts w:ascii="Verdana" w:hAnsi="Verdana"/>
          <w:sz w:val="20"/>
          <w:szCs w:val="20"/>
          <w:lang w:val="es-ES"/>
        </w:rPr>
        <w:t xml:space="preserve"> (</w:t>
      </w:r>
      <w:r w:rsidR="00B552E5">
        <w:rPr>
          <w:rFonts w:ascii="Verdana" w:hAnsi="Verdana"/>
          <w:i/>
          <w:sz w:val="20"/>
          <w:szCs w:val="20"/>
          <w:lang w:val="es-ES"/>
        </w:rPr>
        <w:t>supra</w:t>
      </w:r>
      <w:r w:rsidR="00B552E5">
        <w:rPr>
          <w:rFonts w:ascii="Verdana" w:hAnsi="Verdana"/>
          <w:sz w:val="20"/>
          <w:szCs w:val="20"/>
          <w:lang w:val="es-ES"/>
        </w:rPr>
        <w:t>, párr. 105)</w:t>
      </w:r>
      <w:r>
        <w:rPr>
          <w:rFonts w:ascii="Verdana" w:hAnsi="Verdana"/>
          <w:sz w:val="20"/>
          <w:szCs w:val="20"/>
          <w:lang w:val="es-ES"/>
        </w:rPr>
        <w:t>. Al respecto, siendo que los mismos no habían sido señalados por el Estado con anterioridad ni se desprenden de ninguno de los informes catastrales o título</w:t>
      </w:r>
      <w:r w:rsidR="00217088">
        <w:rPr>
          <w:rFonts w:ascii="Verdana" w:hAnsi="Verdana"/>
          <w:sz w:val="20"/>
          <w:szCs w:val="20"/>
          <w:lang w:val="es-ES"/>
        </w:rPr>
        <w:t>s</w:t>
      </w:r>
      <w:r>
        <w:rPr>
          <w:rFonts w:ascii="Verdana" w:hAnsi="Verdana"/>
          <w:sz w:val="20"/>
          <w:szCs w:val="20"/>
          <w:lang w:val="es-ES"/>
        </w:rPr>
        <w:t xml:space="preserve"> de propiedad que constan en el expediente, este Tribunal no cuenta con elementos para su valoración. </w:t>
      </w:r>
      <w:r w:rsidRPr="00C46B83">
        <w:rPr>
          <w:rFonts w:ascii="Verdana" w:hAnsi="Verdana"/>
          <w:sz w:val="20"/>
          <w:szCs w:val="20"/>
          <w:lang w:val="es-ES"/>
        </w:rPr>
        <w:t xml:space="preserve">No obstante, </w:t>
      </w:r>
      <w:r>
        <w:rPr>
          <w:rFonts w:ascii="Verdana" w:hAnsi="Verdana"/>
          <w:sz w:val="20"/>
          <w:szCs w:val="20"/>
          <w:lang w:val="es-ES"/>
        </w:rPr>
        <w:t>como fue señalado por los representantes (</w:t>
      </w:r>
      <w:r w:rsidR="0086236B" w:rsidRPr="00A0324F">
        <w:rPr>
          <w:rFonts w:ascii="Verdana" w:hAnsi="Verdana"/>
          <w:i/>
          <w:sz w:val="20"/>
          <w:szCs w:val="20"/>
          <w:lang w:val="es-ES"/>
        </w:rPr>
        <w:t>supra</w:t>
      </w:r>
      <w:r>
        <w:rPr>
          <w:rFonts w:ascii="Verdana" w:hAnsi="Verdana"/>
          <w:sz w:val="20"/>
          <w:szCs w:val="20"/>
          <w:lang w:val="es-ES"/>
        </w:rPr>
        <w:t xml:space="preserve"> párr.</w:t>
      </w:r>
      <w:r w:rsidR="00B552E5">
        <w:rPr>
          <w:rFonts w:ascii="Verdana" w:hAnsi="Verdana"/>
          <w:sz w:val="20"/>
          <w:szCs w:val="20"/>
          <w:lang w:val="es-ES"/>
        </w:rPr>
        <w:t xml:space="preserve"> 105</w:t>
      </w:r>
      <w:r>
        <w:rPr>
          <w:rFonts w:ascii="Verdana" w:hAnsi="Verdana"/>
          <w:sz w:val="20"/>
          <w:szCs w:val="20"/>
          <w:lang w:val="es-ES"/>
        </w:rPr>
        <w:t xml:space="preserve">), </w:t>
      </w:r>
      <w:r w:rsidRPr="00C46B83">
        <w:rPr>
          <w:rFonts w:ascii="Verdana" w:hAnsi="Verdana"/>
          <w:sz w:val="20"/>
          <w:szCs w:val="20"/>
          <w:lang w:val="es-ES"/>
        </w:rPr>
        <w:t xml:space="preserve">lo anterior evidencia la falta de claridad en el </w:t>
      </w:r>
      <w:r>
        <w:rPr>
          <w:rFonts w:ascii="Verdana" w:hAnsi="Verdana"/>
          <w:sz w:val="20"/>
          <w:szCs w:val="20"/>
          <w:lang w:val="es-ES"/>
        </w:rPr>
        <w:t>sistema de r</w:t>
      </w:r>
      <w:r w:rsidRPr="00C46B83">
        <w:rPr>
          <w:rFonts w:ascii="Verdana" w:hAnsi="Verdana"/>
          <w:sz w:val="20"/>
          <w:szCs w:val="20"/>
          <w:lang w:val="es-ES"/>
        </w:rPr>
        <w:t xml:space="preserve">egistro </w:t>
      </w:r>
      <w:r>
        <w:rPr>
          <w:rFonts w:ascii="Verdana" w:hAnsi="Verdana"/>
          <w:sz w:val="20"/>
          <w:szCs w:val="20"/>
          <w:lang w:val="es-ES"/>
        </w:rPr>
        <w:t>p</w:t>
      </w:r>
      <w:r w:rsidRPr="00C46B83">
        <w:rPr>
          <w:rFonts w:ascii="Verdana" w:hAnsi="Verdana"/>
          <w:sz w:val="20"/>
          <w:szCs w:val="20"/>
          <w:lang w:val="es-ES"/>
        </w:rPr>
        <w:t xml:space="preserve">úblico de la </w:t>
      </w:r>
      <w:r>
        <w:rPr>
          <w:rFonts w:ascii="Verdana" w:hAnsi="Verdana"/>
          <w:sz w:val="20"/>
          <w:szCs w:val="20"/>
          <w:lang w:val="es-ES"/>
        </w:rPr>
        <w:t>p</w:t>
      </w:r>
      <w:r w:rsidRPr="00C46B83">
        <w:rPr>
          <w:rFonts w:ascii="Verdana" w:hAnsi="Verdana"/>
          <w:sz w:val="20"/>
          <w:szCs w:val="20"/>
          <w:lang w:val="es-ES"/>
        </w:rPr>
        <w:t>ropiedad</w:t>
      </w:r>
      <w:r w:rsidRPr="00B317AB">
        <w:rPr>
          <w:rFonts w:ascii="Verdana" w:hAnsi="Verdana"/>
          <w:sz w:val="20"/>
          <w:szCs w:val="20"/>
          <w:lang w:val="es-ES"/>
        </w:rPr>
        <w:t xml:space="preserve"> de Honduras que podría estar permitiendo el traslape de títulos</w:t>
      </w:r>
      <w:r>
        <w:rPr>
          <w:rFonts w:ascii="Verdana" w:hAnsi="Verdana"/>
          <w:sz w:val="20"/>
          <w:szCs w:val="20"/>
          <w:lang w:val="es-ES"/>
        </w:rPr>
        <w:t xml:space="preserve"> en </w:t>
      </w:r>
      <w:r w:rsidR="00217088">
        <w:rPr>
          <w:rFonts w:ascii="Verdana" w:hAnsi="Verdana"/>
          <w:sz w:val="20"/>
          <w:szCs w:val="20"/>
          <w:lang w:val="es-ES"/>
        </w:rPr>
        <w:t>áreas</w:t>
      </w:r>
      <w:r>
        <w:rPr>
          <w:rFonts w:ascii="Verdana" w:hAnsi="Verdana"/>
          <w:sz w:val="20"/>
          <w:szCs w:val="20"/>
          <w:lang w:val="es-ES"/>
        </w:rPr>
        <w:t xml:space="preserve"> rurales, con las consecuencias sociales que esto ocasiona para la seguridad jurídica y social</w:t>
      </w:r>
      <w:r w:rsidRPr="00B317AB">
        <w:rPr>
          <w:rFonts w:ascii="Verdana" w:hAnsi="Verdana"/>
          <w:sz w:val="20"/>
          <w:szCs w:val="20"/>
          <w:lang w:val="es-ES"/>
        </w:rPr>
        <w:t>.</w:t>
      </w:r>
    </w:p>
    <w:p w14:paraId="0C704B16" w14:textId="77777777" w:rsidR="00F02DDD" w:rsidRPr="005906E7" w:rsidRDefault="00F02DDD" w:rsidP="00F02DDD">
      <w:pPr>
        <w:rPr>
          <w:lang w:val="es-MX"/>
        </w:rPr>
      </w:pPr>
    </w:p>
    <w:p w14:paraId="0C704B17" w14:textId="2E9B2669" w:rsidR="00F02DDD" w:rsidRPr="00A71698" w:rsidRDefault="0019552C" w:rsidP="00F02DDD">
      <w:pPr>
        <w:pStyle w:val="Heading3"/>
        <w:spacing w:before="0"/>
        <w:ind w:left="705"/>
        <w:jc w:val="both"/>
        <w:rPr>
          <w:rFonts w:ascii="Verdana" w:hAnsi="Verdana"/>
          <w:i/>
          <w:color w:val="auto"/>
          <w:sz w:val="20"/>
          <w:szCs w:val="20"/>
          <w:lang w:val="es-CR"/>
        </w:rPr>
      </w:pPr>
      <w:bookmarkStart w:id="82" w:name="_Toc437247351"/>
      <w:r>
        <w:rPr>
          <w:rFonts w:ascii="Verdana" w:hAnsi="Verdana"/>
          <w:i/>
          <w:color w:val="auto"/>
          <w:sz w:val="20"/>
          <w:szCs w:val="20"/>
          <w:lang w:val="es-CR"/>
        </w:rPr>
        <w:t xml:space="preserve">B.4 </w:t>
      </w:r>
      <w:r w:rsidR="00F02DDD" w:rsidRPr="00A71698">
        <w:rPr>
          <w:rFonts w:ascii="Verdana" w:hAnsi="Verdana"/>
          <w:i/>
          <w:color w:val="auto"/>
          <w:sz w:val="20"/>
          <w:szCs w:val="20"/>
          <w:lang w:val="es-CR"/>
        </w:rPr>
        <w:t xml:space="preserve">Conclusión </w:t>
      </w:r>
      <w:r w:rsidR="00F02DDD">
        <w:rPr>
          <w:rFonts w:ascii="Verdana" w:hAnsi="Verdana"/>
          <w:i/>
          <w:color w:val="auto"/>
          <w:sz w:val="20"/>
          <w:szCs w:val="20"/>
          <w:lang w:val="es-CR"/>
        </w:rPr>
        <w:t>respecto de la garantía del uso y goce de la propiedad colectiva</w:t>
      </w:r>
      <w:bookmarkEnd w:id="82"/>
    </w:p>
    <w:p w14:paraId="0C704B18" w14:textId="1D8E8D1C" w:rsidR="00F02DDD" w:rsidRPr="00E868D8" w:rsidRDefault="00F02DDD" w:rsidP="00F02DDD">
      <w:pPr>
        <w:jc w:val="both"/>
        <w:rPr>
          <w:rFonts w:ascii="Verdana" w:hAnsi="Verdana"/>
          <w:sz w:val="20"/>
          <w:szCs w:val="20"/>
          <w:highlight w:val="red"/>
        </w:rPr>
      </w:pPr>
    </w:p>
    <w:p w14:paraId="0C704B19" w14:textId="70E2576D" w:rsidR="00F02DDD" w:rsidRPr="00BF5E31" w:rsidRDefault="00F02DDD" w:rsidP="00F02DDD">
      <w:pPr>
        <w:pStyle w:val="ListParagraph"/>
        <w:numPr>
          <w:ilvl w:val="0"/>
          <w:numId w:val="17"/>
        </w:numPr>
        <w:ind w:left="0" w:hanging="11"/>
        <w:jc w:val="both"/>
        <w:rPr>
          <w:rFonts w:ascii="Verdana" w:hAnsi="Verdana"/>
          <w:sz w:val="20"/>
          <w:szCs w:val="20"/>
        </w:rPr>
      </w:pPr>
      <w:r w:rsidRPr="00CA1A2D">
        <w:rPr>
          <w:rFonts w:ascii="Verdana" w:hAnsi="Verdana"/>
          <w:sz w:val="20"/>
          <w:szCs w:val="20"/>
        </w:rPr>
        <w:t xml:space="preserve">En vista de todo lo anterior, el Estado es responsable de la violación del artículo 21 de la Convención Americana en perjuicio de la Comunidad de Punta </w:t>
      </w:r>
      <w:r>
        <w:rPr>
          <w:rFonts w:ascii="Verdana" w:hAnsi="Verdana"/>
          <w:sz w:val="20"/>
          <w:szCs w:val="20"/>
        </w:rPr>
        <w:t>P</w:t>
      </w:r>
      <w:r w:rsidRPr="00CA1A2D">
        <w:rPr>
          <w:rFonts w:ascii="Verdana" w:hAnsi="Verdana"/>
          <w:sz w:val="20"/>
          <w:szCs w:val="20"/>
        </w:rPr>
        <w:t>iedra y sus miembros</w:t>
      </w:r>
      <w:r w:rsidRPr="00BF5E31">
        <w:rPr>
          <w:rFonts w:ascii="Verdana" w:hAnsi="Verdana"/>
          <w:sz w:val="20"/>
          <w:szCs w:val="20"/>
        </w:rPr>
        <w:t xml:space="preserve">, </w:t>
      </w:r>
      <w:r w:rsidR="00B552E5">
        <w:rPr>
          <w:rFonts w:ascii="Verdana" w:hAnsi="Verdana"/>
          <w:sz w:val="20"/>
          <w:szCs w:val="20"/>
        </w:rPr>
        <w:t>dada</w:t>
      </w:r>
      <w:r w:rsidRPr="00BF5E31">
        <w:rPr>
          <w:rFonts w:ascii="Verdana" w:hAnsi="Verdana"/>
          <w:sz w:val="20"/>
          <w:szCs w:val="20"/>
        </w:rPr>
        <w:t xml:space="preserve"> la falta </w:t>
      </w:r>
      <w:r>
        <w:rPr>
          <w:rFonts w:ascii="Verdana" w:hAnsi="Verdana"/>
          <w:sz w:val="20"/>
          <w:szCs w:val="20"/>
        </w:rPr>
        <w:t>garantía del uso y goce del derecho de propiedad colectiva.</w:t>
      </w:r>
    </w:p>
    <w:p w14:paraId="0C704B1A" w14:textId="77777777" w:rsidR="00F02DDD" w:rsidRPr="00A71698" w:rsidRDefault="00F02DDD" w:rsidP="00F02DDD">
      <w:pPr>
        <w:pStyle w:val="ListParagraph"/>
        <w:ind w:left="0"/>
        <w:jc w:val="center"/>
        <w:rPr>
          <w:rFonts w:ascii="Verdana" w:hAnsi="Verdana"/>
          <w:sz w:val="20"/>
          <w:szCs w:val="20"/>
        </w:rPr>
      </w:pPr>
    </w:p>
    <w:p w14:paraId="0C704B1B" w14:textId="7441ABAB" w:rsidR="00F02DDD" w:rsidRPr="00A71698" w:rsidRDefault="00F02DDD" w:rsidP="00F02DDD">
      <w:pPr>
        <w:pStyle w:val="Heading2"/>
        <w:numPr>
          <w:ilvl w:val="0"/>
          <w:numId w:val="14"/>
        </w:numPr>
        <w:spacing w:before="0"/>
        <w:jc w:val="both"/>
        <w:rPr>
          <w:rFonts w:ascii="Verdana" w:hAnsi="Verdana"/>
          <w:i/>
          <w:color w:val="auto"/>
          <w:sz w:val="20"/>
          <w:szCs w:val="20"/>
        </w:rPr>
      </w:pPr>
      <w:bookmarkStart w:id="83" w:name="_Toc429724464"/>
      <w:bookmarkStart w:id="84" w:name="_Toc429724465"/>
      <w:bookmarkStart w:id="85" w:name="_Toc429724466"/>
      <w:bookmarkStart w:id="86" w:name="_Toc429724467"/>
      <w:bookmarkStart w:id="87" w:name="_Toc429724468"/>
      <w:bookmarkStart w:id="88" w:name="_Toc429724469"/>
      <w:bookmarkStart w:id="89" w:name="_Toc437247352"/>
      <w:bookmarkEnd w:id="83"/>
      <w:bookmarkEnd w:id="84"/>
      <w:bookmarkEnd w:id="85"/>
      <w:bookmarkEnd w:id="86"/>
      <w:bookmarkEnd w:id="87"/>
      <w:bookmarkEnd w:id="88"/>
      <w:r w:rsidRPr="007172F0">
        <w:rPr>
          <w:rFonts w:ascii="Verdana" w:hAnsi="Verdana"/>
          <w:i/>
          <w:color w:val="auto"/>
          <w:sz w:val="20"/>
          <w:szCs w:val="20"/>
        </w:rPr>
        <w:t>La</w:t>
      </w:r>
      <w:r w:rsidRPr="00A71698">
        <w:rPr>
          <w:rFonts w:ascii="Verdana" w:hAnsi="Verdana"/>
          <w:i/>
          <w:color w:val="auto"/>
          <w:sz w:val="20"/>
          <w:szCs w:val="20"/>
        </w:rPr>
        <w:t xml:space="preserve"> </w:t>
      </w:r>
      <w:r w:rsidR="00B552E5">
        <w:rPr>
          <w:rFonts w:ascii="Verdana" w:hAnsi="Verdana"/>
          <w:i/>
          <w:color w:val="auto"/>
          <w:sz w:val="20"/>
          <w:szCs w:val="20"/>
        </w:rPr>
        <w:t>r</w:t>
      </w:r>
      <w:r w:rsidRPr="00A71698">
        <w:rPr>
          <w:rFonts w:ascii="Verdana" w:hAnsi="Verdana"/>
          <w:i/>
          <w:color w:val="auto"/>
          <w:sz w:val="20"/>
          <w:szCs w:val="20"/>
        </w:rPr>
        <w:t xml:space="preserve">egulación de Honduras </w:t>
      </w:r>
      <w:r>
        <w:rPr>
          <w:rFonts w:ascii="Verdana" w:hAnsi="Verdana"/>
          <w:i/>
          <w:color w:val="auto"/>
          <w:sz w:val="20"/>
          <w:szCs w:val="20"/>
        </w:rPr>
        <w:t>sobre propiedad</w:t>
      </w:r>
      <w:r w:rsidRPr="00A71698">
        <w:rPr>
          <w:rFonts w:ascii="Verdana" w:hAnsi="Verdana"/>
          <w:i/>
          <w:color w:val="auto"/>
          <w:sz w:val="20"/>
          <w:szCs w:val="20"/>
        </w:rPr>
        <w:t xml:space="preserve"> a la luz del artículo 2 de la Convención Americana en relación con los artículos 1.1 y 21 de la misma</w:t>
      </w:r>
      <w:bookmarkEnd w:id="89"/>
    </w:p>
    <w:p w14:paraId="0C704B1C" w14:textId="77777777" w:rsidR="00F02DDD" w:rsidRDefault="00F02DDD" w:rsidP="00F02DDD">
      <w:pPr>
        <w:jc w:val="both"/>
        <w:rPr>
          <w:rFonts w:ascii="Verdana" w:hAnsi="Verdana"/>
          <w:sz w:val="20"/>
          <w:szCs w:val="20"/>
          <w:highlight w:val="red"/>
        </w:rPr>
      </w:pPr>
    </w:p>
    <w:p w14:paraId="0C704B1D" w14:textId="77777777" w:rsidR="00F02DDD" w:rsidRPr="00A71698" w:rsidRDefault="00F02DDD" w:rsidP="00F02DDD">
      <w:pPr>
        <w:pStyle w:val="Heading3"/>
        <w:spacing w:before="0"/>
        <w:ind w:firstLine="360"/>
        <w:jc w:val="both"/>
        <w:rPr>
          <w:rFonts w:ascii="Verdana" w:hAnsi="Verdana"/>
          <w:i/>
          <w:color w:val="auto"/>
          <w:sz w:val="20"/>
          <w:szCs w:val="20"/>
        </w:rPr>
      </w:pPr>
      <w:bookmarkStart w:id="90" w:name="_Toc437247353"/>
      <w:r>
        <w:rPr>
          <w:rFonts w:ascii="Verdana" w:hAnsi="Verdana"/>
          <w:i/>
          <w:color w:val="auto"/>
          <w:sz w:val="20"/>
          <w:szCs w:val="20"/>
        </w:rPr>
        <w:t xml:space="preserve">C.1 </w:t>
      </w:r>
      <w:r w:rsidRPr="00A71698">
        <w:rPr>
          <w:rFonts w:ascii="Verdana" w:hAnsi="Verdana"/>
          <w:i/>
          <w:color w:val="auto"/>
          <w:sz w:val="20"/>
          <w:szCs w:val="20"/>
        </w:rPr>
        <w:t>Argumentos de la Comisión y de las partes</w:t>
      </w:r>
      <w:bookmarkEnd w:id="90"/>
      <w:r w:rsidRPr="00A71698">
        <w:rPr>
          <w:rFonts w:ascii="Verdana" w:hAnsi="Verdana"/>
          <w:i/>
          <w:color w:val="auto"/>
          <w:sz w:val="20"/>
          <w:szCs w:val="20"/>
        </w:rPr>
        <w:t xml:space="preserve"> </w:t>
      </w:r>
    </w:p>
    <w:p w14:paraId="0C704B1E" w14:textId="77777777" w:rsidR="00F02DDD" w:rsidRDefault="00F02DDD" w:rsidP="00F02DDD">
      <w:pPr>
        <w:jc w:val="both"/>
        <w:rPr>
          <w:rFonts w:ascii="Verdana" w:hAnsi="Verdana"/>
          <w:sz w:val="20"/>
          <w:szCs w:val="20"/>
          <w:highlight w:val="red"/>
        </w:rPr>
      </w:pPr>
    </w:p>
    <w:p w14:paraId="0C704B1F" w14:textId="69099AB9"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L</w:t>
      </w:r>
      <w:r w:rsidRPr="00E868D8">
        <w:rPr>
          <w:rFonts w:ascii="Verdana" w:hAnsi="Verdana"/>
          <w:sz w:val="20"/>
          <w:szCs w:val="20"/>
        </w:rPr>
        <w:t xml:space="preserve">a </w:t>
      </w:r>
      <w:r w:rsidRPr="00B725E4">
        <w:rPr>
          <w:rFonts w:ascii="Verdana" w:hAnsi="Verdana"/>
          <w:b/>
          <w:i/>
          <w:sz w:val="20"/>
          <w:szCs w:val="20"/>
        </w:rPr>
        <w:t>Comisión</w:t>
      </w:r>
      <w:r w:rsidRPr="00E868D8">
        <w:rPr>
          <w:rFonts w:ascii="Verdana" w:hAnsi="Verdana"/>
          <w:sz w:val="20"/>
          <w:szCs w:val="20"/>
        </w:rPr>
        <w:t xml:space="preserve"> alegó que, a pesar de la existencia de normas constitucionales y legales que reconocen el derecho de la Comunidad a la propiedad comunal y el reconocimiento de sus formas tradicionales de tenencia </w:t>
      </w:r>
      <w:r>
        <w:rPr>
          <w:rFonts w:ascii="Verdana" w:hAnsi="Verdana"/>
          <w:sz w:val="20"/>
          <w:szCs w:val="20"/>
        </w:rPr>
        <w:t>territorial</w:t>
      </w:r>
      <w:r w:rsidRPr="00E868D8">
        <w:rPr>
          <w:rFonts w:ascii="Verdana" w:hAnsi="Verdana"/>
          <w:sz w:val="20"/>
          <w:szCs w:val="20"/>
        </w:rPr>
        <w:t>, esta no ha podido usar y gozar de sus tierras pacíficamente.</w:t>
      </w:r>
      <w:r w:rsidR="008A224A">
        <w:rPr>
          <w:rFonts w:ascii="Verdana" w:hAnsi="Verdana"/>
          <w:sz w:val="20"/>
          <w:szCs w:val="20"/>
        </w:rPr>
        <w:t xml:space="preserve"> </w:t>
      </w:r>
      <w:r w:rsidR="008A224A" w:rsidRPr="00A0324F">
        <w:rPr>
          <w:rFonts w:ascii="Verdana" w:hAnsi="Verdana"/>
          <w:sz w:val="20"/>
          <w:szCs w:val="20"/>
        </w:rPr>
        <w:t>La Comisión observó que estas disposiciones que reconocen el derecho a la propiedad de los pueblos indígenas son el artículo 346 de la Constitución, el artículo 92 de la Ley de Modernización y Desarrollo del Sector Agrario y el Capítulo III, en sus artículos 93 a 102, de la Ley de Propiedad del 2004.</w:t>
      </w:r>
      <w:r w:rsidRPr="00E868D8">
        <w:rPr>
          <w:rFonts w:ascii="Verdana" w:hAnsi="Verdana"/>
          <w:sz w:val="20"/>
          <w:szCs w:val="20"/>
        </w:rPr>
        <w:t xml:space="preserve"> De igual forma, advirtió que desde el año 1995 entró en vigor en Honduras el Convenio 169 de la OIT. En relación con la Ley de Propiedad del 2004, la Comisión sostuvo que esta no fue consultada a los pueblos indígenas y además resaltó con preocupación lo señalado en di</w:t>
      </w:r>
      <w:r>
        <w:rPr>
          <w:rFonts w:ascii="Verdana" w:hAnsi="Verdana"/>
          <w:sz w:val="20"/>
          <w:szCs w:val="20"/>
        </w:rPr>
        <w:t>cha normativa, ya que establece</w:t>
      </w:r>
      <w:r w:rsidRPr="00E868D8">
        <w:rPr>
          <w:rFonts w:ascii="Verdana" w:hAnsi="Verdana"/>
          <w:sz w:val="20"/>
          <w:szCs w:val="20"/>
        </w:rPr>
        <w:t xml:space="preserve"> que “los terceros que</w:t>
      </w:r>
      <w:r w:rsidR="004767D4">
        <w:rPr>
          <w:rFonts w:ascii="Verdana" w:hAnsi="Verdana"/>
          <w:sz w:val="20"/>
          <w:szCs w:val="20"/>
        </w:rPr>
        <w:t xml:space="preserve"> tengan</w:t>
      </w:r>
      <w:r w:rsidRPr="00E868D8">
        <w:rPr>
          <w:rFonts w:ascii="Verdana" w:hAnsi="Verdana"/>
          <w:sz w:val="20"/>
          <w:szCs w:val="20"/>
        </w:rPr>
        <w:t xml:space="preserve"> título de propiedad en tierras de estos pueblos y que </w:t>
      </w:r>
      <w:proofErr w:type="gramStart"/>
      <w:r w:rsidRPr="00E868D8">
        <w:rPr>
          <w:rFonts w:ascii="Verdana" w:hAnsi="Verdana"/>
          <w:sz w:val="20"/>
          <w:szCs w:val="20"/>
        </w:rPr>
        <w:t>ha[</w:t>
      </w:r>
      <w:proofErr w:type="spellStart"/>
      <w:proofErr w:type="gramEnd"/>
      <w:r w:rsidRPr="00E868D8">
        <w:rPr>
          <w:rFonts w:ascii="Verdana" w:hAnsi="Verdana"/>
          <w:sz w:val="20"/>
          <w:szCs w:val="20"/>
        </w:rPr>
        <w:t>yan</w:t>
      </w:r>
      <w:proofErr w:type="spellEnd"/>
      <w:r w:rsidRPr="00E868D8">
        <w:rPr>
          <w:rFonts w:ascii="Verdana" w:hAnsi="Verdana"/>
          <w:sz w:val="20"/>
          <w:szCs w:val="20"/>
        </w:rPr>
        <w:t>] tenido y poseído la tierra t</w:t>
      </w:r>
      <w:r w:rsidR="004767D4">
        <w:rPr>
          <w:rFonts w:ascii="Verdana" w:hAnsi="Verdana"/>
          <w:sz w:val="20"/>
          <w:szCs w:val="20"/>
        </w:rPr>
        <w:t>ienen</w:t>
      </w:r>
      <w:r w:rsidRPr="00E868D8">
        <w:rPr>
          <w:rFonts w:ascii="Verdana" w:hAnsi="Verdana"/>
          <w:sz w:val="20"/>
          <w:szCs w:val="20"/>
        </w:rPr>
        <w:t xml:space="preserve"> derecho de continuar poseyéndola y explotándola”, y que los terceros en tierras indígenas que no posean título alguno podr</w:t>
      </w:r>
      <w:r w:rsidR="004767D4">
        <w:rPr>
          <w:rFonts w:ascii="Verdana" w:hAnsi="Verdana"/>
          <w:sz w:val="20"/>
          <w:szCs w:val="20"/>
        </w:rPr>
        <w:t>á</w:t>
      </w:r>
      <w:r w:rsidRPr="00E868D8">
        <w:rPr>
          <w:rFonts w:ascii="Verdana" w:hAnsi="Verdana"/>
          <w:sz w:val="20"/>
          <w:szCs w:val="20"/>
        </w:rPr>
        <w:t xml:space="preserve">n negociar su presencia en la comunidad. </w:t>
      </w:r>
      <w:r>
        <w:rPr>
          <w:rFonts w:ascii="Verdana" w:hAnsi="Verdana"/>
          <w:sz w:val="20"/>
          <w:szCs w:val="20"/>
        </w:rPr>
        <w:t>En este sentido,</w:t>
      </w:r>
      <w:r w:rsidRPr="00E868D8">
        <w:rPr>
          <w:rFonts w:ascii="Verdana" w:hAnsi="Verdana"/>
          <w:sz w:val="20"/>
          <w:szCs w:val="20"/>
        </w:rPr>
        <w:t xml:space="preserve"> </w:t>
      </w:r>
      <w:r>
        <w:rPr>
          <w:rFonts w:ascii="Verdana" w:hAnsi="Verdana"/>
          <w:sz w:val="20"/>
          <w:szCs w:val="20"/>
        </w:rPr>
        <w:t xml:space="preserve">algunas disposiciones “tornan ilusorio el derecho preferente de los pueblos indígenas con base en la posesión ancestral de sus tierras, así como tampoco favorecen su derecho a la propiedad colectiva de un territorio exclusivamente indígena”. </w:t>
      </w:r>
    </w:p>
    <w:p w14:paraId="0C704B21" w14:textId="34C863A2" w:rsidR="00F02DDD" w:rsidRPr="00DC09DB" w:rsidRDefault="00F02DDD" w:rsidP="00F02DDD">
      <w:pPr>
        <w:pStyle w:val="ListParagraph"/>
        <w:numPr>
          <w:ilvl w:val="0"/>
          <w:numId w:val="17"/>
        </w:numPr>
        <w:ind w:left="0" w:hanging="11"/>
        <w:jc w:val="both"/>
        <w:rPr>
          <w:rFonts w:ascii="Verdana" w:hAnsi="Verdana"/>
          <w:sz w:val="20"/>
          <w:szCs w:val="20"/>
        </w:rPr>
      </w:pPr>
      <w:r w:rsidRPr="00DC09DB">
        <w:rPr>
          <w:rFonts w:ascii="Verdana" w:hAnsi="Verdana"/>
          <w:sz w:val="20"/>
          <w:szCs w:val="20"/>
        </w:rPr>
        <w:lastRenderedPageBreak/>
        <w:t xml:space="preserve">Los </w:t>
      </w:r>
      <w:r w:rsidRPr="00DC09DB">
        <w:rPr>
          <w:rFonts w:ascii="Verdana" w:hAnsi="Verdana"/>
          <w:b/>
          <w:i/>
          <w:sz w:val="20"/>
          <w:szCs w:val="20"/>
        </w:rPr>
        <w:t>representantes</w:t>
      </w:r>
      <w:r w:rsidRPr="00DC09DB">
        <w:rPr>
          <w:rFonts w:ascii="Verdana" w:hAnsi="Verdana"/>
          <w:sz w:val="20"/>
          <w:szCs w:val="20"/>
        </w:rPr>
        <w:t xml:space="preserve"> disintieron con lo señalado por la Comisión respecto a que la Comunidad tenía sus derechos garantizados en la legislación interna. Por el contrario, estimaron que</w:t>
      </w:r>
      <w:r w:rsidR="004767D4">
        <w:rPr>
          <w:rFonts w:ascii="Verdana" w:hAnsi="Verdana"/>
          <w:sz w:val="20"/>
          <w:szCs w:val="20"/>
        </w:rPr>
        <w:t>,</w:t>
      </w:r>
      <w:r w:rsidRPr="00DC09DB">
        <w:rPr>
          <w:rFonts w:ascii="Verdana" w:hAnsi="Verdana"/>
          <w:sz w:val="20"/>
          <w:szCs w:val="20"/>
        </w:rPr>
        <w:t xml:space="preserve"> de acuerdo a los estándares internacionales, la normativa interna no garantiza los derechos territoriales del </w:t>
      </w:r>
      <w:r w:rsidR="004767D4">
        <w:rPr>
          <w:rFonts w:ascii="Verdana" w:hAnsi="Verdana"/>
          <w:sz w:val="20"/>
          <w:szCs w:val="20"/>
        </w:rPr>
        <w:t>P</w:t>
      </w:r>
      <w:r w:rsidRPr="00DC09DB">
        <w:rPr>
          <w:rFonts w:ascii="Verdana" w:hAnsi="Verdana"/>
          <w:sz w:val="20"/>
          <w:szCs w:val="20"/>
        </w:rPr>
        <w:t xml:space="preserve">ueblo </w:t>
      </w:r>
      <w:r w:rsidR="004767D4">
        <w:rPr>
          <w:rFonts w:ascii="Verdana" w:hAnsi="Verdana"/>
          <w:sz w:val="20"/>
          <w:szCs w:val="20"/>
        </w:rPr>
        <w:t>G</w:t>
      </w:r>
      <w:r w:rsidRPr="00DC09DB">
        <w:rPr>
          <w:rFonts w:ascii="Verdana" w:hAnsi="Verdana"/>
          <w:sz w:val="20"/>
          <w:szCs w:val="20"/>
        </w:rPr>
        <w:t xml:space="preserve">arífuna e incumple con la garantía de respeto, tal es el caso de la </w:t>
      </w:r>
      <w:r w:rsidR="004767D4">
        <w:rPr>
          <w:rFonts w:ascii="Verdana" w:hAnsi="Verdana"/>
          <w:sz w:val="20"/>
          <w:szCs w:val="20"/>
        </w:rPr>
        <w:t>C</w:t>
      </w:r>
      <w:r w:rsidRPr="00DC09DB">
        <w:rPr>
          <w:rFonts w:ascii="Verdana" w:hAnsi="Verdana"/>
          <w:sz w:val="20"/>
          <w:szCs w:val="20"/>
        </w:rPr>
        <w:t xml:space="preserve">onstitución </w:t>
      </w:r>
      <w:r w:rsidR="004767D4">
        <w:rPr>
          <w:rFonts w:ascii="Verdana" w:hAnsi="Verdana"/>
          <w:sz w:val="20"/>
          <w:szCs w:val="20"/>
        </w:rPr>
        <w:t>H</w:t>
      </w:r>
      <w:r w:rsidRPr="00DC09DB">
        <w:rPr>
          <w:rFonts w:ascii="Verdana" w:hAnsi="Verdana"/>
          <w:sz w:val="20"/>
          <w:szCs w:val="20"/>
        </w:rPr>
        <w:t>ondureña que privilegia un modelo de desarrollo que excluye el modelo seguido por los pueblos indígenas De igual manera, señalaron que el artículo 92 de la Ley de Modernización y Desarrollo del Sector Agrícola de 1995 por sí sol</w:t>
      </w:r>
      <w:r w:rsidR="004767D4">
        <w:rPr>
          <w:rFonts w:ascii="Verdana" w:hAnsi="Verdana"/>
          <w:sz w:val="20"/>
          <w:szCs w:val="20"/>
        </w:rPr>
        <w:t>o</w:t>
      </w:r>
      <w:r w:rsidRPr="00DC09DB">
        <w:rPr>
          <w:rFonts w:ascii="Verdana" w:hAnsi="Verdana"/>
          <w:sz w:val="20"/>
          <w:szCs w:val="20"/>
        </w:rPr>
        <w:t>, “no garantiza[</w:t>
      </w:r>
      <w:proofErr w:type="spellStart"/>
      <w:r w:rsidRPr="00DC09DB">
        <w:rPr>
          <w:rFonts w:ascii="Verdana" w:hAnsi="Verdana"/>
          <w:sz w:val="20"/>
          <w:szCs w:val="20"/>
        </w:rPr>
        <w:t>ba</w:t>
      </w:r>
      <w:proofErr w:type="spellEnd"/>
      <w:r w:rsidRPr="00DC09DB">
        <w:rPr>
          <w:rFonts w:ascii="Verdana" w:hAnsi="Verdana"/>
          <w:sz w:val="20"/>
          <w:szCs w:val="20"/>
        </w:rPr>
        <w:t xml:space="preserve">] de forma adecuada estos derechos pues según el análisis anterior </w:t>
      </w:r>
      <w:r>
        <w:rPr>
          <w:rFonts w:ascii="Verdana" w:hAnsi="Verdana"/>
          <w:sz w:val="20"/>
          <w:szCs w:val="20"/>
        </w:rPr>
        <w:t>[era]</w:t>
      </w:r>
      <w:r w:rsidRPr="00DC09DB">
        <w:rPr>
          <w:rFonts w:ascii="Verdana" w:hAnsi="Verdana"/>
          <w:sz w:val="20"/>
          <w:szCs w:val="20"/>
        </w:rPr>
        <w:t xml:space="preserve"> insuficiente frente a la fundamentación civilista de la normativa existente”. También se alegó que la Ley de Propiedad de 2004 no fue consultada con los pueblos, sino que “solo fue sometida a un proceso de socialización” en el cual manifestaron su rechazo</w:t>
      </w:r>
      <w:r w:rsidR="004767D4">
        <w:rPr>
          <w:rFonts w:ascii="Verdana" w:hAnsi="Verdana"/>
          <w:sz w:val="20"/>
          <w:szCs w:val="20"/>
        </w:rPr>
        <w:t>; y</w:t>
      </w:r>
      <w:r w:rsidRPr="00DC09DB">
        <w:rPr>
          <w:rFonts w:ascii="Verdana" w:hAnsi="Verdana"/>
          <w:sz w:val="20"/>
          <w:szCs w:val="20"/>
        </w:rPr>
        <w:t xml:space="preserve"> afirmaron que con la existencia de esta ley sus títulos </w:t>
      </w:r>
      <w:r>
        <w:rPr>
          <w:rFonts w:ascii="Verdana" w:hAnsi="Verdana"/>
          <w:sz w:val="20"/>
          <w:szCs w:val="20"/>
        </w:rPr>
        <w:t>[eran]</w:t>
      </w:r>
      <w:r w:rsidRPr="00DC09DB">
        <w:rPr>
          <w:rFonts w:ascii="Verdana" w:hAnsi="Verdana"/>
          <w:sz w:val="20"/>
          <w:szCs w:val="20"/>
        </w:rPr>
        <w:t xml:space="preserve"> vulnerables</w:t>
      </w:r>
      <w:r w:rsidR="00270242">
        <w:rPr>
          <w:rFonts w:ascii="Verdana" w:hAnsi="Verdana"/>
          <w:sz w:val="20"/>
          <w:szCs w:val="20"/>
        </w:rPr>
        <w:t>,</w:t>
      </w:r>
      <w:r w:rsidRPr="00DC09DB">
        <w:rPr>
          <w:rFonts w:ascii="Verdana" w:hAnsi="Verdana"/>
          <w:sz w:val="20"/>
          <w:szCs w:val="20"/>
        </w:rPr>
        <w:t xml:space="preserve"> toda vez que establece fórmulas jurídicas para la </w:t>
      </w:r>
      <w:r w:rsidRPr="00BF5E31">
        <w:rPr>
          <w:rFonts w:ascii="Verdana" w:hAnsi="Verdana"/>
          <w:sz w:val="20"/>
          <w:szCs w:val="20"/>
        </w:rPr>
        <w:t>atomización</w:t>
      </w:r>
      <w:r w:rsidRPr="00DC09DB">
        <w:rPr>
          <w:rFonts w:ascii="Verdana" w:hAnsi="Verdana"/>
          <w:sz w:val="20"/>
          <w:szCs w:val="20"/>
        </w:rPr>
        <w:t xml:space="preserve"> de los territorios garífunas y permite la regularización de tierras poseídas, aun irregularmente, por terceros</w:t>
      </w:r>
      <w:r w:rsidR="004767D4">
        <w:rPr>
          <w:rFonts w:ascii="Verdana" w:hAnsi="Verdana"/>
          <w:sz w:val="20"/>
          <w:szCs w:val="20"/>
        </w:rPr>
        <w:t>,</w:t>
      </w:r>
      <w:r w:rsidRPr="00DC09DB">
        <w:rPr>
          <w:rFonts w:ascii="Verdana" w:hAnsi="Verdana"/>
          <w:sz w:val="20"/>
          <w:szCs w:val="20"/>
        </w:rPr>
        <w:t xml:space="preserve"> como el caso de los colonos de Río Miel</w:t>
      </w:r>
      <w:r w:rsidR="008A224A">
        <w:rPr>
          <w:rFonts w:ascii="Verdana" w:hAnsi="Verdana"/>
          <w:sz w:val="20"/>
          <w:szCs w:val="20"/>
        </w:rPr>
        <w:t>.</w:t>
      </w:r>
      <w:r w:rsidRPr="00DC09DB">
        <w:rPr>
          <w:rFonts w:ascii="Verdana" w:hAnsi="Verdana"/>
          <w:sz w:val="20"/>
          <w:szCs w:val="20"/>
        </w:rPr>
        <w:t xml:space="preserve"> De igual modo, indicaron que los criterios de “inalienabilidad, imprescriptibilidad e </w:t>
      </w:r>
      <w:proofErr w:type="spellStart"/>
      <w:r w:rsidRPr="00DC09DB">
        <w:rPr>
          <w:rFonts w:ascii="Verdana" w:hAnsi="Verdana"/>
          <w:sz w:val="20"/>
          <w:szCs w:val="20"/>
        </w:rPr>
        <w:t>inembargabilidad</w:t>
      </w:r>
      <w:proofErr w:type="spellEnd"/>
      <w:r w:rsidRPr="00DC09DB">
        <w:rPr>
          <w:rFonts w:ascii="Verdana" w:hAnsi="Verdana"/>
          <w:sz w:val="20"/>
          <w:szCs w:val="20"/>
        </w:rPr>
        <w:t>” reconocidos por esta ley, estaban supeditados “a la voluntad de las comunidades, pudiendo desaparecer tales criterios con la aprobación de</w:t>
      </w:r>
      <w:r w:rsidR="004767D4">
        <w:rPr>
          <w:rFonts w:ascii="Verdana" w:hAnsi="Verdana"/>
          <w:sz w:val="20"/>
          <w:szCs w:val="20"/>
        </w:rPr>
        <w:t>[,]</w:t>
      </w:r>
      <w:r w:rsidRPr="00DC09DB">
        <w:rPr>
          <w:rFonts w:ascii="Verdana" w:hAnsi="Verdana"/>
          <w:sz w:val="20"/>
          <w:szCs w:val="20"/>
        </w:rPr>
        <w:t xml:space="preserve"> por ejemplo</w:t>
      </w:r>
      <w:r w:rsidR="004767D4">
        <w:rPr>
          <w:rFonts w:ascii="Verdana" w:hAnsi="Verdana"/>
          <w:sz w:val="20"/>
          <w:szCs w:val="20"/>
        </w:rPr>
        <w:t>[,]</w:t>
      </w:r>
      <w:r w:rsidRPr="00DC09DB">
        <w:rPr>
          <w:rFonts w:ascii="Verdana" w:hAnsi="Verdana"/>
          <w:sz w:val="20"/>
          <w:szCs w:val="20"/>
        </w:rPr>
        <w:t xml:space="preserve"> una junta directiva”, lo que significa que la normativ</w:t>
      </w:r>
      <w:r>
        <w:rPr>
          <w:rFonts w:ascii="Verdana" w:hAnsi="Verdana"/>
          <w:sz w:val="20"/>
          <w:szCs w:val="20"/>
        </w:rPr>
        <w:t>a</w:t>
      </w:r>
      <w:r w:rsidRPr="00DC09DB">
        <w:rPr>
          <w:rFonts w:ascii="Verdana" w:hAnsi="Verdana"/>
          <w:sz w:val="20"/>
          <w:szCs w:val="20"/>
        </w:rPr>
        <w:t xml:space="preserve"> no garantizaba la inalienabilidad de las tierras comunales y permitía a las comunidades su libre disposición, el establecimiento de prendas o hipotecas u otros gravámenes, o el arriendo de las mismas</w:t>
      </w:r>
      <w:r w:rsidR="00A2430D" w:rsidRPr="00A0324F">
        <w:rPr>
          <w:rFonts w:ascii="Verdana" w:hAnsi="Verdana"/>
          <w:sz w:val="20"/>
          <w:szCs w:val="20"/>
        </w:rPr>
        <w:t>.</w:t>
      </w:r>
    </w:p>
    <w:p w14:paraId="0C704B22" w14:textId="77777777" w:rsidR="00F02DDD" w:rsidRDefault="00F02DDD" w:rsidP="00F02DDD">
      <w:pPr>
        <w:jc w:val="both"/>
        <w:rPr>
          <w:rFonts w:ascii="Verdana" w:hAnsi="Verdana"/>
          <w:sz w:val="20"/>
          <w:szCs w:val="20"/>
          <w:highlight w:val="red"/>
        </w:rPr>
      </w:pPr>
    </w:p>
    <w:p w14:paraId="0C704B23" w14:textId="727D25FF" w:rsidR="00F02DDD" w:rsidRPr="00E868D8" w:rsidRDefault="00F02DDD" w:rsidP="00F02DDD">
      <w:pPr>
        <w:pStyle w:val="ListParagraph"/>
        <w:numPr>
          <w:ilvl w:val="0"/>
          <w:numId w:val="17"/>
        </w:numPr>
        <w:ind w:left="0" w:hanging="11"/>
        <w:jc w:val="both"/>
        <w:rPr>
          <w:rFonts w:ascii="Verdana" w:hAnsi="Verdana"/>
          <w:sz w:val="20"/>
          <w:szCs w:val="20"/>
        </w:rPr>
      </w:pPr>
      <w:r w:rsidRPr="00E868D8">
        <w:rPr>
          <w:rFonts w:ascii="Verdana" w:hAnsi="Verdana"/>
          <w:sz w:val="20"/>
          <w:szCs w:val="20"/>
        </w:rPr>
        <w:t xml:space="preserve">El </w:t>
      </w:r>
      <w:r w:rsidRPr="00B725E4">
        <w:rPr>
          <w:rFonts w:ascii="Verdana" w:hAnsi="Verdana"/>
          <w:b/>
          <w:i/>
          <w:sz w:val="20"/>
          <w:szCs w:val="20"/>
        </w:rPr>
        <w:t>Estado</w:t>
      </w:r>
      <w:r w:rsidRPr="00E868D8">
        <w:rPr>
          <w:rFonts w:ascii="Verdana" w:hAnsi="Verdana"/>
          <w:sz w:val="20"/>
          <w:szCs w:val="20"/>
        </w:rPr>
        <w:t xml:space="preserve"> fundamentó su actuar en las diversas leyes que regulan la materia, y señaló que se ha conducido con apego al Convenio 169</w:t>
      </w:r>
      <w:r>
        <w:rPr>
          <w:rFonts w:ascii="Verdana" w:hAnsi="Verdana"/>
          <w:sz w:val="20"/>
          <w:szCs w:val="20"/>
        </w:rPr>
        <w:t xml:space="preserve"> de la OIT</w:t>
      </w:r>
      <w:r w:rsidRPr="00E868D8">
        <w:rPr>
          <w:rFonts w:ascii="Verdana" w:hAnsi="Verdana"/>
          <w:sz w:val="20"/>
          <w:szCs w:val="20"/>
        </w:rPr>
        <w:t>, del cual es parte desde 1995</w:t>
      </w:r>
      <w:r w:rsidR="00A2430D">
        <w:rPr>
          <w:rFonts w:ascii="Verdana" w:hAnsi="Verdana"/>
          <w:sz w:val="20"/>
          <w:szCs w:val="20"/>
        </w:rPr>
        <w:t xml:space="preserve">. </w:t>
      </w:r>
      <w:r>
        <w:rPr>
          <w:rFonts w:ascii="Verdana" w:hAnsi="Verdana"/>
          <w:sz w:val="20"/>
          <w:szCs w:val="20"/>
        </w:rPr>
        <w:t>Asimismo,</w:t>
      </w:r>
      <w:r w:rsidRPr="00E868D8">
        <w:rPr>
          <w:rFonts w:ascii="Verdana" w:hAnsi="Verdana"/>
          <w:sz w:val="20"/>
          <w:szCs w:val="20"/>
        </w:rPr>
        <w:t xml:space="preserve"> consideró que lo dispuesto por </w:t>
      </w:r>
      <w:r w:rsidR="00A2430D">
        <w:rPr>
          <w:rFonts w:ascii="Verdana" w:hAnsi="Verdana"/>
          <w:sz w:val="20"/>
          <w:szCs w:val="20"/>
        </w:rPr>
        <w:t xml:space="preserve">el </w:t>
      </w:r>
      <w:r w:rsidRPr="00E868D8">
        <w:rPr>
          <w:rFonts w:ascii="Verdana" w:hAnsi="Verdana"/>
          <w:sz w:val="20"/>
          <w:szCs w:val="20"/>
        </w:rPr>
        <w:t xml:space="preserve">artículo 346 constitucional, </w:t>
      </w:r>
      <w:r w:rsidR="00A2430D">
        <w:rPr>
          <w:rFonts w:ascii="Verdana" w:hAnsi="Verdana"/>
          <w:sz w:val="20"/>
          <w:szCs w:val="20"/>
        </w:rPr>
        <w:t xml:space="preserve">el artículo </w:t>
      </w:r>
      <w:r w:rsidRPr="00E868D8">
        <w:rPr>
          <w:rFonts w:ascii="Verdana" w:hAnsi="Verdana"/>
          <w:sz w:val="20"/>
          <w:szCs w:val="20"/>
        </w:rPr>
        <w:t xml:space="preserve">92 de la Ley de Modernización y Desarrollo del Sector Agrícola, así como lo previsto en el Capítulo III de la Ley de Propiedad referente al “Proceso de Regularización de la Propiedad Inmueble para Pueblos Indígenas y </w:t>
      </w:r>
      <w:proofErr w:type="spellStart"/>
      <w:r w:rsidRPr="00E868D8">
        <w:rPr>
          <w:rFonts w:ascii="Verdana" w:hAnsi="Verdana"/>
          <w:sz w:val="20"/>
          <w:szCs w:val="20"/>
        </w:rPr>
        <w:t>Afrohondureños</w:t>
      </w:r>
      <w:proofErr w:type="spellEnd"/>
      <w:r w:rsidRPr="00E868D8">
        <w:rPr>
          <w:rFonts w:ascii="Verdana" w:hAnsi="Verdana"/>
          <w:sz w:val="20"/>
          <w:szCs w:val="20"/>
        </w:rPr>
        <w:t xml:space="preserve">”, que contempla el proceso de regularización de los territorios indígenas, </w:t>
      </w:r>
      <w:r>
        <w:rPr>
          <w:rFonts w:ascii="Verdana" w:hAnsi="Verdana"/>
          <w:sz w:val="20"/>
          <w:szCs w:val="20"/>
        </w:rPr>
        <w:t>es</w:t>
      </w:r>
      <w:r w:rsidRPr="00E868D8">
        <w:rPr>
          <w:rFonts w:ascii="Verdana" w:hAnsi="Verdana"/>
          <w:sz w:val="20"/>
          <w:szCs w:val="20"/>
        </w:rPr>
        <w:t xml:space="preserve"> suficiente para garantizar los derechos territoriales</w:t>
      </w:r>
      <w:r w:rsidR="00A2430D">
        <w:rPr>
          <w:rFonts w:ascii="Verdana" w:hAnsi="Verdana"/>
          <w:sz w:val="20"/>
          <w:szCs w:val="20"/>
        </w:rPr>
        <w:t>.</w:t>
      </w:r>
      <w:r w:rsidRPr="00E868D8">
        <w:rPr>
          <w:rFonts w:ascii="Verdana" w:hAnsi="Verdana"/>
          <w:sz w:val="20"/>
          <w:szCs w:val="20"/>
        </w:rPr>
        <w:t xml:space="preserve"> Al respecto, el Estado alegó que no necesita </w:t>
      </w:r>
      <w:r>
        <w:rPr>
          <w:rFonts w:ascii="Verdana" w:hAnsi="Verdana"/>
          <w:sz w:val="20"/>
          <w:szCs w:val="20"/>
        </w:rPr>
        <w:t>ajustar</w:t>
      </w:r>
      <w:r w:rsidRPr="00E868D8">
        <w:rPr>
          <w:rFonts w:ascii="Verdana" w:hAnsi="Verdana"/>
          <w:sz w:val="20"/>
          <w:szCs w:val="20"/>
        </w:rPr>
        <w:t xml:space="preserve"> su sistema legal, ya que su legislación está debidamente</w:t>
      </w:r>
      <w:r>
        <w:rPr>
          <w:rFonts w:ascii="Verdana" w:hAnsi="Verdana"/>
          <w:sz w:val="20"/>
          <w:szCs w:val="20"/>
        </w:rPr>
        <w:t xml:space="preserve"> adecuada</w:t>
      </w:r>
      <w:r w:rsidR="00A2430D">
        <w:rPr>
          <w:rFonts w:ascii="Verdana" w:hAnsi="Verdana"/>
          <w:sz w:val="20"/>
          <w:szCs w:val="20"/>
        </w:rPr>
        <w:t xml:space="preserve"> a la Convención Americana</w:t>
      </w:r>
      <w:r w:rsidR="00A2430D" w:rsidRPr="00A0324F">
        <w:rPr>
          <w:rFonts w:ascii="Verdana" w:hAnsi="Verdana"/>
          <w:sz w:val="20"/>
          <w:szCs w:val="20"/>
        </w:rPr>
        <w:t>.</w:t>
      </w:r>
    </w:p>
    <w:p w14:paraId="0C704B24" w14:textId="77777777" w:rsidR="00F02DDD" w:rsidRDefault="00F02DDD" w:rsidP="00F02DDD">
      <w:pPr>
        <w:jc w:val="both"/>
        <w:rPr>
          <w:rFonts w:ascii="Verdana" w:hAnsi="Verdana"/>
          <w:sz w:val="20"/>
          <w:szCs w:val="20"/>
          <w:highlight w:val="red"/>
        </w:rPr>
      </w:pPr>
    </w:p>
    <w:p w14:paraId="0C704B25" w14:textId="77777777" w:rsidR="00F02DDD" w:rsidRPr="00A71698" w:rsidRDefault="00F02DDD" w:rsidP="00F02DDD">
      <w:pPr>
        <w:pStyle w:val="Heading3"/>
        <w:spacing w:before="0"/>
        <w:ind w:firstLine="360"/>
        <w:jc w:val="both"/>
        <w:rPr>
          <w:rFonts w:ascii="Verdana" w:hAnsi="Verdana"/>
          <w:i/>
          <w:color w:val="auto"/>
          <w:sz w:val="20"/>
          <w:szCs w:val="20"/>
        </w:rPr>
      </w:pPr>
      <w:bookmarkStart w:id="91" w:name="_Toc437247354"/>
      <w:r>
        <w:rPr>
          <w:rFonts w:ascii="Verdana" w:hAnsi="Verdana"/>
          <w:i/>
          <w:color w:val="auto"/>
          <w:sz w:val="20"/>
          <w:szCs w:val="20"/>
        </w:rPr>
        <w:t xml:space="preserve">C.2 </w:t>
      </w:r>
      <w:r w:rsidRPr="00A71698">
        <w:rPr>
          <w:rFonts w:ascii="Verdana" w:hAnsi="Verdana"/>
          <w:i/>
          <w:color w:val="auto"/>
          <w:sz w:val="20"/>
          <w:szCs w:val="20"/>
        </w:rPr>
        <w:t>Consideraciones de la Corte</w:t>
      </w:r>
      <w:bookmarkEnd w:id="91"/>
    </w:p>
    <w:p w14:paraId="0C704B26" w14:textId="77777777" w:rsidR="00F02DDD" w:rsidRPr="0093146C" w:rsidRDefault="00F02DDD" w:rsidP="00F02DDD">
      <w:pPr>
        <w:jc w:val="both"/>
        <w:rPr>
          <w:rFonts w:ascii="Verdana" w:hAnsi="Verdana"/>
          <w:sz w:val="20"/>
          <w:szCs w:val="20"/>
        </w:rPr>
      </w:pPr>
    </w:p>
    <w:p w14:paraId="0C704B27" w14:textId="77777777" w:rsidR="00F02DDD" w:rsidRPr="00E868D8" w:rsidRDefault="00F02DDD" w:rsidP="00F02DDD">
      <w:pPr>
        <w:pStyle w:val="ListParagraph"/>
        <w:numPr>
          <w:ilvl w:val="0"/>
          <w:numId w:val="17"/>
        </w:numPr>
        <w:ind w:left="0" w:hanging="11"/>
        <w:jc w:val="both"/>
        <w:rPr>
          <w:rFonts w:ascii="Verdana" w:hAnsi="Verdana"/>
          <w:spacing w:val="-2"/>
          <w:sz w:val="20"/>
          <w:szCs w:val="20"/>
        </w:rPr>
      </w:pPr>
      <w:r w:rsidRPr="00E868D8">
        <w:rPr>
          <w:rFonts w:ascii="Verdana" w:hAnsi="Verdana"/>
          <w:sz w:val="20"/>
          <w:szCs w:val="20"/>
        </w:rPr>
        <w:t>En relación con el artículo 2 de la Convención Americana, el Tribunal ha indicado que el mismo obliga a los Estados Parte a adoptar, con arreglo a sus procedimientos constitucionales y a las disposiciones de la Convención, las medidas legislativas o de otro carácter que fueren necesarias para hacer efectivos los derechos y libertades protegidos por la Convención</w:t>
      </w:r>
      <w:r w:rsidRPr="00E868D8">
        <w:rPr>
          <w:rStyle w:val="FootnoteReference"/>
          <w:szCs w:val="20"/>
        </w:rPr>
        <w:footnoteReference w:id="229"/>
      </w:r>
      <w:r w:rsidRPr="00E868D8">
        <w:rPr>
          <w:rFonts w:ascii="Verdana" w:hAnsi="Verdana"/>
          <w:sz w:val="20"/>
          <w:szCs w:val="20"/>
        </w:rPr>
        <w:t xml:space="preserve">. Es decir, </w:t>
      </w:r>
      <w:r w:rsidRPr="00E868D8">
        <w:rPr>
          <w:rFonts w:ascii="Verdana" w:hAnsi="Verdana"/>
          <w:spacing w:val="-2"/>
          <w:sz w:val="20"/>
          <w:szCs w:val="20"/>
        </w:rPr>
        <w:t>“[e]l deber general [derivado de este artículo] implica la adopción de medidas en dos vertientes. Por una parte, la supresión de las normas y prácticas de cualquier naturaleza que entrañen violación a las garantías previstas en la Convención. Por la otra, la expedición de normas y el desarrollo de prácticas conducentes a la efectiva observancia de dichas garantías”</w:t>
      </w:r>
      <w:r w:rsidRPr="00E868D8">
        <w:rPr>
          <w:rStyle w:val="FootnoteReference"/>
          <w:spacing w:val="-2"/>
          <w:szCs w:val="20"/>
        </w:rPr>
        <w:footnoteReference w:id="230"/>
      </w:r>
      <w:r w:rsidRPr="00E868D8">
        <w:rPr>
          <w:rFonts w:ascii="Verdana" w:hAnsi="Verdana"/>
          <w:spacing w:val="-2"/>
          <w:sz w:val="20"/>
          <w:szCs w:val="20"/>
        </w:rPr>
        <w:t>.</w:t>
      </w:r>
    </w:p>
    <w:p w14:paraId="0C704B28" w14:textId="77777777" w:rsidR="00F02DDD" w:rsidRPr="00E868D8" w:rsidRDefault="00F02DDD" w:rsidP="00F02DDD">
      <w:pPr>
        <w:jc w:val="both"/>
        <w:rPr>
          <w:rFonts w:ascii="Verdana" w:hAnsi="Verdana"/>
          <w:sz w:val="20"/>
          <w:szCs w:val="20"/>
        </w:rPr>
      </w:pPr>
    </w:p>
    <w:p w14:paraId="0C704B29" w14:textId="77777777"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lastRenderedPageBreak/>
        <w:t xml:space="preserve">En vista de los alegatos de las partes, la Corte constata que tanto la Comisión como los representantes se limitaron a señalar de manera somera y general algunas disposiciones que, según su dicho, pudieran resultar contrarias a la Convención sin haber desarrollado una mayor argumentación aplicable para el presente caso. Sin perjuicio de lo anterior, dichos alegatos tendrían relación con dos momentos: a) la legislación vigente al momento de la entrega de los títulos, y b) la legislación actual. </w:t>
      </w:r>
    </w:p>
    <w:p w14:paraId="0C704B2A" w14:textId="77777777" w:rsidR="00F02DDD" w:rsidRPr="00A71698" w:rsidRDefault="00F02DDD" w:rsidP="00F02DDD">
      <w:pPr>
        <w:pStyle w:val="ListParagraph"/>
        <w:rPr>
          <w:rFonts w:ascii="Verdana" w:hAnsi="Verdana"/>
          <w:sz w:val="20"/>
          <w:szCs w:val="20"/>
        </w:rPr>
      </w:pPr>
    </w:p>
    <w:p w14:paraId="0C704B2B" w14:textId="799996F7"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Respecto de</w:t>
      </w:r>
      <w:r w:rsidR="00E86D69">
        <w:rPr>
          <w:rFonts w:ascii="Verdana" w:hAnsi="Verdana"/>
          <w:sz w:val="20"/>
          <w:szCs w:val="20"/>
        </w:rPr>
        <w:t xml:space="preserve"> la primera, la Corte nota que </w:t>
      </w:r>
      <w:r>
        <w:rPr>
          <w:rFonts w:ascii="Verdana" w:hAnsi="Verdana"/>
          <w:sz w:val="20"/>
          <w:szCs w:val="20"/>
        </w:rPr>
        <w:t xml:space="preserve">el artículo 346 de </w:t>
      </w:r>
      <w:r w:rsidRPr="006E714A">
        <w:rPr>
          <w:rFonts w:ascii="Verdana" w:hAnsi="Verdana"/>
          <w:sz w:val="20"/>
          <w:szCs w:val="20"/>
        </w:rPr>
        <w:t xml:space="preserve">la Constitución de Honduras </w:t>
      </w:r>
      <w:r>
        <w:rPr>
          <w:rFonts w:ascii="Verdana" w:hAnsi="Verdana"/>
          <w:sz w:val="20"/>
          <w:szCs w:val="20"/>
        </w:rPr>
        <w:t>establecía la</w:t>
      </w:r>
      <w:r w:rsidRPr="006E714A">
        <w:rPr>
          <w:rFonts w:ascii="Verdana" w:hAnsi="Verdana"/>
          <w:sz w:val="20"/>
          <w:szCs w:val="20"/>
        </w:rPr>
        <w:t xml:space="preserve"> protección de los derechos e intereses de las comunidades indígenas, especialmente de las tierras y bosques donde se encuentran asentadas</w:t>
      </w:r>
      <w:r>
        <w:rPr>
          <w:rStyle w:val="FootnoteReference"/>
          <w:szCs w:val="20"/>
        </w:rPr>
        <w:footnoteReference w:id="231"/>
      </w:r>
      <w:r>
        <w:rPr>
          <w:rFonts w:ascii="Verdana" w:hAnsi="Verdana"/>
          <w:sz w:val="20"/>
          <w:szCs w:val="20"/>
        </w:rPr>
        <w:t xml:space="preserve">. </w:t>
      </w:r>
      <w:r w:rsidRPr="00012F57">
        <w:rPr>
          <w:rFonts w:ascii="Verdana" w:hAnsi="Verdana"/>
          <w:sz w:val="20"/>
          <w:szCs w:val="20"/>
        </w:rPr>
        <w:t>No obstante</w:t>
      </w:r>
      <w:r w:rsidRPr="003C103F">
        <w:rPr>
          <w:rFonts w:ascii="Verdana" w:hAnsi="Verdana"/>
          <w:sz w:val="20"/>
          <w:szCs w:val="20"/>
        </w:rPr>
        <w:t>, de la normativa regulatoria vigente</w:t>
      </w:r>
      <w:r w:rsidR="008A224A">
        <w:rPr>
          <w:rFonts w:ascii="Verdana" w:hAnsi="Verdana"/>
          <w:sz w:val="20"/>
          <w:szCs w:val="20"/>
        </w:rPr>
        <w:t xml:space="preserve"> a ese momento</w:t>
      </w:r>
      <w:r w:rsidRPr="003C103F">
        <w:rPr>
          <w:rFonts w:ascii="Verdana" w:hAnsi="Verdana"/>
          <w:sz w:val="20"/>
          <w:szCs w:val="20"/>
        </w:rPr>
        <w:t>,</w:t>
      </w:r>
      <w:r w:rsidRPr="005C0E78">
        <w:rPr>
          <w:rFonts w:ascii="Verdana" w:hAnsi="Verdana"/>
          <w:sz w:val="20"/>
          <w:szCs w:val="20"/>
        </w:rPr>
        <w:t xml:space="preserve"> </w:t>
      </w:r>
      <w:r w:rsidRPr="00012F57">
        <w:rPr>
          <w:rFonts w:ascii="Verdana" w:hAnsi="Verdana"/>
          <w:sz w:val="20"/>
          <w:szCs w:val="20"/>
        </w:rPr>
        <w:t>particularmente</w:t>
      </w:r>
      <w:r w:rsidR="00E86D69">
        <w:rPr>
          <w:rFonts w:ascii="Verdana" w:hAnsi="Verdana"/>
          <w:sz w:val="20"/>
          <w:szCs w:val="20"/>
        </w:rPr>
        <w:t xml:space="preserve"> de</w:t>
      </w:r>
      <w:r w:rsidRPr="003C103F">
        <w:rPr>
          <w:rFonts w:ascii="Verdana" w:hAnsi="Verdana"/>
          <w:sz w:val="20"/>
          <w:szCs w:val="20"/>
        </w:rPr>
        <w:t xml:space="preserve"> la Ley para la Modernización y Desarrollo del sector Agrícola</w:t>
      </w:r>
      <w:r w:rsidRPr="003C103F">
        <w:rPr>
          <w:rStyle w:val="FootnoteReference"/>
          <w:szCs w:val="20"/>
        </w:rPr>
        <w:footnoteReference w:id="232"/>
      </w:r>
      <w:r w:rsidR="00E86D69">
        <w:rPr>
          <w:rFonts w:ascii="Verdana" w:hAnsi="Verdana"/>
          <w:sz w:val="20"/>
          <w:szCs w:val="20"/>
        </w:rPr>
        <w:t>, no se desprende</w:t>
      </w:r>
      <w:r w:rsidRPr="003C103F">
        <w:rPr>
          <w:rFonts w:ascii="Verdana" w:hAnsi="Verdana"/>
          <w:sz w:val="20"/>
          <w:szCs w:val="20"/>
        </w:rPr>
        <w:t xml:space="preserve"> </w:t>
      </w:r>
      <w:r w:rsidR="00E86D69">
        <w:rPr>
          <w:rFonts w:ascii="Verdana" w:hAnsi="Verdana"/>
          <w:sz w:val="20"/>
          <w:szCs w:val="20"/>
        </w:rPr>
        <w:t>ninguna norma sustantiva específica que regule</w:t>
      </w:r>
      <w:r w:rsidRPr="003C103F">
        <w:rPr>
          <w:rFonts w:ascii="Verdana" w:hAnsi="Verdana"/>
          <w:sz w:val="20"/>
          <w:szCs w:val="20"/>
        </w:rPr>
        <w:t xml:space="preserve"> textualmente la protección de </w:t>
      </w:r>
      <w:r w:rsidRPr="005C0E78">
        <w:rPr>
          <w:rFonts w:ascii="Verdana" w:hAnsi="Verdana"/>
          <w:sz w:val="20"/>
          <w:szCs w:val="20"/>
        </w:rPr>
        <w:t xml:space="preserve">las </w:t>
      </w:r>
      <w:r w:rsidRPr="003C103F">
        <w:rPr>
          <w:rFonts w:ascii="Verdana" w:hAnsi="Verdana"/>
          <w:sz w:val="20"/>
          <w:szCs w:val="20"/>
        </w:rPr>
        <w:t xml:space="preserve">tierras colectivas indígenas frente invasiones de terceros. </w:t>
      </w:r>
    </w:p>
    <w:p w14:paraId="0C704B2C" w14:textId="77777777" w:rsidR="00E86D69" w:rsidRPr="00E86D69" w:rsidRDefault="00E86D69" w:rsidP="00E86D69">
      <w:pPr>
        <w:pStyle w:val="ListParagraph"/>
        <w:rPr>
          <w:rFonts w:ascii="Verdana" w:hAnsi="Verdana"/>
          <w:sz w:val="20"/>
          <w:szCs w:val="20"/>
        </w:rPr>
      </w:pPr>
    </w:p>
    <w:p w14:paraId="0C704B2D" w14:textId="540BDC97" w:rsidR="00F02DDD" w:rsidRPr="00E86D69" w:rsidRDefault="00F02DDD" w:rsidP="00F02DDD">
      <w:pPr>
        <w:pStyle w:val="ListParagraph"/>
        <w:numPr>
          <w:ilvl w:val="0"/>
          <w:numId w:val="17"/>
        </w:numPr>
        <w:ind w:left="0" w:hanging="11"/>
        <w:jc w:val="both"/>
        <w:rPr>
          <w:rFonts w:ascii="Verdana" w:hAnsi="Verdana"/>
          <w:sz w:val="20"/>
          <w:szCs w:val="20"/>
        </w:rPr>
      </w:pPr>
      <w:r w:rsidRPr="00E86D69">
        <w:rPr>
          <w:rFonts w:ascii="Verdana" w:hAnsi="Verdana"/>
          <w:sz w:val="20"/>
          <w:szCs w:val="20"/>
        </w:rPr>
        <w:t>Sin embargo, cabe destacar que en el título de ampliación, entre otras disposiciones, se hizo alusión expresa al artículo 14 del Convenio 169 de la OIT que dispone el deber del Estado de tomar medidas para salvaguardar el derecho de los pueblos indígenas para utilizar sus tierras “que no estén exclusivamente ocupadas por ellos, pero que hayan tenido tradicionalmente acceso para sus actividades tradicionales y de subsistencia”</w:t>
      </w:r>
      <w:r w:rsidR="00A2430D">
        <w:rPr>
          <w:rFonts w:ascii="Verdana" w:hAnsi="Verdana"/>
          <w:sz w:val="20"/>
          <w:szCs w:val="20"/>
        </w:rPr>
        <w:t xml:space="preserve"> (</w:t>
      </w:r>
      <w:r w:rsidR="00A2430D">
        <w:rPr>
          <w:rFonts w:ascii="Verdana" w:hAnsi="Verdana"/>
          <w:i/>
          <w:sz w:val="20"/>
          <w:szCs w:val="20"/>
        </w:rPr>
        <w:t xml:space="preserve">supra, </w:t>
      </w:r>
      <w:r w:rsidR="00A2430D">
        <w:rPr>
          <w:rFonts w:ascii="Verdana" w:hAnsi="Verdana"/>
          <w:sz w:val="20"/>
          <w:szCs w:val="20"/>
        </w:rPr>
        <w:t>párr. 97)</w:t>
      </w:r>
      <w:r w:rsidRPr="00E86D69">
        <w:rPr>
          <w:rFonts w:ascii="Verdana" w:hAnsi="Verdana"/>
          <w:sz w:val="20"/>
          <w:szCs w:val="20"/>
        </w:rPr>
        <w:t>. Por tanto, el Tribunal estima que, siendo que la controversia radica principalmente sobre este segundo título, las alusiones expresas del artículo 346 constituciona</w:t>
      </w:r>
      <w:r w:rsidR="00A2430D">
        <w:rPr>
          <w:rFonts w:ascii="Verdana" w:hAnsi="Verdana"/>
          <w:sz w:val="20"/>
          <w:szCs w:val="20"/>
        </w:rPr>
        <w:t>l</w:t>
      </w:r>
      <w:r w:rsidRPr="00E86D69">
        <w:rPr>
          <w:rFonts w:ascii="Verdana" w:hAnsi="Verdana"/>
          <w:i/>
          <w:sz w:val="20"/>
          <w:szCs w:val="20"/>
        </w:rPr>
        <w:t>,</w:t>
      </w:r>
      <w:r w:rsidRPr="00E86D69">
        <w:rPr>
          <w:rFonts w:ascii="Verdana" w:hAnsi="Verdana"/>
          <w:sz w:val="20"/>
          <w:szCs w:val="20"/>
        </w:rPr>
        <w:t xml:space="preserve"> de obligaciones internacionales como el artículo 14 del Convenio 169 de la OIT, así como la configuración de las Comisiones Interinstitucional</w:t>
      </w:r>
      <w:r w:rsidR="00A2430D">
        <w:rPr>
          <w:rFonts w:ascii="Verdana" w:hAnsi="Verdana"/>
          <w:sz w:val="20"/>
          <w:szCs w:val="20"/>
        </w:rPr>
        <w:t>es</w:t>
      </w:r>
      <w:r w:rsidRPr="00E86D69">
        <w:rPr>
          <w:rFonts w:ascii="Verdana" w:hAnsi="Verdana"/>
          <w:sz w:val="20"/>
          <w:szCs w:val="20"/>
        </w:rPr>
        <w:t xml:space="preserve"> Ad-hoc, representaban suficiente marco de protección para que el Estado, en el presente caso, </w:t>
      </w:r>
      <w:r w:rsidR="00A2430D">
        <w:rPr>
          <w:rFonts w:ascii="Verdana" w:hAnsi="Verdana"/>
          <w:sz w:val="20"/>
          <w:szCs w:val="20"/>
        </w:rPr>
        <w:t xml:space="preserve">protegiera y </w:t>
      </w:r>
      <w:r w:rsidRPr="00E86D69">
        <w:rPr>
          <w:rFonts w:ascii="Verdana" w:hAnsi="Verdana"/>
          <w:sz w:val="20"/>
          <w:szCs w:val="20"/>
        </w:rPr>
        <w:t>garantiza</w:t>
      </w:r>
      <w:r w:rsidR="008A224A">
        <w:rPr>
          <w:rFonts w:ascii="Verdana" w:hAnsi="Verdana"/>
          <w:sz w:val="20"/>
          <w:szCs w:val="20"/>
        </w:rPr>
        <w:t>ra</w:t>
      </w:r>
      <w:r w:rsidRPr="00E86D69">
        <w:rPr>
          <w:rFonts w:ascii="Verdana" w:hAnsi="Verdana"/>
          <w:sz w:val="20"/>
          <w:szCs w:val="20"/>
        </w:rPr>
        <w:t xml:space="preserve"> el derecho de propiedad de la Comunidad de Punta Piedra</w:t>
      </w:r>
      <w:r w:rsidR="001F2206">
        <w:rPr>
          <w:rFonts w:ascii="Verdana" w:hAnsi="Verdana"/>
          <w:sz w:val="20"/>
          <w:szCs w:val="20"/>
        </w:rPr>
        <w:t>. P</w:t>
      </w:r>
      <w:r w:rsidRPr="00E86D69">
        <w:rPr>
          <w:rFonts w:ascii="Verdana" w:hAnsi="Verdana"/>
          <w:sz w:val="20"/>
          <w:szCs w:val="20"/>
        </w:rPr>
        <w:t xml:space="preserve">or </w:t>
      </w:r>
      <w:r w:rsidR="001F2206">
        <w:rPr>
          <w:rFonts w:ascii="Verdana" w:hAnsi="Verdana"/>
          <w:sz w:val="20"/>
          <w:szCs w:val="20"/>
        </w:rPr>
        <w:t>ello,</w:t>
      </w:r>
      <w:r w:rsidRPr="00E86D69">
        <w:rPr>
          <w:rFonts w:ascii="Verdana" w:hAnsi="Verdana"/>
          <w:sz w:val="20"/>
          <w:szCs w:val="20"/>
        </w:rPr>
        <w:t xml:space="preserve"> no se demostró que se configuraría un incumplimiento por parte del Estado en relación con la normativa sustantiva vigente en ese momento, en relación con el artículo 2 de la Convención para efectos del presente caso.</w:t>
      </w:r>
    </w:p>
    <w:p w14:paraId="0C704B2E" w14:textId="77777777" w:rsidR="00F02DDD" w:rsidRPr="00E868D8" w:rsidRDefault="00F02DDD" w:rsidP="00F02DDD">
      <w:pPr>
        <w:pStyle w:val="ListParagraph"/>
        <w:ind w:left="0"/>
        <w:jc w:val="both"/>
        <w:rPr>
          <w:rFonts w:ascii="Verdana" w:hAnsi="Verdana"/>
          <w:sz w:val="20"/>
          <w:szCs w:val="20"/>
        </w:rPr>
      </w:pPr>
    </w:p>
    <w:p w14:paraId="0C704B2F" w14:textId="2D8E7001" w:rsidR="00F02DDD" w:rsidRPr="001E2C12"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Respecto de la legislación actualmente vigente, la Corte</w:t>
      </w:r>
      <w:r w:rsidRPr="006E714A">
        <w:rPr>
          <w:rFonts w:ascii="Verdana" w:hAnsi="Verdana"/>
          <w:sz w:val="20"/>
          <w:szCs w:val="20"/>
        </w:rPr>
        <w:t xml:space="preserve"> toma nota</w:t>
      </w:r>
      <w:r w:rsidR="001F2206">
        <w:rPr>
          <w:rFonts w:ascii="Verdana" w:hAnsi="Verdana"/>
          <w:sz w:val="20"/>
          <w:szCs w:val="20"/>
        </w:rPr>
        <w:t xml:space="preserve"> </w:t>
      </w:r>
      <w:r w:rsidRPr="006E714A">
        <w:rPr>
          <w:rFonts w:ascii="Verdana" w:hAnsi="Verdana"/>
          <w:sz w:val="20"/>
          <w:szCs w:val="20"/>
        </w:rPr>
        <w:t xml:space="preserve">que </w:t>
      </w:r>
      <w:r>
        <w:rPr>
          <w:rFonts w:ascii="Verdana" w:hAnsi="Verdana"/>
          <w:sz w:val="20"/>
          <w:szCs w:val="20"/>
        </w:rPr>
        <w:t>adicionalmente al mandato constitucional previamente señalado, la Ley de Propiedad de 2004</w:t>
      </w:r>
      <w:r>
        <w:rPr>
          <w:rStyle w:val="FootnoteReference"/>
          <w:szCs w:val="20"/>
        </w:rPr>
        <w:footnoteReference w:id="233"/>
      </w:r>
      <w:r>
        <w:rPr>
          <w:rFonts w:ascii="Verdana" w:hAnsi="Verdana"/>
          <w:sz w:val="20"/>
          <w:szCs w:val="20"/>
        </w:rPr>
        <w:t xml:space="preserve"> y su reglamento</w:t>
      </w:r>
      <w:r>
        <w:rPr>
          <w:rStyle w:val="FootnoteReference"/>
          <w:szCs w:val="20"/>
        </w:rPr>
        <w:footnoteReference w:id="234"/>
      </w:r>
      <w:r>
        <w:rPr>
          <w:rFonts w:ascii="Verdana" w:hAnsi="Verdana"/>
          <w:sz w:val="20"/>
          <w:szCs w:val="20"/>
        </w:rPr>
        <w:t>,</w:t>
      </w:r>
      <w:r w:rsidRPr="006E714A">
        <w:rPr>
          <w:rFonts w:ascii="Verdana" w:hAnsi="Verdana"/>
          <w:sz w:val="20"/>
          <w:szCs w:val="20"/>
        </w:rPr>
        <w:t xml:space="preserve"> reconoce</w:t>
      </w:r>
      <w:r>
        <w:rPr>
          <w:rFonts w:ascii="Verdana" w:hAnsi="Verdana"/>
          <w:sz w:val="20"/>
          <w:szCs w:val="20"/>
        </w:rPr>
        <w:t>n</w:t>
      </w:r>
      <w:r w:rsidRPr="006E714A">
        <w:rPr>
          <w:rFonts w:ascii="Verdana" w:hAnsi="Verdana"/>
          <w:sz w:val="20"/>
          <w:szCs w:val="20"/>
        </w:rPr>
        <w:t xml:space="preserve"> expresamente el régimen comunal de las tierras indígenas con el carácter de inalienable, inembargable e imprescriptible, así como la importancia que para las culturas y valores espirituales revi</w:t>
      </w:r>
      <w:r>
        <w:rPr>
          <w:rFonts w:ascii="Verdana" w:hAnsi="Verdana"/>
          <w:sz w:val="20"/>
          <w:szCs w:val="20"/>
        </w:rPr>
        <w:t xml:space="preserve">ste su relación con las tierras. </w:t>
      </w:r>
      <w:r w:rsidRPr="00ED7CCB">
        <w:rPr>
          <w:rFonts w:ascii="Verdana" w:hAnsi="Verdana"/>
          <w:sz w:val="20"/>
          <w:szCs w:val="20"/>
        </w:rPr>
        <w:t>Asimismo</w:t>
      </w:r>
      <w:r w:rsidRPr="008A224A">
        <w:rPr>
          <w:rFonts w:ascii="Verdana" w:hAnsi="Verdana"/>
          <w:sz w:val="20"/>
          <w:szCs w:val="20"/>
        </w:rPr>
        <w:t xml:space="preserve">, </w:t>
      </w:r>
      <w:r w:rsidR="0086236B" w:rsidRPr="008A224A">
        <w:rPr>
          <w:rFonts w:ascii="Verdana" w:hAnsi="Verdana"/>
          <w:sz w:val="20"/>
          <w:szCs w:val="20"/>
        </w:rPr>
        <w:t>Honduras ratificó en 1994 el Convenio 169 de la OIT</w:t>
      </w:r>
      <w:r w:rsidR="0086236B" w:rsidRPr="008A224A">
        <w:rPr>
          <w:rFonts w:ascii="Verdana" w:hAnsi="Verdana"/>
          <w:sz w:val="20"/>
          <w:szCs w:val="20"/>
          <w:vertAlign w:val="superscript"/>
        </w:rPr>
        <w:footnoteReference w:id="235"/>
      </w:r>
      <w:r w:rsidR="0086236B" w:rsidRPr="008A224A">
        <w:rPr>
          <w:rFonts w:ascii="Verdana" w:hAnsi="Verdana"/>
          <w:sz w:val="20"/>
          <w:szCs w:val="20"/>
        </w:rPr>
        <w:t>, el cual entró en vigencia en 1995,</w:t>
      </w:r>
      <w:r w:rsidR="00EE0A67" w:rsidRPr="008A224A">
        <w:rPr>
          <w:rFonts w:ascii="Verdana" w:hAnsi="Verdana"/>
          <w:sz w:val="20"/>
          <w:szCs w:val="20"/>
        </w:rPr>
        <w:t xml:space="preserve"> </w:t>
      </w:r>
      <w:r w:rsidRPr="008A224A">
        <w:rPr>
          <w:rFonts w:ascii="Verdana" w:hAnsi="Verdana"/>
          <w:sz w:val="20"/>
          <w:szCs w:val="20"/>
        </w:rPr>
        <w:t xml:space="preserve">y votó a favor de </w:t>
      </w:r>
      <w:r w:rsidR="0086236B" w:rsidRPr="008A224A">
        <w:rPr>
          <w:rFonts w:ascii="Verdana" w:hAnsi="Verdana"/>
          <w:sz w:val="20"/>
          <w:szCs w:val="20"/>
        </w:rPr>
        <w:t>la Declaración de UN sobre Pueblos Indígenas en la Asamblea General de la ONU en 2007</w:t>
      </w:r>
      <w:r w:rsidR="0086236B" w:rsidRPr="00A0324F">
        <w:rPr>
          <w:rFonts w:ascii="Verdana" w:hAnsi="Verdana"/>
          <w:sz w:val="20"/>
          <w:szCs w:val="20"/>
        </w:rPr>
        <w:t>.</w:t>
      </w:r>
      <w:r w:rsidRPr="008A224A">
        <w:rPr>
          <w:rFonts w:ascii="Verdana" w:hAnsi="Verdana"/>
          <w:sz w:val="20"/>
          <w:szCs w:val="20"/>
        </w:rPr>
        <w:t xml:space="preserve"> No</w:t>
      </w:r>
      <w:r>
        <w:rPr>
          <w:rFonts w:ascii="Verdana" w:hAnsi="Verdana"/>
          <w:sz w:val="20"/>
          <w:szCs w:val="20"/>
        </w:rPr>
        <w:t xml:space="preserve"> obstante, si bien, los </w:t>
      </w:r>
      <w:r>
        <w:rPr>
          <w:rFonts w:ascii="Verdana" w:hAnsi="Verdana"/>
          <w:sz w:val="20"/>
          <w:szCs w:val="20"/>
        </w:rPr>
        <w:lastRenderedPageBreak/>
        <w:t xml:space="preserve">representantes y la Comisión señalaron algunos artículos de la Ley de Propiedad que podrían presentar ambigüedades o inconsistencias, la </w:t>
      </w:r>
      <w:r w:rsidRPr="006E714A">
        <w:rPr>
          <w:rFonts w:ascii="Verdana" w:hAnsi="Verdana"/>
          <w:sz w:val="20"/>
          <w:szCs w:val="20"/>
        </w:rPr>
        <w:t xml:space="preserve">Corte nota que </w:t>
      </w:r>
      <w:r>
        <w:rPr>
          <w:rFonts w:ascii="Verdana" w:hAnsi="Verdana"/>
          <w:sz w:val="20"/>
          <w:szCs w:val="20"/>
        </w:rPr>
        <w:t xml:space="preserve">ninguna disposición de dicha normativa </w:t>
      </w:r>
      <w:r w:rsidRPr="006E714A">
        <w:rPr>
          <w:rFonts w:ascii="Verdana" w:hAnsi="Verdana"/>
          <w:sz w:val="20"/>
          <w:szCs w:val="20"/>
        </w:rPr>
        <w:t>ha sido aplicada al caso concreto</w:t>
      </w:r>
      <w:r>
        <w:rPr>
          <w:rFonts w:ascii="Verdana" w:hAnsi="Verdana"/>
          <w:sz w:val="20"/>
          <w:szCs w:val="20"/>
        </w:rPr>
        <w:t>,</w:t>
      </w:r>
      <w:r w:rsidRPr="006E714A">
        <w:rPr>
          <w:rFonts w:ascii="Verdana" w:hAnsi="Verdana"/>
          <w:sz w:val="20"/>
          <w:szCs w:val="20"/>
        </w:rPr>
        <w:t xml:space="preserve"> por lo que no corresponde u</w:t>
      </w:r>
      <w:r>
        <w:rPr>
          <w:rFonts w:ascii="Verdana" w:hAnsi="Verdana"/>
          <w:sz w:val="20"/>
          <w:szCs w:val="20"/>
        </w:rPr>
        <w:t xml:space="preserve">n pronunciamiento en abstracto. Además, la Corte advierte que no se pronunciará respecto del alegato de los representantes y la Comisión sobre la falta de consulta de la Ley de Propiedad y su supuesta “socialización”, siendo que no se brindó argumentación suficiente ni pruebas al respecto. </w:t>
      </w:r>
    </w:p>
    <w:p w14:paraId="0C704B30" w14:textId="77777777" w:rsidR="00F02DDD" w:rsidRPr="0093146C" w:rsidRDefault="00F02DDD" w:rsidP="00F02DDD">
      <w:pPr>
        <w:pStyle w:val="ListParagraph"/>
        <w:rPr>
          <w:rFonts w:ascii="Verdana" w:hAnsi="Verdana"/>
          <w:sz w:val="20"/>
          <w:szCs w:val="20"/>
        </w:rPr>
      </w:pPr>
    </w:p>
    <w:p w14:paraId="0C704B31" w14:textId="558DE386" w:rsidR="00F02DDD" w:rsidRPr="00BF0B7E" w:rsidRDefault="00F02DDD" w:rsidP="00F02DDD">
      <w:pPr>
        <w:pStyle w:val="ListParagraph"/>
        <w:numPr>
          <w:ilvl w:val="0"/>
          <w:numId w:val="17"/>
        </w:numPr>
        <w:ind w:left="0" w:hanging="11"/>
        <w:jc w:val="both"/>
        <w:rPr>
          <w:rFonts w:ascii="Verdana" w:hAnsi="Verdana"/>
          <w:sz w:val="20"/>
          <w:szCs w:val="20"/>
        </w:rPr>
      </w:pPr>
      <w:r w:rsidRPr="00E868D8">
        <w:rPr>
          <w:rFonts w:ascii="Verdana" w:hAnsi="Verdana"/>
          <w:sz w:val="20"/>
          <w:szCs w:val="20"/>
        </w:rPr>
        <w:t xml:space="preserve">En </w:t>
      </w:r>
      <w:r>
        <w:rPr>
          <w:rFonts w:ascii="Verdana" w:hAnsi="Verdana"/>
          <w:sz w:val="20"/>
          <w:szCs w:val="20"/>
        </w:rPr>
        <w:t>vista de lo anterior</w:t>
      </w:r>
      <w:r w:rsidRPr="00E868D8">
        <w:rPr>
          <w:rFonts w:ascii="Verdana" w:hAnsi="Verdana"/>
          <w:sz w:val="20"/>
          <w:szCs w:val="20"/>
        </w:rPr>
        <w:t xml:space="preserve">, el Tribunal considera que </w:t>
      </w:r>
      <w:r>
        <w:rPr>
          <w:rFonts w:ascii="Verdana" w:hAnsi="Verdana"/>
          <w:sz w:val="20"/>
          <w:szCs w:val="20"/>
        </w:rPr>
        <w:t>no cuenta con elementos concretos y consistentes para analizar la supuesta incompatibilidad de dicha normativa, por lo que</w:t>
      </w:r>
      <w:r w:rsidR="001F2206">
        <w:rPr>
          <w:rFonts w:ascii="Verdana" w:hAnsi="Verdana"/>
          <w:sz w:val="20"/>
          <w:szCs w:val="20"/>
        </w:rPr>
        <w:t>, para efectos del presente caso,</w:t>
      </w:r>
      <w:r>
        <w:rPr>
          <w:rFonts w:ascii="Verdana" w:hAnsi="Verdana"/>
          <w:sz w:val="20"/>
          <w:szCs w:val="20"/>
        </w:rPr>
        <w:t xml:space="preserve"> no se demostró una violación directa por parte de la legislación sustantiva aplicable en la materia, en relación con el artículo 2 de la Convención Americana, en conexión con los artículos 1.1 y 21 de la misma. Sin embargo, la Corte advierte la relevancia de la debida interpretación de la legislación y aplicación del control de convencionalidad, a la luz de la </w:t>
      </w:r>
      <w:r w:rsidRPr="00A71698">
        <w:rPr>
          <w:rFonts w:ascii="Verdana" w:hAnsi="Verdana"/>
          <w:sz w:val="20"/>
          <w:szCs w:val="20"/>
        </w:rPr>
        <w:t xml:space="preserve">jurisprudencia de la Corte y estándares internacionales aplicables, a fin de garantizar los derechos de </w:t>
      </w:r>
      <w:r w:rsidR="008A224A">
        <w:rPr>
          <w:rFonts w:ascii="Verdana" w:hAnsi="Verdana"/>
          <w:sz w:val="20"/>
          <w:szCs w:val="20"/>
        </w:rPr>
        <w:t xml:space="preserve">la </w:t>
      </w:r>
      <w:r w:rsidRPr="00A71698">
        <w:rPr>
          <w:rFonts w:ascii="Verdana" w:hAnsi="Verdana"/>
          <w:sz w:val="20"/>
          <w:szCs w:val="20"/>
        </w:rPr>
        <w:t>propiedad colectiva</w:t>
      </w:r>
      <w:r w:rsidR="008A224A">
        <w:rPr>
          <w:rFonts w:ascii="Verdana" w:hAnsi="Verdana"/>
          <w:sz w:val="20"/>
          <w:szCs w:val="20"/>
        </w:rPr>
        <w:t xml:space="preserve"> indígena y tribal</w:t>
      </w:r>
      <w:r w:rsidRPr="00A71698">
        <w:rPr>
          <w:rFonts w:ascii="Verdana" w:hAnsi="Verdana"/>
          <w:sz w:val="20"/>
          <w:szCs w:val="20"/>
        </w:rPr>
        <w:t xml:space="preserve">.  </w:t>
      </w:r>
    </w:p>
    <w:p w14:paraId="0C704B32" w14:textId="77777777" w:rsidR="00F02DDD" w:rsidRPr="00BF0B7E" w:rsidRDefault="00F02DDD" w:rsidP="00F02DDD">
      <w:pPr>
        <w:pStyle w:val="ListParagraph"/>
        <w:ind w:left="0"/>
        <w:jc w:val="both"/>
        <w:rPr>
          <w:rFonts w:ascii="Verdana" w:hAnsi="Verdana"/>
          <w:sz w:val="20"/>
          <w:szCs w:val="20"/>
        </w:rPr>
      </w:pPr>
    </w:p>
    <w:p w14:paraId="0C704B33" w14:textId="77777777" w:rsidR="00F02DDD" w:rsidRPr="007172F0" w:rsidRDefault="00F02DDD" w:rsidP="00F02DDD">
      <w:pPr>
        <w:pStyle w:val="Heading2"/>
        <w:numPr>
          <w:ilvl w:val="0"/>
          <w:numId w:val="14"/>
        </w:numPr>
        <w:spacing w:before="0"/>
        <w:jc w:val="both"/>
        <w:rPr>
          <w:rFonts w:ascii="Verdana" w:hAnsi="Verdana"/>
          <w:i/>
          <w:color w:val="auto"/>
          <w:sz w:val="20"/>
          <w:szCs w:val="20"/>
        </w:rPr>
      </w:pPr>
      <w:bookmarkStart w:id="92" w:name="_Toc437247355"/>
      <w:r w:rsidRPr="007172F0">
        <w:rPr>
          <w:rFonts w:ascii="Verdana" w:eastAsia="Calibri" w:hAnsi="Verdana"/>
          <w:i/>
          <w:color w:val="auto"/>
          <w:sz w:val="20"/>
          <w:szCs w:val="20"/>
          <w:lang w:eastAsia="es-ES"/>
        </w:rPr>
        <w:t xml:space="preserve">La </w:t>
      </w:r>
      <w:r w:rsidRPr="007172F0">
        <w:rPr>
          <w:rFonts w:ascii="Verdana" w:hAnsi="Verdana"/>
          <w:i/>
          <w:color w:val="auto"/>
          <w:sz w:val="20"/>
          <w:szCs w:val="20"/>
        </w:rPr>
        <w:t>obligación</w:t>
      </w:r>
      <w:r w:rsidRPr="007172F0">
        <w:rPr>
          <w:rFonts w:ascii="Verdana" w:eastAsia="Calibri" w:hAnsi="Verdana"/>
          <w:i/>
          <w:color w:val="auto"/>
          <w:sz w:val="20"/>
          <w:szCs w:val="20"/>
          <w:lang w:eastAsia="es-ES"/>
        </w:rPr>
        <w:t xml:space="preserve"> de garantizar el derecho a la consulta</w:t>
      </w:r>
      <w:r>
        <w:rPr>
          <w:rFonts w:ascii="Verdana" w:eastAsia="Calibri" w:hAnsi="Verdana"/>
          <w:i/>
          <w:color w:val="auto"/>
          <w:sz w:val="20"/>
          <w:szCs w:val="20"/>
          <w:lang w:eastAsia="es-ES"/>
        </w:rPr>
        <w:t xml:space="preserve"> e identidad cultural</w:t>
      </w:r>
      <w:bookmarkEnd w:id="92"/>
    </w:p>
    <w:p w14:paraId="0C704B34" w14:textId="77777777" w:rsidR="00F02DDD" w:rsidRPr="00BF0B7E" w:rsidRDefault="00F02DDD" w:rsidP="00F02DDD">
      <w:pPr>
        <w:jc w:val="both"/>
        <w:rPr>
          <w:rFonts w:ascii="Verdana" w:hAnsi="Verdana"/>
          <w:sz w:val="20"/>
          <w:szCs w:val="20"/>
          <w:highlight w:val="red"/>
        </w:rPr>
      </w:pPr>
    </w:p>
    <w:p w14:paraId="0C704B35" w14:textId="3F5E7E2C" w:rsidR="00F02DDD" w:rsidRPr="00A71698" w:rsidRDefault="00F02DDD" w:rsidP="00F02DDD">
      <w:pPr>
        <w:pStyle w:val="Heading3"/>
        <w:spacing w:before="0"/>
        <w:ind w:left="720"/>
        <w:jc w:val="both"/>
        <w:rPr>
          <w:rFonts w:ascii="Verdana" w:hAnsi="Verdana"/>
          <w:i/>
          <w:color w:val="auto"/>
          <w:sz w:val="20"/>
          <w:szCs w:val="20"/>
        </w:rPr>
      </w:pPr>
      <w:bookmarkStart w:id="93" w:name="_Toc437247356"/>
      <w:r>
        <w:rPr>
          <w:rFonts w:ascii="Verdana" w:hAnsi="Verdana"/>
          <w:i/>
          <w:color w:val="auto"/>
          <w:sz w:val="20"/>
          <w:szCs w:val="20"/>
        </w:rPr>
        <w:t xml:space="preserve">D.1 </w:t>
      </w:r>
      <w:r w:rsidRPr="00A71698">
        <w:rPr>
          <w:rFonts w:ascii="Verdana" w:hAnsi="Verdana"/>
          <w:i/>
          <w:color w:val="auto"/>
          <w:sz w:val="20"/>
          <w:szCs w:val="20"/>
        </w:rPr>
        <w:t>Argumentos de la</w:t>
      </w:r>
      <w:r w:rsidR="000634F2">
        <w:rPr>
          <w:rFonts w:ascii="Verdana" w:hAnsi="Verdana"/>
          <w:i/>
          <w:color w:val="auto"/>
          <w:sz w:val="20"/>
          <w:szCs w:val="20"/>
        </w:rPr>
        <w:t>s partes y de la</w:t>
      </w:r>
      <w:r w:rsidRPr="00A71698">
        <w:rPr>
          <w:rFonts w:ascii="Verdana" w:hAnsi="Verdana"/>
          <w:i/>
          <w:color w:val="auto"/>
          <w:sz w:val="20"/>
          <w:szCs w:val="20"/>
        </w:rPr>
        <w:t xml:space="preserve"> Comisión</w:t>
      </w:r>
      <w:bookmarkEnd w:id="93"/>
    </w:p>
    <w:p w14:paraId="0C704B36" w14:textId="77777777" w:rsidR="00F02DDD" w:rsidRPr="00BF0B7E" w:rsidRDefault="00F02DDD" w:rsidP="00F02DDD">
      <w:pPr>
        <w:pStyle w:val="ListParagraph"/>
        <w:ind w:left="0"/>
        <w:jc w:val="both"/>
        <w:rPr>
          <w:rFonts w:ascii="Verdana" w:hAnsi="Verdana"/>
          <w:sz w:val="20"/>
          <w:szCs w:val="20"/>
        </w:rPr>
      </w:pPr>
    </w:p>
    <w:p w14:paraId="0C704B37" w14:textId="764AF50C" w:rsidR="00F02DDD" w:rsidRPr="00A71698"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Los </w:t>
      </w:r>
      <w:r w:rsidRPr="00A71698">
        <w:rPr>
          <w:rFonts w:ascii="Verdana" w:hAnsi="Verdana"/>
          <w:b/>
          <w:i/>
          <w:sz w:val="20"/>
          <w:szCs w:val="20"/>
        </w:rPr>
        <w:t>representantes</w:t>
      </w:r>
      <w:r w:rsidRPr="00A71698">
        <w:rPr>
          <w:rFonts w:ascii="Verdana" w:hAnsi="Verdana"/>
          <w:sz w:val="20"/>
          <w:szCs w:val="20"/>
        </w:rPr>
        <w:t xml:space="preserve"> argumentaron que la empresa Corporación </w:t>
      </w:r>
      <w:proofErr w:type="spellStart"/>
      <w:r w:rsidRPr="00A71698">
        <w:rPr>
          <w:rFonts w:ascii="Verdana" w:hAnsi="Verdana"/>
          <w:sz w:val="20"/>
          <w:szCs w:val="20"/>
        </w:rPr>
        <w:t>Caxina</w:t>
      </w:r>
      <w:proofErr w:type="spellEnd"/>
      <w:r w:rsidRPr="00A71698">
        <w:rPr>
          <w:rFonts w:ascii="Verdana" w:hAnsi="Verdana"/>
          <w:sz w:val="20"/>
          <w:szCs w:val="20"/>
        </w:rPr>
        <w:t xml:space="preserve"> S.A. ha estado realizando actividades con miras a la extracción minera no metálica en una zona concesionada que comprende áreas tituladas y ancestrales de las comunidades de Punta Piedra y </w:t>
      </w:r>
      <w:proofErr w:type="spellStart"/>
      <w:r w:rsidRPr="00A71698">
        <w:rPr>
          <w:rFonts w:ascii="Verdana" w:hAnsi="Verdana"/>
          <w:sz w:val="20"/>
          <w:szCs w:val="20"/>
        </w:rPr>
        <w:t>Cusuna</w:t>
      </w:r>
      <w:proofErr w:type="spellEnd"/>
      <w:r w:rsidRPr="00A71698">
        <w:rPr>
          <w:rFonts w:ascii="Verdana" w:hAnsi="Verdana"/>
          <w:sz w:val="20"/>
          <w:szCs w:val="20"/>
        </w:rPr>
        <w:t xml:space="preserve">. Al respecto, añaden que las actividades se han realizado con el aval del Estado pero sin haberse realizado un proceso de consulta previa, libre e informada </w:t>
      </w:r>
      <w:r w:rsidR="008A224A">
        <w:rPr>
          <w:rFonts w:ascii="Verdana" w:hAnsi="Verdana"/>
          <w:sz w:val="20"/>
          <w:szCs w:val="20"/>
        </w:rPr>
        <w:t>con</w:t>
      </w:r>
      <w:r w:rsidRPr="00A71698">
        <w:rPr>
          <w:rFonts w:ascii="Verdana" w:hAnsi="Verdana"/>
          <w:sz w:val="20"/>
          <w:szCs w:val="20"/>
        </w:rPr>
        <w:t xml:space="preserve"> la comunidad. Además, señalaron que la empresa minera ha realizado actividades de exploración sin existir </w:t>
      </w:r>
      <w:r w:rsidR="008A224A">
        <w:rPr>
          <w:rFonts w:ascii="Verdana" w:hAnsi="Verdana"/>
          <w:sz w:val="20"/>
          <w:szCs w:val="20"/>
        </w:rPr>
        <w:t>un</w:t>
      </w:r>
      <w:r w:rsidRPr="00A71698">
        <w:rPr>
          <w:rFonts w:ascii="Verdana" w:hAnsi="Verdana"/>
          <w:sz w:val="20"/>
          <w:szCs w:val="20"/>
        </w:rPr>
        <w:t xml:space="preserve"> estudio de impacto ambiental.</w:t>
      </w:r>
    </w:p>
    <w:p w14:paraId="0C704B38" w14:textId="77777777" w:rsidR="00F02DDD" w:rsidRPr="00BF0B7E" w:rsidRDefault="00F02DDD" w:rsidP="00F02DDD">
      <w:pPr>
        <w:pStyle w:val="ListParagraph"/>
        <w:ind w:left="0"/>
        <w:jc w:val="both"/>
        <w:rPr>
          <w:rFonts w:ascii="Verdana" w:hAnsi="Verdana"/>
          <w:sz w:val="20"/>
          <w:szCs w:val="20"/>
        </w:rPr>
      </w:pPr>
    </w:p>
    <w:p w14:paraId="0C704B39" w14:textId="23B128A2" w:rsidR="00F02DDD" w:rsidRPr="00A71698"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Al respecto, la </w:t>
      </w:r>
      <w:r w:rsidRPr="00A71698">
        <w:rPr>
          <w:rFonts w:ascii="Verdana" w:hAnsi="Verdana"/>
          <w:b/>
          <w:i/>
          <w:sz w:val="20"/>
          <w:szCs w:val="20"/>
        </w:rPr>
        <w:t>Comisión</w:t>
      </w:r>
      <w:r w:rsidRPr="00A71698">
        <w:rPr>
          <w:rFonts w:ascii="Verdana" w:hAnsi="Verdana"/>
          <w:sz w:val="20"/>
          <w:szCs w:val="20"/>
        </w:rPr>
        <w:t xml:space="preserve"> observó </w:t>
      </w:r>
      <w:r w:rsidRPr="00A71698">
        <w:rPr>
          <w:rFonts w:ascii="Verdana" w:hAnsi="Verdana" w:cs="Arial"/>
          <w:sz w:val="20"/>
          <w:szCs w:val="20"/>
        </w:rPr>
        <w:t>con</w:t>
      </w:r>
      <w:r w:rsidRPr="00A71698">
        <w:rPr>
          <w:rFonts w:ascii="Verdana" w:hAnsi="Verdana"/>
          <w:sz w:val="20"/>
          <w:szCs w:val="20"/>
        </w:rPr>
        <w:t xml:space="preserve"> </w:t>
      </w:r>
      <w:r w:rsidRPr="00A71698">
        <w:rPr>
          <w:rFonts w:ascii="Verdana" w:hAnsi="Verdana" w:cs="Arial"/>
          <w:sz w:val="20"/>
          <w:szCs w:val="20"/>
        </w:rPr>
        <w:t xml:space="preserve">preocupación que el 4 de diciembre de 2014 la Corporación Minera </w:t>
      </w:r>
      <w:proofErr w:type="spellStart"/>
      <w:r w:rsidRPr="00A71698">
        <w:rPr>
          <w:rFonts w:ascii="Verdana" w:hAnsi="Verdana" w:cs="Arial"/>
          <w:sz w:val="20"/>
          <w:szCs w:val="20"/>
        </w:rPr>
        <w:t>Caxina</w:t>
      </w:r>
      <w:proofErr w:type="spellEnd"/>
      <w:r w:rsidRPr="00A71698">
        <w:rPr>
          <w:rFonts w:ascii="Verdana" w:hAnsi="Verdana" w:cs="Arial"/>
          <w:sz w:val="20"/>
          <w:szCs w:val="20"/>
        </w:rPr>
        <w:t xml:space="preserve"> habría recibido los derechos mineros de exploración en una zona que incluía parte del territorio tradicional de la Comunidad de Punta Piedra. A ello sumaron que dicha autorización de explotación minera, la cual ya estaba inscrita ante el Instituto de Geología </w:t>
      </w:r>
      <w:r w:rsidRPr="00A71698">
        <w:rPr>
          <w:rFonts w:ascii="Verdana" w:hAnsi="Verdana"/>
          <w:sz w:val="20"/>
          <w:szCs w:val="20"/>
        </w:rPr>
        <w:t xml:space="preserve">y </w:t>
      </w:r>
      <w:r w:rsidRPr="00A71698">
        <w:rPr>
          <w:rFonts w:ascii="Verdana" w:hAnsi="Verdana" w:cs="Arial"/>
          <w:sz w:val="20"/>
          <w:szCs w:val="20"/>
        </w:rPr>
        <w:t>Minas de Honduras, se llevó a cabo sin ningún tipo de consulta con la Comunidad. De esta forma, la Comisión consideró que esta situación reflejaba la continuidad de acciones y omisiones del Estado que afectaron la propiedad colectiva de la Comunidad Garífuna de Punta Piedr</w:t>
      </w:r>
      <w:r w:rsidRPr="000634F2">
        <w:rPr>
          <w:rFonts w:ascii="Verdana" w:hAnsi="Verdana" w:cs="Arial"/>
          <w:sz w:val="20"/>
          <w:szCs w:val="20"/>
        </w:rPr>
        <w:t>a</w:t>
      </w:r>
      <w:r w:rsidR="0086236B" w:rsidRPr="00A0324F">
        <w:rPr>
          <w:rFonts w:ascii="Verdana" w:hAnsi="Verdana" w:cs="Arial"/>
          <w:sz w:val="20"/>
          <w:szCs w:val="20"/>
        </w:rPr>
        <w:t>.</w:t>
      </w:r>
    </w:p>
    <w:p w14:paraId="0C704B3A" w14:textId="77777777" w:rsidR="00F02DDD" w:rsidRPr="00A71698" w:rsidRDefault="00F02DDD" w:rsidP="00F02DDD">
      <w:pPr>
        <w:pStyle w:val="ListParagraph"/>
        <w:rPr>
          <w:rFonts w:ascii="Verdana" w:hAnsi="Verdana" w:cs="Arial"/>
          <w:sz w:val="20"/>
          <w:szCs w:val="20"/>
        </w:rPr>
      </w:pPr>
    </w:p>
    <w:p w14:paraId="0C704B3B" w14:textId="14B03E11" w:rsidR="00F02DDD" w:rsidRPr="00BF0B7E"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cs="Arial"/>
          <w:sz w:val="20"/>
          <w:szCs w:val="20"/>
        </w:rPr>
        <w:t xml:space="preserve">Por su parte, el </w:t>
      </w:r>
      <w:r w:rsidRPr="00A71698">
        <w:rPr>
          <w:rFonts w:ascii="Verdana" w:hAnsi="Verdana" w:cs="Arial"/>
          <w:b/>
          <w:i/>
          <w:sz w:val="20"/>
          <w:szCs w:val="20"/>
        </w:rPr>
        <w:t>Estado</w:t>
      </w:r>
      <w:r w:rsidRPr="00A71698">
        <w:rPr>
          <w:rFonts w:ascii="Verdana" w:hAnsi="Verdana" w:cs="Arial"/>
          <w:sz w:val="20"/>
          <w:szCs w:val="20"/>
        </w:rPr>
        <w:t xml:space="preserve"> afirmó que </w:t>
      </w:r>
      <w:r w:rsidRPr="00A71698">
        <w:rPr>
          <w:rFonts w:ascii="Verdana" w:hAnsi="Verdana"/>
          <w:sz w:val="20"/>
          <w:szCs w:val="20"/>
        </w:rPr>
        <w:t>la supuesta concesión minera, se encontraba en una etapa de</w:t>
      </w:r>
      <w:r w:rsidRPr="00A71698">
        <w:rPr>
          <w:rFonts w:ascii="Verdana" w:hAnsi="Verdana" w:cs="Arial"/>
          <w:sz w:val="20"/>
          <w:szCs w:val="20"/>
        </w:rPr>
        <w:t xml:space="preserve"> </w:t>
      </w:r>
      <w:r w:rsidRPr="00A71698">
        <w:rPr>
          <w:rFonts w:ascii="Verdana" w:hAnsi="Verdana"/>
          <w:sz w:val="20"/>
          <w:szCs w:val="20"/>
        </w:rPr>
        <w:t xml:space="preserve">exploración y recolección de información para constatar la factibilidad del proyecto. </w:t>
      </w:r>
      <w:r w:rsidR="000634F2">
        <w:rPr>
          <w:rFonts w:ascii="Verdana" w:hAnsi="Verdana"/>
          <w:sz w:val="20"/>
          <w:szCs w:val="20"/>
        </w:rPr>
        <w:t>En este sentido</w:t>
      </w:r>
      <w:r w:rsidRPr="00A71698">
        <w:rPr>
          <w:rFonts w:ascii="Verdana" w:hAnsi="Verdana"/>
          <w:sz w:val="20"/>
          <w:szCs w:val="20"/>
        </w:rPr>
        <w:t xml:space="preserve">, la exploración realizada por la empresa concluyó que el cuerpo mineralizado de 4.9 </w:t>
      </w:r>
      <w:r w:rsidR="00B6463D">
        <w:rPr>
          <w:rFonts w:ascii="Verdana" w:hAnsi="Verdana"/>
          <w:sz w:val="20"/>
          <w:szCs w:val="20"/>
        </w:rPr>
        <w:t>ha</w:t>
      </w:r>
      <w:r w:rsidRPr="00A71698">
        <w:rPr>
          <w:rFonts w:ascii="Verdana" w:hAnsi="Verdana"/>
          <w:sz w:val="20"/>
          <w:szCs w:val="20"/>
        </w:rPr>
        <w:t xml:space="preserve"> que pretenderían eventualmente extraer, </w:t>
      </w:r>
      <w:r w:rsidR="008A224A">
        <w:rPr>
          <w:rFonts w:ascii="Verdana" w:hAnsi="Verdana"/>
          <w:sz w:val="20"/>
          <w:szCs w:val="20"/>
        </w:rPr>
        <w:t xml:space="preserve">y </w:t>
      </w:r>
      <w:r w:rsidRPr="00A71698">
        <w:rPr>
          <w:rFonts w:ascii="Verdana" w:hAnsi="Verdana"/>
          <w:sz w:val="20"/>
          <w:szCs w:val="20"/>
        </w:rPr>
        <w:t>se encontraba a una distancia de 1,25 kilómetros de la Comunidad de Punta Piedra. Asimismo</w:t>
      </w:r>
      <w:r w:rsidR="000634F2">
        <w:rPr>
          <w:rFonts w:ascii="Verdana" w:hAnsi="Verdana"/>
          <w:sz w:val="20"/>
          <w:szCs w:val="20"/>
        </w:rPr>
        <w:t xml:space="preserve"> manifestó que</w:t>
      </w:r>
      <w:r w:rsidRPr="00A71698">
        <w:rPr>
          <w:rFonts w:ascii="Verdana" w:hAnsi="Verdana"/>
          <w:sz w:val="20"/>
          <w:szCs w:val="20"/>
        </w:rPr>
        <w:t xml:space="preserve">, de conformidad con lo establecido en los artículos 11, 29, 50 y 51 de la Ley General de Minería, así como el artículo 82 del Reglamento de la referida Ley, en el dado caso que el proceso de exploración actual se transforme a la etapa de explotación, se realizaría un Estudio de Impacto Ambiental y la consulta a todos los habitantes afectados en forma previa, libre e informada. A su vez, durante la diligencia </w:t>
      </w:r>
      <w:r w:rsidRPr="00A71698">
        <w:rPr>
          <w:rFonts w:ascii="Verdana" w:hAnsi="Verdana"/>
          <w:i/>
          <w:sz w:val="20"/>
          <w:szCs w:val="20"/>
        </w:rPr>
        <w:t>in situ</w:t>
      </w:r>
      <w:r w:rsidRPr="00A71698">
        <w:rPr>
          <w:rFonts w:ascii="Verdana" w:hAnsi="Verdana"/>
          <w:sz w:val="20"/>
          <w:szCs w:val="20"/>
        </w:rPr>
        <w:t xml:space="preserve">, el Estado reiteró que, según su ordenamiento interno, no </w:t>
      </w:r>
      <w:r w:rsidRPr="00A71698">
        <w:rPr>
          <w:rFonts w:ascii="Verdana" w:hAnsi="Verdana"/>
          <w:sz w:val="20"/>
          <w:szCs w:val="20"/>
        </w:rPr>
        <w:lastRenderedPageBreak/>
        <w:t xml:space="preserve">corresponde </w:t>
      </w:r>
      <w:r w:rsidR="000634F2">
        <w:rPr>
          <w:rFonts w:ascii="Verdana" w:hAnsi="Verdana"/>
          <w:sz w:val="20"/>
          <w:szCs w:val="20"/>
        </w:rPr>
        <w:t xml:space="preserve">realizar </w:t>
      </w:r>
      <w:r w:rsidRPr="00A71698">
        <w:rPr>
          <w:rFonts w:ascii="Verdana" w:hAnsi="Verdana"/>
          <w:sz w:val="20"/>
          <w:szCs w:val="20"/>
        </w:rPr>
        <w:t xml:space="preserve">una consulta en la fase de exploración sino </w:t>
      </w:r>
      <w:r w:rsidR="000634F2">
        <w:rPr>
          <w:rFonts w:ascii="Verdana" w:hAnsi="Verdana"/>
          <w:sz w:val="20"/>
          <w:szCs w:val="20"/>
        </w:rPr>
        <w:t>hasta</w:t>
      </w:r>
      <w:r w:rsidR="000634F2" w:rsidRPr="00A71698">
        <w:rPr>
          <w:rFonts w:ascii="Verdana" w:hAnsi="Verdana"/>
          <w:sz w:val="20"/>
          <w:szCs w:val="20"/>
        </w:rPr>
        <w:t xml:space="preserve"> </w:t>
      </w:r>
      <w:r w:rsidRPr="00A71698">
        <w:rPr>
          <w:rFonts w:ascii="Verdana" w:hAnsi="Verdana"/>
          <w:sz w:val="20"/>
          <w:szCs w:val="20"/>
        </w:rPr>
        <w:t>la fase de explotación</w:t>
      </w:r>
      <w:r w:rsidRPr="00BF0B7E">
        <w:rPr>
          <w:rStyle w:val="FootnoteReference"/>
          <w:szCs w:val="20"/>
        </w:rPr>
        <w:footnoteReference w:id="236"/>
      </w:r>
      <w:r w:rsidRPr="00A71698">
        <w:rPr>
          <w:rFonts w:ascii="Verdana" w:hAnsi="Verdana"/>
          <w:sz w:val="20"/>
          <w:szCs w:val="20"/>
        </w:rPr>
        <w:t>.</w:t>
      </w:r>
    </w:p>
    <w:p w14:paraId="0C704B3C" w14:textId="77777777" w:rsidR="00F02DDD" w:rsidRPr="00BF0B7E" w:rsidRDefault="00F02DDD" w:rsidP="00F02DDD">
      <w:pPr>
        <w:pStyle w:val="ListParagraph"/>
        <w:rPr>
          <w:rFonts w:ascii="Verdana" w:hAnsi="Verdana"/>
          <w:sz w:val="20"/>
          <w:szCs w:val="20"/>
        </w:rPr>
      </w:pPr>
    </w:p>
    <w:p w14:paraId="0C704B3D" w14:textId="77777777" w:rsidR="00F02DDD" w:rsidRPr="00A71698" w:rsidRDefault="00F02DDD" w:rsidP="00F02DDD">
      <w:pPr>
        <w:pStyle w:val="Heading3"/>
        <w:spacing w:before="0"/>
        <w:ind w:left="720"/>
        <w:jc w:val="both"/>
        <w:rPr>
          <w:rFonts w:ascii="Verdana" w:hAnsi="Verdana"/>
          <w:i/>
          <w:color w:val="auto"/>
          <w:sz w:val="20"/>
          <w:szCs w:val="20"/>
        </w:rPr>
      </w:pPr>
      <w:bookmarkStart w:id="94" w:name="_Toc437247357"/>
      <w:r>
        <w:rPr>
          <w:rFonts w:ascii="Verdana" w:hAnsi="Verdana"/>
          <w:i/>
          <w:color w:val="auto"/>
          <w:sz w:val="20"/>
          <w:szCs w:val="20"/>
        </w:rPr>
        <w:t xml:space="preserve">D.2 </w:t>
      </w:r>
      <w:r w:rsidRPr="00A71698">
        <w:rPr>
          <w:rFonts w:ascii="Verdana" w:hAnsi="Verdana"/>
          <w:i/>
          <w:color w:val="auto"/>
          <w:sz w:val="20"/>
          <w:szCs w:val="20"/>
        </w:rPr>
        <w:t>Consideraciones de la Corte</w:t>
      </w:r>
      <w:bookmarkEnd w:id="94"/>
    </w:p>
    <w:p w14:paraId="0C704B3E" w14:textId="77777777" w:rsidR="00F02DDD" w:rsidRPr="00A71698" w:rsidRDefault="00F02DDD" w:rsidP="00F02DDD">
      <w:pPr>
        <w:pStyle w:val="ListParagraph"/>
        <w:rPr>
          <w:rFonts w:ascii="Verdana" w:hAnsi="Verdana"/>
          <w:sz w:val="20"/>
          <w:szCs w:val="20"/>
        </w:rPr>
      </w:pPr>
    </w:p>
    <w:p w14:paraId="0C704B3F" w14:textId="77777777" w:rsidR="00F02DDD" w:rsidRPr="00A71698"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El Tribunal ha establecido que, para </w:t>
      </w:r>
      <w:r w:rsidRPr="005906E7">
        <w:rPr>
          <w:rFonts w:ascii="Verdana" w:hAnsi="Verdana"/>
          <w:sz w:val="20"/>
        </w:rPr>
        <w:t>todo plan de desarrollo, inversión, exploración o extracción</w:t>
      </w:r>
      <w:r w:rsidRPr="00E15AA0">
        <w:rPr>
          <w:rFonts w:ascii="Verdana" w:hAnsi="Verdana"/>
          <w:sz w:val="20"/>
        </w:rPr>
        <w:t xml:space="preserve"> </w:t>
      </w:r>
      <w:r w:rsidRPr="00E15AA0">
        <w:rPr>
          <w:rFonts w:ascii="Verdana" w:hAnsi="Verdana"/>
          <w:sz w:val="20"/>
          <w:szCs w:val="20"/>
        </w:rPr>
        <w:t>en territorios tradicionales de comu</w:t>
      </w:r>
      <w:r>
        <w:rPr>
          <w:rFonts w:ascii="Verdana" w:hAnsi="Verdana"/>
          <w:sz w:val="20"/>
          <w:szCs w:val="20"/>
        </w:rPr>
        <w:t xml:space="preserve">nidades indígenas o tribales, </w:t>
      </w:r>
      <w:r w:rsidRPr="00A71698">
        <w:rPr>
          <w:rFonts w:ascii="Verdana" w:hAnsi="Verdana"/>
          <w:sz w:val="20"/>
          <w:szCs w:val="20"/>
        </w:rPr>
        <w:t xml:space="preserve">el Estado debe cumplir con las siguientes salvaguardias: i) efectuar un proceso adecuado y participativo que garantice su derecho a la consulta; ii) </w:t>
      </w:r>
      <w:r>
        <w:rPr>
          <w:rFonts w:ascii="Verdana" w:hAnsi="Verdana"/>
          <w:sz w:val="20"/>
          <w:szCs w:val="20"/>
        </w:rPr>
        <w:t>realizar</w:t>
      </w:r>
      <w:r w:rsidRPr="00A71698">
        <w:rPr>
          <w:rFonts w:ascii="Verdana" w:hAnsi="Verdana"/>
          <w:sz w:val="20"/>
          <w:szCs w:val="20"/>
        </w:rPr>
        <w:t xml:space="preserve"> un estudio </w:t>
      </w:r>
      <w:r>
        <w:rPr>
          <w:rFonts w:ascii="Verdana" w:hAnsi="Verdana"/>
          <w:sz w:val="20"/>
          <w:szCs w:val="20"/>
        </w:rPr>
        <w:t xml:space="preserve">previo </w:t>
      </w:r>
      <w:r w:rsidRPr="00A71698">
        <w:rPr>
          <w:rFonts w:ascii="Verdana" w:hAnsi="Verdana"/>
          <w:sz w:val="20"/>
          <w:szCs w:val="20"/>
        </w:rPr>
        <w:t>de impacto ambiental</w:t>
      </w:r>
      <w:r>
        <w:rPr>
          <w:rFonts w:ascii="Verdana" w:hAnsi="Verdana"/>
          <w:sz w:val="20"/>
          <w:szCs w:val="20"/>
        </w:rPr>
        <w:t xml:space="preserve"> y social</w:t>
      </w:r>
      <w:r w:rsidRPr="00A71698">
        <w:rPr>
          <w:rFonts w:ascii="Verdana" w:hAnsi="Verdana"/>
          <w:sz w:val="20"/>
          <w:szCs w:val="20"/>
        </w:rPr>
        <w:t>; y iii) en su caso, compartir razonablemente los beneficios que se produzcan de la explotación de los recursos naturales</w:t>
      </w:r>
      <w:r w:rsidRPr="00BF0B7E">
        <w:rPr>
          <w:rStyle w:val="FootnoteReference"/>
          <w:szCs w:val="20"/>
        </w:rPr>
        <w:footnoteReference w:id="237"/>
      </w:r>
      <w:r w:rsidRPr="00A71698">
        <w:rPr>
          <w:rFonts w:ascii="Verdana" w:hAnsi="Verdana"/>
          <w:sz w:val="20"/>
          <w:szCs w:val="20"/>
        </w:rPr>
        <w:t xml:space="preserve">. </w:t>
      </w:r>
    </w:p>
    <w:p w14:paraId="0C704B40" w14:textId="77777777" w:rsidR="00F02DDD" w:rsidRPr="00A71698" w:rsidRDefault="00F02DDD" w:rsidP="00F02DDD">
      <w:pPr>
        <w:pStyle w:val="ListParagraph"/>
        <w:ind w:left="0"/>
        <w:jc w:val="both"/>
        <w:rPr>
          <w:rFonts w:ascii="Verdana" w:hAnsi="Verdana"/>
          <w:sz w:val="20"/>
          <w:szCs w:val="20"/>
        </w:rPr>
      </w:pPr>
    </w:p>
    <w:p w14:paraId="0C704B41" w14:textId="4849CBDF" w:rsidR="00F02DDD"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Sobre la consulta previa, este Tribunal ha señalado que el Estado debe garantizar la misma, mediante la participación en todas las fases de planeación y desarrollo de un proyecto que pueda afectar el territorio sobre el cual se asienta una comunidad indígena o tribal, u otros derechos esenciales para su supervivencia como pueblo</w:t>
      </w:r>
      <w:r>
        <w:rPr>
          <w:rFonts w:ascii="Verdana" w:hAnsi="Verdana"/>
          <w:sz w:val="20"/>
          <w:szCs w:val="20"/>
        </w:rPr>
        <w:t>. En este sentido, e</w:t>
      </w:r>
      <w:r w:rsidRPr="00A71698">
        <w:rPr>
          <w:rFonts w:ascii="Verdana" w:hAnsi="Verdana"/>
          <w:sz w:val="20"/>
          <w:szCs w:val="20"/>
        </w:rPr>
        <w:t>stos procesos de diálogo y búsqueda de acuerdos deben realizarse desde las primeras etapas de la elaboración o planificación de la medida propuesta, a fin de que los pueblos indígenas</w:t>
      </w:r>
      <w:r>
        <w:rPr>
          <w:rFonts w:ascii="Verdana" w:hAnsi="Verdana"/>
          <w:sz w:val="20"/>
          <w:szCs w:val="20"/>
        </w:rPr>
        <w:t xml:space="preserve"> o tribales</w:t>
      </w:r>
      <w:r w:rsidRPr="00A71698">
        <w:rPr>
          <w:rFonts w:ascii="Verdana" w:hAnsi="Verdana"/>
          <w:sz w:val="20"/>
          <w:szCs w:val="20"/>
        </w:rPr>
        <w:t xml:space="preserve"> puedan verdaderamente participar e influir en el proceso de adopción de decisiones, de conformidad con los estándares internacionales pertinentes</w:t>
      </w:r>
      <w:r w:rsidRPr="00BF0B7E">
        <w:rPr>
          <w:rStyle w:val="FootnoteReference"/>
          <w:szCs w:val="20"/>
        </w:rPr>
        <w:footnoteReference w:id="238"/>
      </w:r>
      <w:r w:rsidRPr="00A71698">
        <w:rPr>
          <w:rFonts w:ascii="Verdana" w:hAnsi="Verdana"/>
          <w:sz w:val="20"/>
          <w:szCs w:val="20"/>
        </w:rPr>
        <w:t xml:space="preserve">. </w:t>
      </w:r>
      <w:r w:rsidRPr="00012F57">
        <w:rPr>
          <w:rFonts w:ascii="Verdana" w:hAnsi="Verdana"/>
          <w:sz w:val="20"/>
          <w:szCs w:val="20"/>
        </w:rPr>
        <w:t>En cuanto a sus características, la Corte ha establecido que la consulta debe ser realizada con carácter previo, de buena fe, con la finalidad de llegar a un acuerdo, adecuada, accesible e informada</w:t>
      </w:r>
      <w:r w:rsidRPr="00B26E9D">
        <w:rPr>
          <w:rStyle w:val="FootnoteReference"/>
          <w:szCs w:val="20"/>
        </w:rPr>
        <w:footnoteReference w:id="239"/>
      </w:r>
      <w:r w:rsidRPr="00DC2802">
        <w:rPr>
          <w:rFonts w:ascii="Verdana" w:hAnsi="Verdana"/>
          <w:sz w:val="20"/>
          <w:szCs w:val="20"/>
        </w:rPr>
        <w:t>.</w:t>
      </w:r>
      <w:r w:rsidRPr="00A71698">
        <w:rPr>
          <w:rFonts w:ascii="Verdana" w:hAnsi="Verdana"/>
          <w:sz w:val="20"/>
          <w:szCs w:val="20"/>
        </w:rPr>
        <w:t xml:space="preserve"> En particular, en el caso </w:t>
      </w:r>
      <w:proofErr w:type="spellStart"/>
      <w:r w:rsidRPr="00A71698">
        <w:rPr>
          <w:rFonts w:ascii="Verdana" w:hAnsi="Verdana"/>
          <w:i/>
          <w:sz w:val="20"/>
          <w:szCs w:val="20"/>
        </w:rPr>
        <w:t>Sarayaku</w:t>
      </w:r>
      <w:proofErr w:type="spellEnd"/>
      <w:r w:rsidRPr="00A71698">
        <w:rPr>
          <w:rFonts w:ascii="Verdana" w:hAnsi="Verdana"/>
          <w:i/>
          <w:sz w:val="20"/>
          <w:szCs w:val="20"/>
        </w:rPr>
        <w:t xml:space="preserve"> Vs. Ecuador</w:t>
      </w:r>
      <w:r w:rsidRPr="00A71698">
        <w:rPr>
          <w:rFonts w:ascii="Verdana" w:hAnsi="Verdana"/>
          <w:sz w:val="20"/>
          <w:szCs w:val="20"/>
        </w:rPr>
        <w:t xml:space="preserve">, la Corte determinó </w:t>
      </w:r>
      <w:r w:rsidR="000634F2">
        <w:rPr>
          <w:rFonts w:ascii="Verdana" w:hAnsi="Verdana"/>
          <w:sz w:val="20"/>
          <w:szCs w:val="20"/>
        </w:rPr>
        <w:t xml:space="preserve">al </w:t>
      </w:r>
      <w:r w:rsidRPr="00A71698">
        <w:rPr>
          <w:rFonts w:ascii="Verdana" w:hAnsi="Verdana"/>
          <w:sz w:val="20"/>
          <w:szCs w:val="20"/>
        </w:rPr>
        <w:t xml:space="preserve">Estado </w:t>
      </w:r>
      <w:r w:rsidR="000634F2">
        <w:rPr>
          <w:rFonts w:ascii="Verdana" w:hAnsi="Verdana"/>
          <w:sz w:val="20"/>
          <w:szCs w:val="20"/>
        </w:rPr>
        <w:t xml:space="preserve">responsable </w:t>
      </w:r>
      <w:r w:rsidRPr="00A71698">
        <w:rPr>
          <w:rFonts w:ascii="Verdana" w:hAnsi="Verdana"/>
          <w:sz w:val="20"/>
          <w:szCs w:val="20"/>
        </w:rPr>
        <w:t>por</w:t>
      </w:r>
      <w:r w:rsidRPr="00A71698">
        <w:rPr>
          <w:rFonts w:ascii="Verdana" w:hAnsi="Verdana" w:cs="TimesNewRomanPSMT"/>
          <w:sz w:val="20"/>
          <w:szCs w:val="20"/>
        </w:rPr>
        <w:t xml:space="preserve"> haber permitido que </w:t>
      </w:r>
      <w:r w:rsidRPr="00A71698">
        <w:rPr>
          <w:rFonts w:ascii="Verdana" w:hAnsi="Verdana"/>
          <w:sz w:val="20"/>
          <w:szCs w:val="20"/>
        </w:rPr>
        <w:t xml:space="preserve">una empresa petrolera privada realizara actividades de </w:t>
      </w:r>
      <w:r w:rsidRPr="00E86D69">
        <w:rPr>
          <w:rFonts w:ascii="Verdana" w:hAnsi="Verdana"/>
          <w:sz w:val="20"/>
          <w:szCs w:val="20"/>
        </w:rPr>
        <w:t>exploración petrolera</w:t>
      </w:r>
      <w:r w:rsidRPr="00A71698">
        <w:rPr>
          <w:rFonts w:ascii="Verdana" w:hAnsi="Verdana"/>
          <w:sz w:val="20"/>
          <w:szCs w:val="20"/>
        </w:rPr>
        <w:t xml:space="preserve"> en su territorio, sin haberle consultado previamente</w:t>
      </w:r>
      <w:r w:rsidR="000634F2">
        <w:rPr>
          <w:rStyle w:val="FootnoteReference"/>
          <w:szCs w:val="20"/>
        </w:rPr>
        <w:footnoteReference w:id="240"/>
      </w:r>
      <w:r w:rsidRPr="00A71698">
        <w:rPr>
          <w:rFonts w:ascii="Verdana" w:hAnsi="Verdana"/>
          <w:sz w:val="20"/>
          <w:szCs w:val="20"/>
        </w:rPr>
        <w:t xml:space="preserve">. </w:t>
      </w:r>
    </w:p>
    <w:p w14:paraId="0C704B42" w14:textId="77777777" w:rsidR="00F02DDD" w:rsidRPr="00A71698" w:rsidRDefault="00F02DDD" w:rsidP="00F02DDD">
      <w:pPr>
        <w:pStyle w:val="ListParagraph"/>
        <w:ind w:left="0"/>
        <w:jc w:val="both"/>
        <w:rPr>
          <w:rFonts w:ascii="Verdana" w:hAnsi="Verdana"/>
          <w:sz w:val="20"/>
          <w:szCs w:val="20"/>
        </w:rPr>
      </w:pPr>
    </w:p>
    <w:p w14:paraId="0C704B43" w14:textId="521EFE9B" w:rsidR="00F02DDD" w:rsidRDefault="00F02DDD" w:rsidP="00F02DDD">
      <w:pPr>
        <w:pStyle w:val="ListParagraph"/>
        <w:numPr>
          <w:ilvl w:val="0"/>
          <w:numId w:val="17"/>
        </w:numPr>
        <w:ind w:left="0" w:hanging="11"/>
        <w:jc w:val="both"/>
        <w:rPr>
          <w:rFonts w:ascii="Verdana" w:hAnsi="Verdana"/>
          <w:sz w:val="20"/>
          <w:szCs w:val="20"/>
        </w:rPr>
      </w:pPr>
      <w:r>
        <w:rPr>
          <w:rFonts w:ascii="Verdana" w:hAnsi="Verdana"/>
          <w:sz w:val="20"/>
          <w:szCs w:val="20"/>
        </w:rPr>
        <w:t>En particular</w:t>
      </w:r>
      <w:r w:rsidRPr="00A71698">
        <w:rPr>
          <w:rFonts w:ascii="Verdana" w:hAnsi="Verdana"/>
          <w:sz w:val="20"/>
          <w:szCs w:val="20"/>
        </w:rPr>
        <w:t>, respecto del momento en que debe efectuarse la consulta, el artículo 15.2 del Convenio</w:t>
      </w:r>
      <w:r w:rsidR="00984F67">
        <w:rPr>
          <w:rFonts w:ascii="Verdana" w:hAnsi="Verdana"/>
          <w:sz w:val="20"/>
          <w:szCs w:val="20"/>
        </w:rPr>
        <w:t xml:space="preserve"> </w:t>
      </w:r>
      <w:r w:rsidRPr="00A71698">
        <w:rPr>
          <w:rFonts w:ascii="Verdana" w:hAnsi="Verdana"/>
          <w:sz w:val="20"/>
          <w:szCs w:val="20"/>
        </w:rPr>
        <w:t xml:space="preserve">169 de la OIT señala </w:t>
      </w:r>
      <w:r w:rsidRPr="004A16F4">
        <w:rPr>
          <w:rFonts w:ascii="Verdana" w:hAnsi="Verdana"/>
          <w:sz w:val="20"/>
          <w:szCs w:val="20"/>
        </w:rPr>
        <w:t xml:space="preserve">que </w:t>
      </w:r>
      <w:r w:rsidRPr="003C103F">
        <w:rPr>
          <w:rFonts w:ascii="Verdana" w:hAnsi="Verdana"/>
          <w:sz w:val="20"/>
          <w:szCs w:val="20"/>
        </w:rPr>
        <w:t>“</w:t>
      </w:r>
      <w:r w:rsidRPr="00012F57">
        <w:rPr>
          <w:rFonts w:ascii="Verdana" w:hAnsi="Verdana"/>
          <w:sz w:val="20"/>
          <w:szCs w:val="20"/>
        </w:rPr>
        <w:t xml:space="preserve">[e]n caso de que pertenezca al Estado la propiedad de los minerales o de los recursos del subsuelo, o tenga derechos sobre otros recursos existentes en las tierras, </w:t>
      </w:r>
      <w:r w:rsidRPr="003C103F">
        <w:rPr>
          <w:rFonts w:ascii="Verdana" w:hAnsi="Verdana"/>
          <w:sz w:val="20"/>
          <w:szCs w:val="20"/>
        </w:rPr>
        <w:t xml:space="preserve">los gobiernos deberán establecer o mantener procedimientos con miras a consultar a los pueblos interesados, </w:t>
      </w:r>
      <w:r w:rsidRPr="00012F57">
        <w:rPr>
          <w:rFonts w:ascii="Verdana" w:hAnsi="Verdana"/>
          <w:sz w:val="20"/>
          <w:szCs w:val="20"/>
        </w:rPr>
        <w:t>a fin de determinar si los intereses de esos pueblos serían perjudicados, y en qué medida,</w:t>
      </w:r>
      <w:r w:rsidRPr="00CB26E3">
        <w:rPr>
          <w:rFonts w:ascii="Verdana" w:hAnsi="Verdana"/>
          <w:sz w:val="20"/>
          <w:szCs w:val="20"/>
        </w:rPr>
        <w:t xml:space="preserve"> </w:t>
      </w:r>
      <w:r w:rsidRPr="00B26E9D">
        <w:rPr>
          <w:rFonts w:ascii="Verdana" w:hAnsi="Verdana"/>
          <w:sz w:val="20"/>
          <w:szCs w:val="20"/>
        </w:rPr>
        <w:t>antes de emprender o autorizar cualquier programa de</w:t>
      </w:r>
      <w:r w:rsidRPr="00A71698">
        <w:rPr>
          <w:rFonts w:ascii="Verdana" w:hAnsi="Verdana"/>
          <w:sz w:val="20"/>
          <w:szCs w:val="20"/>
        </w:rPr>
        <w:t xml:space="preserve"> prospección o explotación de los recursos existentes en sus tierras”. </w:t>
      </w:r>
    </w:p>
    <w:p w14:paraId="0C704B44" w14:textId="77777777" w:rsidR="00F02DDD" w:rsidRPr="00A71698" w:rsidRDefault="00F02DDD" w:rsidP="00F02DDD">
      <w:pPr>
        <w:pStyle w:val="ListParagraph"/>
        <w:ind w:left="0"/>
        <w:jc w:val="both"/>
        <w:rPr>
          <w:rFonts w:ascii="Verdana" w:hAnsi="Verdana"/>
          <w:sz w:val="20"/>
          <w:szCs w:val="20"/>
        </w:rPr>
      </w:pPr>
    </w:p>
    <w:p w14:paraId="0C704B45" w14:textId="6B7714DC" w:rsidR="00F02DDD" w:rsidRPr="003C103F" w:rsidRDefault="00F02DDD" w:rsidP="00F02DDD">
      <w:pPr>
        <w:pStyle w:val="ListParagraph"/>
        <w:numPr>
          <w:ilvl w:val="0"/>
          <w:numId w:val="17"/>
        </w:numPr>
        <w:ind w:left="0" w:hanging="11"/>
        <w:jc w:val="both"/>
        <w:rPr>
          <w:rFonts w:ascii="Verdana" w:hAnsi="Verdana"/>
          <w:strike/>
          <w:sz w:val="20"/>
          <w:szCs w:val="20"/>
        </w:rPr>
      </w:pPr>
      <w:r w:rsidRPr="00012F57">
        <w:rPr>
          <w:rFonts w:ascii="Verdana" w:hAnsi="Verdana"/>
          <w:sz w:val="20"/>
          <w:szCs w:val="20"/>
        </w:rPr>
        <w:t xml:space="preserve">En vista de lo anterior, </w:t>
      </w:r>
      <w:r w:rsidR="000634F2">
        <w:rPr>
          <w:rFonts w:ascii="Verdana" w:hAnsi="Verdana"/>
          <w:sz w:val="20"/>
          <w:szCs w:val="20"/>
        </w:rPr>
        <w:t xml:space="preserve">la Corte considera que </w:t>
      </w:r>
      <w:r w:rsidRPr="00012F57">
        <w:rPr>
          <w:rFonts w:ascii="Verdana" w:hAnsi="Verdana"/>
          <w:sz w:val="20"/>
          <w:szCs w:val="20"/>
        </w:rPr>
        <w:t xml:space="preserve">la consulta debe ser aplicada con anterioridad </w:t>
      </w:r>
      <w:r w:rsidR="00865E06">
        <w:rPr>
          <w:rFonts w:ascii="Verdana" w:hAnsi="Verdana"/>
          <w:sz w:val="20"/>
          <w:szCs w:val="20"/>
        </w:rPr>
        <w:t xml:space="preserve">a </w:t>
      </w:r>
      <w:r w:rsidRPr="00012F57">
        <w:rPr>
          <w:rFonts w:ascii="Verdana" w:hAnsi="Verdana"/>
          <w:sz w:val="20"/>
          <w:szCs w:val="20"/>
        </w:rPr>
        <w:t xml:space="preserve">cualquier proyecto de exploración que pueda afectar el territorio tradicional de las comunidades indígenas o tribales. </w:t>
      </w:r>
    </w:p>
    <w:p w14:paraId="0C704B46" w14:textId="77777777" w:rsidR="00F02DDD" w:rsidRPr="00A71698" w:rsidRDefault="00F02DDD" w:rsidP="00F02DDD">
      <w:pPr>
        <w:rPr>
          <w:rFonts w:cs="Arial"/>
        </w:rPr>
      </w:pPr>
    </w:p>
    <w:p w14:paraId="0C704B47" w14:textId="522F4AAD" w:rsidR="00F02DDD"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cs="Arial"/>
          <w:sz w:val="20"/>
          <w:szCs w:val="20"/>
        </w:rPr>
        <w:t>En el presente caso, la Corte constató que e</w:t>
      </w:r>
      <w:r w:rsidRPr="00A71698">
        <w:rPr>
          <w:rFonts w:ascii="Verdana" w:hAnsi="Verdana"/>
          <w:sz w:val="20"/>
          <w:szCs w:val="20"/>
        </w:rPr>
        <w:t xml:space="preserve">l 4 de diciembre de 2014 la Corporación Minera </w:t>
      </w:r>
      <w:proofErr w:type="spellStart"/>
      <w:r w:rsidR="000634F2">
        <w:rPr>
          <w:rFonts w:ascii="Verdana" w:hAnsi="Verdana"/>
          <w:sz w:val="20"/>
          <w:szCs w:val="20"/>
        </w:rPr>
        <w:t>Caxina</w:t>
      </w:r>
      <w:proofErr w:type="spellEnd"/>
      <w:r w:rsidR="000634F2" w:rsidRPr="00A71698">
        <w:rPr>
          <w:rFonts w:ascii="Verdana" w:hAnsi="Verdana"/>
          <w:sz w:val="20"/>
          <w:szCs w:val="20"/>
        </w:rPr>
        <w:t xml:space="preserve"> </w:t>
      </w:r>
      <w:r w:rsidRPr="00A71698">
        <w:rPr>
          <w:rFonts w:ascii="Verdana" w:hAnsi="Verdana"/>
          <w:sz w:val="20"/>
          <w:szCs w:val="20"/>
        </w:rPr>
        <w:t xml:space="preserve">S.A. obtuvo una concesión para la exploración minera no metálica por un período de 10 años, sobre una extensión </w:t>
      </w:r>
      <w:r>
        <w:rPr>
          <w:rFonts w:ascii="Verdana" w:hAnsi="Verdana"/>
          <w:sz w:val="20"/>
          <w:szCs w:val="20"/>
        </w:rPr>
        <w:t xml:space="preserve">territorial </w:t>
      </w:r>
      <w:r w:rsidRPr="00A71698">
        <w:rPr>
          <w:rFonts w:ascii="Verdana" w:hAnsi="Verdana"/>
          <w:sz w:val="20"/>
          <w:szCs w:val="20"/>
        </w:rPr>
        <w:t xml:space="preserve">de 800 </w:t>
      </w:r>
      <w:r w:rsidR="00C81449">
        <w:rPr>
          <w:rFonts w:ascii="Verdana" w:hAnsi="Verdana"/>
          <w:sz w:val="20"/>
          <w:szCs w:val="20"/>
        </w:rPr>
        <w:t>h</w:t>
      </w:r>
      <w:r w:rsidRPr="00A71698">
        <w:rPr>
          <w:rFonts w:ascii="Verdana" w:hAnsi="Verdana"/>
          <w:sz w:val="20"/>
          <w:szCs w:val="20"/>
        </w:rPr>
        <w:t xml:space="preserve">a, que abarca parte del margen </w:t>
      </w:r>
      <w:r w:rsidR="00C740B1">
        <w:rPr>
          <w:rFonts w:ascii="Verdana" w:hAnsi="Verdana"/>
          <w:sz w:val="20"/>
          <w:szCs w:val="20"/>
        </w:rPr>
        <w:t>E</w:t>
      </w:r>
      <w:r w:rsidRPr="00A71698">
        <w:rPr>
          <w:rFonts w:ascii="Verdana" w:hAnsi="Verdana"/>
          <w:sz w:val="20"/>
          <w:szCs w:val="20"/>
        </w:rPr>
        <w:t xml:space="preserve">ste de los dos títulos de propiedad otorgados a la </w:t>
      </w:r>
      <w:r w:rsidRPr="00A71698">
        <w:rPr>
          <w:rFonts w:ascii="Verdana" w:hAnsi="Verdana"/>
          <w:sz w:val="20"/>
          <w:szCs w:val="20"/>
        </w:rPr>
        <w:lastRenderedPageBreak/>
        <w:t>Comunidad de Punta (</w:t>
      </w:r>
      <w:r w:rsidRPr="00A71698">
        <w:rPr>
          <w:rFonts w:ascii="Verdana" w:hAnsi="Verdana"/>
          <w:i/>
          <w:sz w:val="20"/>
          <w:szCs w:val="20"/>
        </w:rPr>
        <w:t>supra</w:t>
      </w:r>
      <w:r w:rsidRPr="00A71698">
        <w:rPr>
          <w:rFonts w:ascii="Verdana" w:hAnsi="Verdana"/>
          <w:sz w:val="20"/>
          <w:szCs w:val="20"/>
        </w:rPr>
        <w:t xml:space="preserve"> párr. </w:t>
      </w:r>
      <w:r w:rsidR="000634F2">
        <w:rPr>
          <w:rFonts w:ascii="Verdana" w:hAnsi="Verdana"/>
          <w:sz w:val="20"/>
          <w:szCs w:val="20"/>
        </w:rPr>
        <w:t>125</w:t>
      </w:r>
      <w:r w:rsidRPr="00A71698">
        <w:rPr>
          <w:rFonts w:ascii="Verdana" w:hAnsi="Verdana"/>
          <w:sz w:val="20"/>
          <w:szCs w:val="20"/>
        </w:rPr>
        <w:t>)</w:t>
      </w:r>
      <w:r>
        <w:rPr>
          <w:rFonts w:ascii="Verdana" w:hAnsi="Verdana"/>
          <w:sz w:val="20"/>
          <w:szCs w:val="20"/>
        </w:rPr>
        <w:t>.</w:t>
      </w:r>
      <w:r w:rsidRPr="0043617F">
        <w:rPr>
          <w:rFonts w:ascii="Verdana" w:hAnsi="Verdana"/>
          <w:sz w:val="20"/>
          <w:szCs w:val="20"/>
        </w:rPr>
        <w:t xml:space="preserve"> </w:t>
      </w:r>
      <w:r>
        <w:rPr>
          <w:rFonts w:ascii="Verdana" w:hAnsi="Verdana"/>
          <w:sz w:val="20"/>
          <w:szCs w:val="20"/>
        </w:rPr>
        <w:t>Dicha concesión autoriza expresamente a la empresa el uso del subsuelo y la realización de actividades mineras, geológicas, geofísicas y otros trabajos en el área de la concesión</w:t>
      </w:r>
      <w:r w:rsidR="000634F2" w:rsidRPr="00BF0B7E">
        <w:rPr>
          <w:rStyle w:val="FootnoteReference"/>
          <w:rFonts w:eastAsia="Times New Roman"/>
          <w:szCs w:val="20"/>
          <w:lang w:eastAsia="es-CR"/>
        </w:rPr>
        <w:footnoteReference w:id="241"/>
      </w:r>
      <w:r>
        <w:rPr>
          <w:rFonts w:ascii="Verdana" w:hAnsi="Verdana"/>
          <w:sz w:val="20"/>
          <w:szCs w:val="20"/>
        </w:rPr>
        <w:t xml:space="preserve">. En este sentido, la Corte considera que por el objeto de dicha concesión, ésta podría generar una afectación </w:t>
      </w:r>
      <w:r w:rsidRPr="002F3D40">
        <w:rPr>
          <w:rFonts w:ascii="Verdana" w:hAnsi="Verdana"/>
          <w:sz w:val="20"/>
          <w:szCs w:val="20"/>
        </w:rPr>
        <w:t>directa sobre el territorio de la Comunidad en sus siguientes fases</w:t>
      </w:r>
      <w:r>
        <w:rPr>
          <w:rFonts w:ascii="Verdana" w:hAnsi="Verdana"/>
          <w:sz w:val="20"/>
          <w:szCs w:val="20"/>
        </w:rPr>
        <w:t>,</w:t>
      </w:r>
      <w:r w:rsidRPr="002F3D40">
        <w:rPr>
          <w:rFonts w:ascii="Verdana" w:hAnsi="Verdana"/>
          <w:sz w:val="20"/>
          <w:szCs w:val="20"/>
        </w:rPr>
        <w:t xml:space="preserve"> a lo largo del período de los 10 años</w:t>
      </w:r>
      <w:r>
        <w:rPr>
          <w:rFonts w:ascii="Verdana" w:hAnsi="Verdana"/>
          <w:sz w:val="20"/>
          <w:szCs w:val="20"/>
        </w:rPr>
        <w:t xml:space="preserve"> en que fue otorgada</w:t>
      </w:r>
      <w:r w:rsidRPr="002F3D40">
        <w:rPr>
          <w:rFonts w:ascii="Verdana" w:hAnsi="Verdana"/>
          <w:sz w:val="20"/>
          <w:szCs w:val="20"/>
        </w:rPr>
        <w:t>, por lo que esta situación</w:t>
      </w:r>
      <w:r w:rsidR="00C740B1">
        <w:rPr>
          <w:rFonts w:ascii="Verdana" w:hAnsi="Verdana"/>
          <w:sz w:val="20"/>
          <w:szCs w:val="20"/>
        </w:rPr>
        <w:t>,</w:t>
      </w:r>
      <w:r w:rsidRPr="002F3D40">
        <w:rPr>
          <w:rFonts w:ascii="Verdana" w:hAnsi="Verdana"/>
          <w:sz w:val="20"/>
          <w:szCs w:val="20"/>
        </w:rPr>
        <w:t xml:space="preserve"> en el caso concreto</w:t>
      </w:r>
      <w:r w:rsidR="00C740B1">
        <w:rPr>
          <w:rFonts w:ascii="Verdana" w:hAnsi="Verdana"/>
          <w:sz w:val="20"/>
          <w:szCs w:val="20"/>
        </w:rPr>
        <w:t>,</w:t>
      </w:r>
      <w:r w:rsidRPr="002F3D40">
        <w:rPr>
          <w:rFonts w:ascii="Verdana" w:hAnsi="Verdana"/>
          <w:sz w:val="20"/>
          <w:szCs w:val="20"/>
        </w:rPr>
        <w:t xml:space="preserve"> exigiría la realización de una consulta previa a la Comunidad.</w:t>
      </w:r>
    </w:p>
    <w:p w14:paraId="0C704B48" w14:textId="77777777" w:rsidR="00F02DDD" w:rsidRPr="00A71698" w:rsidRDefault="00F02DDD" w:rsidP="00F02DDD"/>
    <w:p w14:paraId="0C704B49" w14:textId="06169DCA" w:rsidR="000634F2"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En </w:t>
      </w:r>
      <w:r>
        <w:rPr>
          <w:rFonts w:ascii="Verdana" w:hAnsi="Verdana"/>
          <w:sz w:val="20"/>
          <w:szCs w:val="20"/>
        </w:rPr>
        <w:t>cuanto a las disposiciones de derecho interno</w:t>
      </w:r>
      <w:r w:rsidRPr="00A71698">
        <w:rPr>
          <w:rFonts w:ascii="Verdana" w:hAnsi="Verdana"/>
          <w:sz w:val="20"/>
          <w:szCs w:val="20"/>
        </w:rPr>
        <w:t xml:space="preserve">, la Corte observa que, de manera general, el artículo 95 de la Ley de Propiedad de 2004, establece que “[e]n caso de que el Estado pretenda la explotación de recursos naturales en los territorios de [los] pueblos [indígenas y </w:t>
      </w:r>
      <w:proofErr w:type="spellStart"/>
      <w:r w:rsidRPr="00A71698">
        <w:rPr>
          <w:rFonts w:ascii="Verdana" w:hAnsi="Verdana"/>
          <w:sz w:val="20"/>
          <w:szCs w:val="20"/>
        </w:rPr>
        <w:t>afrohondureños</w:t>
      </w:r>
      <w:proofErr w:type="spellEnd"/>
      <w:r w:rsidRPr="00A71698">
        <w:rPr>
          <w:rFonts w:ascii="Verdana" w:hAnsi="Verdana"/>
          <w:sz w:val="20"/>
          <w:szCs w:val="20"/>
        </w:rPr>
        <w:t>], deberá de informarles [y] consultarles sobre los beneficios y perjuicios que puedan sobrevivir previo a autorizar cualquier inspección, o explotación”</w:t>
      </w:r>
      <w:r w:rsidRPr="00BF0B7E">
        <w:rPr>
          <w:rStyle w:val="FootnoteReference"/>
          <w:szCs w:val="20"/>
        </w:rPr>
        <w:footnoteReference w:id="242"/>
      </w:r>
      <w:r w:rsidRPr="00A71698">
        <w:rPr>
          <w:rFonts w:ascii="Verdana" w:hAnsi="Verdana"/>
          <w:sz w:val="20"/>
          <w:szCs w:val="20"/>
        </w:rPr>
        <w:t xml:space="preserve"> Asimismo, el Reglamento de dicha Ley se refiere a la consulta sin especificar el momento</w:t>
      </w:r>
      <w:r w:rsidRPr="00BF0B7E">
        <w:rPr>
          <w:rStyle w:val="FootnoteReference"/>
          <w:szCs w:val="20"/>
        </w:rPr>
        <w:footnoteReference w:id="243"/>
      </w:r>
      <w:r w:rsidRPr="00A71698">
        <w:rPr>
          <w:rFonts w:ascii="Verdana" w:hAnsi="Verdana"/>
          <w:sz w:val="20"/>
          <w:szCs w:val="20"/>
        </w:rPr>
        <w:t xml:space="preserve">. Por su parte, el artículo 50 de la Ley General de Minería establece que “[e]l otorgamiento de concesiones mineras no puede menoscabar la garantía de propiedad privada y la propiedad que pertenece a las Municipalidades, que establece la Constitución de la República y desarrolla el Código Civil y los tratados internacionales en materia de Derechos de los Pueblos Indígenas y Afrodescendientes, particularmente respetando el Convenio 169 </w:t>
      </w:r>
      <w:r w:rsidR="00D547D3">
        <w:rPr>
          <w:rFonts w:ascii="Verdana" w:hAnsi="Verdana"/>
          <w:sz w:val="20"/>
          <w:szCs w:val="20"/>
        </w:rPr>
        <w:t xml:space="preserve">[de la OIT] </w:t>
      </w:r>
      <w:r w:rsidR="009C098F">
        <w:rPr>
          <w:rFonts w:ascii="Verdana" w:hAnsi="Verdana"/>
          <w:sz w:val="20"/>
          <w:szCs w:val="20"/>
        </w:rPr>
        <w:t>y la Declaración de Naciones Unidas sobre Derechos de los Pueblos Indígenas</w:t>
      </w:r>
      <w:r w:rsidRPr="00A71698">
        <w:rPr>
          <w:rFonts w:ascii="Verdana" w:hAnsi="Verdana"/>
          <w:sz w:val="20"/>
          <w:szCs w:val="20"/>
        </w:rPr>
        <w:t>”</w:t>
      </w:r>
      <w:r w:rsidRPr="00BF0B7E">
        <w:rPr>
          <w:rStyle w:val="FootnoteReference"/>
          <w:szCs w:val="20"/>
        </w:rPr>
        <w:footnoteReference w:id="244"/>
      </w:r>
      <w:r w:rsidRPr="00A71698">
        <w:rPr>
          <w:rFonts w:ascii="Verdana" w:hAnsi="Verdana"/>
          <w:sz w:val="20"/>
          <w:szCs w:val="20"/>
        </w:rPr>
        <w:t>.</w:t>
      </w:r>
    </w:p>
    <w:p w14:paraId="0C704B4A" w14:textId="55C803EF" w:rsidR="006A0E8F" w:rsidRDefault="006A0E8F" w:rsidP="00A0324F">
      <w:pPr>
        <w:pStyle w:val="ListParagraph"/>
        <w:ind w:left="0"/>
        <w:jc w:val="both"/>
        <w:rPr>
          <w:rFonts w:ascii="Verdana" w:hAnsi="Verdana"/>
          <w:sz w:val="20"/>
          <w:szCs w:val="20"/>
        </w:rPr>
      </w:pPr>
    </w:p>
    <w:p w14:paraId="0C704B4B" w14:textId="2CAFFC04" w:rsidR="00F02DDD" w:rsidRPr="00A71698"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Sin embargo, el artículo 82 del Reglamento </w:t>
      </w:r>
      <w:r w:rsidR="009C098F">
        <w:rPr>
          <w:rFonts w:ascii="Verdana" w:hAnsi="Verdana"/>
          <w:sz w:val="20"/>
          <w:szCs w:val="20"/>
        </w:rPr>
        <w:t>de</w:t>
      </w:r>
      <w:r w:rsidR="009C098F" w:rsidRPr="00A71698">
        <w:rPr>
          <w:rFonts w:ascii="Verdana" w:hAnsi="Verdana"/>
          <w:sz w:val="20"/>
          <w:szCs w:val="20"/>
        </w:rPr>
        <w:t xml:space="preserve"> </w:t>
      </w:r>
      <w:r w:rsidRPr="00A71698">
        <w:rPr>
          <w:rFonts w:ascii="Verdana" w:hAnsi="Verdana"/>
          <w:sz w:val="20"/>
          <w:szCs w:val="20"/>
        </w:rPr>
        <w:t>la Ley General de Minerías establece que “[p]</w:t>
      </w:r>
      <w:proofErr w:type="spellStart"/>
      <w:r w:rsidRPr="00A71698">
        <w:rPr>
          <w:rFonts w:ascii="Verdana" w:hAnsi="Verdana"/>
          <w:sz w:val="20"/>
          <w:szCs w:val="20"/>
        </w:rPr>
        <w:t>revio</w:t>
      </w:r>
      <w:proofErr w:type="spellEnd"/>
      <w:r w:rsidRPr="00A71698">
        <w:rPr>
          <w:rFonts w:ascii="Verdana" w:hAnsi="Verdana"/>
          <w:sz w:val="20"/>
          <w:szCs w:val="20"/>
        </w:rPr>
        <w:t xml:space="preserve"> a la resolución del otorgamiento de la explotación, la Autoridad Minera solicitará a la Corporación Municipal respectiva y a la población, realizar una consulta en un plazo no mayor a sesenta (60) días calendario[.] La decisión adoptada por la consulta es vinculante para el otorgamiento de la concesión de explotación. Podrán participar en la consulta los ciudadanos domiciliados en el o los municipios consultados que estén inscritos como tales en el censo electoral de la última elección </w:t>
      </w:r>
      <w:proofErr w:type="gramStart"/>
      <w:r w:rsidRPr="00A71698">
        <w:rPr>
          <w:rFonts w:ascii="Verdana" w:hAnsi="Verdana"/>
          <w:sz w:val="20"/>
          <w:szCs w:val="20"/>
        </w:rPr>
        <w:t>general[</w:t>
      </w:r>
      <w:proofErr w:type="gramEnd"/>
      <w:r w:rsidRPr="00A71698">
        <w:rPr>
          <w:rFonts w:ascii="Verdana" w:hAnsi="Verdana"/>
          <w:sz w:val="20"/>
          <w:szCs w:val="20"/>
        </w:rPr>
        <w:t>.] Si el resultado de la consulta ciudadana fuere de oposición a la explotación, no se puede volver a realizar sino hasta después de tres (3) años”</w:t>
      </w:r>
      <w:r w:rsidRPr="00BF0B7E">
        <w:rPr>
          <w:rStyle w:val="FootnoteReference"/>
          <w:szCs w:val="20"/>
        </w:rPr>
        <w:footnoteReference w:id="245"/>
      </w:r>
      <w:r w:rsidRPr="00A71698">
        <w:rPr>
          <w:rFonts w:ascii="Verdana" w:hAnsi="Verdana"/>
          <w:sz w:val="20"/>
          <w:szCs w:val="20"/>
        </w:rPr>
        <w:t xml:space="preserve">.  </w:t>
      </w:r>
    </w:p>
    <w:p w14:paraId="0C704B4C" w14:textId="77777777" w:rsidR="00F02DDD" w:rsidRPr="00A71698" w:rsidRDefault="00F02DDD" w:rsidP="00F02DDD">
      <w:pPr>
        <w:pStyle w:val="ListParagraph"/>
        <w:rPr>
          <w:rFonts w:ascii="Verdana" w:hAnsi="Verdana"/>
          <w:sz w:val="20"/>
          <w:szCs w:val="20"/>
        </w:rPr>
      </w:pPr>
    </w:p>
    <w:p w14:paraId="0C704B4D" w14:textId="3B66FCF8" w:rsidR="00F02DDD" w:rsidRPr="00562440"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En virtud de lo anterior, la Corte constata que si bien la legislación de Honduras reconoce a los pueblos indígenas y </w:t>
      </w:r>
      <w:proofErr w:type="spellStart"/>
      <w:r w:rsidRPr="00A71698">
        <w:rPr>
          <w:rFonts w:ascii="Verdana" w:hAnsi="Verdana"/>
          <w:sz w:val="20"/>
          <w:szCs w:val="20"/>
        </w:rPr>
        <w:t>afrohondureños</w:t>
      </w:r>
      <w:proofErr w:type="spellEnd"/>
      <w:r w:rsidRPr="00A71698">
        <w:rPr>
          <w:rFonts w:ascii="Verdana" w:hAnsi="Verdana"/>
          <w:sz w:val="20"/>
          <w:szCs w:val="20"/>
        </w:rPr>
        <w:t xml:space="preserve"> el derecho a la consulta y lo refiere a los estándares internacionales, las disposiciones reglamentarias en materia de </w:t>
      </w:r>
      <w:r w:rsidRPr="00A71698">
        <w:rPr>
          <w:rFonts w:ascii="Verdana" w:hAnsi="Verdana"/>
          <w:sz w:val="20"/>
          <w:szCs w:val="20"/>
        </w:rPr>
        <w:lastRenderedPageBreak/>
        <w:t>minería supeditan su realización</w:t>
      </w:r>
      <w:r>
        <w:rPr>
          <w:rFonts w:ascii="Verdana" w:hAnsi="Verdana"/>
          <w:sz w:val="20"/>
          <w:szCs w:val="20"/>
        </w:rPr>
        <w:t xml:space="preserve"> a</w:t>
      </w:r>
      <w:r w:rsidRPr="00A71698">
        <w:rPr>
          <w:rFonts w:ascii="Verdana" w:hAnsi="Verdana"/>
          <w:sz w:val="20"/>
          <w:szCs w:val="20"/>
        </w:rPr>
        <w:t xml:space="preserve"> </w:t>
      </w:r>
      <w:r>
        <w:rPr>
          <w:rFonts w:ascii="Verdana" w:hAnsi="Verdana"/>
          <w:sz w:val="20"/>
          <w:szCs w:val="20"/>
        </w:rPr>
        <w:t xml:space="preserve">la fase inmediatamente anterior </w:t>
      </w:r>
      <w:r w:rsidRPr="00A71698">
        <w:rPr>
          <w:rFonts w:ascii="Verdana" w:hAnsi="Verdana"/>
          <w:sz w:val="20"/>
          <w:szCs w:val="20"/>
        </w:rPr>
        <w:t xml:space="preserve">a la </w:t>
      </w:r>
      <w:r>
        <w:rPr>
          <w:rFonts w:ascii="Verdana" w:hAnsi="Verdana"/>
          <w:sz w:val="20"/>
          <w:szCs w:val="20"/>
        </w:rPr>
        <w:t xml:space="preserve">autorización de la </w:t>
      </w:r>
      <w:r w:rsidRPr="00A71698">
        <w:rPr>
          <w:rFonts w:ascii="Verdana" w:hAnsi="Verdana"/>
          <w:sz w:val="20"/>
          <w:szCs w:val="20"/>
        </w:rPr>
        <w:t xml:space="preserve">explotación minera. En este sentido, dicha regulación carecería de la precisión necesaria de los estándares analizados sobre el derecho a la consulta, particularmente con lo señalado en </w:t>
      </w:r>
      <w:r w:rsidRPr="00A71698">
        <w:rPr>
          <w:rFonts w:ascii="Verdana" w:hAnsi="Verdana"/>
          <w:i/>
          <w:sz w:val="20"/>
          <w:szCs w:val="20"/>
        </w:rPr>
        <w:t xml:space="preserve">Caso Pueblo </w:t>
      </w:r>
      <w:proofErr w:type="spellStart"/>
      <w:r w:rsidRPr="00A71698">
        <w:rPr>
          <w:rFonts w:ascii="Verdana" w:hAnsi="Verdana"/>
          <w:i/>
          <w:sz w:val="20"/>
          <w:szCs w:val="20"/>
        </w:rPr>
        <w:t>Saramaka</w:t>
      </w:r>
      <w:proofErr w:type="spellEnd"/>
      <w:r w:rsidRPr="00A71698">
        <w:rPr>
          <w:rFonts w:ascii="Verdana" w:hAnsi="Verdana"/>
          <w:i/>
          <w:sz w:val="20"/>
          <w:szCs w:val="20"/>
        </w:rPr>
        <w:t xml:space="preserve"> Vs. Suriname</w:t>
      </w:r>
      <w:r w:rsidRPr="00A71698">
        <w:rPr>
          <w:rFonts w:ascii="Verdana" w:hAnsi="Verdana"/>
          <w:sz w:val="20"/>
          <w:szCs w:val="20"/>
        </w:rPr>
        <w:t xml:space="preserve"> y </w:t>
      </w:r>
      <w:r w:rsidRPr="00A71698">
        <w:rPr>
          <w:rFonts w:ascii="Verdana" w:hAnsi="Verdana"/>
          <w:i/>
          <w:sz w:val="20"/>
          <w:szCs w:val="20"/>
        </w:rPr>
        <w:t xml:space="preserve">Caso del </w:t>
      </w:r>
      <w:r w:rsidRPr="00A71698">
        <w:rPr>
          <w:rFonts w:ascii="Verdana" w:hAnsi="Verdana" w:cs="Verdana"/>
          <w:i/>
          <w:snapToGrid w:val="0"/>
          <w:sz w:val="20"/>
          <w:szCs w:val="20"/>
        </w:rPr>
        <w:t xml:space="preserve">Pueblo Indígena </w:t>
      </w:r>
      <w:proofErr w:type="spellStart"/>
      <w:r w:rsidRPr="00A71698">
        <w:rPr>
          <w:rFonts w:ascii="Verdana" w:hAnsi="Verdana" w:cs="Verdana"/>
          <w:i/>
          <w:snapToGrid w:val="0"/>
          <w:sz w:val="20"/>
          <w:szCs w:val="20"/>
        </w:rPr>
        <w:t>Kichwa</w:t>
      </w:r>
      <w:proofErr w:type="spellEnd"/>
      <w:r w:rsidRPr="00A71698">
        <w:rPr>
          <w:rFonts w:ascii="Verdana" w:hAnsi="Verdana" w:cs="Verdana"/>
          <w:i/>
          <w:snapToGrid w:val="0"/>
          <w:sz w:val="20"/>
          <w:szCs w:val="20"/>
        </w:rPr>
        <w:t xml:space="preserve"> de </w:t>
      </w:r>
      <w:proofErr w:type="spellStart"/>
      <w:r w:rsidRPr="00A71698">
        <w:rPr>
          <w:rFonts w:ascii="Verdana" w:hAnsi="Verdana" w:cs="Verdana"/>
          <w:i/>
          <w:snapToGrid w:val="0"/>
          <w:sz w:val="20"/>
          <w:szCs w:val="20"/>
        </w:rPr>
        <w:t>Sarayaku</w:t>
      </w:r>
      <w:proofErr w:type="spellEnd"/>
      <w:r w:rsidRPr="00A71698">
        <w:rPr>
          <w:rFonts w:ascii="Verdana" w:hAnsi="Verdana" w:cs="Verdana"/>
          <w:i/>
          <w:snapToGrid w:val="0"/>
          <w:sz w:val="20"/>
          <w:szCs w:val="20"/>
        </w:rPr>
        <w:t xml:space="preserve"> Vs. Ecuador,</w:t>
      </w:r>
      <w:r w:rsidRPr="00A71698">
        <w:rPr>
          <w:rFonts w:ascii="Verdana" w:hAnsi="Verdana"/>
          <w:sz w:val="20"/>
          <w:szCs w:val="20"/>
        </w:rPr>
        <w:t xml:space="preserve"> </w:t>
      </w:r>
      <w:r>
        <w:rPr>
          <w:rFonts w:ascii="Verdana" w:hAnsi="Verdana"/>
          <w:sz w:val="20"/>
          <w:szCs w:val="20"/>
        </w:rPr>
        <w:t>según</w:t>
      </w:r>
      <w:r w:rsidRPr="00A71698">
        <w:rPr>
          <w:rFonts w:ascii="Verdana" w:hAnsi="Verdana"/>
          <w:sz w:val="20"/>
          <w:szCs w:val="20"/>
        </w:rPr>
        <w:t xml:space="preserve"> los cuales la consulta debe realizarse en las primeras etapas del proyecto</w:t>
      </w:r>
      <w:r>
        <w:rPr>
          <w:rFonts w:ascii="Verdana" w:hAnsi="Verdana"/>
          <w:sz w:val="20"/>
          <w:szCs w:val="20"/>
        </w:rPr>
        <w:t xml:space="preserve">; es decir, </w:t>
      </w:r>
      <w:r w:rsidRPr="00A71698">
        <w:rPr>
          <w:rFonts w:ascii="Verdana" w:hAnsi="Verdana"/>
          <w:sz w:val="20"/>
          <w:szCs w:val="20"/>
        </w:rPr>
        <w:t>de forma previa a la autorización programas de prospección o exploración</w:t>
      </w:r>
      <w:r>
        <w:rPr>
          <w:rFonts w:ascii="Verdana" w:hAnsi="Verdana"/>
          <w:sz w:val="20"/>
          <w:szCs w:val="20"/>
        </w:rPr>
        <w:t xml:space="preserve"> con las salvedades antes expuestas (</w:t>
      </w:r>
      <w:r w:rsidR="0086236B" w:rsidRPr="00A0324F">
        <w:rPr>
          <w:rFonts w:ascii="Verdana" w:hAnsi="Verdana"/>
          <w:i/>
          <w:sz w:val="20"/>
          <w:szCs w:val="20"/>
        </w:rPr>
        <w:t>supra</w:t>
      </w:r>
      <w:r>
        <w:rPr>
          <w:rFonts w:ascii="Verdana" w:hAnsi="Verdana"/>
          <w:sz w:val="20"/>
          <w:szCs w:val="20"/>
        </w:rPr>
        <w:t xml:space="preserve"> párr. </w:t>
      </w:r>
      <w:r w:rsidR="009F2F29">
        <w:rPr>
          <w:rFonts w:ascii="Verdana" w:hAnsi="Verdana"/>
          <w:sz w:val="20"/>
          <w:szCs w:val="20"/>
        </w:rPr>
        <w:t>218</w:t>
      </w:r>
      <w:r>
        <w:rPr>
          <w:rFonts w:ascii="Verdana" w:hAnsi="Verdana"/>
          <w:sz w:val="20"/>
          <w:szCs w:val="20"/>
        </w:rPr>
        <w:t>). No obstante, la Corte ha señalado que la consulta además de constituir una obligación convencional es también un principio general del derecho internacional</w:t>
      </w:r>
      <w:r w:rsidRPr="00FB5679">
        <w:rPr>
          <w:rStyle w:val="FootnoteReference"/>
          <w:snapToGrid w:val="0"/>
          <w:szCs w:val="20"/>
        </w:rPr>
        <w:footnoteReference w:id="246"/>
      </w:r>
      <w:r>
        <w:rPr>
          <w:rFonts w:ascii="Verdana" w:hAnsi="Verdana"/>
          <w:sz w:val="20"/>
          <w:szCs w:val="20"/>
        </w:rPr>
        <w:t xml:space="preserve">, </w:t>
      </w:r>
      <w:r w:rsidR="009F2F29">
        <w:rPr>
          <w:rFonts w:ascii="Verdana" w:hAnsi="Verdana"/>
          <w:sz w:val="20"/>
          <w:szCs w:val="20"/>
        </w:rPr>
        <w:t>que</w:t>
      </w:r>
      <w:r>
        <w:rPr>
          <w:rFonts w:ascii="Verdana" w:hAnsi="Verdana"/>
          <w:sz w:val="20"/>
          <w:szCs w:val="20"/>
        </w:rPr>
        <w:t xml:space="preserve"> los Estados deben de cumplir, independientemente de que esté regulada expresamente en su legislación, por lo que la exigencia consiste en que el Estado cuente con mecanismos adecuados y efectivos para garantizar el proceso de consulta en estos casos, sin perjuicio de que pueda ser precisada en ley. </w:t>
      </w:r>
    </w:p>
    <w:p w14:paraId="0C704B4E" w14:textId="77777777" w:rsidR="00F02DDD" w:rsidRPr="005906E7" w:rsidRDefault="00F02DDD" w:rsidP="00F02DDD">
      <w:pPr>
        <w:pStyle w:val="ListParagraph"/>
        <w:rPr>
          <w:rFonts w:ascii="Verdana" w:hAnsi="Verdana"/>
          <w:sz w:val="20"/>
          <w:szCs w:val="20"/>
        </w:rPr>
      </w:pPr>
    </w:p>
    <w:p w14:paraId="0C704B4F" w14:textId="77777777" w:rsidR="00F02DDD" w:rsidRDefault="00F02DDD" w:rsidP="00F02DDD">
      <w:pPr>
        <w:pStyle w:val="ListParagraph"/>
        <w:numPr>
          <w:ilvl w:val="0"/>
          <w:numId w:val="17"/>
        </w:numPr>
        <w:ind w:left="0" w:hanging="11"/>
        <w:jc w:val="both"/>
      </w:pPr>
      <w:r w:rsidRPr="008932E5">
        <w:rPr>
          <w:rFonts w:ascii="Verdana" w:hAnsi="Verdana"/>
          <w:sz w:val="20"/>
          <w:szCs w:val="20"/>
        </w:rPr>
        <w:t xml:space="preserve">Al respecto, ya en el </w:t>
      </w:r>
      <w:r w:rsidRPr="008932E5">
        <w:rPr>
          <w:rFonts w:ascii="Verdana" w:hAnsi="Verdana"/>
          <w:i/>
          <w:sz w:val="20"/>
          <w:szCs w:val="20"/>
        </w:rPr>
        <w:t xml:space="preserve">Caso del </w:t>
      </w:r>
      <w:r w:rsidRPr="008932E5">
        <w:rPr>
          <w:rFonts w:ascii="Verdana" w:hAnsi="Verdana" w:cs="Verdana"/>
          <w:i/>
          <w:snapToGrid w:val="0"/>
          <w:sz w:val="20"/>
          <w:szCs w:val="20"/>
        </w:rPr>
        <w:t xml:space="preserve">Pueblo Indígena </w:t>
      </w:r>
      <w:proofErr w:type="spellStart"/>
      <w:r w:rsidRPr="008932E5">
        <w:rPr>
          <w:rFonts w:ascii="Verdana" w:hAnsi="Verdana" w:cs="Verdana"/>
          <w:i/>
          <w:snapToGrid w:val="0"/>
          <w:sz w:val="20"/>
          <w:szCs w:val="20"/>
        </w:rPr>
        <w:t>Kichwa</w:t>
      </w:r>
      <w:proofErr w:type="spellEnd"/>
      <w:r w:rsidRPr="008932E5">
        <w:rPr>
          <w:rFonts w:ascii="Verdana" w:hAnsi="Verdana" w:cs="Verdana"/>
          <w:i/>
          <w:snapToGrid w:val="0"/>
          <w:sz w:val="20"/>
          <w:szCs w:val="20"/>
        </w:rPr>
        <w:t xml:space="preserve"> de </w:t>
      </w:r>
      <w:proofErr w:type="spellStart"/>
      <w:r w:rsidRPr="008932E5">
        <w:rPr>
          <w:rFonts w:ascii="Verdana" w:hAnsi="Verdana" w:cs="Verdana"/>
          <w:i/>
          <w:snapToGrid w:val="0"/>
          <w:sz w:val="20"/>
          <w:szCs w:val="20"/>
        </w:rPr>
        <w:t>Sarayaku</w:t>
      </w:r>
      <w:proofErr w:type="spellEnd"/>
      <w:r w:rsidRPr="008932E5">
        <w:rPr>
          <w:rFonts w:ascii="Verdana" w:hAnsi="Verdana" w:cs="Verdana"/>
          <w:i/>
          <w:snapToGrid w:val="0"/>
          <w:sz w:val="20"/>
          <w:szCs w:val="20"/>
        </w:rPr>
        <w:t xml:space="preserve"> Vs. Ecuador</w:t>
      </w:r>
      <w:r w:rsidRPr="00FB5679">
        <w:rPr>
          <w:rStyle w:val="FootnoteReference"/>
          <w:snapToGrid w:val="0"/>
          <w:szCs w:val="20"/>
        </w:rPr>
        <w:footnoteReference w:id="247"/>
      </w:r>
      <w:r w:rsidRPr="00FB5679">
        <w:rPr>
          <w:rFonts w:ascii="Verdana" w:hAnsi="Verdana" w:cs="Verdana"/>
          <w:snapToGrid w:val="0"/>
          <w:sz w:val="20"/>
          <w:szCs w:val="20"/>
        </w:rPr>
        <w:t xml:space="preserve">, la Corte verificó que </w:t>
      </w:r>
      <w:r w:rsidRPr="008932E5">
        <w:rPr>
          <w:rFonts w:ascii="Verdana" w:hAnsi="Verdana"/>
          <w:sz w:val="20"/>
          <w:szCs w:val="20"/>
        </w:rPr>
        <w:t>d</w:t>
      </w:r>
      <w:r w:rsidRPr="00FB5679">
        <w:rPr>
          <w:rFonts w:ascii="Verdana" w:hAnsi="Verdana"/>
          <w:sz w:val="20"/>
          <w:szCs w:val="20"/>
        </w:rPr>
        <w:t>iversos Estados miembros de la Organización de los Estados Americanos,</w:t>
      </w:r>
      <w:r w:rsidRPr="008932E5">
        <w:rPr>
          <w:rFonts w:ascii="Verdana" w:hAnsi="Verdana"/>
          <w:sz w:val="20"/>
          <w:szCs w:val="20"/>
        </w:rPr>
        <w:t xml:space="preserve"> entre ellos </w:t>
      </w:r>
      <w:r w:rsidRPr="00FB5679">
        <w:rPr>
          <w:rFonts w:ascii="Verdana" w:hAnsi="Verdana"/>
          <w:sz w:val="20"/>
          <w:szCs w:val="20"/>
        </w:rPr>
        <w:t>Argentina, Bolivia, Chile, Colombia, México, Nicaragua, Paraguay, Perú y Venezuela, a través de su normatividad interna</w:t>
      </w:r>
      <w:r>
        <w:rPr>
          <w:rFonts w:ascii="Verdana" w:hAnsi="Verdana"/>
          <w:sz w:val="20"/>
          <w:szCs w:val="20"/>
        </w:rPr>
        <w:t>, así como otros países a través</w:t>
      </w:r>
      <w:r w:rsidRPr="00FB5679">
        <w:rPr>
          <w:rFonts w:ascii="Verdana" w:hAnsi="Verdana"/>
          <w:sz w:val="20"/>
          <w:szCs w:val="20"/>
        </w:rPr>
        <w:t xml:space="preserve"> de sus más altos tribunales de justicia</w:t>
      </w:r>
      <w:r>
        <w:rPr>
          <w:rFonts w:ascii="Verdana" w:hAnsi="Verdana"/>
          <w:sz w:val="20"/>
          <w:szCs w:val="20"/>
        </w:rPr>
        <w:t xml:space="preserve">, tales como: </w:t>
      </w:r>
      <w:r w:rsidR="009F2F29">
        <w:rPr>
          <w:rFonts w:ascii="Verdana" w:hAnsi="Verdana"/>
          <w:sz w:val="20"/>
          <w:szCs w:val="20"/>
        </w:rPr>
        <w:t xml:space="preserve">Argentina, </w:t>
      </w:r>
      <w:r>
        <w:rPr>
          <w:rFonts w:ascii="Verdana" w:hAnsi="Verdana"/>
          <w:sz w:val="20"/>
          <w:szCs w:val="20"/>
        </w:rPr>
        <w:t>Belice, Bolivia, Brasil, Chile, Colombia, Costa Rica, Ecuador</w:t>
      </w:r>
      <w:r w:rsidRPr="00FB5679">
        <w:rPr>
          <w:rFonts w:ascii="Verdana" w:hAnsi="Verdana"/>
          <w:sz w:val="20"/>
          <w:szCs w:val="20"/>
        </w:rPr>
        <w:t>,</w:t>
      </w:r>
      <w:r>
        <w:rPr>
          <w:rFonts w:ascii="Verdana" w:hAnsi="Verdana"/>
          <w:sz w:val="20"/>
          <w:szCs w:val="20"/>
        </w:rPr>
        <w:t xml:space="preserve"> Guatemala, México, Perú, Venezuela, </w:t>
      </w:r>
      <w:r w:rsidRPr="00FB5679">
        <w:rPr>
          <w:rFonts w:ascii="Verdana" w:hAnsi="Verdana"/>
          <w:sz w:val="20"/>
          <w:szCs w:val="20"/>
        </w:rPr>
        <w:t xml:space="preserve">han incorporado </w:t>
      </w:r>
      <w:r w:rsidRPr="008932E5">
        <w:rPr>
          <w:rFonts w:ascii="Verdana" w:hAnsi="Verdana"/>
          <w:sz w:val="20"/>
          <w:szCs w:val="20"/>
        </w:rPr>
        <w:t xml:space="preserve">la obligación de consultar previamente </w:t>
      </w:r>
      <w:r w:rsidRPr="00FB5679">
        <w:rPr>
          <w:rFonts w:ascii="Verdana" w:hAnsi="Verdana"/>
          <w:sz w:val="20"/>
          <w:szCs w:val="20"/>
        </w:rPr>
        <w:t>con las comunidades indígenas sobre cualquier medida administrativa o legislativa que los afecte directamente</w:t>
      </w:r>
      <w:r w:rsidRPr="008932E5">
        <w:rPr>
          <w:rFonts w:ascii="Verdana" w:hAnsi="Verdana"/>
          <w:sz w:val="20"/>
          <w:szCs w:val="20"/>
        </w:rPr>
        <w:t xml:space="preserve">. </w:t>
      </w:r>
    </w:p>
    <w:p w14:paraId="0C704B50" w14:textId="77777777" w:rsidR="00F02DDD" w:rsidRPr="005906E7" w:rsidRDefault="00F02DDD" w:rsidP="00F02DDD">
      <w:pPr>
        <w:rPr>
          <w:rFonts w:ascii="Verdana" w:hAnsi="Verdana"/>
          <w:sz w:val="20"/>
          <w:szCs w:val="20"/>
          <w:lang w:val="es-CR"/>
        </w:rPr>
      </w:pPr>
    </w:p>
    <w:p w14:paraId="0C704B51" w14:textId="52ED6586" w:rsidR="00BF0B7E" w:rsidRPr="00BF0B7E" w:rsidRDefault="00F02DDD" w:rsidP="00F02DDD">
      <w:pPr>
        <w:pStyle w:val="ListParagraph"/>
        <w:numPr>
          <w:ilvl w:val="0"/>
          <w:numId w:val="17"/>
        </w:numPr>
        <w:ind w:left="0" w:hanging="11"/>
        <w:jc w:val="both"/>
        <w:rPr>
          <w:rFonts w:ascii="Verdana" w:hAnsi="Verdana"/>
          <w:sz w:val="20"/>
          <w:szCs w:val="20"/>
        </w:rPr>
      </w:pPr>
      <w:r w:rsidRPr="00A71698">
        <w:rPr>
          <w:rFonts w:ascii="Verdana" w:hAnsi="Verdana"/>
          <w:sz w:val="20"/>
          <w:szCs w:val="20"/>
        </w:rPr>
        <w:t xml:space="preserve">En consecuencia, la Corte ha constatado que el Estado no efectuó un proceso adecuado y efectivo que garantizara el derecho a la consulta de la Comunidad Garífuna de Punta Piedra frente al proyecto de exploración en su territorio. Asimismo, la </w:t>
      </w:r>
      <w:r w:rsidR="009F2F29">
        <w:rPr>
          <w:rFonts w:ascii="Verdana" w:hAnsi="Verdana"/>
          <w:sz w:val="20"/>
          <w:szCs w:val="20"/>
        </w:rPr>
        <w:t>normatividad</w:t>
      </w:r>
      <w:r w:rsidR="009F2F29" w:rsidRPr="00A71698">
        <w:rPr>
          <w:rFonts w:ascii="Verdana" w:hAnsi="Verdana"/>
          <w:sz w:val="20"/>
          <w:szCs w:val="20"/>
        </w:rPr>
        <w:t xml:space="preserve"> </w:t>
      </w:r>
      <w:r w:rsidRPr="00BD2416">
        <w:rPr>
          <w:rFonts w:ascii="Verdana" w:hAnsi="Verdana"/>
          <w:sz w:val="20"/>
          <w:szCs w:val="20"/>
        </w:rPr>
        <w:t>interna</w:t>
      </w:r>
      <w:r>
        <w:rPr>
          <w:rFonts w:ascii="Verdana" w:hAnsi="Verdana"/>
          <w:sz w:val="20"/>
          <w:szCs w:val="20"/>
        </w:rPr>
        <w:t xml:space="preserve"> </w:t>
      </w:r>
      <w:r w:rsidRPr="00BD2416">
        <w:rPr>
          <w:rFonts w:ascii="Verdana" w:hAnsi="Verdana"/>
          <w:sz w:val="20"/>
          <w:szCs w:val="20"/>
        </w:rPr>
        <w:t xml:space="preserve">carecería de precisión respecto de las etapas previas de la consulta, </w:t>
      </w:r>
      <w:r>
        <w:rPr>
          <w:rFonts w:ascii="Verdana" w:hAnsi="Verdana"/>
          <w:sz w:val="20"/>
          <w:szCs w:val="20"/>
        </w:rPr>
        <w:t xml:space="preserve">lo cual derivó en el incumplimiento de la misma para efectos del presente caso. </w:t>
      </w:r>
      <w:r w:rsidRPr="00BD2416">
        <w:rPr>
          <w:rFonts w:ascii="Verdana" w:hAnsi="Verdana"/>
          <w:sz w:val="20"/>
          <w:szCs w:val="20"/>
        </w:rPr>
        <w:t>Por lo tanto, la Corte concluye que el Estado es responsable por la violación del</w:t>
      </w:r>
      <w:r w:rsidR="00A22263">
        <w:rPr>
          <w:rFonts w:ascii="Verdana" w:hAnsi="Verdana"/>
          <w:sz w:val="20"/>
          <w:szCs w:val="20"/>
        </w:rPr>
        <w:t xml:space="preserve"> derecho a la propiedad comunal</w:t>
      </w:r>
      <w:r w:rsidRPr="00BD2416">
        <w:rPr>
          <w:rFonts w:ascii="Verdana" w:hAnsi="Verdana"/>
          <w:sz w:val="20"/>
          <w:szCs w:val="20"/>
        </w:rPr>
        <w:t xml:space="preserve"> reconocido en el artículo 21 de la Convención</w:t>
      </w:r>
      <w:r w:rsidR="00A0324F">
        <w:rPr>
          <w:rFonts w:ascii="Verdana" w:hAnsi="Verdana"/>
          <w:sz w:val="20"/>
          <w:szCs w:val="20"/>
        </w:rPr>
        <w:t>,</w:t>
      </w:r>
      <w:r w:rsidRPr="00BD2416">
        <w:rPr>
          <w:rFonts w:ascii="Verdana" w:hAnsi="Verdana"/>
          <w:sz w:val="20"/>
          <w:szCs w:val="20"/>
        </w:rPr>
        <w:t xml:space="preserve"> </w:t>
      </w:r>
      <w:r w:rsidR="00F41C2A">
        <w:rPr>
          <w:rFonts w:ascii="Verdana" w:hAnsi="Verdana"/>
          <w:sz w:val="20"/>
          <w:szCs w:val="20"/>
        </w:rPr>
        <w:t>así como</w:t>
      </w:r>
      <w:r w:rsidR="00B960A3">
        <w:rPr>
          <w:rFonts w:ascii="Verdana" w:hAnsi="Verdana"/>
          <w:sz w:val="20"/>
          <w:szCs w:val="20"/>
        </w:rPr>
        <w:t xml:space="preserve"> </w:t>
      </w:r>
      <w:r w:rsidR="00F41C2A">
        <w:rPr>
          <w:rFonts w:ascii="Verdana" w:hAnsi="Verdana"/>
          <w:sz w:val="20"/>
          <w:szCs w:val="20"/>
        </w:rPr>
        <w:t xml:space="preserve">de </w:t>
      </w:r>
      <w:r>
        <w:rPr>
          <w:rFonts w:ascii="Verdana" w:hAnsi="Verdana"/>
          <w:sz w:val="20"/>
          <w:szCs w:val="20"/>
        </w:rPr>
        <w:t>los</w:t>
      </w:r>
      <w:r w:rsidRPr="00BD2416">
        <w:rPr>
          <w:rFonts w:ascii="Verdana" w:hAnsi="Verdana"/>
          <w:sz w:val="20"/>
          <w:szCs w:val="20"/>
        </w:rPr>
        <w:t xml:space="preserve"> artículo</w:t>
      </w:r>
      <w:r>
        <w:rPr>
          <w:rFonts w:ascii="Verdana" w:hAnsi="Verdana"/>
          <w:sz w:val="20"/>
          <w:szCs w:val="20"/>
        </w:rPr>
        <w:t>s</w:t>
      </w:r>
      <w:r w:rsidRPr="00BD2416">
        <w:rPr>
          <w:rFonts w:ascii="Verdana" w:hAnsi="Verdana"/>
          <w:sz w:val="20"/>
          <w:szCs w:val="20"/>
        </w:rPr>
        <w:t xml:space="preserve"> 1.1 </w:t>
      </w:r>
      <w:r>
        <w:rPr>
          <w:rFonts w:ascii="Verdana" w:hAnsi="Verdana"/>
          <w:sz w:val="20"/>
          <w:szCs w:val="20"/>
        </w:rPr>
        <w:t xml:space="preserve">y 2 </w:t>
      </w:r>
      <w:r w:rsidRPr="00BD2416">
        <w:rPr>
          <w:rFonts w:ascii="Verdana" w:hAnsi="Verdana"/>
          <w:sz w:val="20"/>
          <w:szCs w:val="20"/>
        </w:rPr>
        <w:t>del mismo</w:t>
      </w:r>
      <w:r w:rsidR="00D547D3">
        <w:rPr>
          <w:rFonts w:ascii="Verdana" w:hAnsi="Verdana"/>
          <w:sz w:val="20"/>
          <w:szCs w:val="20"/>
        </w:rPr>
        <w:t xml:space="preserve"> instrumento</w:t>
      </w:r>
      <w:r w:rsidR="00A22263">
        <w:rPr>
          <w:rFonts w:ascii="Verdana" w:hAnsi="Verdana"/>
          <w:sz w:val="20"/>
          <w:szCs w:val="20"/>
        </w:rPr>
        <w:t xml:space="preserve"> en relación con</w:t>
      </w:r>
      <w:r w:rsidR="00F41C2A" w:rsidRPr="00F41C2A">
        <w:rPr>
          <w:rFonts w:ascii="Verdana" w:hAnsi="Verdana"/>
          <w:sz w:val="20"/>
          <w:szCs w:val="20"/>
        </w:rPr>
        <w:t xml:space="preserve"> </w:t>
      </w:r>
      <w:r w:rsidR="00F41C2A">
        <w:rPr>
          <w:rFonts w:ascii="Verdana" w:hAnsi="Verdana"/>
          <w:sz w:val="20"/>
          <w:szCs w:val="20"/>
        </w:rPr>
        <w:t>e</w:t>
      </w:r>
      <w:r w:rsidR="00F41C2A" w:rsidRPr="00BD2416">
        <w:rPr>
          <w:rFonts w:ascii="Verdana" w:hAnsi="Verdana"/>
          <w:sz w:val="20"/>
          <w:szCs w:val="20"/>
        </w:rPr>
        <w:t>l derecho a la identidad cultural</w:t>
      </w:r>
      <w:r w:rsidRPr="00BF0B7E">
        <w:rPr>
          <w:rStyle w:val="FootnoteReference"/>
          <w:szCs w:val="20"/>
        </w:rPr>
        <w:footnoteReference w:id="248"/>
      </w:r>
      <w:r w:rsidR="00A0324F">
        <w:rPr>
          <w:rFonts w:ascii="Verdana" w:hAnsi="Verdana"/>
          <w:sz w:val="20"/>
          <w:szCs w:val="20"/>
        </w:rPr>
        <w:t>,</w:t>
      </w:r>
      <w:r w:rsidRPr="00BD2416">
        <w:rPr>
          <w:rFonts w:ascii="Verdana" w:hAnsi="Verdana"/>
          <w:sz w:val="20"/>
          <w:szCs w:val="20"/>
        </w:rPr>
        <w:t xml:space="preserve"> </w:t>
      </w:r>
      <w:r w:rsidR="009F2F29">
        <w:rPr>
          <w:rFonts w:ascii="Verdana" w:hAnsi="Verdana"/>
          <w:sz w:val="20"/>
          <w:szCs w:val="20"/>
        </w:rPr>
        <w:t xml:space="preserve">en perjuicio </w:t>
      </w:r>
      <w:r w:rsidRPr="00BD2416">
        <w:rPr>
          <w:rFonts w:ascii="Verdana" w:hAnsi="Verdana"/>
          <w:sz w:val="20"/>
          <w:szCs w:val="20"/>
        </w:rPr>
        <w:t>de la Comunidad de Punta Piedra</w:t>
      </w:r>
      <w:r w:rsidR="00F41C2A">
        <w:rPr>
          <w:rFonts w:ascii="Verdana" w:hAnsi="Verdana"/>
          <w:sz w:val="20"/>
          <w:szCs w:val="20"/>
        </w:rPr>
        <w:t xml:space="preserve"> y sus miembros</w:t>
      </w:r>
      <w:r w:rsidRPr="00BD2416">
        <w:rPr>
          <w:rFonts w:ascii="Verdana" w:hAnsi="Verdana"/>
          <w:sz w:val="20"/>
          <w:szCs w:val="20"/>
        </w:rPr>
        <w:t>.</w:t>
      </w:r>
    </w:p>
    <w:p w14:paraId="0C704B52" w14:textId="77777777" w:rsidR="00D462DA" w:rsidRPr="00E868D8" w:rsidRDefault="00D462DA" w:rsidP="00D22B93">
      <w:pPr>
        <w:jc w:val="both"/>
        <w:rPr>
          <w:rFonts w:ascii="Verdana" w:hAnsi="Verdana"/>
          <w:sz w:val="20"/>
          <w:szCs w:val="20"/>
        </w:rPr>
      </w:pPr>
    </w:p>
    <w:p w14:paraId="0C704B53" w14:textId="026500A5" w:rsidR="00F02DDD" w:rsidRPr="009E4F38" w:rsidRDefault="00A17487" w:rsidP="00F02DDD">
      <w:pPr>
        <w:pStyle w:val="Heading1"/>
        <w:tabs>
          <w:tab w:val="left" w:pos="851"/>
        </w:tabs>
        <w:spacing w:before="0"/>
        <w:jc w:val="center"/>
        <w:rPr>
          <w:rFonts w:ascii="Verdana" w:hAnsi="Verdana" w:cs="Verdana"/>
          <w:caps/>
          <w:snapToGrid w:val="0"/>
          <w:sz w:val="20"/>
          <w:szCs w:val="20"/>
        </w:rPr>
      </w:pPr>
      <w:bookmarkStart w:id="95" w:name="_Toc437247358"/>
      <w:bookmarkStart w:id="96" w:name="_Toc421868227"/>
      <w:r>
        <w:rPr>
          <w:rFonts w:ascii="Verdana" w:hAnsi="Verdana" w:cs="Verdana"/>
          <w:caps/>
          <w:snapToGrid w:val="0"/>
          <w:color w:val="auto"/>
          <w:sz w:val="20"/>
          <w:szCs w:val="20"/>
        </w:rPr>
        <w:t>ix</w:t>
      </w:r>
      <w:r w:rsidR="00F02DDD">
        <w:rPr>
          <w:rFonts w:ascii="Verdana" w:hAnsi="Verdana" w:cs="Verdana"/>
          <w:caps/>
          <w:snapToGrid w:val="0"/>
          <w:color w:val="auto"/>
          <w:sz w:val="20"/>
          <w:szCs w:val="20"/>
        </w:rPr>
        <w:t>-2</w:t>
      </w:r>
      <w:r w:rsidR="00F02DDD" w:rsidRPr="00896FB3">
        <w:rPr>
          <w:rFonts w:ascii="Verdana" w:hAnsi="Verdana" w:cs="Verdana"/>
          <w:caps/>
          <w:snapToGrid w:val="0"/>
          <w:color w:val="auto"/>
          <w:sz w:val="20"/>
          <w:szCs w:val="20"/>
        </w:rPr>
        <w:br/>
        <w:t>derec</w:t>
      </w:r>
      <w:r w:rsidR="00F02DDD">
        <w:rPr>
          <w:rFonts w:ascii="Verdana" w:hAnsi="Verdana" w:cs="Verdana"/>
          <w:caps/>
          <w:snapToGrid w:val="0"/>
          <w:color w:val="auto"/>
          <w:sz w:val="20"/>
          <w:szCs w:val="20"/>
        </w:rPr>
        <w:t xml:space="preserve">ho a la protección judicial </w:t>
      </w:r>
      <w:r w:rsidR="00F02DDD" w:rsidRPr="00896FB3">
        <w:rPr>
          <w:rFonts w:ascii="Verdana" w:hAnsi="Verdana" w:cs="Verdana"/>
          <w:caps/>
          <w:snapToGrid w:val="0"/>
          <w:color w:val="auto"/>
          <w:sz w:val="20"/>
          <w:szCs w:val="20"/>
        </w:rPr>
        <w:t>en relación con los artículos 1.1 y 2 de la convención americana</w:t>
      </w:r>
      <w:bookmarkEnd w:id="95"/>
    </w:p>
    <w:p w14:paraId="0C704B54" w14:textId="77777777" w:rsidR="00F02DDD" w:rsidRDefault="00F02DDD" w:rsidP="00F02DDD">
      <w:pPr>
        <w:tabs>
          <w:tab w:val="left" w:pos="567"/>
        </w:tabs>
        <w:rPr>
          <w:rFonts w:ascii="Verdana" w:eastAsia="Times New Roman" w:hAnsi="Verdana"/>
          <w:b/>
          <w:spacing w:val="-2"/>
          <w:sz w:val="20"/>
          <w:szCs w:val="20"/>
          <w:lang w:val="es-CR" w:eastAsia="es-ES"/>
        </w:rPr>
      </w:pPr>
    </w:p>
    <w:p w14:paraId="0C704B55" w14:textId="77777777" w:rsidR="00F02DDD" w:rsidRPr="00AE2259" w:rsidRDefault="00F02DDD" w:rsidP="00F02DDD">
      <w:pPr>
        <w:pStyle w:val="ListParagraph"/>
        <w:numPr>
          <w:ilvl w:val="0"/>
          <w:numId w:val="17"/>
        </w:numPr>
        <w:tabs>
          <w:tab w:val="left" w:pos="567"/>
        </w:tabs>
        <w:ind w:left="0" w:hanging="11"/>
        <w:jc w:val="both"/>
        <w:rPr>
          <w:rFonts w:ascii="Verdana" w:eastAsia="Times New Roman" w:hAnsi="Verdana"/>
          <w:sz w:val="20"/>
          <w:szCs w:val="20"/>
        </w:rPr>
      </w:pPr>
      <w:r w:rsidRPr="00AE2259">
        <w:rPr>
          <w:rFonts w:ascii="Verdana" w:hAnsi="Verdana"/>
          <w:spacing w:val="-2"/>
          <w:sz w:val="20"/>
          <w:szCs w:val="20"/>
          <w:lang w:val="es-CR"/>
        </w:rPr>
        <w:t>El Tribunal analizará en este apartado las controversias respecto de la violación del artículo 25 de la Convención, en relación con los artículos 1.1 y 2 de ese tratado, por lo que valorará los procedimientos para la protección de la propiedad de la Comunidad de Punta Piedra frente a terceros y los mecanismos utilizados para lograr la reivindicación de sus tierras.</w:t>
      </w:r>
    </w:p>
    <w:p w14:paraId="0C704B56" w14:textId="77777777" w:rsidR="00F02DDD" w:rsidRPr="006711D8" w:rsidRDefault="00F02DDD" w:rsidP="00F02DDD">
      <w:pPr>
        <w:tabs>
          <w:tab w:val="left" w:pos="567"/>
        </w:tabs>
        <w:rPr>
          <w:rFonts w:ascii="Verdana" w:eastAsia="Times New Roman" w:hAnsi="Verdana"/>
          <w:b/>
          <w:spacing w:val="-2"/>
          <w:sz w:val="20"/>
          <w:szCs w:val="20"/>
          <w:lang w:val="es-CR" w:eastAsia="es-ES"/>
        </w:rPr>
      </w:pPr>
    </w:p>
    <w:p w14:paraId="0C704B57" w14:textId="77777777" w:rsidR="00F02DDD" w:rsidRPr="00896FB3" w:rsidRDefault="00F02DDD" w:rsidP="00F02DDD">
      <w:pPr>
        <w:pStyle w:val="Heading2"/>
        <w:numPr>
          <w:ilvl w:val="0"/>
          <w:numId w:val="21"/>
        </w:numPr>
        <w:spacing w:before="0"/>
        <w:rPr>
          <w:rFonts w:ascii="Verdana" w:hAnsi="Verdana"/>
          <w:i/>
          <w:color w:val="auto"/>
          <w:sz w:val="20"/>
          <w:szCs w:val="20"/>
        </w:rPr>
      </w:pPr>
      <w:bookmarkStart w:id="97" w:name="_Toc437247359"/>
      <w:r w:rsidRPr="00896FB3">
        <w:rPr>
          <w:rFonts w:ascii="Verdana" w:hAnsi="Verdana"/>
          <w:i/>
          <w:color w:val="auto"/>
          <w:sz w:val="20"/>
          <w:szCs w:val="20"/>
        </w:rPr>
        <w:t>Argumentos de las partes y de la Comisión</w:t>
      </w:r>
      <w:bookmarkEnd w:id="97"/>
    </w:p>
    <w:p w14:paraId="0C704B58" w14:textId="77777777" w:rsidR="00F02DDD" w:rsidRPr="006F06F8" w:rsidRDefault="00F02DDD" w:rsidP="00F02DDD">
      <w:pPr>
        <w:tabs>
          <w:tab w:val="left" w:pos="567"/>
        </w:tabs>
        <w:jc w:val="both"/>
        <w:rPr>
          <w:rFonts w:ascii="Verdana" w:eastAsia="Times New Roman" w:hAnsi="Verdana"/>
          <w:b/>
          <w:spacing w:val="-2"/>
          <w:sz w:val="20"/>
          <w:szCs w:val="20"/>
          <w:lang w:val="es-CR" w:eastAsia="es-ES"/>
        </w:rPr>
      </w:pPr>
    </w:p>
    <w:p w14:paraId="0C704B59" w14:textId="2B465914" w:rsidR="00F02DDD" w:rsidRPr="005C2505" w:rsidRDefault="00F02DDD" w:rsidP="00F02DDD">
      <w:pPr>
        <w:pStyle w:val="ListParagraph"/>
        <w:numPr>
          <w:ilvl w:val="0"/>
          <w:numId w:val="17"/>
        </w:numPr>
        <w:ind w:left="0" w:hanging="11"/>
        <w:jc w:val="both"/>
        <w:rPr>
          <w:rFonts w:ascii="Verdana" w:hAnsi="Verdana"/>
          <w:sz w:val="20"/>
          <w:szCs w:val="20"/>
          <w:lang w:val="es-ES"/>
        </w:rPr>
      </w:pPr>
      <w:r w:rsidRPr="005C2505">
        <w:rPr>
          <w:rFonts w:ascii="Verdana" w:hAnsi="Verdana"/>
          <w:sz w:val="20"/>
          <w:szCs w:val="20"/>
          <w:lang w:val="es-ES"/>
        </w:rPr>
        <w:t xml:space="preserve">La </w:t>
      </w:r>
      <w:r w:rsidRPr="005C2505">
        <w:rPr>
          <w:rFonts w:ascii="Verdana" w:hAnsi="Verdana"/>
          <w:b/>
          <w:i/>
          <w:sz w:val="20"/>
          <w:szCs w:val="20"/>
          <w:lang w:val="es-ES"/>
        </w:rPr>
        <w:t xml:space="preserve">Comisión </w:t>
      </w:r>
      <w:r w:rsidRPr="005C2505">
        <w:rPr>
          <w:rFonts w:ascii="Verdana" w:hAnsi="Verdana"/>
          <w:sz w:val="20"/>
          <w:szCs w:val="20"/>
          <w:lang w:val="es-ES"/>
        </w:rPr>
        <w:t>concluyó que el Estado violó el artículo 25 de la Convención</w:t>
      </w:r>
      <w:r w:rsidR="00F01A68">
        <w:rPr>
          <w:rFonts w:ascii="Verdana" w:hAnsi="Verdana"/>
          <w:sz w:val="20"/>
          <w:szCs w:val="20"/>
          <w:lang w:val="es-ES"/>
        </w:rPr>
        <w:t>,</w:t>
      </w:r>
      <w:r w:rsidRPr="005C2505">
        <w:rPr>
          <w:rFonts w:ascii="Verdana" w:hAnsi="Verdana"/>
          <w:sz w:val="20"/>
          <w:szCs w:val="20"/>
          <w:lang w:val="es-ES"/>
        </w:rPr>
        <w:t xml:space="preserve"> en relación con los artículos 1.1 y 2 del mismo instrumento, con motivo de la falta de </w:t>
      </w:r>
      <w:r w:rsidRPr="005C2505">
        <w:rPr>
          <w:rFonts w:ascii="Verdana" w:hAnsi="Verdana"/>
          <w:sz w:val="20"/>
          <w:szCs w:val="20"/>
          <w:lang w:val="es-ES"/>
        </w:rPr>
        <w:lastRenderedPageBreak/>
        <w:t xml:space="preserve">garantía de un recurso adecuado y efectivo para responder a los reclamos de territorio y las reivindicaciones de las tierras tituladas a favor de la </w:t>
      </w:r>
      <w:r w:rsidR="002A2F53">
        <w:rPr>
          <w:rFonts w:ascii="Verdana" w:hAnsi="Verdana"/>
          <w:sz w:val="20"/>
          <w:szCs w:val="20"/>
          <w:lang w:val="es-ES"/>
        </w:rPr>
        <w:t>Comunidad Garífuna de Punta Piedra</w:t>
      </w:r>
      <w:r w:rsidRPr="005C2505">
        <w:rPr>
          <w:rFonts w:ascii="Verdana" w:hAnsi="Verdana"/>
          <w:sz w:val="20"/>
          <w:szCs w:val="20"/>
          <w:lang w:val="es-ES"/>
        </w:rPr>
        <w:t xml:space="preserve">. Respecto de este punto, la Comisión señaló que los territorios ancestrales de la Comunidad de Punta Piedra, titulados por el INA en 1993 y 1999, no fueron saneados, a pesar de que esta realizó diversas gestiones en el ámbito administrativo ante el INA y otras autoridades estatales encaminadas a obtener dicho saneamiento. La Comisión indicó que el Estado actuó mediante el establecimiento de dos Comisiones </w:t>
      </w:r>
      <w:r w:rsidRPr="005C2505">
        <w:rPr>
          <w:rFonts w:ascii="Verdana" w:hAnsi="Verdana"/>
          <w:i/>
          <w:sz w:val="20"/>
          <w:szCs w:val="20"/>
          <w:lang w:val="es-ES"/>
        </w:rPr>
        <w:t>Ad-Hoc</w:t>
      </w:r>
      <w:r w:rsidRPr="005C2505">
        <w:rPr>
          <w:rFonts w:ascii="Verdana" w:hAnsi="Verdana"/>
          <w:sz w:val="20"/>
          <w:szCs w:val="20"/>
          <w:lang w:val="es-ES"/>
        </w:rPr>
        <w:t>, la suscripción de acuerdos priorizando la negociación y conciliación entre ambas comunidades (Punta Piedra y Río Miel), y gestiones del INA para la realización de dos avalúos de las mejoras introducidas por los terceros ocupantes de Río Miel. Sin embargo, alegó que dichas gestiones no fueron adecuadas y efectivas pues no permitieron el saneamiento y la protección del territorio ancestral de la Comunidad de Punta Piedra</w:t>
      </w:r>
      <w:r w:rsidR="00545CF3">
        <w:rPr>
          <w:rFonts w:ascii="Verdana" w:hAnsi="Verdana"/>
          <w:sz w:val="20"/>
          <w:szCs w:val="20"/>
          <w:lang w:val="es-ES"/>
        </w:rPr>
        <w:t>.</w:t>
      </w:r>
    </w:p>
    <w:p w14:paraId="0C704B5A" w14:textId="77777777" w:rsidR="00F02DDD" w:rsidRPr="005C2505" w:rsidRDefault="00F02DDD" w:rsidP="00F02DDD">
      <w:pPr>
        <w:pStyle w:val="ListParagraph"/>
        <w:ind w:left="0"/>
        <w:jc w:val="both"/>
        <w:rPr>
          <w:rFonts w:ascii="Verdana" w:hAnsi="Verdana"/>
          <w:sz w:val="20"/>
          <w:szCs w:val="20"/>
          <w:lang w:val="es-ES"/>
        </w:rPr>
      </w:pPr>
    </w:p>
    <w:p w14:paraId="0C704B5B" w14:textId="1916A936" w:rsidR="00F02DDD" w:rsidRPr="005C2505" w:rsidRDefault="00F02DDD" w:rsidP="00F02DDD">
      <w:pPr>
        <w:pStyle w:val="ListParagraph"/>
        <w:numPr>
          <w:ilvl w:val="0"/>
          <w:numId w:val="17"/>
        </w:numPr>
        <w:ind w:left="0" w:hanging="11"/>
        <w:jc w:val="both"/>
        <w:rPr>
          <w:rFonts w:ascii="Verdana" w:hAnsi="Verdana"/>
          <w:sz w:val="20"/>
          <w:szCs w:val="20"/>
          <w:lang w:val="es-ES"/>
        </w:rPr>
      </w:pPr>
      <w:r w:rsidRPr="005C2505">
        <w:rPr>
          <w:rFonts w:ascii="Verdana" w:eastAsia="Times New Roman" w:hAnsi="Verdana"/>
          <w:spacing w:val="-2"/>
          <w:sz w:val="20"/>
          <w:szCs w:val="20"/>
          <w:lang w:val="es-CR" w:eastAsia="es-ES"/>
        </w:rPr>
        <w:t>E</w:t>
      </w:r>
      <w:r w:rsidRPr="005C2505">
        <w:rPr>
          <w:rFonts w:ascii="Verdana" w:hAnsi="Verdana"/>
          <w:sz w:val="20"/>
          <w:szCs w:val="20"/>
          <w:lang w:val="es-ES"/>
        </w:rPr>
        <w:t>n particular, la Comisión señaló que la creación de las comisiones interinstitucionales fue insuficiente y no brindó certeza jurídica a los interesados</w:t>
      </w:r>
      <w:r w:rsidR="00F01A68">
        <w:rPr>
          <w:rFonts w:ascii="Verdana" w:hAnsi="Verdana"/>
          <w:sz w:val="20"/>
          <w:szCs w:val="20"/>
          <w:lang w:val="es-ES"/>
        </w:rPr>
        <w:t>,</w:t>
      </w:r>
      <w:r w:rsidRPr="005C2505">
        <w:rPr>
          <w:rFonts w:ascii="Verdana" w:hAnsi="Verdana"/>
          <w:sz w:val="20"/>
          <w:szCs w:val="20"/>
          <w:lang w:val="es-ES"/>
        </w:rPr>
        <w:t xml:space="preserve"> dada su naturaleza temporal y ausencia de una competencia claramente definida por la ley, por lo que ante la negativa de los campesinos de Río Miel de abandonar la zona a cambio del pago de las mejoras, la Comunidad de Punta Piedra careció de un recurso que le permitiera recuperar su territorio.</w:t>
      </w:r>
    </w:p>
    <w:p w14:paraId="0C704B5C" w14:textId="77777777" w:rsidR="00F02DDD" w:rsidRPr="00AC560D" w:rsidRDefault="00F02DDD" w:rsidP="00F02DDD">
      <w:pPr>
        <w:pStyle w:val="ListParagraph"/>
        <w:tabs>
          <w:tab w:val="left" w:pos="567"/>
        </w:tabs>
        <w:ind w:left="0"/>
        <w:jc w:val="both"/>
        <w:rPr>
          <w:rFonts w:ascii="Verdana" w:eastAsia="Times New Roman" w:hAnsi="Verdana"/>
          <w:b/>
          <w:spacing w:val="-2"/>
          <w:sz w:val="20"/>
          <w:szCs w:val="20"/>
          <w:lang w:val="es-CR" w:eastAsia="es-ES"/>
        </w:rPr>
      </w:pPr>
    </w:p>
    <w:p w14:paraId="0C704B5D" w14:textId="17C8CF8B" w:rsidR="00F02DDD" w:rsidRPr="00CD12D4" w:rsidRDefault="00F02DDD" w:rsidP="00F02DDD">
      <w:pPr>
        <w:pStyle w:val="ListParagraph"/>
        <w:numPr>
          <w:ilvl w:val="0"/>
          <w:numId w:val="17"/>
        </w:numPr>
        <w:ind w:left="0" w:hanging="11"/>
        <w:jc w:val="both"/>
        <w:rPr>
          <w:rFonts w:ascii="Verdana" w:eastAsia="Times New Roman" w:hAnsi="Verdana"/>
          <w:b/>
          <w:spacing w:val="-2"/>
          <w:sz w:val="20"/>
          <w:szCs w:val="20"/>
          <w:lang w:val="es-CR" w:eastAsia="es-ES"/>
        </w:rPr>
      </w:pPr>
      <w:r w:rsidRPr="00CD12D4">
        <w:rPr>
          <w:rFonts w:ascii="Verdana" w:hAnsi="Verdana"/>
          <w:sz w:val="20"/>
          <w:szCs w:val="20"/>
          <w:lang w:val="es-ES"/>
        </w:rPr>
        <w:t xml:space="preserve">Los </w:t>
      </w:r>
      <w:r w:rsidRPr="00CD12D4">
        <w:rPr>
          <w:rFonts w:ascii="Verdana" w:hAnsi="Verdana"/>
          <w:b/>
          <w:i/>
          <w:sz w:val="20"/>
          <w:szCs w:val="20"/>
          <w:lang w:val="es-ES"/>
        </w:rPr>
        <w:t>representantes</w:t>
      </w:r>
      <w:r w:rsidRPr="00CD12D4">
        <w:rPr>
          <w:rFonts w:ascii="Verdana" w:hAnsi="Verdana"/>
          <w:sz w:val="20"/>
          <w:szCs w:val="20"/>
          <w:lang w:val="es-ES"/>
        </w:rPr>
        <w:t xml:space="preserve"> coincidieron en líneas generales con lo alegado por la Comisión y añadieron que la Comunidad de Punta Piedra se sometió de buena fe a los procesos que el Estado propuso, ante la carencia de mecanismos idóneos que permitieran una solución más adecuada al conflicto. Asimismo, indicaron que se realizaron gestiones en el ámbito administrativo, judicial y legislativo que no surtieron efectos, a pesar de haberse creado comisiones interinstitucionales, presentado denuncias y gestionado fondos para el saneamiento ante el Congreso Nacional, por lo que transcurridos 21 años del comienzo del conflicto, se ha evidenciado que las actuaciones del Estado han sido dispersas e inefectivas, generando una completa indefensión del pueblo. </w:t>
      </w:r>
    </w:p>
    <w:p w14:paraId="0C704B5E" w14:textId="77777777" w:rsidR="00F02DDD" w:rsidRPr="00F32EC3" w:rsidRDefault="00F02DDD" w:rsidP="00F02DDD">
      <w:pPr>
        <w:rPr>
          <w:rFonts w:ascii="Verdana" w:eastAsia="Times New Roman" w:hAnsi="Verdana"/>
          <w:b/>
          <w:spacing w:val="-2"/>
          <w:sz w:val="20"/>
          <w:szCs w:val="20"/>
          <w:lang w:val="es-CR" w:eastAsia="es-ES"/>
        </w:rPr>
      </w:pPr>
    </w:p>
    <w:p w14:paraId="0C704B5F" w14:textId="4E0E70F4" w:rsidR="00F02DDD" w:rsidRPr="006711D8" w:rsidRDefault="00F02DDD" w:rsidP="00F02DDD">
      <w:pPr>
        <w:pStyle w:val="ListParagraph"/>
        <w:numPr>
          <w:ilvl w:val="0"/>
          <w:numId w:val="17"/>
        </w:numPr>
        <w:ind w:left="0" w:hanging="11"/>
        <w:jc w:val="both"/>
        <w:rPr>
          <w:rFonts w:ascii="Verdana" w:eastAsia="Times New Roman" w:hAnsi="Verdana"/>
          <w:b/>
          <w:spacing w:val="-2"/>
          <w:sz w:val="20"/>
          <w:szCs w:val="20"/>
          <w:lang w:val="es-CR" w:eastAsia="es-ES"/>
        </w:rPr>
      </w:pPr>
      <w:r w:rsidRPr="006711D8">
        <w:rPr>
          <w:rFonts w:ascii="Verdana" w:hAnsi="Verdana"/>
          <w:sz w:val="20"/>
          <w:szCs w:val="20"/>
          <w:lang w:val="es-ES"/>
        </w:rPr>
        <w:t>Por su parte, el</w:t>
      </w:r>
      <w:r w:rsidRPr="006711D8">
        <w:rPr>
          <w:rFonts w:ascii="Verdana" w:hAnsi="Verdana"/>
          <w:b/>
          <w:sz w:val="20"/>
          <w:szCs w:val="20"/>
          <w:lang w:val="es-ES"/>
        </w:rPr>
        <w:t xml:space="preserve"> </w:t>
      </w:r>
      <w:r w:rsidRPr="006711D8">
        <w:rPr>
          <w:rFonts w:ascii="Verdana" w:hAnsi="Verdana"/>
          <w:b/>
          <w:i/>
          <w:sz w:val="20"/>
          <w:szCs w:val="20"/>
          <w:lang w:val="es-ES"/>
        </w:rPr>
        <w:t>Estado</w:t>
      </w:r>
      <w:r w:rsidRPr="006711D8">
        <w:rPr>
          <w:rFonts w:ascii="Verdana" w:hAnsi="Verdana"/>
          <w:i/>
          <w:sz w:val="20"/>
          <w:szCs w:val="20"/>
          <w:lang w:val="es-ES"/>
        </w:rPr>
        <w:t xml:space="preserve"> </w:t>
      </w:r>
      <w:r w:rsidRPr="006711D8">
        <w:rPr>
          <w:rFonts w:ascii="Verdana" w:hAnsi="Verdana"/>
          <w:sz w:val="20"/>
          <w:szCs w:val="20"/>
          <w:lang w:val="es-ES"/>
        </w:rPr>
        <w:t>en su contestación</w:t>
      </w:r>
      <w:r w:rsidRPr="006711D8">
        <w:rPr>
          <w:rFonts w:ascii="Verdana" w:hAnsi="Verdana"/>
          <w:i/>
          <w:sz w:val="20"/>
          <w:szCs w:val="20"/>
          <w:lang w:val="es-ES"/>
        </w:rPr>
        <w:t xml:space="preserve"> </w:t>
      </w:r>
      <w:r w:rsidRPr="006711D8">
        <w:rPr>
          <w:rFonts w:ascii="Verdana" w:hAnsi="Verdana"/>
          <w:sz w:val="20"/>
          <w:szCs w:val="20"/>
          <w:lang w:val="es-ES"/>
        </w:rPr>
        <w:t>negó que se vulnerara el derecho a un recurso sencillo y efectivo, ya que existía</w:t>
      </w:r>
      <w:r>
        <w:rPr>
          <w:rFonts w:ascii="Verdana" w:hAnsi="Verdana"/>
          <w:sz w:val="20"/>
          <w:szCs w:val="20"/>
          <w:lang w:val="es-ES"/>
        </w:rPr>
        <w:t xml:space="preserve"> documentación en donde constaba</w:t>
      </w:r>
      <w:r w:rsidRPr="006711D8">
        <w:rPr>
          <w:rFonts w:ascii="Verdana" w:hAnsi="Verdana"/>
          <w:sz w:val="20"/>
          <w:szCs w:val="20"/>
          <w:lang w:val="es-ES"/>
        </w:rPr>
        <w:t xml:space="preserve"> que la Comunidad de Punta Piedra y sus miembros hicieron uso de los procedimientos establecidos en el ordenamiento jurídico hondureño, y que las solicitudes fueron evacuadas, como en el caso de las promovidas ante el</w:t>
      </w:r>
      <w:r w:rsidRPr="005B74FE">
        <w:rPr>
          <w:rFonts w:ascii="Verdana" w:hAnsi="Verdana"/>
          <w:sz w:val="20"/>
          <w:szCs w:val="20"/>
          <w:lang w:val="es-ES"/>
        </w:rPr>
        <w:t xml:space="preserve"> </w:t>
      </w:r>
      <w:r w:rsidRPr="006711D8">
        <w:rPr>
          <w:rFonts w:ascii="Verdana" w:hAnsi="Verdana"/>
          <w:sz w:val="20"/>
          <w:szCs w:val="20"/>
          <w:lang w:val="es-ES"/>
        </w:rPr>
        <w:t>I</w:t>
      </w:r>
      <w:r>
        <w:rPr>
          <w:rFonts w:ascii="Verdana" w:hAnsi="Verdana"/>
          <w:sz w:val="20"/>
          <w:szCs w:val="20"/>
          <w:lang w:val="es-ES"/>
        </w:rPr>
        <w:t>NA y</w:t>
      </w:r>
      <w:r w:rsidRPr="006711D8">
        <w:rPr>
          <w:rFonts w:ascii="Verdana" w:hAnsi="Verdana"/>
          <w:sz w:val="20"/>
          <w:szCs w:val="20"/>
          <w:lang w:val="es-ES"/>
        </w:rPr>
        <w:t xml:space="preserve"> Ministerio Público</w:t>
      </w:r>
      <w:r w:rsidR="00545CF3">
        <w:rPr>
          <w:rFonts w:ascii="Verdana" w:hAnsi="Verdana"/>
          <w:sz w:val="20"/>
          <w:szCs w:val="20"/>
          <w:lang w:val="es-ES"/>
        </w:rPr>
        <w:t>.</w:t>
      </w:r>
      <w:r w:rsidRPr="006711D8">
        <w:rPr>
          <w:rFonts w:ascii="Verdana" w:hAnsi="Verdana"/>
          <w:sz w:val="20"/>
          <w:szCs w:val="20"/>
          <w:lang w:val="es-ES"/>
        </w:rPr>
        <w:t xml:space="preserve"> Asimismo, señaló que la legislación hondureña “</w:t>
      </w:r>
      <w:proofErr w:type="gramStart"/>
      <w:r w:rsidRPr="006711D8">
        <w:rPr>
          <w:rFonts w:ascii="Verdana" w:hAnsi="Verdana"/>
          <w:sz w:val="20"/>
          <w:szCs w:val="20"/>
          <w:lang w:val="es-ES"/>
        </w:rPr>
        <w:t>otorga[</w:t>
      </w:r>
      <w:proofErr w:type="spellStart"/>
      <w:proofErr w:type="gramEnd"/>
      <w:r w:rsidRPr="006711D8">
        <w:rPr>
          <w:rFonts w:ascii="Verdana" w:hAnsi="Verdana"/>
          <w:sz w:val="20"/>
          <w:szCs w:val="20"/>
          <w:lang w:val="es-ES"/>
        </w:rPr>
        <w:t>ba</w:t>
      </w:r>
      <w:proofErr w:type="spellEnd"/>
      <w:r w:rsidRPr="006711D8">
        <w:rPr>
          <w:rFonts w:ascii="Verdana" w:hAnsi="Verdana"/>
          <w:sz w:val="20"/>
          <w:szCs w:val="20"/>
          <w:lang w:val="es-ES"/>
        </w:rPr>
        <w:t xml:space="preserve">] el derecho a un recurso sencillo y rápido o a cualquier otro recurso sencillo </w:t>
      </w:r>
      <w:r w:rsidR="00F01A68">
        <w:rPr>
          <w:rFonts w:ascii="Verdana" w:hAnsi="Verdana"/>
          <w:sz w:val="20"/>
          <w:szCs w:val="20"/>
          <w:lang w:val="es-ES"/>
        </w:rPr>
        <w:t>[</w:t>
      </w:r>
      <w:r w:rsidRPr="006711D8">
        <w:rPr>
          <w:rFonts w:ascii="Verdana" w:hAnsi="Verdana"/>
          <w:sz w:val="20"/>
          <w:szCs w:val="20"/>
          <w:lang w:val="es-ES"/>
        </w:rPr>
        <w:t>y</w:t>
      </w:r>
      <w:r w:rsidR="00F01A68">
        <w:rPr>
          <w:rFonts w:ascii="Verdana" w:hAnsi="Verdana"/>
          <w:sz w:val="20"/>
          <w:szCs w:val="20"/>
          <w:lang w:val="es-ES"/>
        </w:rPr>
        <w:t>]</w:t>
      </w:r>
      <w:r w:rsidRPr="006711D8">
        <w:rPr>
          <w:rFonts w:ascii="Verdana" w:hAnsi="Verdana"/>
          <w:sz w:val="20"/>
          <w:szCs w:val="20"/>
          <w:lang w:val="es-ES"/>
        </w:rPr>
        <w:t xml:space="preserve"> efectivo ante los Jueces o Tribunales competentes contra actos que violenten los derechos fundamentales […]”. </w:t>
      </w:r>
    </w:p>
    <w:p w14:paraId="0C704B60" w14:textId="77777777" w:rsidR="00F02DDD" w:rsidRPr="006711D8" w:rsidRDefault="00F02DDD" w:rsidP="00F02DDD">
      <w:pPr>
        <w:pStyle w:val="ListParagraph"/>
        <w:rPr>
          <w:rFonts w:ascii="Verdana" w:eastAsia="Times New Roman" w:hAnsi="Verdana"/>
          <w:b/>
          <w:spacing w:val="-2"/>
          <w:sz w:val="20"/>
          <w:szCs w:val="20"/>
          <w:lang w:val="es-CR" w:eastAsia="es-ES"/>
        </w:rPr>
      </w:pPr>
    </w:p>
    <w:p w14:paraId="0C704B61" w14:textId="5B000778" w:rsidR="00F02DDD" w:rsidRPr="00B725E4" w:rsidRDefault="00F02DDD" w:rsidP="00F02DDD">
      <w:pPr>
        <w:pStyle w:val="ListParagraph"/>
        <w:numPr>
          <w:ilvl w:val="0"/>
          <w:numId w:val="17"/>
        </w:numPr>
        <w:ind w:left="0" w:hanging="11"/>
        <w:jc w:val="both"/>
        <w:rPr>
          <w:rFonts w:ascii="Verdana" w:hAnsi="Verdana"/>
          <w:sz w:val="20"/>
          <w:szCs w:val="20"/>
          <w:lang w:val="es-ES"/>
        </w:rPr>
      </w:pPr>
      <w:r w:rsidRPr="006711D8">
        <w:rPr>
          <w:rFonts w:ascii="Verdana" w:hAnsi="Verdana"/>
          <w:sz w:val="20"/>
          <w:szCs w:val="20"/>
          <w:lang w:val="es-ES"/>
        </w:rPr>
        <w:t>El Estado en su escrito de alegatos finales, retomó alegatos que habían sido presentados durante el procedimiento de admisibilidad ante la Comisión, mediante los cuales señaló que los compromisos adoptados</w:t>
      </w:r>
      <w:r>
        <w:rPr>
          <w:rFonts w:ascii="Verdana" w:hAnsi="Verdana"/>
          <w:sz w:val="20"/>
          <w:szCs w:val="20"/>
          <w:lang w:val="es-ES"/>
        </w:rPr>
        <w:t xml:space="preserve"> a través de las Comisiones </w:t>
      </w:r>
      <w:r w:rsidRPr="004E0B58">
        <w:rPr>
          <w:rFonts w:ascii="Verdana" w:hAnsi="Verdana"/>
          <w:i/>
          <w:sz w:val="20"/>
          <w:szCs w:val="20"/>
          <w:lang w:val="es-ES"/>
        </w:rPr>
        <w:t>Ad-Hoc</w:t>
      </w:r>
      <w:r w:rsidRPr="006711D8">
        <w:rPr>
          <w:rFonts w:ascii="Verdana" w:hAnsi="Verdana"/>
          <w:sz w:val="20"/>
          <w:szCs w:val="20"/>
          <w:lang w:val="es-ES"/>
        </w:rPr>
        <w:t>, equivalían a una “conciliación extrajudicial”, con valor de cosa juzgada, por lo que, lo que procedía era la vía administrativa, prevista en los artículos 146 a 149 de la Ley de Procedimiento Administrativo, a efectos del pago de lo acordado por la administración pública, antes de poder acudir a la vía judicial civil. E</w:t>
      </w:r>
      <w:r>
        <w:rPr>
          <w:rFonts w:ascii="Verdana" w:hAnsi="Verdana"/>
          <w:sz w:val="20"/>
          <w:szCs w:val="20"/>
          <w:lang w:val="es-ES"/>
        </w:rPr>
        <w:t>n el mismo escrito, el</w:t>
      </w:r>
      <w:r w:rsidRPr="006711D8">
        <w:rPr>
          <w:rFonts w:ascii="Verdana" w:hAnsi="Verdana"/>
          <w:sz w:val="20"/>
          <w:szCs w:val="20"/>
          <w:lang w:val="es-ES"/>
        </w:rPr>
        <w:t xml:space="preserve"> Estado alegó que si alguien incurr</w:t>
      </w:r>
      <w:r>
        <w:rPr>
          <w:rFonts w:ascii="Verdana" w:hAnsi="Verdana"/>
          <w:sz w:val="20"/>
          <w:szCs w:val="20"/>
          <w:lang w:val="es-ES"/>
        </w:rPr>
        <w:t>ía</w:t>
      </w:r>
      <w:r w:rsidRPr="006711D8">
        <w:rPr>
          <w:rFonts w:ascii="Verdana" w:hAnsi="Verdana"/>
          <w:sz w:val="20"/>
          <w:szCs w:val="20"/>
          <w:lang w:val="es-ES"/>
        </w:rPr>
        <w:t xml:space="preserve"> en una obligación que no cumpl</w:t>
      </w:r>
      <w:r>
        <w:rPr>
          <w:rFonts w:ascii="Verdana" w:hAnsi="Verdana"/>
          <w:sz w:val="20"/>
          <w:szCs w:val="20"/>
          <w:lang w:val="es-ES"/>
        </w:rPr>
        <w:t>ía,</w:t>
      </w:r>
      <w:r w:rsidRPr="006711D8">
        <w:rPr>
          <w:rFonts w:ascii="Verdana" w:hAnsi="Verdana"/>
          <w:sz w:val="20"/>
          <w:szCs w:val="20"/>
          <w:lang w:val="es-ES"/>
        </w:rPr>
        <w:t xml:space="preserve"> e</w:t>
      </w:r>
      <w:r>
        <w:rPr>
          <w:rFonts w:ascii="Verdana" w:hAnsi="Verdana"/>
          <w:sz w:val="20"/>
          <w:szCs w:val="20"/>
          <w:lang w:val="es-ES"/>
        </w:rPr>
        <w:t>ra</w:t>
      </w:r>
      <w:r w:rsidRPr="006711D8">
        <w:rPr>
          <w:rFonts w:ascii="Verdana" w:hAnsi="Verdana"/>
          <w:sz w:val="20"/>
          <w:szCs w:val="20"/>
          <w:lang w:val="es-ES"/>
        </w:rPr>
        <w:t xml:space="preserve"> a través de los órganos judiciales que se le compel</w:t>
      </w:r>
      <w:r>
        <w:rPr>
          <w:rFonts w:ascii="Verdana" w:hAnsi="Verdana"/>
          <w:sz w:val="20"/>
          <w:szCs w:val="20"/>
          <w:lang w:val="es-ES"/>
        </w:rPr>
        <w:t>ía</w:t>
      </w:r>
      <w:r w:rsidRPr="006711D8">
        <w:rPr>
          <w:rFonts w:ascii="Verdana" w:hAnsi="Verdana"/>
          <w:sz w:val="20"/>
          <w:szCs w:val="20"/>
          <w:lang w:val="es-ES"/>
        </w:rPr>
        <w:t xml:space="preserve"> a ese cumplimiento </w:t>
      </w:r>
      <w:r>
        <w:rPr>
          <w:rFonts w:ascii="Verdana" w:hAnsi="Verdana"/>
          <w:sz w:val="20"/>
          <w:szCs w:val="20"/>
          <w:lang w:val="es-ES"/>
        </w:rPr>
        <w:t xml:space="preserve">y </w:t>
      </w:r>
      <w:r w:rsidRPr="006711D8">
        <w:rPr>
          <w:rFonts w:ascii="Verdana" w:hAnsi="Verdana"/>
          <w:sz w:val="20"/>
          <w:szCs w:val="20"/>
          <w:lang w:val="es-ES"/>
        </w:rPr>
        <w:t xml:space="preserve">Honduras no </w:t>
      </w:r>
      <w:r>
        <w:rPr>
          <w:rFonts w:ascii="Verdana" w:hAnsi="Verdana"/>
          <w:sz w:val="20"/>
          <w:szCs w:val="20"/>
          <w:lang w:val="es-ES"/>
        </w:rPr>
        <w:t>era</w:t>
      </w:r>
      <w:r w:rsidRPr="006711D8">
        <w:rPr>
          <w:rFonts w:ascii="Verdana" w:hAnsi="Verdana"/>
          <w:sz w:val="20"/>
          <w:szCs w:val="20"/>
          <w:lang w:val="es-ES"/>
        </w:rPr>
        <w:t xml:space="preserve"> la excepción. </w:t>
      </w:r>
      <w:r w:rsidRPr="007C10A4">
        <w:rPr>
          <w:rFonts w:ascii="Verdana" w:hAnsi="Verdana"/>
          <w:sz w:val="20"/>
          <w:szCs w:val="20"/>
          <w:lang w:val="es-ES"/>
        </w:rPr>
        <w:t>Adicionalmente</w:t>
      </w:r>
      <w:r w:rsidRPr="000F705F">
        <w:rPr>
          <w:rFonts w:ascii="Verdana" w:hAnsi="Verdana"/>
          <w:sz w:val="20"/>
          <w:szCs w:val="20"/>
          <w:lang w:val="es-ES"/>
        </w:rPr>
        <w:t xml:space="preserve">, el Estado </w:t>
      </w:r>
      <w:r w:rsidRPr="00B725E4">
        <w:rPr>
          <w:rFonts w:ascii="Verdana" w:hAnsi="Verdana"/>
          <w:sz w:val="20"/>
          <w:szCs w:val="20"/>
          <w:lang w:val="es-ES"/>
        </w:rPr>
        <w:t xml:space="preserve">alegó </w:t>
      </w:r>
      <w:r w:rsidRPr="009F476A">
        <w:rPr>
          <w:rFonts w:ascii="Verdana" w:hAnsi="Verdana"/>
          <w:sz w:val="20"/>
          <w:szCs w:val="20"/>
          <w:lang w:val="es-ES"/>
        </w:rPr>
        <w:t xml:space="preserve">que </w:t>
      </w:r>
      <w:r w:rsidRPr="00B725E4">
        <w:rPr>
          <w:rFonts w:ascii="Verdana" w:hAnsi="Verdana"/>
          <w:sz w:val="20"/>
          <w:szCs w:val="20"/>
          <w:lang w:val="es-ES"/>
        </w:rPr>
        <w:t xml:space="preserve">el derecho a la tierra de </w:t>
      </w:r>
      <w:r w:rsidRPr="009F476A">
        <w:rPr>
          <w:rFonts w:ascii="Verdana" w:hAnsi="Verdana"/>
          <w:sz w:val="20"/>
          <w:szCs w:val="20"/>
          <w:lang w:val="es-ES"/>
        </w:rPr>
        <w:t>la Comunidad de Punta Piedra</w:t>
      </w:r>
      <w:r w:rsidRPr="00B725E4">
        <w:rPr>
          <w:rFonts w:ascii="Verdana" w:hAnsi="Verdana"/>
          <w:sz w:val="20"/>
          <w:szCs w:val="20"/>
          <w:lang w:val="es-ES"/>
        </w:rPr>
        <w:t xml:space="preserve"> </w:t>
      </w:r>
      <w:r w:rsidRPr="000F705F">
        <w:rPr>
          <w:rFonts w:ascii="Verdana" w:hAnsi="Verdana"/>
          <w:sz w:val="20"/>
          <w:szCs w:val="20"/>
          <w:lang w:val="es-ES"/>
        </w:rPr>
        <w:t xml:space="preserve">era igual al de cualquier otro nacional, </w:t>
      </w:r>
      <w:r w:rsidRPr="00B725E4">
        <w:rPr>
          <w:rFonts w:ascii="Verdana" w:hAnsi="Verdana"/>
          <w:sz w:val="20"/>
          <w:szCs w:val="20"/>
          <w:lang w:val="es-ES"/>
        </w:rPr>
        <w:t>al no constituir un pueblo indígena originario.</w:t>
      </w:r>
      <w:r>
        <w:rPr>
          <w:rFonts w:ascii="Verdana" w:hAnsi="Verdana"/>
          <w:sz w:val="20"/>
          <w:szCs w:val="20"/>
          <w:lang w:val="es-ES"/>
        </w:rPr>
        <w:t xml:space="preserve"> </w:t>
      </w:r>
      <w:r w:rsidRPr="00B725E4">
        <w:rPr>
          <w:rFonts w:ascii="Verdana" w:hAnsi="Verdana"/>
          <w:sz w:val="20"/>
          <w:szCs w:val="20"/>
          <w:lang w:val="es-ES"/>
        </w:rPr>
        <w:t xml:space="preserve">En virtud de ello, el Estado señaló que </w:t>
      </w:r>
      <w:r w:rsidRPr="009F476A">
        <w:rPr>
          <w:rFonts w:ascii="Verdana" w:hAnsi="Verdana"/>
          <w:sz w:val="20"/>
          <w:szCs w:val="20"/>
          <w:lang w:val="es-ES"/>
        </w:rPr>
        <w:t xml:space="preserve">le correspondía al derecho </w:t>
      </w:r>
      <w:r w:rsidRPr="009F476A">
        <w:rPr>
          <w:rFonts w:ascii="Verdana" w:hAnsi="Verdana"/>
          <w:sz w:val="20"/>
          <w:szCs w:val="20"/>
          <w:lang w:val="es-ES"/>
        </w:rPr>
        <w:lastRenderedPageBreak/>
        <w:t xml:space="preserve">privado y </w:t>
      </w:r>
      <w:r w:rsidRPr="000F705F">
        <w:rPr>
          <w:rFonts w:ascii="Verdana" w:hAnsi="Verdana"/>
          <w:sz w:val="20"/>
          <w:szCs w:val="20"/>
          <w:lang w:val="es-ES"/>
        </w:rPr>
        <w:t>a los tribunales civiles resolver el conflicto</w:t>
      </w:r>
      <w:r w:rsidRPr="00B725E4">
        <w:rPr>
          <w:rFonts w:ascii="Verdana" w:hAnsi="Verdana"/>
          <w:sz w:val="20"/>
          <w:szCs w:val="20"/>
          <w:lang w:val="es-ES"/>
        </w:rPr>
        <w:t xml:space="preserve"> de tierras existente</w:t>
      </w:r>
      <w:r w:rsidRPr="007C10A4">
        <w:rPr>
          <w:rFonts w:ascii="Verdana" w:hAnsi="Verdana"/>
          <w:sz w:val="20"/>
          <w:szCs w:val="20"/>
          <w:lang w:val="es-ES"/>
        </w:rPr>
        <w:t>, a través de la acción civil judicial de reivindicación de dominio, mediante un “juicio declarativo”, y que</w:t>
      </w:r>
      <w:r w:rsidR="00F01A68">
        <w:rPr>
          <w:rFonts w:ascii="Verdana" w:hAnsi="Verdana"/>
          <w:sz w:val="20"/>
          <w:szCs w:val="20"/>
          <w:lang w:val="es-ES"/>
        </w:rPr>
        <w:t xml:space="preserve"> incluso</w:t>
      </w:r>
      <w:r w:rsidRPr="007C10A4">
        <w:rPr>
          <w:rFonts w:ascii="Verdana" w:hAnsi="Verdana"/>
          <w:sz w:val="20"/>
          <w:szCs w:val="20"/>
          <w:lang w:val="es-ES"/>
        </w:rPr>
        <w:t xml:space="preserve"> los pobladores de Río Miel podrían haber alegado la prescripción adquisitiva en </w:t>
      </w:r>
      <w:r w:rsidRPr="009F476A">
        <w:rPr>
          <w:rFonts w:ascii="Verdana" w:hAnsi="Verdana"/>
          <w:sz w:val="20"/>
          <w:szCs w:val="20"/>
          <w:lang w:val="es-ES"/>
        </w:rPr>
        <w:t>su beneficio, por ocupar dichos territorios por más de 20 años.</w:t>
      </w:r>
      <w:r w:rsidRPr="007C10A4">
        <w:rPr>
          <w:rFonts w:ascii="Verdana" w:hAnsi="Verdana"/>
          <w:sz w:val="20"/>
          <w:szCs w:val="20"/>
          <w:lang w:val="es-ES"/>
        </w:rPr>
        <w:t xml:space="preserve"> Asimismo, el Estado indicó</w:t>
      </w:r>
      <w:r w:rsidR="007228DB">
        <w:rPr>
          <w:rFonts w:ascii="Verdana" w:hAnsi="Verdana"/>
          <w:sz w:val="20"/>
          <w:szCs w:val="20"/>
          <w:lang w:val="es-ES"/>
        </w:rPr>
        <w:t>,</w:t>
      </w:r>
      <w:r w:rsidRPr="007C10A4">
        <w:rPr>
          <w:rFonts w:ascii="Verdana" w:hAnsi="Verdana"/>
          <w:sz w:val="20"/>
          <w:szCs w:val="20"/>
          <w:lang w:val="es-ES"/>
        </w:rPr>
        <w:t xml:space="preserve"> de manera genérica</w:t>
      </w:r>
      <w:r w:rsidR="007228DB">
        <w:rPr>
          <w:rFonts w:ascii="Verdana" w:hAnsi="Verdana"/>
          <w:sz w:val="20"/>
          <w:szCs w:val="20"/>
          <w:lang w:val="es-ES"/>
        </w:rPr>
        <w:t>,</w:t>
      </w:r>
      <w:r w:rsidRPr="007C10A4">
        <w:rPr>
          <w:rFonts w:ascii="Verdana" w:hAnsi="Verdana"/>
          <w:sz w:val="20"/>
          <w:szCs w:val="20"/>
          <w:lang w:val="es-ES"/>
        </w:rPr>
        <w:t xml:space="preserve"> que la garantía de amparo </w:t>
      </w:r>
      <w:r>
        <w:rPr>
          <w:rFonts w:ascii="Verdana" w:hAnsi="Verdana"/>
          <w:sz w:val="20"/>
          <w:szCs w:val="20"/>
          <w:lang w:val="es-ES"/>
        </w:rPr>
        <w:t xml:space="preserve">era </w:t>
      </w:r>
      <w:r w:rsidRPr="007C10A4">
        <w:rPr>
          <w:rFonts w:ascii="Verdana" w:hAnsi="Verdana"/>
          <w:sz w:val="20"/>
          <w:szCs w:val="20"/>
          <w:lang w:val="es-ES"/>
        </w:rPr>
        <w:t>otro recurso disponible</w:t>
      </w:r>
      <w:r>
        <w:rPr>
          <w:rFonts w:ascii="Verdana" w:hAnsi="Verdana"/>
          <w:sz w:val="20"/>
          <w:szCs w:val="20"/>
          <w:lang w:val="es-ES"/>
        </w:rPr>
        <w:t>,</w:t>
      </w:r>
      <w:r w:rsidRPr="007C10A4">
        <w:rPr>
          <w:rFonts w:ascii="Verdana" w:hAnsi="Verdana"/>
          <w:sz w:val="20"/>
          <w:szCs w:val="20"/>
          <w:lang w:val="es-ES"/>
        </w:rPr>
        <w:t xml:space="preserve"> regulado en el artículo 183 de la Constitución, así como “otras garantías y recursos que [podían] ser invocados”, sin especificar cuáles o desarrollar su contenido. </w:t>
      </w:r>
    </w:p>
    <w:p w14:paraId="0C704B62" w14:textId="77777777" w:rsidR="00F02DDD" w:rsidRPr="006711D8" w:rsidRDefault="00F02DDD" w:rsidP="00F02DDD">
      <w:pPr>
        <w:rPr>
          <w:rFonts w:ascii="Verdana" w:hAnsi="Verdana"/>
          <w:i/>
          <w:sz w:val="20"/>
          <w:szCs w:val="20"/>
        </w:rPr>
      </w:pPr>
    </w:p>
    <w:p w14:paraId="0C704B63" w14:textId="77777777" w:rsidR="00F02DDD" w:rsidRPr="00554240" w:rsidRDefault="00F02DDD" w:rsidP="00F02DDD">
      <w:pPr>
        <w:pStyle w:val="Heading2"/>
        <w:numPr>
          <w:ilvl w:val="0"/>
          <w:numId w:val="21"/>
        </w:numPr>
        <w:spacing w:before="0"/>
        <w:rPr>
          <w:rFonts w:ascii="Verdana" w:hAnsi="Verdana"/>
          <w:i/>
          <w:color w:val="auto"/>
          <w:sz w:val="20"/>
          <w:szCs w:val="20"/>
        </w:rPr>
      </w:pPr>
      <w:bookmarkStart w:id="98" w:name="_Toc437247360"/>
      <w:r w:rsidRPr="00554240">
        <w:rPr>
          <w:rFonts w:ascii="Verdana" w:hAnsi="Verdana"/>
          <w:i/>
          <w:color w:val="auto"/>
          <w:sz w:val="20"/>
          <w:szCs w:val="20"/>
        </w:rPr>
        <w:t>Consideraciones de la Corte</w:t>
      </w:r>
      <w:bookmarkEnd w:id="98"/>
    </w:p>
    <w:p w14:paraId="0C704B64" w14:textId="77777777" w:rsidR="00F02DDD" w:rsidRPr="006711D8" w:rsidRDefault="00F02DDD" w:rsidP="00F02DDD">
      <w:pPr>
        <w:rPr>
          <w:rFonts w:ascii="Verdana" w:hAnsi="Verdana"/>
          <w:sz w:val="20"/>
          <w:szCs w:val="20"/>
        </w:rPr>
      </w:pPr>
    </w:p>
    <w:p w14:paraId="0C704B65" w14:textId="77777777" w:rsidR="00F02DDD" w:rsidRDefault="00F02DDD" w:rsidP="00F02DDD">
      <w:pPr>
        <w:pStyle w:val="ListParagraph"/>
        <w:numPr>
          <w:ilvl w:val="0"/>
          <w:numId w:val="17"/>
        </w:numPr>
        <w:ind w:left="0" w:hanging="11"/>
        <w:jc w:val="both"/>
        <w:rPr>
          <w:rFonts w:ascii="Verdana" w:hAnsi="Verdana"/>
          <w:sz w:val="20"/>
          <w:szCs w:val="20"/>
        </w:rPr>
      </w:pPr>
      <w:r w:rsidRPr="00896FB3">
        <w:rPr>
          <w:rFonts w:ascii="Verdana" w:hAnsi="Verdana"/>
          <w:sz w:val="20"/>
          <w:szCs w:val="20"/>
          <w:lang w:eastAsia="es-ES"/>
        </w:rPr>
        <w:t>La Corte ha expresado de manera reiterada que los Estados Partes están obligados a suministrar recursos judiciales efectivos a las víctimas de violaciones de los derechos humanos (artículo 25), los cuales deben ser sustanciados de conformidad con las reglas del debido proceso legal (artículo 8.1), todo ello dentro de la obligación general, a cargo de los mismos Estados, de garantizar el libre y pleno ejercicio de los derechos reconocidos por la Convención a toda persona que se encuentre bajo su jurisdicción (artículo 1.1)</w:t>
      </w:r>
      <w:r w:rsidRPr="006711D8">
        <w:rPr>
          <w:rStyle w:val="FootnoteReference"/>
          <w:szCs w:val="20"/>
          <w:lang w:eastAsia="es-ES"/>
        </w:rPr>
        <w:footnoteReference w:id="249"/>
      </w:r>
      <w:r w:rsidRPr="00896FB3">
        <w:rPr>
          <w:rFonts w:ascii="Verdana" w:hAnsi="Verdana"/>
          <w:sz w:val="20"/>
          <w:szCs w:val="20"/>
          <w:lang w:eastAsia="es-ES"/>
        </w:rPr>
        <w:t xml:space="preserve">. </w:t>
      </w:r>
      <w:r w:rsidRPr="00896FB3">
        <w:rPr>
          <w:rFonts w:ascii="Verdana" w:hAnsi="Verdana"/>
          <w:sz w:val="20"/>
          <w:szCs w:val="20"/>
        </w:rPr>
        <w:t>La inexistencia de un recurso efectivo frente a las violaciones de los derechos recogidos en la Convención supone una transgresión de la misma por el Estado Parte en el cual semejante situación tenga lugar</w:t>
      </w:r>
      <w:r>
        <w:rPr>
          <w:rStyle w:val="FootnoteReference"/>
          <w:szCs w:val="20"/>
        </w:rPr>
        <w:footnoteReference w:id="250"/>
      </w:r>
      <w:r w:rsidRPr="00896FB3">
        <w:rPr>
          <w:rFonts w:ascii="Verdana" w:hAnsi="Verdana"/>
          <w:sz w:val="20"/>
          <w:szCs w:val="20"/>
        </w:rPr>
        <w:t xml:space="preserve">. </w:t>
      </w:r>
    </w:p>
    <w:p w14:paraId="0C704B66" w14:textId="77777777" w:rsidR="00F02DDD" w:rsidRDefault="00F02DDD" w:rsidP="00F02DDD">
      <w:pPr>
        <w:pStyle w:val="ListParagraph"/>
        <w:tabs>
          <w:tab w:val="left" w:pos="567"/>
        </w:tabs>
        <w:ind w:left="0"/>
        <w:jc w:val="both"/>
        <w:rPr>
          <w:rFonts w:ascii="Verdana" w:hAnsi="Verdana"/>
          <w:sz w:val="20"/>
          <w:szCs w:val="20"/>
        </w:rPr>
      </w:pPr>
    </w:p>
    <w:p w14:paraId="0C704B67" w14:textId="4AAA2B51" w:rsidR="00F02DDD" w:rsidRDefault="00F02DDD" w:rsidP="00F02DDD">
      <w:pPr>
        <w:pStyle w:val="ListParagraph"/>
        <w:numPr>
          <w:ilvl w:val="0"/>
          <w:numId w:val="17"/>
        </w:numPr>
        <w:ind w:left="0" w:hanging="11"/>
        <w:jc w:val="both"/>
        <w:rPr>
          <w:rFonts w:ascii="Verdana" w:hAnsi="Verdana"/>
          <w:sz w:val="20"/>
          <w:szCs w:val="20"/>
          <w:lang w:val="es-ES"/>
        </w:rPr>
      </w:pPr>
      <w:r w:rsidRPr="00896FB3">
        <w:rPr>
          <w:rFonts w:ascii="Verdana" w:hAnsi="Verdana"/>
          <w:sz w:val="20"/>
          <w:szCs w:val="20"/>
        </w:rPr>
        <w:t xml:space="preserve">La Corte ha interpretado que el alcance de la obligación del Estado de proporcionar un recurso judicial, recogida </w:t>
      </w:r>
      <w:r w:rsidR="009E372C">
        <w:rPr>
          <w:rFonts w:ascii="Verdana" w:hAnsi="Verdana"/>
          <w:sz w:val="20"/>
          <w:szCs w:val="20"/>
        </w:rPr>
        <w:t xml:space="preserve">en </w:t>
      </w:r>
      <w:r w:rsidRPr="00896FB3">
        <w:rPr>
          <w:rFonts w:ascii="Verdana" w:hAnsi="Verdana"/>
          <w:sz w:val="20"/>
          <w:szCs w:val="20"/>
        </w:rPr>
        <w:t>el texto del artículo 25 de la Convención, no se reduce a la mera existencia de tribunales o procedimientos formales, sino que el Estado debe, además, adoptar medidas positivas para garantizar que estos recursos sean efectivos para dirimir si ha habido una vulneración de derechos humanos y proporcionar la eventual reparación</w:t>
      </w:r>
      <w:r w:rsidRPr="00FF32EB">
        <w:rPr>
          <w:rStyle w:val="FootnoteReference"/>
          <w:szCs w:val="20"/>
        </w:rPr>
        <w:footnoteReference w:id="251"/>
      </w:r>
      <w:r w:rsidRPr="00FF32EB">
        <w:rPr>
          <w:rFonts w:ascii="Verdana" w:hAnsi="Verdana"/>
          <w:sz w:val="20"/>
          <w:szCs w:val="20"/>
        </w:rPr>
        <w:t>.</w:t>
      </w:r>
      <w:r>
        <w:rPr>
          <w:rFonts w:ascii="Verdana" w:hAnsi="Verdana"/>
          <w:sz w:val="20"/>
          <w:szCs w:val="20"/>
        </w:rPr>
        <w:t xml:space="preserve"> </w:t>
      </w:r>
      <w:r w:rsidRPr="00FF32EB">
        <w:rPr>
          <w:rFonts w:ascii="Verdana" w:hAnsi="Verdana"/>
          <w:sz w:val="20"/>
          <w:szCs w:val="20"/>
          <w:lang w:val="es-ES"/>
        </w:rPr>
        <w:t xml:space="preserve">En ese sentido, en los términos del citado artículo, es posible </w:t>
      </w:r>
      <w:r w:rsidRPr="00FF32EB">
        <w:rPr>
          <w:rFonts w:ascii="Verdana" w:hAnsi="Verdana" w:cs="Arial"/>
          <w:sz w:val="20"/>
          <w:szCs w:val="20"/>
          <w:lang w:val="es-AR"/>
        </w:rPr>
        <w:t>identificar</w:t>
      </w:r>
      <w:r w:rsidRPr="00FF32EB">
        <w:rPr>
          <w:rFonts w:ascii="Verdana" w:hAnsi="Verdana"/>
          <w:sz w:val="20"/>
          <w:szCs w:val="20"/>
          <w:lang w:val="es-ES"/>
        </w:rPr>
        <w:t xml:space="preserve"> dos obligaciones específicas del Estado. La primera, consagrar normativamente y asegurar la debida aplicación de recursos efectivos ante las autoridades competentes, que amparen a todas las personas bajo su jurisdicción contra actos que violen sus derechos fundamentales o que conlleven a la determinación de los derechos y obligaciones de éstas.</w:t>
      </w:r>
      <w:r w:rsidR="009261D1">
        <w:rPr>
          <w:rStyle w:val="FootnoteReference"/>
          <w:szCs w:val="20"/>
          <w:lang w:val="es-ES"/>
        </w:rPr>
        <w:footnoteReference w:id="252"/>
      </w:r>
      <w:r w:rsidR="00F41C2A">
        <w:rPr>
          <w:rFonts w:ascii="Verdana" w:hAnsi="Verdana"/>
          <w:sz w:val="20"/>
          <w:szCs w:val="20"/>
          <w:lang w:val="es-ES"/>
        </w:rPr>
        <w:t>.</w:t>
      </w:r>
      <w:r w:rsidRPr="00FF32EB">
        <w:rPr>
          <w:rFonts w:ascii="Verdana" w:hAnsi="Verdana"/>
          <w:sz w:val="20"/>
          <w:szCs w:val="20"/>
          <w:lang w:val="es-ES"/>
        </w:rPr>
        <w:t xml:space="preserve"> La segunda, garantizar los medios para ejecutar las respectivas decisiones y sentencias definitivas emitidas por tales autoridades competentes,</w:t>
      </w:r>
      <w:r>
        <w:rPr>
          <w:rFonts w:ascii="Verdana" w:hAnsi="Verdana"/>
          <w:sz w:val="20"/>
          <w:szCs w:val="20"/>
          <w:lang w:val="es-ES"/>
        </w:rPr>
        <w:t xml:space="preserve"> </w:t>
      </w:r>
      <w:r w:rsidRPr="00FF32EB">
        <w:rPr>
          <w:rFonts w:ascii="Verdana" w:hAnsi="Verdana"/>
          <w:sz w:val="20"/>
          <w:szCs w:val="20"/>
          <w:lang w:val="es-ES"/>
        </w:rPr>
        <w:t>de manera que se protejan efectivamente los derechos declarados o reconocidos</w:t>
      </w:r>
      <w:r w:rsidR="009261D1">
        <w:rPr>
          <w:rStyle w:val="FootnoteReference"/>
          <w:szCs w:val="20"/>
          <w:lang w:val="es-ES"/>
        </w:rPr>
        <w:footnoteReference w:id="253"/>
      </w:r>
      <w:r w:rsidR="00F41C2A">
        <w:rPr>
          <w:rFonts w:ascii="Verdana" w:hAnsi="Verdana"/>
          <w:sz w:val="20"/>
          <w:szCs w:val="20"/>
          <w:lang w:val="es-ES"/>
        </w:rPr>
        <w:t>.</w:t>
      </w:r>
      <w:r w:rsidRPr="00FF32EB">
        <w:rPr>
          <w:rFonts w:ascii="Verdana" w:hAnsi="Verdana"/>
          <w:sz w:val="20"/>
          <w:szCs w:val="20"/>
          <w:lang w:val="es-ES"/>
        </w:rPr>
        <w:t xml:space="preserve"> </w:t>
      </w:r>
    </w:p>
    <w:p w14:paraId="0C704B68" w14:textId="77777777" w:rsidR="00F02DDD" w:rsidRDefault="00F02DDD" w:rsidP="00F02DDD">
      <w:pPr>
        <w:pStyle w:val="ListParagraph"/>
        <w:tabs>
          <w:tab w:val="left" w:pos="567"/>
        </w:tabs>
        <w:ind w:left="0"/>
        <w:jc w:val="both"/>
        <w:rPr>
          <w:rFonts w:ascii="Verdana" w:hAnsi="Verdana"/>
          <w:sz w:val="20"/>
          <w:szCs w:val="20"/>
        </w:rPr>
      </w:pPr>
    </w:p>
    <w:p w14:paraId="0C704B69" w14:textId="77777777" w:rsidR="00F02DDD" w:rsidRDefault="00F02DDD" w:rsidP="00F02DDD">
      <w:pPr>
        <w:pStyle w:val="ListParagraph"/>
        <w:numPr>
          <w:ilvl w:val="0"/>
          <w:numId w:val="17"/>
        </w:numPr>
        <w:ind w:left="0" w:hanging="11"/>
        <w:jc w:val="both"/>
        <w:rPr>
          <w:rFonts w:ascii="Verdana" w:hAnsi="Verdana"/>
          <w:sz w:val="20"/>
          <w:szCs w:val="20"/>
          <w:lang w:val="es-ES"/>
        </w:rPr>
      </w:pPr>
      <w:r>
        <w:rPr>
          <w:rFonts w:ascii="Verdana" w:hAnsi="Verdana"/>
          <w:sz w:val="20"/>
          <w:szCs w:val="20"/>
        </w:rPr>
        <w:t>En lo que respecta a pueblos indígenas y tribales, l</w:t>
      </w:r>
      <w:r w:rsidRPr="00F75D8E">
        <w:rPr>
          <w:rFonts w:ascii="Verdana" w:hAnsi="Verdana"/>
          <w:sz w:val="20"/>
          <w:szCs w:val="20"/>
        </w:rPr>
        <w:t xml:space="preserve">a jurisprudencia de este Tribunal ha señalado que los </w:t>
      </w:r>
      <w:r w:rsidRPr="00F75D8E">
        <w:rPr>
          <w:rFonts w:ascii="Verdana" w:eastAsia="Times New Roman" w:hAnsi="Verdana" w:cs="Arial"/>
          <w:sz w:val="20"/>
          <w:szCs w:val="20"/>
          <w:lang w:eastAsia="es-ES"/>
        </w:rPr>
        <w:t xml:space="preserve">Estados tienen el deber de instituir procedimientos adecuados en el marco del ordenamiento jurídico interno para procesar las reivindicaciones de </w:t>
      </w:r>
      <w:r>
        <w:rPr>
          <w:rFonts w:ascii="Verdana" w:eastAsia="Times New Roman" w:hAnsi="Verdana" w:cs="Arial"/>
          <w:sz w:val="20"/>
          <w:szCs w:val="20"/>
          <w:lang w:eastAsia="es-ES"/>
        </w:rPr>
        <w:t xml:space="preserve">sus </w:t>
      </w:r>
      <w:r w:rsidRPr="00F75D8E">
        <w:rPr>
          <w:rFonts w:ascii="Verdana" w:eastAsia="Times New Roman" w:hAnsi="Verdana" w:cs="Arial"/>
          <w:sz w:val="20"/>
          <w:szCs w:val="20"/>
          <w:lang w:eastAsia="es-ES"/>
        </w:rPr>
        <w:t>tierras, derivado de la obligación general de garantía que establece</w:t>
      </w:r>
      <w:r>
        <w:rPr>
          <w:rFonts w:ascii="Verdana" w:eastAsia="Times New Roman" w:hAnsi="Verdana" w:cs="Arial"/>
          <w:sz w:val="20"/>
          <w:szCs w:val="20"/>
          <w:lang w:eastAsia="es-ES"/>
        </w:rPr>
        <w:t>n los</w:t>
      </w:r>
      <w:r w:rsidRPr="00F75D8E">
        <w:rPr>
          <w:rFonts w:ascii="Verdana" w:eastAsia="Times New Roman" w:hAnsi="Verdana" w:cs="Arial"/>
          <w:sz w:val="20"/>
          <w:szCs w:val="20"/>
          <w:lang w:eastAsia="es-ES"/>
        </w:rPr>
        <w:t xml:space="preserve"> artículo</w:t>
      </w:r>
      <w:r>
        <w:rPr>
          <w:rFonts w:ascii="Verdana" w:eastAsia="Times New Roman" w:hAnsi="Verdana" w:cs="Arial"/>
          <w:sz w:val="20"/>
          <w:szCs w:val="20"/>
          <w:lang w:eastAsia="es-ES"/>
        </w:rPr>
        <w:t>s</w:t>
      </w:r>
      <w:r w:rsidRPr="00F75D8E">
        <w:rPr>
          <w:rFonts w:ascii="Verdana" w:eastAsia="Times New Roman" w:hAnsi="Verdana" w:cs="Arial"/>
          <w:sz w:val="20"/>
          <w:szCs w:val="20"/>
          <w:lang w:eastAsia="es-ES"/>
        </w:rPr>
        <w:t xml:space="preserve"> 1</w:t>
      </w:r>
      <w:r>
        <w:rPr>
          <w:rFonts w:ascii="Verdana" w:eastAsia="Times New Roman" w:hAnsi="Verdana" w:cs="Arial"/>
          <w:sz w:val="20"/>
          <w:szCs w:val="20"/>
          <w:lang w:eastAsia="es-ES"/>
        </w:rPr>
        <w:t xml:space="preserve"> y 2 de la Convención</w:t>
      </w:r>
      <w:r>
        <w:rPr>
          <w:rStyle w:val="FootnoteReference"/>
          <w:rFonts w:eastAsia="Times New Roman"/>
          <w:szCs w:val="20"/>
          <w:lang w:eastAsia="es-ES"/>
        </w:rPr>
        <w:footnoteReference w:id="254"/>
      </w:r>
      <w:r w:rsidRPr="00F75D8E">
        <w:rPr>
          <w:rFonts w:ascii="Verdana" w:eastAsia="Times New Roman" w:hAnsi="Verdana" w:cs="Arial"/>
          <w:sz w:val="20"/>
          <w:szCs w:val="20"/>
          <w:lang w:eastAsia="es-ES"/>
        </w:rPr>
        <w:t>.</w:t>
      </w:r>
      <w:r w:rsidRPr="00F75D8E">
        <w:rPr>
          <w:rFonts w:ascii="Verdana" w:hAnsi="Verdana"/>
          <w:sz w:val="20"/>
          <w:szCs w:val="20"/>
        </w:rPr>
        <w:t xml:space="preserve"> </w:t>
      </w:r>
      <w:r w:rsidRPr="008E2A5E">
        <w:rPr>
          <w:rFonts w:ascii="Verdana" w:hAnsi="Verdana"/>
          <w:sz w:val="20"/>
          <w:szCs w:val="20"/>
          <w:lang w:val="es-ES"/>
        </w:rPr>
        <w:t xml:space="preserve">Los recursos ofrecidos por el Estado </w:t>
      </w:r>
      <w:r w:rsidRPr="008E2A5E">
        <w:rPr>
          <w:rFonts w:ascii="Verdana" w:hAnsi="Verdana"/>
          <w:sz w:val="20"/>
          <w:szCs w:val="20"/>
          <w:lang w:val="es-ES"/>
        </w:rPr>
        <w:lastRenderedPageBreak/>
        <w:t>deben suponer una posibilidad real</w:t>
      </w:r>
      <w:r w:rsidRPr="008E2A5E">
        <w:rPr>
          <w:rStyle w:val="FootnoteReference"/>
          <w:szCs w:val="20"/>
        </w:rPr>
        <w:footnoteReference w:id="255"/>
      </w:r>
      <w:r w:rsidRPr="008E2A5E">
        <w:rPr>
          <w:rFonts w:ascii="Verdana" w:hAnsi="Verdana"/>
          <w:sz w:val="20"/>
          <w:szCs w:val="20"/>
          <w:lang w:val="es-ES"/>
        </w:rPr>
        <w:t xml:space="preserve"> para que las comunidades indígenas y tribales puedan defender sus derechos y puedan ejercer el control efectivo de su territorio, sin ninguna interferencia externa</w:t>
      </w:r>
      <w:r w:rsidRPr="008E2A5E">
        <w:rPr>
          <w:rStyle w:val="FootnoteReference"/>
          <w:szCs w:val="20"/>
        </w:rPr>
        <w:footnoteReference w:id="256"/>
      </w:r>
      <w:r w:rsidRPr="008E2A5E">
        <w:rPr>
          <w:rFonts w:ascii="Verdana" w:hAnsi="Verdana"/>
          <w:sz w:val="20"/>
          <w:szCs w:val="20"/>
          <w:lang w:val="es-ES"/>
        </w:rPr>
        <w:t xml:space="preserve">. </w:t>
      </w:r>
    </w:p>
    <w:p w14:paraId="0C704B6A" w14:textId="77777777" w:rsidR="00F02DDD" w:rsidRPr="00E86D69" w:rsidRDefault="00F02DDD" w:rsidP="00E86D69">
      <w:pPr>
        <w:rPr>
          <w:rFonts w:ascii="Verdana" w:eastAsia="Times New Roman" w:hAnsi="Verdana"/>
          <w:sz w:val="18"/>
          <w:szCs w:val="18"/>
          <w:lang w:val="es-CR"/>
        </w:rPr>
      </w:pPr>
    </w:p>
    <w:p w14:paraId="0C704B6B" w14:textId="77777777" w:rsidR="00F02DDD" w:rsidRPr="006711D8" w:rsidRDefault="00F02DDD" w:rsidP="00F02DDD">
      <w:pPr>
        <w:pStyle w:val="Heading3"/>
        <w:spacing w:before="0"/>
        <w:ind w:left="705"/>
        <w:jc w:val="both"/>
        <w:rPr>
          <w:rFonts w:ascii="Verdana" w:hAnsi="Verdana"/>
          <w:b w:val="0"/>
          <w:i/>
          <w:sz w:val="20"/>
          <w:szCs w:val="20"/>
          <w:lang w:val="es-CO"/>
        </w:rPr>
      </w:pPr>
      <w:bookmarkStart w:id="99" w:name="_Toc437247361"/>
      <w:r w:rsidRPr="00554240">
        <w:rPr>
          <w:rFonts w:ascii="Verdana" w:hAnsi="Verdana"/>
          <w:i/>
          <w:color w:val="auto"/>
          <w:sz w:val="20"/>
          <w:szCs w:val="20"/>
          <w:lang w:val="es-CR"/>
        </w:rPr>
        <w:t>B.1 Respecto de los procedimientos para la protección de la propiedad de la Comunidad Garífuna de Punta Piedra frente a terceros a través del saneamiento</w:t>
      </w:r>
      <w:bookmarkEnd w:id="99"/>
    </w:p>
    <w:p w14:paraId="0C704B6C" w14:textId="77777777" w:rsidR="00F02DDD" w:rsidRPr="002A0971" w:rsidRDefault="00F02DDD" w:rsidP="00F02DDD">
      <w:pPr>
        <w:jc w:val="both"/>
        <w:rPr>
          <w:rFonts w:ascii="Verdana" w:hAnsi="Verdana"/>
          <w:sz w:val="20"/>
          <w:szCs w:val="20"/>
          <w:lang w:val="es-CO"/>
        </w:rPr>
      </w:pPr>
    </w:p>
    <w:p w14:paraId="0C704B6D" w14:textId="7D4CB091" w:rsidR="00F02DDD" w:rsidRPr="00D32D16" w:rsidRDefault="00F02DDD" w:rsidP="00F02DDD">
      <w:pPr>
        <w:pStyle w:val="ListParagraph"/>
        <w:numPr>
          <w:ilvl w:val="0"/>
          <w:numId w:val="17"/>
        </w:numPr>
        <w:ind w:left="0" w:hanging="11"/>
        <w:jc w:val="both"/>
        <w:rPr>
          <w:rFonts w:ascii="Verdana" w:eastAsia="Times New Roman" w:hAnsi="Verdana"/>
          <w:b/>
          <w:spacing w:val="-2"/>
          <w:sz w:val="20"/>
          <w:szCs w:val="20"/>
          <w:lang w:val="es-CR" w:eastAsia="es-ES"/>
        </w:rPr>
      </w:pPr>
      <w:r w:rsidRPr="00D32D16">
        <w:rPr>
          <w:rFonts w:ascii="Verdana" w:hAnsi="Verdana"/>
          <w:spacing w:val="-2"/>
          <w:sz w:val="20"/>
          <w:szCs w:val="20"/>
          <w:lang w:val="es-CR"/>
        </w:rPr>
        <w:t xml:space="preserve">Con base en lo expuesto, </w:t>
      </w:r>
      <w:r>
        <w:rPr>
          <w:rFonts w:ascii="Verdana" w:hAnsi="Verdana"/>
          <w:spacing w:val="-2"/>
          <w:sz w:val="20"/>
          <w:szCs w:val="20"/>
          <w:lang w:val="es-CR"/>
        </w:rPr>
        <w:t xml:space="preserve">el </w:t>
      </w:r>
      <w:r w:rsidRPr="00D32D16">
        <w:rPr>
          <w:rFonts w:ascii="Verdana" w:hAnsi="Verdana"/>
          <w:spacing w:val="-2"/>
          <w:sz w:val="20"/>
          <w:szCs w:val="20"/>
          <w:lang w:val="es-CR"/>
        </w:rPr>
        <w:t xml:space="preserve">Tribunal </w:t>
      </w:r>
      <w:r>
        <w:rPr>
          <w:rFonts w:ascii="Verdana" w:hAnsi="Verdana"/>
          <w:spacing w:val="-2"/>
          <w:sz w:val="20"/>
          <w:szCs w:val="20"/>
          <w:lang w:val="es-CR"/>
        </w:rPr>
        <w:t>analizará</w:t>
      </w:r>
      <w:r w:rsidRPr="00D32D16">
        <w:rPr>
          <w:rFonts w:ascii="Verdana" w:hAnsi="Verdana"/>
          <w:spacing w:val="-2"/>
          <w:sz w:val="20"/>
          <w:szCs w:val="20"/>
          <w:lang w:val="es-CR"/>
        </w:rPr>
        <w:t xml:space="preserve"> </w:t>
      </w:r>
      <w:r>
        <w:rPr>
          <w:rFonts w:ascii="Verdana" w:hAnsi="Verdana"/>
          <w:spacing w:val="-2"/>
          <w:sz w:val="20"/>
          <w:szCs w:val="20"/>
          <w:lang w:val="es-CR"/>
        </w:rPr>
        <w:t xml:space="preserve">en este apartado las controversias respecto de la violación del artículo </w:t>
      </w:r>
      <w:r w:rsidRPr="00D32D16">
        <w:rPr>
          <w:rFonts w:ascii="Verdana" w:hAnsi="Verdana"/>
          <w:spacing w:val="-2"/>
          <w:sz w:val="20"/>
          <w:szCs w:val="20"/>
          <w:lang w:val="es-CR"/>
        </w:rPr>
        <w:t>25</w:t>
      </w:r>
      <w:r>
        <w:rPr>
          <w:rFonts w:ascii="Verdana" w:hAnsi="Verdana"/>
          <w:spacing w:val="-2"/>
          <w:sz w:val="20"/>
          <w:szCs w:val="20"/>
          <w:lang w:val="es-CR"/>
        </w:rPr>
        <w:t xml:space="preserve"> </w:t>
      </w:r>
      <w:r w:rsidRPr="00D32D16">
        <w:rPr>
          <w:rFonts w:ascii="Verdana" w:hAnsi="Verdana"/>
          <w:spacing w:val="-2"/>
          <w:sz w:val="20"/>
          <w:szCs w:val="20"/>
          <w:lang w:val="es-CR"/>
        </w:rPr>
        <w:t xml:space="preserve">de la Convención, en relación con </w:t>
      </w:r>
      <w:r w:rsidR="00D722CA">
        <w:rPr>
          <w:rFonts w:ascii="Verdana" w:hAnsi="Verdana"/>
          <w:spacing w:val="-2"/>
          <w:sz w:val="20"/>
          <w:szCs w:val="20"/>
          <w:lang w:val="es-CR"/>
        </w:rPr>
        <w:t>los</w:t>
      </w:r>
      <w:r w:rsidRPr="001A273A">
        <w:rPr>
          <w:rFonts w:ascii="Verdana" w:hAnsi="Verdana"/>
          <w:spacing w:val="-2"/>
          <w:sz w:val="20"/>
          <w:szCs w:val="20"/>
          <w:lang w:val="es-CR"/>
        </w:rPr>
        <w:t xml:space="preserve"> artículo</w:t>
      </w:r>
      <w:r w:rsidR="00D722CA">
        <w:rPr>
          <w:rFonts w:ascii="Verdana" w:hAnsi="Verdana"/>
          <w:spacing w:val="-2"/>
          <w:sz w:val="20"/>
          <w:szCs w:val="20"/>
          <w:lang w:val="es-CR"/>
        </w:rPr>
        <w:t>s</w:t>
      </w:r>
      <w:r w:rsidRPr="001A273A">
        <w:rPr>
          <w:rFonts w:ascii="Verdana" w:hAnsi="Verdana"/>
          <w:spacing w:val="-2"/>
          <w:sz w:val="20"/>
          <w:szCs w:val="20"/>
          <w:lang w:val="es-CR"/>
        </w:rPr>
        <w:t xml:space="preserve"> 1.1 y 2 de ese tratado</w:t>
      </w:r>
      <w:r>
        <w:rPr>
          <w:rFonts w:ascii="Verdana" w:hAnsi="Verdana"/>
          <w:spacing w:val="-2"/>
          <w:sz w:val="20"/>
          <w:szCs w:val="20"/>
          <w:lang w:val="es-CR"/>
        </w:rPr>
        <w:t>, por lo que</w:t>
      </w:r>
      <w:r w:rsidRPr="001A273A">
        <w:rPr>
          <w:rFonts w:ascii="Verdana" w:hAnsi="Verdana"/>
          <w:spacing w:val="-2"/>
          <w:sz w:val="20"/>
          <w:szCs w:val="20"/>
          <w:lang w:val="es-CR"/>
        </w:rPr>
        <w:t xml:space="preserve"> </w:t>
      </w:r>
      <w:r>
        <w:rPr>
          <w:rFonts w:ascii="Verdana" w:hAnsi="Verdana"/>
          <w:spacing w:val="-2"/>
          <w:sz w:val="20"/>
          <w:szCs w:val="20"/>
          <w:lang w:val="es-CR"/>
        </w:rPr>
        <w:t>valorará</w:t>
      </w:r>
      <w:r w:rsidRPr="001A273A">
        <w:rPr>
          <w:rFonts w:ascii="Verdana" w:hAnsi="Verdana"/>
          <w:spacing w:val="-2"/>
          <w:sz w:val="20"/>
          <w:szCs w:val="20"/>
          <w:lang w:val="es-CR"/>
        </w:rPr>
        <w:t xml:space="preserve">: a) la idoneidad y efectividad de la Comisión Interinstitucional </w:t>
      </w:r>
      <w:r w:rsidRPr="001A273A">
        <w:rPr>
          <w:rFonts w:ascii="Verdana" w:hAnsi="Verdana"/>
          <w:i/>
          <w:spacing w:val="-2"/>
          <w:sz w:val="20"/>
          <w:szCs w:val="20"/>
          <w:lang w:val="es-CR"/>
        </w:rPr>
        <w:t>Ad-Hoc</w:t>
      </w:r>
      <w:r w:rsidRPr="001A273A">
        <w:rPr>
          <w:rFonts w:ascii="Verdana" w:hAnsi="Verdana"/>
          <w:spacing w:val="-2"/>
          <w:sz w:val="20"/>
          <w:szCs w:val="20"/>
          <w:lang w:val="es-CR"/>
        </w:rPr>
        <w:t xml:space="preserve"> y de los acuerdos conciliatorios; b) la ejecución de los compromisos adoptados</w:t>
      </w:r>
      <w:r>
        <w:rPr>
          <w:rFonts w:ascii="Verdana" w:hAnsi="Verdana"/>
          <w:spacing w:val="-2"/>
          <w:sz w:val="20"/>
          <w:szCs w:val="20"/>
          <w:lang w:val="es-CR"/>
        </w:rPr>
        <w:t xml:space="preserve">, </w:t>
      </w:r>
      <w:r w:rsidRPr="001A273A">
        <w:rPr>
          <w:rFonts w:ascii="Verdana" w:hAnsi="Verdana"/>
          <w:spacing w:val="-2"/>
          <w:sz w:val="20"/>
          <w:szCs w:val="20"/>
          <w:lang w:val="es-CR"/>
        </w:rPr>
        <w:t>y c)</w:t>
      </w:r>
      <w:r w:rsidRPr="001A273A">
        <w:rPr>
          <w:rFonts w:ascii="Verdana" w:eastAsia="Times New Roman" w:hAnsi="Verdana" w:cs="Arial"/>
          <w:spacing w:val="-2"/>
          <w:sz w:val="20"/>
          <w:szCs w:val="20"/>
          <w:lang w:val="es-CR" w:eastAsia="es-ES"/>
        </w:rPr>
        <w:t xml:space="preserve"> la alegada falta de un recurso adecuado y efectivo en la legislación interna </w:t>
      </w:r>
      <w:r>
        <w:rPr>
          <w:rFonts w:ascii="Verdana" w:eastAsia="Times New Roman" w:hAnsi="Verdana" w:cs="Arial"/>
          <w:spacing w:val="-2"/>
          <w:sz w:val="20"/>
          <w:szCs w:val="20"/>
          <w:lang w:val="es-CR" w:eastAsia="es-ES"/>
        </w:rPr>
        <w:t>para este caso</w:t>
      </w:r>
      <w:r w:rsidRPr="001A273A">
        <w:rPr>
          <w:rFonts w:ascii="Verdana" w:eastAsia="Times New Roman" w:hAnsi="Verdana" w:cs="Arial"/>
          <w:spacing w:val="-2"/>
          <w:sz w:val="20"/>
          <w:szCs w:val="20"/>
          <w:lang w:val="es-CR" w:eastAsia="es-ES"/>
        </w:rPr>
        <w:t>.</w:t>
      </w:r>
    </w:p>
    <w:p w14:paraId="0C704B6E" w14:textId="77777777" w:rsidR="00F02DDD" w:rsidRDefault="00F02DDD" w:rsidP="00F02DDD">
      <w:pPr>
        <w:ind w:firstLine="708"/>
        <w:jc w:val="both"/>
        <w:rPr>
          <w:rFonts w:ascii="Verdana" w:hAnsi="Verdana"/>
          <w:b/>
          <w:i/>
          <w:sz w:val="20"/>
          <w:szCs w:val="20"/>
        </w:rPr>
      </w:pPr>
    </w:p>
    <w:p w14:paraId="0C704B6F" w14:textId="021EAB55" w:rsidR="00F02DDD" w:rsidRPr="00DF5F50" w:rsidRDefault="00F02DDD" w:rsidP="00F02DDD">
      <w:pPr>
        <w:pStyle w:val="Heading4"/>
      </w:pPr>
      <w:bookmarkStart w:id="100" w:name="_Toc437247362"/>
      <w:r w:rsidRPr="00421366">
        <w:t>B.1.1 La Comisión Interinstitucional Ad-Hoc y demás gestiones reali</w:t>
      </w:r>
      <w:r w:rsidRPr="00DF5F50">
        <w:t xml:space="preserve">zadas para el saneamiento del territorio de la </w:t>
      </w:r>
      <w:r w:rsidR="002A2F53">
        <w:t>Comunidad Garífuna de Punta Piedra</w:t>
      </w:r>
      <w:bookmarkEnd w:id="100"/>
      <w:r w:rsidRPr="00DF5F50">
        <w:t xml:space="preserve"> </w:t>
      </w:r>
    </w:p>
    <w:p w14:paraId="0C704B70" w14:textId="77777777" w:rsidR="00F02DDD" w:rsidRPr="006711D8" w:rsidRDefault="00F02DDD" w:rsidP="00F02DDD">
      <w:pPr>
        <w:pStyle w:val="ListParagraph"/>
        <w:tabs>
          <w:tab w:val="left" w:pos="567"/>
        </w:tabs>
        <w:ind w:left="0"/>
        <w:jc w:val="both"/>
        <w:rPr>
          <w:rFonts w:ascii="Verdana" w:eastAsia="Times New Roman" w:hAnsi="Verdana"/>
          <w:spacing w:val="-2"/>
          <w:sz w:val="20"/>
          <w:szCs w:val="20"/>
          <w:lang w:val="es-CR" w:eastAsia="es-ES"/>
        </w:rPr>
      </w:pPr>
    </w:p>
    <w:p w14:paraId="0C704B71" w14:textId="285C5EA8" w:rsidR="00F02DDD" w:rsidRPr="00102613" w:rsidRDefault="00F41C2A" w:rsidP="00F02DDD">
      <w:pPr>
        <w:pStyle w:val="ListParagraph"/>
        <w:numPr>
          <w:ilvl w:val="0"/>
          <w:numId w:val="17"/>
        </w:numPr>
        <w:ind w:left="0" w:hanging="11"/>
        <w:jc w:val="both"/>
        <w:rPr>
          <w:rFonts w:ascii="Verdana" w:eastAsia="Times New Roman" w:hAnsi="Verdana"/>
          <w:spacing w:val="-2"/>
          <w:sz w:val="20"/>
          <w:szCs w:val="20"/>
          <w:lang w:val="es-CR" w:eastAsia="es-ES"/>
        </w:rPr>
      </w:pPr>
      <w:r>
        <w:rPr>
          <w:rFonts w:ascii="Verdana" w:eastAsia="Times New Roman" w:hAnsi="Verdana"/>
          <w:spacing w:val="-2"/>
          <w:sz w:val="20"/>
          <w:szCs w:val="20"/>
          <w:lang w:val="es-CR" w:eastAsia="es-ES"/>
        </w:rPr>
        <w:t xml:space="preserve">La Corte reitera que </w:t>
      </w:r>
      <w:r w:rsidR="00F02DDD" w:rsidRPr="00102613">
        <w:rPr>
          <w:rFonts w:ascii="Verdana" w:eastAsia="Times New Roman" w:hAnsi="Verdana"/>
          <w:spacing w:val="-2"/>
          <w:sz w:val="20"/>
          <w:szCs w:val="20"/>
          <w:lang w:val="es-CR" w:eastAsia="es-ES"/>
        </w:rPr>
        <w:t>la Comunidad Garífuna de Punta Piedra recibió dos títulos de propiedad en 1993 y 1999. Sin embargo, parte del territorio titulado a su favor se encontraba en posesión de terceros, es decir que el territorio fue titulado sin que haya sido saneado por el Estado. El deber de sanear ha sido considerado como una obligación de oficio del Estado en el presente caso, conforme a lo establecido por esta Corte (</w:t>
      </w:r>
      <w:r w:rsidR="00F02DDD" w:rsidRPr="00102613">
        <w:rPr>
          <w:rFonts w:ascii="Verdana" w:eastAsia="Times New Roman" w:hAnsi="Verdana"/>
          <w:i/>
          <w:spacing w:val="-2"/>
          <w:sz w:val="20"/>
          <w:szCs w:val="20"/>
          <w:lang w:val="es-CR" w:eastAsia="es-ES"/>
        </w:rPr>
        <w:t>supra</w:t>
      </w:r>
      <w:r w:rsidR="00F02DDD" w:rsidRPr="00102613">
        <w:rPr>
          <w:rFonts w:ascii="Verdana" w:eastAsia="Times New Roman" w:hAnsi="Verdana"/>
          <w:spacing w:val="-2"/>
          <w:sz w:val="20"/>
          <w:szCs w:val="20"/>
          <w:lang w:val="es-CR" w:eastAsia="es-ES"/>
        </w:rPr>
        <w:t xml:space="preserve"> párr. </w:t>
      </w:r>
      <w:r w:rsidR="00C81449">
        <w:rPr>
          <w:rFonts w:ascii="Verdana" w:eastAsia="Times New Roman" w:hAnsi="Verdana"/>
          <w:spacing w:val="-2"/>
          <w:sz w:val="20"/>
          <w:szCs w:val="20"/>
          <w:lang w:val="es-CR" w:eastAsia="es-ES"/>
        </w:rPr>
        <w:t>186</w:t>
      </w:r>
      <w:r w:rsidR="00F02DDD" w:rsidRPr="00102613">
        <w:rPr>
          <w:rFonts w:ascii="Verdana" w:eastAsia="Times New Roman" w:hAnsi="Verdana"/>
          <w:spacing w:val="-2"/>
          <w:sz w:val="20"/>
          <w:szCs w:val="20"/>
          <w:lang w:val="es-CR" w:eastAsia="es-ES"/>
        </w:rPr>
        <w:t xml:space="preserve">). </w:t>
      </w:r>
    </w:p>
    <w:p w14:paraId="0C704B72" w14:textId="77777777" w:rsidR="00F02DDD" w:rsidRPr="00102613" w:rsidRDefault="00F02DDD" w:rsidP="00F02DDD">
      <w:pPr>
        <w:pStyle w:val="ListParagraph"/>
        <w:tabs>
          <w:tab w:val="left" w:pos="567"/>
        </w:tabs>
        <w:ind w:left="0"/>
        <w:jc w:val="both"/>
        <w:rPr>
          <w:rFonts w:ascii="Verdana" w:eastAsia="Times New Roman" w:hAnsi="Verdana"/>
          <w:spacing w:val="-2"/>
          <w:sz w:val="20"/>
          <w:szCs w:val="20"/>
          <w:lang w:val="es-CR" w:eastAsia="es-ES"/>
        </w:rPr>
      </w:pPr>
    </w:p>
    <w:p w14:paraId="0C704B73" w14:textId="7733B851" w:rsidR="00F02DDD" w:rsidRDefault="00F02DDD" w:rsidP="00F02DDD">
      <w:pPr>
        <w:pStyle w:val="ListParagraph"/>
        <w:numPr>
          <w:ilvl w:val="0"/>
          <w:numId w:val="17"/>
        </w:numPr>
        <w:ind w:left="0" w:hanging="11"/>
        <w:jc w:val="both"/>
        <w:rPr>
          <w:rFonts w:ascii="Verdana" w:eastAsia="Times New Roman" w:hAnsi="Verdana"/>
          <w:spacing w:val="-2"/>
          <w:sz w:val="20"/>
          <w:szCs w:val="20"/>
          <w:lang w:val="es-CR" w:eastAsia="es-ES"/>
        </w:rPr>
      </w:pPr>
      <w:r w:rsidRPr="00102613">
        <w:rPr>
          <w:rFonts w:ascii="Verdana" w:eastAsia="Times New Roman" w:hAnsi="Verdana"/>
          <w:spacing w:val="-2"/>
          <w:sz w:val="20"/>
          <w:szCs w:val="20"/>
          <w:lang w:val="es-CR" w:eastAsia="es-ES"/>
        </w:rPr>
        <w:t>En este sentido, el Tribunal comprueba que</w:t>
      </w:r>
      <w:r w:rsidRPr="006310EA">
        <w:rPr>
          <w:rFonts w:ascii="Verdana" w:eastAsia="Times New Roman" w:hAnsi="Verdana"/>
          <w:spacing w:val="-2"/>
          <w:sz w:val="20"/>
          <w:szCs w:val="20"/>
          <w:lang w:val="es-CR" w:eastAsia="es-ES"/>
        </w:rPr>
        <w:t xml:space="preserve"> </w:t>
      </w:r>
      <w:r w:rsidRPr="0093146C">
        <w:rPr>
          <w:rFonts w:ascii="Verdana" w:eastAsia="Times New Roman" w:hAnsi="Verdana"/>
          <w:spacing w:val="-2"/>
          <w:sz w:val="20"/>
          <w:szCs w:val="20"/>
          <w:lang w:val="es-CR" w:eastAsia="es-ES"/>
        </w:rPr>
        <w:t xml:space="preserve">el Estado no probó que los recursos </w:t>
      </w:r>
      <w:r w:rsidRPr="001320D3">
        <w:rPr>
          <w:rFonts w:ascii="Verdana" w:eastAsia="Times New Roman" w:hAnsi="Verdana"/>
          <w:spacing w:val="-2"/>
          <w:sz w:val="20"/>
          <w:szCs w:val="20"/>
          <w:lang w:val="es-CR" w:eastAsia="es-ES"/>
        </w:rPr>
        <w:t xml:space="preserve">de carácter administrativo, judicial o de otra índole </w:t>
      </w:r>
      <w:r w:rsidRPr="0093146C">
        <w:rPr>
          <w:rFonts w:ascii="Verdana" w:eastAsia="Times New Roman" w:hAnsi="Verdana"/>
          <w:spacing w:val="-2"/>
          <w:sz w:val="20"/>
          <w:szCs w:val="20"/>
          <w:lang w:val="es-CR" w:eastAsia="es-ES"/>
        </w:rPr>
        <w:t>existentes a nivel interno</w:t>
      </w:r>
      <w:r w:rsidR="002A4330">
        <w:rPr>
          <w:rFonts w:ascii="Verdana" w:eastAsia="Times New Roman" w:hAnsi="Verdana"/>
          <w:spacing w:val="-2"/>
          <w:sz w:val="20"/>
          <w:szCs w:val="20"/>
          <w:lang w:val="es-CR" w:eastAsia="es-ES"/>
        </w:rPr>
        <w:t>, en el momento en que sucedieron los hechos,</w:t>
      </w:r>
      <w:r w:rsidRPr="0093146C">
        <w:rPr>
          <w:rFonts w:ascii="Verdana" w:eastAsia="Times New Roman" w:hAnsi="Verdana"/>
          <w:spacing w:val="-2"/>
          <w:sz w:val="20"/>
          <w:szCs w:val="20"/>
          <w:lang w:val="es-CR" w:eastAsia="es-ES"/>
        </w:rPr>
        <w:t xml:space="preserve"> se ajustaran o fueran aplicados de conformidad con </w:t>
      </w:r>
      <w:r w:rsidRPr="001320D3">
        <w:rPr>
          <w:rFonts w:ascii="Verdana" w:eastAsia="Times New Roman" w:hAnsi="Verdana"/>
          <w:spacing w:val="-2"/>
          <w:sz w:val="20"/>
          <w:szCs w:val="20"/>
          <w:lang w:val="es-CR" w:eastAsia="es-ES"/>
        </w:rPr>
        <w:t>los estándares en la materia</w:t>
      </w:r>
      <w:r w:rsidRPr="00805DC4">
        <w:rPr>
          <w:rFonts w:ascii="Verdana" w:eastAsia="Times New Roman" w:hAnsi="Verdana"/>
          <w:spacing w:val="-2"/>
          <w:sz w:val="20"/>
          <w:szCs w:val="20"/>
          <w:lang w:val="es-CR" w:eastAsia="es-ES"/>
        </w:rPr>
        <w:t>,</w:t>
      </w:r>
      <w:r w:rsidRPr="006310EA">
        <w:rPr>
          <w:rFonts w:ascii="Verdana" w:eastAsia="Times New Roman" w:hAnsi="Verdana"/>
          <w:spacing w:val="-2"/>
          <w:sz w:val="20"/>
          <w:szCs w:val="20"/>
          <w:lang w:val="es-CR" w:eastAsia="es-ES"/>
        </w:rPr>
        <w:t xml:space="preserve"> a pesar de haberse ratificado el Conv</w:t>
      </w:r>
      <w:r w:rsidRPr="001320D3">
        <w:rPr>
          <w:rFonts w:ascii="Verdana" w:eastAsia="Times New Roman" w:hAnsi="Verdana"/>
          <w:spacing w:val="-2"/>
          <w:sz w:val="20"/>
          <w:szCs w:val="20"/>
          <w:lang w:val="es-CR" w:eastAsia="es-ES"/>
        </w:rPr>
        <w:t xml:space="preserve">enio 169 de la OIT, a efectos de que </w:t>
      </w:r>
      <w:r w:rsidRPr="0093146C">
        <w:rPr>
          <w:rFonts w:ascii="Verdana" w:eastAsia="Times New Roman" w:hAnsi="Verdana"/>
          <w:spacing w:val="-2"/>
          <w:sz w:val="20"/>
          <w:szCs w:val="20"/>
          <w:lang w:val="es-CR" w:eastAsia="es-ES"/>
        </w:rPr>
        <w:t xml:space="preserve">Honduras </w:t>
      </w:r>
      <w:r w:rsidRPr="001320D3">
        <w:rPr>
          <w:rFonts w:ascii="Verdana" w:eastAsia="Times New Roman" w:hAnsi="Verdana"/>
          <w:spacing w:val="-2"/>
          <w:sz w:val="20"/>
          <w:szCs w:val="20"/>
          <w:lang w:val="es-CR" w:eastAsia="es-ES"/>
        </w:rPr>
        <w:t>garantizara el derecho a la propiedad de la Comunidad de Punta Piedra a través de</w:t>
      </w:r>
      <w:r>
        <w:rPr>
          <w:rFonts w:ascii="Verdana" w:eastAsia="Times New Roman" w:hAnsi="Verdana"/>
          <w:spacing w:val="-2"/>
          <w:sz w:val="20"/>
          <w:szCs w:val="20"/>
          <w:lang w:val="es-CR" w:eastAsia="es-ES"/>
        </w:rPr>
        <w:t xml:space="preserve"> la protección de su uso y goce en forma plena</w:t>
      </w:r>
      <w:r w:rsidRPr="001320D3">
        <w:rPr>
          <w:rFonts w:ascii="Verdana" w:eastAsia="Times New Roman" w:hAnsi="Verdana"/>
          <w:spacing w:val="-2"/>
          <w:sz w:val="20"/>
          <w:szCs w:val="20"/>
          <w:lang w:val="es-CR" w:eastAsia="es-ES"/>
        </w:rPr>
        <w:t>. No</w:t>
      </w:r>
      <w:r>
        <w:rPr>
          <w:rFonts w:ascii="Verdana" w:eastAsia="Times New Roman" w:hAnsi="Verdana"/>
          <w:spacing w:val="-2"/>
          <w:sz w:val="20"/>
          <w:szCs w:val="20"/>
          <w:lang w:val="es-CR" w:eastAsia="es-ES"/>
        </w:rPr>
        <w:t xml:space="preserve"> obstante, </w:t>
      </w:r>
      <w:r>
        <w:rPr>
          <w:rFonts w:ascii="Verdana" w:hAnsi="Verdana"/>
          <w:color w:val="000000"/>
          <w:sz w:val="20"/>
          <w:szCs w:val="20"/>
          <w:lang w:val="es-MX"/>
        </w:rPr>
        <w:t>e</w:t>
      </w:r>
      <w:r w:rsidRPr="00A350BC">
        <w:rPr>
          <w:rFonts w:ascii="Verdana" w:hAnsi="Verdana"/>
          <w:color w:val="000000"/>
          <w:sz w:val="20"/>
          <w:szCs w:val="20"/>
          <w:lang w:val="es-MX"/>
        </w:rPr>
        <w:t xml:space="preserve">l Tribunal comprueba que el Estado, </w:t>
      </w:r>
      <w:r w:rsidRPr="00B725E4">
        <w:rPr>
          <w:rFonts w:ascii="Verdana" w:hAnsi="Verdana"/>
          <w:color w:val="000000"/>
          <w:sz w:val="20"/>
          <w:szCs w:val="20"/>
          <w:lang w:val="es-MX"/>
        </w:rPr>
        <w:t xml:space="preserve">ante este escenario, y </w:t>
      </w:r>
      <w:r w:rsidRPr="00A350BC">
        <w:rPr>
          <w:rFonts w:ascii="Verdana" w:hAnsi="Verdana"/>
          <w:color w:val="000000"/>
          <w:sz w:val="20"/>
          <w:szCs w:val="20"/>
          <w:lang w:val="es-MX"/>
        </w:rPr>
        <w:t>como muestra de un esfuerzo por cumplir con su obligación de sanea</w:t>
      </w:r>
      <w:r>
        <w:rPr>
          <w:rFonts w:ascii="Verdana" w:hAnsi="Verdana"/>
          <w:color w:val="000000"/>
          <w:sz w:val="20"/>
          <w:szCs w:val="20"/>
          <w:lang w:val="es-MX"/>
        </w:rPr>
        <w:t>r</w:t>
      </w:r>
      <w:r w:rsidRPr="00A350BC">
        <w:rPr>
          <w:rFonts w:ascii="Verdana" w:hAnsi="Verdana"/>
          <w:color w:val="000000"/>
          <w:sz w:val="20"/>
          <w:szCs w:val="20"/>
          <w:lang w:val="es-MX"/>
        </w:rPr>
        <w:t xml:space="preserve"> el territorio titulado a favor de la Comunidad de Punta Piedra, </w:t>
      </w:r>
      <w:r w:rsidRPr="00A350BC">
        <w:rPr>
          <w:rFonts w:ascii="Verdana" w:eastAsia="Times New Roman" w:hAnsi="Verdana"/>
          <w:spacing w:val="-2"/>
          <w:sz w:val="20"/>
          <w:szCs w:val="20"/>
          <w:lang w:val="es-CR" w:eastAsia="es-ES"/>
        </w:rPr>
        <w:t xml:space="preserve">creó una Comisión Interinstitucional </w:t>
      </w:r>
      <w:r w:rsidRPr="00A350BC">
        <w:rPr>
          <w:rFonts w:ascii="Verdana" w:eastAsia="Times New Roman" w:hAnsi="Verdana"/>
          <w:i/>
          <w:spacing w:val="-2"/>
          <w:sz w:val="20"/>
          <w:szCs w:val="20"/>
          <w:lang w:val="es-CR" w:eastAsia="es-ES"/>
        </w:rPr>
        <w:t>Ad-Hoc</w:t>
      </w:r>
      <w:r w:rsidR="00D722CA">
        <w:rPr>
          <w:rFonts w:ascii="Verdana" w:eastAsia="Times New Roman" w:hAnsi="Verdana"/>
          <w:i/>
          <w:spacing w:val="-2"/>
          <w:sz w:val="20"/>
          <w:szCs w:val="20"/>
          <w:lang w:val="es-CR" w:eastAsia="es-ES"/>
        </w:rPr>
        <w:t>,</w:t>
      </w:r>
      <w:r w:rsidRPr="00A350BC">
        <w:rPr>
          <w:rFonts w:ascii="Verdana" w:eastAsia="Times New Roman" w:hAnsi="Verdana"/>
          <w:spacing w:val="-2"/>
          <w:sz w:val="20"/>
          <w:szCs w:val="20"/>
          <w:lang w:val="es-CR" w:eastAsia="es-ES"/>
        </w:rPr>
        <w:t xml:space="preserve"> como un mecanismo de conciliación a efectos de lograr una solución pacífica</w:t>
      </w:r>
      <w:r w:rsidRPr="00B725E4">
        <w:rPr>
          <w:rFonts w:ascii="Verdana" w:eastAsia="Times New Roman" w:hAnsi="Verdana"/>
          <w:spacing w:val="-2"/>
          <w:sz w:val="20"/>
          <w:szCs w:val="20"/>
          <w:lang w:val="es-CR" w:eastAsia="es-ES"/>
        </w:rPr>
        <w:t xml:space="preserve">, </w:t>
      </w:r>
      <w:r w:rsidRPr="00A350BC">
        <w:rPr>
          <w:rFonts w:ascii="Verdana" w:eastAsia="Times New Roman" w:hAnsi="Verdana"/>
          <w:spacing w:val="-2"/>
          <w:sz w:val="20"/>
          <w:szCs w:val="20"/>
          <w:lang w:val="es-CR" w:eastAsia="es-ES"/>
        </w:rPr>
        <w:t xml:space="preserve">concertada </w:t>
      </w:r>
      <w:r w:rsidRPr="00B725E4">
        <w:rPr>
          <w:rFonts w:ascii="Verdana" w:eastAsia="Times New Roman" w:hAnsi="Verdana"/>
          <w:spacing w:val="-2"/>
          <w:sz w:val="20"/>
          <w:szCs w:val="20"/>
          <w:lang w:val="es-CR" w:eastAsia="es-ES"/>
        </w:rPr>
        <w:t xml:space="preserve">y </w:t>
      </w:r>
      <w:r w:rsidR="00F41C2A">
        <w:rPr>
          <w:rFonts w:ascii="Verdana" w:eastAsia="Times New Roman" w:hAnsi="Verdana"/>
          <w:spacing w:val="-2"/>
          <w:sz w:val="20"/>
          <w:szCs w:val="20"/>
          <w:lang w:val="es-CR" w:eastAsia="es-ES"/>
        </w:rPr>
        <w:t>extra</w:t>
      </w:r>
      <w:r w:rsidR="00F41C2A" w:rsidRPr="0051714D">
        <w:rPr>
          <w:rFonts w:ascii="Verdana" w:eastAsia="Times New Roman" w:hAnsi="Verdana"/>
          <w:spacing w:val="-2"/>
          <w:sz w:val="20"/>
          <w:szCs w:val="20"/>
          <w:lang w:val="es-CR" w:eastAsia="es-ES"/>
        </w:rPr>
        <w:t xml:space="preserve">judicial </w:t>
      </w:r>
      <w:r w:rsidRPr="0051714D">
        <w:rPr>
          <w:rFonts w:ascii="Verdana" w:eastAsia="Times New Roman" w:hAnsi="Verdana"/>
          <w:spacing w:val="-2"/>
          <w:sz w:val="20"/>
          <w:szCs w:val="20"/>
          <w:lang w:val="es-CR" w:eastAsia="es-ES"/>
        </w:rPr>
        <w:t>del problema</w:t>
      </w:r>
      <w:r>
        <w:rPr>
          <w:rFonts w:ascii="Verdana" w:eastAsia="Times New Roman" w:hAnsi="Verdana"/>
          <w:spacing w:val="-2"/>
          <w:sz w:val="20"/>
          <w:szCs w:val="20"/>
          <w:lang w:val="es-CR" w:eastAsia="es-ES"/>
        </w:rPr>
        <w:t xml:space="preserve"> </w:t>
      </w:r>
      <w:r w:rsidRPr="0051714D">
        <w:rPr>
          <w:rFonts w:ascii="Verdana" w:hAnsi="Verdana"/>
          <w:sz w:val="20"/>
          <w:szCs w:val="20"/>
          <w:lang w:val="es-CR"/>
        </w:rPr>
        <w:t>y se comprometió a una serie de acuerdos adoptados también por los pobladores de las Comunidades de Punta Piedra y Río Miel en el acta de comprom</w:t>
      </w:r>
      <w:r w:rsidRPr="001D28C4">
        <w:rPr>
          <w:rFonts w:ascii="Verdana" w:hAnsi="Verdana"/>
          <w:sz w:val="20"/>
          <w:szCs w:val="20"/>
          <w:lang w:val="es-CR"/>
        </w:rPr>
        <w:t>iso de 13 de diciembre de 200</w:t>
      </w:r>
      <w:r>
        <w:rPr>
          <w:rFonts w:ascii="Verdana" w:hAnsi="Verdana"/>
          <w:sz w:val="20"/>
          <w:szCs w:val="20"/>
          <w:lang w:val="es-CR"/>
        </w:rPr>
        <w:t>1.</w:t>
      </w:r>
    </w:p>
    <w:p w14:paraId="0C704B74" w14:textId="77777777" w:rsidR="00F02DDD" w:rsidRPr="0051714D" w:rsidRDefault="00F02DDD" w:rsidP="00F02DDD">
      <w:pPr>
        <w:rPr>
          <w:rFonts w:ascii="Verdana" w:hAnsi="Verdana"/>
          <w:sz w:val="20"/>
          <w:szCs w:val="20"/>
          <w:lang w:val="es-CR"/>
        </w:rPr>
      </w:pPr>
    </w:p>
    <w:p w14:paraId="0C704B75" w14:textId="77777777" w:rsidR="00F02DDD" w:rsidRDefault="00F02DDD" w:rsidP="00F02DDD">
      <w:pPr>
        <w:pStyle w:val="ListParagraph"/>
        <w:numPr>
          <w:ilvl w:val="0"/>
          <w:numId w:val="17"/>
        </w:numPr>
        <w:ind w:left="0" w:hanging="11"/>
        <w:jc w:val="both"/>
        <w:rPr>
          <w:rFonts w:ascii="Verdana" w:hAnsi="Verdana"/>
          <w:sz w:val="20"/>
          <w:szCs w:val="20"/>
          <w:lang w:val="es-CR"/>
        </w:rPr>
      </w:pPr>
      <w:r>
        <w:rPr>
          <w:rFonts w:ascii="Verdana" w:hAnsi="Verdana"/>
          <w:sz w:val="20"/>
          <w:szCs w:val="20"/>
          <w:lang w:val="es-CR"/>
        </w:rPr>
        <w:t>En específico, en dicho acuerdo, el Estado de Honduras</w:t>
      </w:r>
      <w:r w:rsidRPr="00AD27C5">
        <w:rPr>
          <w:rFonts w:ascii="Verdana" w:hAnsi="Verdana"/>
          <w:sz w:val="20"/>
          <w:szCs w:val="20"/>
          <w:lang w:val="es-CR"/>
        </w:rPr>
        <w:t xml:space="preserve"> reconoció que “[estaba] obligado a realizar el proceso de saneamiento a favor de la </w:t>
      </w:r>
      <w:r w:rsidR="002A4330">
        <w:rPr>
          <w:rFonts w:ascii="Verdana" w:hAnsi="Verdana"/>
          <w:sz w:val="20"/>
          <w:szCs w:val="20"/>
          <w:lang w:val="es-CR"/>
        </w:rPr>
        <w:t>[</w:t>
      </w:r>
      <w:r w:rsidRPr="00AD27C5">
        <w:rPr>
          <w:rFonts w:ascii="Verdana" w:hAnsi="Verdana"/>
          <w:sz w:val="20"/>
          <w:szCs w:val="20"/>
          <w:lang w:val="es-CR"/>
        </w:rPr>
        <w:t>c</w:t>
      </w:r>
      <w:r w:rsidR="002A4330">
        <w:rPr>
          <w:rFonts w:ascii="Verdana" w:hAnsi="Verdana"/>
          <w:sz w:val="20"/>
          <w:szCs w:val="20"/>
          <w:lang w:val="es-CR"/>
        </w:rPr>
        <w:t>]</w:t>
      </w:r>
      <w:proofErr w:type="spellStart"/>
      <w:r w:rsidRPr="00AD27C5">
        <w:rPr>
          <w:rFonts w:ascii="Verdana" w:hAnsi="Verdana"/>
          <w:sz w:val="20"/>
          <w:szCs w:val="20"/>
          <w:lang w:val="es-CR"/>
        </w:rPr>
        <w:t>omunidad</w:t>
      </w:r>
      <w:proofErr w:type="spellEnd"/>
      <w:r w:rsidRPr="00AD27C5">
        <w:rPr>
          <w:rFonts w:ascii="Verdana" w:hAnsi="Verdana"/>
          <w:sz w:val="20"/>
          <w:szCs w:val="20"/>
          <w:lang w:val="es-CR"/>
        </w:rPr>
        <w:t xml:space="preserve"> de Punta Piedra pagando las mejoras a los habitantes de Río Miel”, que el INA “debía de buscar de la manera más diligente un predio donde se </w:t>
      </w:r>
      <w:proofErr w:type="spellStart"/>
      <w:r w:rsidRPr="00AD27C5">
        <w:rPr>
          <w:rFonts w:ascii="Verdana" w:hAnsi="Verdana"/>
          <w:sz w:val="20"/>
          <w:szCs w:val="20"/>
          <w:lang w:val="es-CR"/>
        </w:rPr>
        <w:t>pu</w:t>
      </w:r>
      <w:proofErr w:type="spellEnd"/>
      <w:r w:rsidRPr="00AD27C5">
        <w:rPr>
          <w:rFonts w:ascii="Verdana" w:hAnsi="Verdana"/>
          <w:sz w:val="20"/>
          <w:szCs w:val="20"/>
          <w:lang w:val="es-CR"/>
        </w:rPr>
        <w:t xml:space="preserve">[dieran] reubicar las familias indemnizadas”, y que “para el </w:t>
      </w:r>
      <w:r w:rsidRPr="00DC09DB">
        <w:rPr>
          <w:rFonts w:ascii="Verdana" w:eastAsia="Times New Roman" w:hAnsi="Verdana"/>
          <w:spacing w:val="-2"/>
          <w:sz w:val="20"/>
          <w:szCs w:val="20"/>
          <w:lang w:val="es-CR" w:eastAsia="es-ES"/>
        </w:rPr>
        <w:t>seguimiento</w:t>
      </w:r>
      <w:r w:rsidRPr="00AD27C5">
        <w:rPr>
          <w:rFonts w:ascii="Verdana" w:hAnsi="Verdana"/>
          <w:sz w:val="20"/>
          <w:szCs w:val="20"/>
          <w:lang w:val="es-CR"/>
        </w:rPr>
        <w:t xml:space="preserve"> a los acuerdos de esta Acta [la] Comisión [Interinstitucional] estaba autorizada para formular el pliego de peticiones y hacer un calendario de trabajo […] [a fin de] </w:t>
      </w:r>
      <w:proofErr w:type="spellStart"/>
      <w:r w:rsidRPr="00AD27C5">
        <w:rPr>
          <w:rFonts w:ascii="Verdana" w:hAnsi="Verdana"/>
          <w:sz w:val="20"/>
          <w:szCs w:val="20"/>
          <w:lang w:val="es-CR"/>
        </w:rPr>
        <w:t>garanti</w:t>
      </w:r>
      <w:proofErr w:type="spellEnd"/>
      <w:r w:rsidRPr="00AD27C5">
        <w:rPr>
          <w:rFonts w:ascii="Verdana" w:hAnsi="Verdana"/>
          <w:sz w:val="20"/>
          <w:szCs w:val="20"/>
          <w:lang w:val="es-CR"/>
        </w:rPr>
        <w:t xml:space="preserve">[zar] la solución del conflicto </w:t>
      </w:r>
      <w:r w:rsidRPr="00D74E98">
        <w:rPr>
          <w:rFonts w:ascii="Verdana" w:hAnsi="Verdana"/>
          <w:sz w:val="20"/>
          <w:szCs w:val="20"/>
          <w:lang w:val="es-CR"/>
        </w:rPr>
        <w:t>[…]”</w:t>
      </w:r>
      <w:r w:rsidR="00374130">
        <w:rPr>
          <w:rStyle w:val="FootnoteReference"/>
          <w:szCs w:val="20"/>
          <w:lang w:val="es-CR"/>
        </w:rPr>
        <w:footnoteReference w:id="257"/>
      </w:r>
      <w:r w:rsidRPr="00D74E98">
        <w:rPr>
          <w:rFonts w:ascii="Verdana" w:hAnsi="Verdana"/>
          <w:sz w:val="20"/>
          <w:szCs w:val="20"/>
          <w:lang w:val="es-CR"/>
        </w:rPr>
        <w:t xml:space="preserve">. </w:t>
      </w:r>
    </w:p>
    <w:p w14:paraId="0C704B76" w14:textId="77777777" w:rsidR="00E86D69" w:rsidRDefault="00E86D69" w:rsidP="00E86D69">
      <w:pPr>
        <w:pStyle w:val="ListParagraph"/>
        <w:ind w:left="0"/>
        <w:jc w:val="both"/>
        <w:rPr>
          <w:rFonts w:ascii="Verdana" w:hAnsi="Verdana"/>
          <w:sz w:val="20"/>
          <w:szCs w:val="20"/>
          <w:lang w:val="es-CR"/>
        </w:rPr>
      </w:pPr>
    </w:p>
    <w:p w14:paraId="0C704B77" w14:textId="2DB790C4" w:rsidR="00F02DDD" w:rsidRPr="00AC0961" w:rsidRDefault="00F02DDD" w:rsidP="00F02DDD">
      <w:pPr>
        <w:pStyle w:val="ListParagraph"/>
        <w:numPr>
          <w:ilvl w:val="0"/>
          <w:numId w:val="17"/>
        </w:numPr>
        <w:ind w:left="0" w:hanging="11"/>
        <w:jc w:val="both"/>
        <w:rPr>
          <w:rFonts w:ascii="Verdana" w:eastAsia="Times New Roman" w:hAnsi="Verdana"/>
          <w:spacing w:val="-2"/>
          <w:sz w:val="20"/>
          <w:szCs w:val="20"/>
          <w:lang w:val="es-CR" w:eastAsia="es-ES"/>
        </w:rPr>
      </w:pPr>
      <w:r w:rsidRPr="0051714D">
        <w:rPr>
          <w:rFonts w:ascii="Verdana" w:hAnsi="Verdana"/>
          <w:sz w:val="20"/>
          <w:szCs w:val="20"/>
          <w:lang w:val="es-CR"/>
        </w:rPr>
        <w:t xml:space="preserve">Asimismo, </w:t>
      </w:r>
      <w:r>
        <w:rPr>
          <w:rFonts w:ascii="Verdana" w:hAnsi="Verdana"/>
          <w:sz w:val="20"/>
          <w:szCs w:val="20"/>
          <w:lang w:val="es-CR"/>
        </w:rPr>
        <w:t xml:space="preserve">la celebración de </w:t>
      </w:r>
      <w:r w:rsidRPr="0051714D">
        <w:rPr>
          <w:rFonts w:ascii="Verdana" w:eastAsia="Times New Roman" w:hAnsi="Verdana"/>
          <w:spacing w:val="-2"/>
          <w:sz w:val="20"/>
          <w:szCs w:val="20"/>
          <w:lang w:val="es-CR" w:eastAsia="es-ES"/>
        </w:rPr>
        <w:t>reuniones</w:t>
      </w:r>
      <w:r w:rsidRPr="00627D27">
        <w:rPr>
          <w:rFonts w:ascii="Verdana" w:eastAsia="Times New Roman" w:hAnsi="Verdana"/>
          <w:spacing w:val="-2"/>
          <w:sz w:val="20"/>
          <w:szCs w:val="20"/>
          <w:lang w:val="es-CR" w:eastAsia="es-ES"/>
        </w:rPr>
        <w:t xml:space="preserve"> </w:t>
      </w:r>
      <w:r w:rsidRPr="0051714D">
        <w:rPr>
          <w:rFonts w:ascii="Verdana" w:eastAsia="Times New Roman" w:hAnsi="Verdana"/>
          <w:spacing w:val="-2"/>
          <w:sz w:val="20"/>
          <w:szCs w:val="20"/>
          <w:lang w:val="es-CR" w:eastAsia="es-ES"/>
        </w:rPr>
        <w:t xml:space="preserve">posteriores, </w:t>
      </w:r>
      <w:r>
        <w:rPr>
          <w:rFonts w:ascii="Verdana" w:eastAsia="Times New Roman" w:hAnsi="Verdana"/>
          <w:spacing w:val="-2"/>
          <w:sz w:val="20"/>
          <w:szCs w:val="20"/>
          <w:lang w:val="es-CR" w:eastAsia="es-ES"/>
        </w:rPr>
        <w:t>la adopción d</w:t>
      </w:r>
      <w:r w:rsidRPr="0051714D">
        <w:rPr>
          <w:rFonts w:ascii="Verdana" w:eastAsia="Times New Roman" w:hAnsi="Verdana"/>
          <w:spacing w:val="-2"/>
          <w:sz w:val="20"/>
          <w:szCs w:val="20"/>
          <w:lang w:val="es-CR" w:eastAsia="es-ES"/>
        </w:rPr>
        <w:t xml:space="preserve">el acta de entendimiento de 2006 y la creación de una Comisión Interinstitucional en el año 2007, </w:t>
      </w:r>
      <w:r>
        <w:rPr>
          <w:rFonts w:ascii="Verdana" w:eastAsia="Times New Roman" w:hAnsi="Verdana"/>
          <w:spacing w:val="-2"/>
          <w:sz w:val="20"/>
          <w:szCs w:val="20"/>
          <w:lang w:val="es-CR" w:eastAsia="es-ES"/>
        </w:rPr>
        <w:t xml:space="preserve">tuvieron como </w:t>
      </w:r>
      <w:r w:rsidRPr="0051714D">
        <w:rPr>
          <w:rFonts w:ascii="Verdana" w:eastAsia="Times New Roman" w:hAnsi="Verdana"/>
          <w:spacing w:val="-2"/>
          <w:sz w:val="20"/>
          <w:szCs w:val="20"/>
          <w:lang w:val="es-CR" w:eastAsia="es-ES"/>
        </w:rPr>
        <w:t xml:space="preserve">fin </w:t>
      </w:r>
      <w:r>
        <w:rPr>
          <w:rFonts w:ascii="Verdana" w:eastAsia="Times New Roman" w:hAnsi="Verdana"/>
          <w:spacing w:val="-2"/>
          <w:sz w:val="20"/>
          <w:szCs w:val="20"/>
          <w:lang w:val="es-CR" w:eastAsia="es-ES"/>
        </w:rPr>
        <w:t xml:space="preserve">la </w:t>
      </w:r>
      <w:r w:rsidRPr="0051714D">
        <w:rPr>
          <w:rFonts w:ascii="Verdana" w:eastAsia="Times New Roman" w:hAnsi="Verdana"/>
          <w:spacing w:val="-2"/>
          <w:sz w:val="20"/>
          <w:szCs w:val="20"/>
          <w:lang w:val="es-CR" w:eastAsia="es-ES"/>
        </w:rPr>
        <w:t>materializa</w:t>
      </w:r>
      <w:r>
        <w:rPr>
          <w:rFonts w:ascii="Verdana" w:eastAsia="Times New Roman" w:hAnsi="Verdana"/>
          <w:spacing w:val="-2"/>
          <w:sz w:val="20"/>
          <w:szCs w:val="20"/>
          <w:lang w:val="es-CR" w:eastAsia="es-ES"/>
        </w:rPr>
        <w:t>ción de</w:t>
      </w:r>
      <w:r w:rsidRPr="0051714D">
        <w:rPr>
          <w:rFonts w:ascii="Verdana" w:eastAsia="Times New Roman" w:hAnsi="Verdana"/>
          <w:spacing w:val="-2"/>
          <w:sz w:val="20"/>
          <w:szCs w:val="20"/>
          <w:lang w:val="es-CR" w:eastAsia="es-ES"/>
        </w:rPr>
        <w:t xml:space="preserve"> dichos acuerdos, a efectos de cumplir con la obligación de oficio del Estado de sanear el territorio titulado (</w:t>
      </w:r>
      <w:r w:rsidRPr="0051714D">
        <w:rPr>
          <w:rFonts w:ascii="Verdana" w:eastAsia="Times New Roman" w:hAnsi="Verdana"/>
          <w:i/>
          <w:spacing w:val="-2"/>
          <w:sz w:val="20"/>
          <w:szCs w:val="20"/>
          <w:lang w:val="es-CR" w:eastAsia="es-ES"/>
        </w:rPr>
        <w:t>supra</w:t>
      </w:r>
      <w:r w:rsidRPr="0051714D">
        <w:rPr>
          <w:rFonts w:ascii="Verdana" w:eastAsia="Times New Roman" w:hAnsi="Verdana"/>
          <w:spacing w:val="-2"/>
          <w:sz w:val="20"/>
          <w:szCs w:val="20"/>
          <w:lang w:val="es-CR" w:eastAsia="es-ES"/>
        </w:rPr>
        <w:t xml:space="preserve"> párr. </w:t>
      </w:r>
      <w:r w:rsidR="009C7EE6">
        <w:rPr>
          <w:rFonts w:ascii="Verdana" w:eastAsia="Times New Roman" w:hAnsi="Verdana"/>
          <w:spacing w:val="-2"/>
          <w:sz w:val="20"/>
          <w:szCs w:val="20"/>
          <w:lang w:val="es-CR" w:eastAsia="es-ES"/>
        </w:rPr>
        <w:t>111</w:t>
      </w:r>
      <w:r w:rsidRPr="0051714D">
        <w:rPr>
          <w:rFonts w:ascii="Verdana" w:eastAsia="Times New Roman" w:hAnsi="Verdana"/>
          <w:spacing w:val="-2"/>
          <w:sz w:val="20"/>
          <w:szCs w:val="20"/>
          <w:lang w:val="es-CR" w:eastAsia="es-ES"/>
        </w:rPr>
        <w:t>)</w:t>
      </w:r>
      <w:r>
        <w:rPr>
          <w:rFonts w:ascii="Verdana" w:hAnsi="Verdana"/>
          <w:sz w:val="20"/>
          <w:szCs w:val="20"/>
          <w:lang w:val="es-CR"/>
        </w:rPr>
        <w:t xml:space="preserve">. </w:t>
      </w:r>
      <w:r w:rsidRPr="00D74E98">
        <w:rPr>
          <w:rFonts w:ascii="Verdana" w:hAnsi="Verdana"/>
          <w:sz w:val="20"/>
          <w:szCs w:val="20"/>
          <w:lang w:val="es-CR"/>
        </w:rPr>
        <w:t>I</w:t>
      </w:r>
      <w:r w:rsidRPr="00AD27C5">
        <w:rPr>
          <w:rFonts w:ascii="Verdana" w:hAnsi="Verdana"/>
          <w:sz w:val="20"/>
          <w:szCs w:val="20"/>
          <w:lang w:val="es-CR"/>
        </w:rPr>
        <w:t>nclusive, e</w:t>
      </w:r>
      <w:r>
        <w:rPr>
          <w:rFonts w:ascii="Verdana" w:hAnsi="Verdana"/>
          <w:sz w:val="20"/>
          <w:szCs w:val="20"/>
          <w:lang w:val="es-CR"/>
        </w:rPr>
        <w:t>l Estado</w:t>
      </w:r>
      <w:r w:rsidRPr="00AD27C5">
        <w:rPr>
          <w:rFonts w:ascii="Verdana" w:hAnsi="Verdana"/>
          <w:sz w:val="20"/>
          <w:szCs w:val="20"/>
          <w:lang w:val="es-CR"/>
        </w:rPr>
        <w:t xml:space="preserve"> recono</w:t>
      </w:r>
      <w:r>
        <w:rPr>
          <w:rFonts w:ascii="Verdana" w:hAnsi="Verdana"/>
          <w:sz w:val="20"/>
          <w:szCs w:val="20"/>
          <w:lang w:val="es-CR"/>
        </w:rPr>
        <w:t>ció en sus alegatos finales que, al tener el título un vicio en la tenencia de la tierra, existía la obligación del Estado de sanearlo (</w:t>
      </w:r>
      <w:r w:rsidRPr="0060017A">
        <w:rPr>
          <w:rFonts w:ascii="Verdana" w:hAnsi="Verdana"/>
          <w:i/>
          <w:sz w:val="20"/>
          <w:szCs w:val="20"/>
          <w:lang w:val="es-CR"/>
        </w:rPr>
        <w:t>supra</w:t>
      </w:r>
      <w:r>
        <w:rPr>
          <w:rFonts w:ascii="Verdana" w:hAnsi="Verdana"/>
          <w:sz w:val="20"/>
          <w:szCs w:val="20"/>
          <w:lang w:val="es-CR"/>
        </w:rPr>
        <w:t xml:space="preserve"> párr. </w:t>
      </w:r>
      <w:r w:rsidR="009C7EE6">
        <w:rPr>
          <w:rFonts w:ascii="Verdana" w:hAnsi="Verdana"/>
          <w:sz w:val="20"/>
          <w:szCs w:val="20"/>
          <w:lang w:val="es-CR"/>
        </w:rPr>
        <w:t>40</w:t>
      </w:r>
      <w:r w:rsidR="00377DCE">
        <w:rPr>
          <w:rFonts w:ascii="Verdana" w:hAnsi="Verdana"/>
          <w:sz w:val="20"/>
          <w:szCs w:val="20"/>
          <w:lang w:val="es-CR"/>
        </w:rPr>
        <w:t>).</w:t>
      </w:r>
    </w:p>
    <w:p w14:paraId="0C704B78" w14:textId="77777777" w:rsidR="00F02DDD" w:rsidRDefault="00F02DDD" w:rsidP="00F02DDD">
      <w:pPr>
        <w:pStyle w:val="ListParagraph"/>
        <w:tabs>
          <w:tab w:val="left" w:pos="567"/>
        </w:tabs>
        <w:ind w:left="0"/>
        <w:jc w:val="both"/>
        <w:rPr>
          <w:rFonts w:ascii="Verdana" w:eastAsia="Times New Roman" w:hAnsi="Verdana"/>
          <w:spacing w:val="-2"/>
          <w:sz w:val="20"/>
          <w:szCs w:val="20"/>
          <w:lang w:val="es-CR" w:eastAsia="es-ES"/>
        </w:rPr>
      </w:pPr>
    </w:p>
    <w:p w14:paraId="0C704B79" w14:textId="77777777" w:rsidR="00F02DDD" w:rsidRPr="00E01864" w:rsidRDefault="00F02DDD" w:rsidP="00F02DDD">
      <w:pPr>
        <w:pStyle w:val="ListParagraph"/>
        <w:numPr>
          <w:ilvl w:val="0"/>
          <w:numId w:val="17"/>
        </w:numPr>
        <w:ind w:left="0" w:hanging="11"/>
        <w:jc w:val="both"/>
        <w:rPr>
          <w:rFonts w:ascii="Verdana" w:hAnsi="Verdana"/>
          <w:sz w:val="20"/>
          <w:szCs w:val="20"/>
          <w:lang w:val="es-CR"/>
        </w:rPr>
      </w:pPr>
      <w:r w:rsidRPr="005972D8">
        <w:rPr>
          <w:rFonts w:ascii="Verdana" w:hAnsi="Verdana"/>
          <w:spacing w:val="-2"/>
          <w:sz w:val="20"/>
          <w:szCs w:val="20"/>
          <w:lang w:val="es-CR"/>
        </w:rPr>
        <w:t xml:space="preserve">En este sentido, </w:t>
      </w:r>
      <w:r>
        <w:rPr>
          <w:rFonts w:ascii="Verdana" w:hAnsi="Verdana"/>
          <w:spacing w:val="-2"/>
          <w:sz w:val="20"/>
          <w:szCs w:val="20"/>
          <w:lang w:val="es-CR"/>
        </w:rPr>
        <w:t xml:space="preserve">el Tribunal </w:t>
      </w:r>
      <w:r w:rsidRPr="005972D8">
        <w:rPr>
          <w:rFonts w:ascii="Verdana" w:hAnsi="Verdana"/>
          <w:spacing w:val="-2"/>
          <w:sz w:val="20"/>
          <w:szCs w:val="20"/>
          <w:lang w:val="es-CR"/>
        </w:rPr>
        <w:t xml:space="preserve">se referirá a la idoneidad y efectividad de </w:t>
      </w:r>
      <w:r>
        <w:rPr>
          <w:rFonts w:ascii="Verdana" w:hAnsi="Verdana"/>
          <w:spacing w:val="-2"/>
          <w:sz w:val="20"/>
          <w:szCs w:val="20"/>
          <w:lang w:val="es-CR"/>
        </w:rPr>
        <w:t xml:space="preserve">los </w:t>
      </w:r>
      <w:r w:rsidRPr="005972D8">
        <w:rPr>
          <w:rFonts w:ascii="Verdana" w:hAnsi="Verdana"/>
          <w:spacing w:val="-2"/>
          <w:sz w:val="20"/>
          <w:szCs w:val="20"/>
          <w:lang w:val="es-CR"/>
        </w:rPr>
        <w:t>mecanismos conciliatorios</w:t>
      </w:r>
      <w:r>
        <w:rPr>
          <w:rFonts w:ascii="Verdana" w:hAnsi="Verdana"/>
          <w:spacing w:val="-2"/>
          <w:sz w:val="20"/>
          <w:szCs w:val="20"/>
          <w:lang w:val="es-CR"/>
        </w:rPr>
        <w:t xml:space="preserve"> disponibles en el momento de los hechos</w:t>
      </w:r>
      <w:r w:rsidRPr="005972D8">
        <w:rPr>
          <w:rFonts w:ascii="Verdana" w:hAnsi="Verdana"/>
          <w:spacing w:val="-2"/>
          <w:sz w:val="20"/>
          <w:szCs w:val="20"/>
          <w:lang w:val="es-CR"/>
        </w:rPr>
        <w:t xml:space="preserve">, en particular a la creación de la </w:t>
      </w:r>
      <w:r w:rsidRPr="005972D8">
        <w:rPr>
          <w:rFonts w:ascii="Verdana" w:eastAsia="Times New Roman" w:hAnsi="Verdana"/>
          <w:spacing w:val="-2"/>
          <w:sz w:val="20"/>
          <w:szCs w:val="20"/>
          <w:lang w:val="es-CR" w:eastAsia="es-ES"/>
        </w:rPr>
        <w:t xml:space="preserve">Comisión Interinstitucional </w:t>
      </w:r>
      <w:r w:rsidRPr="005972D8">
        <w:rPr>
          <w:rFonts w:ascii="Verdana" w:eastAsia="Times New Roman" w:hAnsi="Verdana"/>
          <w:i/>
          <w:spacing w:val="-2"/>
          <w:sz w:val="20"/>
          <w:szCs w:val="20"/>
          <w:lang w:val="es-CR" w:eastAsia="es-ES"/>
        </w:rPr>
        <w:t xml:space="preserve">Ad-Hoc </w:t>
      </w:r>
      <w:r w:rsidRPr="005972D8">
        <w:rPr>
          <w:rFonts w:ascii="Verdana" w:eastAsia="Times New Roman" w:hAnsi="Verdana"/>
          <w:spacing w:val="-2"/>
          <w:sz w:val="20"/>
          <w:szCs w:val="20"/>
          <w:lang w:val="es-CR" w:eastAsia="es-ES"/>
        </w:rPr>
        <w:t>de 2001 y los acuerdos conciliatorios adoptados.</w:t>
      </w:r>
      <w:r>
        <w:rPr>
          <w:rFonts w:ascii="Verdana" w:eastAsia="Times New Roman" w:hAnsi="Verdana"/>
          <w:spacing w:val="-2"/>
          <w:sz w:val="20"/>
          <w:szCs w:val="20"/>
          <w:lang w:val="es-CR" w:eastAsia="es-ES"/>
        </w:rPr>
        <w:t xml:space="preserve"> </w:t>
      </w:r>
      <w:r>
        <w:rPr>
          <w:rFonts w:ascii="Verdana" w:hAnsi="Verdana"/>
          <w:color w:val="000000"/>
          <w:sz w:val="20"/>
          <w:szCs w:val="20"/>
          <w:lang w:val="es-MX"/>
        </w:rPr>
        <w:t>La Corte ha establecido que los recursos existentes deben ser adecuados e idóneos, lo cual significa que “</w:t>
      </w:r>
      <w:r w:rsidRPr="001F790D">
        <w:rPr>
          <w:rFonts w:ascii="Verdana" w:hAnsi="Verdana"/>
          <w:sz w:val="20"/>
          <w:szCs w:val="20"/>
          <w:lang w:val="es-MX"/>
        </w:rPr>
        <w:t>la función de esos recursos, dentro del sistema del derecho interno, sea idónea para proteger la situación jurídica infringida. En todos los ordenamientos internos existen múltiples recursos, pero no todos son aplicables en todas las circunstancias</w:t>
      </w:r>
      <w:r>
        <w:rPr>
          <w:rFonts w:ascii="Verdana" w:hAnsi="Verdana"/>
          <w:sz w:val="20"/>
          <w:szCs w:val="20"/>
          <w:lang w:val="es-MX"/>
        </w:rPr>
        <w:t xml:space="preserve">. […] </w:t>
      </w:r>
      <w:r w:rsidRPr="001F790D">
        <w:rPr>
          <w:rFonts w:ascii="Verdana" w:hAnsi="Verdana"/>
          <w:sz w:val="20"/>
          <w:szCs w:val="20"/>
          <w:lang w:val="es-MX"/>
        </w:rPr>
        <w:t>Así lo indica el principio de que la norma está encaminada a producir un efecto y no puede interpretarse en el sentido de que no produzca ninguno o su resultado sea manifi</w:t>
      </w:r>
      <w:r>
        <w:rPr>
          <w:rFonts w:ascii="Verdana" w:hAnsi="Verdana"/>
          <w:sz w:val="20"/>
          <w:szCs w:val="20"/>
          <w:lang w:val="es-MX"/>
        </w:rPr>
        <w:t>estamente absurdo o irrazonable”</w:t>
      </w:r>
      <w:r>
        <w:rPr>
          <w:rStyle w:val="FootnoteReference"/>
          <w:szCs w:val="20"/>
          <w:lang w:val="es-MX"/>
        </w:rPr>
        <w:footnoteReference w:id="258"/>
      </w:r>
      <w:r>
        <w:rPr>
          <w:rFonts w:ascii="Verdana" w:hAnsi="Verdana"/>
          <w:sz w:val="20"/>
          <w:szCs w:val="20"/>
          <w:lang w:val="es-MX"/>
        </w:rPr>
        <w:t>.</w:t>
      </w:r>
    </w:p>
    <w:p w14:paraId="0C704B7A" w14:textId="77777777" w:rsidR="00F02DDD" w:rsidRPr="009B40D2" w:rsidRDefault="00F02DDD" w:rsidP="00F02DDD">
      <w:pPr>
        <w:pStyle w:val="ListParagraph"/>
        <w:ind w:left="0"/>
        <w:jc w:val="both"/>
        <w:rPr>
          <w:rFonts w:ascii="Verdana" w:hAnsi="Verdana"/>
          <w:sz w:val="20"/>
          <w:szCs w:val="20"/>
          <w:lang w:val="es-CR"/>
        </w:rPr>
      </w:pPr>
    </w:p>
    <w:p w14:paraId="0C704B7B" w14:textId="7E6D1F47" w:rsidR="00F02DDD" w:rsidRDefault="00F02DDD" w:rsidP="00F02DDD">
      <w:pPr>
        <w:pStyle w:val="ListParagraph"/>
        <w:numPr>
          <w:ilvl w:val="0"/>
          <w:numId w:val="17"/>
        </w:numPr>
        <w:ind w:left="0" w:hanging="11"/>
        <w:jc w:val="both"/>
        <w:rPr>
          <w:rFonts w:ascii="Verdana" w:hAnsi="Verdana"/>
          <w:sz w:val="20"/>
          <w:szCs w:val="20"/>
          <w:lang w:val="es-CR"/>
        </w:rPr>
      </w:pPr>
      <w:r w:rsidRPr="00EA1D0B">
        <w:rPr>
          <w:rFonts w:ascii="Verdana" w:hAnsi="Verdana"/>
          <w:sz w:val="20"/>
          <w:szCs w:val="20"/>
          <w:lang w:val="es-CR"/>
        </w:rPr>
        <w:t xml:space="preserve">La idoneidad de un compromiso de conciliación, en casos </w:t>
      </w:r>
      <w:r>
        <w:rPr>
          <w:rFonts w:ascii="Verdana" w:hAnsi="Verdana"/>
          <w:sz w:val="20"/>
          <w:szCs w:val="20"/>
          <w:lang w:val="es-CR"/>
        </w:rPr>
        <w:t xml:space="preserve">con características </w:t>
      </w:r>
      <w:r w:rsidRPr="00EA1D0B">
        <w:rPr>
          <w:rFonts w:ascii="Verdana" w:hAnsi="Verdana"/>
          <w:sz w:val="20"/>
          <w:szCs w:val="20"/>
          <w:lang w:val="es-CR"/>
        </w:rPr>
        <w:t xml:space="preserve">como el presente, </w:t>
      </w:r>
      <w:r>
        <w:rPr>
          <w:rFonts w:ascii="Verdana" w:hAnsi="Verdana"/>
          <w:sz w:val="20"/>
          <w:szCs w:val="20"/>
          <w:lang w:val="es-CR"/>
        </w:rPr>
        <w:t xml:space="preserve">estaría </w:t>
      </w:r>
      <w:r w:rsidRPr="00EA1D0B">
        <w:rPr>
          <w:rFonts w:ascii="Verdana" w:hAnsi="Verdana"/>
          <w:sz w:val="20"/>
          <w:szCs w:val="20"/>
          <w:lang w:val="es-CR"/>
        </w:rPr>
        <w:t>basada en el hecho que constituye</w:t>
      </w:r>
      <w:r>
        <w:rPr>
          <w:rFonts w:ascii="Verdana" w:hAnsi="Verdana"/>
          <w:sz w:val="20"/>
          <w:szCs w:val="20"/>
          <w:lang w:val="es-CR"/>
        </w:rPr>
        <w:t xml:space="preserve"> una</w:t>
      </w:r>
      <w:r w:rsidRPr="00EA1D0B">
        <w:rPr>
          <w:rFonts w:ascii="Verdana" w:hAnsi="Verdana"/>
          <w:sz w:val="20"/>
          <w:szCs w:val="20"/>
          <w:lang w:val="es-CR"/>
        </w:rPr>
        <w:t xml:space="preserve"> vía adecuada y expedita para proteger la situación jurídica infringida, es decir resolver el conflicto existente y sanear el territorio de la Comunidad de Punta Piedra, para alcanzar con ello, un resultado manifiestamente razonable por acuerdo de las partes</w:t>
      </w:r>
      <w:r w:rsidRPr="001A273A">
        <w:rPr>
          <w:rStyle w:val="FootnoteReference"/>
          <w:szCs w:val="20"/>
          <w:lang w:val="es-CR"/>
        </w:rPr>
        <w:footnoteReference w:id="259"/>
      </w:r>
      <w:r>
        <w:rPr>
          <w:rFonts w:ascii="Verdana" w:hAnsi="Verdana"/>
          <w:sz w:val="20"/>
          <w:szCs w:val="20"/>
          <w:lang w:val="es-CR"/>
        </w:rPr>
        <w:t>.</w:t>
      </w:r>
    </w:p>
    <w:p w14:paraId="0C704B7C" w14:textId="77777777" w:rsidR="00F02DDD" w:rsidRPr="0051714D" w:rsidRDefault="00F02DDD" w:rsidP="00F02DDD">
      <w:pPr>
        <w:pStyle w:val="ListParagraph"/>
        <w:tabs>
          <w:tab w:val="left" w:pos="567"/>
        </w:tabs>
        <w:ind w:left="0"/>
        <w:jc w:val="both"/>
        <w:rPr>
          <w:rFonts w:ascii="Verdana" w:eastAsia="Times New Roman" w:hAnsi="Verdana"/>
          <w:spacing w:val="-2"/>
          <w:sz w:val="20"/>
          <w:szCs w:val="20"/>
          <w:lang w:val="es-CR" w:eastAsia="es-ES"/>
        </w:rPr>
      </w:pPr>
    </w:p>
    <w:p w14:paraId="0C704B7D" w14:textId="183FBD30" w:rsidR="00F02DDD" w:rsidRPr="00FF3FF3" w:rsidRDefault="00F02DDD" w:rsidP="00F02DDD">
      <w:pPr>
        <w:pStyle w:val="ListParagraph"/>
        <w:numPr>
          <w:ilvl w:val="0"/>
          <w:numId w:val="17"/>
        </w:numPr>
        <w:ind w:left="0" w:hanging="11"/>
        <w:jc w:val="both"/>
        <w:rPr>
          <w:rFonts w:ascii="Verdana" w:eastAsia="Times New Roman" w:hAnsi="Verdana"/>
          <w:spacing w:val="-2"/>
          <w:sz w:val="20"/>
          <w:szCs w:val="20"/>
          <w:lang w:val="es-CR" w:eastAsia="es-ES"/>
        </w:rPr>
      </w:pPr>
      <w:r w:rsidRPr="00AD27C5">
        <w:rPr>
          <w:rFonts w:ascii="Verdana" w:hAnsi="Verdana"/>
          <w:sz w:val="20"/>
          <w:szCs w:val="20"/>
          <w:lang w:val="es-CR"/>
        </w:rPr>
        <w:t>Por otro lado, el Tribunal ha indicado que “</w:t>
      </w:r>
      <w:r w:rsidR="002A4330">
        <w:rPr>
          <w:rFonts w:ascii="Verdana" w:hAnsi="Verdana"/>
          <w:sz w:val="20"/>
          <w:szCs w:val="20"/>
          <w:lang w:val="es-CR"/>
        </w:rPr>
        <w:t>[</w:t>
      </w:r>
      <w:r w:rsidRPr="00AD27C5">
        <w:rPr>
          <w:rFonts w:ascii="Verdana" w:hAnsi="Verdana"/>
          <w:sz w:val="20"/>
          <w:szCs w:val="20"/>
          <w:lang w:val="es-MX"/>
        </w:rPr>
        <w:t>u</w:t>
      </w:r>
      <w:r w:rsidR="002A4330">
        <w:rPr>
          <w:rFonts w:ascii="Verdana" w:hAnsi="Verdana"/>
          <w:sz w:val="20"/>
          <w:szCs w:val="20"/>
          <w:lang w:val="es-MX"/>
        </w:rPr>
        <w:t>]</w:t>
      </w:r>
      <w:r w:rsidRPr="00AD27C5">
        <w:rPr>
          <w:rFonts w:ascii="Verdana" w:hAnsi="Verdana"/>
          <w:sz w:val="20"/>
          <w:szCs w:val="20"/>
          <w:lang w:val="es-MX"/>
        </w:rPr>
        <w:t>n recurso debe ser, además, eficaz, es decir, capaz de producir el resultado para el que ha sido concebido”</w:t>
      </w:r>
      <w:r>
        <w:rPr>
          <w:rStyle w:val="FootnoteReference"/>
          <w:szCs w:val="20"/>
          <w:lang w:val="es-MX"/>
        </w:rPr>
        <w:footnoteReference w:id="260"/>
      </w:r>
      <w:r w:rsidRPr="00AD27C5">
        <w:rPr>
          <w:rFonts w:ascii="Verdana" w:hAnsi="Verdana"/>
          <w:sz w:val="20"/>
          <w:szCs w:val="20"/>
          <w:lang w:val="es-MX"/>
        </w:rPr>
        <w:t xml:space="preserve">. </w:t>
      </w:r>
      <w:r w:rsidRPr="00AD27C5">
        <w:rPr>
          <w:rFonts w:ascii="Verdana" w:hAnsi="Verdana"/>
          <w:sz w:val="20"/>
          <w:szCs w:val="20"/>
          <w:lang w:val="es-CR"/>
        </w:rPr>
        <w:t>Al respecto, los compromisos adoptados tenían la potencialidad o capacidad de producir el resultado para el cual fue</w:t>
      </w:r>
      <w:r>
        <w:rPr>
          <w:rFonts w:ascii="Verdana" w:hAnsi="Verdana"/>
          <w:sz w:val="20"/>
          <w:szCs w:val="20"/>
          <w:lang w:val="es-CR"/>
        </w:rPr>
        <w:t xml:space="preserve">ron </w:t>
      </w:r>
      <w:r w:rsidRPr="00AD27C5">
        <w:rPr>
          <w:rFonts w:ascii="Verdana" w:hAnsi="Verdana"/>
          <w:sz w:val="20"/>
          <w:szCs w:val="20"/>
          <w:lang w:val="es-CR"/>
        </w:rPr>
        <w:t>concebido</w:t>
      </w:r>
      <w:r>
        <w:rPr>
          <w:rFonts w:ascii="Verdana" w:hAnsi="Verdana"/>
          <w:sz w:val="20"/>
          <w:szCs w:val="20"/>
          <w:lang w:val="es-CR"/>
        </w:rPr>
        <w:t>s, es decir, realizar</w:t>
      </w:r>
      <w:r w:rsidRPr="00AD27C5">
        <w:rPr>
          <w:rFonts w:ascii="Verdana" w:hAnsi="Verdana"/>
          <w:sz w:val="20"/>
          <w:szCs w:val="20"/>
          <w:lang w:val="es-CR"/>
        </w:rPr>
        <w:t xml:space="preserve"> los avalúos correspondientes, pagar las mejoras útiles y</w:t>
      </w:r>
      <w:r w:rsidR="002A4330">
        <w:rPr>
          <w:rFonts w:ascii="Verdana" w:hAnsi="Verdana"/>
          <w:sz w:val="20"/>
          <w:szCs w:val="20"/>
          <w:lang w:val="es-CR"/>
        </w:rPr>
        <w:t>,</w:t>
      </w:r>
      <w:r>
        <w:rPr>
          <w:rFonts w:ascii="Verdana" w:hAnsi="Verdana"/>
          <w:sz w:val="20"/>
          <w:szCs w:val="20"/>
          <w:lang w:val="es-CR"/>
        </w:rPr>
        <w:t xml:space="preserve"> en su caso, </w:t>
      </w:r>
      <w:r w:rsidRPr="00AD27C5">
        <w:rPr>
          <w:rFonts w:ascii="Verdana" w:hAnsi="Verdana"/>
          <w:sz w:val="20"/>
          <w:szCs w:val="20"/>
          <w:lang w:val="es-CR"/>
        </w:rPr>
        <w:t xml:space="preserve">reubicar a los pobladores de Río Miel. </w:t>
      </w:r>
      <w:r>
        <w:rPr>
          <w:rFonts w:ascii="Verdana" w:hAnsi="Verdana"/>
          <w:sz w:val="20"/>
          <w:szCs w:val="20"/>
          <w:lang w:val="es-CR"/>
        </w:rPr>
        <w:t xml:space="preserve">En efecto, </w:t>
      </w:r>
      <w:r w:rsidRPr="00AD27C5">
        <w:rPr>
          <w:rFonts w:ascii="Verdana" w:hAnsi="Verdana"/>
          <w:sz w:val="20"/>
          <w:szCs w:val="20"/>
          <w:lang w:val="es-CR"/>
        </w:rPr>
        <w:t>mediante el acta de compromiso de 2001</w:t>
      </w:r>
      <w:r w:rsidR="002A4330">
        <w:rPr>
          <w:rFonts w:ascii="Verdana" w:hAnsi="Verdana"/>
          <w:sz w:val="20"/>
          <w:szCs w:val="20"/>
          <w:lang w:val="es-CR"/>
        </w:rPr>
        <w:t>,</w:t>
      </w:r>
      <w:r w:rsidRPr="00AD27C5">
        <w:rPr>
          <w:rFonts w:ascii="Verdana" w:hAnsi="Verdana"/>
          <w:sz w:val="20"/>
          <w:szCs w:val="20"/>
          <w:lang w:val="es-CR"/>
        </w:rPr>
        <w:t xml:space="preserve"> el Estado de Honduras, la Comunidad de Punta Piedra y la de Río Miel se comprometieron a </w:t>
      </w:r>
      <w:r>
        <w:rPr>
          <w:rFonts w:ascii="Verdana" w:hAnsi="Verdana"/>
          <w:sz w:val="20"/>
          <w:szCs w:val="20"/>
          <w:lang w:val="es-CR"/>
        </w:rPr>
        <w:t xml:space="preserve">ello </w:t>
      </w:r>
      <w:r w:rsidRPr="007E6678">
        <w:rPr>
          <w:rFonts w:ascii="Verdana" w:hAnsi="Verdana"/>
          <w:sz w:val="20"/>
          <w:szCs w:val="20"/>
          <w:lang w:val="es-CR"/>
        </w:rPr>
        <w:t>(</w:t>
      </w:r>
      <w:r w:rsidRPr="007E6678">
        <w:rPr>
          <w:rFonts w:ascii="Verdana" w:hAnsi="Verdana"/>
          <w:i/>
          <w:sz w:val="20"/>
          <w:szCs w:val="20"/>
          <w:lang w:val="es-CR"/>
        </w:rPr>
        <w:t xml:space="preserve">supra </w:t>
      </w:r>
      <w:r w:rsidRPr="007E6678">
        <w:rPr>
          <w:rFonts w:ascii="Verdana" w:hAnsi="Verdana"/>
          <w:sz w:val="20"/>
          <w:szCs w:val="20"/>
          <w:lang w:val="es-CR"/>
        </w:rPr>
        <w:t>párr</w:t>
      </w:r>
      <w:r w:rsidR="0086236B" w:rsidRPr="00A0324F">
        <w:rPr>
          <w:rFonts w:ascii="Verdana" w:hAnsi="Verdana"/>
          <w:sz w:val="20"/>
          <w:szCs w:val="20"/>
          <w:lang w:val="es-CR"/>
        </w:rPr>
        <w:t>s. 113 y 114</w:t>
      </w:r>
      <w:r w:rsidRPr="007E6678">
        <w:rPr>
          <w:rFonts w:ascii="Verdana" w:hAnsi="Verdana"/>
          <w:sz w:val="20"/>
          <w:szCs w:val="20"/>
          <w:lang w:val="es-CR"/>
        </w:rPr>
        <w:t>).</w:t>
      </w:r>
      <w:r w:rsidRPr="00AD27C5">
        <w:rPr>
          <w:rFonts w:ascii="Verdana" w:hAnsi="Verdana"/>
          <w:sz w:val="20"/>
          <w:szCs w:val="20"/>
          <w:lang w:val="es-CR"/>
        </w:rPr>
        <w:t xml:space="preserve"> </w:t>
      </w:r>
      <w:r w:rsidR="002A4330">
        <w:rPr>
          <w:rFonts w:ascii="Verdana" w:hAnsi="Verdana"/>
          <w:sz w:val="20"/>
          <w:szCs w:val="20"/>
          <w:lang w:val="es-CR"/>
        </w:rPr>
        <w:t>Por ello</w:t>
      </w:r>
      <w:r w:rsidRPr="00AD27C5">
        <w:rPr>
          <w:rFonts w:ascii="Verdana" w:hAnsi="Verdana"/>
          <w:sz w:val="20"/>
          <w:szCs w:val="20"/>
          <w:lang w:val="es-CR"/>
        </w:rPr>
        <w:t xml:space="preserve">, </w:t>
      </w:r>
      <w:r>
        <w:rPr>
          <w:rFonts w:ascii="Verdana" w:hAnsi="Verdana"/>
          <w:sz w:val="20"/>
          <w:szCs w:val="20"/>
          <w:lang w:val="es-CR"/>
        </w:rPr>
        <w:t xml:space="preserve">al adoptar dichos compromisos, </w:t>
      </w:r>
      <w:r w:rsidRPr="00AD27C5">
        <w:rPr>
          <w:rFonts w:ascii="Verdana" w:hAnsi="Verdana"/>
          <w:sz w:val="20"/>
          <w:szCs w:val="20"/>
          <w:lang w:val="es-CR"/>
        </w:rPr>
        <w:t>el Estado no actuó sólo como un ente conciliador, sino que a su vez</w:t>
      </w:r>
      <w:r>
        <w:rPr>
          <w:rFonts w:ascii="Verdana" w:hAnsi="Verdana"/>
          <w:sz w:val="20"/>
          <w:szCs w:val="20"/>
          <w:lang w:val="es-CR"/>
        </w:rPr>
        <w:t>,</w:t>
      </w:r>
      <w:r w:rsidRPr="00AD27C5">
        <w:rPr>
          <w:rFonts w:ascii="Verdana" w:hAnsi="Verdana"/>
          <w:sz w:val="20"/>
          <w:szCs w:val="20"/>
          <w:lang w:val="es-CR"/>
        </w:rPr>
        <w:t xml:space="preserve"> actuó como parte obligada por los mismos. </w:t>
      </w:r>
    </w:p>
    <w:p w14:paraId="0C704B7E" w14:textId="77777777" w:rsidR="00F02DDD" w:rsidRPr="00D34156" w:rsidRDefault="00F02DDD" w:rsidP="00F02DDD">
      <w:pPr>
        <w:pStyle w:val="ListParagraph"/>
        <w:tabs>
          <w:tab w:val="left" w:pos="567"/>
        </w:tabs>
        <w:ind w:left="0"/>
        <w:jc w:val="both"/>
        <w:rPr>
          <w:rFonts w:ascii="Verdana" w:eastAsia="Times New Roman" w:hAnsi="Verdana"/>
          <w:spacing w:val="-2"/>
          <w:sz w:val="20"/>
          <w:szCs w:val="20"/>
          <w:lang w:val="es-CR" w:eastAsia="es-ES"/>
        </w:rPr>
      </w:pPr>
    </w:p>
    <w:p w14:paraId="0C704B7F" w14:textId="5FCD4033" w:rsidR="00F02DDD" w:rsidRPr="002A5115" w:rsidRDefault="002A4330" w:rsidP="00F02DDD">
      <w:pPr>
        <w:pStyle w:val="ListParagraph"/>
        <w:numPr>
          <w:ilvl w:val="0"/>
          <w:numId w:val="17"/>
        </w:numPr>
        <w:ind w:left="0" w:hanging="11"/>
        <w:jc w:val="both"/>
        <w:rPr>
          <w:rFonts w:ascii="Verdana" w:hAnsi="Verdana"/>
          <w:sz w:val="20"/>
          <w:szCs w:val="20"/>
          <w:lang w:val="es-CR"/>
        </w:rPr>
      </w:pPr>
      <w:r>
        <w:rPr>
          <w:rFonts w:ascii="Verdana" w:hAnsi="Verdana"/>
          <w:sz w:val="20"/>
          <w:szCs w:val="20"/>
          <w:lang w:val="es-CR"/>
        </w:rPr>
        <w:t>L</w:t>
      </w:r>
      <w:r w:rsidR="00F02DDD" w:rsidRPr="002A5115">
        <w:rPr>
          <w:rFonts w:ascii="Verdana" w:hAnsi="Verdana"/>
          <w:sz w:val="20"/>
          <w:szCs w:val="20"/>
          <w:lang w:val="es-CR"/>
        </w:rPr>
        <w:t>a creación de un mecanismo conciliatorio</w:t>
      </w:r>
      <w:r w:rsidR="00F02DDD" w:rsidRPr="002A5115">
        <w:rPr>
          <w:rFonts w:ascii="Verdana" w:hAnsi="Verdana"/>
          <w:i/>
          <w:sz w:val="20"/>
          <w:szCs w:val="20"/>
          <w:lang w:val="es-CR"/>
        </w:rPr>
        <w:t>,</w:t>
      </w:r>
      <w:r w:rsidR="00F02DDD" w:rsidRPr="002A5115">
        <w:rPr>
          <w:rFonts w:ascii="Verdana" w:hAnsi="Verdana"/>
          <w:sz w:val="20"/>
          <w:szCs w:val="20"/>
          <w:lang w:val="es-CR"/>
        </w:rPr>
        <w:t xml:space="preserve"> ante la ausencia de otro mecanismo idóneo y efectivo para el caso concreto, significó la creación de un recurso</w:t>
      </w:r>
      <w:r w:rsidR="00F02DDD">
        <w:rPr>
          <w:rFonts w:ascii="Verdana" w:hAnsi="Verdana"/>
          <w:sz w:val="20"/>
          <w:szCs w:val="20"/>
          <w:lang w:val="es-CR"/>
        </w:rPr>
        <w:t xml:space="preserve"> </w:t>
      </w:r>
      <w:r w:rsidR="00F02DDD" w:rsidRPr="009B40D2">
        <w:rPr>
          <w:rFonts w:ascii="Verdana" w:hAnsi="Verdana"/>
          <w:i/>
          <w:sz w:val="20"/>
          <w:szCs w:val="20"/>
          <w:lang w:val="es-CR"/>
        </w:rPr>
        <w:t>ad-hoc</w:t>
      </w:r>
      <w:r w:rsidR="00F02DDD">
        <w:rPr>
          <w:rFonts w:ascii="Verdana" w:hAnsi="Verdana"/>
          <w:sz w:val="20"/>
          <w:szCs w:val="20"/>
          <w:lang w:val="es-CR"/>
        </w:rPr>
        <w:t xml:space="preserve"> </w:t>
      </w:r>
      <w:r w:rsidR="00F02DDD" w:rsidRPr="002A5115">
        <w:rPr>
          <w:rFonts w:ascii="Verdana" w:hAnsi="Verdana"/>
          <w:sz w:val="20"/>
          <w:szCs w:val="20"/>
          <w:lang w:val="es-CR"/>
        </w:rPr>
        <w:t xml:space="preserve">accesible, simple, </w:t>
      </w:r>
      <w:r w:rsidR="00F02DDD">
        <w:rPr>
          <w:rFonts w:ascii="Verdana" w:hAnsi="Verdana"/>
          <w:sz w:val="20"/>
          <w:szCs w:val="20"/>
          <w:lang w:val="es-CR"/>
        </w:rPr>
        <w:t xml:space="preserve">posiblemente rápido y sencillo, </w:t>
      </w:r>
      <w:r w:rsidR="00F02DDD" w:rsidRPr="002A5115">
        <w:rPr>
          <w:rFonts w:ascii="Verdana" w:hAnsi="Verdana"/>
          <w:sz w:val="20"/>
          <w:szCs w:val="20"/>
          <w:lang w:val="es-CR"/>
        </w:rPr>
        <w:t>con participación directa del pueblo indígena, resultando en la adopción de acuerdos concretos y vinculantes que tenían la potencialidad o capacidad de producir el resultado para el cual fue concebido</w:t>
      </w:r>
      <w:r w:rsidR="00F02DDD">
        <w:rPr>
          <w:rFonts w:ascii="Verdana" w:hAnsi="Verdana"/>
          <w:sz w:val="20"/>
          <w:szCs w:val="20"/>
          <w:lang w:val="es-CR"/>
        </w:rPr>
        <w:t xml:space="preserve">, </w:t>
      </w:r>
      <w:r w:rsidR="00F02DDD" w:rsidRPr="00EA1D0B">
        <w:rPr>
          <w:rFonts w:ascii="Verdana" w:hAnsi="Verdana"/>
          <w:sz w:val="20"/>
          <w:szCs w:val="20"/>
          <w:lang w:val="es-CR"/>
        </w:rPr>
        <w:t>es decir</w:t>
      </w:r>
      <w:r>
        <w:rPr>
          <w:rFonts w:ascii="Verdana" w:hAnsi="Verdana"/>
          <w:sz w:val="20"/>
          <w:szCs w:val="20"/>
          <w:lang w:val="es-CR"/>
        </w:rPr>
        <w:t>,</w:t>
      </w:r>
      <w:r w:rsidR="00F02DDD" w:rsidRPr="00EA1D0B">
        <w:rPr>
          <w:rFonts w:ascii="Verdana" w:hAnsi="Verdana"/>
          <w:sz w:val="20"/>
          <w:szCs w:val="20"/>
          <w:lang w:val="es-CR"/>
        </w:rPr>
        <w:t xml:space="preserve"> </w:t>
      </w:r>
      <w:r w:rsidR="00F02DDD" w:rsidRPr="00EA1D0B">
        <w:rPr>
          <w:rFonts w:ascii="Verdana" w:hAnsi="Verdana"/>
          <w:sz w:val="20"/>
          <w:szCs w:val="20"/>
          <w:lang w:val="es-CR"/>
        </w:rPr>
        <w:lastRenderedPageBreak/>
        <w:t>resolver el conflicto existente y sanear el territorio de la Comunidad de Punta Piedra</w:t>
      </w:r>
      <w:r w:rsidR="00F02DDD">
        <w:rPr>
          <w:rFonts w:ascii="Verdana" w:hAnsi="Verdana"/>
          <w:sz w:val="20"/>
          <w:szCs w:val="20"/>
          <w:lang w:val="es-CR"/>
        </w:rPr>
        <w:t xml:space="preserve">. Por ello, la Corte considera que el mecanismo de conciliación creado fue adecuado e idóneo para el caso concreto. No obstante, </w:t>
      </w:r>
      <w:r w:rsidR="00F02DDD" w:rsidRPr="002A5115">
        <w:rPr>
          <w:rFonts w:ascii="Verdana" w:hAnsi="Verdana"/>
          <w:sz w:val="20"/>
          <w:szCs w:val="20"/>
          <w:lang w:val="es-CR"/>
        </w:rPr>
        <w:t>en la práctica, este Tribunal constata que dichos acuerdos no fueron ejecutados</w:t>
      </w:r>
      <w:r w:rsidR="00F02DDD">
        <w:rPr>
          <w:rFonts w:ascii="Verdana" w:hAnsi="Verdana"/>
          <w:sz w:val="20"/>
          <w:szCs w:val="20"/>
          <w:lang w:val="es-CR"/>
        </w:rPr>
        <w:t xml:space="preserve">, principalmente por parte del Estado, por lo que tornaron al mecanismo conciliatorio en un recurso ineficaz. </w:t>
      </w:r>
      <w:r w:rsidR="00F02DDD" w:rsidRPr="002A5115">
        <w:rPr>
          <w:rFonts w:ascii="Verdana" w:hAnsi="Verdana"/>
          <w:sz w:val="20"/>
          <w:szCs w:val="20"/>
          <w:lang w:val="es-CR"/>
        </w:rPr>
        <w:t xml:space="preserve">En efecto, la Corte ha manifestado que </w:t>
      </w:r>
      <w:r w:rsidR="00F02DDD" w:rsidRPr="002A5115">
        <w:rPr>
          <w:rFonts w:ascii="Verdana" w:hAnsi="Verdana"/>
          <w:sz w:val="20"/>
          <w:szCs w:val="20"/>
          <w:lang w:val="es-MX"/>
        </w:rPr>
        <w:t>un recurso efectivo puede volverse ineficaz si se le subordina a exigencias procesales que lo hagan inaplicable, o si, de hecho, carece de virtualidad para obligar a las autoridades</w:t>
      </w:r>
      <w:r w:rsidR="000119F7" w:rsidRPr="002A5115">
        <w:rPr>
          <w:rStyle w:val="FootnoteReference"/>
          <w:szCs w:val="20"/>
          <w:lang w:val="es-MX"/>
        </w:rPr>
        <w:footnoteReference w:id="261"/>
      </w:r>
      <w:r w:rsidR="00F02DDD" w:rsidRPr="002A5115">
        <w:rPr>
          <w:rFonts w:ascii="Verdana" w:hAnsi="Verdana"/>
          <w:sz w:val="20"/>
          <w:szCs w:val="20"/>
          <w:lang w:val="es-MX"/>
        </w:rPr>
        <w:t>. A este respecto, el Tribunal se pronunciará a continuación</w:t>
      </w:r>
      <w:r w:rsidR="00DF734B">
        <w:rPr>
          <w:rFonts w:ascii="Verdana" w:hAnsi="Verdana"/>
          <w:sz w:val="20"/>
          <w:szCs w:val="20"/>
          <w:lang w:val="es-MX"/>
        </w:rPr>
        <w:t>.</w:t>
      </w:r>
      <w:r w:rsidR="00F02DDD" w:rsidRPr="002A5115">
        <w:rPr>
          <w:rFonts w:ascii="Verdana" w:hAnsi="Verdana"/>
          <w:sz w:val="20"/>
          <w:szCs w:val="20"/>
          <w:lang w:val="es-MX"/>
        </w:rPr>
        <w:t xml:space="preserve"> </w:t>
      </w:r>
    </w:p>
    <w:p w14:paraId="0C704B80" w14:textId="77777777" w:rsidR="00F02DDD" w:rsidRDefault="00F02DDD" w:rsidP="00F02DDD">
      <w:pPr>
        <w:tabs>
          <w:tab w:val="left" w:pos="567"/>
        </w:tabs>
        <w:jc w:val="both"/>
        <w:rPr>
          <w:rFonts w:ascii="Verdana" w:eastAsia="Times New Roman" w:hAnsi="Verdana" w:cs="Arial"/>
          <w:b/>
          <w:spacing w:val="-2"/>
          <w:sz w:val="20"/>
          <w:szCs w:val="20"/>
          <w:lang w:val="es-CR" w:eastAsia="es-ES"/>
        </w:rPr>
      </w:pPr>
    </w:p>
    <w:p w14:paraId="0C704B81" w14:textId="77777777" w:rsidR="00F02DDD" w:rsidRPr="00A0324F" w:rsidRDefault="00F02DDD" w:rsidP="00F02DDD">
      <w:pPr>
        <w:pStyle w:val="Heading5"/>
        <w:spacing w:before="0"/>
        <w:ind w:left="2124"/>
        <w:jc w:val="both"/>
        <w:rPr>
          <w:rFonts w:ascii="Verdana" w:hAnsi="Verdana"/>
          <w:i/>
          <w:sz w:val="20"/>
          <w:szCs w:val="20"/>
          <w:lang w:val="es-CO"/>
        </w:rPr>
      </w:pPr>
      <w:bookmarkStart w:id="101" w:name="_Toc437247363"/>
      <w:r w:rsidRPr="003D0FFF">
        <w:rPr>
          <w:rFonts w:ascii="Verdana" w:hAnsi="Verdana"/>
          <w:i/>
          <w:color w:val="auto"/>
          <w:sz w:val="20"/>
          <w:szCs w:val="20"/>
          <w:lang w:val="es-PE"/>
        </w:rPr>
        <w:t>B.1.1.1 La garantía del cumplimiento de decisiones que estimen procedente el recurso (artículo 25.2.c de la Convención Americana)</w:t>
      </w:r>
      <w:bookmarkEnd w:id="101"/>
    </w:p>
    <w:p w14:paraId="0C704B82" w14:textId="77777777" w:rsidR="00F02DDD" w:rsidRPr="00B725E4" w:rsidRDefault="00F02DDD" w:rsidP="00F02DDD">
      <w:pPr>
        <w:tabs>
          <w:tab w:val="left" w:pos="567"/>
        </w:tabs>
        <w:jc w:val="both"/>
        <w:rPr>
          <w:rFonts w:ascii="Verdana" w:eastAsia="Times New Roman" w:hAnsi="Verdana" w:cs="Arial"/>
          <w:b/>
          <w:spacing w:val="-2"/>
          <w:sz w:val="20"/>
          <w:szCs w:val="20"/>
          <w:lang w:val="es-CO" w:eastAsia="es-ES"/>
        </w:rPr>
      </w:pPr>
    </w:p>
    <w:p w14:paraId="0C704B83" w14:textId="2AABA196" w:rsidR="00F02DDD" w:rsidRPr="00CB26E3" w:rsidRDefault="00F02DDD" w:rsidP="00F02DDD">
      <w:pPr>
        <w:pStyle w:val="ListParagraph"/>
        <w:numPr>
          <w:ilvl w:val="0"/>
          <w:numId w:val="17"/>
        </w:numPr>
        <w:ind w:left="0" w:hanging="11"/>
        <w:jc w:val="both"/>
        <w:rPr>
          <w:rFonts w:ascii="Verdana" w:eastAsia="Times New Roman" w:hAnsi="Verdana" w:cs="Arial"/>
          <w:b/>
          <w:spacing w:val="-2"/>
          <w:sz w:val="20"/>
          <w:szCs w:val="20"/>
          <w:lang w:val="es-CR" w:eastAsia="es-ES"/>
        </w:rPr>
      </w:pPr>
      <w:r>
        <w:rPr>
          <w:rFonts w:ascii="Verdana" w:eastAsia="Times New Roman" w:hAnsi="Verdana" w:cs="Arial"/>
          <w:spacing w:val="-2"/>
          <w:sz w:val="20"/>
          <w:szCs w:val="20"/>
          <w:lang w:val="es-CR" w:eastAsia="es-ES"/>
        </w:rPr>
        <w:t xml:space="preserve">La Corte nota que </w:t>
      </w:r>
      <w:r w:rsidRPr="00B725E4">
        <w:rPr>
          <w:rFonts w:ascii="Verdana" w:eastAsia="Times New Roman" w:hAnsi="Verdana" w:cs="Arial"/>
          <w:spacing w:val="-2"/>
          <w:sz w:val="20"/>
          <w:szCs w:val="20"/>
          <w:lang w:val="es-CR" w:eastAsia="es-ES"/>
        </w:rPr>
        <w:t xml:space="preserve">fue el propio Estado de Honduras quien calificó el acta de compromiso de 2001 como una “conciliación extrajudicial”, y en este sentido señaló que, “el acuerdo a que </w:t>
      </w:r>
      <w:proofErr w:type="spellStart"/>
      <w:r w:rsidRPr="00B725E4">
        <w:rPr>
          <w:rFonts w:ascii="Verdana" w:eastAsia="Times New Roman" w:hAnsi="Verdana" w:cs="Arial"/>
          <w:spacing w:val="-2"/>
          <w:sz w:val="20"/>
          <w:szCs w:val="20"/>
          <w:lang w:val="es-CR" w:eastAsia="es-ES"/>
        </w:rPr>
        <w:t>lleg</w:t>
      </w:r>
      <w:proofErr w:type="spellEnd"/>
      <w:r w:rsidRPr="00B725E4">
        <w:rPr>
          <w:rFonts w:ascii="Verdana" w:eastAsia="Times New Roman" w:hAnsi="Verdana" w:cs="Arial"/>
          <w:spacing w:val="-2"/>
          <w:sz w:val="20"/>
          <w:szCs w:val="20"/>
          <w:lang w:val="es-CR" w:eastAsia="es-ES"/>
        </w:rPr>
        <w:t xml:space="preserve">[aren] las partes por medio de la conciliación </w:t>
      </w:r>
      <w:proofErr w:type="spellStart"/>
      <w:r w:rsidRPr="00B725E4">
        <w:rPr>
          <w:rFonts w:ascii="Verdana" w:eastAsia="Times New Roman" w:hAnsi="Verdana" w:cs="Arial"/>
          <w:spacing w:val="-2"/>
          <w:sz w:val="20"/>
          <w:szCs w:val="20"/>
          <w:lang w:val="es-CR" w:eastAsia="es-ES"/>
        </w:rPr>
        <w:t>tendr</w:t>
      </w:r>
      <w:proofErr w:type="spellEnd"/>
      <w:r w:rsidRPr="00B725E4">
        <w:rPr>
          <w:rFonts w:ascii="Verdana" w:eastAsia="Times New Roman" w:hAnsi="Verdana" w:cs="Arial"/>
          <w:spacing w:val="-2"/>
          <w:sz w:val="20"/>
          <w:szCs w:val="20"/>
          <w:lang w:val="es-CR" w:eastAsia="es-ES"/>
        </w:rPr>
        <w:t>[</w:t>
      </w:r>
      <w:proofErr w:type="spellStart"/>
      <w:r w:rsidRPr="00B725E4">
        <w:rPr>
          <w:rFonts w:ascii="Verdana" w:eastAsia="Times New Roman" w:hAnsi="Verdana" w:cs="Arial"/>
          <w:spacing w:val="-2"/>
          <w:sz w:val="20"/>
          <w:szCs w:val="20"/>
          <w:lang w:val="es-CR" w:eastAsia="es-ES"/>
        </w:rPr>
        <w:t>ía</w:t>
      </w:r>
      <w:proofErr w:type="spellEnd"/>
      <w:r w:rsidRPr="00B725E4">
        <w:rPr>
          <w:rFonts w:ascii="Verdana" w:eastAsia="Times New Roman" w:hAnsi="Verdana" w:cs="Arial"/>
          <w:spacing w:val="-2"/>
          <w:sz w:val="20"/>
          <w:szCs w:val="20"/>
          <w:lang w:val="es-CR" w:eastAsia="es-ES"/>
        </w:rPr>
        <w:t>] los efectos de cosa juzgada y fuerza ejecutiva”</w:t>
      </w:r>
      <w:r w:rsidR="00E07B09" w:rsidRPr="00B725E4">
        <w:rPr>
          <w:rStyle w:val="FootnoteReference"/>
          <w:rFonts w:eastAsia="Times New Roman"/>
          <w:spacing w:val="-2"/>
          <w:szCs w:val="20"/>
          <w:lang w:val="es-CR" w:eastAsia="es-ES"/>
        </w:rPr>
        <w:footnoteReference w:id="262"/>
      </w:r>
      <w:r w:rsidRPr="00B725E4">
        <w:rPr>
          <w:rFonts w:ascii="Verdana" w:eastAsia="Times New Roman" w:hAnsi="Verdana" w:cs="Arial"/>
          <w:spacing w:val="-2"/>
          <w:sz w:val="20"/>
          <w:szCs w:val="20"/>
          <w:lang w:val="es-CR" w:eastAsia="es-ES"/>
        </w:rPr>
        <w:t xml:space="preserve">, conforme al artículo 4 de la Ley de Conciliación y Arbitraje, por lo que al decir del propio </w:t>
      </w:r>
      <w:r w:rsidRPr="00DC09DB">
        <w:rPr>
          <w:rFonts w:ascii="Verdana" w:hAnsi="Verdana"/>
          <w:sz w:val="20"/>
          <w:szCs w:val="20"/>
          <w:lang w:val="es-CR"/>
        </w:rPr>
        <w:t>Estado</w:t>
      </w:r>
      <w:r w:rsidRPr="00B725E4">
        <w:rPr>
          <w:rFonts w:ascii="Verdana" w:eastAsia="Times New Roman" w:hAnsi="Verdana" w:cs="Arial"/>
          <w:spacing w:val="-2"/>
          <w:sz w:val="20"/>
          <w:szCs w:val="20"/>
          <w:lang w:val="es-CR" w:eastAsia="es-ES"/>
        </w:rPr>
        <w:t>, este acuerdo tenía la equivalencia de una sentencia judicial firme, la cual debió ser efectivamente cumplida.</w:t>
      </w:r>
      <w:r w:rsidRPr="00BE0DEE">
        <w:rPr>
          <w:rFonts w:ascii="Verdana" w:eastAsia="Times New Roman" w:hAnsi="Verdana" w:cs="Arial"/>
          <w:spacing w:val="-2"/>
          <w:sz w:val="20"/>
          <w:szCs w:val="20"/>
          <w:lang w:val="es-CR" w:eastAsia="es-ES"/>
        </w:rPr>
        <w:t xml:space="preserve"> </w:t>
      </w:r>
      <w:r w:rsidRPr="00012F57">
        <w:rPr>
          <w:rFonts w:ascii="Verdana" w:eastAsia="Times New Roman" w:hAnsi="Verdana" w:cs="Arial"/>
          <w:spacing w:val="-2"/>
          <w:sz w:val="20"/>
          <w:szCs w:val="20"/>
          <w:lang w:val="es-CR" w:eastAsia="es-ES"/>
        </w:rPr>
        <w:t>Al respecto</w:t>
      </w:r>
      <w:r w:rsidRPr="003C103F">
        <w:rPr>
          <w:rFonts w:ascii="Verdana" w:eastAsia="Times New Roman" w:hAnsi="Verdana" w:cs="Arial"/>
          <w:spacing w:val="-2"/>
          <w:sz w:val="20"/>
          <w:szCs w:val="20"/>
          <w:lang w:val="es-CR" w:eastAsia="es-ES"/>
        </w:rPr>
        <w:t xml:space="preserve">, </w:t>
      </w:r>
      <w:r w:rsidRPr="00012F57">
        <w:rPr>
          <w:rFonts w:ascii="Verdana" w:eastAsia="Times New Roman" w:hAnsi="Verdana" w:cs="Arial"/>
          <w:spacing w:val="-2"/>
          <w:sz w:val="20"/>
          <w:szCs w:val="20"/>
          <w:lang w:val="es-CR" w:eastAsia="es-ES"/>
        </w:rPr>
        <w:t>el</w:t>
      </w:r>
      <w:r w:rsidRPr="003C103F">
        <w:rPr>
          <w:rFonts w:ascii="Verdana" w:eastAsia="Times New Roman" w:hAnsi="Verdana" w:cs="Arial"/>
          <w:spacing w:val="-2"/>
          <w:sz w:val="20"/>
          <w:szCs w:val="20"/>
          <w:lang w:val="es-CR" w:eastAsia="es-ES"/>
        </w:rPr>
        <w:t xml:space="preserve"> Tribunal considera que los acuerdos de 2001 constituyeron decisiones que estimaron procedente el recurso </w:t>
      </w:r>
      <w:r w:rsidRPr="005C0E78">
        <w:rPr>
          <w:rFonts w:ascii="Verdana" w:eastAsia="Times New Roman" w:hAnsi="Verdana" w:cs="Arial"/>
          <w:i/>
          <w:spacing w:val="-2"/>
          <w:sz w:val="20"/>
          <w:szCs w:val="20"/>
          <w:lang w:val="es-CR" w:eastAsia="es-ES"/>
        </w:rPr>
        <w:t>ad-hoc</w:t>
      </w:r>
      <w:r w:rsidRPr="003C103F">
        <w:rPr>
          <w:rFonts w:ascii="Verdana" w:eastAsia="Times New Roman" w:hAnsi="Verdana" w:cs="Arial"/>
          <w:spacing w:val="-2"/>
          <w:sz w:val="20"/>
          <w:szCs w:val="20"/>
          <w:lang w:val="es-CR" w:eastAsia="es-ES"/>
        </w:rPr>
        <w:t xml:space="preserve"> disponible. Estas decisiones significaron compromisos que implicaban la puesta en práctica de acciones concretas de las partes, en especial del Estado, por lo que este tenía la obligación de garantizar su cumplimiento y ejecución, de conformidad con el artículo 25.2.c de la Convención Americana, el cual establece</w:t>
      </w:r>
      <w:r w:rsidR="003D0FFF">
        <w:rPr>
          <w:rFonts w:ascii="Verdana" w:eastAsia="Times New Roman" w:hAnsi="Verdana" w:cs="Arial"/>
          <w:spacing w:val="-2"/>
          <w:sz w:val="20"/>
          <w:szCs w:val="20"/>
          <w:lang w:val="es-CR" w:eastAsia="es-ES"/>
        </w:rPr>
        <w:t xml:space="preserve"> que</w:t>
      </w:r>
      <w:r w:rsidRPr="003C103F">
        <w:rPr>
          <w:rFonts w:ascii="Verdana" w:eastAsia="Times New Roman" w:hAnsi="Verdana" w:cs="Arial"/>
          <w:spacing w:val="-2"/>
          <w:sz w:val="20"/>
          <w:szCs w:val="20"/>
          <w:lang w:val="es-CR" w:eastAsia="es-ES"/>
        </w:rPr>
        <w:t xml:space="preserve"> </w:t>
      </w:r>
      <w:r w:rsidRPr="00012F57">
        <w:rPr>
          <w:rFonts w:ascii="Verdana" w:hAnsi="Verdana"/>
          <w:sz w:val="20"/>
          <w:szCs w:val="20"/>
          <w:lang w:val="es-ES"/>
        </w:rPr>
        <w:t>“los Estados partes se comprometen</w:t>
      </w:r>
      <w:r w:rsidR="00EF40D5">
        <w:rPr>
          <w:rFonts w:ascii="Verdana" w:hAnsi="Verdana"/>
          <w:sz w:val="20"/>
          <w:szCs w:val="20"/>
          <w:lang w:val="es-ES"/>
        </w:rPr>
        <w:t xml:space="preserve"> […]</w:t>
      </w:r>
      <w:r w:rsidRPr="00012F57">
        <w:rPr>
          <w:rFonts w:ascii="Verdana" w:hAnsi="Verdana"/>
          <w:sz w:val="20"/>
          <w:szCs w:val="20"/>
          <w:lang w:val="es-ES"/>
        </w:rPr>
        <w:t>: c) a garantizar el cumplimiento, por las autoridades competentes, de toda decisión en que se haya estimado procedente el recurso”.</w:t>
      </w:r>
    </w:p>
    <w:p w14:paraId="0C704B84" w14:textId="77777777" w:rsidR="00F02DDD" w:rsidRDefault="00F02DDD" w:rsidP="00F02DDD">
      <w:pPr>
        <w:pStyle w:val="ListParagraph"/>
        <w:ind w:left="0"/>
        <w:jc w:val="both"/>
        <w:rPr>
          <w:rFonts w:ascii="Verdana" w:eastAsia="Times New Roman" w:hAnsi="Verdana" w:cs="Arial"/>
          <w:spacing w:val="-2"/>
          <w:sz w:val="20"/>
          <w:szCs w:val="20"/>
          <w:lang w:val="es-CR" w:eastAsia="es-ES"/>
        </w:rPr>
      </w:pPr>
    </w:p>
    <w:p w14:paraId="0C704B85" w14:textId="23946D1D" w:rsidR="00F02DDD" w:rsidRPr="00012F57" w:rsidRDefault="00F02DDD" w:rsidP="00F02DDD">
      <w:pPr>
        <w:pStyle w:val="ListParagraph"/>
        <w:numPr>
          <w:ilvl w:val="0"/>
          <w:numId w:val="17"/>
        </w:numPr>
        <w:ind w:left="0" w:hanging="11"/>
        <w:jc w:val="both"/>
        <w:rPr>
          <w:rFonts w:ascii="Verdana" w:eastAsia="Times New Roman" w:hAnsi="Verdana" w:cs="Arial"/>
          <w:spacing w:val="-2"/>
          <w:sz w:val="20"/>
          <w:szCs w:val="20"/>
          <w:lang w:val="es-CR" w:eastAsia="es-ES"/>
        </w:rPr>
      </w:pPr>
      <w:r w:rsidRPr="00012F57">
        <w:rPr>
          <w:rFonts w:ascii="Verdana" w:hAnsi="Verdana"/>
          <w:sz w:val="20"/>
          <w:szCs w:val="20"/>
          <w:lang w:val="es-ES"/>
        </w:rPr>
        <w:t>En este sentido,</w:t>
      </w:r>
      <w:r w:rsidRPr="003C103F">
        <w:rPr>
          <w:rFonts w:ascii="Verdana" w:hAnsi="Verdana"/>
          <w:sz w:val="20"/>
          <w:szCs w:val="20"/>
          <w:lang w:val="es-ES"/>
        </w:rPr>
        <w:t xml:space="preserve"> este Tribunal considera que </w:t>
      </w:r>
      <w:r w:rsidRPr="00012F57">
        <w:rPr>
          <w:rFonts w:ascii="Verdana" w:hAnsi="Verdana"/>
          <w:sz w:val="20"/>
          <w:szCs w:val="20"/>
          <w:lang w:val="es-ES"/>
        </w:rPr>
        <w:t>la garantía de ejecución le</w:t>
      </w:r>
      <w:r w:rsidRPr="003C103F">
        <w:rPr>
          <w:rFonts w:ascii="Verdana" w:hAnsi="Verdana"/>
          <w:sz w:val="20"/>
          <w:szCs w:val="20"/>
          <w:lang w:val="es-ES"/>
        </w:rPr>
        <w:t xml:space="preserve"> es aplicable al cumplimiento de cualquier decisión que estime procedente el recurso disponible</w:t>
      </w:r>
      <w:r w:rsidRPr="00012F57">
        <w:rPr>
          <w:rStyle w:val="FootnoteReference"/>
          <w:szCs w:val="20"/>
        </w:rPr>
        <w:footnoteReference w:id="263"/>
      </w:r>
      <w:r w:rsidRPr="00012F57">
        <w:rPr>
          <w:rFonts w:ascii="Verdana" w:hAnsi="Verdana"/>
          <w:sz w:val="20"/>
          <w:szCs w:val="20"/>
          <w:lang w:val="es-ES"/>
        </w:rPr>
        <w:t>,</w:t>
      </w:r>
      <w:r w:rsidRPr="003C103F">
        <w:rPr>
          <w:rFonts w:ascii="Verdana" w:hAnsi="Verdana"/>
          <w:sz w:val="20"/>
          <w:szCs w:val="20"/>
          <w:lang w:val="es-ES"/>
        </w:rPr>
        <w:t xml:space="preserve"> como </w:t>
      </w:r>
      <w:r w:rsidRPr="00012F57">
        <w:rPr>
          <w:rFonts w:ascii="Verdana" w:hAnsi="Verdana"/>
          <w:sz w:val="20"/>
          <w:szCs w:val="20"/>
          <w:lang w:val="es-ES"/>
        </w:rPr>
        <w:t>la del</w:t>
      </w:r>
      <w:r w:rsidRPr="003C103F">
        <w:rPr>
          <w:rFonts w:ascii="Verdana" w:hAnsi="Verdana"/>
          <w:sz w:val="20"/>
          <w:szCs w:val="20"/>
          <w:lang w:val="es-ES"/>
        </w:rPr>
        <w:t xml:space="preserve"> presente caso, de conformidad con lo anteriormente señalado. </w:t>
      </w:r>
      <w:r w:rsidRPr="00012F57">
        <w:rPr>
          <w:rFonts w:ascii="Verdana" w:hAnsi="Verdana"/>
          <w:sz w:val="20"/>
          <w:szCs w:val="20"/>
          <w:lang w:val="es-ES"/>
        </w:rPr>
        <w:t>El proceso debe tender a la materialización de la protección del derecho reconocido en el pronunciamiento mediante la aplicación idónea de este</w:t>
      </w:r>
      <w:r w:rsidRPr="00012F57">
        <w:rPr>
          <w:rStyle w:val="FootnoteReference"/>
          <w:szCs w:val="20"/>
        </w:rPr>
        <w:footnoteReference w:id="264"/>
      </w:r>
      <w:r w:rsidRPr="00012F57">
        <w:rPr>
          <w:rFonts w:ascii="Verdana" w:hAnsi="Verdana"/>
          <w:sz w:val="20"/>
          <w:szCs w:val="20"/>
        </w:rPr>
        <w:t>.</w:t>
      </w:r>
      <w:r w:rsidRPr="00012F57">
        <w:rPr>
          <w:rFonts w:ascii="Verdana" w:eastAsia="Times New Roman" w:hAnsi="Verdana" w:cs="Arial"/>
          <w:spacing w:val="-2"/>
          <w:sz w:val="20"/>
          <w:szCs w:val="20"/>
          <w:lang w:val="es-CR" w:eastAsia="es-ES"/>
        </w:rPr>
        <w:t xml:space="preserve"> </w:t>
      </w:r>
      <w:r w:rsidRPr="00012F57">
        <w:rPr>
          <w:rFonts w:ascii="Verdana" w:hAnsi="Verdana"/>
          <w:sz w:val="20"/>
          <w:szCs w:val="20"/>
        </w:rPr>
        <w:t>Por tanto, la efectividad de las providencias judiciales o de cualquier otra decisión conforme al artículo 25.2.c depende de su ejecución</w:t>
      </w:r>
      <w:r w:rsidRPr="00012F57">
        <w:rPr>
          <w:rStyle w:val="FootnoteReference"/>
          <w:szCs w:val="20"/>
        </w:rPr>
        <w:footnoteReference w:id="265"/>
      </w:r>
      <w:r w:rsidRPr="00012F57">
        <w:rPr>
          <w:rFonts w:ascii="Verdana" w:hAnsi="Verdana"/>
          <w:sz w:val="20"/>
          <w:szCs w:val="20"/>
        </w:rPr>
        <w:t xml:space="preserve">, la cual debe </w:t>
      </w:r>
      <w:r w:rsidRPr="00012F57">
        <w:rPr>
          <w:rFonts w:ascii="Verdana" w:eastAsia="Times New Roman" w:hAnsi="Verdana"/>
          <w:sz w:val="20"/>
          <w:szCs w:val="20"/>
        </w:rPr>
        <w:t xml:space="preserve">ser considerada como parte </w:t>
      </w:r>
      <w:r w:rsidRPr="00012F57">
        <w:rPr>
          <w:rFonts w:ascii="Verdana" w:eastAsia="Times New Roman" w:hAnsi="Verdana"/>
          <w:sz w:val="20"/>
          <w:szCs w:val="20"/>
        </w:rPr>
        <w:lastRenderedPageBreak/>
        <w:t xml:space="preserve">integrante del derecho de acceso </w:t>
      </w:r>
      <w:r w:rsidR="00EF40D5">
        <w:rPr>
          <w:rFonts w:ascii="Verdana" w:eastAsia="Times New Roman" w:hAnsi="Verdana"/>
          <w:sz w:val="20"/>
          <w:szCs w:val="20"/>
        </w:rPr>
        <w:t>a la justicia</w:t>
      </w:r>
      <w:r w:rsidRPr="00012F57">
        <w:rPr>
          <w:rStyle w:val="FootnoteReference"/>
          <w:rFonts w:eastAsia="Times New Roman"/>
          <w:szCs w:val="20"/>
        </w:rPr>
        <w:footnoteReference w:id="266"/>
      </w:r>
      <w:r w:rsidRPr="00012F57">
        <w:rPr>
          <w:rFonts w:ascii="Verdana" w:eastAsia="Times New Roman" w:hAnsi="Verdana"/>
          <w:sz w:val="20"/>
          <w:szCs w:val="20"/>
        </w:rPr>
        <w:t>.</w:t>
      </w:r>
      <w:r w:rsidRPr="00012F57">
        <w:rPr>
          <w:rFonts w:ascii="Verdana" w:hAnsi="Verdana"/>
          <w:sz w:val="20"/>
          <w:szCs w:val="20"/>
        </w:rPr>
        <w:t xml:space="preserve"> </w:t>
      </w:r>
      <w:r w:rsidRPr="00012F57">
        <w:rPr>
          <w:rFonts w:ascii="Verdana" w:eastAsia="Times" w:hAnsi="Verdana"/>
          <w:sz w:val="20"/>
          <w:szCs w:val="20"/>
        </w:rPr>
        <w:t xml:space="preserve">Lo contrario </w:t>
      </w:r>
      <w:r w:rsidRPr="00012F57">
        <w:rPr>
          <w:rFonts w:ascii="Verdana" w:hAnsi="Verdana"/>
          <w:sz w:val="20"/>
          <w:szCs w:val="20"/>
        </w:rPr>
        <w:t>supone la negación misma del derecho involucrado</w:t>
      </w:r>
      <w:r w:rsidRPr="00012F57">
        <w:rPr>
          <w:rStyle w:val="FootnoteReference"/>
          <w:szCs w:val="20"/>
        </w:rPr>
        <w:footnoteReference w:id="267"/>
      </w:r>
      <w:r w:rsidRPr="00012F57">
        <w:rPr>
          <w:rFonts w:ascii="Verdana" w:hAnsi="Verdana"/>
          <w:sz w:val="20"/>
          <w:szCs w:val="20"/>
        </w:rPr>
        <w:t>.</w:t>
      </w:r>
      <w:r w:rsidRPr="00012F57">
        <w:rPr>
          <w:rFonts w:ascii="Verdana" w:hAnsi="Verdana"/>
          <w:sz w:val="20"/>
          <w:szCs w:val="20"/>
          <w:lang w:val="es-ES"/>
        </w:rPr>
        <w:t xml:space="preserve"> </w:t>
      </w:r>
      <w:r w:rsidRPr="00012F57">
        <w:rPr>
          <w:rFonts w:ascii="Verdana" w:hAnsi="Verdana"/>
          <w:spacing w:val="-4"/>
          <w:sz w:val="20"/>
          <w:szCs w:val="20"/>
          <w:lang w:val="es-ES"/>
        </w:rPr>
        <w:t>Asimismo, la Corte ha señalado que para lograr plenamente la efectividad de la sentencia</w:t>
      </w:r>
      <w:r>
        <w:rPr>
          <w:rFonts w:ascii="Verdana" w:hAnsi="Verdana"/>
          <w:spacing w:val="-4"/>
          <w:sz w:val="20"/>
          <w:szCs w:val="20"/>
          <w:lang w:val="es-ES"/>
        </w:rPr>
        <w:t>,</w:t>
      </w:r>
      <w:r w:rsidRPr="00012F57">
        <w:rPr>
          <w:rFonts w:ascii="Verdana" w:hAnsi="Verdana"/>
          <w:spacing w:val="-4"/>
          <w:sz w:val="20"/>
          <w:szCs w:val="20"/>
          <w:lang w:val="es-ES"/>
        </w:rPr>
        <w:t xml:space="preserve"> la ejecución debe ser completa, perfecta, integral y sin demora</w:t>
      </w:r>
      <w:r w:rsidRPr="00012F57">
        <w:rPr>
          <w:rFonts w:ascii="Verdana" w:hAnsi="Verdana"/>
          <w:spacing w:val="-4"/>
          <w:sz w:val="20"/>
          <w:szCs w:val="20"/>
          <w:vertAlign w:val="superscript"/>
          <w:lang w:val="es-ES"/>
        </w:rPr>
        <w:footnoteReference w:id="268"/>
      </w:r>
      <w:r w:rsidRPr="00012F57">
        <w:rPr>
          <w:rFonts w:ascii="Verdana" w:hAnsi="Verdana"/>
          <w:spacing w:val="-4"/>
          <w:sz w:val="20"/>
          <w:szCs w:val="20"/>
          <w:lang w:val="es-ES"/>
        </w:rPr>
        <w:t xml:space="preserve">. </w:t>
      </w:r>
    </w:p>
    <w:p w14:paraId="0C704B86" w14:textId="77777777" w:rsidR="00F02DDD" w:rsidRPr="00012F57" w:rsidRDefault="00F02DDD" w:rsidP="00F02DDD">
      <w:pPr>
        <w:pStyle w:val="ListParagraph"/>
        <w:ind w:left="0"/>
        <w:jc w:val="both"/>
        <w:rPr>
          <w:rFonts w:ascii="Verdana" w:eastAsia="Times New Roman" w:hAnsi="Verdana" w:cs="Arial"/>
          <w:spacing w:val="-2"/>
          <w:sz w:val="20"/>
          <w:szCs w:val="20"/>
          <w:lang w:val="es-CR" w:eastAsia="es-ES"/>
        </w:rPr>
      </w:pPr>
    </w:p>
    <w:p w14:paraId="0C704B87" w14:textId="77777777" w:rsidR="00F02DDD" w:rsidRPr="003C103F" w:rsidRDefault="00F02DDD" w:rsidP="00F02DDD">
      <w:pPr>
        <w:pStyle w:val="ListParagraph"/>
        <w:numPr>
          <w:ilvl w:val="0"/>
          <w:numId w:val="17"/>
        </w:numPr>
        <w:tabs>
          <w:tab w:val="left" w:pos="567"/>
        </w:tabs>
        <w:ind w:left="0" w:hanging="11"/>
        <w:jc w:val="both"/>
        <w:rPr>
          <w:rFonts w:ascii="Verdana" w:hAnsi="Verdana"/>
          <w:spacing w:val="-4"/>
          <w:sz w:val="20"/>
          <w:szCs w:val="20"/>
          <w:lang w:val="es-ES"/>
        </w:rPr>
      </w:pPr>
      <w:r w:rsidRPr="00012F57">
        <w:rPr>
          <w:rFonts w:ascii="Verdana" w:hAnsi="Verdana"/>
          <w:sz w:val="20"/>
          <w:szCs w:val="20"/>
          <w:lang w:val="es-ES"/>
        </w:rPr>
        <w:t>Por ello, el Estado tiene la responsabilidad de garantizar los medios para ejecutar las</w:t>
      </w:r>
      <w:r>
        <w:rPr>
          <w:rFonts w:ascii="Verdana" w:hAnsi="Verdana"/>
          <w:sz w:val="20"/>
          <w:szCs w:val="20"/>
          <w:lang w:val="es-ES"/>
        </w:rPr>
        <w:t xml:space="preserve"> </w:t>
      </w:r>
      <w:r w:rsidRPr="00012F57">
        <w:rPr>
          <w:rFonts w:ascii="Verdana" w:hAnsi="Verdana"/>
          <w:sz w:val="20"/>
          <w:szCs w:val="20"/>
          <w:lang w:val="es-ES"/>
        </w:rPr>
        <w:t xml:space="preserve">decisiones emitidas por las autoridades </w:t>
      </w:r>
      <w:r w:rsidRPr="00012F57">
        <w:rPr>
          <w:rFonts w:ascii="Verdana" w:hAnsi="Verdana"/>
          <w:sz w:val="20"/>
          <w:szCs w:val="20"/>
          <w:lang w:val="es-CR"/>
        </w:rPr>
        <w:t>competentes</w:t>
      </w:r>
      <w:r w:rsidRPr="00012F57">
        <w:rPr>
          <w:rFonts w:ascii="Verdana" w:hAnsi="Verdana"/>
          <w:sz w:val="20"/>
          <w:szCs w:val="20"/>
          <w:lang w:val="es-ES"/>
        </w:rPr>
        <w:t xml:space="preserve">, </w:t>
      </w:r>
      <w:r w:rsidRPr="00012F57">
        <w:rPr>
          <w:rFonts w:ascii="Verdana" w:hAnsi="Verdana"/>
          <w:sz w:val="20"/>
          <w:szCs w:val="20"/>
        </w:rPr>
        <w:t>de manera que se protejan efectivamente los derechos declarados o reconocidos</w:t>
      </w:r>
      <w:r w:rsidRPr="00012F57">
        <w:rPr>
          <w:rStyle w:val="FootnoteReference"/>
          <w:szCs w:val="20"/>
        </w:rPr>
        <w:footnoteReference w:id="269"/>
      </w:r>
      <w:r w:rsidRPr="00012F57">
        <w:rPr>
          <w:rFonts w:ascii="Verdana" w:hAnsi="Verdana"/>
          <w:sz w:val="20"/>
          <w:szCs w:val="20"/>
        </w:rPr>
        <w:t xml:space="preserve"> </w:t>
      </w:r>
      <w:r w:rsidRPr="00012F57">
        <w:rPr>
          <w:rFonts w:ascii="Verdana" w:hAnsi="Verdana"/>
          <w:sz w:val="20"/>
          <w:szCs w:val="20"/>
          <w:lang w:val="es-ES"/>
        </w:rPr>
        <w:t xml:space="preserve">a efectos de otorgar </w:t>
      </w:r>
      <w:r w:rsidRPr="00012F57">
        <w:rPr>
          <w:rFonts w:ascii="Verdana" w:hAnsi="Verdana"/>
          <w:sz w:val="20"/>
          <w:szCs w:val="20"/>
        </w:rPr>
        <w:t>certeza sobre el derecho o controversia discutida en el caso concreto</w:t>
      </w:r>
      <w:r w:rsidRPr="00012F57">
        <w:rPr>
          <w:rStyle w:val="FootnoteReference"/>
          <w:szCs w:val="20"/>
        </w:rPr>
        <w:footnoteReference w:id="270"/>
      </w:r>
      <w:r w:rsidRPr="00012F57">
        <w:rPr>
          <w:rFonts w:ascii="Verdana" w:hAnsi="Verdana"/>
          <w:sz w:val="20"/>
          <w:szCs w:val="20"/>
        </w:rPr>
        <w:t xml:space="preserve">. </w:t>
      </w:r>
    </w:p>
    <w:p w14:paraId="0C704B88" w14:textId="77777777" w:rsidR="00F02DDD" w:rsidRPr="009D4347" w:rsidRDefault="00F02DDD" w:rsidP="00F02DDD">
      <w:pPr>
        <w:pStyle w:val="ListParagraph"/>
        <w:tabs>
          <w:tab w:val="left" w:pos="567"/>
        </w:tabs>
        <w:ind w:left="0"/>
        <w:jc w:val="both"/>
        <w:rPr>
          <w:rFonts w:ascii="Verdana" w:hAnsi="Verdana"/>
          <w:spacing w:val="-4"/>
          <w:sz w:val="20"/>
          <w:szCs w:val="20"/>
          <w:lang w:val="es-ES"/>
        </w:rPr>
      </w:pPr>
    </w:p>
    <w:p w14:paraId="0C704B89" w14:textId="271F849B" w:rsidR="00F02DDD" w:rsidRDefault="00F02DDD" w:rsidP="00F02DDD">
      <w:pPr>
        <w:pStyle w:val="ListParagraph"/>
        <w:numPr>
          <w:ilvl w:val="0"/>
          <w:numId w:val="17"/>
        </w:numPr>
        <w:ind w:left="0" w:hanging="11"/>
        <w:jc w:val="both"/>
        <w:rPr>
          <w:rFonts w:ascii="Verdana" w:eastAsia="Times New Roman" w:hAnsi="Verdana" w:cs="Arial"/>
          <w:spacing w:val="-2"/>
          <w:sz w:val="20"/>
          <w:szCs w:val="20"/>
          <w:lang w:val="es-CR" w:eastAsia="es-ES"/>
        </w:rPr>
      </w:pPr>
      <w:r>
        <w:rPr>
          <w:rFonts w:ascii="Verdana" w:eastAsia="Times New Roman" w:hAnsi="Verdana" w:cs="Arial"/>
          <w:spacing w:val="-2"/>
          <w:sz w:val="20"/>
          <w:szCs w:val="20"/>
          <w:lang w:val="es-CR" w:eastAsia="es-ES"/>
        </w:rPr>
        <w:t>En efecto, a</w:t>
      </w:r>
      <w:r w:rsidRPr="00FC1493">
        <w:rPr>
          <w:rFonts w:ascii="Verdana" w:eastAsia="Times New Roman" w:hAnsi="Verdana" w:cs="Arial"/>
          <w:spacing w:val="-2"/>
          <w:sz w:val="20"/>
          <w:szCs w:val="20"/>
          <w:lang w:val="es-CR" w:eastAsia="es-ES"/>
        </w:rPr>
        <w:t xml:space="preserve"> pesar de la obligación de</w:t>
      </w:r>
      <w:r w:rsidRPr="005B197E">
        <w:rPr>
          <w:rFonts w:ascii="Verdana" w:eastAsia="Times New Roman" w:hAnsi="Verdana" w:cs="Arial"/>
          <w:spacing w:val="-2"/>
          <w:sz w:val="20"/>
          <w:szCs w:val="20"/>
          <w:lang w:val="es-CR" w:eastAsia="es-ES"/>
        </w:rPr>
        <w:t>l Estado de cumplir con los acuerdos adoptados conforme</w:t>
      </w:r>
      <w:r>
        <w:rPr>
          <w:rFonts w:ascii="Verdana" w:eastAsia="Times New Roman" w:hAnsi="Verdana" w:cs="Arial"/>
          <w:spacing w:val="-2"/>
          <w:sz w:val="20"/>
          <w:szCs w:val="20"/>
          <w:lang w:val="es-CR" w:eastAsia="es-ES"/>
        </w:rPr>
        <w:t xml:space="preserve"> al acta de compromiso de 2001 </w:t>
      </w:r>
      <w:r w:rsidRPr="00012F57">
        <w:rPr>
          <w:rFonts w:ascii="Verdana" w:eastAsia="Times New Roman" w:hAnsi="Verdana" w:cs="Arial"/>
          <w:spacing w:val="-2"/>
          <w:sz w:val="20"/>
          <w:szCs w:val="20"/>
          <w:lang w:val="es-CR" w:eastAsia="es-ES"/>
        </w:rPr>
        <w:t>y de haberle otorgado a dichos acuerdos el valor de una sentencia judicial firme</w:t>
      </w:r>
      <w:r w:rsidRPr="003C103F">
        <w:rPr>
          <w:rFonts w:ascii="Verdana" w:eastAsia="Times New Roman" w:hAnsi="Verdana" w:cs="Arial"/>
          <w:spacing w:val="-2"/>
          <w:sz w:val="20"/>
          <w:szCs w:val="20"/>
          <w:lang w:val="es-CR" w:eastAsia="es-ES"/>
        </w:rPr>
        <w:t xml:space="preserve">, la Corte constata que este </w:t>
      </w:r>
      <w:r w:rsidRPr="003C103F">
        <w:rPr>
          <w:rFonts w:ascii="Verdana" w:hAnsi="Verdana"/>
          <w:sz w:val="20"/>
          <w:szCs w:val="20"/>
        </w:rPr>
        <w:t xml:space="preserve">no ejecutó las acciones a las que se comprometió, </w:t>
      </w:r>
      <w:r w:rsidR="003D0FFF">
        <w:rPr>
          <w:rFonts w:ascii="Verdana" w:hAnsi="Verdana"/>
          <w:sz w:val="20"/>
          <w:szCs w:val="20"/>
        </w:rPr>
        <w:t xml:space="preserve">las cuales fueron </w:t>
      </w:r>
      <w:r w:rsidRPr="003C103F">
        <w:rPr>
          <w:rFonts w:ascii="Verdana" w:hAnsi="Verdana"/>
          <w:sz w:val="20"/>
          <w:szCs w:val="20"/>
        </w:rPr>
        <w:t>reiteradas mediante</w:t>
      </w:r>
      <w:r w:rsidRPr="005C0E78">
        <w:rPr>
          <w:rFonts w:ascii="Verdana" w:hAnsi="Verdana"/>
          <w:sz w:val="20"/>
          <w:szCs w:val="20"/>
        </w:rPr>
        <w:t xml:space="preserve"> acuerdo de entendimiento de 2006 (</w:t>
      </w:r>
      <w:r w:rsidRPr="005C0E78">
        <w:rPr>
          <w:rFonts w:ascii="Verdana" w:hAnsi="Verdana"/>
          <w:i/>
          <w:sz w:val="20"/>
          <w:szCs w:val="20"/>
        </w:rPr>
        <w:t>supra</w:t>
      </w:r>
      <w:r w:rsidRPr="003C103F">
        <w:rPr>
          <w:rFonts w:ascii="Verdana" w:hAnsi="Verdana"/>
          <w:sz w:val="20"/>
          <w:szCs w:val="20"/>
        </w:rPr>
        <w:t xml:space="preserve"> párr. </w:t>
      </w:r>
      <w:r w:rsidR="004211B8">
        <w:rPr>
          <w:rFonts w:ascii="Verdana" w:hAnsi="Verdana"/>
          <w:sz w:val="20"/>
          <w:szCs w:val="20"/>
        </w:rPr>
        <w:t>11</w:t>
      </w:r>
      <w:r w:rsidR="007E6678">
        <w:rPr>
          <w:rFonts w:ascii="Verdana" w:hAnsi="Verdana"/>
          <w:sz w:val="20"/>
          <w:szCs w:val="20"/>
        </w:rPr>
        <w:t>9</w:t>
      </w:r>
      <w:r w:rsidRPr="003C103F">
        <w:rPr>
          <w:rFonts w:ascii="Verdana" w:hAnsi="Verdana"/>
          <w:sz w:val="20"/>
          <w:szCs w:val="20"/>
        </w:rPr>
        <w:t xml:space="preserve">), ya que si bien </w:t>
      </w:r>
      <w:r w:rsidRPr="003C103F">
        <w:rPr>
          <w:rFonts w:ascii="Verdana" w:eastAsia="Times New Roman" w:hAnsi="Verdana" w:cs="Arial"/>
          <w:spacing w:val="-2"/>
          <w:sz w:val="20"/>
          <w:szCs w:val="20"/>
          <w:lang w:val="es-CR" w:eastAsia="es-ES"/>
        </w:rPr>
        <w:t xml:space="preserve">realizó dos avalúos en el 2001 y 2007 </w:t>
      </w:r>
      <w:r w:rsidRPr="00012F57">
        <w:rPr>
          <w:rFonts w:ascii="Verdana" w:eastAsia="Times New Roman" w:hAnsi="Verdana" w:cs="Arial"/>
          <w:spacing w:val="-2"/>
          <w:sz w:val="20"/>
          <w:szCs w:val="20"/>
          <w:lang w:val="es-CR" w:eastAsia="es-ES"/>
        </w:rPr>
        <w:t>para el pago de mejoras a los pobladores de Río Miel,</w:t>
      </w:r>
      <w:r w:rsidRPr="003C103F">
        <w:rPr>
          <w:rFonts w:ascii="Verdana" w:eastAsia="Times New Roman" w:hAnsi="Verdana" w:cs="Arial"/>
          <w:spacing w:val="-2"/>
          <w:sz w:val="20"/>
          <w:szCs w:val="20"/>
          <w:lang w:val="es-CR" w:eastAsia="es-ES"/>
        </w:rPr>
        <w:t xml:space="preserve"> no buscó un predio alternativo para su posible reubicación </w:t>
      </w:r>
      <w:r w:rsidRPr="00012F57">
        <w:rPr>
          <w:rFonts w:ascii="Verdana" w:eastAsia="Times New Roman" w:hAnsi="Verdana" w:cs="Arial"/>
          <w:spacing w:val="-2"/>
          <w:sz w:val="20"/>
          <w:szCs w:val="20"/>
          <w:lang w:val="es-CR" w:eastAsia="es-ES"/>
        </w:rPr>
        <w:t>ni logró la aprobación de la partida presupuestaria para el pago de las mismas,</w:t>
      </w:r>
      <w:r w:rsidRPr="003C103F">
        <w:rPr>
          <w:rFonts w:ascii="Verdana" w:eastAsia="Times New Roman" w:hAnsi="Verdana" w:cs="Arial"/>
          <w:spacing w:val="-2"/>
          <w:sz w:val="20"/>
          <w:szCs w:val="20"/>
          <w:lang w:val="es-CR" w:eastAsia="es-ES"/>
        </w:rPr>
        <w:t xml:space="preserve"> </w:t>
      </w:r>
      <w:r w:rsidRPr="00DC09DB">
        <w:rPr>
          <w:rFonts w:ascii="Verdana" w:eastAsia="Times New Roman" w:hAnsi="Verdana" w:cs="Arial"/>
          <w:spacing w:val="-2"/>
          <w:sz w:val="20"/>
          <w:szCs w:val="20"/>
          <w:lang w:val="es-CR" w:eastAsia="es-ES"/>
        </w:rPr>
        <w:t>ante la negativa de los órganos correspondientes</w:t>
      </w:r>
      <w:r>
        <w:rPr>
          <w:rFonts w:ascii="Verdana" w:eastAsia="Times New Roman" w:hAnsi="Verdana" w:cs="Arial"/>
          <w:spacing w:val="-2"/>
          <w:sz w:val="20"/>
          <w:szCs w:val="20"/>
          <w:lang w:val="es-CR" w:eastAsia="es-ES"/>
        </w:rPr>
        <w:t>, tales como el Congreso Nacional y la Secretaría de Finanzas</w:t>
      </w:r>
      <w:r w:rsidRPr="00DC09DB">
        <w:rPr>
          <w:rFonts w:ascii="Verdana" w:eastAsia="Times New Roman" w:hAnsi="Verdana" w:cs="Arial"/>
          <w:spacing w:val="-2"/>
          <w:sz w:val="20"/>
          <w:szCs w:val="20"/>
          <w:lang w:val="es-CR" w:eastAsia="es-ES"/>
        </w:rPr>
        <w:t xml:space="preserve"> (</w:t>
      </w:r>
      <w:r w:rsidRPr="00DC09DB">
        <w:rPr>
          <w:rFonts w:ascii="Verdana" w:eastAsia="Times New Roman" w:hAnsi="Verdana" w:cs="Arial"/>
          <w:i/>
          <w:spacing w:val="-2"/>
          <w:sz w:val="20"/>
          <w:szCs w:val="20"/>
          <w:lang w:val="es-CR" w:eastAsia="es-ES"/>
        </w:rPr>
        <w:t>supra</w:t>
      </w:r>
      <w:r w:rsidRPr="00DC09DB">
        <w:rPr>
          <w:rFonts w:ascii="Verdana" w:eastAsia="Times New Roman" w:hAnsi="Verdana" w:cs="Arial"/>
          <w:spacing w:val="-2"/>
          <w:sz w:val="20"/>
          <w:szCs w:val="20"/>
          <w:lang w:val="es-CR" w:eastAsia="es-ES"/>
        </w:rPr>
        <w:t xml:space="preserve"> párr</w:t>
      </w:r>
      <w:r w:rsidR="007E6678">
        <w:rPr>
          <w:rFonts w:ascii="Verdana" w:eastAsia="Times New Roman" w:hAnsi="Verdana" w:cs="Arial"/>
          <w:spacing w:val="-2"/>
          <w:sz w:val="20"/>
          <w:szCs w:val="20"/>
          <w:lang w:val="es-CR" w:eastAsia="es-ES"/>
        </w:rPr>
        <w:t>s</w:t>
      </w:r>
      <w:r w:rsidRPr="00DC09DB">
        <w:rPr>
          <w:rFonts w:ascii="Verdana" w:eastAsia="Times New Roman" w:hAnsi="Verdana" w:cs="Arial"/>
          <w:spacing w:val="-2"/>
          <w:sz w:val="20"/>
          <w:szCs w:val="20"/>
          <w:lang w:val="es-CR" w:eastAsia="es-ES"/>
        </w:rPr>
        <w:t>.</w:t>
      </w:r>
      <w:r w:rsidR="004211B8">
        <w:rPr>
          <w:rFonts w:ascii="Verdana" w:eastAsia="Times New Roman" w:hAnsi="Verdana" w:cs="Arial"/>
          <w:spacing w:val="-2"/>
          <w:sz w:val="20"/>
          <w:szCs w:val="20"/>
          <w:lang w:val="es-CR" w:eastAsia="es-ES"/>
        </w:rPr>
        <w:t xml:space="preserve"> </w:t>
      </w:r>
      <w:r w:rsidR="007E6678">
        <w:rPr>
          <w:rFonts w:ascii="Verdana" w:eastAsia="Times New Roman" w:hAnsi="Verdana" w:cs="Arial"/>
          <w:spacing w:val="-2"/>
          <w:sz w:val="20"/>
          <w:szCs w:val="20"/>
          <w:lang w:val="es-CR" w:eastAsia="es-ES"/>
        </w:rPr>
        <w:t>118 y 123</w:t>
      </w:r>
      <w:r w:rsidRPr="00DC09DB">
        <w:rPr>
          <w:rFonts w:ascii="Verdana" w:eastAsia="Times New Roman" w:hAnsi="Verdana" w:cs="Arial"/>
          <w:spacing w:val="-2"/>
          <w:sz w:val="20"/>
          <w:szCs w:val="20"/>
          <w:lang w:val="es-CR" w:eastAsia="es-ES"/>
        </w:rPr>
        <w:t xml:space="preserve">). </w:t>
      </w:r>
    </w:p>
    <w:p w14:paraId="0C704B8A" w14:textId="77777777" w:rsidR="00F02DDD" w:rsidRPr="005906E7" w:rsidRDefault="00F02DDD" w:rsidP="00F02DDD">
      <w:pPr>
        <w:pStyle w:val="ListParagraph"/>
        <w:rPr>
          <w:rFonts w:ascii="Verdana" w:eastAsia="Times New Roman" w:hAnsi="Verdana" w:cs="Arial"/>
          <w:spacing w:val="-2"/>
          <w:sz w:val="20"/>
          <w:szCs w:val="20"/>
          <w:lang w:val="es-CR" w:eastAsia="es-ES"/>
        </w:rPr>
      </w:pPr>
    </w:p>
    <w:p w14:paraId="0C704B8B" w14:textId="47C0695A" w:rsidR="00F02DDD" w:rsidRPr="009B40D2" w:rsidRDefault="00F02DDD" w:rsidP="00F02DDD">
      <w:pPr>
        <w:pStyle w:val="ListParagraph"/>
        <w:numPr>
          <w:ilvl w:val="0"/>
          <w:numId w:val="17"/>
        </w:numPr>
        <w:ind w:left="0" w:hanging="11"/>
        <w:jc w:val="both"/>
        <w:rPr>
          <w:rFonts w:ascii="Verdana" w:eastAsia="Times New Roman" w:hAnsi="Verdana" w:cs="Arial"/>
          <w:spacing w:val="-2"/>
          <w:sz w:val="20"/>
          <w:szCs w:val="20"/>
          <w:lang w:val="es-CR" w:eastAsia="es-ES"/>
        </w:rPr>
      </w:pPr>
      <w:r>
        <w:rPr>
          <w:rFonts w:ascii="Verdana" w:eastAsia="Times New Roman" w:hAnsi="Verdana" w:cs="Arial"/>
          <w:spacing w:val="-2"/>
          <w:sz w:val="20"/>
          <w:szCs w:val="20"/>
          <w:lang w:val="es-CR" w:eastAsia="es-ES"/>
        </w:rPr>
        <w:t xml:space="preserve">Asimismo, la Corte toma nota que </w:t>
      </w:r>
      <w:r w:rsidRPr="00012F57">
        <w:rPr>
          <w:rFonts w:ascii="Verdana" w:hAnsi="Verdana"/>
          <w:sz w:val="20"/>
          <w:szCs w:val="20"/>
          <w:lang w:val="es-CR"/>
        </w:rPr>
        <w:t>no existían</w:t>
      </w:r>
      <w:r w:rsidRPr="003C103F">
        <w:rPr>
          <w:rFonts w:ascii="Verdana" w:hAnsi="Verdana"/>
          <w:sz w:val="20"/>
          <w:szCs w:val="20"/>
          <w:lang w:val="es-CR"/>
        </w:rPr>
        <w:t xml:space="preserve"> medidas claras de ejecución de los acuerdos</w:t>
      </w:r>
      <w:r w:rsidRPr="00012F57">
        <w:rPr>
          <w:rStyle w:val="FootnoteReference"/>
          <w:rFonts w:eastAsia="Times New Roman"/>
          <w:szCs w:val="20"/>
        </w:rPr>
        <w:footnoteReference w:id="271"/>
      </w:r>
      <w:r w:rsidRPr="00012F57">
        <w:rPr>
          <w:rFonts w:ascii="Verdana" w:hAnsi="Verdana"/>
          <w:sz w:val="20"/>
          <w:szCs w:val="20"/>
          <w:lang w:val="es-CR"/>
        </w:rPr>
        <w:t>,</w:t>
      </w:r>
      <w:r w:rsidRPr="003C103F">
        <w:rPr>
          <w:rFonts w:ascii="Verdana" w:hAnsi="Verdana"/>
          <w:sz w:val="20"/>
          <w:szCs w:val="20"/>
          <w:lang w:val="es-CR"/>
        </w:rPr>
        <w:t xml:space="preserve"> </w:t>
      </w:r>
      <w:r w:rsidRPr="00012F57">
        <w:rPr>
          <w:rFonts w:ascii="Verdana" w:hAnsi="Verdana"/>
          <w:sz w:val="20"/>
          <w:szCs w:val="20"/>
          <w:lang w:val="es-CR"/>
        </w:rPr>
        <w:t>sin embargo,</w:t>
      </w:r>
      <w:r>
        <w:rPr>
          <w:rFonts w:ascii="Verdana" w:hAnsi="Verdana"/>
          <w:sz w:val="20"/>
          <w:szCs w:val="20"/>
          <w:lang w:val="es-CR"/>
        </w:rPr>
        <w:t xml:space="preserve"> </w:t>
      </w:r>
      <w:r w:rsidRPr="006E7E44">
        <w:rPr>
          <w:rFonts w:ascii="Verdana" w:hAnsi="Verdana"/>
          <w:sz w:val="20"/>
          <w:szCs w:val="20"/>
          <w:lang w:val="es-CR"/>
        </w:rPr>
        <w:t>entiende que debían intervenir otras entidades estatales, a efectos de la aprobación de una partida presupuestaria y el desembolso</w:t>
      </w:r>
      <w:r w:rsidRPr="009B40D2">
        <w:rPr>
          <w:rFonts w:ascii="Verdana" w:hAnsi="Verdana"/>
          <w:sz w:val="20"/>
          <w:szCs w:val="20"/>
          <w:lang w:val="es-CR"/>
        </w:rPr>
        <w:t xml:space="preserve"> del monto calculado con base en los avalúos realizados (</w:t>
      </w:r>
      <w:r w:rsidRPr="009B40D2">
        <w:rPr>
          <w:rFonts w:ascii="Verdana" w:hAnsi="Verdana"/>
          <w:i/>
          <w:sz w:val="20"/>
          <w:szCs w:val="20"/>
          <w:lang w:val="es-CR"/>
        </w:rPr>
        <w:t>supra</w:t>
      </w:r>
      <w:r w:rsidRPr="009B40D2">
        <w:rPr>
          <w:rFonts w:ascii="Verdana" w:hAnsi="Verdana"/>
          <w:sz w:val="20"/>
          <w:szCs w:val="20"/>
          <w:lang w:val="es-CR"/>
        </w:rPr>
        <w:t xml:space="preserve"> párr</w:t>
      </w:r>
      <w:r w:rsidR="007E6678">
        <w:rPr>
          <w:rFonts w:ascii="Verdana" w:hAnsi="Verdana"/>
          <w:sz w:val="20"/>
          <w:szCs w:val="20"/>
          <w:lang w:val="es-CR"/>
        </w:rPr>
        <w:t>s</w:t>
      </w:r>
      <w:r w:rsidRPr="009B40D2">
        <w:rPr>
          <w:rFonts w:ascii="Verdana" w:hAnsi="Verdana"/>
          <w:sz w:val="20"/>
          <w:szCs w:val="20"/>
          <w:lang w:val="es-CR"/>
        </w:rPr>
        <w:t xml:space="preserve">. </w:t>
      </w:r>
      <w:r w:rsidR="004211B8">
        <w:rPr>
          <w:rFonts w:ascii="Verdana" w:hAnsi="Verdana"/>
          <w:sz w:val="20"/>
          <w:szCs w:val="20"/>
          <w:lang w:val="es-CR"/>
        </w:rPr>
        <w:t>11</w:t>
      </w:r>
      <w:r w:rsidR="007E6678">
        <w:rPr>
          <w:rFonts w:ascii="Verdana" w:hAnsi="Verdana"/>
          <w:sz w:val="20"/>
          <w:szCs w:val="20"/>
          <w:lang w:val="es-CR"/>
        </w:rPr>
        <w:t>8 y 123</w:t>
      </w:r>
      <w:r w:rsidRPr="009B40D2">
        <w:rPr>
          <w:rFonts w:ascii="Verdana" w:hAnsi="Verdana"/>
          <w:sz w:val="20"/>
          <w:szCs w:val="20"/>
          <w:lang w:val="es-CR"/>
        </w:rPr>
        <w:t>).</w:t>
      </w:r>
    </w:p>
    <w:p w14:paraId="0C704B8C" w14:textId="77777777" w:rsidR="00F02DDD" w:rsidRPr="00DC09DB" w:rsidRDefault="00F02DDD" w:rsidP="00F02DDD">
      <w:pPr>
        <w:pStyle w:val="ListParagraph"/>
        <w:rPr>
          <w:rFonts w:ascii="Verdana" w:eastAsia="Times New Roman" w:hAnsi="Verdana" w:cs="Arial"/>
          <w:spacing w:val="-2"/>
          <w:sz w:val="20"/>
          <w:szCs w:val="20"/>
          <w:lang w:val="es-CR" w:eastAsia="es-ES"/>
        </w:rPr>
      </w:pPr>
    </w:p>
    <w:p w14:paraId="0C704B8D" w14:textId="7CE5535F" w:rsidR="00F02DDD" w:rsidRPr="003C103F" w:rsidRDefault="00F02DDD" w:rsidP="00F02DDD">
      <w:pPr>
        <w:pStyle w:val="ListParagraph"/>
        <w:numPr>
          <w:ilvl w:val="0"/>
          <w:numId w:val="17"/>
        </w:numPr>
        <w:ind w:left="0" w:hanging="11"/>
        <w:jc w:val="both"/>
        <w:rPr>
          <w:rFonts w:ascii="Verdana" w:hAnsi="Verdana"/>
          <w:spacing w:val="-4"/>
          <w:sz w:val="20"/>
          <w:szCs w:val="20"/>
        </w:rPr>
      </w:pPr>
      <w:r w:rsidRPr="00DC09DB">
        <w:rPr>
          <w:rFonts w:ascii="Verdana" w:eastAsia="Times New Roman" w:hAnsi="Verdana" w:cs="Arial"/>
          <w:spacing w:val="-2"/>
          <w:sz w:val="20"/>
          <w:szCs w:val="20"/>
          <w:lang w:val="es-CR" w:eastAsia="es-ES"/>
        </w:rPr>
        <w:t xml:space="preserve">A este respecto, </w:t>
      </w:r>
      <w:r w:rsidRPr="00DC09DB">
        <w:rPr>
          <w:rFonts w:ascii="Verdana" w:hAnsi="Verdana"/>
          <w:sz w:val="20"/>
          <w:szCs w:val="20"/>
        </w:rPr>
        <w:t>la Corte estima que en un ordenamiento basado sobre el principio del Estado de Derecho todas las autoridades públicas, dentro del marco de su competencia, deben atender las decisiones adoptadas a través de un mecanismo de conciliación extrajudicial como las del presente caso, así como dar impulso y ejecución a las mismas sin obstaculizar el sentido y alcance de la decisión ni retrasar indebidamente su ejecución</w:t>
      </w:r>
      <w:r w:rsidRPr="00DC09DB">
        <w:rPr>
          <w:rStyle w:val="FootnoteReference"/>
          <w:szCs w:val="20"/>
        </w:rPr>
        <w:footnoteReference w:id="272"/>
      </w:r>
      <w:r w:rsidRPr="00DC09DB">
        <w:rPr>
          <w:rFonts w:ascii="Verdana" w:eastAsia="Times New Roman" w:hAnsi="Verdana" w:cs="Arial"/>
          <w:spacing w:val="-2"/>
          <w:sz w:val="20"/>
          <w:szCs w:val="20"/>
          <w:lang w:val="es-CR" w:eastAsia="es-ES"/>
        </w:rPr>
        <w:t>, con el fin de otorgarle a la Comunidad de Punta Piedra,</w:t>
      </w:r>
      <w:r w:rsidRPr="00DC09DB">
        <w:rPr>
          <w:rFonts w:ascii="Verdana" w:eastAsia="Times New Roman" w:hAnsi="Verdana" w:cs="Arial"/>
          <w:b/>
          <w:spacing w:val="-2"/>
          <w:sz w:val="20"/>
          <w:szCs w:val="20"/>
          <w:lang w:val="es-CR" w:eastAsia="es-ES"/>
        </w:rPr>
        <w:t xml:space="preserve"> </w:t>
      </w:r>
      <w:r w:rsidRPr="00DC09DB">
        <w:rPr>
          <w:rFonts w:ascii="Verdana" w:hAnsi="Verdana"/>
          <w:sz w:val="20"/>
          <w:szCs w:val="20"/>
        </w:rPr>
        <w:t xml:space="preserve">certeza sobre el derecho o controversia y, por ende, tiene como uno de sus efectos la </w:t>
      </w:r>
      <w:r w:rsidRPr="00DC09DB">
        <w:rPr>
          <w:rFonts w:ascii="Verdana" w:hAnsi="Verdana"/>
          <w:sz w:val="20"/>
          <w:szCs w:val="20"/>
        </w:rPr>
        <w:lastRenderedPageBreak/>
        <w:t xml:space="preserve">obligatoriedad y necesidad de cumplimiento. </w:t>
      </w:r>
      <w:r w:rsidRPr="00012F57">
        <w:rPr>
          <w:rFonts w:ascii="Verdana" w:hAnsi="Verdana"/>
          <w:sz w:val="20"/>
          <w:szCs w:val="20"/>
          <w:lang w:val="es-CR"/>
        </w:rPr>
        <w:t>De igual manera</w:t>
      </w:r>
      <w:r w:rsidRPr="003C103F">
        <w:rPr>
          <w:rFonts w:ascii="Verdana" w:hAnsi="Verdana"/>
          <w:sz w:val="20"/>
          <w:szCs w:val="20"/>
          <w:lang w:val="es-CR"/>
        </w:rPr>
        <w:t>,</w:t>
      </w:r>
      <w:r w:rsidRPr="005906E7">
        <w:rPr>
          <w:rFonts w:ascii="Verdana" w:hAnsi="Verdana"/>
          <w:sz w:val="20"/>
          <w:szCs w:val="20"/>
          <w:lang w:val="es-CR"/>
        </w:rPr>
        <w:t xml:space="preserve"> el Tribunal considera </w:t>
      </w:r>
      <w:r w:rsidR="003D0FFF">
        <w:rPr>
          <w:rFonts w:ascii="Verdana" w:hAnsi="Verdana"/>
          <w:sz w:val="20"/>
          <w:szCs w:val="20"/>
          <w:lang w:val="es-CR"/>
        </w:rPr>
        <w:t xml:space="preserve">que </w:t>
      </w:r>
      <w:r w:rsidRPr="005906E7">
        <w:rPr>
          <w:rFonts w:ascii="Verdana" w:hAnsi="Verdana"/>
          <w:sz w:val="20"/>
          <w:szCs w:val="20"/>
          <w:lang w:val="es-CR"/>
        </w:rPr>
        <w:t>acuerdos conciliatorios como el presente, en que la obligación recaía en el propio Estado, debe</w:t>
      </w:r>
      <w:r>
        <w:rPr>
          <w:rFonts w:ascii="Verdana" w:hAnsi="Verdana"/>
          <w:sz w:val="20"/>
          <w:szCs w:val="20"/>
          <w:lang w:val="es-CR"/>
        </w:rPr>
        <w:t>n</w:t>
      </w:r>
      <w:r w:rsidRPr="005906E7">
        <w:rPr>
          <w:rFonts w:ascii="Verdana" w:hAnsi="Verdana"/>
          <w:sz w:val="20"/>
          <w:szCs w:val="20"/>
          <w:lang w:val="es-CR"/>
        </w:rPr>
        <w:t xml:space="preserve"> poseer una vocación de eficacia, por lo que deben ser adoptados mediante mecanismos que permitan su ejecución directa sin requerir la activación de otras vías </w:t>
      </w:r>
      <w:r>
        <w:rPr>
          <w:rFonts w:ascii="Verdana" w:hAnsi="Verdana"/>
          <w:sz w:val="20"/>
          <w:szCs w:val="20"/>
          <w:lang w:val="es-CR"/>
        </w:rPr>
        <w:t xml:space="preserve">de carácter administrativas o </w:t>
      </w:r>
      <w:r w:rsidRPr="005906E7">
        <w:rPr>
          <w:rFonts w:ascii="Verdana" w:hAnsi="Verdana"/>
          <w:sz w:val="20"/>
          <w:szCs w:val="20"/>
          <w:lang w:val="es-CR"/>
        </w:rPr>
        <w:t>judiciales</w:t>
      </w:r>
      <w:r w:rsidR="0086236B" w:rsidRPr="00A0324F">
        <w:rPr>
          <w:rStyle w:val="FootnoteReference"/>
          <w:rFonts w:eastAsia="Times New Roman"/>
          <w:spacing w:val="-2"/>
          <w:szCs w:val="20"/>
          <w:lang w:val="es-CR"/>
        </w:rPr>
        <w:footnoteReference w:id="273"/>
      </w:r>
      <w:r>
        <w:rPr>
          <w:rFonts w:ascii="Verdana" w:hAnsi="Verdana"/>
          <w:sz w:val="20"/>
          <w:szCs w:val="20"/>
          <w:lang w:val="es-CR"/>
        </w:rPr>
        <w:t xml:space="preserve"> (</w:t>
      </w:r>
      <w:r w:rsidR="0086236B" w:rsidRPr="00A0324F">
        <w:rPr>
          <w:rFonts w:ascii="Verdana" w:hAnsi="Verdana"/>
          <w:i/>
          <w:sz w:val="20"/>
          <w:szCs w:val="20"/>
          <w:lang w:val="es-CR"/>
        </w:rPr>
        <w:t>supra</w:t>
      </w:r>
      <w:r>
        <w:rPr>
          <w:rFonts w:ascii="Verdana" w:hAnsi="Verdana"/>
          <w:sz w:val="20"/>
          <w:szCs w:val="20"/>
          <w:lang w:val="es-CR"/>
        </w:rPr>
        <w:t xml:space="preserve"> párr. </w:t>
      </w:r>
      <w:r w:rsidR="004211B8">
        <w:rPr>
          <w:rFonts w:ascii="Verdana" w:hAnsi="Verdana"/>
          <w:sz w:val="20"/>
          <w:szCs w:val="20"/>
          <w:lang w:val="es-CR"/>
        </w:rPr>
        <w:t>2</w:t>
      </w:r>
      <w:r w:rsidR="001A1452">
        <w:rPr>
          <w:rFonts w:ascii="Verdana" w:hAnsi="Verdana"/>
          <w:sz w:val="20"/>
          <w:szCs w:val="20"/>
          <w:lang w:val="es-CR"/>
        </w:rPr>
        <w:t>30</w:t>
      </w:r>
      <w:r>
        <w:rPr>
          <w:rFonts w:ascii="Verdana" w:hAnsi="Verdana"/>
          <w:sz w:val="20"/>
          <w:szCs w:val="20"/>
          <w:lang w:val="es-CR"/>
        </w:rPr>
        <w:t xml:space="preserve">). </w:t>
      </w:r>
      <w:r w:rsidRPr="00012F57">
        <w:rPr>
          <w:rFonts w:ascii="Verdana" w:hAnsi="Verdana"/>
          <w:sz w:val="20"/>
          <w:szCs w:val="20"/>
          <w:lang w:val="es-CR"/>
        </w:rPr>
        <w:t>Por ello,</w:t>
      </w:r>
      <w:r w:rsidRPr="003C103F">
        <w:rPr>
          <w:rFonts w:ascii="Verdana" w:hAnsi="Verdana"/>
          <w:sz w:val="20"/>
          <w:szCs w:val="20"/>
          <w:lang w:val="es-CR"/>
        </w:rPr>
        <w:t xml:space="preserve"> no es válido que el Estado alegue tal exigencia con base en su propio incumplimiento </w:t>
      </w:r>
      <w:r w:rsidRPr="005C0E78">
        <w:rPr>
          <w:rFonts w:ascii="Verdana" w:hAnsi="Verdana"/>
          <w:sz w:val="20"/>
          <w:szCs w:val="20"/>
          <w:lang w:val="es-CR"/>
        </w:rPr>
        <w:t xml:space="preserve">u otros como la falta de recursos económicos, </w:t>
      </w:r>
      <w:r w:rsidRPr="005C0E78">
        <w:rPr>
          <w:rFonts w:ascii="Verdana" w:eastAsia="Times New Roman" w:hAnsi="Verdana" w:cs="Arial"/>
          <w:spacing w:val="-2"/>
          <w:sz w:val="20"/>
          <w:szCs w:val="20"/>
          <w:lang w:val="es-CR" w:eastAsia="es-ES"/>
        </w:rPr>
        <w:t xml:space="preserve">en detrimento de las obligaciones jurídicas con valor de cosa juzgada asumidas en los compromisos conciliatorios del 2001, </w:t>
      </w:r>
      <w:r w:rsidRPr="00012F57">
        <w:rPr>
          <w:rFonts w:ascii="Verdana" w:eastAsia="Times New Roman" w:hAnsi="Verdana" w:cs="Arial"/>
          <w:spacing w:val="-2"/>
          <w:sz w:val="20"/>
          <w:szCs w:val="20"/>
          <w:lang w:val="es-CR" w:eastAsia="es-ES"/>
        </w:rPr>
        <w:t>y en contravención de los principios de buena fe</w:t>
      </w:r>
      <w:r w:rsidRPr="00012F57">
        <w:rPr>
          <w:rFonts w:ascii="Verdana" w:hAnsi="Verdana" w:cs="Verdana-Italic"/>
          <w:i/>
          <w:iCs/>
          <w:sz w:val="20"/>
          <w:szCs w:val="20"/>
          <w:lang w:val="es-CR"/>
        </w:rPr>
        <w:t xml:space="preserve"> </w:t>
      </w:r>
      <w:r w:rsidRPr="00012F57">
        <w:rPr>
          <w:rFonts w:ascii="Verdana" w:hAnsi="Verdana" w:cs="Verdana-Italic"/>
          <w:iCs/>
          <w:sz w:val="20"/>
          <w:szCs w:val="20"/>
          <w:lang w:val="es-CR"/>
        </w:rPr>
        <w:t>y</w:t>
      </w:r>
      <w:r w:rsidRPr="00012F57">
        <w:rPr>
          <w:rFonts w:ascii="Verdana" w:hAnsi="Verdana" w:cs="Verdana-Italic"/>
          <w:i/>
          <w:iCs/>
          <w:sz w:val="20"/>
          <w:szCs w:val="20"/>
          <w:lang w:val="es-CR"/>
        </w:rPr>
        <w:t xml:space="preserve"> </w:t>
      </w:r>
      <w:r w:rsidRPr="00012F57">
        <w:rPr>
          <w:rFonts w:ascii="Verdana" w:hAnsi="Verdana" w:cs="Verdana-Italic"/>
          <w:iCs/>
          <w:sz w:val="20"/>
          <w:szCs w:val="20"/>
          <w:lang w:val="es-CR"/>
        </w:rPr>
        <w:t xml:space="preserve">efectos útiles </w:t>
      </w:r>
      <w:r w:rsidRPr="00012F57">
        <w:rPr>
          <w:rFonts w:ascii="Verdana" w:hAnsi="Verdana" w:cs="Verdana"/>
          <w:sz w:val="20"/>
          <w:szCs w:val="20"/>
          <w:lang w:val="es-CR"/>
        </w:rPr>
        <w:t>(</w:t>
      </w:r>
      <w:proofErr w:type="spellStart"/>
      <w:r w:rsidRPr="00012F57">
        <w:rPr>
          <w:rFonts w:ascii="Verdana" w:hAnsi="Verdana" w:cs="Verdana-Italic"/>
          <w:i/>
          <w:iCs/>
          <w:sz w:val="20"/>
          <w:szCs w:val="20"/>
          <w:lang w:val="es-CR"/>
        </w:rPr>
        <w:t>effet</w:t>
      </w:r>
      <w:proofErr w:type="spellEnd"/>
      <w:r w:rsidRPr="00012F57">
        <w:rPr>
          <w:rFonts w:ascii="Verdana" w:hAnsi="Verdana" w:cs="Verdana-Italic"/>
          <w:i/>
          <w:iCs/>
          <w:sz w:val="20"/>
          <w:szCs w:val="20"/>
          <w:lang w:val="es-CR"/>
        </w:rPr>
        <w:t xml:space="preserve"> </w:t>
      </w:r>
      <w:proofErr w:type="spellStart"/>
      <w:r w:rsidRPr="00012F57">
        <w:rPr>
          <w:rFonts w:ascii="Verdana" w:hAnsi="Verdana" w:cs="Verdana-Italic"/>
          <w:i/>
          <w:iCs/>
          <w:sz w:val="20"/>
          <w:szCs w:val="20"/>
          <w:lang w:val="es-CR"/>
        </w:rPr>
        <w:t>utile</w:t>
      </w:r>
      <w:proofErr w:type="spellEnd"/>
      <w:r w:rsidRPr="00012F57">
        <w:rPr>
          <w:rFonts w:ascii="Verdana" w:hAnsi="Verdana" w:cs="Verdana"/>
          <w:sz w:val="20"/>
          <w:szCs w:val="20"/>
          <w:lang w:val="es-CR"/>
        </w:rPr>
        <w:t>) de dichos acuerdos</w:t>
      </w:r>
      <w:r w:rsidRPr="00012F57">
        <w:rPr>
          <w:rStyle w:val="FootnoteReference"/>
          <w:rFonts w:cs="Verdana"/>
          <w:szCs w:val="20"/>
        </w:rPr>
        <w:footnoteReference w:id="274"/>
      </w:r>
      <w:r w:rsidRPr="00012F57">
        <w:rPr>
          <w:rFonts w:ascii="Verdana" w:hAnsi="Verdana" w:cs="Verdana"/>
          <w:sz w:val="20"/>
          <w:szCs w:val="20"/>
        </w:rPr>
        <w:t>.</w:t>
      </w:r>
    </w:p>
    <w:p w14:paraId="0C704B8E" w14:textId="77777777" w:rsidR="00F02DDD" w:rsidRPr="005C0E78" w:rsidRDefault="00F02DDD" w:rsidP="00F02DDD">
      <w:pPr>
        <w:pStyle w:val="ListParagraph"/>
        <w:tabs>
          <w:tab w:val="left" w:pos="567"/>
        </w:tabs>
        <w:ind w:left="0"/>
        <w:jc w:val="both"/>
        <w:rPr>
          <w:rFonts w:ascii="Verdana" w:eastAsia="Times New Roman" w:hAnsi="Verdana" w:cs="Arial"/>
          <w:spacing w:val="-2"/>
          <w:sz w:val="20"/>
          <w:szCs w:val="20"/>
          <w:lang w:val="es-CR" w:eastAsia="es-ES"/>
        </w:rPr>
      </w:pPr>
    </w:p>
    <w:p w14:paraId="0C704B8F" w14:textId="77777777" w:rsidR="00F02DDD" w:rsidRPr="00FB5679" w:rsidRDefault="00F02DDD" w:rsidP="00F02DDD">
      <w:pPr>
        <w:pStyle w:val="ListParagraph"/>
        <w:numPr>
          <w:ilvl w:val="0"/>
          <w:numId w:val="17"/>
        </w:numPr>
        <w:ind w:left="0" w:hanging="11"/>
        <w:jc w:val="both"/>
        <w:rPr>
          <w:rFonts w:ascii="Verdana" w:hAnsi="Verdana"/>
          <w:sz w:val="20"/>
          <w:szCs w:val="20"/>
          <w:lang w:val="es-CR"/>
        </w:rPr>
      </w:pPr>
      <w:r w:rsidRPr="00E61350">
        <w:rPr>
          <w:rFonts w:ascii="Verdana" w:eastAsia="Times New Roman" w:hAnsi="Verdana"/>
          <w:sz w:val="20"/>
          <w:szCs w:val="20"/>
        </w:rPr>
        <w:t>Asimismo,</w:t>
      </w:r>
      <w:r w:rsidRPr="00E61350">
        <w:rPr>
          <w:rFonts w:ascii="Verdana" w:hAnsi="Verdana"/>
          <w:sz w:val="20"/>
          <w:szCs w:val="20"/>
          <w:lang w:val="es-CR"/>
        </w:rPr>
        <w:t xml:space="preserve"> el Tribunal ha señalado que</w:t>
      </w:r>
      <w:r w:rsidRPr="00E61350">
        <w:rPr>
          <w:rFonts w:ascii="Verdana" w:hAnsi="Verdana"/>
          <w:sz w:val="20"/>
          <w:szCs w:val="20"/>
        </w:rPr>
        <w:t xml:space="preserve"> </w:t>
      </w:r>
      <w:r w:rsidRPr="00140A41">
        <w:rPr>
          <w:rFonts w:ascii="Verdana" w:hAnsi="Verdana"/>
          <w:sz w:val="20"/>
          <w:szCs w:val="20"/>
        </w:rPr>
        <w:t xml:space="preserve">la ejecución de los fallos </w:t>
      </w:r>
      <w:r w:rsidRPr="00012F57">
        <w:rPr>
          <w:rFonts w:ascii="Verdana" w:hAnsi="Verdana"/>
          <w:sz w:val="20"/>
          <w:szCs w:val="20"/>
        </w:rPr>
        <w:t>debe realizarse</w:t>
      </w:r>
      <w:r w:rsidRPr="00140A41">
        <w:rPr>
          <w:rFonts w:ascii="Verdana" w:hAnsi="Verdana"/>
          <w:sz w:val="20"/>
          <w:szCs w:val="20"/>
        </w:rPr>
        <w:t xml:space="preserve"> sin obstáculos o demoras indebidas, a fin de que alcancen su objetivo</w:t>
      </w:r>
      <w:r w:rsidRPr="00E61350">
        <w:rPr>
          <w:rFonts w:ascii="Verdana" w:hAnsi="Verdana"/>
          <w:sz w:val="20"/>
          <w:szCs w:val="20"/>
        </w:rPr>
        <w:t xml:space="preserve"> de manera rápida, sencilla e integral</w:t>
      </w:r>
      <w:r w:rsidRPr="00E61350">
        <w:rPr>
          <w:rStyle w:val="FootnoteReference"/>
          <w:szCs w:val="20"/>
        </w:rPr>
        <w:footnoteReference w:id="275"/>
      </w:r>
      <w:r>
        <w:rPr>
          <w:rFonts w:ascii="Verdana" w:hAnsi="Verdana"/>
          <w:sz w:val="20"/>
          <w:szCs w:val="20"/>
        </w:rPr>
        <w:t>.</w:t>
      </w:r>
      <w:r w:rsidRPr="00E61350">
        <w:rPr>
          <w:rFonts w:ascii="Verdana" w:hAnsi="Verdana"/>
          <w:sz w:val="20"/>
          <w:szCs w:val="20"/>
        </w:rPr>
        <w:t xml:space="preserve"> Ello cobra especial importancia en casos de materia indígena, debido a que </w:t>
      </w:r>
      <w:r w:rsidRPr="00140A41">
        <w:rPr>
          <w:rFonts w:ascii="Verdana" w:eastAsia="Times New Roman" w:hAnsi="Verdana"/>
          <w:sz w:val="20"/>
          <w:szCs w:val="20"/>
        </w:rPr>
        <w:t xml:space="preserve">la situación especial de vulnerabilidad </w:t>
      </w:r>
      <w:r w:rsidRPr="00E61350">
        <w:rPr>
          <w:rFonts w:ascii="Verdana" w:eastAsia="Times New Roman" w:hAnsi="Verdana"/>
          <w:sz w:val="20"/>
          <w:szCs w:val="20"/>
        </w:rPr>
        <w:t xml:space="preserve">en la que se </w:t>
      </w:r>
      <w:r w:rsidRPr="00FB5679">
        <w:rPr>
          <w:rFonts w:ascii="Verdana" w:eastAsia="Times New Roman" w:hAnsi="Verdana"/>
          <w:sz w:val="20"/>
          <w:szCs w:val="20"/>
        </w:rPr>
        <w:t xml:space="preserve">podrían </w:t>
      </w:r>
      <w:r w:rsidRPr="002D2939">
        <w:rPr>
          <w:rFonts w:ascii="Verdana" w:eastAsia="Times New Roman" w:hAnsi="Verdana"/>
          <w:sz w:val="20"/>
          <w:szCs w:val="20"/>
        </w:rPr>
        <w:t>enc</w:t>
      </w:r>
      <w:r>
        <w:rPr>
          <w:rFonts w:ascii="Verdana" w:eastAsia="Times New Roman" w:hAnsi="Verdana"/>
          <w:sz w:val="20"/>
          <w:szCs w:val="20"/>
        </w:rPr>
        <w:t>o</w:t>
      </w:r>
      <w:r w:rsidRPr="00FB5679">
        <w:rPr>
          <w:rFonts w:ascii="Verdana" w:eastAsia="Times New Roman" w:hAnsi="Verdana"/>
          <w:sz w:val="20"/>
          <w:szCs w:val="20"/>
        </w:rPr>
        <w:t>ntrar</w:t>
      </w:r>
      <w:r w:rsidRPr="00E61350">
        <w:rPr>
          <w:rFonts w:ascii="Verdana" w:eastAsia="Times New Roman" w:hAnsi="Verdana"/>
          <w:sz w:val="20"/>
          <w:szCs w:val="20"/>
        </w:rPr>
        <w:t xml:space="preserve"> </w:t>
      </w:r>
      <w:r w:rsidRPr="00E61350">
        <w:rPr>
          <w:rFonts w:ascii="Verdana" w:hAnsi="Verdana"/>
          <w:sz w:val="20"/>
          <w:szCs w:val="20"/>
          <w:lang w:val="es-ES"/>
        </w:rPr>
        <w:t>estos</w:t>
      </w:r>
      <w:r w:rsidRPr="00E61350">
        <w:rPr>
          <w:rFonts w:ascii="Verdana" w:eastAsia="Times New Roman" w:hAnsi="Verdana"/>
          <w:sz w:val="20"/>
          <w:szCs w:val="20"/>
        </w:rPr>
        <w:t xml:space="preserve"> pueblos, podría generar en sí misma obstaculizaciones no sólo para acceder a la justicia, sino para lograr la ejecución de las decisiones adoptadas. En este sentido, </w:t>
      </w:r>
      <w:r w:rsidRPr="00140A41">
        <w:rPr>
          <w:rFonts w:ascii="Verdana" w:eastAsia="Times New Roman" w:hAnsi="Verdana"/>
          <w:sz w:val="20"/>
          <w:szCs w:val="20"/>
        </w:rPr>
        <w:t xml:space="preserve">el Estado debe considerar situaciones que podrían significar un obstáculo </w:t>
      </w:r>
      <w:r w:rsidRPr="00E61350">
        <w:rPr>
          <w:rFonts w:ascii="Verdana" w:eastAsia="Times New Roman" w:hAnsi="Verdana"/>
          <w:sz w:val="20"/>
          <w:szCs w:val="20"/>
        </w:rPr>
        <w:t xml:space="preserve">para estos pueblos, tales como: </w:t>
      </w:r>
      <w:r w:rsidRPr="00E61350">
        <w:rPr>
          <w:rFonts w:ascii="Verdana" w:hAnsi="Verdana"/>
          <w:sz w:val="20"/>
          <w:szCs w:val="20"/>
        </w:rPr>
        <w:t>limitantes para el acceso físico a las instituciones administrativas y judiciales (distancia, dificultad de acceso)</w:t>
      </w:r>
      <w:r w:rsidR="00E86D69">
        <w:rPr>
          <w:rStyle w:val="FootnoteReference"/>
          <w:szCs w:val="20"/>
        </w:rPr>
        <w:footnoteReference w:id="276"/>
      </w:r>
      <w:r w:rsidRPr="00E61350">
        <w:rPr>
          <w:rFonts w:ascii="Verdana" w:hAnsi="Verdana"/>
          <w:sz w:val="20"/>
          <w:szCs w:val="20"/>
        </w:rPr>
        <w:t>; complejidad y diversidad de instancias a agotarse; altos costos para la tramitación de los procesos judiciales y para la contratación de abogados, y monolingüismo en el desarrollo de los procesos judiciales</w:t>
      </w:r>
      <w:r w:rsidRPr="00E61350">
        <w:rPr>
          <w:rStyle w:val="FootnoteReference"/>
          <w:szCs w:val="20"/>
        </w:rPr>
        <w:footnoteReference w:id="277"/>
      </w:r>
      <w:r w:rsidR="00286EBD">
        <w:rPr>
          <w:rFonts w:ascii="Verdana" w:hAnsi="Verdana"/>
          <w:sz w:val="20"/>
          <w:szCs w:val="20"/>
        </w:rPr>
        <w:t xml:space="preserve">. </w:t>
      </w:r>
      <w:r w:rsidRPr="00E61350">
        <w:rPr>
          <w:rFonts w:ascii="Verdana" w:eastAsia="Times New Roman" w:hAnsi="Verdana"/>
          <w:spacing w:val="-2"/>
          <w:sz w:val="20"/>
          <w:szCs w:val="20"/>
          <w:lang w:val="es-CR" w:eastAsia="es-ES"/>
        </w:rPr>
        <w:t xml:space="preserve">En virtud de ello, la Corte estima que la necesidad de que se </w:t>
      </w:r>
      <w:r w:rsidRPr="00E61350">
        <w:rPr>
          <w:rFonts w:ascii="Verdana" w:eastAsia="Times New Roman" w:hAnsi="Verdana"/>
          <w:spacing w:val="-2"/>
          <w:sz w:val="20"/>
          <w:szCs w:val="20"/>
          <w:lang w:val="es-CR" w:eastAsia="es-ES"/>
        </w:rPr>
        <w:lastRenderedPageBreak/>
        <w:t>agoten otras vías para el cumplimiento de las propias obligaciones estatales asumidas,</w:t>
      </w:r>
      <w:r w:rsidRPr="00140A41">
        <w:rPr>
          <w:rFonts w:ascii="Verdana" w:hAnsi="Verdana"/>
          <w:sz w:val="20"/>
          <w:szCs w:val="20"/>
        </w:rPr>
        <w:t xml:space="preserve"> </w:t>
      </w:r>
      <w:r w:rsidRPr="00E61350">
        <w:rPr>
          <w:rFonts w:ascii="Verdana" w:hAnsi="Verdana"/>
          <w:sz w:val="20"/>
          <w:szCs w:val="20"/>
        </w:rPr>
        <w:t xml:space="preserve">en vez de </w:t>
      </w:r>
      <w:r>
        <w:rPr>
          <w:rFonts w:ascii="Verdana" w:hAnsi="Verdana"/>
          <w:sz w:val="20"/>
          <w:szCs w:val="20"/>
        </w:rPr>
        <w:t>propiciar</w:t>
      </w:r>
      <w:r w:rsidRPr="00E61350">
        <w:rPr>
          <w:rFonts w:ascii="Verdana" w:hAnsi="Verdana"/>
          <w:sz w:val="20"/>
          <w:szCs w:val="20"/>
        </w:rPr>
        <w:t xml:space="preserve"> su ejecución, las entorpece, lo cual</w:t>
      </w:r>
      <w:r w:rsidRPr="00E61350">
        <w:rPr>
          <w:rFonts w:ascii="Verdana" w:eastAsia="Times New Roman" w:hAnsi="Verdana"/>
          <w:spacing w:val="-2"/>
          <w:sz w:val="20"/>
          <w:szCs w:val="20"/>
          <w:lang w:val="es-CR" w:eastAsia="es-ES"/>
        </w:rPr>
        <w:t xml:space="preserve"> podría resultar en un esfuerzo desmedido o exagerado en detrimento de la Comunidad de Punta Piedra</w:t>
      </w:r>
      <w:r w:rsidRPr="00E61350">
        <w:rPr>
          <w:rFonts w:ascii="Verdana" w:hAnsi="Verdana"/>
          <w:sz w:val="20"/>
          <w:szCs w:val="20"/>
        </w:rPr>
        <w:t>.</w:t>
      </w:r>
      <w:r w:rsidRPr="00E61350">
        <w:rPr>
          <w:rFonts w:ascii="Verdana" w:eastAsia="Times New Roman" w:hAnsi="Verdana"/>
          <w:spacing w:val="-2"/>
          <w:sz w:val="20"/>
          <w:szCs w:val="20"/>
          <w:lang w:val="es-CR" w:eastAsia="es-ES"/>
        </w:rPr>
        <w:t xml:space="preserve"> </w:t>
      </w:r>
    </w:p>
    <w:p w14:paraId="0C704B90" w14:textId="77777777" w:rsidR="00F02DDD" w:rsidRPr="00AE2259" w:rsidRDefault="00F02DDD" w:rsidP="00F02DDD">
      <w:pPr>
        <w:rPr>
          <w:rFonts w:ascii="Verdana" w:eastAsia="Times New Roman" w:hAnsi="Verdana" w:cs="Arial"/>
          <w:spacing w:val="-2"/>
          <w:sz w:val="20"/>
          <w:szCs w:val="20"/>
          <w:lang w:val="es-CR" w:eastAsia="es-ES"/>
        </w:rPr>
      </w:pPr>
    </w:p>
    <w:p w14:paraId="0C704B91" w14:textId="10C80A57" w:rsidR="00F02DDD" w:rsidRPr="00EF18CE" w:rsidRDefault="00F02DDD" w:rsidP="00F02DDD">
      <w:pPr>
        <w:pStyle w:val="ListParagraph"/>
        <w:numPr>
          <w:ilvl w:val="0"/>
          <w:numId w:val="17"/>
        </w:numPr>
        <w:ind w:left="0" w:hanging="11"/>
        <w:jc w:val="both"/>
        <w:rPr>
          <w:rFonts w:ascii="Verdana" w:eastAsia="Times New Roman" w:hAnsi="Verdana"/>
          <w:spacing w:val="-2"/>
          <w:sz w:val="20"/>
          <w:szCs w:val="20"/>
          <w:lang w:val="es-CR" w:eastAsia="es-ES"/>
        </w:rPr>
      </w:pPr>
      <w:r>
        <w:rPr>
          <w:rFonts w:ascii="Verdana" w:eastAsia="Times New Roman" w:hAnsi="Verdana" w:cs="Arial"/>
          <w:spacing w:val="-2"/>
          <w:sz w:val="20"/>
          <w:szCs w:val="20"/>
          <w:lang w:val="es-CR" w:eastAsia="es-ES"/>
        </w:rPr>
        <w:t>Adicionalmente</w:t>
      </w:r>
      <w:r w:rsidRPr="00717A77">
        <w:rPr>
          <w:rFonts w:ascii="Verdana" w:eastAsia="Times New Roman" w:hAnsi="Verdana" w:cs="Arial"/>
          <w:spacing w:val="-2"/>
          <w:sz w:val="20"/>
          <w:szCs w:val="20"/>
          <w:lang w:val="es-CR" w:eastAsia="es-ES"/>
        </w:rPr>
        <w:t xml:space="preserve">, la Corte </w:t>
      </w:r>
      <w:r>
        <w:rPr>
          <w:rFonts w:ascii="Verdana" w:eastAsia="Times New Roman" w:hAnsi="Verdana" w:cs="Arial"/>
          <w:spacing w:val="-2"/>
          <w:sz w:val="20"/>
          <w:szCs w:val="20"/>
          <w:lang w:val="es-CR" w:eastAsia="es-ES"/>
        </w:rPr>
        <w:t xml:space="preserve">considera </w:t>
      </w:r>
      <w:r>
        <w:rPr>
          <w:rFonts w:ascii="Verdana" w:eastAsia="Times New Roman" w:hAnsi="Verdana"/>
          <w:spacing w:val="-2"/>
          <w:sz w:val="20"/>
          <w:szCs w:val="20"/>
          <w:lang w:val="es-CR" w:eastAsia="es-ES"/>
        </w:rPr>
        <w:t xml:space="preserve">que los alegatos del Estado respecto de la </w:t>
      </w:r>
      <w:r w:rsidRPr="00FB5679">
        <w:rPr>
          <w:rFonts w:ascii="Verdana" w:hAnsi="Verdana"/>
          <w:sz w:val="20"/>
          <w:szCs w:val="20"/>
        </w:rPr>
        <w:t xml:space="preserve">falta de interposición de la vía previa administrativa y de otros recursos en la vía judicial </w:t>
      </w:r>
      <w:r w:rsidRPr="00E61350">
        <w:rPr>
          <w:rFonts w:ascii="Verdana" w:eastAsia="Times New Roman" w:hAnsi="Verdana"/>
          <w:spacing w:val="-2"/>
          <w:sz w:val="20"/>
          <w:szCs w:val="20"/>
          <w:lang w:val="es-CR" w:eastAsia="es-ES"/>
        </w:rPr>
        <w:t>(</w:t>
      </w:r>
      <w:r w:rsidR="0086236B" w:rsidRPr="00A0324F">
        <w:rPr>
          <w:rFonts w:ascii="Verdana" w:eastAsia="Times New Roman" w:hAnsi="Verdana"/>
          <w:i/>
          <w:spacing w:val="-2"/>
          <w:sz w:val="20"/>
          <w:szCs w:val="20"/>
          <w:lang w:val="es-CR" w:eastAsia="es-ES"/>
        </w:rPr>
        <w:t>supra</w:t>
      </w:r>
      <w:r w:rsidRPr="00E61350">
        <w:rPr>
          <w:rFonts w:ascii="Verdana" w:eastAsia="Times New Roman" w:hAnsi="Verdana"/>
          <w:spacing w:val="-2"/>
          <w:sz w:val="20"/>
          <w:szCs w:val="20"/>
          <w:lang w:val="es-CR" w:eastAsia="es-ES"/>
        </w:rPr>
        <w:t xml:space="preserve"> párr</w:t>
      </w:r>
      <w:r w:rsidR="001A1452">
        <w:rPr>
          <w:rFonts w:ascii="Verdana" w:eastAsia="Times New Roman" w:hAnsi="Verdana"/>
          <w:spacing w:val="-2"/>
          <w:sz w:val="20"/>
          <w:szCs w:val="20"/>
          <w:lang w:val="es-CR" w:eastAsia="es-ES"/>
        </w:rPr>
        <w:t xml:space="preserve">. </w:t>
      </w:r>
      <w:r w:rsidR="006D2CD1">
        <w:rPr>
          <w:rFonts w:ascii="Verdana" w:eastAsia="Times New Roman" w:hAnsi="Verdana"/>
          <w:spacing w:val="-2"/>
          <w:sz w:val="20"/>
          <w:szCs w:val="20"/>
          <w:lang w:val="es-CR" w:eastAsia="es-ES"/>
        </w:rPr>
        <w:t>23</w:t>
      </w:r>
      <w:r w:rsidR="001A1452">
        <w:rPr>
          <w:rFonts w:ascii="Verdana" w:eastAsia="Times New Roman" w:hAnsi="Verdana"/>
          <w:spacing w:val="-2"/>
          <w:sz w:val="20"/>
          <w:szCs w:val="20"/>
          <w:lang w:val="es-CR" w:eastAsia="es-ES"/>
        </w:rPr>
        <w:t>0</w:t>
      </w:r>
      <w:r w:rsidRPr="00FA7CE9">
        <w:rPr>
          <w:rFonts w:ascii="Verdana" w:eastAsia="Times New Roman" w:hAnsi="Verdana"/>
          <w:spacing w:val="-2"/>
          <w:sz w:val="20"/>
          <w:szCs w:val="20"/>
          <w:lang w:val="es-CR" w:eastAsia="es-ES"/>
        </w:rPr>
        <w:t>)</w:t>
      </w:r>
      <w:r>
        <w:rPr>
          <w:rFonts w:ascii="Verdana" w:eastAsia="Times New Roman" w:hAnsi="Verdana"/>
          <w:spacing w:val="-2"/>
          <w:sz w:val="20"/>
          <w:szCs w:val="20"/>
          <w:lang w:val="es-CR" w:eastAsia="es-ES"/>
        </w:rPr>
        <w:t xml:space="preserve"> son extemporáneos, ya que no fueron presentados a la Corte en el momento procesal oportuno, es decir en el </w:t>
      </w:r>
      <w:r w:rsidRPr="00EF18CE">
        <w:rPr>
          <w:rFonts w:ascii="Verdana" w:eastAsia="Times New Roman" w:hAnsi="Verdana"/>
          <w:spacing w:val="-2"/>
          <w:sz w:val="20"/>
          <w:szCs w:val="20"/>
          <w:lang w:val="es-CR" w:eastAsia="es-ES"/>
        </w:rPr>
        <w:t xml:space="preserve">escrito de contestación del Estado, ni fueron parte de la argumentación en relación con las excepciones preliminares correspondientes, sino que son alegatos incorporados como defensa del Estado a través de los alegatos finales escritos. </w:t>
      </w:r>
    </w:p>
    <w:p w14:paraId="0C704B92" w14:textId="77777777" w:rsidR="00F02DDD" w:rsidRPr="005906E7" w:rsidRDefault="00F02DDD" w:rsidP="00F02DDD">
      <w:pPr>
        <w:rPr>
          <w:rFonts w:ascii="Verdana" w:hAnsi="Verdana"/>
          <w:sz w:val="20"/>
          <w:szCs w:val="20"/>
        </w:rPr>
      </w:pPr>
    </w:p>
    <w:p w14:paraId="0C704B93" w14:textId="182B3B5B" w:rsidR="00F02DDD" w:rsidRPr="005906E7" w:rsidRDefault="00F02DDD" w:rsidP="00F02DDD">
      <w:pPr>
        <w:pStyle w:val="ListParagraph"/>
        <w:numPr>
          <w:ilvl w:val="0"/>
          <w:numId w:val="17"/>
        </w:numPr>
        <w:tabs>
          <w:tab w:val="left" w:pos="567"/>
        </w:tabs>
        <w:ind w:left="0" w:hanging="11"/>
        <w:jc w:val="both"/>
        <w:rPr>
          <w:rFonts w:ascii="Verdana" w:eastAsia="Times New Roman" w:hAnsi="Verdana" w:cs="Arial"/>
          <w:spacing w:val="-2"/>
          <w:sz w:val="20"/>
          <w:szCs w:val="20"/>
          <w:lang w:val="es-CR" w:eastAsia="es-ES"/>
        </w:rPr>
      </w:pPr>
      <w:r w:rsidRPr="005906E7">
        <w:rPr>
          <w:rFonts w:ascii="Verdana" w:eastAsia="Times New Roman" w:hAnsi="Verdana" w:cs="Arial"/>
          <w:spacing w:val="-2"/>
          <w:sz w:val="20"/>
          <w:szCs w:val="20"/>
          <w:lang w:eastAsia="es-ES"/>
        </w:rPr>
        <w:t>Con base en lo señalado, la Corte considera que, para efectos del presente caso, los acuerdos conciliatorios adoptados fueron idóneos, a fin de lograr el saneamiento del territorio indígena que le correspondía de oficio al Estado. Sin embargo, la falta de materialización concreta de los acuerdos que obligan al Estado de Honduras, es decir</w:t>
      </w:r>
      <w:r w:rsidR="0056682A">
        <w:rPr>
          <w:rFonts w:ascii="Verdana" w:eastAsia="Times New Roman" w:hAnsi="Verdana" w:cs="Arial"/>
          <w:spacing w:val="-2"/>
          <w:sz w:val="20"/>
          <w:szCs w:val="20"/>
          <w:lang w:eastAsia="es-ES"/>
        </w:rPr>
        <w:t>,</w:t>
      </w:r>
      <w:r w:rsidRPr="005906E7">
        <w:rPr>
          <w:rFonts w:ascii="Verdana" w:eastAsia="Times New Roman" w:hAnsi="Verdana" w:cs="Arial"/>
          <w:spacing w:val="-2"/>
          <w:sz w:val="20"/>
          <w:szCs w:val="20"/>
          <w:lang w:eastAsia="es-ES"/>
        </w:rPr>
        <w:t xml:space="preserve"> su falta de ejecución directa sin requerir la activación de otras vías judiciales, los tornaron ineficaces, lo cual impidió la posibilidad real de uso y goce del territorio titulado a favor de la Comunidad </w:t>
      </w:r>
      <w:r w:rsidR="0056682A">
        <w:rPr>
          <w:rFonts w:ascii="Verdana" w:eastAsia="Times New Roman" w:hAnsi="Verdana" w:cs="Arial"/>
          <w:spacing w:val="-2"/>
          <w:sz w:val="20"/>
          <w:szCs w:val="20"/>
          <w:lang w:eastAsia="es-ES"/>
        </w:rPr>
        <w:t xml:space="preserve">Garífuna </w:t>
      </w:r>
      <w:r w:rsidRPr="005906E7">
        <w:rPr>
          <w:rFonts w:ascii="Verdana" w:eastAsia="Times New Roman" w:hAnsi="Verdana" w:cs="Arial"/>
          <w:spacing w:val="-2"/>
          <w:sz w:val="20"/>
          <w:szCs w:val="20"/>
          <w:lang w:eastAsia="es-ES"/>
        </w:rPr>
        <w:t xml:space="preserve">de Punta Piedra, por lo que el Estado vulneró </w:t>
      </w:r>
      <w:r w:rsidR="0056682A">
        <w:rPr>
          <w:rFonts w:ascii="Verdana" w:hAnsi="Verdana"/>
          <w:sz w:val="20"/>
          <w:szCs w:val="20"/>
        </w:rPr>
        <w:t>el</w:t>
      </w:r>
      <w:r w:rsidR="0056682A" w:rsidRPr="005906E7">
        <w:rPr>
          <w:rFonts w:ascii="Verdana" w:hAnsi="Verdana"/>
          <w:sz w:val="20"/>
          <w:szCs w:val="20"/>
        </w:rPr>
        <w:t xml:space="preserve"> </w:t>
      </w:r>
      <w:r w:rsidRPr="005906E7">
        <w:rPr>
          <w:rFonts w:ascii="Verdana" w:hAnsi="Verdana"/>
          <w:sz w:val="20"/>
          <w:szCs w:val="20"/>
        </w:rPr>
        <w:t>artículo 25.1 y 25.2.c de la Convención Americana, en relación con el artículo 1.1 del mismo instrumento en perjuicio de la Comunidad Garífuna de Punta Piedra y sus miembros.</w:t>
      </w:r>
    </w:p>
    <w:p w14:paraId="0C704B94" w14:textId="77777777" w:rsidR="00F02DDD" w:rsidRPr="00064F8E" w:rsidRDefault="00F02DDD" w:rsidP="00F02DDD">
      <w:pPr>
        <w:rPr>
          <w:lang w:val="es-CR"/>
        </w:rPr>
      </w:pPr>
    </w:p>
    <w:p w14:paraId="0C704B95" w14:textId="3C405F61" w:rsidR="00F02DDD" w:rsidRPr="00DF5F50" w:rsidRDefault="00F02DDD" w:rsidP="00F02DDD">
      <w:pPr>
        <w:pStyle w:val="Heading4"/>
      </w:pPr>
      <w:bookmarkStart w:id="102" w:name="_Toc437247364"/>
      <w:r w:rsidRPr="00421366">
        <w:t>B.1.</w:t>
      </w:r>
      <w:r>
        <w:t>2</w:t>
      </w:r>
      <w:r w:rsidRPr="00421366">
        <w:t xml:space="preserve"> La alegada falta de un recurso para la protección de los territorios de la </w:t>
      </w:r>
      <w:r w:rsidR="002A2F53">
        <w:t>Comunidad Garífuna de Punta Piedra</w:t>
      </w:r>
      <w:r w:rsidRPr="00421366">
        <w:t xml:space="preserve"> frente a terceros en la legislación interna (Artículo </w:t>
      </w:r>
      <w:r w:rsidR="00C77120" w:rsidRPr="00421366">
        <w:t>2</w:t>
      </w:r>
      <w:r w:rsidRPr="00421366">
        <w:t xml:space="preserve"> en relación con el 1.1 y </w:t>
      </w:r>
      <w:r w:rsidR="00C77120" w:rsidRPr="00421366">
        <w:t>25</w:t>
      </w:r>
      <w:r w:rsidRPr="00421366">
        <w:t xml:space="preserve"> de la Convención)</w:t>
      </w:r>
      <w:bookmarkEnd w:id="102"/>
    </w:p>
    <w:p w14:paraId="0C704B96" w14:textId="77777777" w:rsidR="00F02DDD" w:rsidRPr="00A616F3" w:rsidRDefault="00F02DDD" w:rsidP="00F02DDD">
      <w:pPr>
        <w:pStyle w:val="ListParagraph"/>
        <w:rPr>
          <w:rFonts w:ascii="Verdana" w:hAnsi="Verdana"/>
          <w:sz w:val="20"/>
          <w:szCs w:val="20"/>
          <w:lang w:val="es-CR"/>
        </w:rPr>
      </w:pPr>
    </w:p>
    <w:p w14:paraId="0C704B97" w14:textId="21E7A6F4" w:rsidR="00F02DDD" w:rsidRPr="0093146C" w:rsidRDefault="00F02DDD" w:rsidP="00F02DDD">
      <w:pPr>
        <w:pStyle w:val="ListParagraph"/>
        <w:numPr>
          <w:ilvl w:val="0"/>
          <w:numId w:val="17"/>
        </w:numPr>
        <w:ind w:left="0" w:hanging="11"/>
        <w:jc w:val="both"/>
        <w:rPr>
          <w:rFonts w:ascii="Verdana" w:hAnsi="Verdana"/>
          <w:sz w:val="20"/>
          <w:szCs w:val="20"/>
          <w:lang w:val="es-CR"/>
        </w:rPr>
      </w:pPr>
      <w:r w:rsidRPr="0093146C">
        <w:rPr>
          <w:rFonts w:ascii="Verdana" w:hAnsi="Verdana"/>
          <w:sz w:val="20"/>
          <w:szCs w:val="20"/>
          <w:lang w:val="es-CR"/>
        </w:rPr>
        <w:t xml:space="preserve">Como ha sido señalado por esta Corte, el Estado alegó de </w:t>
      </w:r>
      <w:r w:rsidRPr="00A616F3">
        <w:rPr>
          <w:rFonts w:ascii="Verdana" w:eastAsia="Times New Roman" w:hAnsi="Verdana"/>
          <w:spacing w:val="-2"/>
          <w:sz w:val="20"/>
          <w:szCs w:val="20"/>
          <w:lang w:val="es-CR" w:eastAsia="es-ES"/>
        </w:rPr>
        <w:t xml:space="preserve">manera genérica, la existencia de recursos </w:t>
      </w:r>
      <w:r>
        <w:rPr>
          <w:rFonts w:ascii="Verdana" w:eastAsia="Times New Roman" w:hAnsi="Verdana"/>
          <w:spacing w:val="-2"/>
          <w:sz w:val="20"/>
          <w:szCs w:val="20"/>
          <w:lang w:val="es-CR" w:eastAsia="es-ES"/>
        </w:rPr>
        <w:t xml:space="preserve">internos </w:t>
      </w:r>
      <w:r w:rsidRPr="0093146C">
        <w:rPr>
          <w:rFonts w:ascii="Verdana" w:hAnsi="Verdana"/>
          <w:sz w:val="20"/>
          <w:szCs w:val="20"/>
        </w:rPr>
        <w:t>al momento de la emisión de los títulos de propiedad (1993 y 1999)</w:t>
      </w:r>
      <w:r>
        <w:rPr>
          <w:rFonts w:ascii="Verdana" w:hAnsi="Verdana"/>
          <w:sz w:val="20"/>
          <w:szCs w:val="20"/>
        </w:rPr>
        <w:t xml:space="preserve"> </w:t>
      </w:r>
      <w:r w:rsidRPr="00A616F3">
        <w:rPr>
          <w:rFonts w:ascii="Verdana" w:eastAsia="Times New Roman" w:hAnsi="Verdana"/>
          <w:spacing w:val="-2"/>
          <w:sz w:val="20"/>
          <w:szCs w:val="20"/>
          <w:lang w:val="es-CR" w:eastAsia="es-ES"/>
        </w:rPr>
        <w:t>(</w:t>
      </w:r>
      <w:r w:rsidRPr="00A616F3">
        <w:rPr>
          <w:rFonts w:ascii="Verdana" w:eastAsia="Times New Roman" w:hAnsi="Verdana"/>
          <w:i/>
          <w:spacing w:val="-2"/>
          <w:sz w:val="20"/>
          <w:szCs w:val="20"/>
          <w:lang w:val="es-CR" w:eastAsia="es-ES"/>
        </w:rPr>
        <w:t>supra</w:t>
      </w:r>
      <w:r w:rsidRPr="00A616F3">
        <w:rPr>
          <w:rFonts w:ascii="Verdana" w:eastAsia="Times New Roman" w:hAnsi="Verdana"/>
          <w:spacing w:val="-2"/>
          <w:sz w:val="20"/>
          <w:szCs w:val="20"/>
          <w:lang w:val="es-CR" w:eastAsia="es-ES"/>
        </w:rPr>
        <w:t xml:space="preserve"> párr</w:t>
      </w:r>
      <w:r w:rsidR="00C94F4C">
        <w:rPr>
          <w:rFonts w:ascii="Verdana" w:eastAsia="Times New Roman" w:hAnsi="Verdana"/>
          <w:spacing w:val="-2"/>
          <w:sz w:val="20"/>
          <w:szCs w:val="20"/>
          <w:lang w:val="es-CR" w:eastAsia="es-ES"/>
        </w:rPr>
        <w:t>s. 229 y 230</w:t>
      </w:r>
      <w:r w:rsidRPr="00A616F3">
        <w:rPr>
          <w:rFonts w:ascii="Verdana" w:eastAsia="Times New Roman" w:hAnsi="Verdana"/>
          <w:spacing w:val="-2"/>
          <w:sz w:val="20"/>
          <w:szCs w:val="20"/>
          <w:lang w:val="es-CR" w:eastAsia="es-ES"/>
        </w:rPr>
        <w:t>), los cuales</w:t>
      </w:r>
      <w:r>
        <w:rPr>
          <w:rFonts w:ascii="Verdana" w:eastAsia="Times New Roman" w:hAnsi="Verdana"/>
          <w:spacing w:val="-2"/>
          <w:sz w:val="20"/>
          <w:szCs w:val="20"/>
          <w:lang w:val="es-CR" w:eastAsia="es-ES"/>
        </w:rPr>
        <w:t xml:space="preserve">, conforme </w:t>
      </w:r>
      <w:r w:rsidR="0056682A">
        <w:rPr>
          <w:rFonts w:ascii="Verdana" w:eastAsia="Times New Roman" w:hAnsi="Verdana"/>
          <w:spacing w:val="-2"/>
          <w:sz w:val="20"/>
          <w:szCs w:val="20"/>
          <w:lang w:val="es-CR" w:eastAsia="es-ES"/>
        </w:rPr>
        <w:t>h</w:t>
      </w:r>
      <w:r>
        <w:rPr>
          <w:rFonts w:ascii="Verdana" w:eastAsia="Times New Roman" w:hAnsi="Verdana"/>
          <w:spacing w:val="-2"/>
          <w:sz w:val="20"/>
          <w:szCs w:val="20"/>
          <w:lang w:val="es-CR" w:eastAsia="es-ES"/>
        </w:rPr>
        <w:t xml:space="preserve">a indicado </w:t>
      </w:r>
      <w:r w:rsidRPr="00A616F3">
        <w:rPr>
          <w:rFonts w:ascii="Verdana" w:eastAsia="Times New Roman" w:hAnsi="Verdana"/>
          <w:spacing w:val="-2"/>
          <w:sz w:val="20"/>
          <w:szCs w:val="20"/>
          <w:lang w:val="es-CR" w:eastAsia="es-ES"/>
        </w:rPr>
        <w:t xml:space="preserve">Honduras, </w:t>
      </w:r>
      <w:r>
        <w:rPr>
          <w:rFonts w:ascii="Verdana" w:eastAsia="Times New Roman" w:hAnsi="Verdana"/>
          <w:spacing w:val="-2"/>
          <w:sz w:val="20"/>
          <w:szCs w:val="20"/>
          <w:lang w:val="es-CR" w:eastAsia="es-ES"/>
        </w:rPr>
        <w:t>habrían servido para proteger el derecho a la propiedad de la Comunidad</w:t>
      </w:r>
      <w:r w:rsidR="0056682A">
        <w:rPr>
          <w:rFonts w:ascii="Verdana" w:eastAsia="Times New Roman" w:hAnsi="Verdana"/>
          <w:spacing w:val="-2"/>
          <w:sz w:val="20"/>
          <w:szCs w:val="20"/>
          <w:lang w:val="es-CR" w:eastAsia="es-ES"/>
        </w:rPr>
        <w:t xml:space="preserve"> </w:t>
      </w:r>
      <w:r w:rsidR="00C94147">
        <w:rPr>
          <w:rFonts w:ascii="Verdana" w:eastAsia="Times New Roman" w:hAnsi="Verdana"/>
          <w:spacing w:val="-2"/>
          <w:sz w:val="20"/>
          <w:szCs w:val="20"/>
          <w:lang w:val="es-CR" w:eastAsia="es-ES"/>
        </w:rPr>
        <w:t xml:space="preserve">Garífuna </w:t>
      </w:r>
      <w:r w:rsidR="0056682A">
        <w:rPr>
          <w:rFonts w:ascii="Verdana" w:eastAsia="Times New Roman" w:hAnsi="Verdana"/>
          <w:spacing w:val="-2"/>
          <w:sz w:val="20"/>
          <w:szCs w:val="20"/>
          <w:lang w:val="es-CR" w:eastAsia="es-ES"/>
        </w:rPr>
        <w:t>de Punta Piedra</w:t>
      </w:r>
      <w:r>
        <w:rPr>
          <w:rFonts w:ascii="Verdana" w:eastAsia="Times New Roman" w:hAnsi="Verdana"/>
          <w:spacing w:val="-2"/>
          <w:sz w:val="20"/>
          <w:szCs w:val="20"/>
          <w:lang w:val="es-CR" w:eastAsia="es-ES"/>
        </w:rPr>
        <w:t xml:space="preserve">. Sin embargo, si bien </w:t>
      </w:r>
      <w:r w:rsidRPr="00A616F3">
        <w:rPr>
          <w:rFonts w:ascii="Verdana" w:hAnsi="Verdana"/>
          <w:sz w:val="20"/>
          <w:szCs w:val="20"/>
        </w:rPr>
        <w:t xml:space="preserve">el Estado </w:t>
      </w:r>
      <w:r w:rsidRPr="0093146C">
        <w:rPr>
          <w:rFonts w:ascii="Verdana" w:hAnsi="Verdana"/>
          <w:sz w:val="20"/>
          <w:szCs w:val="20"/>
        </w:rPr>
        <w:t>aportó</w:t>
      </w:r>
      <w:r w:rsidRPr="00A616F3">
        <w:rPr>
          <w:rFonts w:ascii="Verdana" w:hAnsi="Verdana"/>
          <w:sz w:val="20"/>
          <w:szCs w:val="20"/>
        </w:rPr>
        <w:t xml:space="preserve"> normativa en relación con</w:t>
      </w:r>
      <w:r w:rsidRPr="0093146C">
        <w:rPr>
          <w:rFonts w:ascii="Verdana" w:hAnsi="Verdana"/>
          <w:sz w:val="20"/>
          <w:szCs w:val="20"/>
        </w:rPr>
        <w:t xml:space="preserve"> dichos</w:t>
      </w:r>
      <w:r w:rsidRPr="00A616F3">
        <w:rPr>
          <w:rFonts w:ascii="Verdana" w:hAnsi="Verdana"/>
          <w:sz w:val="20"/>
          <w:szCs w:val="20"/>
        </w:rPr>
        <w:t xml:space="preserve"> recursos</w:t>
      </w:r>
      <w:r w:rsidRPr="0093146C">
        <w:rPr>
          <w:rFonts w:ascii="Verdana" w:hAnsi="Verdana"/>
          <w:sz w:val="20"/>
          <w:szCs w:val="20"/>
        </w:rPr>
        <w:t xml:space="preserve">, </w:t>
      </w:r>
      <w:r>
        <w:rPr>
          <w:rFonts w:ascii="Verdana" w:hAnsi="Verdana"/>
          <w:sz w:val="20"/>
          <w:szCs w:val="20"/>
        </w:rPr>
        <w:t xml:space="preserve">no demostró </w:t>
      </w:r>
      <w:r w:rsidRPr="00A616F3">
        <w:rPr>
          <w:rFonts w:ascii="Verdana" w:hAnsi="Verdana"/>
          <w:sz w:val="20"/>
          <w:szCs w:val="20"/>
        </w:rPr>
        <w:t xml:space="preserve">de qué manera </w:t>
      </w:r>
      <w:r w:rsidRPr="0093146C">
        <w:rPr>
          <w:rFonts w:ascii="Verdana" w:hAnsi="Verdana"/>
          <w:sz w:val="20"/>
          <w:szCs w:val="20"/>
        </w:rPr>
        <w:t xml:space="preserve">garantizaban </w:t>
      </w:r>
      <w:r w:rsidRPr="00A616F3">
        <w:rPr>
          <w:rFonts w:ascii="Verdana" w:hAnsi="Verdana"/>
          <w:sz w:val="20"/>
          <w:szCs w:val="20"/>
        </w:rPr>
        <w:t>el uso y goce pleno del derecho a la propiedad de la Comunidad de Punta Piedra</w:t>
      </w:r>
      <w:r w:rsidRPr="0093146C">
        <w:rPr>
          <w:rFonts w:ascii="Verdana" w:hAnsi="Verdana"/>
          <w:sz w:val="20"/>
          <w:szCs w:val="20"/>
        </w:rPr>
        <w:t xml:space="preserve">. </w:t>
      </w:r>
      <w:r>
        <w:rPr>
          <w:rFonts w:ascii="Verdana" w:hAnsi="Verdana"/>
          <w:sz w:val="20"/>
          <w:szCs w:val="20"/>
        </w:rPr>
        <w:t xml:space="preserve">A pesar de ello, </w:t>
      </w:r>
      <w:r w:rsidRPr="00A616F3">
        <w:rPr>
          <w:rFonts w:ascii="Verdana" w:eastAsia="Times New Roman" w:hAnsi="Verdana"/>
          <w:sz w:val="20"/>
          <w:szCs w:val="20"/>
        </w:rPr>
        <w:t>esta Corte no cuenta con suficientes elementos probatorios respecto de</w:t>
      </w:r>
      <w:r w:rsidRPr="00AE2259">
        <w:rPr>
          <w:rFonts w:ascii="Verdana" w:eastAsia="Times New Roman" w:hAnsi="Verdana"/>
          <w:sz w:val="20"/>
          <w:szCs w:val="20"/>
        </w:rPr>
        <w:t xml:space="preserve"> </w:t>
      </w:r>
      <w:r w:rsidRPr="00A616F3">
        <w:rPr>
          <w:rFonts w:ascii="Verdana" w:hAnsi="Verdana"/>
          <w:sz w:val="20"/>
          <w:szCs w:val="20"/>
          <w:lang w:val="es-CR"/>
        </w:rPr>
        <w:t xml:space="preserve">que </w:t>
      </w:r>
      <w:r w:rsidRPr="00A616F3">
        <w:rPr>
          <w:rFonts w:ascii="Verdana" w:eastAsia="Times New Roman" w:hAnsi="Verdana"/>
          <w:spacing w:val="-2"/>
          <w:sz w:val="20"/>
          <w:szCs w:val="20"/>
          <w:lang w:val="es-CR" w:eastAsia="es-ES"/>
        </w:rPr>
        <w:t xml:space="preserve">el diseño normativo de los recursos </w:t>
      </w:r>
      <w:r>
        <w:rPr>
          <w:rFonts w:ascii="Verdana" w:eastAsia="Times New Roman" w:hAnsi="Verdana"/>
          <w:spacing w:val="-2"/>
          <w:sz w:val="20"/>
          <w:szCs w:val="20"/>
          <w:lang w:val="es-CR" w:eastAsia="es-ES"/>
        </w:rPr>
        <w:t xml:space="preserve">ordinarios </w:t>
      </w:r>
      <w:r w:rsidRPr="00A616F3">
        <w:rPr>
          <w:rFonts w:ascii="Verdana" w:eastAsia="Times New Roman" w:hAnsi="Verdana"/>
          <w:spacing w:val="-2"/>
          <w:sz w:val="20"/>
          <w:szCs w:val="20"/>
          <w:lang w:val="es-CR" w:eastAsia="es-ES"/>
        </w:rPr>
        <w:t>generales alegados no</w:t>
      </w:r>
      <w:r w:rsidRPr="0093146C">
        <w:rPr>
          <w:rFonts w:ascii="Verdana" w:eastAsia="Times New Roman" w:hAnsi="Verdana"/>
          <w:spacing w:val="-2"/>
          <w:sz w:val="20"/>
          <w:szCs w:val="20"/>
          <w:lang w:val="es-CR" w:eastAsia="es-ES"/>
        </w:rPr>
        <w:t xml:space="preserve"> se ajust</w:t>
      </w:r>
      <w:r>
        <w:rPr>
          <w:rFonts w:ascii="Verdana" w:eastAsia="Times New Roman" w:hAnsi="Verdana"/>
          <w:spacing w:val="-2"/>
          <w:sz w:val="20"/>
          <w:szCs w:val="20"/>
          <w:lang w:val="es-CR" w:eastAsia="es-ES"/>
        </w:rPr>
        <w:t>a</w:t>
      </w:r>
      <w:r w:rsidRPr="0093146C">
        <w:rPr>
          <w:rFonts w:ascii="Verdana" w:eastAsia="Times New Roman" w:hAnsi="Verdana"/>
          <w:spacing w:val="-2"/>
          <w:sz w:val="20"/>
          <w:szCs w:val="20"/>
          <w:lang w:val="es-CR" w:eastAsia="es-ES"/>
        </w:rPr>
        <w:t xml:space="preserve">n </w:t>
      </w:r>
      <w:r>
        <w:rPr>
          <w:rFonts w:ascii="Verdana" w:eastAsia="Times New Roman" w:hAnsi="Verdana"/>
          <w:spacing w:val="-2"/>
          <w:sz w:val="20"/>
          <w:szCs w:val="20"/>
          <w:lang w:val="es-CR" w:eastAsia="es-ES"/>
        </w:rPr>
        <w:t xml:space="preserve">necesariamente o sean interpretados de conformidad con </w:t>
      </w:r>
      <w:r w:rsidRPr="0093146C">
        <w:rPr>
          <w:rFonts w:ascii="Verdana" w:hAnsi="Verdana"/>
          <w:sz w:val="20"/>
          <w:szCs w:val="20"/>
        </w:rPr>
        <w:t xml:space="preserve">los estándares </w:t>
      </w:r>
      <w:r>
        <w:rPr>
          <w:rFonts w:ascii="Verdana" w:hAnsi="Verdana"/>
          <w:sz w:val="20"/>
          <w:szCs w:val="20"/>
        </w:rPr>
        <w:t xml:space="preserve">convencionales </w:t>
      </w:r>
      <w:r w:rsidRPr="0093146C">
        <w:rPr>
          <w:rFonts w:ascii="Verdana" w:hAnsi="Verdana"/>
          <w:sz w:val="20"/>
          <w:szCs w:val="20"/>
        </w:rPr>
        <w:t xml:space="preserve">en </w:t>
      </w:r>
      <w:r>
        <w:rPr>
          <w:rFonts w:ascii="Verdana" w:hAnsi="Verdana"/>
          <w:sz w:val="20"/>
          <w:szCs w:val="20"/>
        </w:rPr>
        <w:t xml:space="preserve">la </w:t>
      </w:r>
      <w:r w:rsidRPr="0093146C">
        <w:rPr>
          <w:rFonts w:ascii="Verdana" w:hAnsi="Verdana"/>
          <w:sz w:val="20"/>
          <w:szCs w:val="20"/>
        </w:rPr>
        <w:t>materia</w:t>
      </w:r>
      <w:r>
        <w:rPr>
          <w:rFonts w:ascii="Verdana" w:hAnsi="Verdana"/>
          <w:sz w:val="20"/>
          <w:szCs w:val="20"/>
        </w:rPr>
        <w:t>, por lo que no procede pronunciarse al respecto.</w:t>
      </w:r>
      <w:r w:rsidRPr="0093146C">
        <w:rPr>
          <w:rFonts w:ascii="Verdana" w:hAnsi="Verdana"/>
          <w:sz w:val="20"/>
          <w:szCs w:val="20"/>
        </w:rPr>
        <w:t xml:space="preserve"> </w:t>
      </w:r>
    </w:p>
    <w:p w14:paraId="0C704B98" w14:textId="77777777" w:rsidR="00F02DDD" w:rsidRPr="0093146C" w:rsidRDefault="00F02DDD" w:rsidP="00F02DDD">
      <w:pPr>
        <w:pStyle w:val="ListParagraph"/>
        <w:ind w:left="0"/>
        <w:jc w:val="both"/>
        <w:rPr>
          <w:rFonts w:ascii="Verdana" w:hAnsi="Verdana"/>
          <w:sz w:val="20"/>
          <w:szCs w:val="20"/>
          <w:lang w:val="es-CR"/>
        </w:rPr>
      </w:pPr>
    </w:p>
    <w:p w14:paraId="0C704B99" w14:textId="4A8F99CB" w:rsidR="00F02DDD" w:rsidRPr="0093146C" w:rsidRDefault="00F02DDD" w:rsidP="00F02DDD">
      <w:pPr>
        <w:pStyle w:val="ListParagraph"/>
        <w:numPr>
          <w:ilvl w:val="0"/>
          <w:numId w:val="17"/>
        </w:numPr>
        <w:ind w:left="0" w:hanging="11"/>
        <w:jc w:val="both"/>
        <w:rPr>
          <w:rFonts w:ascii="Verdana" w:hAnsi="Verdana"/>
          <w:sz w:val="20"/>
        </w:rPr>
      </w:pPr>
      <w:r>
        <w:rPr>
          <w:rFonts w:ascii="Verdana" w:eastAsia="Times New Roman" w:hAnsi="Verdana"/>
          <w:spacing w:val="-2"/>
          <w:sz w:val="20"/>
          <w:szCs w:val="20"/>
          <w:lang w:val="es-CR" w:eastAsia="es-ES"/>
        </w:rPr>
        <w:t>Por otro lado</w:t>
      </w:r>
      <w:r w:rsidRPr="00A616F3">
        <w:rPr>
          <w:rFonts w:ascii="Verdana" w:eastAsia="Times New Roman" w:hAnsi="Verdana"/>
          <w:spacing w:val="-2"/>
          <w:sz w:val="20"/>
          <w:szCs w:val="20"/>
          <w:lang w:val="es-CR" w:eastAsia="es-ES"/>
        </w:rPr>
        <w:t>,</w:t>
      </w:r>
      <w:r w:rsidRPr="0093146C">
        <w:rPr>
          <w:rFonts w:ascii="Verdana" w:eastAsia="Times New Roman" w:hAnsi="Verdana"/>
          <w:spacing w:val="-2"/>
          <w:sz w:val="20"/>
          <w:szCs w:val="20"/>
          <w:lang w:val="es-CR" w:eastAsia="es-ES"/>
        </w:rPr>
        <w:t xml:space="preserve"> </w:t>
      </w:r>
      <w:r>
        <w:rPr>
          <w:rFonts w:ascii="Verdana" w:eastAsia="Times New Roman" w:hAnsi="Verdana"/>
          <w:spacing w:val="-2"/>
          <w:sz w:val="20"/>
          <w:szCs w:val="20"/>
          <w:lang w:val="es-CR" w:eastAsia="es-ES"/>
        </w:rPr>
        <w:t xml:space="preserve">en cuanto a la alegada violación del artículo 2 de la Convención Americana, </w:t>
      </w:r>
      <w:r w:rsidRPr="0093146C">
        <w:rPr>
          <w:rFonts w:ascii="Verdana" w:eastAsia="Times New Roman" w:hAnsi="Verdana"/>
          <w:spacing w:val="-2"/>
          <w:sz w:val="20"/>
          <w:szCs w:val="20"/>
          <w:lang w:val="es-CR" w:eastAsia="es-ES"/>
        </w:rPr>
        <w:t>el Tribunal nota que</w:t>
      </w:r>
      <w:r>
        <w:rPr>
          <w:rFonts w:ascii="Verdana" w:eastAsia="Times New Roman" w:hAnsi="Verdana"/>
          <w:spacing w:val="-2"/>
          <w:sz w:val="20"/>
          <w:szCs w:val="20"/>
          <w:lang w:val="es-CR" w:eastAsia="es-ES"/>
        </w:rPr>
        <w:t xml:space="preserve"> si bien </w:t>
      </w:r>
      <w:r w:rsidRPr="0093146C">
        <w:rPr>
          <w:rFonts w:ascii="Verdana" w:eastAsia="Times New Roman" w:hAnsi="Verdana"/>
          <w:spacing w:val="-2"/>
          <w:sz w:val="20"/>
          <w:szCs w:val="20"/>
          <w:lang w:val="es-CR" w:eastAsia="es-ES"/>
        </w:rPr>
        <w:t xml:space="preserve">ni </w:t>
      </w:r>
      <w:r w:rsidRPr="00ED1A4F">
        <w:rPr>
          <w:rFonts w:ascii="Verdana" w:eastAsia="Times New Roman" w:hAnsi="Verdana"/>
          <w:spacing w:val="-2"/>
          <w:sz w:val="20"/>
          <w:szCs w:val="20"/>
          <w:lang w:val="es-CR" w:eastAsia="es-ES"/>
        </w:rPr>
        <w:t>l</w:t>
      </w:r>
      <w:r w:rsidRPr="0093146C">
        <w:rPr>
          <w:rFonts w:ascii="Verdana" w:eastAsia="Times New Roman" w:hAnsi="Verdana"/>
          <w:spacing w:val="-2"/>
          <w:sz w:val="20"/>
          <w:szCs w:val="20"/>
          <w:lang w:val="es-CR" w:eastAsia="es-ES"/>
        </w:rPr>
        <w:t>os representantes</w:t>
      </w:r>
      <w:r w:rsidRPr="00ED1A4F">
        <w:rPr>
          <w:rFonts w:ascii="Verdana" w:eastAsia="Times New Roman" w:hAnsi="Verdana"/>
          <w:spacing w:val="-2"/>
          <w:sz w:val="20"/>
          <w:szCs w:val="20"/>
          <w:lang w:val="es-CR" w:eastAsia="es-ES"/>
        </w:rPr>
        <w:t xml:space="preserve"> ni la Comisión</w:t>
      </w:r>
      <w:r w:rsidRPr="0093146C">
        <w:rPr>
          <w:rFonts w:ascii="Verdana" w:eastAsia="Times New Roman" w:hAnsi="Verdana"/>
          <w:spacing w:val="-2"/>
          <w:sz w:val="20"/>
          <w:szCs w:val="20"/>
          <w:lang w:val="es-CR" w:eastAsia="es-ES"/>
        </w:rPr>
        <w:t xml:space="preserve"> presentaron alegatos </w:t>
      </w:r>
      <w:r w:rsidRPr="00ED1A4F">
        <w:rPr>
          <w:rFonts w:ascii="Verdana" w:eastAsia="Times New Roman" w:hAnsi="Verdana"/>
          <w:spacing w:val="-2"/>
          <w:sz w:val="20"/>
          <w:szCs w:val="20"/>
          <w:lang w:val="es-CR" w:eastAsia="es-ES"/>
        </w:rPr>
        <w:t xml:space="preserve">específicos </w:t>
      </w:r>
      <w:r w:rsidRPr="0093146C">
        <w:rPr>
          <w:rFonts w:ascii="Verdana" w:eastAsia="Times New Roman" w:hAnsi="Verdana"/>
          <w:spacing w:val="-2"/>
          <w:sz w:val="20"/>
          <w:szCs w:val="20"/>
          <w:lang w:val="es-CR" w:eastAsia="es-ES"/>
        </w:rPr>
        <w:t xml:space="preserve">respecto </w:t>
      </w:r>
      <w:r w:rsidRPr="00ED1A4F">
        <w:rPr>
          <w:rFonts w:ascii="Verdana" w:eastAsia="Times New Roman" w:hAnsi="Verdana"/>
          <w:spacing w:val="-2"/>
          <w:sz w:val="20"/>
          <w:szCs w:val="20"/>
          <w:lang w:val="es-CR" w:eastAsia="es-ES"/>
        </w:rPr>
        <w:t xml:space="preserve">del procedimiento adjetivo de </w:t>
      </w:r>
      <w:r w:rsidRPr="0093146C">
        <w:rPr>
          <w:rFonts w:ascii="Verdana" w:eastAsia="Times New Roman" w:hAnsi="Verdana"/>
          <w:spacing w:val="-2"/>
          <w:sz w:val="20"/>
          <w:szCs w:val="20"/>
          <w:lang w:val="es-CR" w:eastAsia="es-ES"/>
        </w:rPr>
        <w:t>la Ley de Propiedad</w:t>
      </w:r>
      <w:r w:rsidRPr="00ED1A4F">
        <w:rPr>
          <w:rFonts w:ascii="Verdana" w:eastAsia="Times New Roman" w:hAnsi="Verdana"/>
          <w:spacing w:val="-2"/>
          <w:sz w:val="20"/>
          <w:szCs w:val="20"/>
          <w:lang w:val="es-CR" w:eastAsia="es-ES"/>
        </w:rPr>
        <w:t>,</w:t>
      </w:r>
      <w:r w:rsidRPr="0093146C">
        <w:rPr>
          <w:rFonts w:ascii="Verdana" w:eastAsia="Times New Roman" w:hAnsi="Verdana"/>
          <w:spacing w:val="-2"/>
          <w:sz w:val="20"/>
          <w:szCs w:val="20"/>
          <w:lang w:val="es-CR" w:eastAsia="es-ES"/>
        </w:rPr>
        <w:t xml:space="preserve"> </w:t>
      </w:r>
      <w:r w:rsidRPr="00ED1A4F">
        <w:rPr>
          <w:rFonts w:ascii="Verdana" w:eastAsia="Times New Roman" w:hAnsi="Verdana"/>
          <w:spacing w:val="-2"/>
          <w:sz w:val="20"/>
          <w:szCs w:val="20"/>
          <w:lang w:val="es-CR" w:eastAsia="es-ES"/>
        </w:rPr>
        <w:t>v</w:t>
      </w:r>
      <w:r w:rsidRPr="0093146C">
        <w:rPr>
          <w:rFonts w:ascii="Verdana" w:eastAsia="Times New Roman" w:hAnsi="Verdana"/>
          <w:spacing w:val="-2"/>
          <w:sz w:val="20"/>
          <w:szCs w:val="20"/>
          <w:lang w:val="es-CR" w:eastAsia="es-ES"/>
        </w:rPr>
        <w:t>i</w:t>
      </w:r>
      <w:r w:rsidRPr="00ED1A4F">
        <w:rPr>
          <w:rFonts w:ascii="Verdana" w:eastAsia="Times New Roman" w:hAnsi="Verdana"/>
          <w:spacing w:val="-2"/>
          <w:sz w:val="20"/>
          <w:szCs w:val="20"/>
          <w:lang w:val="es-CR" w:eastAsia="es-ES"/>
        </w:rPr>
        <w:t>gente a partir d</w:t>
      </w:r>
      <w:r w:rsidRPr="0093146C">
        <w:rPr>
          <w:rFonts w:ascii="Verdana" w:eastAsia="Times New Roman" w:hAnsi="Verdana"/>
          <w:spacing w:val="-2"/>
          <w:sz w:val="20"/>
          <w:szCs w:val="20"/>
          <w:lang w:val="es-CR" w:eastAsia="es-ES"/>
        </w:rPr>
        <w:t>el 29 de junio de 2004</w:t>
      </w:r>
      <w:r w:rsidRPr="00ED1A4F">
        <w:rPr>
          <w:rFonts w:ascii="Verdana" w:eastAsia="Times New Roman" w:hAnsi="Verdana"/>
          <w:spacing w:val="-2"/>
          <w:sz w:val="20"/>
          <w:szCs w:val="20"/>
          <w:lang w:val="es-CR" w:eastAsia="es-ES"/>
        </w:rPr>
        <w:t>, la Corte constata que</w:t>
      </w:r>
      <w:r>
        <w:rPr>
          <w:rFonts w:ascii="Verdana" w:eastAsia="Times New Roman" w:hAnsi="Verdana"/>
          <w:spacing w:val="-2"/>
          <w:sz w:val="20"/>
          <w:szCs w:val="20"/>
          <w:lang w:val="es-CR" w:eastAsia="es-ES"/>
        </w:rPr>
        <w:t xml:space="preserve"> el Estado señaló e</w:t>
      </w:r>
      <w:r w:rsidRPr="00A616F3">
        <w:rPr>
          <w:rFonts w:ascii="Verdana" w:eastAsia="Times New Roman" w:hAnsi="Verdana"/>
          <w:spacing w:val="-2"/>
          <w:sz w:val="20"/>
          <w:szCs w:val="20"/>
          <w:lang w:val="es-CR" w:eastAsia="es-ES"/>
        </w:rPr>
        <w:t>l tercer párrafo del artículo 102 de dicha norma</w:t>
      </w:r>
      <w:r>
        <w:rPr>
          <w:rFonts w:ascii="Verdana" w:eastAsia="Times New Roman" w:hAnsi="Verdana"/>
          <w:spacing w:val="-2"/>
          <w:sz w:val="20"/>
          <w:szCs w:val="20"/>
          <w:lang w:val="es-CR" w:eastAsia="es-ES"/>
        </w:rPr>
        <w:t>, el cual establece</w:t>
      </w:r>
      <w:r w:rsidRPr="00A616F3">
        <w:rPr>
          <w:rFonts w:ascii="Verdana" w:eastAsia="Times New Roman" w:hAnsi="Verdana"/>
          <w:spacing w:val="-2"/>
          <w:sz w:val="20"/>
          <w:szCs w:val="20"/>
          <w:lang w:val="es-CR" w:eastAsia="es-ES"/>
        </w:rPr>
        <w:t xml:space="preserve"> que “[t]</w:t>
      </w:r>
      <w:proofErr w:type="spellStart"/>
      <w:r w:rsidRPr="00A616F3">
        <w:rPr>
          <w:rFonts w:ascii="Verdana" w:eastAsia="Times New Roman" w:hAnsi="Verdana"/>
          <w:spacing w:val="-2"/>
          <w:sz w:val="20"/>
          <w:szCs w:val="20"/>
          <w:lang w:val="es-CR" w:eastAsia="es-ES"/>
        </w:rPr>
        <w:t>odo</w:t>
      </w:r>
      <w:proofErr w:type="spellEnd"/>
      <w:r w:rsidRPr="00A616F3">
        <w:rPr>
          <w:rFonts w:ascii="Verdana" w:eastAsia="Times New Roman" w:hAnsi="Verdana"/>
          <w:spacing w:val="-2"/>
          <w:sz w:val="20"/>
          <w:szCs w:val="20"/>
          <w:lang w:val="es-CR" w:eastAsia="es-ES"/>
        </w:rPr>
        <w:t xml:space="preserve"> conflicto que se suscite entre estos pueblos y terceros respecto a tierras comunales se someterá </w:t>
      </w:r>
      <w:r w:rsidR="000E06A0">
        <w:rPr>
          <w:rFonts w:ascii="Verdana" w:eastAsia="Times New Roman" w:hAnsi="Verdana"/>
          <w:spacing w:val="-2"/>
          <w:sz w:val="20"/>
          <w:szCs w:val="20"/>
          <w:lang w:val="es-CR" w:eastAsia="es-ES"/>
        </w:rPr>
        <w:t>al</w:t>
      </w:r>
      <w:r w:rsidRPr="00A616F3">
        <w:rPr>
          <w:rFonts w:ascii="Verdana" w:eastAsia="Times New Roman" w:hAnsi="Verdana"/>
          <w:spacing w:val="-2"/>
          <w:sz w:val="20"/>
          <w:szCs w:val="20"/>
          <w:lang w:val="es-CR" w:eastAsia="es-ES"/>
        </w:rPr>
        <w:t xml:space="preserve"> procedimiento especial creado en esta Ley”</w:t>
      </w:r>
      <w:r>
        <w:rPr>
          <w:rFonts w:ascii="Verdana" w:eastAsia="Times New Roman" w:hAnsi="Verdana"/>
          <w:spacing w:val="-2"/>
          <w:sz w:val="20"/>
          <w:szCs w:val="20"/>
          <w:lang w:val="es-CR" w:eastAsia="es-ES"/>
        </w:rPr>
        <w:t xml:space="preserve">. Dicho procedimiento </w:t>
      </w:r>
      <w:r w:rsidRPr="00A616F3">
        <w:rPr>
          <w:rFonts w:ascii="Verdana" w:eastAsia="Times New Roman" w:hAnsi="Verdana"/>
          <w:spacing w:val="-2"/>
          <w:sz w:val="20"/>
          <w:szCs w:val="20"/>
          <w:lang w:val="es-CR" w:eastAsia="es-ES"/>
        </w:rPr>
        <w:t xml:space="preserve">estaría regulado </w:t>
      </w:r>
      <w:r w:rsidRPr="00A616F3">
        <w:rPr>
          <w:rFonts w:ascii="Verdana" w:hAnsi="Verdana"/>
          <w:sz w:val="20"/>
        </w:rPr>
        <w:t xml:space="preserve">en su Título VI “Procedimientos para la solución </w:t>
      </w:r>
      <w:r w:rsidR="000E06A0">
        <w:rPr>
          <w:rFonts w:ascii="Verdana" w:hAnsi="Verdana"/>
          <w:sz w:val="20"/>
        </w:rPr>
        <w:t xml:space="preserve">jurisdiccional </w:t>
      </w:r>
      <w:r w:rsidRPr="00A616F3">
        <w:rPr>
          <w:rFonts w:ascii="Verdana" w:hAnsi="Verdana"/>
          <w:sz w:val="20"/>
        </w:rPr>
        <w:t xml:space="preserve">de controversias”, </w:t>
      </w:r>
      <w:r w:rsidRPr="00A616F3">
        <w:rPr>
          <w:rFonts w:ascii="Verdana" w:eastAsia="Times New Roman" w:hAnsi="Verdana"/>
          <w:spacing w:val="-2"/>
          <w:sz w:val="20"/>
          <w:szCs w:val="20"/>
          <w:lang w:val="es-CR" w:eastAsia="es-ES"/>
        </w:rPr>
        <w:t xml:space="preserve">en los </w:t>
      </w:r>
      <w:r w:rsidRPr="00A616F3">
        <w:rPr>
          <w:rFonts w:ascii="Verdana" w:eastAsia="Times New Roman" w:hAnsi="Verdana"/>
          <w:spacing w:val="-2"/>
          <w:sz w:val="20"/>
          <w:szCs w:val="20"/>
          <w:lang w:val="es-CR" w:eastAsia="es-ES"/>
        </w:rPr>
        <w:lastRenderedPageBreak/>
        <w:t>artículos 110 y 111</w:t>
      </w:r>
      <w:r w:rsidRPr="00A616F3">
        <w:rPr>
          <w:rStyle w:val="FootnoteReference"/>
          <w:rFonts w:eastAsia="Times New Roman"/>
          <w:spacing w:val="-2"/>
          <w:szCs w:val="20"/>
          <w:lang w:val="es-CR" w:eastAsia="es-ES"/>
        </w:rPr>
        <w:footnoteReference w:id="278"/>
      </w:r>
      <w:r w:rsidRPr="0093146C">
        <w:rPr>
          <w:rFonts w:ascii="Verdana" w:eastAsia="Times New Roman" w:hAnsi="Verdana"/>
          <w:spacing w:val="-2"/>
          <w:sz w:val="20"/>
          <w:szCs w:val="20"/>
          <w:lang w:val="es-CR" w:eastAsia="es-ES"/>
        </w:rPr>
        <w:t xml:space="preserve">. </w:t>
      </w:r>
      <w:r w:rsidRPr="00A616F3">
        <w:rPr>
          <w:rFonts w:ascii="Verdana" w:hAnsi="Verdana"/>
          <w:sz w:val="20"/>
        </w:rPr>
        <w:t xml:space="preserve">En dicho articulado se establecen las etapas y términos en que se desarrolla el procedimiento para resolver conflictos derivados de la propia ley. </w:t>
      </w:r>
      <w:r>
        <w:rPr>
          <w:rFonts w:ascii="Verdana" w:hAnsi="Verdana"/>
          <w:sz w:val="20"/>
        </w:rPr>
        <w:t xml:space="preserve">En virtud de ello, </w:t>
      </w:r>
      <w:r w:rsidRPr="00A616F3">
        <w:rPr>
          <w:rFonts w:ascii="Verdana" w:hAnsi="Verdana"/>
          <w:sz w:val="20"/>
        </w:rPr>
        <w:t xml:space="preserve">la Corte </w:t>
      </w:r>
      <w:r w:rsidRPr="0093146C">
        <w:rPr>
          <w:rFonts w:ascii="Verdana" w:eastAsia="Times New Roman" w:hAnsi="Verdana"/>
          <w:spacing w:val="-2"/>
          <w:sz w:val="20"/>
          <w:szCs w:val="20"/>
          <w:lang w:val="es-CR" w:eastAsia="es-ES"/>
        </w:rPr>
        <w:t xml:space="preserve">entiende que a partir </w:t>
      </w:r>
      <w:r>
        <w:rPr>
          <w:rFonts w:ascii="Verdana" w:eastAsia="Times New Roman" w:hAnsi="Verdana"/>
          <w:spacing w:val="-2"/>
          <w:sz w:val="20"/>
          <w:szCs w:val="20"/>
          <w:lang w:val="es-CR" w:eastAsia="es-ES"/>
        </w:rPr>
        <w:t>de la vigencia de la misma</w:t>
      </w:r>
      <w:r w:rsidRPr="0093146C">
        <w:rPr>
          <w:rFonts w:ascii="Verdana" w:eastAsia="Times New Roman" w:hAnsi="Verdana"/>
          <w:spacing w:val="-2"/>
          <w:sz w:val="20"/>
          <w:szCs w:val="20"/>
          <w:lang w:val="es-CR" w:eastAsia="es-ES"/>
        </w:rPr>
        <w:t xml:space="preserve"> existiría un procedimiento específico para la resolución de controversias entre los pueblos indígenas y </w:t>
      </w:r>
      <w:proofErr w:type="spellStart"/>
      <w:r w:rsidRPr="0093146C">
        <w:rPr>
          <w:rFonts w:ascii="Verdana" w:eastAsia="Times New Roman" w:hAnsi="Verdana"/>
          <w:spacing w:val="-2"/>
          <w:sz w:val="20"/>
          <w:szCs w:val="20"/>
          <w:lang w:val="es-CR" w:eastAsia="es-ES"/>
        </w:rPr>
        <w:t>afrohondureños</w:t>
      </w:r>
      <w:proofErr w:type="spellEnd"/>
      <w:r w:rsidRPr="0093146C">
        <w:rPr>
          <w:rFonts w:ascii="Verdana" w:eastAsia="Times New Roman" w:hAnsi="Verdana"/>
          <w:spacing w:val="-2"/>
          <w:sz w:val="20"/>
          <w:szCs w:val="20"/>
          <w:lang w:val="es-CR" w:eastAsia="es-ES"/>
        </w:rPr>
        <w:t xml:space="preserve"> y los terceros, respecto a tierra</w:t>
      </w:r>
      <w:r w:rsidR="000E06A0">
        <w:rPr>
          <w:rFonts w:ascii="Verdana" w:eastAsia="Times New Roman" w:hAnsi="Verdana"/>
          <w:spacing w:val="-2"/>
          <w:sz w:val="20"/>
          <w:szCs w:val="20"/>
          <w:lang w:val="es-CR" w:eastAsia="es-ES"/>
        </w:rPr>
        <w:t>s</w:t>
      </w:r>
      <w:r w:rsidRPr="0093146C">
        <w:rPr>
          <w:rFonts w:ascii="Verdana" w:eastAsia="Times New Roman" w:hAnsi="Verdana"/>
          <w:spacing w:val="-2"/>
          <w:sz w:val="20"/>
          <w:szCs w:val="20"/>
          <w:lang w:val="es-CR" w:eastAsia="es-ES"/>
        </w:rPr>
        <w:t xml:space="preserve"> comunales.  </w:t>
      </w:r>
    </w:p>
    <w:p w14:paraId="0C704B9A" w14:textId="77777777" w:rsidR="00F02DDD" w:rsidRPr="00A616F3" w:rsidRDefault="00F02DDD" w:rsidP="00F02DDD">
      <w:pPr>
        <w:pStyle w:val="ListParagraph"/>
        <w:ind w:left="0"/>
        <w:jc w:val="both"/>
        <w:rPr>
          <w:rFonts w:ascii="Verdana" w:hAnsi="Verdana"/>
          <w:sz w:val="20"/>
        </w:rPr>
      </w:pPr>
    </w:p>
    <w:p w14:paraId="0C704B9B" w14:textId="77777777" w:rsidR="00F02DDD" w:rsidRPr="0093146C" w:rsidRDefault="00F02DDD" w:rsidP="00F02DDD">
      <w:pPr>
        <w:pStyle w:val="ListParagraph"/>
        <w:numPr>
          <w:ilvl w:val="0"/>
          <w:numId w:val="17"/>
        </w:numPr>
        <w:ind w:left="0" w:hanging="11"/>
        <w:jc w:val="both"/>
        <w:rPr>
          <w:rFonts w:ascii="Verdana" w:hAnsi="Verdana"/>
          <w:sz w:val="20"/>
        </w:rPr>
      </w:pPr>
      <w:r>
        <w:rPr>
          <w:rFonts w:ascii="Verdana" w:eastAsia="Times New Roman" w:hAnsi="Verdana"/>
          <w:sz w:val="20"/>
          <w:szCs w:val="20"/>
        </w:rPr>
        <w:t>S</w:t>
      </w:r>
      <w:r w:rsidRPr="00A616F3">
        <w:rPr>
          <w:rFonts w:ascii="Verdana" w:eastAsia="Times New Roman" w:hAnsi="Verdana"/>
          <w:sz w:val="20"/>
          <w:szCs w:val="20"/>
        </w:rPr>
        <w:t xml:space="preserve">i bien </w:t>
      </w:r>
      <w:r>
        <w:rPr>
          <w:rFonts w:ascii="Verdana" w:eastAsia="Times New Roman" w:hAnsi="Verdana"/>
          <w:sz w:val="20"/>
          <w:szCs w:val="20"/>
        </w:rPr>
        <w:t>dicha normativa</w:t>
      </w:r>
      <w:r w:rsidRPr="00A616F3">
        <w:rPr>
          <w:rFonts w:ascii="Verdana" w:eastAsia="Times New Roman" w:hAnsi="Verdana"/>
          <w:sz w:val="20"/>
          <w:szCs w:val="20"/>
        </w:rPr>
        <w:t xml:space="preserve"> </w:t>
      </w:r>
      <w:r>
        <w:rPr>
          <w:rFonts w:ascii="Verdana" w:eastAsia="Times New Roman" w:hAnsi="Verdana"/>
          <w:sz w:val="20"/>
          <w:szCs w:val="20"/>
        </w:rPr>
        <w:t>no señala expresamente</w:t>
      </w:r>
      <w:r w:rsidRPr="00A616F3">
        <w:rPr>
          <w:rFonts w:ascii="Verdana" w:eastAsia="Times New Roman" w:hAnsi="Verdana"/>
          <w:sz w:val="20"/>
          <w:szCs w:val="20"/>
        </w:rPr>
        <w:t xml:space="preserve"> </w:t>
      </w:r>
      <w:r>
        <w:rPr>
          <w:rFonts w:ascii="Verdana" w:eastAsia="Times New Roman" w:hAnsi="Verdana"/>
          <w:sz w:val="20"/>
          <w:szCs w:val="20"/>
        </w:rPr>
        <w:t xml:space="preserve">las características del recurso, a la luz de </w:t>
      </w:r>
      <w:r w:rsidRPr="00A616F3">
        <w:rPr>
          <w:rFonts w:ascii="Verdana" w:eastAsia="Times New Roman" w:hAnsi="Verdana"/>
          <w:sz w:val="20"/>
          <w:szCs w:val="20"/>
        </w:rPr>
        <w:t xml:space="preserve">los estándares </w:t>
      </w:r>
      <w:r>
        <w:rPr>
          <w:rFonts w:ascii="Verdana" w:eastAsia="Times New Roman" w:hAnsi="Verdana"/>
          <w:sz w:val="20"/>
          <w:szCs w:val="20"/>
        </w:rPr>
        <w:t xml:space="preserve">aplicables para </w:t>
      </w:r>
      <w:r w:rsidRPr="00A616F3">
        <w:rPr>
          <w:rFonts w:ascii="Verdana" w:eastAsia="Times New Roman" w:hAnsi="Verdana"/>
          <w:sz w:val="20"/>
          <w:szCs w:val="20"/>
        </w:rPr>
        <w:t xml:space="preserve">resolver el conflicto de territorios entre la Comunidad de Punta Piedra y la de Río Miel, </w:t>
      </w:r>
      <w:r w:rsidRPr="0093146C">
        <w:rPr>
          <w:rFonts w:ascii="Verdana" w:hAnsi="Verdana"/>
          <w:sz w:val="20"/>
          <w:szCs w:val="20"/>
        </w:rPr>
        <w:t xml:space="preserve">la Corte nota que </w:t>
      </w:r>
      <w:r>
        <w:rPr>
          <w:rFonts w:ascii="Verdana" w:hAnsi="Verdana"/>
          <w:sz w:val="20"/>
          <w:szCs w:val="20"/>
        </w:rPr>
        <w:t xml:space="preserve">hasta el momento </w:t>
      </w:r>
      <w:r w:rsidRPr="0093146C">
        <w:rPr>
          <w:rFonts w:ascii="Verdana" w:hAnsi="Verdana"/>
          <w:sz w:val="20"/>
          <w:szCs w:val="20"/>
        </w:rPr>
        <w:t xml:space="preserve">ninguna disposición de dicha normativa ha sido aplicada al caso concreto, por lo que no corresponde un pronunciamiento en abstracto. </w:t>
      </w:r>
      <w:r>
        <w:rPr>
          <w:rFonts w:ascii="Verdana" w:hAnsi="Verdana"/>
          <w:sz w:val="20"/>
          <w:szCs w:val="20"/>
        </w:rPr>
        <w:t xml:space="preserve">Tampoco se ha demostrado que la misma haya sido interpretada de manera desfavorable en perjuicio de las comunidades indígenas en Honduras. </w:t>
      </w:r>
    </w:p>
    <w:p w14:paraId="0C704B9C" w14:textId="77777777" w:rsidR="00F02DDD" w:rsidRPr="00A616F3" w:rsidRDefault="00F02DDD" w:rsidP="00F02DDD">
      <w:pPr>
        <w:rPr>
          <w:rFonts w:ascii="Verdana" w:hAnsi="Verdana"/>
          <w:sz w:val="20"/>
          <w:szCs w:val="20"/>
        </w:rPr>
      </w:pPr>
    </w:p>
    <w:p w14:paraId="0C704B9D" w14:textId="238E75D7" w:rsidR="00E91F9F" w:rsidRDefault="00F02DDD" w:rsidP="00F02DDD">
      <w:pPr>
        <w:pStyle w:val="ListParagraph"/>
        <w:numPr>
          <w:ilvl w:val="0"/>
          <w:numId w:val="17"/>
        </w:numPr>
        <w:ind w:left="0" w:hanging="11"/>
        <w:jc w:val="both"/>
        <w:rPr>
          <w:rFonts w:ascii="Verdana" w:hAnsi="Verdana"/>
          <w:sz w:val="20"/>
          <w:szCs w:val="20"/>
        </w:rPr>
      </w:pPr>
      <w:r w:rsidRPr="00A616F3">
        <w:rPr>
          <w:rFonts w:ascii="Verdana" w:hAnsi="Verdana"/>
          <w:sz w:val="20"/>
          <w:szCs w:val="20"/>
        </w:rPr>
        <w:t xml:space="preserve">En vista de lo anterior, el Tribunal considera que no cuenta con elementos concretos y consistentes para analizar la supuesta incompatibilidad de </w:t>
      </w:r>
      <w:r>
        <w:rPr>
          <w:rFonts w:ascii="Verdana" w:hAnsi="Verdana"/>
          <w:sz w:val="20"/>
          <w:szCs w:val="20"/>
        </w:rPr>
        <w:t xml:space="preserve">la </w:t>
      </w:r>
      <w:r w:rsidRPr="00A616F3">
        <w:rPr>
          <w:rFonts w:ascii="Verdana" w:hAnsi="Verdana"/>
          <w:sz w:val="20"/>
          <w:szCs w:val="20"/>
        </w:rPr>
        <w:t>normativa</w:t>
      </w:r>
      <w:r>
        <w:rPr>
          <w:rFonts w:ascii="Verdana" w:hAnsi="Verdana"/>
          <w:sz w:val="20"/>
          <w:szCs w:val="20"/>
        </w:rPr>
        <w:t xml:space="preserve"> procesal</w:t>
      </w:r>
      <w:r w:rsidRPr="00A616F3">
        <w:rPr>
          <w:rFonts w:ascii="Verdana" w:hAnsi="Verdana"/>
          <w:sz w:val="20"/>
          <w:szCs w:val="20"/>
        </w:rPr>
        <w:t>, por lo que no se demostró</w:t>
      </w:r>
      <w:r>
        <w:rPr>
          <w:rFonts w:ascii="Verdana" w:hAnsi="Verdana"/>
          <w:sz w:val="20"/>
          <w:szCs w:val="20"/>
        </w:rPr>
        <w:t>,</w:t>
      </w:r>
      <w:r w:rsidRPr="00A616F3">
        <w:rPr>
          <w:rFonts w:ascii="Verdana" w:hAnsi="Verdana"/>
          <w:sz w:val="20"/>
          <w:szCs w:val="20"/>
        </w:rPr>
        <w:t xml:space="preserve"> para efectos del presente caso, una violación directa </w:t>
      </w:r>
      <w:r w:rsidRPr="0093146C">
        <w:rPr>
          <w:rFonts w:ascii="Verdana" w:hAnsi="Verdana"/>
          <w:sz w:val="20"/>
          <w:szCs w:val="20"/>
        </w:rPr>
        <w:t>d</w:t>
      </w:r>
      <w:r w:rsidRPr="00A616F3">
        <w:rPr>
          <w:rFonts w:ascii="Verdana" w:hAnsi="Verdana"/>
          <w:sz w:val="20"/>
          <w:szCs w:val="20"/>
        </w:rPr>
        <w:t>el artículo 2 de la Convención Americana, en conexión con los artículos 1.1 y</w:t>
      </w:r>
      <w:r w:rsidRPr="0093146C">
        <w:rPr>
          <w:rFonts w:ascii="Verdana" w:hAnsi="Verdana"/>
          <w:sz w:val="20"/>
          <w:szCs w:val="20"/>
        </w:rPr>
        <w:t xml:space="preserve"> 25</w:t>
      </w:r>
      <w:r w:rsidRPr="00A616F3">
        <w:rPr>
          <w:rFonts w:ascii="Verdana" w:hAnsi="Verdana"/>
          <w:sz w:val="20"/>
          <w:szCs w:val="20"/>
        </w:rPr>
        <w:t xml:space="preserve"> de la misma. Sin embargo, la Corte </w:t>
      </w:r>
      <w:r>
        <w:rPr>
          <w:rFonts w:ascii="Verdana" w:hAnsi="Verdana"/>
          <w:sz w:val="20"/>
          <w:szCs w:val="20"/>
        </w:rPr>
        <w:t>reitera</w:t>
      </w:r>
      <w:r w:rsidRPr="00A616F3">
        <w:rPr>
          <w:rFonts w:ascii="Verdana" w:hAnsi="Verdana"/>
          <w:sz w:val="20"/>
          <w:szCs w:val="20"/>
        </w:rPr>
        <w:t xml:space="preserve"> la relevancia de la debida interpretación de la legislación y aplicación del control de convencionalidad, a la luz de la jurisprudencia de la Corte y </w:t>
      </w:r>
      <w:r w:rsidRPr="0093146C">
        <w:rPr>
          <w:rFonts w:ascii="Verdana" w:hAnsi="Verdana"/>
          <w:sz w:val="20"/>
          <w:szCs w:val="20"/>
        </w:rPr>
        <w:t xml:space="preserve">los </w:t>
      </w:r>
      <w:r w:rsidRPr="0093146C">
        <w:rPr>
          <w:rFonts w:ascii="Verdana" w:eastAsiaTheme="minorHAnsi" w:hAnsi="Verdana"/>
          <w:sz w:val="20"/>
          <w:szCs w:val="20"/>
          <w:lang w:val="es-CR" w:eastAsia="es-CR"/>
        </w:rPr>
        <w:t>estándares en materia indígena</w:t>
      </w:r>
      <w:r w:rsidR="00C94F4C">
        <w:rPr>
          <w:rFonts w:ascii="Verdana" w:hAnsi="Verdana"/>
          <w:sz w:val="20"/>
          <w:szCs w:val="20"/>
        </w:rPr>
        <w:t xml:space="preserve"> establecidos por la misma.</w:t>
      </w:r>
      <w:r w:rsidR="00E91F9F" w:rsidRPr="00A616F3">
        <w:rPr>
          <w:rFonts w:ascii="Verdana" w:hAnsi="Verdana"/>
          <w:sz w:val="20"/>
          <w:szCs w:val="20"/>
        </w:rPr>
        <w:t xml:space="preserve"> </w:t>
      </w:r>
    </w:p>
    <w:p w14:paraId="0C704B9E" w14:textId="77777777" w:rsidR="00E91F9F" w:rsidRPr="00A616F3" w:rsidRDefault="00E91F9F" w:rsidP="00A71698">
      <w:pPr>
        <w:pStyle w:val="ListParagraph"/>
        <w:ind w:left="0"/>
        <w:jc w:val="both"/>
        <w:rPr>
          <w:rFonts w:ascii="Verdana" w:hAnsi="Verdana"/>
          <w:sz w:val="20"/>
          <w:szCs w:val="20"/>
        </w:rPr>
      </w:pPr>
    </w:p>
    <w:p w14:paraId="0C704B9F" w14:textId="0C068E76" w:rsidR="00930C8B" w:rsidRPr="00930C8B" w:rsidRDefault="00E91F9F" w:rsidP="00930C8B">
      <w:pPr>
        <w:pStyle w:val="Heading1"/>
        <w:tabs>
          <w:tab w:val="left" w:pos="851"/>
        </w:tabs>
        <w:spacing w:before="0"/>
        <w:jc w:val="center"/>
        <w:rPr>
          <w:rFonts w:ascii="Verdana" w:hAnsi="Verdana" w:cs="Verdana"/>
          <w:caps/>
          <w:snapToGrid w:val="0"/>
          <w:sz w:val="20"/>
          <w:szCs w:val="20"/>
        </w:rPr>
      </w:pPr>
      <w:r w:rsidRPr="006669DA">
        <w:rPr>
          <w:szCs w:val="20"/>
          <w:lang w:val="es-CR"/>
        </w:rPr>
        <w:tab/>
      </w:r>
      <w:bookmarkStart w:id="103" w:name="_Toc437247365"/>
      <w:bookmarkEnd w:id="96"/>
      <w:r w:rsidR="00A17487">
        <w:rPr>
          <w:rFonts w:ascii="Verdana" w:hAnsi="Verdana" w:cs="Verdana"/>
          <w:caps/>
          <w:snapToGrid w:val="0"/>
          <w:color w:val="auto"/>
          <w:sz w:val="20"/>
          <w:szCs w:val="20"/>
        </w:rPr>
        <w:t>ix</w:t>
      </w:r>
      <w:r w:rsidR="00930C8B" w:rsidRPr="00930C8B">
        <w:rPr>
          <w:rFonts w:ascii="Verdana" w:hAnsi="Verdana" w:cs="Verdana"/>
          <w:caps/>
          <w:snapToGrid w:val="0"/>
          <w:color w:val="auto"/>
          <w:sz w:val="20"/>
          <w:szCs w:val="20"/>
        </w:rPr>
        <w:t>-3</w:t>
      </w:r>
      <w:r w:rsidR="00930C8B" w:rsidRPr="00930C8B">
        <w:rPr>
          <w:rFonts w:ascii="Verdana" w:hAnsi="Verdana" w:cs="Verdana"/>
          <w:caps/>
          <w:snapToGrid w:val="0"/>
          <w:color w:val="auto"/>
          <w:sz w:val="20"/>
          <w:szCs w:val="20"/>
        </w:rPr>
        <w:br/>
        <w:t>derecho a la vida, a las garantías judiciales y a la protección judicial</w:t>
      </w:r>
      <w:bookmarkEnd w:id="103"/>
      <w:r w:rsidR="00930C8B" w:rsidRPr="00930C8B">
        <w:rPr>
          <w:rFonts w:ascii="Verdana" w:hAnsi="Verdana" w:cs="Verdana"/>
          <w:caps/>
          <w:snapToGrid w:val="0"/>
          <w:color w:val="auto"/>
          <w:sz w:val="20"/>
          <w:szCs w:val="20"/>
        </w:rPr>
        <w:t xml:space="preserve"> </w:t>
      </w:r>
    </w:p>
    <w:p w14:paraId="0C704BA0" w14:textId="77777777" w:rsidR="00930C8B" w:rsidRPr="00930C8B" w:rsidRDefault="00930C8B" w:rsidP="00930C8B">
      <w:pPr>
        <w:tabs>
          <w:tab w:val="left" w:pos="567"/>
        </w:tabs>
        <w:rPr>
          <w:rFonts w:ascii="Verdana" w:eastAsia="Times New Roman" w:hAnsi="Verdana"/>
          <w:b/>
          <w:spacing w:val="-2"/>
          <w:sz w:val="20"/>
          <w:szCs w:val="20"/>
          <w:lang w:val="es-CR" w:eastAsia="es-ES"/>
        </w:rPr>
      </w:pPr>
    </w:p>
    <w:p w14:paraId="0C704BA1" w14:textId="77777777" w:rsidR="00930C8B" w:rsidRPr="00930C8B" w:rsidRDefault="00930C8B" w:rsidP="00930C8B">
      <w:pPr>
        <w:numPr>
          <w:ilvl w:val="0"/>
          <w:numId w:val="17"/>
        </w:numPr>
        <w:ind w:left="0" w:hanging="11"/>
        <w:contextualSpacing/>
        <w:jc w:val="both"/>
        <w:rPr>
          <w:rFonts w:ascii="Verdana" w:eastAsia="Times New Roman" w:hAnsi="Verdana"/>
          <w:sz w:val="20"/>
          <w:szCs w:val="20"/>
        </w:rPr>
      </w:pPr>
      <w:r w:rsidRPr="00930C8B">
        <w:rPr>
          <w:rFonts w:ascii="Verdana" w:hAnsi="Verdana"/>
          <w:spacing w:val="-2"/>
          <w:sz w:val="20"/>
          <w:szCs w:val="20"/>
          <w:lang w:val="es-CR"/>
        </w:rPr>
        <w:t>El Tribunal analizará en este apartado las controversias respecto de la violación de los artículos 4, 8 y 25 de la Convención, por lo que valorará: a) el derecho a la vida del señor Félix Ordóñez Suazo; b) las investigaciones y proceso penal derivados de dicha muerte, y c) la debida diligencia y plazo razonable en relación con las denuncias penales interpuestas a nivel interno por los delitos de usurpación, amenazas y abuso de autoridad.</w:t>
      </w:r>
    </w:p>
    <w:p w14:paraId="0C704BA2" w14:textId="77777777" w:rsidR="00930C8B" w:rsidRPr="00930C8B" w:rsidRDefault="00930C8B" w:rsidP="00930C8B">
      <w:pPr>
        <w:tabs>
          <w:tab w:val="left" w:pos="567"/>
        </w:tabs>
        <w:rPr>
          <w:rFonts w:ascii="Verdana" w:hAnsi="Verdana"/>
          <w:sz w:val="20"/>
          <w:szCs w:val="20"/>
          <w:lang w:val="es-CR"/>
        </w:rPr>
      </w:pPr>
    </w:p>
    <w:p w14:paraId="0C704BA3" w14:textId="77777777" w:rsidR="00930C8B" w:rsidRPr="00930C8B" w:rsidRDefault="00930C8B" w:rsidP="00930C8B">
      <w:pPr>
        <w:keepNext/>
        <w:keepLines/>
        <w:numPr>
          <w:ilvl w:val="0"/>
          <w:numId w:val="15"/>
        </w:numPr>
        <w:outlineLvl w:val="1"/>
        <w:rPr>
          <w:rFonts w:ascii="Verdana" w:eastAsia="Times New Roman" w:hAnsi="Verdana"/>
          <w:b/>
          <w:bCs/>
          <w:i/>
          <w:sz w:val="20"/>
          <w:szCs w:val="20"/>
          <w:lang w:val="es-CR"/>
        </w:rPr>
      </w:pPr>
      <w:bookmarkStart w:id="104" w:name="_Toc437247366"/>
      <w:r w:rsidRPr="00930C8B">
        <w:rPr>
          <w:rFonts w:ascii="Verdana" w:eastAsia="Times New Roman" w:hAnsi="Verdana"/>
          <w:b/>
          <w:bCs/>
          <w:i/>
          <w:sz w:val="20"/>
          <w:szCs w:val="20"/>
          <w:lang w:val="es-CR"/>
        </w:rPr>
        <w:t>La alegada violación del derecho a la vida del señor Félix Ordóñez Suazo</w:t>
      </w:r>
      <w:bookmarkEnd w:id="104"/>
    </w:p>
    <w:p w14:paraId="0C704BA4" w14:textId="77777777" w:rsidR="00930C8B" w:rsidRPr="00930C8B" w:rsidRDefault="00930C8B" w:rsidP="00930C8B">
      <w:pPr>
        <w:contextualSpacing/>
        <w:jc w:val="both"/>
        <w:rPr>
          <w:rFonts w:ascii="Verdana" w:hAnsi="Verdana"/>
          <w:sz w:val="20"/>
          <w:szCs w:val="20"/>
          <w:lang w:val="es-ES"/>
        </w:rPr>
      </w:pPr>
    </w:p>
    <w:p w14:paraId="0C704BA5" w14:textId="72940574" w:rsidR="00930C8B" w:rsidRPr="00930C8B" w:rsidRDefault="00930C8B" w:rsidP="00930C8B">
      <w:pPr>
        <w:keepNext/>
        <w:keepLines/>
        <w:ind w:firstLine="360"/>
        <w:jc w:val="both"/>
        <w:outlineLvl w:val="2"/>
        <w:rPr>
          <w:rFonts w:ascii="Verdana" w:eastAsiaTheme="majorEastAsia" w:hAnsi="Verdana" w:cstheme="majorBidi"/>
          <w:b/>
          <w:bCs/>
          <w:i/>
          <w:sz w:val="20"/>
          <w:szCs w:val="20"/>
        </w:rPr>
      </w:pPr>
      <w:bookmarkStart w:id="105" w:name="_Toc437247367"/>
      <w:r w:rsidRPr="00930C8B">
        <w:rPr>
          <w:rFonts w:ascii="Verdana" w:eastAsiaTheme="majorEastAsia" w:hAnsi="Verdana" w:cstheme="majorBidi"/>
          <w:b/>
          <w:bCs/>
          <w:i/>
          <w:sz w:val="20"/>
          <w:szCs w:val="20"/>
        </w:rPr>
        <w:lastRenderedPageBreak/>
        <w:t xml:space="preserve">A.1 Argumentos de </w:t>
      </w:r>
      <w:r w:rsidR="001303FC">
        <w:rPr>
          <w:rFonts w:ascii="Verdana" w:eastAsiaTheme="majorEastAsia" w:hAnsi="Verdana" w:cstheme="majorBidi"/>
          <w:b/>
          <w:bCs/>
          <w:i/>
          <w:sz w:val="20"/>
          <w:szCs w:val="20"/>
        </w:rPr>
        <w:t xml:space="preserve">las partes y de </w:t>
      </w:r>
      <w:r w:rsidRPr="00930C8B">
        <w:rPr>
          <w:rFonts w:ascii="Verdana" w:eastAsiaTheme="majorEastAsia" w:hAnsi="Verdana" w:cstheme="majorBidi"/>
          <w:b/>
          <w:bCs/>
          <w:i/>
          <w:sz w:val="20"/>
          <w:szCs w:val="20"/>
        </w:rPr>
        <w:t>la Comisión</w:t>
      </w:r>
      <w:bookmarkEnd w:id="105"/>
      <w:r w:rsidRPr="00930C8B">
        <w:rPr>
          <w:rFonts w:ascii="Verdana" w:eastAsiaTheme="majorEastAsia" w:hAnsi="Verdana" w:cstheme="majorBidi"/>
          <w:b/>
          <w:bCs/>
          <w:i/>
          <w:sz w:val="20"/>
          <w:szCs w:val="20"/>
        </w:rPr>
        <w:t xml:space="preserve"> </w:t>
      </w:r>
    </w:p>
    <w:p w14:paraId="0C704BA6" w14:textId="77777777" w:rsidR="00930C8B" w:rsidRPr="00930C8B" w:rsidRDefault="00930C8B" w:rsidP="00930C8B">
      <w:pPr>
        <w:tabs>
          <w:tab w:val="left" w:pos="567"/>
        </w:tabs>
        <w:contextualSpacing/>
        <w:jc w:val="both"/>
        <w:rPr>
          <w:rFonts w:ascii="Verdana" w:eastAsia="Times New Roman" w:hAnsi="Verdana"/>
          <w:b/>
          <w:spacing w:val="-2"/>
          <w:sz w:val="20"/>
          <w:szCs w:val="20"/>
          <w:lang w:val="es-CR" w:eastAsia="es-ES"/>
        </w:rPr>
      </w:pPr>
    </w:p>
    <w:p w14:paraId="0C704BA7" w14:textId="2748E312"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cs="Arial"/>
          <w:sz w:val="20"/>
          <w:szCs w:val="20"/>
          <w:lang w:val="es-MX"/>
        </w:rPr>
        <w:t xml:space="preserve">Los </w:t>
      </w:r>
      <w:r w:rsidRPr="00930C8B">
        <w:rPr>
          <w:rFonts w:ascii="Verdana" w:hAnsi="Verdana" w:cs="Arial"/>
          <w:b/>
          <w:i/>
          <w:sz w:val="20"/>
          <w:szCs w:val="20"/>
          <w:lang w:val="es-MX"/>
        </w:rPr>
        <w:t>representantes</w:t>
      </w:r>
      <w:r w:rsidRPr="00930C8B">
        <w:rPr>
          <w:rFonts w:ascii="Verdana" w:hAnsi="Verdana" w:cs="Arial"/>
          <w:sz w:val="20"/>
          <w:szCs w:val="20"/>
          <w:lang w:val="es-MX"/>
        </w:rPr>
        <w:t xml:space="preserve"> señalaron en su escrito de solicitudes y argumentos que “el Estado reconoció en varios documentos la existencia de una situación de peligro para los miembros de la </w:t>
      </w:r>
      <w:r w:rsidR="001303FC">
        <w:rPr>
          <w:rFonts w:ascii="Verdana" w:hAnsi="Verdana" w:cs="Arial"/>
          <w:sz w:val="20"/>
          <w:szCs w:val="20"/>
          <w:lang w:val="es-MX"/>
        </w:rPr>
        <w:t>[</w:t>
      </w:r>
      <w:r w:rsidRPr="00930C8B">
        <w:rPr>
          <w:rFonts w:ascii="Verdana" w:hAnsi="Verdana" w:cs="Arial"/>
          <w:sz w:val="20"/>
          <w:szCs w:val="20"/>
          <w:lang w:val="es-MX"/>
        </w:rPr>
        <w:t>C</w:t>
      </w:r>
      <w:r w:rsidR="001303FC">
        <w:rPr>
          <w:rFonts w:ascii="Verdana" w:hAnsi="Verdana" w:cs="Arial"/>
          <w:sz w:val="20"/>
          <w:szCs w:val="20"/>
          <w:lang w:val="es-MX"/>
        </w:rPr>
        <w:t>]</w:t>
      </w:r>
      <w:proofErr w:type="spellStart"/>
      <w:r w:rsidRPr="00930C8B">
        <w:rPr>
          <w:rFonts w:ascii="Verdana" w:hAnsi="Verdana" w:cs="Arial"/>
          <w:sz w:val="20"/>
          <w:szCs w:val="20"/>
          <w:lang w:val="es-MX"/>
        </w:rPr>
        <w:t>omunidad</w:t>
      </w:r>
      <w:proofErr w:type="spellEnd"/>
      <w:r w:rsidRPr="00930C8B">
        <w:rPr>
          <w:rFonts w:ascii="Verdana" w:hAnsi="Verdana" w:cs="Arial"/>
          <w:sz w:val="20"/>
          <w:szCs w:val="20"/>
          <w:lang w:val="es-MX"/>
        </w:rPr>
        <w:t xml:space="preserve"> de Punta Piedra y no hicieron nada para evitar que se dieran los hechos violentos que generar[o]n </w:t>
      </w:r>
      <w:r w:rsidR="001303FC">
        <w:rPr>
          <w:rFonts w:ascii="Verdana" w:hAnsi="Verdana" w:cs="Arial"/>
          <w:sz w:val="20"/>
          <w:szCs w:val="20"/>
          <w:lang w:val="es-MX"/>
        </w:rPr>
        <w:t>[</w:t>
      </w:r>
      <w:r w:rsidRPr="00930C8B">
        <w:rPr>
          <w:rFonts w:ascii="Verdana" w:hAnsi="Verdana" w:cs="Arial"/>
          <w:sz w:val="20"/>
          <w:szCs w:val="20"/>
          <w:lang w:val="es-MX"/>
        </w:rPr>
        <w:t>la</w:t>
      </w:r>
      <w:r w:rsidR="001303FC">
        <w:rPr>
          <w:rFonts w:ascii="Verdana" w:hAnsi="Verdana" w:cs="Arial"/>
          <w:sz w:val="20"/>
          <w:szCs w:val="20"/>
          <w:lang w:val="es-MX"/>
        </w:rPr>
        <w:t>]</w:t>
      </w:r>
      <w:r w:rsidRPr="00930C8B">
        <w:rPr>
          <w:rFonts w:ascii="Verdana" w:hAnsi="Verdana" w:cs="Arial"/>
          <w:sz w:val="20"/>
          <w:szCs w:val="20"/>
          <w:lang w:val="es-MX"/>
        </w:rPr>
        <w:t xml:space="preserve"> violación [del derecho a la vida]”. En este sentido, señalaron que “el elemento de arbitrariedad que contempla el artículo 4 </w:t>
      </w:r>
      <w:r w:rsidR="001303FC">
        <w:rPr>
          <w:rFonts w:ascii="Verdana" w:hAnsi="Verdana" w:cs="Arial"/>
          <w:sz w:val="20"/>
          <w:szCs w:val="20"/>
          <w:lang w:val="es-MX"/>
        </w:rPr>
        <w:t>[</w:t>
      </w:r>
      <w:r w:rsidRPr="00930C8B">
        <w:rPr>
          <w:rFonts w:ascii="Verdana" w:hAnsi="Verdana" w:cs="Arial"/>
          <w:sz w:val="20"/>
          <w:szCs w:val="20"/>
          <w:lang w:val="es-MX"/>
        </w:rPr>
        <w:t>de la Convención</w:t>
      </w:r>
      <w:r w:rsidR="001303FC">
        <w:rPr>
          <w:rFonts w:ascii="Verdana" w:hAnsi="Verdana" w:cs="Arial"/>
          <w:sz w:val="20"/>
          <w:szCs w:val="20"/>
          <w:lang w:val="es-MX"/>
        </w:rPr>
        <w:t>]</w:t>
      </w:r>
      <w:r w:rsidRPr="00930C8B">
        <w:rPr>
          <w:rFonts w:ascii="Verdana" w:hAnsi="Verdana" w:cs="Arial"/>
          <w:sz w:val="20"/>
          <w:szCs w:val="20"/>
          <w:lang w:val="es-MX"/>
        </w:rPr>
        <w:t xml:space="preserve"> se encuentra en la omisión del Estado de investigar las denuncias y de resolver el conflicto adecuadamente”. Por tanto, los representantes consideraron que “el [E]stado de Honduras, por aquiescencia y omisión incurrió en arbitrariedad, por lo que debe ser declarado responsable internacionalmente de haber violentado el artículo 4 en relación al artículo 1.1 de la Convención”. Igualmente, en sus alegatos finales escritos indicaron que </w:t>
      </w:r>
      <w:r w:rsidRPr="00930C8B">
        <w:rPr>
          <w:rFonts w:ascii="Verdana" w:hAnsi="Verdana" w:cs="Arial"/>
          <w:sz w:val="20"/>
          <w:szCs w:val="20"/>
          <w:lang w:val="es-CR" w:eastAsia="es-CR"/>
        </w:rPr>
        <w:t>“[c]</w:t>
      </w:r>
      <w:proofErr w:type="spellStart"/>
      <w:r w:rsidRPr="00930C8B">
        <w:rPr>
          <w:rFonts w:ascii="Verdana" w:hAnsi="Verdana" w:cs="Arial"/>
          <w:sz w:val="20"/>
          <w:szCs w:val="20"/>
          <w:lang w:val="es-CR" w:eastAsia="es-CR"/>
        </w:rPr>
        <w:t>onsta</w:t>
      </w:r>
      <w:proofErr w:type="spellEnd"/>
      <w:r w:rsidRPr="00930C8B">
        <w:rPr>
          <w:rFonts w:ascii="Verdana" w:hAnsi="Verdana" w:cs="Arial"/>
          <w:sz w:val="20"/>
          <w:szCs w:val="20"/>
          <w:lang w:val="es-CR" w:eastAsia="es-CR"/>
        </w:rPr>
        <w:t xml:space="preserve"> en el marco fáctico recogido por la [Comisión] en su </w:t>
      </w:r>
      <w:r w:rsidR="001303FC">
        <w:rPr>
          <w:rFonts w:ascii="Verdana" w:hAnsi="Verdana" w:cs="Arial"/>
          <w:sz w:val="20"/>
          <w:szCs w:val="20"/>
          <w:lang w:val="es-CR" w:eastAsia="es-CR"/>
        </w:rPr>
        <w:t>[</w:t>
      </w:r>
      <w:r w:rsidRPr="00930C8B">
        <w:rPr>
          <w:rFonts w:ascii="Verdana" w:hAnsi="Verdana" w:cs="Arial"/>
          <w:sz w:val="20"/>
          <w:szCs w:val="20"/>
          <w:lang w:val="es-CR" w:eastAsia="es-CR"/>
        </w:rPr>
        <w:t>I</w:t>
      </w:r>
      <w:r w:rsidR="001303FC">
        <w:rPr>
          <w:rFonts w:ascii="Verdana" w:hAnsi="Verdana" w:cs="Arial"/>
          <w:sz w:val="20"/>
          <w:szCs w:val="20"/>
          <w:lang w:val="es-CR" w:eastAsia="es-CR"/>
        </w:rPr>
        <w:t>]</w:t>
      </w:r>
      <w:proofErr w:type="spellStart"/>
      <w:r w:rsidRPr="00930C8B">
        <w:rPr>
          <w:rFonts w:ascii="Verdana" w:hAnsi="Verdana" w:cs="Arial"/>
          <w:sz w:val="20"/>
          <w:szCs w:val="20"/>
          <w:lang w:val="es-CR" w:eastAsia="es-CR"/>
        </w:rPr>
        <w:t>nforme</w:t>
      </w:r>
      <w:proofErr w:type="spellEnd"/>
      <w:r w:rsidRPr="00930C8B">
        <w:rPr>
          <w:rFonts w:ascii="Verdana" w:hAnsi="Verdana" w:cs="Arial"/>
          <w:sz w:val="20"/>
          <w:szCs w:val="20"/>
          <w:lang w:val="es-CR" w:eastAsia="es-CR"/>
        </w:rPr>
        <w:t xml:space="preserve"> de </w:t>
      </w:r>
      <w:r w:rsidR="001303FC">
        <w:rPr>
          <w:rFonts w:ascii="Verdana" w:hAnsi="Verdana" w:cs="Arial"/>
          <w:sz w:val="20"/>
          <w:szCs w:val="20"/>
          <w:lang w:val="es-CR" w:eastAsia="es-CR"/>
        </w:rPr>
        <w:t>[</w:t>
      </w:r>
      <w:r w:rsidRPr="00930C8B">
        <w:rPr>
          <w:rFonts w:ascii="Verdana" w:hAnsi="Verdana" w:cs="Arial"/>
          <w:sz w:val="20"/>
          <w:szCs w:val="20"/>
          <w:lang w:val="es-CR" w:eastAsia="es-CR"/>
        </w:rPr>
        <w:t>F</w:t>
      </w:r>
      <w:r w:rsidR="001303FC">
        <w:rPr>
          <w:rFonts w:ascii="Verdana" w:hAnsi="Verdana" w:cs="Arial"/>
          <w:sz w:val="20"/>
          <w:szCs w:val="20"/>
          <w:lang w:val="es-CR" w:eastAsia="es-CR"/>
        </w:rPr>
        <w:t>]</w:t>
      </w:r>
      <w:proofErr w:type="spellStart"/>
      <w:r w:rsidRPr="00930C8B">
        <w:rPr>
          <w:rFonts w:ascii="Verdana" w:hAnsi="Verdana" w:cs="Arial"/>
          <w:sz w:val="20"/>
          <w:szCs w:val="20"/>
          <w:lang w:val="es-CR" w:eastAsia="es-CR"/>
        </w:rPr>
        <w:t>ondo</w:t>
      </w:r>
      <w:proofErr w:type="spellEnd"/>
      <w:r w:rsidRPr="00930C8B">
        <w:rPr>
          <w:rFonts w:ascii="Verdana" w:hAnsi="Verdana" w:cs="Arial"/>
          <w:sz w:val="20"/>
          <w:szCs w:val="20"/>
          <w:lang w:val="es-CR" w:eastAsia="es-CR"/>
        </w:rPr>
        <w:t>, que por razones directamente relacionadas con la defensa de la tierra se habría asesinado a Félix Ordóñez en un momento bastante avanzado y [tenso] del conflicto, esto ante la inactividad estatal y más bien tomando partido el Estado a favor de los colonos, por lo que no se protegió la vida de los dirigentes y por tal razón considera</w:t>
      </w:r>
      <w:r w:rsidR="00C77120">
        <w:rPr>
          <w:rFonts w:ascii="Verdana" w:hAnsi="Verdana" w:cs="Arial"/>
          <w:sz w:val="20"/>
          <w:szCs w:val="20"/>
          <w:lang w:val="es-CR" w:eastAsia="es-CR"/>
        </w:rPr>
        <w:t>[ron]</w:t>
      </w:r>
      <w:r w:rsidRPr="00930C8B">
        <w:rPr>
          <w:rFonts w:ascii="Verdana" w:hAnsi="Verdana" w:cs="Arial"/>
          <w:sz w:val="20"/>
          <w:szCs w:val="20"/>
          <w:lang w:val="es-CR" w:eastAsia="es-CR"/>
        </w:rPr>
        <w:t xml:space="preserve"> que el Estado ha violado el artículo 4 de la [Convención Americana]”.</w:t>
      </w:r>
    </w:p>
    <w:p w14:paraId="0C704BA8"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p>
    <w:p w14:paraId="0C704BA9" w14:textId="469418D8"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hAnsi="Verdana"/>
          <w:sz w:val="20"/>
          <w:szCs w:val="20"/>
          <w:lang w:val="es-CR"/>
        </w:rPr>
        <w:t xml:space="preserve">En su Informe de Fondo, </w:t>
      </w:r>
      <w:r w:rsidRPr="00930C8B">
        <w:rPr>
          <w:rFonts w:ascii="Verdana" w:hAnsi="Verdana"/>
          <w:sz w:val="20"/>
          <w:szCs w:val="20"/>
          <w:lang w:val="es-ES"/>
        </w:rPr>
        <w:t>l</w:t>
      </w:r>
      <w:r w:rsidRPr="00930C8B">
        <w:rPr>
          <w:rFonts w:ascii="Verdana" w:hAnsi="Verdana"/>
          <w:sz w:val="20"/>
          <w:szCs w:val="20"/>
          <w:lang w:val="es-PE"/>
        </w:rPr>
        <w:t>a</w:t>
      </w:r>
      <w:r w:rsidRPr="00930C8B">
        <w:rPr>
          <w:rFonts w:ascii="Verdana" w:hAnsi="Verdana"/>
          <w:i/>
          <w:sz w:val="20"/>
          <w:szCs w:val="20"/>
          <w:lang w:val="es-PE"/>
        </w:rPr>
        <w:t xml:space="preserve"> </w:t>
      </w:r>
      <w:r w:rsidRPr="00930C8B">
        <w:rPr>
          <w:rFonts w:ascii="Verdana" w:hAnsi="Verdana"/>
          <w:b/>
          <w:i/>
          <w:sz w:val="20"/>
          <w:szCs w:val="20"/>
          <w:lang w:val="es-PE"/>
        </w:rPr>
        <w:t>Comisión</w:t>
      </w:r>
      <w:r w:rsidRPr="00930C8B">
        <w:rPr>
          <w:rFonts w:ascii="Verdana" w:hAnsi="Verdana"/>
          <w:sz w:val="20"/>
          <w:szCs w:val="20"/>
          <w:lang w:val="es-PE"/>
        </w:rPr>
        <w:t xml:space="preserve"> </w:t>
      </w:r>
      <w:r w:rsidRPr="00930C8B">
        <w:rPr>
          <w:rFonts w:ascii="Verdana" w:hAnsi="Verdana"/>
          <w:sz w:val="20"/>
          <w:szCs w:val="20"/>
          <w:lang w:val="es-MX"/>
        </w:rPr>
        <w:t xml:space="preserve">no se pronunció de manera específica sobre la violación del artículo 4 de la Convención </w:t>
      </w:r>
      <w:r w:rsidRPr="00930C8B">
        <w:rPr>
          <w:rFonts w:ascii="Verdana" w:hAnsi="Verdana"/>
          <w:sz w:val="20"/>
          <w:szCs w:val="20"/>
          <w:lang w:val="es-PE"/>
        </w:rPr>
        <w:t xml:space="preserve">en perjuicio de </w:t>
      </w:r>
      <w:r w:rsidR="00631669">
        <w:rPr>
          <w:rFonts w:ascii="Verdana" w:hAnsi="Verdana"/>
          <w:sz w:val="20"/>
          <w:szCs w:val="20"/>
          <w:lang w:val="es-PE"/>
        </w:rPr>
        <w:t>Félix Ordóñez Suazo</w:t>
      </w:r>
      <w:r w:rsidRPr="00930C8B">
        <w:rPr>
          <w:rFonts w:ascii="Verdana" w:hAnsi="Verdana"/>
          <w:sz w:val="20"/>
          <w:szCs w:val="20"/>
          <w:vertAlign w:val="superscript"/>
          <w:lang w:val="es-MX"/>
        </w:rPr>
        <w:footnoteReference w:id="279"/>
      </w:r>
      <w:r w:rsidRPr="00930C8B">
        <w:rPr>
          <w:rFonts w:ascii="Verdana" w:hAnsi="Verdana"/>
          <w:sz w:val="20"/>
          <w:szCs w:val="20"/>
          <w:lang w:val="es-PE"/>
        </w:rPr>
        <w:t xml:space="preserve">. Sin embargo, durante la audiencia pública del caso señaló que </w:t>
      </w:r>
      <w:r w:rsidRPr="00930C8B">
        <w:rPr>
          <w:rFonts w:ascii="Verdana" w:eastAsia="Times New Roman" w:hAnsi="Verdana"/>
          <w:spacing w:val="-2"/>
          <w:sz w:val="20"/>
          <w:szCs w:val="20"/>
          <w:lang w:val="es-CR" w:eastAsia="es-ES"/>
        </w:rPr>
        <w:t xml:space="preserve">“la muerte de Félix Ordóñez se encuentra dentro del marco fáctico del Informe de Fondo [y] sí le otorgó una consecuencia jurídica en la sección relacionada con la protección judicial dentro de los diferentes recursos que la Comisión </w:t>
      </w:r>
      <w:proofErr w:type="gramStart"/>
      <w:r w:rsidRPr="00930C8B">
        <w:rPr>
          <w:rFonts w:ascii="Verdana" w:eastAsia="Times New Roman" w:hAnsi="Verdana"/>
          <w:spacing w:val="-2"/>
          <w:sz w:val="20"/>
          <w:szCs w:val="20"/>
          <w:lang w:val="es-CR" w:eastAsia="es-ES"/>
        </w:rPr>
        <w:t>analizó[</w:t>
      </w:r>
      <w:proofErr w:type="gramEnd"/>
      <w:r w:rsidRPr="00930C8B">
        <w:rPr>
          <w:rFonts w:ascii="Verdana" w:eastAsia="Times New Roman" w:hAnsi="Verdana"/>
          <w:spacing w:val="-2"/>
          <w:sz w:val="20"/>
          <w:szCs w:val="20"/>
          <w:lang w:val="es-CR" w:eastAsia="es-ES"/>
        </w:rPr>
        <w:t>,] por lo tanto, la Corte estaría plenamente facultada para pronunciarse respecto del artículo 4 si lo tiene a bien”. Posteriormente, en sus alegatos finales escritos señaló que “los miembros de la Comunidad no han podido vivir de manera pacífica en su territorio. Por el contrario, las tensiones con los colonos y otros actores han generado que los miembros de la Comunidad vivan en una situación de riesgo para su vida e integridad personal, dentro</w:t>
      </w:r>
      <w:r w:rsidRPr="001303FC">
        <w:rPr>
          <w:rFonts w:ascii="Verdana" w:eastAsia="Times New Roman" w:hAnsi="Verdana"/>
          <w:spacing w:val="-2"/>
          <w:sz w:val="20"/>
          <w:szCs w:val="20"/>
          <w:lang w:val="es-CR" w:eastAsia="es-ES"/>
        </w:rPr>
        <w:t xml:space="preserve"> de lo cual se enmarca el asesinato de uno de los miembros de la Comunidad, el señor Félix Ordóñez”</w:t>
      </w:r>
      <w:r w:rsidR="0086236B" w:rsidRPr="00A0324F">
        <w:rPr>
          <w:rFonts w:ascii="Verdana" w:eastAsia="Times New Roman" w:hAnsi="Verdana"/>
          <w:spacing w:val="-2"/>
          <w:sz w:val="20"/>
          <w:szCs w:val="20"/>
          <w:lang w:val="es-CR" w:eastAsia="es-ES"/>
        </w:rPr>
        <w:t>.</w:t>
      </w:r>
    </w:p>
    <w:p w14:paraId="0C704BAA" w14:textId="77777777" w:rsidR="00930C8B" w:rsidRPr="00930C8B" w:rsidRDefault="00930C8B" w:rsidP="00930C8B">
      <w:pPr>
        <w:tabs>
          <w:tab w:val="left" w:pos="567"/>
        </w:tabs>
        <w:contextualSpacing/>
        <w:jc w:val="both"/>
        <w:rPr>
          <w:rFonts w:ascii="Verdana" w:hAnsi="Verdana"/>
          <w:b/>
          <w:sz w:val="20"/>
          <w:szCs w:val="20"/>
          <w:lang w:val="es-PE"/>
        </w:rPr>
      </w:pPr>
    </w:p>
    <w:p w14:paraId="0C704BAB" w14:textId="2F65285A" w:rsidR="00930C8B" w:rsidRPr="00930C8B" w:rsidRDefault="00930C8B" w:rsidP="00930C8B">
      <w:pPr>
        <w:numPr>
          <w:ilvl w:val="0"/>
          <w:numId w:val="17"/>
        </w:numPr>
        <w:ind w:left="0" w:hanging="11"/>
        <w:contextualSpacing/>
        <w:jc w:val="both"/>
        <w:rPr>
          <w:rFonts w:ascii="Verdana" w:hAnsi="Verdana"/>
          <w:b/>
          <w:sz w:val="20"/>
          <w:szCs w:val="20"/>
          <w:lang w:val="es-PE"/>
        </w:rPr>
      </w:pPr>
      <w:r w:rsidRPr="00930C8B">
        <w:rPr>
          <w:rFonts w:ascii="Verdana" w:hAnsi="Verdana"/>
          <w:sz w:val="20"/>
          <w:szCs w:val="20"/>
          <w:lang w:val="es-PE"/>
        </w:rPr>
        <w:t xml:space="preserve">El </w:t>
      </w:r>
      <w:r w:rsidRPr="00930C8B">
        <w:rPr>
          <w:rFonts w:ascii="Verdana" w:hAnsi="Verdana"/>
          <w:b/>
          <w:i/>
          <w:sz w:val="20"/>
          <w:szCs w:val="20"/>
          <w:lang w:val="es-PE"/>
        </w:rPr>
        <w:t>Estado</w:t>
      </w:r>
      <w:r w:rsidRPr="00930C8B">
        <w:rPr>
          <w:rFonts w:ascii="Verdana" w:hAnsi="Verdana"/>
          <w:sz w:val="20"/>
          <w:szCs w:val="20"/>
          <w:lang w:val="es-PE"/>
        </w:rPr>
        <w:t xml:space="preserve"> en su escrito de contestación no se refirió de forma específica </w:t>
      </w:r>
      <w:r w:rsidRPr="00930C8B">
        <w:rPr>
          <w:rFonts w:ascii="Verdana" w:hAnsi="Verdana"/>
          <w:sz w:val="20"/>
          <w:szCs w:val="20"/>
          <w:lang w:val="es-MX"/>
        </w:rPr>
        <w:t xml:space="preserve">a la violación del artículo 4 de la Convención, </w:t>
      </w:r>
      <w:r w:rsidRPr="00930C8B">
        <w:rPr>
          <w:rFonts w:ascii="Verdana" w:hAnsi="Verdana"/>
          <w:sz w:val="20"/>
          <w:szCs w:val="20"/>
          <w:lang w:val="es-PE"/>
        </w:rPr>
        <w:t xml:space="preserve">sin embargo señaló que “[e]n relación con la muerte del señor Félix Ordóñez […] el caso ya ha sido judicializado y se encuentra en orden de captura contra el presunto responsable, por lo que no procede un pronunciamiento de la Corte Interamericana en </w:t>
      </w:r>
      <w:r w:rsidRPr="00930C8B">
        <w:rPr>
          <w:rFonts w:ascii="Verdana" w:eastAsia="Times New Roman" w:hAnsi="Verdana"/>
          <w:spacing w:val="-2"/>
          <w:sz w:val="20"/>
          <w:szCs w:val="20"/>
          <w:lang w:val="es-CR" w:eastAsia="es-ES"/>
        </w:rPr>
        <w:t>relación</w:t>
      </w:r>
      <w:r w:rsidRPr="00930C8B">
        <w:rPr>
          <w:rFonts w:ascii="Verdana" w:hAnsi="Verdana"/>
          <w:sz w:val="20"/>
          <w:szCs w:val="20"/>
          <w:lang w:val="es-PE"/>
        </w:rPr>
        <w:t xml:space="preserve"> con un caso abierto”. Durante la audiencia pública el Estado señaló que “[l]a muerte del señor Félix Ordóñez en el año 2007 fue un hecho aislado, producto de un altercado que tuvo con otro hondureño”. </w:t>
      </w:r>
    </w:p>
    <w:p w14:paraId="0C704BAC" w14:textId="77777777" w:rsidR="00930C8B" w:rsidRPr="00930C8B" w:rsidRDefault="00930C8B" w:rsidP="00930C8B">
      <w:pPr>
        <w:tabs>
          <w:tab w:val="left" w:pos="567"/>
        </w:tabs>
        <w:contextualSpacing/>
        <w:jc w:val="both"/>
        <w:rPr>
          <w:rFonts w:ascii="Verdana" w:hAnsi="Verdana"/>
          <w:sz w:val="20"/>
          <w:szCs w:val="20"/>
          <w:lang w:val="es-MX"/>
        </w:rPr>
      </w:pPr>
    </w:p>
    <w:p w14:paraId="0C704BAD" w14:textId="77777777" w:rsidR="00930C8B" w:rsidRPr="00930C8B" w:rsidRDefault="00930C8B" w:rsidP="00930C8B">
      <w:pPr>
        <w:keepNext/>
        <w:keepLines/>
        <w:ind w:firstLine="360"/>
        <w:jc w:val="both"/>
        <w:outlineLvl w:val="2"/>
        <w:rPr>
          <w:rFonts w:ascii="Verdana" w:eastAsiaTheme="majorEastAsia" w:hAnsi="Verdana" w:cstheme="majorBidi"/>
          <w:b/>
          <w:bCs/>
          <w:i/>
          <w:sz w:val="20"/>
          <w:szCs w:val="20"/>
        </w:rPr>
      </w:pPr>
      <w:bookmarkStart w:id="106" w:name="_Toc437247368"/>
      <w:r w:rsidRPr="00930C8B">
        <w:rPr>
          <w:rFonts w:ascii="Verdana" w:eastAsiaTheme="majorEastAsia" w:hAnsi="Verdana" w:cstheme="majorBidi"/>
          <w:b/>
          <w:bCs/>
          <w:i/>
          <w:sz w:val="20"/>
          <w:szCs w:val="20"/>
        </w:rPr>
        <w:t>A.2 Consideraciones de la Corte</w:t>
      </w:r>
      <w:bookmarkEnd w:id="106"/>
      <w:r w:rsidRPr="00930C8B">
        <w:rPr>
          <w:rFonts w:ascii="Verdana" w:eastAsiaTheme="majorEastAsia" w:hAnsi="Verdana" w:cstheme="majorBidi"/>
          <w:b/>
          <w:bCs/>
          <w:i/>
          <w:sz w:val="20"/>
          <w:szCs w:val="20"/>
        </w:rPr>
        <w:t xml:space="preserve"> </w:t>
      </w:r>
    </w:p>
    <w:p w14:paraId="0C704BAE" w14:textId="77777777" w:rsidR="00930C8B" w:rsidRPr="00930C8B" w:rsidRDefault="00930C8B" w:rsidP="00930C8B">
      <w:pPr>
        <w:tabs>
          <w:tab w:val="left" w:pos="567"/>
        </w:tabs>
        <w:contextualSpacing/>
        <w:jc w:val="both"/>
        <w:rPr>
          <w:rFonts w:ascii="Verdana" w:hAnsi="Verdana"/>
          <w:b/>
          <w:sz w:val="20"/>
          <w:szCs w:val="20"/>
          <w:lang w:val="es-PE"/>
        </w:rPr>
      </w:pPr>
    </w:p>
    <w:p w14:paraId="0C704BAF" w14:textId="37BE795E"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z w:val="20"/>
          <w:szCs w:val="20"/>
          <w:lang w:val="es-MX"/>
        </w:rPr>
        <w:lastRenderedPageBreak/>
        <w:t xml:space="preserve">La Corte recuerda </w:t>
      </w:r>
      <w:r w:rsidRPr="00930C8B">
        <w:rPr>
          <w:rFonts w:ascii="Verdana" w:hAnsi="Verdana"/>
          <w:sz w:val="20"/>
          <w:szCs w:val="20"/>
        </w:rPr>
        <w:t>que las presuntas víctimas y sus representantes pueden invocar la violación de otros derechos distintos a los analizados en el Informe de Fondo, siempre y cuando se atengan a los hechos contenidos en dicho documento</w:t>
      </w:r>
      <w:r w:rsidRPr="00930C8B">
        <w:rPr>
          <w:rFonts w:ascii="Verdana" w:hAnsi="Verdana"/>
          <w:sz w:val="20"/>
          <w:szCs w:val="20"/>
          <w:vertAlign w:val="superscript"/>
        </w:rPr>
        <w:footnoteReference w:id="280"/>
      </w:r>
      <w:r w:rsidRPr="00930C8B">
        <w:rPr>
          <w:rFonts w:ascii="Verdana" w:hAnsi="Verdana"/>
          <w:sz w:val="20"/>
          <w:szCs w:val="20"/>
        </w:rPr>
        <w:t xml:space="preserve">. </w:t>
      </w:r>
      <w:r w:rsidRPr="00930C8B">
        <w:rPr>
          <w:rFonts w:ascii="Verdana" w:hAnsi="Verdana"/>
          <w:sz w:val="20"/>
          <w:szCs w:val="20"/>
          <w:lang w:val="es-MX"/>
        </w:rPr>
        <w:t xml:space="preserve">En este sentido, en el Capítulo de </w:t>
      </w:r>
      <w:r w:rsidR="001303FC">
        <w:rPr>
          <w:rFonts w:ascii="Verdana" w:hAnsi="Verdana"/>
          <w:sz w:val="20"/>
          <w:szCs w:val="20"/>
          <w:lang w:val="es-MX"/>
        </w:rPr>
        <w:t>H</w:t>
      </w:r>
      <w:r w:rsidRPr="00930C8B">
        <w:rPr>
          <w:rFonts w:ascii="Verdana" w:hAnsi="Verdana"/>
          <w:sz w:val="20"/>
          <w:szCs w:val="20"/>
          <w:lang w:val="es-MX"/>
        </w:rPr>
        <w:t xml:space="preserve">echos </w:t>
      </w:r>
      <w:r w:rsidR="001303FC">
        <w:rPr>
          <w:rFonts w:ascii="Verdana" w:hAnsi="Verdana"/>
          <w:sz w:val="20"/>
          <w:szCs w:val="20"/>
          <w:lang w:val="es-MX"/>
        </w:rPr>
        <w:t>P</w:t>
      </w:r>
      <w:r w:rsidRPr="00930C8B">
        <w:rPr>
          <w:rFonts w:ascii="Verdana" w:hAnsi="Verdana"/>
          <w:sz w:val="20"/>
          <w:szCs w:val="20"/>
          <w:lang w:val="es-MX"/>
        </w:rPr>
        <w:t>robados</w:t>
      </w:r>
      <w:r w:rsidR="001303FC">
        <w:rPr>
          <w:rFonts w:ascii="Verdana" w:hAnsi="Verdana"/>
          <w:sz w:val="20"/>
          <w:szCs w:val="20"/>
          <w:lang w:val="es-MX"/>
        </w:rPr>
        <w:t xml:space="preserve"> del Informe de Fondo</w:t>
      </w:r>
      <w:r w:rsidRPr="00930C8B">
        <w:rPr>
          <w:rFonts w:ascii="Verdana" w:hAnsi="Verdana"/>
          <w:sz w:val="20"/>
          <w:szCs w:val="20"/>
          <w:lang w:val="es-MX"/>
        </w:rPr>
        <w:t>, la Comisión señaló que “la información aportada por las partes indica que existe una situación de conflicto permanente provocada por terceros interesados en las tierras de la Comunidad, caracterizada por constantes amenazas, hostigamientos y acciones violentas”. Asimismo, se refirió al acta de compromiso de 13 de diciembre de 2001</w:t>
      </w:r>
      <w:r w:rsidRPr="00930C8B">
        <w:rPr>
          <w:rFonts w:ascii="Verdana" w:hAnsi="Verdana"/>
          <w:sz w:val="20"/>
          <w:szCs w:val="20"/>
          <w:vertAlign w:val="superscript"/>
          <w:lang w:val="es-MX"/>
        </w:rPr>
        <w:footnoteReference w:id="281"/>
      </w:r>
      <w:r w:rsidRPr="00930C8B">
        <w:rPr>
          <w:rFonts w:ascii="Verdana" w:hAnsi="Verdana"/>
          <w:sz w:val="20"/>
          <w:szCs w:val="20"/>
          <w:lang w:val="es-MX"/>
        </w:rPr>
        <w:t>; a las declaraciones rendidas durante la audiencia pública ante la Comisión de Benito Bernárdez</w:t>
      </w:r>
      <w:r w:rsidRPr="00930C8B">
        <w:rPr>
          <w:rFonts w:ascii="Verdana" w:hAnsi="Verdana"/>
          <w:sz w:val="20"/>
          <w:szCs w:val="20"/>
          <w:vertAlign w:val="superscript"/>
          <w:lang w:val="es-MX"/>
        </w:rPr>
        <w:footnoteReference w:id="282"/>
      </w:r>
      <w:r w:rsidRPr="00930C8B">
        <w:rPr>
          <w:rFonts w:ascii="Verdana" w:hAnsi="Verdana"/>
          <w:sz w:val="20"/>
          <w:szCs w:val="20"/>
          <w:lang w:val="es-MX"/>
        </w:rPr>
        <w:t xml:space="preserve"> y Doroteo Thomas</w:t>
      </w:r>
      <w:r w:rsidRPr="00930C8B">
        <w:rPr>
          <w:rFonts w:ascii="Verdana" w:hAnsi="Verdana"/>
          <w:sz w:val="20"/>
          <w:szCs w:val="20"/>
          <w:vertAlign w:val="superscript"/>
          <w:lang w:val="es-MX"/>
        </w:rPr>
        <w:footnoteReference w:id="283"/>
      </w:r>
      <w:r w:rsidRPr="00930C8B">
        <w:rPr>
          <w:rFonts w:ascii="Verdana" w:hAnsi="Verdana"/>
          <w:sz w:val="20"/>
          <w:szCs w:val="20"/>
          <w:lang w:val="es-MX"/>
        </w:rPr>
        <w:t xml:space="preserve">; al asesinato de </w:t>
      </w:r>
      <w:r w:rsidR="00631669">
        <w:rPr>
          <w:rFonts w:ascii="Verdana" w:hAnsi="Verdana"/>
          <w:sz w:val="20"/>
          <w:szCs w:val="20"/>
          <w:lang w:val="es-MX"/>
        </w:rPr>
        <w:t>Félix Ordóñez Suazo</w:t>
      </w:r>
      <w:r w:rsidRPr="00930C8B">
        <w:rPr>
          <w:rFonts w:ascii="Verdana" w:hAnsi="Verdana"/>
          <w:sz w:val="20"/>
          <w:szCs w:val="20"/>
          <w:lang w:val="es-MX"/>
        </w:rPr>
        <w:t xml:space="preserve"> en junio de 2007 y a la respectiva investigación penal</w:t>
      </w:r>
      <w:r w:rsidRPr="00930C8B">
        <w:rPr>
          <w:rFonts w:ascii="Verdana" w:hAnsi="Verdana"/>
          <w:sz w:val="20"/>
          <w:szCs w:val="20"/>
          <w:vertAlign w:val="superscript"/>
          <w:lang w:val="es-MX"/>
        </w:rPr>
        <w:footnoteReference w:id="284"/>
      </w:r>
      <w:r w:rsidRPr="00930C8B">
        <w:rPr>
          <w:rFonts w:ascii="Verdana" w:hAnsi="Verdana"/>
          <w:sz w:val="20"/>
          <w:szCs w:val="20"/>
          <w:lang w:val="es-MX"/>
        </w:rPr>
        <w:t xml:space="preserve">. </w:t>
      </w:r>
      <w:r w:rsidRPr="00930C8B">
        <w:rPr>
          <w:rFonts w:ascii="Verdana" w:hAnsi="Verdana"/>
          <w:sz w:val="20"/>
          <w:szCs w:val="20"/>
        </w:rPr>
        <w:t>Con fundamento en lo anterior, la Corte considera que, al alegar la presunta violación del artículo 4.1 de la Convención, los representantes se refirieron a hechos que se encontraban contemplados dentro del marco fáctico planteado por la Comisión en el Informe de Fondo, y por lo tanto procederá a pronunciarse al respecto.</w:t>
      </w:r>
    </w:p>
    <w:p w14:paraId="0C704BB0" w14:textId="77777777" w:rsidR="00930C8B" w:rsidRPr="00930C8B" w:rsidRDefault="00930C8B" w:rsidP="00930C8B">
      <w:pPr>
        <w:tabs>
          <w:tab w:val="left" w:pos="567"/>
        </w:tabs>
        <w:contextualSpacing/>
        <w:jc w:val="both"/>
        <w:rPr>
          <w:rFonts w:ascii="Verdana" w:hAnsi="Verdana"/>
          <w:sz w:val="20"/>
          <w:szCs w:val="20"/>
          <w:lang w:val="es-PE"/>
        </w:rPr>
      </w:pPr>
    </w:p>
    <w:p w14:paraId="0C704BB1" w14:textId="77777777" w:rsidR="00930C8B" w:rsidRPr="00930C8B" w:rsidRDefault="00930C8B" w:rsidP="00930C8B">
      <w:pPr>
        <w:numPr>
          <w:ilvl w:val="0"/>
          <w:numId w:val="17"/>
        </w:numPr>
        <w:ind w:left="0" w:hanging="11"/>
        <w:contextualSpacing/>
        <w:jc w:val="both"/>
        <w:rPr>
          <w:rFonts w:ascii="Verdana" w:hAnsi="Verdana"/>
          <w:sz w:val="20"/>
          <w:szCs w:val="20"/>
          <w:lang w:val="es-PE"/>
        </w:rPr>
      </w:pPr>
      <w:r w:rsidRPr="00930C8B">
        <w:rPr>
          <w:rFonts w:ascii="Verdana" w:hAnsi="Verdana"/>
          <w:spacing w:val="-2"/>
          <w:sz w:val="20"/>
          <w:szCs w:val="20"/>
          <w:lang w:val="es-CR"/>
        </w:rPr>
        <w:t>La Corte recuerda que el deber de garantizar el pleno y libre ejercicio de los derechos humanos se proyecta más allá de la relación entre los agentes estatales y las personas sometidas a su jurisdicción, abarcando asimismo el deber de prevenir, en la esfera privada, que terceros vulneren los bienes jurídicos protegidos</w:t>
      </w:r>
      <w:r w:rsidRPr="00930C8B">
        <w:rPr>
          <w:rFonts w:ascii="Verdana" w:hAnsi="Verdana"/>
          <w:spacing w:val="-2"/>
          <w:sz w:val="20"/>
          <w:szCs w:val="20"/>
          <w:vertAlign w:val="superscript"/>
        </w:rPr>
        <w:footnoteReference w:id="285"/>
      </w:r>
      <w:r w:rsidRPr="00930C8B">
        <w:rPr>
          <w:rFonts w:ascii="Verdana" w:hAnsi="Verdana"/>
          <w:spacing w:val="-2"/>
          <w:sz w:val="20"/>
          <w:szCs w:val="20"/>
          <w:lang w:val="es-CR"/>
        </w:rPr>
        <w:t>. Sin embargo, es claro que un Estado no puede ser responsable por cualquier violación de derechos humanos cometida entre particulares dentro de su jurisdicción. En este sentido, las obligaciones convencionales de garantía a cargo de los Estados no implican una responsabilidad ilimitada de los Estados frente a cualquier acto o hecho de particulares, pues sus deberes de adoptar medidas de prevención y protección se encuentran condicionados al conocimiento de una situación de riesgo real e inmediato para un individuo o grupo de individuos determinado, y a las posibilidades razonables de prevenir o evitar ese riesgo. Es decir, aunque un acto u omisión de un particular tenga como consecuencia jurídica la violación de determinados derechos humanos de otro particular, aquél no es automáticamente atribuible al Estado, pues debe atenderse a las circunstancias particulares del caso y a la concreción de dichas obligaciones de garantía</w:t>
      </w:r>
      <w:r w:rsidRPr="00930C8B">
        <w:rPr>
          <w:rFonts w:ascii="Verdana" w:hAnsi="Verdana"/>
          <w:spacing w:val="-2"/>
          <w:sz w:val="20"/>
          <w:szCs w:val="20"/>
          <w:vertAlign w:val="superscript"/>
        </w:rPr>
        <w:footnoteReference w:id="286"/>
      </w:r>
      <w:r w:rsidRPr="00930C8B">
        <w:rPr>
          <w:rFonts w:ascii="Verdana" w:hAnsi="Verdana"/>
          <w:spacing w:val="-2"/>
          <w:sz w:val="20"/>
          <w:szCs w:val="20"/>
          <w:lang w:val="es-CR"/>
        </w:rPr>
        <w:t>.</w:t>
      </w:r>
      <w:r w:rsidRPr="00930C8B">
        <w:rPr>
          <w:rFonts w:ascii="Verdana" w:hAnsi="Verdana"/>
          <w:spacing w:val="-2"/>
          <w:sz w:val="20"/>
          <w:szCs w:val="20"/>
          <w:vertAlign w:val="superscript"/>
          <w:lang w:val="es-CR"/>
        </w:rPr>
        <w:t xml:space="preserve"> </w:t>
      </w:r>
    </w:p>
    <w:p w14:paraId="0C704BB2" w14:textId="77777777" w:rsidR="00930C8B" w:rsidRPr="00930C8B" w:rsidRDefault="00930C8B" w:rsidP="00930C8B">
      <w:pPr>
        <w:tabs>
          <w:tab w:val="left" w:pos="567"/>
        </w:tabs>
        <w:jc w:val="both"/>
        <w:rPr>
          <w:rFonts w:ascii="Verdana" w:hAnsi="Verdana"/>
          <w:sz w:val="20"/>
          <w:szCs w:val="20"/>
          <w:lang w:val="es-MX"/>
        </w:rPr>
      </w:pPr>
    </w:p>
    <w:p w14:paraId="0C704BB3" w14:textId="77777777"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La Corte ha señalado que el derecho a la vida es un derecho humano fundamental, cuyo goce pleno es un prerrequisito para el disfrute de todos los demás </w:t>
      </w:r>
      <w:r w:rsidRPr="00930C8B">
        <w:rPr>
          <w:rFonts w:ascii="Verdana" w:hAnsi="Verdana"/>
          <w:sz w:val="20"/>
          <w:szCs w:val="20"/>
          <w:lang w:val="es-MX"/>
        </w:rPr>
        <w:lastRenderedPageBreak/>
        <w:t xml:space="preserve">derechos humanos. En virtud de este papel fundamental que se le asigna en la Convención, los Estados tienen la </w:t>
      </w:r>
      <w:r w:rsidRPr="00930C8B">
        <w:rPr>
          <w:rFonts w:ascii="Verdana" w:hAnsi="Verdana"/>
          <w:spacing w:val="-2"/>
          <w:sz w:val="20"/>
          <w:szCs w:val="20"/>
          <w:lang w:val="es-CR"/>
        </w:rPr>
        <w:t>obligación</w:t>
      </w:r>
      <w:r w:rsidRPr="00930C8B">
        <w:rPr>
          <w:rFonts w:ascii="Verdana" w:hAnsi="Verdana"/>
          <w:sz w:val="20"/>
          <w:szCs w:val="20"/>
          <w:lang w:val="es-MX"/>
        </w:rPr>
        <w:t xml:space="preserve"> de garantizar la creación de las condiciones que se requieran para que no se produzcan violaciones de ese derecho</w:t>
      </w:r>
      <w:r w:rsidRPr="00930C8B">
        <w:rPr>
          <w:rFonts w:ascii="Verdana" w:hAnsi="Verdana"/>
          <w:sz w:val="20"/>
          <w:szCs w:val="20"/>
          <w:vertAlign w:val="superscript"/>
          <w:lang w:val="es-MX"/>
        </w:rPr>
        <w:footnoteReference w:id="287"/>
      </w:r>
      <w:r w:rsidRPr="00930C8B">
        <w:rPr>
          <w:rFonts w:ascii="Verdana" w:hAnsi="Verdana"/>
          <w:sz w:val="20"/>
          <w:szCs w:val="20"/>
          <w:lang w:val="es-MX"/>
        </w:rPr>
        <w:t xml:space="preserve">. </w:t>
      </w:r>
    </w:p>
    <w:p w14:paraId="0C704BB4" w14:textId="77777777" w:rsidR="00930C8B" w:rsidRPr="00930C8B" w:rsidRDefault="00930C8B" w:rsidP="00930C8B">
      <w:pPr>
        <w:tabs>
          <w:tab w:val="left" w:pos="567"/>
        </w:tabs>
        <w:contextualSpacing/>
        <w:jc w:val="both"/>
        <w:rPr>
          <w:rFonts w:ascii="Verdana" w:eastAsia="Times New Roman" w:hAnsi="Verdana"/>
          <w:b/>
          <w:spacing w:val="-2"/>
          <w:sz w:val="20"/>
          <w:szCs w:val="20"/>
          <w:lang w:val="es-CR" w:eastAsia="es-ES"/>
        </w:rPr>
      </w:pPr>
    </w:p>
    <w:p w14:paraId="0C704BB5" w14:textId="2142E0CB"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z w:val="20"/>
          <w:szCs w:val="20"/>
          <w:lang w:val="es-MX"/>
        </w:rPr>
        <w:t xml:space="preserve">Conforme a la </w:t>
      </w:r>
      <w:r w:rsidRPr="00930C8B">
        <w:rPr>
          <w:rFonts w:ascii="Verdana" w:hAnsi="Verdana"/>
          <w:spacing w:val="-2"/>
          <w:sz w:val="20"/>
          <w:szCs w:val="20"/>
          <w:lang w:val="es-CR"/>
        </w:rPr>
        <w:t>jurisprudencia</w:t>
      </w:r>
      <w:r w:rsidRPr="00930C8B">
        <w:rPr>
          <w:rFonts w:ascii="Verdana" w:hAnsi="Verdana"/>
          <w:sz w:val="20"/>
          <w:szCs w:val="20"/>
          <w:lang w:val="es-MX"/>
        </w:rPr>
        <w:t xml:space="preserve"> de este Tribunal, para establecer que se ha producido una violación al derecho a la vida, no se requiere determinar la culpabilidad de sus autores o su intencionalidad, y tampoco es preciso identificar individualmente a los agentes a quienes se atribuyen los hechos violatorios. Resulta suficiente demostrar que se han verificado acciones u omisiones que hayan permitido la perpetración de esas violaciones o que exista una obligación del Estado que haya sido incumplida</w:t>
      </w:r>
      <w:r w:rsidRPr="00930C8B">
        <w:rPr>
          <w:rFonts w:ascii="Verdana" w:hAnsi="Verdana"/>
          <w:sz w:val="20"/>
          <w:szCs w:val="20"/>
          <w:vertAlign w:val="superscript"/>
          <w:lang w:val="es-MX"/>
        </w:rPr>
        <w:footnoteReference w:id="288"/>
      </w:r>
      <w:r w:rsidRPr="00930C8B">
        <w:rPr>
          <w:rFonts w:ascii="Verdana" w:hAnsi="Verdana"/>
          <w:sz w:val="20"/>
          <w:szCs w:val="20"/>
          <w:lang w:val="es-MX"/>
        </w:rPr>
        <w:t xml:space="preserve">. </w:t>
      </w:r>
      <w:r w:rsidRPr="00930C8B">
        <w:rPr>
          <w:rFonts w:ascii="Verdana" w:hAnsi="Verdana"/>
          <w:sz w:val="20"/>
          <w:szCs w:val="20"/>
          <w:lang w:val="es-CR"/>
        </w:rPr>
        <w:t xml:space="preserve"> </w:t>
      </w:r>
    </w:p>
    <w:p w14:paraId="0C704BB6" w14:textId="77777777" w:rsidR="00930C8B" w:rsidRPr="00930C8B" w:rsidRDefault="00930C8B" w:rsidP="00930C8B">
      <w:pPr>
        <w:tabs>
          <w:tab w:val="left" w:pos="567"/>
        </w:tabs>
        <w:contextualSpacing/>
        <w:jc w:val="both"/>
        <w:rPr>
          <w:rFonts w:ascii="Verdana" w:hAnsi="Verdana"/>
          <w:sz w:val="20"/>
          <w:szCs w:val="20"/>
          <w:lang w:val="es-MX"/>
        </w:rPr>
      </w:pPr>
    </w:p>
    <w:p w14:paraId="0C704BB7" w14:textId="1503EF97"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Al respecto, la Corte constató que el 11 de junio de 2007 el señor </w:t>
      </w:r>
      <w:r w:rsidR="00631669">
        <w:rPr>
          <w:rFonts w:ascii="Verdana" w:hAnsi="Verdana"/>
          <w:sz w:val="20"/>
          <w:szCs w:val="20"/>
          <w:lang w:val="es-MX"/>
        </w:rPr>
        <w:t>Félix Ordóñez Suazo</w:t>
      </w:r>
      <w:r w:rsidRPr="00930C8B">
        <w:rPr>
          <w:rFonts w:ascii="Verdana" w:hAnsi="Verdana"/>
          <w:sz w:val="20"/>
          <w:szCs w:val="20"/>
          <w:lang w:val="es-MX"/>
        </w:rPr>
        <w:t xml:space="preserve">, quien fuera Coordinador y Vocal del Patronato de la Comunidad de Punta Piedra, falleció tras haber recibido tres impactos de bala. </w:t>
      </w:r>
      <w:r w:rsidRPr="00930C8B">
        <w:rPr>
          <w:rFonts w:ascii="Verdana" w:hAnsi="Verdana"/>
          <w:sz w:val="20"/>
          <w:szCs w:val="20"/>
          <w:lang w:val="es-PE"/>
        </w:rPr>
        <w:t xml:space="preserve">De acuerdo con las declaraciones de varios integrantes de la Comunidad de Punta Piedra, la muerte de </w:t>
      </w:r>
      <w:r w:rsidR="00631669">
        <w:rPr>
          <w:rFonts w:ascii="Verdana" w:hAnsi="Verdana"/>
          <w:sz w:val="20"/>
          <w:szCs w:val="20"/>
          <w:lang w:val="es-PE"/>
        </w:rPr>
        <w:t>Félix Ordóñez Suazo</w:t>
      </w:r>
      <w:r w:rsidRPr="00930C8B">
        <w:rPr>
          <w:rFonts w:ascii="Verdana" w:hAnsi="Verdana"/>
          <w:sz w:val="20"/>
          <w:szCs w:val="20"/>
          <w:lang w:val="es-PE"/>
        </w:rPr>
        <w:t xml:space="preserve"> fue motivada por el conflicto de tierras existente entre éste y dos miembros de la Aldea de Río Miel, y que en virtud de dichas tensiones el señor Ordóñez había recibido amenazas (</w:t>
      </w:r>
      <w:r w:rsidRPr="00930C8B">
        <w:rPr>
          <w:rFonts w:ascii="Verdana" w:hAnsi="Verdana"/>
          <w:i/>
          <w:sz w:val="20"/>
          <w:szCs w:val="20"/>
          <w:lang w:val="es-PE"/>
        </w:rPr>
        <w:t>supra</w:t>
      </w:r>
      <w:r w:rsidRPr="00930C8B">
        <w:rPr>
          <w:rFonts w:ascii="Verdana" w:hAnsi="Verdana"/>
          <w:sz w:val="20"/>
          <w:szCs w:val="20"/>
          <w:lang w:val="es-PE"/>
        </w:rPr>
        <w:t xml:space="preserve"> párr</w:t>
      </w:r>
      <w:r w:rsidR="00137C64">
        <w:rPr>
          <w:rFonts w:ascii="Verdana" w:hAnsi="Verdana"/>
          <w:sz w:val="20"/>
          <w:szCs w:val="20"/>
          <w:lang w:val="es-PE"/>
        </w:rPr>
        <w:t>s</w:t>
      </w:r>
      <w:r w:rsidRPr="00930C8B">
        <w:rPr>
          <w:rFonts w:ascii="Verdana" w:hAnsi="Verdana"/>
          <w:sz w:val="20"/>
          <w:szCs w:val="20"/>
          <w:lang w:val="es-PE"/>
        </w:rPr>
        <w:t xml:space="preserve">. </w:t>
      </w:r>
      <w:r w:rsidR="008E65BF">
        <w:rPr>
          <w:rFonts w:ascii="Verdana" w:hAnsi="Verdana"/>
          <w:sz w:val="20"/>
          <w:szCs w:val="20"/>
          <w:lang w:val="es-PE"/>
        </w:rPr>
        <w:t>137 a</w:t>
      </w:r>
      <w:r w:rsidR="00137C64">
        <w:rPr>
          <w:rFonts w:ascii="Verdana" w:hAnsi="Verdana"/>
          <w:sz w:val="20"/>
          <w:szCs w:val="20"/>
          <w:lang w:val="es-PE"/>
        </w:rPr>
        <w:t xml:space="preserve"> 139</w:t>
      </w:r>
      <w:r w:rsidRPr="00930C8B">
        <w:rPr>
          <w:rFonts w:ascii="Verdana" w:hAnsi="Verdana"/>
          <w:sz w:val="20"/>
          <w:szCs w:val="20"/>
          <w:lang w:val="es-PE"/>
        </w:rPr>
        <w:t xml:space="preserve">). </w:t>
      </w:r>
    </w:p>
    <w:p w14:paraId="0C704BB8" w14:textId="77777777" w:rsidR="00930C8B" w:rsidRPr="00930C8B" w:rsidRDefault="00930C8B" w:rsidP="00930C8B">
      <w:pPr>
        <w:tabs>
          <w:tab w:val="left" w:pos="567"/>
        </w:tabs>
        <w:jc w:val="both"/>
        <w:rPr>
          <w:rFonts w:ascii="Verdana" w:hAnsi="Verdana"/>
          <w:sz w:val="20"/>
          <w:szCs w:val="20"/>
          <w:lang w:val="es-MX"/>
        </w:rPr>
      </w:pPr>
    </w:p>
    <w:p w14:paraId="0C704BB9" w14:textId="7061B3B8"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Con base en lo anterior, la Corte analizará si en el presente caso se configuraron los requisitos para que </w:t>
      </w:r>
      <w:r w:rsidR="00137C64">
        <w:rPr>
          <w:rFonts w:ascii="Verdana" w:hAnsi="Verdana"/>
          <w:sz w:val="20"/>
          <w:szCs w:val="20"/>
          <w:lang w:val="es-MX"/>
        </w:rPr>
        <w:t>surgiera</w:t>
      </w:r>
      <w:r w:rsidR="00137C64" w:rsidRPr="00930C8B">
        <w:rPr>
          <w:rFonts w:ascii="Verdana" w:hAnsi="Verdana"/>
          <w:sz w:val="20"/>
          <w:szCs w:val="20"/>
          <w:lang w:val="es-MX"/>
        </w:rPr>
        <w:t xml:space="preserve"> </w:t>
      </w:r>
      <w:r w:rsidRPr="00930C8B">
        <w:rPr>
          <w:rFonts w:ascii="Verdana" w:hAnsi="Verdana"/>
          <w:sz w:val="20"/>
          <w:szCs w:val="20"/>
          <w:lang w:val="es-MX"/>
        </w:rPr>
        <w:t xml:space="preserve">la responsabilidad positiva del Estado de prevenir la violación del derecho a la vida en perjuicio del señor </w:t>
      </w:r>
      <w:r w:rsidR="00631669">
        <w:rPr>
          <w:rFonts w:ascii="Verdana" w:hAnsi="Verdana"/>
          <w:sz w:val="20"/>
          <w:szCs w:val="20"/>
          <w:lang w:val="es-MX"/>
        </w:rPr>
        <w:t>Félix Ordóñez Suazo</w:t>
      </w:r>
      <w:r w:rsidRPr="00930C8B">
        <w:rPr>
          <w:rFonts w:ascii="Verdana" w:hAnsi="Verdana"/>
          <w:sz w:val="20"/>
          <w:szCs w:val="20"/>
          <w:lang w:val="es-MX"/>
        </w:rPr>
        <w:t xml:space="preserve">. Para ello, debe verificarse que al momento de los hechos i) existía una situación de riesgo real e inmediato para la vida del señor </w:t>
      </w:r>
      <w:r w:rsidR="00631669">
        <w:rPr>
          <w:rFonts w:ascii="Verdana" w:hAnsi="Verdana"/>
          <w:sz w:val="20"/>
          <w:szCs w:val="20"/>
          <w:lang w:val="es-MX"/>
        </w:rPr>
        <w:t>Félix Ordóñez Suazo</w:t>
      </w:r>
      <w:r w:rsidRPr="00930C8B">
        <w:rPr>
          <w:rFonts w:ascii="Verdana" w:hAnsi="Verdana"/>
          <w:sz w:val="20"/>
          <w:szCs w:val="20"/>
          <w:lang w:val="es-MX"/>
        </w:rPr>
        <w:t xml:space="preserve">; ii) que las autoridades conocían o debían tener conocimiento de dicho riesgo, y iii) que no adoptaron las medidas necesarias dentro del ámbito de sus atribuciones que, juzgadas razonablemente, podían esperarse para prevenir o evitar ese </w:t>
      </w:r>
      <w:r w:rsidRPr="00930C8B">
        <w:rPr>
          <w:rFonts w:ascii="Verdana" w:hAnsi="Verdana"/>
          <w:spacing w:val="-2"/>
          <w:sz w:val="20"/>
          <w:szCs w:val="20"/>
          <w:lang w:val="es-CR"/>
        </w:rPr>
        <w:t>riesgo</w:t>
      </w:r>
      <w:r w:rsidRPr="00930C8B">
        <w:rPr>
          <w:rFonts w:ascii="Verdana" w:hAnsi="Verdana"/>
          <w:sz w:val="20"/>
          <w:szCs w:val="20"/>
          <w:vertAlign w:val="superscript"/>
          <w:lang w:val="es-MX"/>
        </w:rPr>
        <w:footnoteReference w:id="289"/>
      </w:r>
      <w:r w:rsidRPr="00930C8B">
        <w:rPr>
          <w:rFonts w:ascii="Verdana" w:hAnsi="Verdana"/>
          <w:sz w:val="20"/>
          <w:szCs w:val="20"/>
          <w:lang w:val="es-MX"/>
        </w:rPr>
        <w:t>. Dicha verificación deberá tomar en consideración la posible situación de especial vulnerabilidad, la causa de muerte y el correspondiente nexo causal entre éstos</w:t>
      </w:r>
      <w:r w:rsidRPr="00930C8B">
        <w:rPr>
          <w:rFonts w:ascii="Verdana" w:hAnsi="Verdana"/>
          <w:sz w:val="20"/>
          <w:szCs w:val="20"/>
          <w:vertAlign w:val="superscript"/>
          <w:lang w:val="es-MX"/>
        </w:rPr>
        <w:footnoteReference w:id="290"/>
      </w:r>
      <w:r w:rsidRPr="00930C8B">
        <w:rPr>
          <w:rFonts w:ascii="Verdana" w:hAnsi="Verdana"/>
          <w:sz w:val="20"/>
          <w:szCs w:val="20"/>
          <w:lang w:val="es-MX"/>
        </w:rPr>
        <w:t>.</w:t>
      </w:r>
    </w:p>
    <w:p w14:paraId="0C704BBA" w14:textId="77777777" w:rsidR="00930C8B" w:rsidRPr="00930C8B" w:rsidRDefault="00930C8B" w:rsidP="00930C8B">
      <w:pPr>
        <w:rPr>
          <w:rFonts w:ascii="Verdana" w:hAnsi="Verdana"/>
          <w:sz w:val="20"/>
          <w:szCs w:val="20"/>
          <w:lang w:val="es-CR"/>
        </w:rPr>
      </w:pPr>
    </w:p>
    <w:p w14:paraId="0C704BBB" w14:textId="65DCF9BF" w:rsid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La Corte constató que las declaraciones de los miembros de la Comunidad de Punta Piedra son consistentes en señalar que, en el contexto de la usurpación de tierra y la muerte de </w:t>
      </w:r>
      <w:r w:rsidR="00631669">
        <w:rPr>
          <w:rFonts w:ascii="Verdana" w:hAnsi="Verdana"/>
          <w:sz w:val="20"/>
          <w:szCs w:val="20"/>
          <w:lang w:val="es-MX"/>
        </w:rPr>
        <w:t>Félix Ordóñez Suazo</w:t>
      </w:r>
      <w:r w:rsidRPr="00930C8B">
        <w:rPr>
          <w:rFonts w:ascii="Verdana" w:hAnsi="Verdana"/>
          <w:sz w:val="20"/>
          <w:szCs w:val="20"/>
          <w:lang w:val="es-MX"/>
        </w:rPr>
        <w:t>, los pobladores de la Aldea de Río Miel los han amenazado de manera constante, mediante intimidaciones verbales y uso de armas de fuego. Dicha situación ha tenido como consecuencia el desarrollo de un temor generalizado en la Comunidad, a la vez que ha limitado el uso de su territorio, y sus efectos permanecen en la actualidad</w:t>
      </w:r>
      <w:r w:rsidRPr="00930C8B">
        <w:rPr>
          <w:rFonts w:ascii="Verdana" w:hAnsi="Verdana"/>
          <w:sz w:val="20"/>
          <w:szCs w:val="20"/>
          <w:vertAlign w:val="superscript"/>
          <w:lang w:val="es-MX"/>
        </w:rPr>
        <w:footnoteReference w:id="291"/>
      </w:r>
      <w:r w:rsidRPr="00930C8B">
        <w:rPr>
          <w:rFonts w:ascii="Verdana" w:hAnsi="Verdana"/>
          <w:sz w:val="20"/>
          <w:szCs w:val="20"/>
          <w:lang w:val="es-MX"/>
        </w:rPr>
        <w:t>.</w:t>
      </w:r>
    </w:p>
    <w:p w14:paraId="0C704BBD" w14:textId="69660B72"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lastRenderedPageBreak/>
        <w:t xml:space="preserve">En este sentido, el señor Armando Castillo, miembro de la Comunidad de Punta Piedra, señaló en su </w:t>
      </w:r>
      <w:r w:rsidRPr="00930C8B">
        <w:rPr>
          <w:rFonts w:ascii="Verdana" w:hAnsi="Verdana"/>
          <w:i/>
          <w:sz w:val="20"/>
          <w:szCs w:val="20"/>
          <w:lang w:val="es-MX"/>
        </w:rPr>
        <w:t>affid</w:t>
      </w:r>
      <w:r w:rsidR="00914504">
        <w:rPr>
          <w:rFonts w:ascii="Verdana" w:hAnsi="Verdana"/>
          <w:i/>
          <w:sz w:val="20"/>
          <w:szCs w:val="20"/>
          <w:lang w:val="es-MX"/>
        </w:rPr>
        <w:t>a</w:t>
      </w:r>
      <w:r w:rsidRPr="00930C8B">
        <w:rPr>
          <w:rFonts w:ascii="Verdana" w:hAnsi="Verdana"/>
          <w:i/>
          <w:sz w:val="20"/>
          <w:szCs w:val="20"/>
          <w:lang w:val="es-MX"/>
        </w:rPr>
        <w:t>vit</w:t>
      </w:r>
      <w:r w:rsidRPr="00930C8B">
        <w:rPr>
          <w:rFonts w:ascii="Verdana" w:hAnsi="Verdana"/>
          <w:sz w:val="20"/>
          <w:szCs w:val="20"/>
          <w:lang w:val="es-MX"/>
        </w:rPr>
        <w:t xml:space="preserve"> presentado ante la Corte que “[m]</w:t>
      </w:r>
      <w:proofErr w:type="spellStart"/>
      <w:r w:rsidRPr="00930C8B">
        <w:rPr>
          <w:rFonts w:ascii="Verdana" w:hAnsi="Verdana"/>
          <w:sz w:val="20"/>
          <w:szCs w:val="20"/>
          <w:lang w:val="es-MX"/>
        </w:rPr>
        <w:t>urió</w:t>
      </w:r>
      <w:proofErr w:type="spellEnd"/>
      <w:r w:rsidRPr="00930C8B">
        <w:rPr>
          <w:rFonts w:ascii="Verdana" w:hAnsi="Verdana"/>
          <w:sz w:val="20"/>
          <w:szCs w:val="20"/>
          <w:lang w:val="es-MX"/>
        </w:rPr>
        <w:t xml:space="preserve"> allí […] Félix Ordóñez por luchar. Era un líder y por eso lo mataron, para que les [dejaran] todo y no </w:t>
      </w:r>
      <w:r w:rsidRPr="00930C8B">
        <w:rPr>
          <w:rFonts w:ascii="Verdana" w:hAnsi="Verdana"/>
          <w:spacing w:val="-2"/>
          <w:sz w:val="20"/>
          <w:szCs w:val="20"/>
          <w:lang w:val="es-CR"/>
        </w:rPr>
        <w:t>seguir</w:t>
      </w:r>
      <w:r w:rsidRPr="00930C8B">
        <w:rPr>
          <w:rFonts w:ascii="Verdana" w:hAnsi="Verdana"/>
          <w:sz w:val="20"/>
          <w:szCs w:val="20"/>
          <w:lang w:val="es-MX"/>
        </w:rPr>
        <w:t xml:space="preserve"> la lucha. Félix defendió a su pueblo con su vida. […] Mataron al pueblo junto con el hermano Félix”</w:t>
      </w:r>
      <w:r w:rsidRPr="00930C8B">
        <w:rPr>
          <w:rFonts w:ascii="Verdana" w:hAnsi="Verdana"/>
          <w:sz w:val="20"/>
          <w:szCs w:val="20"/>
          <w:vertAlign w:val="superscript"/>
          <w:lang w:val="es-MX"/>
        </w:rPr>
        <w:footnoteReference w:id="292"/>
      </w:r>
      <w:r w:rsidRPr="00930C8B">
        <w:rPr>
          <w:rFonts w:ascii="Verdana" w:hAnsi="Verdana"/>
          <w:sz w:val="20"/>
          <w:szCs w:val="20"/>
          <w:lang w:val="es-MX"/>
        </w:rPr>
        <w:t xml:space="preserve">. </w:t>
      </w:r>
    </w:p>
    <w:p w14:paraId="0C704BBE" w14:textId="77777777" w:rsidR="00930C8B" w:rsidRPr="00930C8B" w:rsidRDefault="00930C8B" w:rsidP="00930C8B">
      <w:pPr>
        <w:tabs>
          <w:tab w:val="left" w:pos="567"/>
        </w:tabs>
        <w:contextualSpacing/>
        <w:jc w:val="both"/>
        <w:rPr>
          <w:rFonts w:ascii="Verdana" w:hAnsi="Verdana"/>
          <w:sz w:val="20"/>
          <w:szCs w:val="20"/>
          <w:lang w:val="es-MX"/>
        </w:rPr>
      </w:pPr>
    </w:p>
    <w:p w14:paraId="0C704BBF" w14:textId="3648BBC6"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Asimismo, el señor Paulino Mejía, miembro de la Comunidad de Punta Piedra y presunta víctima de una denuncia por usurpación y amenazas (</w:t>
      </w:r>
      <w:r w:rsidRPr="00930C8B">
        <w:rPr>
          <w:rFonts w:ascii="Verdana" w:hAnsi="Verdana"/>
          <w:i/>
          <w:sz w:val="20"/>
          <w:szCs w:val="20"/>
          <w:lang w:val="es-MX"/>
        </w:rPr>
        <w:t>supra</w:t>
      </w:r>
      <w:r w:rsidRPr="00930C8B">
        <w:rPr>
          <w:rFonts w:ascii="Verdana" w:hAnsi="Verdana"/>
          <w:sz w:val="20"/>
          <w:szCs w:val="20"/>
          <w:lang w:val="es-MX"/>
        </w:rPr>
        <w:t xml:space="preserve"> párr. </w:t>
      </w:r>
      <w:r w:rsidR="00914504">
        <w:rPr>
          <w:rFonts w:ascii="Verdana" w:hAnsi="Verdana"/>
          <w:sz w:val="20"/>
          <w:szCs w:val="20"/>
          <w:lang w:val="es-MX"/>
        </w:rPr>
        <w:t>150</w:t>
      </w:r>
      <w:r w:rsidRPr="00930C8B">
        <w:rPr>
          <w:rFonts w:ascii="Verdana" w:hAnsi="Verdana"/>
          <w:sz w:val="20"/>
          <w:szCs w:val="20"/>
          <w:lang w:val="es-MX"/>
        </w:rPr>
        <w:t xml:space="preserve">), manifestó en su </w:t>
      </w:r>
      <w:r w:rsidRPr="00930C8B">
        <w:rPr>
          <w:rFonts w:ascii="Verdana" w:hAnsi="Verdana"/>
          <w:i/>
          <w:sz w:val="20"/>
          <w:szCs w:val="20"/>
          <w:lang w:val="es-MX"/>
        </w:rPr>
        <w:t>affidavit</w:t>
      </w:r>
      <w:r w:rsidRPr="00930C8B">
        <w:rPr>
          <w:rFonts w:ascii="Verdana" w:hAnsi="Verdana"/>
          <w:sz w:val="20"/>
          <w:szCs w:val="20"/>
          <w:lang w:val="es-MX"/>
        </w:rPr>
        <w:t xml:space="preserve"> </w:t>
      </w:r>
      <w:r w:rsidRPr="00930C8B">
        <w:rPr>
          <w:rFonts w:ascii="Verdana" w:hAnsi="Verdana"/>
          <w:spacing w:val="-2"/>
          <w:sz w:val="20"/>
          <w:szCs w:val="20"/>
          <w:lang w:val="es-CR"/>
        </w:rPr>
        <w:t>presentado</w:t>
      </w:r>
      <w:r w:rsidRPr="00930C8B">
        <w:rPr>
          <w:rFonts w:ascii="Verdana" w:hAnsi="Verdana"/>
          <w:sz w:val="20"/>
          <w:szCs w:val="20"/>
          <w:lang w:val="es-MX"/>
        </w:rPr>
        <w:t xml:space="preserve"> ante la Corte que “</w:t>
      </w:r>
      <w:proofErr w:type="spellStart"/>
      <w:proofErr w:type="gramStart"/>
      <w:r w:rsidRPr="00930C8B">
        <w:rPr>
          <w:rFonts w:ascii="Verdana" w:hAnsi="Verdana"/>
          <w:sz w:val="20"/>
          <w:szCs w:val="20"/>
          <w:lang w:val="es-MX"/>
        </w:rPr>
        <w:t>viv</w:t>
      </w:r>
      <w:proofErr w:type="spellEnd"/>
      <w:r w:rsidRPr="00930C8B">
        <w:rPr>
          <w:rFonts w:ascii="Verdana" w:hAnsi="Verdana"/>
          <w:sz w:val="20"/>
          <w:szCs w:val="20"/>
          <w:lang w:val="es-MX"/>
        </w:rPr>
        <w:t>[</w:t>
      </w:r>
      <w:proofErr w:type="spellStart"/>
      <w:proofErr w:type="gramEnd"/>
      <w:r w:rsidRPr="00930C8B">
        <w:rPr>
          <w:rFonts w:ascii="Verdana" w:hAnsi="Verdana"/>
          <w:sz w:val="20"/>
          <w:szCs w:val="20"/>
          <w:lang w:val="es-MX"/>
        </w:rPr>
        <w:t>ió</w:t>
      </w:r>
      <w:proofErr w:type="spellEnd"/>
      <w:r w:rsidRPr="00930C8B">
        <w:rPr>
          <w:rFonts w:ascii="Verdana" w:hAnsi="Verdana"/>
          <w:sz w:val="20"/>
          <w:szCs w:val="20"/>
          <w:lang w:val="es-MX"/>
        </w:rPr>
        <w:t>] en propia carne cuando masacraron a [su] compañero Félix Ordóñez, [estaban] colindados en el mismo predio de trabajo. Esa persecución todavía sigue allí. [Lo] pasan amenazando a cada rato hombres fuertemente armados, como si estuvieran cazando venados u otros animales. […] Solo pasan haciendo tiros en el monte. S</w:t>
      </w:r>
      <w:r w:rsidR="00C77120">
        <w:rPr>
          <w:rFonts w:ascii="Verdana" w:hAnsi="Verdana"/>
          <w:sz w:val="20"/>
          <w:szCs w:val="20"/>
          <w:lang w:val="es-MX"/>
        </w:rPr>
        <w:t>ó</w:t>
      </w:r>
      <w:r w:rsidRPr="00930C8B">
        <w:rPr>
          <w:rFonts w:ascii="Verdana" w:hAnsi="Verdana"/>
          <w:sz w:val="20"/>
          <w:szCs w:val="20"/>
          <w:lang w:val="es-MX"/>
        </w:rPr>
        <w:t>lo Dios sabe cómo no han baleado a alguien de [la Comunidad]”</w:t>
      </w:r>
      <w:r w:rsidRPr="00930C8B">
        <w:rPr>
          <w:rFonts w:ascii="Verdana" w:hAnsi="Verdana"/>
          <w:sz w:val="20"/>
          <w:szCs w:val="20"/>
          <w:vertAlign w:val="superscript"/>
          <w:lang w:val="es-MX"/>
        </w:rPr>
        <w:footnoteReference w:id="293"/>
      </w:r>
      <w:r w:rsidRPr="00930C8B">
        <w:rPr>
          <w:rFonts w:ascii="Verdana" w:hAnsi="Verdana"/>
          <w:sz w:val="20"/>
          <w:szCs w:val="20"/>
          <w:lang w:val="es-MX"/>
        </w:rPr>
        <w:t>.</w:t>
      </w:r>
    </w:p>
    <w:p w14:paraId="0C704BC0" w14:textId="77777777" w:rsidR="00930C8B" w:rsidRPr="00930C8B" w:rsidRDefault="00930C8B" w:rsidP="00930C8B">
      <w:pPr>
        <w:rPr>
          <w:rFonts w:ascii="Verdana" w:hAnsi="Verdana"/>
          <w:sz w:val="20"/>
          <w:szCs w:val="20"/>
          <w:lang w:val="es-CR"/>
        </w:rPr>
      </w:pPr>
    </w:p>
    <w:p w14:paraId="0C704BC1" w14:textId="2DD69C0E"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A su vez, durante la audiencia pública ante la Comisión Interamericana celebrada el 7 de marzo de 2006, el señor Benito </w:t>
      </w:r>
      <w:proofErr w:type="spellStart"/>
      <w:r w:rsidRPr="00930C8B">
        <w:rPr>
          <w:rFonts w:ascii="Verdana" w:hAnsi="Verdana"/>
          <w:sz w:val="20"/>
          <w:szCs w:val="20"/>
          <w:lang w:val="es-MX"/>
        </w:rPr>
        <w:t>Bernández</w:t>
      </w:r>
      <w:proofErr w:type="spellEnd"/>
      <w:r w:rsidRPr="00930C8B">
        <w:rPr>
          <w:rFonts w:ascii="Verdana" w:hAnsi="Verdana"/>
          <w:sz w:val="20"/>
          <w:szCs w:val="20"/>
          <w:lang w:val="es-MX"/>
        </w:rPr>
        <w:t xml:space="preserve">, miembro de la Comunidad de </w:t>
      </w:r>
      <w:r w:rsidRPr="00930C8B">
        <w:rPr>
          <w:rFonts w:ascii="Verdana" w:hAnsi="Verdana"/>
          <w:spacing w:val="-2"/>
          <w:sz w:val="20"/>
          <w:szCs w:val="20"/>
          <w:lang w:val="es-CR"/>
        </w:rPr>
        <w:t>Punta</w:t>
      </w:r>
      <w:r w:rsidRPr="00930C8B">
        <w:rPr>
          <w:rFonts w:ascii="Verdana" w:hAnsi="Verdana"/>
          <w:sz w:val="20"/>
          <w:szCs w:val="20"/>
          <w:lang w:val="es-MX"/>
        </w:rPr>
        <w:t xml:space="preserve"> Piedra, manifestó que “[t]</w:t>
      </w:r>
      <w:proofErr w:type="spellStart"/>
      <w:r w:rsidRPr="00930C8B">
        <w:rPr>
          <w:rFonts w:ascii="Verdana" w:hAnsi="Verdana"/>
          <w:sz w:val="20"/>
          <w:szCs w:val="20"/>
          <w:lang w:val="es-MX"/>
        </w:rPr>
        <w:t>odos</w:t>
      </w:r>
      <w:proofErr w:type="spellEnd"/>
      <w:r w:rsidRPr="00930C8B">
        <w:rPr>
          <w:rFonts w:ascii="Verdana" w:hAnsi="Verdana"/>
          <w:sz w:val="20"/>
          <w:szCs w:val="20"/>
          <w:lang w:val="es-MX"/>
        </w:rPr>
        <w:t xml:space="preserve"> los días los hijos de la </w:t>
      </w:r>
      <w:r w:rsidR="00914504">
        <w:rPr>
          <w:rFonts w:ascii="Verdana" w:hAnsi="Verdana"/>
          <w:sz w:val="20"/>
          <w:szCs w:val="20"/>
          <w:lang w:val="es-MX"/>
        </w:rPr>
        <w:t>C</w:t>
      </w:r>
      <w:r w:rsidRPr="00930C8B">
        <w:rPr>
          <w:rFonts w:ascii="Verdana" w:hAnsi="Verdana"/>
          <w:sz w:val="20"/>
          <w:szCs w:val="20"/>
          <w:lang w:val="es-MX"/>
        </w:rPr>
        <w:t xml:space="preserve">omunidad son perseguidos por los </w:t>
      </w:r>
      <w:proofErr w:type="gramStart"/>
      <w:r w:rsidRPr="00930C8B">
        <w:rPr>
          <w:rFonts w:ascii="Verdana" w:hAnsi="Verdana"/>
          <w:sz w:val="20"/>
          <w:szCs w:val="20"/>
          <w:lang w:val="es-MX"/>
        </w:rPr>
        <w:t>invasores[</w:t>
      </w:r>
      <w:proofErr w:type="gramEnd"/>
      <w:r w:rsidRPr="00930C8B">
        <w:rPr>
          <w:rFonts w:ascii="Verdana" w:hAnsi="Verdana"/>
          <w:sz w:val="20"/>
          <w:szCs w:val="20"/>
          <w:lang w:val="es-MX"/>
        </w:rPr>
        <w:t>.] Persiguieron a [su] papá con armas de alto calibre”. Asimismo, manifestó que al llegar a Honduras los invasores se van a dar cuenta de la asistencia de los miembros de la Comunidad a la audiencia ante la Comisión, y en virtud de ello serán amenazados.</w:t>
      </w:r>
    </w:p>
    <w:p w14:paraId="0C704BC2" w14:textId="77777777" w:rsidR="00930C8B" w:rsidRPr="00930C8B" w:rsidRDefault="00930C8B" w:rsidP="00930C8B">
      <w:pPr>
        <w:tabs>
          <w:tab w:val="left" w:pos="567"/>
        </w:tabs>
        <w:contextualSpacing/>
        <w:jc w:val="both"/>
        <w:rPr>
          <w:rFonts w:ascii="Verdana" w:hAnsi="Verdana" w:cs="Arial"/>
          <w:iCs/>
          <w:spacing w:val="-2"/>
          <w:sz w:val="20"/>
          <w:szCs w:val="20"/>
          <w:lang w:val="es-CR"/>
        </w:rPr>
      </w:pPr>
    </w:p>
    <w:p w14:paraId="0C704BC3" w14:textId="18FB3816" w:rsidR="00930C8B" w:rsidRPr="00930C8B" w:rsidRDefault="00914504" w:rsidP="00930C8B">
      <w:pPr>
        <w:numPr>
          <w:ilvl w:val="0"/>
          <w:numId w:val="17"/>
        </w:numPr>
        <w:ind w:left="0" w:hanging="11"/>
        <w:contextualSpacing/>
        <w:jc w:val="both"/>
        <w:rPr>
          <w:rFonts w:ascii="Verdana" w:hAnsi="Verdana"/>
          <w:sz w:val="20"/>
          <w:szCs w:val="20"/>
        </w:rPr>
      </w:pPr>
      <w:r>
        <w:rPr>
          <w:rFonts w:ascii="Verdana" w:hAnsi="Verdana"/>
          <w:sz w:val="20"/>
          <w:szCs w:val="20"/>
          <w:lang w:val="es-MX"/>
        </w:rPr>
        <w:t>L</w:t>
      </w:r>
      <w:r w:rsidR="00930C8B" w:rsidRPr="00930C8B">
        <w:rPr>
          <w:rFonts w:ascii="Verdana" w:hAnsi="Verdana"/>
          <w:sz w:val="20"/>
          <w:szCs w:val="20"/>
          <w:lang w:val="es-MX"/>
        </w:rPr>
        <w:t xml:space="preserve">a Corte considera que la falta de saneamiento tuvo como consecuencia </w:t>
      </w:r>
      <w:r w:rsidR="00930C8B" w:rsidRPr="00930C8B">
        <w:rPr>
          <w:rFonts w:ascii="Verdana" w:hAnsi="Verdana"/>
          <w:sz w:val="20"/>
          <w:szCs w:val="20"/>
          <w:lang w:val="es-ES"/>
        </w:rPr>
        <w:t xml:space="preserve">la creación de una situación de  riesgo general en el territorio de la Comunidad Garífuna de Punta Piedra, caracterizada por amenazas y actos de hostigamiento entre particulares. En dicho contexto se produjo la muerte del señor </w:t>
      </w:r>
      <w:r w:rsidR="00631669">
        <w:rPr>
          <w:rFonts w:ascii="Verdana" w:hAnsi="Verdana"/>
          <w:sz w:val="20"/>
          <w:szCs w:val="20"/>
          <w:lang w:val="es-ES"/>
        </w:rPr>
        <w:t>Félix Ordóñez Suazo</w:t>
      </w:r>
      <w:r w:rsidR="00930C8B" w:rsidRPr="00930C8B">
        <w:rPr>
          <w:rFonts w:ascii="Verdana" w:hAnsi="Verdana"/>
          <w:sz w:val="20"/>
          <w:szCs w:val="20"/>
          <w:lang w:val="es-ES"/>
        </w:rPr>
        <w:t xml:space="preserve">. Sobre </w:t>
      </w:r>
      <w:r>
        <w:rPr>
          <w:rFonts w:ascii="Verdana" w:hAnsi="Verdana"/>
          <w:sz w:val="20"/>
          <w:szCs w:val="20"/>
          <w:lang w:val="es-ES"/>
        </w:rPr>
        <w:t>la</w:t>
      </w:r>
      <w:r w:rsidRPr="00930C8B">
        <w:rPr>
          <w:rFonts w:ascii="Verdana" w:hAnsi="Verdana"/>
          <w:sz w:val="20"/>
          <w:szCs w:val="20"/>
          <w:lang w:val="es-ES"/>
        </w:rPr>
        <w:t xml:space="preserve"> </w:t>
      </w:r>
      <w:r w:rsidR="00930C8B" w:rsidRPr="00930C8B">
        <w:rPr>
          <w:rFonts w:ascii="Verdana" w:hAnsi="Verdana"/>
          <w:sz w:val="20"/>
          <w:szCs w:val="20"/>
          <w:lang w:val="es-ES"/>
        </w:rPr>
        <w:t>base</w:t>
      </w:r>
      <w:r>
        <w:rPr>
          <w:rFonts w:ascii="Verdana" w:hAnsi="Verdana"/>
          <w:sz w:val="20"/>
          <w:szCs w:val="20"/>
          <w:lang w:val="es-ES"/>
        </w:rPr>
        <w:t xml:space="preserve"> de lo anterior</w:t>
      </w:r>
      <w:r w:rsidR="00930C8B" w:rsidRPr="00930C8B">
        <w:rPr>
          <w:rFonts w:ascii="Verdana" w:hAnsi="Verdana"/>
          <w:sz w:val="20"/>
          <w:szCs w:val="20"/>
          <w:lang w:val="es-ES"/>
        </w:rPr>
        <w:t>, el Tribunal procederá a determinar el grado de conocimiento que tenía el Estado de la situación de riesgo observada.</w:t>
      </w:r>
      <w:r w:rsidR="00930C8B" w:rsidRPr="00930C8B">
        <w:rPr>
          <w:rFonts w:ascii="Verdana" w:hAnsi="Verdana"/>
          <w:sz w:val="20"/>
          <w:szCs w:val="20"/>
        </w:rPr>
        <w:t xml:space="preserve"> </w:t>
      </w:r>
    </w:p>
    <w:p w14:paraId="0C704BC4" w14:textId="77777777" w:rsidR="00930C8B" w:rsidRPr="00930C8B" w:rsidRDefault="00930C8B" w:rsidP="00930C8B">
      <w:pPr>
        <w:contextualSpacing/>
        <w:jc w:val="both"/>
        <w:rPr>
          <w:rFonts w:ascii="Verdana" w:hAnsi="Verdana"/>
          <w:sz w:val="20"/>
          <w:szCs w:val="20"/>
        </w:rPr>
      </w:pPr>
    </w:p>
    <w:p w14:paraId="0C704BC5" w14:textId="78A3658D" w:rsidR="00930C8B" w:rsidRDefault="00930C8B" w:rsidP="00930C8B">
      <w:pPr>
        <w:numPr>
          <w:ilvl w:val="0"/>
          <w:numId w:val="17"/>
        </w:numPr>
        <w:ind w:left="0" w:hanging="11"/>
        <w:contextualSpacing/>
        <w:jc w:val="both"/>
        <w:rPr>
          <w:rFonts w:ascii="Verdana" w:hAnsi="Verdana"/>
          <w:sz w:val="20"/>
          <w:szCs w:val="20"/>
        </w:rPr>
      </w:pPr>
      <w:r w:rsidRPr="00930C8B">
        <w:rPr>
          <w:rFonts w:ascii="Verdana" w:hAnsi="Verdana"/>
          <w:sz w:val="20"/>
          <w:szCs w:val="20"/>
        </w:rPr>
        <w:t xml:space="preserve">Al respecto, la Corte constató que en el acta de compromiso de 13 de diciembre de 2001, firmada por la Comisión Interinstitucional </w:t>
      </w:r>
      <w:r w:rsidRPr="00930C8B">
        <w:rPr>
          <w:rFonts w:ascii="Verdana" w:hAnsi="Verdana"/>
          <w:i/>
          <w:sz w:val="20"/>
          <w:szCs w:val="20"/>
        </w:rPr>
        <w:t>Ad-Hoc</w:t>
      </w:r>
      <w:r w:rsidRPr="00930C8B">
        <w:rPr>
          <w:rFonts w:ascii="Verdana" w:hAnsi="Verdana"/>
          <w:sz w:val="20"/>
          <w:szCs w:val="20"/>
          <w:vertAlign w:val="superscript"/>
        </w:rPr>
        <w:footnoteReference w:id="294"/>
      </w:r>
      <w:r w:rsidRPr="00930C8B">
        <w:rPr>
          <w:rFonts w:ascii="Verdana" w:hAnsi="Verdana"/>
          <w:sz w:val="20"/>
          <w:szCs w:val="20"/>
        </w:rPr>
        <w:t xml:space="preserve"> y representantes de las comunidades de Río Miel y Punta Piedra se dejó constancia que la problemática “pon[</w:t>
      </w:r>
      <w:proofErr w:type="spellStart"/>
      <w:r w:rsidRPr="00930C8B">
        <w:rPr>
          <w:rFonts w:ascii="Verdana" w:hAnsi="Verdana"/>
          <w:sz w:val="20"/>
          <w:szCs w:val="20"/>
        </w:rPr>
        <w:t>ía</w:t>
      </w:r>
      <w:proofErr w:type="spellEnd"/>
      <w:r w:rsidRPr="00930C8B">
        <w:rPr>
          <w:rFonts w:ascii="Verdana" w:hAnsi="Verdana"/>
          <w:sz w:val="20"/>
          <w:szCs w:val="20"/>
        </w:rPr>
        <w:t>] en peligro la integridad física y algunos bienes de los habitantes de las comunidades representadas” (</w:t>
      </w:r>
      <w:r w:rsidRPr="00930C8B">
        <w:rPr>
          <w:rFonts w:ascii="Verdana" w:hAnsi="Verdana"/>
          <w:i/>
          <w:sz w:val="20"/>
          <w:szCs w:val="20"/>
        </w:rPr>
        <w:t>supra</w:t>
      </w:r>
      <w:r w:rsidRPr="00930C8B">
        <w:rPr>
          <w:rFonts w:ascii="Verdana" w:hAnsi="Verdana"/>
          <w:sz w:val="20"/>
          <w:szCs w:val="20"/>
        </w:rPr>
        <w:t xml:space="preserve"> párr. </w:t>
      </w:r>
      <w:r w:rsidR="00914504">
        <w:rPr>
          <w:rFonts w:ascii="Verdana" w:hAnsi="Verdana"/>
          <w:sz w:val="20"/>
          <w:szCs w:val="20"/>
        </w:rPr>
        <w:t>114</w:t>
      </w:r>
      <w:r w:rsidR="00914504" w:rsidRPr="00930C8B">
        <w:rPr>
          <w:rFonts w:ascii="Verdana" w:hAnsi="Verdana"/>
          <w:sz w:val="20"/>
          <w:szCs w:val="20"/>
        </w:rPr>
        <w:t>).</w:t>
      </w:r>
    </w:p>
    <w:p w14:paraId="1F7E4C25" w14:textId="77777777" w:rsidR="00C77120" w:rsidRPr="00930C8B" w:rsidRDefault="00C77120" w:rsidP="00A0324F">
      <w:pPr>
        <w:contextualSpacing/>
        <w:jc w:val="both"/>
        <w:rPr>
          <w:rFonts w:ascii="Verdana" w:hAnsi="Verdana"/>
          <w:sz w:val="20"/>
          <w:szCs w:val="20"/>
        </w:rPr>
      </w:pPr>
    </w:p>
    <w:p w14:paraId="0C704BC7" w14:textId="291DC9AF"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Asimismo, la Corte verificó que e</w:t>
      </w:r>
      <w:r w:rsidRPr="00930C8B">
        <w:rPr>
          <w:rFonts w:ascii="Verdana" w:hAnsi="Verdana"/>
          <w:sz w:val="20"/>
          <w:szCs w:val="20"/>
          <w:lang w:val="es-CR"/>
        </w:rPr>
        <w:t xml:space="preserve">l 22 mayo de 2003 el señor </w:t>
      </w:r>
      <w:r w:rsidR="00631669">
        <w:rPr>
          <w:rFonts w:ascii="Verdana" w:hAnsi="Verdana"/>
          <w:sz w:val="20"/>
          <w:szCs w:val="20"/>
          <w:lang w:val="es-CR"/>
        </w:rPr>
        <w:t>Félix Ordóñez Suazo</w:t>
      </w:r>
      <w:r w:rsidRPr="00930C8B">
        <w:rPr>
          <w:rFonts w:ascii="Verdana" w:hAnsi="Verdana"/>
          <w:sz w:val="20"/>
          <w:szCs w:val="20"/>
          <w:lang w:val="es-CR"/>
        </w:rPr>
        <w:t xml:space="preserve">, interpuso una denuncia ante la Dirección General de Investigación Criminal en contra del señor Luis Portillo, miembro de la Aldea de </w:t>
      </w:r>
      <w:r w:rsidRPr="00930C8B">
        <w:rPr>
          <w:rFonts w:ascii="Verdana" w:hAnsi="Verdana"/>
          <w:spacing w:val="-2"/>
          <w:sz w:val="20"/>
          <w:szCs w:val="20"/>
          <w:lang w:val="es-CR"/>
        </w:rPr>
        <w:t>Río</w:t>
      </w:r>
      <w:r w:rsidRPr="00930C8B">
        <w:rPr>
          <w:rFonts w:ascii="Verdana" w:hAnsi="Verdana"/>
          <w:sz w:val="20"/>
          <w:szCs w:val="20"/>
          <w:lang w:val="es-CR"/>
        </w:rPr>
        <w:t xml:space="preserve"> Miel, por la presunta </w:t>
      </w:r>
      <w:r w:rsidRPr="00930C8B">
        <w:rPr>
          <w:rFonts w:ascii="Verdana" w:hAnsi="Verdana"/>
          <w:sz w:val="20"/>
          <w:szCs w:val="20"/>
          <w:lang w:val="es-CR"/>
        </w:rPr>
        <w:lastRenderedPageBreak/>
        <w:t>comisión del delito de usurpación de tierras</w:t>
      </w:r>
      <w:r w:rsidRPr="00930C8B">
        <w:rPr>
          <w:rFonts w:ascii="Verdana" w:hAnsi="Verdana"/>
          <w:sz w:val="20"/>
          <w:szCs w:val="20"/>
          <w:vertAlign w:val="superscript"/>
          <w:lang w:val="es-CR"/>
        </w:rPr>
        <w:footnoteReference w:id="295"/>
      </w:r>
      <w:r w:rsidRPr="00930C8B">
        <w:rPr>
          <w:rFonts w:ascii="Verdana" w:hAnsi="Verdana"/>
          <w:sz w:val="20"/>
          <w:szCs w:val="20"/>
          <w:lang w:val="es-CR"/>
        </w:rPr>
        <w:t>. Dicha denuncia establecía que en mayo de 2003, Luis Portillo quiso apoderarse de un área aproximada de tres a ocho manzanas de terreno, ubicados en la Comunidad de Punta Piedra (</w:t>
      </w:r>
      <w:r w:rsidR="00914504">
        <w:rPr>
          <w:rFonts w:ascii="Verdana" w:hAnsi="Verdana"/>
          <w:i/>
          <w:sz w:val="20"/>
          <w:szCs w:val="20"/>
          <w:lang w:val="es-CR"/>
        </w:rPr>
        <w:t>supra</w:t>
      </w:r>
      <w:r w:rsidR="00914504" w:rsidRPr="00930C8B">
        <w:rPr>
          <w:rFonts w:ascii="Verdana" w:hAnsi="Verdana"/>
          <w:sz w:val="20"/>
          <w:szCs w:val="20"/>
          <w:lang w:val="es-CR"/>
        </w:rPr>
        <w:t xml:space="preserve"> </w:t>
      </w:r>
      <w:r w:rsidRPr="00930C8B">
        <w:rPr>
          <w:rFonts w:ascii="Verdana" w:hAnsi="Verdana"/>
          <w:sz w:val="20"/>
          <w:szCs w:val="20"/>
          <w:lang w:val="es-CR"/>
        </w:rPr>
        <w:t xml:space="preserve">párr. </w:t>
      </w:r>
      <w:r w:rsidR="00914504">
        <w:rPr>
          <w:rFonts w:ascii="Verdana" w:hAnsi="Verdana"/>
          <w:sz w:val="20"/>
          <w:szCs w:val="20"/>
          <w:lang w:val="es-CR"/>
        </w:rPr>
        <w:t>13</w:t>
      </w:r>
      <w:r w:rsidR="00D1145B">
        <w:rPr>
          <w:rFonts w:ascii="Verdana" w:hAnsi="Verdana"/>
          <w:sz w:val="20"/>
          <w:szCs w:val="20"/>
          <w:lang w:val="es-CR"/>
        </w:rPr>
        <w:t>3</w:t>
      </w:r>
      <w:r w:rsidR="00914504" w:rsidRPr="00930C8B">
        <w:rPr>
          <w:rFonts w:ascii="Verdana" w:hAnsi="Verdana"/>
          <w:sz w:val="20"/>
          <w:szCs w:val="20"/>
          <w:lang w:val="es-CR"/>
        </w:rPr>
        <w:t xml:space="preserve">). </w:t>
      </w:r>
      <w:r w:rsidRPr="00930C8B">
        <w:rPr>
          <w:rFonts w:ascii="Verdana" w:hAnsi="Verdana"/>
          <w:sz w:val="20"/>
          <w:szCs w:val="20"/>
          <w:lang w:val="es-ES"/>
        </w:rPr>
        <w:t>Al respecto, el Tribunal nota que el Estado no llevó a cabo ninguna diligencia de importancia para el esclarecimiento de los hechos y la sanción de los responsables, en contravención de los principios de la debida diligencia y el plazo razonable (</w:t>
      </w:r>
      <w:r w:rsidRPr="00930C8B">
        <w:rPr>
          <w:rFonts w:ascii="Verdana" w:hAnsi="Verdana"/>
          <w:i/>
          <w:sz w:val="20"/>
          <w:szCs w:val="20"/>
          <w:lang w:val="es-ES"/>
        </w:rPr>
        <w:t>infra</w:t>
      </w:r>
      <w:r w:rsidRPr="00930C8B">
        <w:rPr>
          <w:rFonts w:ascii="Verdana" w:hAnsi="Verdana"/>
          <w:sz w:val="20"/>
          <w:szCs w:val="20"/>
          <w:lang w:val="es-ES"/>
        </w:rPr>
        <w:t xml:space="preserve"> párr. </w:t>
      </w:r>
      <w:r w:rsidR="00914504">
        <w:rPr>
          <w:rFonts w:ascii="Verdana" w:hAnsi="Verdana"/>
          <w:sz w:val="20"/>
          <w:szCs w:val="20"/>
          <w:lang w:val="es-ES"/>
        </w:rPr>
        <w:t>290</w:t>
      </w:r>
      <w:r w:rsidR="00914504" w:rsidRPr="00930C8B">
        <w:rPr>
          <w:rFonts w:ascii="Verdana" w:hAnsi="Verdana"/>
          <w:sz w:val="20"/>
          <w:szCs w:val="20"/>
          <w:lang w:val="es-ES"/>
        </w:rPr>
        <w:t>).</w:t>
      </w:r>
    </w:p>
    <w:p w14:paraId="0C704BC8" w14:textId="77777777" w:rsidR="00930C8B" w:rsidRPr="00930C8B" w:rsidRDefault="00930C8B" w:rsidP="00930C8B">
      <w:pPr>
        <w:tabs>
          <w:tab w:val="left" w:pos="567"/>
        </w:tabs>
        <w:contextualSpacing/>
        <w:jc w:val="both"/>
        <w:rPr>
          <w:rFonts w:ascii="Verdana" w:hAnsi="Verdana"/>
          <w:sz w:val="20"/>
          <w:szCs w:val="20"/>
          <w:lang w:val="es-MX"/>
        </w:rPr>
      </w:pPr>
    </w:p>
    <w:p w14:paraId="0C704BC9" w14:textId="4E67F673" w:rsidR="00930C8B" w:rsidRPr="00930C8B" w:rsidRDefault="00C77120" w:rsidP="00930C8B">
      <w:pPr>
        <w:numPr>
          <w:ilvl w:val="0"/>
          <w:numId w:val="17"/>
        </w:numPr>
        <w:ind w:left="0" w:hanging="11"/>
        <w:contextualSpacing/>
        <w:jc w:val="both"/>
        <w:rPr>
          <w:rFonts w:ascii="Verdana" w:hAnsi="Verdana"/>
          <w:sz w:val="20"/>
          <w:szCs w:val="20"/>
          <w:lang w:val="es-MX"/>
        </w:rPr>
      </w:pPr>
      <w:r>
        <w:rPr>
          <w:rFonts w:ascii="Verdana" w:hAnsi="Verdana"/>
          <w:sz w:val="20"/>
          <w:szCs w:val="20"/>
          <w:lang w:val="es-MX"/>
        </w:rPr>
        <w:t>Asimismo</w:t>
      </w:r>
      <w:r w:rsidR="00930C8B" w:rsidRPr="00930C8B">
        <w:rPr>
          <w:rFonts w:ascii="Verdana" w:hAnsi="Verdana"/>
          <w:sz w:val="20"/>
          <w:szCs w:val="20"/>
          <w:lang w:val="es-MX"/>
        </w:rPr>
        <w:t>, la Corte verificó que, al momento de presentar la petición ante la Comisión el 29 de octubre de 2003 (</w:t>
      </w:r>
      <w:r w:rsidR="00930C8B" w:rsidRPr="00930C8B">
        <w:rPr>
          <w:rFonts w:ascii="Verdana" w:hAnsi="Verdana"/>
          <w:i/>
          <w:sz w:val="20"/>
          <w:szCs w:val="20"/>
          <w:lang w:val="es-MX"/>
        </w:rPr>
        <w:t>supra</w:t>
      </w:r>
      <w:r w:rsidR="00930C8B" w:rsidRPr="00930C8B">
        <w:rPr>
          <w:rFonts w:ascii="Verdana" w:hAnsi="Verdana"/>
          <w:sz w:val="20"/>
          <w:szCs w:val="20"/>
          <w:lang w:val="es-MX"/>
        </w:rPr>
        <w:t xml:space="preserve"> párr. </w:t>
      </w:r>
      <w:r w:rsidR="00914504">
        <w:rPr>
          <w:rFonts w:ascii="Verdana" w:hAnsi="Verdana"/>
          <w:sz w:val="20"/>
          <w:szCs w:val="20"/>
          <w:lang w:val="es-MX"/>
        </w:rPr>
        <w:t>2.a</w:t>
      </w:r>
      <w:r w:rsidR="00930C8B" w:rsidRPr="00930C8B">
        <w:rPr>
          <w:rFonts w:ascii="Verdana" w:hAnsi="Verdana"/>
          <w:sz w:val="20"/>
          <w:szCs w:val="20"/>
          <w:lang w:val="es-MX"/>
        </w:rPr>
        <w:t xml:space="preserve">), los representantes señalaron que el conflicto de tenencia de tierra con la </w:t>
      </w:r>
      <w:r w:rsidR="00CB6578">
        <w:rPr>
          <w:rFonts w:ascii="Verdana" w:hAnsi="Verdana"/>
          <w:sz w:val="20"/>
          <w:szCs w:val="20"/>
          <w:lang w:val="es-MX"/>
        </w:rPr>
        <w:t>Aldea de Río Miel</w:t>
      </w:r>
      <w:r w:rsidR="00930C8B" w:rsidRPr="00930C8B">
        <w:rPr>
          <w:rFonts w:ascii="Verdana" w:hAnsi="Verdana"/>
          <w:sz w:val="20"/>
          <w:szCs w:val="20"/>
          <w:lang w:val="es-MX"/>
        </w:rPr>
        <w:t xml:space="preserve"> “sembró el germen de la violencia y de la zozobra en la [Comunidad de Punta Piedra]”</w:t>
      </w:r>
      <w:r w:rsidR="00930C8B" w:rsidRPr="00930C8B">
        <w:rPr>
          <w:rFonts w:ascii="Verdana" w:hAnsi="Verdana"/>
          <w:sz w:val="20"/>
          <w:szCs w:val="20"/>
          <w:vertAlign w:val="superscript"/>
          <w:lang w:val="es-MX"/>
        </w:rPr>
        <w:footnoteReference w:id="296"/>
      </w:r>
      <w:r w:rsidR="00930C8B" w:rsidRPr="00930C8B">
        <w:rPr>
          <w:rFonts w:ascii="Verdana" w:hAnsi="Verdana"/>
          <w:sz w:val="20"/>
          <w:szCs w:val="20"/>
          <w:lang w:val="es-MX"/>
        </w:rPr>
        <w:t>. Dicha petición fue transmitida al Estado el 30 de enero del 2004.</w:t>
      </w:r>
    </w:p>
    <w:p w14:paraId="0C704BCA" w14:textId="77777777" w:rsidR="00930C8B" w:rsidRPr="00930C8B" w:rsidRDefault="00930C8B" w:rsidP="00930C8B">
      <w:pPr>
        <w:contextualSpacing/>
        <w:jc w:val="both"/>
        <w:rPr>
          <w:rFonts w:ascii="Verdana" w:hAnsi="Verdana"/>
          <w:sz w:val="20"/>
          <w:szCs w:val="20"/>
          <w:lang w:val="es-MX"/>
        </w:rPr>
      </w:pPr>
    </w:p>
    <w:p w14:paraId="0C704BCB" w14:textId="7EF7A9B4"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Por otro lado, la Corte constató que el 28 de septiembre de 2006, representantes de OFRANEH y de diversas </w:t>
      </w:r>
      <w:r w:rsidR="006D6EBB">
        <w:rPr>
          <w:rFonts w:ascii="Verdana" w:hAnsi="Verdana"/>
          <w:sz w:val="20"/>
          <w:szCs w:val="20"/>
          <w:lang w:val="es-MX"/>
        </w:rPr>
        <w:t>c</w:t>
      </w:r>
      <w:r w:rsidRPr="00930C8B">
        <w:rPr>
          <w:rFonts w:ascii="Verdana" w:hAnsi="Verdana"/>
          <w:sz w:val="20"/>
          <w:szCs w:val="20"/>
          <w:lang w:val="es-MX"/>
        </w:rPr>
        <w:t xml:space="preserve">omunidades </w:t>
      </w:r>
      <w:r w:rsidR="006D6EBB">
        <w:rPr>
          <w:rFonts w:ascii="Verdana" w:hAnsi="Verdana"/>
          <w:sz w:val="20"/>
          <w:szCs w:val="20"/>
          <w:lang w:val="es-MX"/>
        </w:rPr>
        <w:t>g</w:t>
      </w:r>
      <w:r w:rsidRPr="00930C8B">
        <w:rPr>
          <w:rFonts w:ascii="Verdana" w:hAnsi="Verdana"/>
          <w:sz w:val="20"/>
          <w:szCs w:val="20"/>
          <w:lang w:val="es-MX"/>
        </w:rPr>
        <w:t>arífunas, dentro de las cuales se encontraba la Comunidad de Punta Piedra, celebraron una reunión con autoridades estatales</w:t>
      </w:r>
      <w:r w:rsidRPr="00930C8B">
        <w:rPr>
          <w:rFonts w:ascii="Verdana" w:hAnsi="Verdana"/>
          <w:sz w:val="20"/>
          <w:szCs w:val="20"/>
          <w:vertAlign w:val="superscript"/>
          <w:lang w:val="es-MX"/>
        </w:rPr>
        <w:footnoteReference w:id="297"/>
      </w:r>
      <w:r w:rsidRPr="00930C8B">
        <w:rPr>
          <w:rFonts w:ascii="Verdana" w:hAnsi="Verdana"/>
          <w:sz w:val="20"/>
          <w:szCs w:val="20"/>
          <w:lang w:val="es-MX"/>
        </w:rPr>
        <w:t xml:space="preserve"> con el objeto de dar seguimiento a las </w:t>
      </w:r>
      <w:r w:rsidRPr="00930C8B">
        <w:rPr>
          <w:rFonts w:ascii="Verdana" w:hAnsi="Verdana"/>
          <w:spacing w:val="-2"/>
          <w:sz w:val="20"/>
          <w:szCs w:val="20"/>
          <w:lang w:val="es-CR"/>
        </w:rPr>
        <w:t>solicitudes</w:t>
      </w:r>
      <w:r w:rsidRPr="00930C8B">
        <w:rPr>
          <w:rFonts w:ascii="Verdana" w:hAnsi="Verdana"/>
          <w:sz w:val="20"/>
          <w:szCs w:val="20"/>
          <w:lang w:val="es-MX"/>
        </w:rPr>
        <w:t xml:space="preserve"> planteadas al Presidente de la República</w:t>
      </w:r>
      <w:r w:rsidRPr="00930C8B">
        <w:rPr>
          <w:rFonts w:ascii="Verdana" w:hAnsi="Verdana"/>
          <w:sz w:val="20"/>
          <w:szCs w:val="20"/>
          <w:vertAlign w:val="superscript"/>
          <w:lang w:val="es-MX"/>
        </w:rPr>
        <w:footnoteReference w:id="298"/>
      </w:r>
      <w:r w:rsidRPr="00930C8B">
        <w:rPr>
          <w:rFonts w:ascii="Verdana" w:hAnsi="Verdana"/>
          <w:sz w:val="20"/>
          <w:szCs w:val="20"/>
          <w:lang w:val="es-MX"/>
        </w:rPr>
        <w:t xml:space="preserve">. Sin embargo, del acta de entendimiento firmada por los presentes no se desprende ningún elemento relacionado con la situación de riesgo existente en la Comunidad Garífuna de Punta Piedra ni respecto de la situación específica del señor </w:t>
      </w:r>
      <w:r w:rsidR="00631669">
        <w:rPr>
          <w:rFonts w:ascii="Verdana" w:hAnsi="Verdana"/>
          <w:sz w:val="20"/>
          <w:szCs w:val="20"/>
          <w:lang w:val="es-MX"/>
        </w:rPr>
        <w:t>Félix Ordóñez Suazo</w:t>
      </w:r>
      <w:r w:rsidRPr="00930C8B">
        <w:rPr>
          <w:rFonts w:ascii="Verdana" w:hAnsi="Verdana"/>
          <w:sz w:val="20"/>
          <w:szCs w:val="20"/>
          <w:lang w:val="es-MX"/>
        </w:rPr>
        <w:t xml:space="preserve">. </w:t>
      </w:r>
    </w:p>
    <w:p w14:paraId="0C704BCC" w14:textId="77777777" w:rsidR="00930C8B" w:rsidRPr="00930C8B" w:rsidRDefault="00930C8B" w:rsidP="00930C8B">
      <w:pPr>
        <w:tabs>
          <w:tab w:val="left" w:pos="567"/>
        </w:tabs>
        <w:contextualSpacing/>
        <w:jc w:val="both"/>
        <w:rPr>
          <w:rFonts w:ascii="Verdana" w:hAnsi="Verdana"/>
          <w:sz w:val="20"/>
          <w:szCs w:val="20"/>
          <w:lang w:val="es-MX"/>
        </w:rPr>
      </w:pPr>
    </w:p>
    <w:p w14:paraId="0C704BCD" w14:textId="02262D1F"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A su vez, el </w:t>
      </w:r>
      <w:r w:rsidRPr="00930C8B">
        <w:rPr>
          <w:rFonts w:ascii="Verdana" w:hAnsi="Verdana"/>
          <w:sz w:val="20"/>
          <w:szCs w:val="20"/>
          <w:lang w:val="es-CR"/>
        </w:rPr>
        <w:t>20 de abril de 2007 se realizó una reunión que contó con la participación de autoridades del Gobierno</w:t>
      </w:r>
      <w:r w:rsidRPr="00930C8B">
        <w:rPr>
          <w:rFonts w:ascii="Verdana" w:hAnsi="Verdana"/>
          <w:sz w:val="20"/>
          <w:szCs w:val="20"/>
          <w:vertAlign w:val="superscript"/>
          <w:lang w:val="es-CR"/>
        </w:rPr>
        <w:footnoteReference w:id="299"/>
      </w:r>
      <w:r w:rsidRPr="00930C8B">
        <w:rPr>
          <w:rFonts w:ascii="Verdana" w:hAnsi="Verdana"/>
          <w:sz w:val="20"/>
          <w:szCs w:val="20"/>
          <w:lang w:val="es-CR"/>
        </w:rPr>
        <w:t xml:space="preserve"> y representantes de la Aldea de Río Miel en la que se acordó que “el [INA] </w:t>
      </w:r>
      <w:proofErr w:type="spellStart"/>
      <w:r w:rsidRPr="00930C8B">
        <w:rPr>
          <w:rFonts w:ascii="Verdana" w:hAnsi="Verdana"/>
          <w:sz w:val="20"/>
          <w:szCs w:val="20"/>
          <w:lang w:val="es-CR"/>
        </w:rPr>
        <w:t>pretend</w:t>
      </w:r>
      <w:proofErr w:type="spellEnd"/>
      <w:r w:rsidR="006D6EBB">
        <w:rPr>
          <w:rFonts w:ascii="Verdana" w:hAnsi="Verdana"/>
          <w:sz w:val="20"/>
          <w:szCs w:val="20"/>
          <w:lang w:val="es-CR"/>
        </w:rPr>
        <w:t>[</w:t>
      </w:r>
      <w:proofErr w:type="spellStart"/>
      <w:r w:rsidRPr="00930C8B">
        <w:rPr>
          <w:rFonts w:ascii="Verdana" w:hAnsi="Verdana"/>
          <w:sz w:val="20"/>
          <w:szCs w:val="20"/>
          <w:lang w:val="es-CR"/>
        </w:rPr>
        <w:t>ía</w:t>
      </w:r>
      <w:proofErr w:type="spellEnd"/>
      <w:r w:rsidR="006D6EBB">
        <w:rPr>
          <w:rFonts w:ascii="Verdana" w:hAnsi="Verdana"/>
          <w:sz w:val="20"/>
          <w:szCs w:val="20"/>
          <w:lang w:val="es-CR"/>
        </w:rPr>
        <w:t>]</w:t>
      </w:r>
      <w:r w:rsidRPr="00930C8B">
        <w:rPr>
          <w:rFonts w:ascii="Verdana" w:hAnsi="Verdana"/>
          <w:sz w:val="20"/>
          <w:szCs w:val="20"/>
          <w:lang w:val="es-CR"/>
        </w:rPr>
        <w:t xml:space="preserve"> llegar a un arreglo amistoso para la solución del conflicto […], con el propósito de </w:t>
      </w:r>
      <w:r w:rsidRPr="00930C8B">
        <w:rPr>
          <w:rFonts w:ascii="Verdana" w:hAnsi="Verdana"/>
          <w:spacing w:val="-2"/>
          <w:sz w:val="20"/>
          <w:szCs w:val="20"/>
          <w:lang w:val="es-CR"/>
        </w:rPr>
        <w:t>evitar</w:t>
      </w:r>
      <w:r w:rsidRPr="00930C8B">
        <w:rPr>
          <w:rFonts w:ascii="Verdana" w:hAnsi="Verdana"/>
          <w:sz w:val="20"/>
          <w:szCs w:val="20"/>
          <w:lang w:val="es-CR"/>
        </w:rPr>
        <w:t xml:space="preserve"> hechos que </w:t>
      </w:r>
      <w:proofErr w:type="spellStart"/>
      <w:r w:rsidRPr="00930C8B">
        <w:rPr>
          <w:rFonts w:ascii="Verdana" w:hAnsi="Verdana"/>
          <w:sz w:val="20"/>
          <w:szCs w:val="20"/>
          <w:lang w:val="es-CR"/>
        </w:rPr>
        <w:t>perturb</w:t>
      </w:r>
      <w:proofErr w:type="spellEnd"/>
      <w:r w:rsidRPr="00930C8B">
        <w:rPr>
          <w:rFonts w:ascii="Verdana" w:hAnsi="Verdana"/>
          <w:sz w:val="20"/>
          <w:szCs w:val="20"/>
          <w:lang w:val="es-CR"/>
        </w:rPr>
        <w:t xml:space="preserve">[aran] la paz entre ambas comunidades, como se ha mantenido hasta la fecha [y que el] INA y la Municipalidad de </w:t>
      </w:r>
      <w:proofErr w:type="spellStart"/>
      <w:r w:rsidRPr="00930C8B">
        <w:rPr>
          <w:rFonts w:ascii="Verdana" w:hAnsi="Verdana"/>
          <w:sz w:val="20"/>
          <w:szCs w:val="20"/>
          <w:lang w:val="es-CR"/>
        </w:rPr>
        <w:t>Iriona</w:t>
      </w:r>
      <w:proofErr w:type="spellEnd"/>
      <w:r w:rsidRPr="00930C8B">
        <w:rPr>
          <w:rFonts w:ascii="Verdana" w:hAnsi="Verdana"/>
          <w:sz w:val="20"/>
          <w:szCs w:val="20"/>
          <w:lang w:val="es-CR"/>
        </w:rPr>
        <w:t xml:space="preserve"> Puerto concertara[n] una reunión con ambas comunidades (Río Miel y Punta Piedra), con el propósito de resolver amistosamente el problema”</w:t>
      </w:r>
      <w:r w:rsidR="006D6EBB">
        <w:rPr>
          <w:rStyle w:val="FootnoteReference"/>
          <w:szCs w:val="20"/>
          <w:lang w:val="es-CR"/>
        </w:rPr>
        <w:footnoteReference w:id="300"/>
      </w:r>
      <w:r w:rsidRPr="00930C8B">
        <w:rPr>
          <w:rFonts w:ascii="Verdana" w:hAnsi="Verdana"/>
          <w:sz w:val="20"/>
          <w:szCs w:val="20"/>
          <w:lang w:val="es-CR"/>
        </w:rPr>
        <w:t>.</w:t>
      </w:r>
    </w:p>
    <w:p w14:paraId="0C704BCE" w14:textId="77777777" w:rsidR="00930C8B" w:rsidRPr="00930C8B" w:rsidRDefault="00930C8B" w:rsidP="00930C8B">
      <w:pPr>
        <w:rPr>
          <w:rFonts w:ascii="Verdana" w:hAnsi="Verdana"/>
          <w:sz w:val="20"/>
          <w:szCs w:val="20"/>
          <w:lang w:val="es-MX"/>
        </w:rPr>
      </w:pPr>
    </w:p>
    <w:p w14:paraId="0C704BCF" w14:textId="46481844"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lastRenderedPageBreak/>
        <w:t xml:space="preserve">De conformidad con lo anterior, la Corte verificó que previo a la muerte del señor </w:t>
      </w:r>
      <w:r w:rsidR="00631669">
        <w:rPr>
          <w:rFonts w:ascii="Verdana" w:hAnsi="Verdana"/>
          <w:sz w:val="20"/>
          <w:szCs w:val="20"/>
          <w:lang w:val="es-MX"/>
        </w:rPr>
        <w:t>Félix Ordóñez Suazo</w:t>
      </w:r>
      <w:r w:rsidRPr="00930C8B">
        <w:rPr>
          <w:rFonts w:ascii="Verdana" w:hAnsi="Verdana"/>
          <w:sz w:val="20"/>
          <w:szCs w:val="20"/>
          <w:lang w:val="es-MX"/>
        </w:rPr>
        <w:t>, al menos 1</w:t>
      </w:r>
      <w:r w:rsidR="006D6EBB">
        <w:rPr>
          <w:rFonts w:ascii="Verdana" w:hAnsi="Verdana"/>
          <w:sz w:val="20"/>
          <w:szCs w:val="20"/>
          <w:lang w:val="es-MX"/>
        </w:rPr>
        <w:t>3</w:t>
      </w:r>
      <w:r w:rsidRPr="00930C8B">
        <w:rPr>
          <w:rFonts w:ascii="Verdana" w:hAnsi="Verdana"/>
          <w:sz w:val="20"/>
          <w:szCs w:val="20"/>
          <w:lang w:val="es-MX"/>
        </w:rPr>
        <w:t xml:space="preserve"> instituciones estatales</w:t>
      </w:r>
      <w:r w:rsidRPr="00930C8B">
        <w:rPr>
          <w:rFonts w:ascii="Verdana" w:hAnsi="Verdana"/>
          <w:sz w:val="20"/>
          <w:szCs w:val="20"/>
          <w:vertAlign w:val="superscript"/>
          <w:lang w:val="es-MX"/>
        </w:rPr>
        <w:footnoteReference w:id="301"/>
      </w:r>
      <w:r w:rsidRPr="00930C8B">
        <w:rPr>
          <w:rFonts w:ascii="Verdana" w:hAnsi="Verdana"/>
          <w:sz w:val="20"/>
          <w:szCs w:val="20"/>
          <w:lang w:val="es-MX"/>
        </w:rPr>
        <w:t xml:space="preserve"> tuvieron conocimiento sobre distintos componentes del conflicto, y la </w:t>
      </w:r>
      <w:r w:rsidRPr="00930C8B">
        <w:rPr>
          <w:rFonts w:ascii="Verdana" w:hAnsi="Verdana"/>
          <w:sz w:val="20"/>
          <w:szCs w:val="20"/>
          <w:lang w:val="es-CR"/>
        </w:rPr>
        <w:t xml:space="preserve">Dirección General de Investigación Criminal conoció particularmente la situación de </w:t>
      </w:r>
      <w:r w:rsidR="00631669">
        <w:rPr>
          <w:rFonts w:ascii="Verdana" w:hAnsi="Verdana"/>
          <w:spacing w:val="-2"/>
          <w:sz w:val="20"/>
          <w:szCs w:val="20"/>
          <w:lang w:val="es-CR"/>
        </w:rPr>
        <w:t>Félix Ordóñez Suazo</w:t>
      </w:r>
      <w:r w:rsidRPr="00930C8B">
        <w:rPr>
          <w:rFonts w:ascii="Verdana" w:hAnsi="Verdana"/>
          <w:sz w:val="20"/>
          <w:szCs w:val="20"/>
          <w:lang w:val="es-CR"/>
        </w:rPr>
        <w:t xml:space="preserve"> relacionada con el delito de usurpación de tierras en 2003</w:t>
      </w:r>
      <w:r w:rsidRPr="00930C8B">
        <w:rPr>
          <w:rFonts w:ascii="Verdana" w:hAnsi="Verdana"/>
          <w:sz w:val="20"/>
          <w:szCs w:val="20"/>
          <w:lang w:val="es-MX"/>
        </w:rPr>
        <w:t xml:space="preserve">. Sin embargo, de la información presentada a la Corte, se desprende que ninguna de las autoridades tuvo conocimiento específico de una situación que colocara en riesgo la vida del señor Ordóñez, mismo que se materializó en 2007. </w:t>
      </w:r>
    </w:p>
    <w:p w14:paraId="0C704BD0" w14:textId="77777777" w:rsidR="00930C8B" w:rsidRPr="00930C8B" w:rsidRDefault="00930C8B" w:rsidP="00930C8B">
      <w:pPr>
        <w:tabs>
          <w:tab w:val="left" w:pos="567"/>
        </w:tabs>
        <w:jc w:val="both"/>
        <w:rPr>
          <w:rFonts w:ascii="Verdana" w:hAnsi="Verdana"/>
          <w:sz w:val="20"/>
          <w:szCs w:val="20"/>
          <w:lang w:val="es-MX"/>
        </w:rPr>
      </w:pPr>
    </w:p>
    <w:p w14:paraId="0C704BD1" w14:textId="28EB32FD"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z w:val="20"/>
          <w:szCs w:val="20"/>
          <w:lang w:val="es-MX"/>
        </w:rPr>
        <w:t xml:space="preserve">Al respecto, la Corte recuerda que, </w:t>
      </w:r>
      <w:r w:rsidRPr="00930C8B">
        <w:rPr>
          <w:rFonts w:ascii="Verdana" w:hAnsi="Verdana"/>
          <w:spacing w:val="-2"/>
          <w:sz w:val="20"/>
          <w:szCs w:val="20"/>
          <w:lang w:val="es-CR"/>
        </w:rPr>
        <w:t>aunque un acto u omisión de un particular tenga como consecuencia la violación de determinados derechos de otro particular, la responsabilidad por dicha violación no es automáticamente atribuible al Estado, pues debe atenderse a las circunstancias del caso y a la concreción de las obligaciones de garantía. Asimismo, recuerda que la obligación de prevenir es de medio o comportamiento y no se demuestra su incumplimiento por el mero hecho de que un derecho haya sido violado (</w:t>
      </w:r>
      <w:r w:rsidRPr="00930C8B">
        <w:rPr>
          <w:rFonts w:ascii="Verdana" w:hAnsi="Verdana"/>
          <w:i/>
          <w:spacing w:val="-2"/>
          <w:sz w:val="20"/>
          <w:szCs w:val="20"/>
          <w:lang w:val="es-CR"/>
        </w:rPr>
        <w:t>supra</w:t>
      </w:r>
      <w:r w:rsidRPr="00930C8B">
        <w:rPr>
          <w:rFonts w:ascii="Verdana" w:hAnsi="Verdana"/>
          <w:spacing w:val="-2"/>
          <w:sz w:val="20"/>
          <w:szCs w:val="20"/>
          <w:lang w:val="es-CR"/>
        </w:rPr>
        <w:t xml:space="preserve"> párr. </w:t>
      </w:r>
      <w:r w:rsidR="006D6EBB">
        <w:rPr>
          <w:rFonts w:ascii="Verdana" w:hAnsi="Verdana"/>
          <w:spacing w:val="-2"/>
          <w:sz w:val="20"/>
          <w:szCs w:val="20"/>
          <w:lang w:val="es-CR"/>
        </w:rPr>
        <w:t>261</w:t>
      </w:r>
      <w:r w:rsidRPr="00930C8B">
        <w:rPr>
          <w:rFonts w:ascii="Verdana" w:hAnsi="Verdana"/>
          <w:spacing w:val="-2"/>
          <w:sz w:val="20"/>
          <w:szCs w:val="20"/>
          <w:lang w:val="es-CR"/>
        </w:rPr>
        <w:t>).</w:t>
      </w:r>
    </w:p>
    <w:p w14:paraId="0C704BD2" w14:textId="77777777" w:rsidR="00930C8B" w:rsidRPr="00930C8B" w:rsidRDefault="00930C8B" w:rsidP="00930C8B">
      <w:pPr>
        <w:ind w:left="720"/>
        <w:contextualSpacing/>
        <w:rPr>
          <w:rFonts w:ascii="Verdana" w:hAnsi="Verdana"/>
          <w:spacing w:val="-2"/>
          <w:sz w:val="20"/>
          <w:szCs w:val="20"/>
          <w:lang w:val="es-MX"/>
        </w:rPr>
      </w:pPr>
    </w:p>
    <w:p w14:paraId="0C704BD3" w14:textId="3AA489A9" w:rsidR="00930C8B" w:rsidRPr="00930C8B" w:rsidRDefault="00930C8B" w:rsidP="00930C8B">
      <w:pPr>
        <w:numPr>
          <w:ilvl w:val="0"/>
          <w:numId w:val="17"/>
        </w:numPr>
        <w:ind w:left="0" w:hanging="11"/>
        <w:contextualSpacing/>
        <w:jc w:val="both"/>
        <w:rPr>
          <w:rFonts w:ascii="Verdana" w:hAnsi="Verdana"/>
          <w:sz w:val="20"/>
          <w:szCs w:val="20"/>
          <w:lang w:val="es-MX"/>
        </w:rPr>
      </w:pPr>
      <w:r w:rsidRPr="00930C8B">
        <w:rPr>
          <w:rFonts w:ascii="Verdana" w:hAnsi="Verdana"/>
          <w:spacing w:val="-2"/>
          <w:sz w:val="20"/>
          <w:szCs w:val="20"/>
          <w:lang w:val="es-CR"/>
        </w:rPr>
        <w:t xml:space="preserve">En este sentido, </w:t>
      </w:r>
      <w:r w:rsidRPr="00930C8B">
        <w:rPr>
          <w:rFonts w:ascii="Verdana" w:hAnsi="Verdana"/>
          <w:sz w:val="20"/>
          <w:szCs w:val="20"/>
          <w:lang w:val="es-MX"/>
        </w:rPr>
        <w:t xml:space="preserve">la Corte constató que existía un proceso judicial abierto respecto de la alegada usurpación de tierras que fue interpuesto por el señor </w:t>
      </w:r>
      <w:r w:rsidR="00631669">
        <w:rPr>
          <w:rFonts w:ascii="Verdana" w:hAnsi="Verdana"/>
          <w:sz w:val="20"/>
          <w:szCs w:val="20"/>
          <w:lang w:val="es-MX"/>
        </w:rPr>
        <w:t>Félix Ordóñez Suazo</w:t>
      </w:r>
      <w:r w:rsidRPr="00930C8B">
        <w:rPr>
          <w:rFonts w:ascii="Verdana" w:hAnsi="Verdana"/>
          <w:sz w:val="20"/>
          <w:szCs w:val="20"/>
          <w:lang w:val="es-MX"/>
        </w:rPr>
        <w:t xml:space="preserve">. No obstante, en dicha denuncia no se indicaron alegatos relacionados con una posible situación de riesgo a la vida, ni del tipo penal de usurpación se desprenden elementos que indiquen que dicho acto se </w:t>
      </w:r>
      <w:r w:rsidR="00005BD4">
        <w:rPr>
          <w:rFonts w:ascii="Verdana" w:hAnsi="Verdana"/>
          <w:sz w:val="20"/>
          <w:szCs w:val="20"/>
          <w:lang w:val="es-MX"/>
        </w:rPr>
        <w:t>encontraba</w:t>
      </w:r>
      <w:r w:rsidR="00005BD4" w:rsidRPr="00930C8B">
        <w:rPr>
          <w:rFonts w:ascii="Verdana" w:hAnsi="Verdana"/>
          <w:sz w:val="20"/>
          <w:szCs w:val="20"/>
          <w:lang w:val="es-MX"/>
        </w:rPr>
        <w:t xml:space="preserve"> </w:t>
      </w:r>
      <w:r w:rsidRPr="00930C8B">
        <w:rPr>
          <w:rFonts w:ascii="Verdana" w:hAnsi="Verdana"/>
          <w:sz w:val="20"/>
          <w:szCs w:val="20"/>
          <w:lang w:val="es-MX"/>
        </w:rPr>
        <w:t xml:space="preserve">acompañado de amenazas, intimidaciones o alguna forma de violencia. Asimismo, si bien la muerte del señor </w:t>
      </w:r>
      <w:r w:rsidR="00631669">
        <w:rPr>
          <w:rFonts w:ascii="Verdana" w:hAnsi="Verdana"/>
          <w:sz w:val="20"/>
          <w:szCs w:val="20"/>
          <w:lang w:val="es-MX"/>
        </w:rPr>
        <w:t>Félix Ordóñez Suazo</w:t>
      </w:r>
      <w:r w:rsidRPr="00930C8B">
        <w:rPr>
          <w:rFonts w:ascii="Verdana" w:hAnsi="Verdana"/>
          <w:sz w:val="20"/>
          <w:szCs w:val="20"/>
          <w:lang w:val="es-MX"/>
        </w:rPr>
        <w:t xml:space="preserve"> representó una escalada en los actos de violencia en la zona, mediante la cual se incrementó la situación de riesgo e inseguridad de los miembros de la Comunidad de Punta Piedra, este Tribunal estima que, previo a dicha muerte, no existían elementos probatorios suficientes que permitan determinar que el Estado tenía o debía tener conocimiento específico respecto de una situación de riesgo real e inmediato en perjuicio particular del señor </w:t>
      </w:r>
      <w:r w:rsidR="00631669">
        <w:rPr>
          <w:rFonts w:ascii="Verdana" w:hAnsi="Verdana"/>
          <w:sz w:val="20"/>
          <w:szCs w:val="20"/>
          <w:lang w:val="es-MX"/>
        </w:rPr>
        <w:t>Félix Ordóñez Suazo</w:t>
      </w:r>
      <w:r w:rsidRPr="00930C8B">
        <w:rPr>
          <w:rFonts w:ascii="Verdana" w:hAnsi="Verdana"/>
          <w:sz w:val="20"/>
          <w:szCs w:val="20"/>
          <w:lang w:val="es-MX"/>
        </w:rPr>
        <w:t>.</w:t>
      </w:r>
    </w:p>
    <w:p w14:paraId="0C704BD4" w14:textId="77777777" w:rsidR="00930C8B" w:rsidRPr="00930C8B" w:rsidRDefault="00930C8B" w:rsidP="00930C8B">
      <w:pPr>
        <w:contextualSpacing/>
        <w:jc w:val="both"/>
        <w:rPr>
          <w:rFonts w:ascii="Verdana" w:hAnsi="Verdana"/>
          <w:sz w:val="20"/>
          <w:szCs w:val="20"/>
          <w:lang w:val="es-MX"/>
        </w:rPr>
      </w:pPr>
      <w:r w:rsidRPr="00930C8B">
        <w:rPr>
          <w:rFonts w:ascii="Verdana" w:hAnsi="Verdana"/>
          <w:sz w:val="20"/>
          <w:szCs w:val="20"/>
          <w:lang w:val="es-MX"/>
        </w:rPr>
        <w:t xml:space="preserve"> </w:t>
      </w:r>
    </w:p>
    <w:p w14:paraId="0C704BD5" w14:textId="5541E546" w:rsidR="00930C8B" w:rsidRPr="00930C8B" w:rsidRDefault="00930C8B" w:rsidP="00C77120">
      <w:pPr>
        <w:numPr>
          <w:ilvl w:val="0"/>
          <w:numId w:val="17"/>
        </w:numPr>
        <w:ind w:left="0" w:hanging="11"/>
        <w:contextualSpacing/>
        <w:jc w:val="both"/>
        <w:rPr>
          <w:rFonts w:ascii="Verdana" w:eastAsia="Times New Roman" w:hAnsi="Verdana"/>
          <w:bCs/>
          <w:sz w:val="20"/>
          <w:szCs w:val="20"/>
          <w:lang w:val="es-ES" w:eastAsia="es-ES"/>
        </w:rPr>
      </w:pPr>
      <w:r w:rsidRPr="00930C8B">
        <w:rPr>
          <w:rFonts w:ascii="Verdana" w:eastAsia="Times New Roman" w:hAnsi="Verdana"/>
          <w:bCs/>
          <w:sz w:val="20"/>
          <w:szCs w:val="20"/>
          <w:lang w:val="es-ES" w:eastAsia="es-ES"/>
        </w:rPr>
        <w:t xml:space="preserve">Por tanto, de los elementos allegados a este Tribunal, no se </w:t>
      </w:r>
      <w:r w:rsidR="00005BD4">
        <w:rPr>
          <w:rFonts w:ascii="Verdana" w:eastAsia="Times New Roman" w:hAnsi="Verdana"/>
          <w:bCs/>
          <w:sz w:val="20"/>
          <w:szCs w:val="20"/>
          <w:lang w:val="es-ES" w:eastAsia="es-ES"/>
        </w:rPr>
        <w:t>comprueba</w:t>
      </w:r>
      <w:r w:rsidR="00005BD4" w:rsidRPr="00930C8B">
        <w:rPr>
          <w:rFonts w:ascii="Verdana" w:eastAsia="Times New Roman" w:hAnsi="Verdana"/>
          <w:bCs/>
          <w:sz w:val="20"/>
          <w:szCs w:val="20"/>
          <w:lang w:val="es-ES" w:eastAsia="es-ES"/>
        </w:rPr>
        <w:t xml:space="preserve"> </w:t>
      </w:r>
      <w:r w:rsidRPr="00930C8B">
        <w:rPr>
          <w:rFonts w:ascii="Verdana" w:eastAsia="Times New Roman" w:hAnsi="Verdana"/>
          <w:bCs/>
          <w:sz w:val="20"/>
          <w:szCs w:val="20"/>
          <w:lang w:val="es-ES" w:eastAsia="es-ES"/>
        </w:rPr>
        <w:t xml:space="preserve">un incumplimiento del deber de garantía por parte del Estado en perjuicio de Félix </w:t>
      </w:r>
      <w:r w:rsidRPr="00930C8B">
        <w:rPr>
          <w:rFonts w:ascii="Verdana" w:eastAsia="Times New Roman" w:hAnsi="Verdana"/>
          <w:bCs/>
          <w:sz w:val="20"/>
          <w:szCs w:val="20"/>
          <w:lang w:eastAsia="es-ES"/>
        </w:rPr>
        <w:t>Ordóñez Suazo</w:t>
      </w:r>
      <w:r w:rsidRPr="00930C8B">
        <w:rPr>
          <w:rFonts w:ascii="Verdana" w:eastAsia="Times New Roman" w:hAnsi="Verdana"/>
          <w:bCs/>
          <w:sz w:val="20"/>
          <w:szCs w:val="20"/>
          <w:lang w:val="es-ES" w:eastAsia="es-ES"/>
        </w:rPr>
        <w:t>, en los términos del artículo 4.1 de la Convención Americana, en relación con el artículo 1.1 del mismo instrumento.</w:t>
      </w:r>
    </w:p>
    <w:p w14:paraId="0C704BD6" w14:textId="77777777" w:rsidR="00930C8B" w:rsidRPr="00930C8B" w:rsidRDefault="00930C8B" w:rsidP="00C77120">
      <w:pPr>
        <w:tabs>
          <w:tab w:val="left" w:pos="567"/>
        </w:tabs>
        <w:contextualSpacing/>
        <w:jc w:val="both"/>
        <w:rPr>
          <w:rFonts w:ascii="Verdana" w:hAnsi="Verdana"/>
          <w:sz w:val="20"/>
          <w:szCs w:val="20"/>
          <w:lang w:val="es-MX"/>
        </w:rPr>
      </w:pPr>
    </w:p>
    <w:p w14:paraId="0C704BD7" w14:textId="1FDC5606" w:rsidR="00930C8B" w:rsidRPr="00930C8B" w:rsidRDefault="00930C8B" w:rsidP="00C77120">
      <w:pPr>
        <w:numPr>
          <w:ilvl w:val="0"/>
          <w:numId w:val="17"/>
        </w:numPr>
        <w:ind w:left="0" w:hanging="11"/>
        <w:contextualSpacing/>
        <w:jc w:val="both"/>
        <w:rPr>
          <w:rFonts w:ascii="Verdana" w:hAnsi="Verdana" w:cs="Arial"/>
          <w:iCs/>
          <w:spacing w:val="-2"/>
          <w:sz w:val="20"/>
          <w:szCs w:val="20"/>
          <w:lang w:val="es-MX"/>
        </w:rPr>
      </w:pPr>
      <w:r w:rsidRPr="00930C8B" w:rsidDel="00421366">
        <w:rPr>
          <w:rFonts w:ascii="Verdana" w:hAnsi="Verdana"/>
          <w:sz w:val="20"/>
          <w:szCs w:val="20"/>
          <w:lang w:val="es-MX"/>
        </w:rPr>
        <w:t xml:space="preserve"> </w:t>
      </w:r>
      <w:r w:rsidRPr="00930C8B">
        <w:rPr>
          <w:rFonts w:ascii="Verdana" w:hAnsi="Verdana"/>
          <w:sz w:val="20"/>
          <w:szCs w:val="20"/>
          <w:lang w:val="es-MX"/>
        </w:rPr>
        <w:t>Sin perjuicio de lo anterior, la Corte observa que según declaraciones de miembros de la Comunidad de Punta Piedra, tanto durante el procedimiento ante la Corte así como en el desarrollo de la visita, son consistentes en señalar que han recibido amenazas de los pobladores de la Aldea de Río Miel (</w:t>
      </w:r>
      <w:r w:rsidRPr="00930C8B">
        <w:rPr>
          <w:rFonts w:ascii="Verdana" w:hAnsi="Verdana"/>
          <w:i/>
          <w:sz w:val="20"/>
          <w:szCs w:val="20"/>
          <w:lang w:val="es-MX"/>
        </w:rPr>
        <w:t>supra</w:t>
      </w:r>
      <w:r w:rsidR="00005BD4">
        <w:rPr>
          <w:rFonts w:ascii="Verdana" w:hAnsi="Verdana"/>
          <w:sz w:val="20"/>
          <w:szCs w:val="20"/>
          <w:lang w:val="es-MX"/>
        </w:rPr>
        <w:t xml:space="preserve"> párr. 266</w:t>
      </w:r>
      <w:r w:rsidR="00286EBD">
        <w:rPr>
          <w:rFonts w:ascii="Verdana" w:hAnsi="Verdana"/>
          <w:sz w:val="20"/>
          <w:szCs w:val="20"/>
          <w:lang w:val="es-MX"/>
        </w:rPr>
        <w:t>)</w:t>
      </w:r>
      <w:r w:rsidRPr="00930C8B">
        <w:rPr>
          <w:rFonts w:ascii="Verdana" w:hAnsi="Verdana"/>
          <w:sz w:val="20"/>
          <w:szCs w:val="20"/>
          <w:lang w:val="es-MX"/>
        </w:rPr>
        <w:t xml:space="preserve">. </w:t>
      </w:r>
      <w:r w:rsidRPr="00930C8B">
        <w:rPr>
          <w:rFonts w:ascii="Verdana" w:hAnsi="Verdana"/>
          <w:sz w:val="20"/>
          <w:szCs w:val="20"/>
          <w:lang w:val="es-ES"/>
        </w:rPr>
        <w:t xml:space="preserve">En este sentido, la Corte recuerda que </w:t>
      </w:r>
      <w:r w:rsidRPr="00930C8B">
        <w:rPr>
          <w:rFonts w:ascii="Verdana" w:hAnsi="Verdana"/>
          <w:sz w:val="20"/>
          <w:szCs w:val="20"/>
          <w:lang w:val="es-CR"/>
        </w:rPr>
        <w:t>los Estados tienen el deber constante y permanente de cumplir con las obligaciones generales que le corresponden bajo el artículo 1.1 de la Convención, de respetar los derechos y libertades en ella reconocidos y de garantizar su libre y pleno ejercicio a toda persona sujeta a su jurisdicción</w:t>
      </w:r>
      <w:r w:rsidRPr="00930C8B">
        <w:rPr>
          <w:rFonts w:ascii="Verdana" w:hAnsi="Verdana"/>
          <w:sz w:val="20"/>
          <w:szCs w:val="20"/>
          <w:vertAlign w:val="superscript"/>
        </w:rPr>
        <w:footnoteReference w:id="302"/>
      </w:r>
      <w:r w:rsidRPr="00930C8B">
        <w:rPr>
          <w:rFonts w:ascii="Verdana" w:hAnsi="Verdana"/>
          <w:sz w:val="20"/>
          <w:szCs w:val="20"/>
          <w:lang w:val="es-MX"/>
        </w:rPr>
        <w:t xml:space="preserve">. </w:t>
      </w:r>
      <w:r w:rsidRPr="00930C8B">
        <w:rPr>
          <w:rFonts w:ascii="Verdana" w:hAnsi="Verdana"/>
          <w:sz w:val="20"/>
          <w:szCs w:val="20"/>
          <w:lang w:val="es-ES"/>
        </w:rPr>
        <w:t xml:space="preserve">En consecuencia, el Estado se encuentra especialmente obligado a garantizar los derechos de las personas </w:t>
      </w:r>
      <w:r w:rsidRPr="00930C8B">
        <w:rPr>
          <w:rFonts w:ascii="Verdana" w:hAnsi="Verdana"/>
          <w:sz w:val="20"/>
          <w:szCs w:val="20"/>
          <w:lang w:val="es-ES"/>
        </w:rPr>
        <w:lastRenderedPageBreak/>
        <w:t>en situación de riesgo y debe impulsar las investigaciones necesarias para esclarecer los hechos y, en su caso, sancionar a los responsables</w:t>
      </w:r>
      <w:r w:rsidRPr="00930C8B">
        <w:rPr>
          <w:rFonts w:ascii="Verdana" w:eastAsia="Times" w:hAnsi="Verdana"/>
          <w:sz w:val="20"/>
          <w:szCs w:val="20"/>
          <w:vertAlign w:val="superscript"/>
          <w:lang w:val="es-ES"/>
        </w:rPr>
        <w:footnoteReference w:id="303"/>
      </w:r>
      <w:r w:rsidRPr="00930C8B">
        <w:rPr>
          <w:rFonts w:ascii="Verdana" w:hAnsi="Verdana"/>
          <w:sz w:val="20"/>
          <w:szCs w:val="20"/>
          <w:lang w:val="es-ES"/>
        </w:rPr>
        <w:t>, así como proveer los medios para que las personas que habitan el territorio en cuestión puedan convivir de forma armonios</w:t>
      </w:r>
      <w:r w:rsidR="00C77120">
        <w:rPr>
          <w:rFonts w:ascii="Verdana" w:hAnsi="Verdana"/>
          <w:sz w:val="20"/>
          <w:szCs w:val="20"/>
          <w:lang w:val="es-ES"/>
        </w:rPr>
        <w:t xml:space="preserve">a. </w:t>
      </w:r>
    </w:p>
    <w:p w14:paraId="0C704BD8" w14:textId="77777777" w:rsidR="00930C8B" w:rsidRPr="00930C8B" w:rsidRDefault="00930C8B" w:rsidP="00C77120">
      <w:pPr>
        <w:jc w:val="both"/>
        <w:rPr>
          <w:lang w:val="es-ES"/>
        </w:rPr>
      </w:pPr>
    </w:p>
    <w:p w14:paraId="0C704BD9" w14:textId="77777777" w:rsidR="00930C8B" w:rsidRPr="00930C8B" w:rsidRDefault="00930C8B" w:rsidP="00930C8B">
      <w:pPr>
        <w:keepNext/>
        <w:keepLines/>
        <w:numPr>
          <w:ilvl w:val="0"/>
          <w:numId w:val="15"/>
        </w:numPr>
        <w:jc w:val="both"/>
        <w:outlineLvl w:val="1"/>
        <w:rPr>
          <w:rFonts w:ascii="Verdana" w:eastAsia="Times New Roman" w:hAnsi="Verdana"/>
          <w:bCs/>
          <w:i/>
          <w:color w:val="4F81BD"/>
          <w:sz w:val="20"/>
          <w:szCs w:val="20"/>
        </w:rPr>
      </w:pPr>
      <w:bookmarkStart w:id="107" w:name="_Toc437247369"/>
      <w:r w:rsidRPr="00930C8B">
        <w:rPr>
          <w:rFonts w:ascii="Verdana" w:eastAsia="Times New Roman" w:hAnsi="Verdana"/>
          <w:b/>
          <w:bCs/>
          <w:i/>
          <w:sz w:val="20"/>
          <w:szCs w:val="20"/>
        </w:rPr>
        <w:t>Debida diligencia y plazo razonable en relación con las denuncias penales interpuestas a nivel interno, en particular las investigaciones y proceso penal por la muerte de Félix Ordóñez Suazo (artículos 8 y 25 de la Convención Americana)</w:t>
      </w:r>
      <w:bookmarkEnd w:id="107"/>
    </w:p>
    <w:p w14:paraId="0C704BDA" w14:textId="77777777" w:rsidR="00930C8B" w:rsidRPr="00930C8B" w:rsidRDefault="00930C8B" w:rsidP="00930C8B">
      <w:pPr>
        <w:tabs>
          <w:tab w:val="left" w:pos="567"/>
        </w:tabs>
        <w:jc w:val="both"/>
        <w:rPr>
          <w:rFonts w:ascii="Verdana" w:hAnsi="Verdana"/>
          <w:sz w:val="20"/>
          <w:szCs w:val="20"/>
          <w:lang w:val="es-CR"/>
        </w:rPr>
      </w:pPr>
    </w:p>
    <w:p w14:paraId="0C704BDB" w14:textId="77777777" w:rsidR="00930C8B" w:rsidRPr="00930C8B" w:rsidRDefault="00930C8B" w:rsidP="00930C8B">
      <w:pPr>
        <w:keepNext/>
        <w:keepLines/>
        <w:ind w:firstLine="360"/>
        <w:outlineLvl w:val="2"/>
        <w:rPr>
          <w:rFonts w:ascii="Verdana" w:eastAsiaTheme="majorEastAsia" w:hAnsi="Verdana" w:cstheme="majorBidi"/>
          <w:b/>
          <w:bCs/>
          <w:i/>
          <w:sz w:val="20"/>
          <w:szCs w:val="20"/>
        </w:rPr>
      </w:pPr>
      <w:bookmarkStart w:id="108" w:name="_Toc437247370"/>
      <w:r w:rsidRPr="00930C8B">
        <w:rPr>
          <w:rFonts w:ascii="Verdana" w:eastAsiaTheme="majorEastAsia" w:hAnsi="Verdana" w:cstheme="majorBidi"/>
          <w:b/>
          <w:bCs/>
          <w:i/>
          <w:sz w:val="20"/>
          <w:szCs w:val="20"/>
        </w:rPr>
        <w:t>B.1 Argumentos de las partes y de la Comisión</w:t>
      </w:r>
      <w:bookmarkEnd w:id="108"/>
    </w:p>
    <w:p w14:paraId="0C704BDC" w14:textId="77777777" w:rsidR="00930C8B" w:rsidRPr="00930C8B" w:rsidRDefault="00930C8B" w:rsidP="00930C8B"/>
    <w:p w14:paraId="0C704BDD" w14:textId="6790DACB" w:rsidR="00930C8B" w:rsidRPr="00930C8B" w:rsidRDefault="00930C8B" w:rsidP="00930C8B">
      <w:pPr>
        <w:numPr>
          <w:ilvl w:val="0"/>
          <w:numId w:val="17"/>
        </w:numPr>
        <w:ind w:left="0" w:hanging="11"/>
        <w:contextualSpacing/>
        <w:jc w:val="both"/>
        <w:rPr>
          <w:rFonts w:ascii="Verdana" w:hAnsi="Verdana"/>
          <w:sz w:val="20"/>
          <w:szCs w:val="20"/>
          <w:lang w:val="es-ES"/>
        </w:rPr>
      </w:pPr>
      <w:r w:rsidRPr="00930C8B">
        <w:rPr>
          <w:rFonts w:ascii="Verdana" w:hAnsi="Verdana"/>
          <w:sz w:val="20"/>
          <w:szCs w:val="20"/>
          <w:lang w:val="es-ES"/>
        </w:rPr>
        <w:t xml:space="preserve">La </w:t>
      </w:r>
      <w:r w:rsidRPr="00930C8B">
        <w:rPr>
          <w:rFonts w:ascii="Verdana" w:hAnsi="Verdana"/>
          <w:b/>
          <w:i/>
          <w:sz w:val="20"/>
          <w:szCs w:val="20"/>
          <w:lang w:val="es-ES"/>
        </w:rPr>
        <w:t>Comisión</w:t>
      </w:r>
      <w:r w:rsidRPr="00930C8B">
        <w:rPr>
          <w:rFonts w:ascii="Verdana" w:hAnsi="Verdana"/>
          <w:sz w:val="20"/>
          <w:szCs w:val="20"/>
          <w:lang w:val="es-ES"/>
        </w:rPr>
        <w:t xml:space="preserve"> resaltó la falta de investigación en cuanto a las denuncias interpuestas por la Comunidad Garífuna de Punta Piedra y sus miembros derivadas de la situación de conflicto y actos de amenazas y hostigamientos. En este sentido, la Comisión consideró que la ausencia de un recurso adecuado y efectivo que permitiera el saneamiento y protección del territorio ancestral de la Comunidad generó un agravamiento de la situación de conflicto existente, conocida por el Estado desde</w:t>
      </w:r>
      <w:r w:rsidR="009C5E00">
        <w:rPr>
          <w:rFonts w:ascii="Verdana" w:hAnsi="Verdana"/>
          <w:sz w:val="20"/>
          <w:szCs w:val="20"/>
          <w:lang w:val="es-ES"/>
        </w:rPr>
        <w:t xml:space="preserve"> la falta de cumplimiento del primer </w:t>
      </w:r>
      <w:r w:rsidRPr="00930C8B">
        <w:rPr>
          <w:rFonts w:ascii="Verdana" w:hAnsi="Verdana"/>
          <w:sz w:val="20"/>
          <w:szCs w:val="20"/>
          <w:lang w:val="es-ES"/>
        </w:rPr>
        <w:t xml:space="preserve">compromiso de 13 de diciembre de 2001, y un incremento del clima de tensión y violencia en la zona provocada por terceros interesados en las tierras ancestrales. </w:t>
      </w:r>
      <w:r w:rsidRPr="00930C8B">
        <w:rPr>
          <w:rFonts w:ascii="Verdana" w:hAnsi="Verdana"/>
          <w:sz w:val="20"/>
          <w:szCs w:val="20"/>
          <w:lang w:val="es-MX"/>
        </w:rPr>
        <w:t>La Comisión señaló que los actos de violencia y amenazas de los que han sido víctimas los miembros de la Comunidad fueron denunciados ante las autoridades correspondientes en diversas ocasiones. La Comisión señaló que el Estado no realizó mayores acciones de investigación respecto de dichas denuncias y que más bien las mismas estarían paralizadas, propiciando una situación de impunidad</w:t>
      </w:r>
      <w:r w:rsidR="009C5E00">
        <w:rPr>
          <w:rFonts w:ascii="Verdana" w:hAnsi="Verdana"/>
          <w:sz w:val="20"/>
          <w:szCs w:val="20"/>
          <w:lang w:val="es-ES"/>
        </w:rPr>
        <w:t xml:space="preserve">. </w:t>
      </w:r>
      <w:r w:rsidRPr="00930C8B">
        <w:rPr>
          <w:rFonts w:ascii="Verdana" w:hAnsi="Verdana"/>
          <w:sz w:val="20"/>
          <w:szCs w:val="20"/>
          <w:lang w:val="es-ES"/>
        </w:rPr>
        <w:t>Concluyó que el Estado no aportó evidencia de una investigación seria, efectiva, diligente y sin dilaciones dirigida a la averiguación de la verdad y determinación de responsabilidades, por lo que dejó a las presuntas víctimas en una situación de desprotección</w:t>
      </w:r>
      <w:r w:rsidR="009C5E00">
        <w:rPr>
          <w:rFonts w:ascii="Verdana" w:hAnsi="Verdana"/>
          <w:sz w:val="20"/>
          <w:szCs w:val="20"/>
          <w:lang w:val="es-ES"/>
        </w:rPr>
        <w:t xml:space="preserve">. </w:t>
      </w:r>
      <w:r w:rsidRPr="00930C8B">
        <w:rPr>
          <w:rFonts w:ascii="Verdana" w:hAnsi="Verdana"/>
          <w:sz w:val="20"/>
          <w:szCs w:val="20"/>
          <w:lang w:val="es-ES"/>
        </w:rPr>
        <w:t xml:space="preserve">Cabe señalar que </w:t>
      </w:r>
      <w:r w:rsidRPr="00930C8B">
        <w:rPr>
          <w:rFonts w:ascii="Verdana" w:hAnsi="Verdana"/>
          <w:color w:val="000000"/>
          <w:spacing w:val="-2"/>
          <w:sz w:val="20"/>
          <w:szCs w:val="20"/>
        </w:rPr>
        <w:t>la Comisión no incluyó la alegada violación del artículo 8 (garantías judiciales) en su Informe de Fondo (</w:t>
      </w:r>
      <w:r w:rsidRPr="00930C8B">
        <w:rPr>
          <w:rFonts w:ascii="Verdana" w:hAnsi="Verdana"/>
          <w:i/>
          <w:color w:val="000000"/>
          <w:spacing w:val="-2"/>
          <w:sz w:val="20"/>
          <w:szCs w:val="20"/>
        </w:rPr>
        <w:t xml:space="preserve">infra </w:t>
      </w:r>
      <w:r w:rsidRPr="00930C8B">
        <w:rPr>
          <w:rFonts w:ascii="Verdana" w:hAnsi="Verdana"/>
          <w:color w:val="000000"/>
          <w:spacing w:val="-2"/>
          <w:sz w:val="20"/>
          <w:szCs w:val="20"/>
        </w:rPr>
        <w:t xml:space="preserve">párr. </w:t>
      </w:r>
      <w:r w:rsidR="00E54AED">
        <w:rPr>
          <w:rFonts w:ascii="Verdana" w:hAnsi="Verdana"/>
          <w:color w:val="000000"/>
          <w:spacing w:val="-2"/>
          <w:sz w:val="20"/>
          <w:szCs w:val="20"/>
        </w:rPr>
        <w:t>28</w:t>
      </w:r>
      <w:r w:rsidR="00C83FD6">
        <w:rPr>
          <w:rFonts w:ascii="Verdana" w:hAnsi="Verdana"/>
          <w:color w:val="000000"/>
          <w:spacing w:val="-2"/>
          <w:sz w:val="20"/>
          <w:szCs w:val="20"/>
        </w:rPr>
        <w:t>4</w:t>
      </w:r>
      <w:r w:rsidRPr="00930C8B">
        <w:rPr>
          <w:rFonts w:ascii="Verdana" w:hAnsi="Verdana"/>
          <w:color w:val="000000"/>
          <w:spacing w:val="-2"/>
          <w:sz w:val="20"/>
          <w:szCs w:val="20"/>
        </w:rPr>
        <w:t>).</w:t>
      </w:r>
    </w:p>
    <w:p w14:paraId="0C704BDE" w14:textId="77777777" w:rsidR="00930C8B" w:rsidRPr="00930C8B" w:rsidRDefault="00930C8B" w:rsidP="00930C8B">
      <w:pPr>
        <w:tabs>
          <w:tab w:val="left" w:pos="567"/>
        </w:tabs>
        <w:contextualSpacing/>
        <w:jc w:val="both"/>
        <w:rPr>
          <w:rFonts w:ascii="Verdana" w:eastAsia="Times New Roman" w:hAnsi="Verdana"/>
          <w:b/>
          <w:spacing w:val="-2"/>
          <w:sz w:val="20"/>
          <w:szCs w:val="20"/>
          <w:lang w:val="es-CR" w:eastAsia="es-ES"/>
        </w:rPr>
      </w:pPr>
    </w:p>
    <w:p w14:paraId="0C704BDF" w14:textId="442B4363"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z w:val="20"/>
          <w:szCs w:val="20"/>
          <w:lang w:val="es-ES"/>
        </w:rPr>
        <w:t xml:space="preserve">Por otra parte, los </w:t>
      </w:r>
      <w:r w:rsidR="0086236B" w:rsidRPr="00A0324F">
        <w:rPr>
          <w:rFonts w:ascii="Verdana" w:hAnsi="Verdana"/>
          <w:b/>
          <w:i/>
          <w:sz w:val="20"/>
          <w:szCs w:val="20"/>
          <w:lang w:val="es-ES"/>
        </w:rPr>
        <w:t>representantes</w:t>
      </w:r>
      <w:r w:rsidRPr="00930C8B">
        <w:rPr>
          <w:rFonts w:ascii="Verdana" w:hAnsi="Verdana"/>
          <w:sz w:val="20"/>
          <w:szCs w:val="20"/>
          <w:lang w:val="es-ES"/>
        </w:rPr>
        <w:t xml:space="preserve"> indicaron que la Comunidad de Punta Piedra y la OFRANEH presentaron denuncias de amenazas por parte de pobladores de Río Miel, así como del asesinato de Félix Ordóñez Suazo, y de la construcción de una carretera en su territorio, sin que se haya iniciado una investigación seria al respecto. Por ello, los representantes consideraron que el “</w:t>
      </w:r>
      <w:r w:rsidR="00E54AED">
        <w:rPr>
          <w:rFonts w:ascii="Verdana" w:hAnsi="Verdana"/>
          <w:sz w:val="20"/>
          <w:szCs w:val="20"/>
          <w:lang w:val="es-ES"/>
        </w:rPr>
        <w:t xml:space="preserve">[…] </w:t>
      </w:r>
      <w:r w:rsidRPr="00930C8B">
        <w:rPr>
          <w:rFonts w:ascii="Verdana" w:hAnsi="Verdana"/>
          <w:sz w:val="20"/>
          <w:szCs w:val="20"/>
          <w:lang w:val="es-ES"/>
        </w:rPr>
        <w:t>tratamiento que las autoridades estatales le dieron a las amenazas y asesinato de miembros de la comunidad” y el hecho de que a la fecha no se hayan “</w:t>
      </w:r>
      <w:r w:rsidR="00E54AED">
        <w:rPr>
          <w:rFonts w:ascii="Verdana" w:hAnsi="Verdana"/>
          <w:sz w:val="20"/>
          <w:szCs w:val="20"/>
          <w:lang w:val="es-ES"/>
        </w:rPr>
        <w:t xml:space="preserve">[…] </w:t>
      </w:r>
      <w:r w:rsidRPr="00930C8B">
        <w:rPr>
          <w:rFonts w:ascii="Verdana" w:hAnsi="Verdana"/>
          <w:sz w:val="20"/>
          <w:szCs w:val="20"/>
          <w:lang w:val="es-ES"/>
        </w:rPr>
        <w:t>iniciado las investigaciones”, también representa una violación de los artículos 8 y 25 de la Convención, en relación con los artículos el 1.1 y 2 del mismo instrumento.</w:t>
      </w:r>
      <w:r w:rsidRPr="00930C8B">
        <w:rPr>
          <w:rFonts w:ascii="Verdana" w:hAnsi="Verdana"/>
          <w:b/>
          <w:sz w:val="20"/>
          <w:szCs w:val="20"/>
          <w:lang w:val="es-ES"/>
        </w:rPr>
        <w:t xml:space="preserve"> </w:t>
      </w:r>
    </w:p>
    <w:p w14:paraId="0C704BE0" w14:textId="77777777" w:rsidR="00930C8B" w:rsidRPr="00930C8B" w:rsidRDefault="00930C8B" w:rsidP="00930C8B">
      <w:pPr>
        <w:ind w:left="720"/>
        <w:contextualSpacing/>
        <w:rPr>
          <w:rFonts w:ascii="Verdana" w:eastAsia="Times New Roman" w:hAnsi="Verdana"/>
          <w:b/>
          <w:spacing w:val="-2"/>
          <w:sz w:val="20"/>
          <w:szCs w:val="20"/>
          <w:lang w:val="es-CR" w:eastAsia="es-ES"/>
        </w:rPr>
      </w:pPr>
    </w:p>
    <w:p w14:paraId="0C704BE1" w14:textId="77F52734" w:rsidR="00930C8B" w:rsidRPr="00930C8B" w:rsidRDefault="00930C8B" w:rsidP="00930C8B">
      <w:pPr>
        <w:numPr>
          <w:ilvl w:val="0"/>
          <w:numId w:val="17"/>
        </w:numPr>
        <w:ind w:left="0" w:hanging="11"/>
        <w:contextualSpacing/>
        <w:jc w:val="both"/>
        <w:rPr>
          <w:rFonts w:ascii="Verdana" w:hAnsi="Verdana"/>
          <w:sz w:val="20"/>
          <w:szCs w:val="20"/>
          <w:lang w:val="es-ES"/>
        </w:rPr>
      </w:pPr>
      <w:r w:rsidRPr="00930C8B">
        <w:rPr>
          <w:rFonts w:ascii="Verdana" w:hAnsi="Verdana"/>
          <w:sz w:val="20"/>
          <w:szCs w:val="20"/>
          <w:lang w:val="es-ES"/>
        </w:rPr>
        <w:t xml:space="preserve">Respecto a las denuncias penales interpuestas por la Comunidad de Punta Piedra y algunos de sus miembros, el </w:t>
      </w:r>
      <w:r w:rsidR="0086236B" w:rsidRPr="00A0324F">
        <w:rPr>
          <w:rFonts w:ascii="Verdana" w:hAnsi="Verdana"/>
          <w:b/>
          <w:i/>
          <w:sz w:val="20"/>
          <w:szCs w:val="20"/>
          <w:lang w:val="es-ES"/>
        </w:rPr>
        <w:t>Estado</w:t>
      </w:r>
      <w:r w:rsidRPr="00930C8B">
        <w:rPr>
          <w:rFonts w:ascii="Verdana" w:hAnsi="Verdana"/>
          <w:sz w:val="20"/>
          <w:szCs w:val="20"/>
          <w:lang w:val="es-ES"/>
        </w:rPr>
        <w:t xml:space="preserve"> indicó que las investigaciones por las denuncias por delito de amenazas contra Paulino Mejía y usurpación en perjuicio de </w:t>
      </w:r>
      <w:r w:rsidR="00631669">
        <w:rPr>
          <w:rFonts w:ascii="Verdana" w:hAnsi="Verdana"/>
          <w:sz w:val="20"/>
          <w:szCs w:val="20"/>
          <w:lang w:val="es-ES"/>
        </w:rPr>
        <w:t>Félix Ordóñez Suazo</w:t>
      </w:r>
      <w:r w:rsidRPr="00930C8B">
        <w:rPr>
          <w:rFonts w:ascii="Verdana" w:hAnsi="Verdana"/>
          <w:sz w:val="20"/>
          <w:szCs w:val="20"/>
          <w:lang w:val="es-ES"/>
        </w:rPr>
        <w:t xml:space="preserve">, se encontraban inconclusas a la fecha. Respecto de la denuncia por la construcción de la brecha de carretera señaló que no se configuró el delito de abuso de autoridad porque dicha construcción no fue realizada por ningún funcionario estatal. Respecto de la denuncia de usurpación en perjuicio de toda la Comunidad de </w:t>
      </w:r>
      <w:r w:rsidRPr="00930C8B">
        <w:rPr>
          <w:rFonts w:ascii="Verdana" w:hAnsi="Verdana"/>
          <w:sz w:val="20"/>
          <w:szCs w:val="20"/>
          <w:lang w:val="es-ES"/>
        </w:rPr>
        <w:lastRenderedPageBreak/>
        <w:t xml:space="preserve">Punta Piedra, el Estado concluyó que la solución ante la ocupación de terceros, quienes también eran vulnerables y gozaban del derecho a la protección estatal, no era el ejercicio de la acción penal, ya que estos podrían solicitar la prescripción adquisitiva. Finalmente, respecto del asesinato de </w:t>
      </w:r>
      <w:r w:rsidR="00631669">
        <w:rPr>
          <w:rFonts w:ascii="Verdana" w:hAnsi="Verdana"/>
          <w:sz w:val="20"/>
          <w:szCs w:val="20"/>
          <w:lang w:val="es-ES"/>
        </w:rPr>
        <w:t>Félix Ordóñez Suazo</w:t>
      </w:r>
      <w:r w:rsidRPr="00930C8B">
        <w:rPr>
          <w:rFonts w:ascii="Verdana" w:hAnsi="Verdana"/>
          <w:sz w:val="20"/>
          <w:szCs w:val="20"/>
          <w:lang w:val="es-ES"/>
        </w:rPr>
        <w:t>, el Estado argumentó que existía una causa instruida en etapa de investigación contra el presunto responsable,</w:t>
      </w:r>
      <w:r w:rsidR="002E1DD3">
        <w:rPr>
          <w:rFonts w:ascii="Verdana" w:hAnsi="Verdana"/>
          <w:sz w:val="20"/>
          <w:szCs w:val="20"/>
          <w:lang w:val="es-ES"/>
        </w:rPr>
        <w:t xml:space="preserve"> </w:t>
      </w:r>
      <w:r w:rsidRPr="00930C8B">
        <w:rPr>
          <w:rFonts w:ascii="Verdana" w:hAnsi="Verdana"/>
          <w:sz w:val="20"/>
          <w:szCs w:val="20"/>
          <w:lang w:val="es-ES"/>
        </w:rPr>
        <w:t xml:space="preserve">sobre </w:t>
      </w:r>
      <w:r w:rsidR="00C77120">
        <w:rPr>
          <w:rFonts w:ascii="Verdana" w:hAnsi="Verdana"/>
          <w:sz w:val="20"/>
          <w:szCs w:val="20"/>
          <w:lang w:val="es-ES"/>
        </w:rPr>
        <w:t>el cual</w:t>
      </w:r>
      <w:r w:rsidR="00C77120" w:rsidRPr="00930C8B">
        <w:rPr>
          <w:rFonts w:ascii="Verdana" w:hAnsi="Verdana"/>
          <w:sz w:val="20"/>
          <w:szCs w:val="20"/>
          <w:lang w:val="es-ES"/>
        </w:rPr>
        <w:t xml:space="preserve"> </w:t>
      </w:r>
      <w:r w:rsidRPr="00930C8B">
        <w:rPr>
          <w:rFonts w:ascii="Verdana" w:hAnsi="Verdana"/>
          <w:sz w:val="20"/>
          <w:szCs w:val="20"/>
          <w:lang w:val="es-ES"/>
        </w:rPr>
        <w:t>existía una orden de captura pendiente de ejecución</w:t>
      </w:r>
      <w:r w:rsidR="0086236B" w:rsidRPr="00A0324F">
        <w:rPr>
          <w:rFonts w:ascii="Verdana" w:hAnsi="Verdana"/>
          <w:sz w:val="20"/>
          <w:szCs w:val="20"/>
          <w:lang w:val="es-ES"/>
        </w:rPr>
        <w:t>,</w:t>
      </w:r>
      <w:r w:rsidRPr="00930C8B">
        <w:rPr>
          <w:rFonts w:ascii="Verdana" w:hAnsi="Verdana"/>
          <w:b/>
          <w:sz w:val="20"/>
          <w:szCs w:val="20"/>
          <w:lang w:val="es-ES"/>
        </w:rPr>
        <w:t xml:space="preserve"> </w:t>
      </w:r>
      <w:r w:rsidRPr="00930C8B">
        <w:rPr>
          <w:rFonts w:ascii="Verdana" w:hAnsi="Verdana"/>
          <w:sz w:val="20"/>
          <w:szCs w:val="20"/>
          <w:lang w:val="es-ES"/>
        </w:rPr>
        <w:t>por lo que dichas investigaciones se encontraban pendientes.</w:t>
      </w:r>
    </w:p>
    <w:p w14:paraId="0C704BE2" w14:textId="77777777" w:rsidR="00930C8B" w:rsidRPr="00A0324F" w:rsidRDefault="00930C8B" w:rsidP="00930C8B">
      <w:pPr>
        <w:keepNext/>
        <w:keepLines/>
        <w:jc w:val="both"/>
        <w:outlineLvl w:val="2"/>
        <w:rPr>
          <w:rFonts w:ascii="Verdana" w:eastAsiaTheme="majorEastAsia" w:hAnsi="Verdana" w:cstheme="majorBidi"/>
          <w:b/>
          <w:bCs/>
          <w:i/>
          <w:sz w:val="20"/>
          <w:szCs w:val="20"/>
          <w:lang w:val="es-ES"/>
        </w:rPr>
      </w:pPr>
    </w:p>
    <w:p w14:paraId="0C704BE3" w14:textId="77777777" w:rsidR="00930C8B" w:rsidRPr="00930C8B" w:rsidRDefault="00930C8B" w:rsidP="00930C8B">
      <w:pPr>
        <w:keepNext/>
        <w:keepLines/>
        <w:ind w:firstLine="360"/>
        <w:outlineLvl w:val="2"/>
        <w:rPr>
          <w:rFonts w:ascii="Verdana" w:eastAsiaTheme="majorEastAsia" w:hAnsi="Verdana" w:cstheme="majorBidi"/>
          <w:b/>
          <w:bCs/>
          <w:i/>
          <w:sz w:val="20"/>
          <w:szCs w:val="20"/>
          <w:lang w:val="es-CR"/>
        </w:rPr>
      </w:pPr>
      <w:bookmarkStart w:id="109" w:name="_Toc437247371"/>
      <w:r w:rsidRPr="00930C8B">
        <w:rPr>
          <w:rFonts w:ascii="Verdana" w:eastAsiaTheme="majorEastAsia" w:hAnsi="Verdana" w:cstheme="majorBidi"/>
          <w:b/>
          <w:bCs/>
          <w:i/>
          <w:sz w:val="20"/>
          <w:szCs w:val="20"/>
        </w:rPr>
        <w:t>B.2 Consideraciones de la Corte</w:t>
      </w:r>
      <w:bookmarkEnd w:id="109"/>
    </w:p>
    <w:p w14:paraId="0C704BE4" w14:textId="77777777" w:rsidR="00930C8B" w:rsidRPr="00930C8B" w:rsidRDefault="00930C8B" w:rsidP="00930C8B">
      <w:pPr>
        <w:tabs>
          <w:tab w:val="left" w:pos="567"/>
        </w:tabs>
        <w:contextualSpacing/>
        <w:jc w:val="both"/>
        <w:rPr>
          <w:rFonts w:ascii="Verdana" w:hAnsi="Verdana"/>
          <w:sz w:val="20"/>
          <w:szCs w:val="20"/>
          <w:lang w:val="es-CR"/>
        </w:rPr>
      </w:pPr>
    </w:p>
    <w:p w14:paraId="0C704BE5" w14:textId="05D7ACB9"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hAnsi="Verdana"/>
          <w:sz w:val="20"/>
          <w:szCs w:val="20"/>
          <w:lang w:val="es-CR"/>
        </w:rPr>
        <w:t>Los representantes de las presuntas víctimas solicitaron a la Corte que se declare la violación de los artículos 8 y 25 de la Convención Americana. El análisis del artículo 8 no fue parte del Informe de Fondo sometido por la Comisión (</w:t>
      </w:r>
      <w:r w:rsidRPr="00930C8B">
        <w:rPr>
          <w:rFonts w:ascii="Verdana" w:hAnsi="Verdana"/>
          <w:i/>
          <w:sz w:val="20"/>
          <w:szCs w:val="20"/>
          <w:lang w:val="es-CR"/>
        </w:rPr>
        <w:t>supra</w:t>
      </w:r>
      <w:r w:rsidRPr="00930C8B">
        <w:rPr>
          <w:rFonts w:ascii="Verdana" w:hAnsi="Verdana"/>
          <w:sz w:val="20"/>
          <w:szCs w:val="20"/>
          <w:lang w:val="es-CR"/>
        </w:rPr>
        <w:t xml:space="preserve"> párr. </w:t>
      </w:r>
      <w:r w:rsidR="00847173">
        <w:rPr>
          <w:rFonts w:ascii="Verdana" w:hAnsi="Verdana"/>
          <w:sz w:val="20"/>
          <w:szCs w:val="20"/>
          <w:lang w:val="es-CR"/>
        </w:rPr>
        <w:t>2</w:t>
      </w:r>
      <w:r w:rsidR="00AD0E4D">
        <w:rPr>
          <w:rFonts w:ascii="Verdana" w:hAnsi="Verdana"/>
          <w:sz w:val="20"/>
          <w:szCs w:val="20"/>
          <w:lang w:val="es-CR"/>
        </w:rPr>
        <w:t>.d</w:t>
      </w:r>
      <w:r w:rsidRPr="00930C8B">
        <w:rPr>
          <w:rFonts w:ascii="Verdana" w:hAnsi="Verdana"/>
          <w:sz w:val="20"/>
          <w:szCs w:val="20"/>
          <w:lang w:val="es-CR"/>
        </w:rPr>
        <w:t>). En vista de la jurisprudencia reiterada en este ámbito</w:t>
      </w:r>
      <w:r w:rsidRPr="00930C8B">
        <w:rPr>
          <w:rFonts w:ascii="Verdana" w:hAnsi="Verdana"/>
          <w:sz w:val="20"/>
          <w:szCs w:val="20"/>
          <w:vertAlign w:val="superscript"/>
        </w:rPr>
        <w:footnoteReference w:id="304"/>
      </w:r>
      <w:r w:rsidRPr="00930C8B">
        <w:rPr>
          <w:rFonts w:ascii="Verdana" w:hAnsi="Verdana"/>
          <w:sz w:val="20"/>
          <w:szCs w:val="20"/>
        </w:rPr>
        <w:t xml:space="preserve">, al alegar los representantes la presunta violación del artículo 8 de la Convención, se refirieron al marco fáctico planteado por la Comisión en el Informe de Fondo, por lo que es pertinente pronunciarse sobre el mismo. </w:t>
      </w:r>
    </w:p>
    <w:p w14:paraId="0C704BE6" w14:textId="77777777" w:rsidR="00930C8B" w:rsidRPr="00930C8B" w:rsidRDefault="00930C8B" w:rsidP="00930C8B">
      <w:pPr>
        <w:ind w:left="720"/>
        <w:contextualSpacing/>
        <w:rPr>
          <w:rFonts w:ascii="Verdana" w:eastAsia="Times New Roman" w:hAnsi="Verdana"/>
          <w:spacing w:val="-2"/>
          <w:sz w:val="20"/>
          <w:szCs w:val="20"/>
          <w:lang w:val="es-CR" w:eastAsia="es-ES"/>
        </w:rPr>
      </w:pPr>
    </w:p>
    <w:p w14:paraId="0C704BE7" w14:textId="5BCF12E8"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z w:val="20"/>
          <w:szCs w:val="20"/>
        </w:rPr>
        <w:t>El Tribunal ya ha afirmado que la obligación de investigar, juzgar y, en su caso, sancionar a los responsables de violaciones de derechos humanos se encuentra dentro de las medidas positivas que deben adoptar los Estados para garantizar los derechos reconocidos en la Convención</w:t>
      </w:r>
      <w:r w:rsidRPr="00930C8B">
        <w:rPr>
          <w:rFonts w:ascii="Verdana" w:hAnsi="Verdana"/>
          <w:sz w:val="20"/>
          <w:szCs w:val="20"/>
          <w:vertAlign w:val="superscript"/>
          <w:lang w:val="es-CO"/>
        </w:rPr>
        <w:footnoteReference w:id="305"/>
      </w:r>
      <w:r w:rsidRPr="00930C8B">
        <w:rPr>
          <w:rFonts w:ascii="Verdana" w:hAnsi="Verdana"/>
          <w:sz w:val="20"/>
          <w:szCs w:val="20"/>
        </w:rPr>
        <w:t>, de conformidad con el artículo 1.1 de la misma. Est</w:t>
      </w:r>
      <w:r w:rsidR="00107FDA">
        <w:rPr>
          <w:rFonts w:ascii="Verdana" w:hAnsi="Verdana"/>
          <w:sz w:val="20"/>
          <w:szCs w:val="20"/>
        </w:rPr>
        <w:t>a obligación tiene que</w:t>
      </w:r>
      <w:r w:rsidRPr="00930C8B">
        <w:rPr>
          <w:rFonts w:ascii="Verdana" w:hAnsi="Verdana"/>
          <w:sz w:val="20"/>
          <w:szCs w:val="20"/>
        </w:rPr>
        <w:t xml:space="preserve"> ser asumid</w:t>
      </w:r>
      <w:r w:rsidR="00107FDA">
        <w:rPr>
          <w:rFonts w:ascii="Verdana" w:hAnsi="Verdana"/>
          <w:sz w:val="20"/>
          <w:szCs w:val="20"/>
        </w:rPr>
        <w:t>a</w:t>
      </w:r>
      <w:r w:rsidRPr="00930C8B">
        <w:rPr>
          <w:rFonts w:ascii="Verdana" w:hAnsi="Verdana"/>
          <w:sz w:val="20"/>
          <w:szCs w:val="20"/>
        </w:rPr>
        <w:t xml:space="preserve"> por el Estado como un deber jurídico propio y no como una simple formalidad condenada de antemano a ser infructuosa, o como una gestión de intereses particulares, que dependa de la iniciativa procesal de las víctimas, de sus familiares o de la aportación privada de elementos probatorios</w:t>
      </w:r>
      <w:r w:rsidRPr="00930C8B">
        <w:rPr>
          <w:rFonts w:ascii="Verdana" w:hAnsi="Verdana"/>
          <w:sz w:val="20"/>
          <w:szCs w:val="20"/>
          <w:vertAlign w:val="superscript"/>
        </w:rPr>
        <w:footnoteReference w:id="306"/>
      </w:r>
      <w:r w:rsidRPr="00930C8B">
        <w:rPr>
          <w:rFonts w:ascii="Verdana" w:hAnsi="Verdana"/>
          <w:sz w:val="20"/>
          <w:szCs w:val="20"/>
        </w:rPr>
        <w:t>. Dicha obligación se mantiene cualquiera sea el agente o particular al cual pueda atribuirse la violación</w:t>
      </w:r>
      <w:r w:rsidRPr="00930C8B">
        <w:rPr>
          <w:rFonts w:ascii="Verdana" w:hAnsi="Verdana"/>
          <w:sz w:val="20"/>
          <w:szCs w:val="20"/>
          <w:vertAlign w:val="superscript"/>
        </w:rPr>
        <w:footnoteReference w:id="307"/>
      </w:r>
      <w:r w:rsidRPr="00930C8B">
        <w:rPr>
          <w:rFonts w:ascii="Verdana" w:hAnsi="Verdana"/>
          <w:sz w:val="20"/>
          <w:szCs w:val="20"/>
        </w:rPr>
        <w:t>. Asimismo, la debida diligencia exige que el órgano que investiga lleve a cabo todas aquellas actuaciones y averiguaciones necesarias</w:t>
      </w:r>
      <w:r w:rsidRPr="00930C8B">
        <w:rPr>
          <w:rFonts w:ascii="Verdana" w:hAnsi="Verdana"/>
          <w:sz w:val="20"/>
          <w:szCs w:val="20"/>
          <w:vertAlign w:val="superscript"/>
        </w:rPr>
        <w:footnoteReference w:id="308"/>
      </w:r>
      <w:r w:rsidRPr="00930C8B">
        <w:rPr>
          <w:rFonts w:ascii="Verdana" w:hAnsi="Verdana"/>
          <w:sz w:val="20"/>
          <w:szCs w:val="20"/>
        </w:rPr>
        <w:t xml:space="preserve">, dentro de un plazo razonable, </w:t>
      </w:r>
      <w:r w:rsidRPr="00930C8B">
        <w:rPr>
          <w:rFonts w:ascii="Verdana" w:eastAsia="Times New Roman" w:hAnsi="Verdana"/>
          <w:sz w:val="20"/>
          <w:szCs w:val="20"/>
        </w:rPr>
        <w:t>con el fin de intentar obtener un resultado</w:t>
      </w:r>
      <w:r w:rsidRPr="00930C8B">
        <w:rPr>
          <w:rFonts w:ascii="Verdana" w:eastAsia="Times New Roman" w:hAnsi="Verdana"/>
          <w:sz w:val="20"/>
          <w:szCs w:val="20"/>
          <w:vertAlign w:val="superscript"/>
        </w:rPr>
        <w:footnoteReference w:id="309"/>
      </w:r>
      <w:r w:rsidR="00AD0E4D">
        <w:rPr>
          <w:rFonts w:ascii="Verdana" w:eastAsia="Times New Roman" w:hAnsi="Verdana"/>
          <w:sz w:val="20"/>
          <w:szCs w:val="20"/>
        </w:rPr>
        <w:t>.</w:t>
      </w:r>
    </w:p>
    <w:p w14:paraId="0C704BE8" w14:textId="77777777" w:rsidR="00930C8B" w:rsidRPr="00930C8B" w:rsidRDefault="00930C8B" w:rsidP="00930C8B">
      <w:pPr>
        <w:tabs>
          <w:tab w:val="left" w:pos="567"/>
        </w:tabs>
        <w:contextualSpacing/>
        <w:jc w:val="both"/>
        <w:rPr>
          <w:rFonts w:ascii="Verdana" w:eastAsia="Times New Roman" w:hAnsi="Verdana"/>
          <w:b/>
          <w:spacing w:val="-2"/>
          <w:sz w:val="20"/>
          <w:szCs w:val="20"/>
          <w:lang w:val="es-CR" w:eastAsia="es-ES"/>
        </w:rPr>
      </w:pPr>
    </w:p>
    <w:p w14:paraId="0C704BE9" w14:textId="7417F7BF" w:rsidR="00930C8B" w:rsidRPr="00930C8B"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pacing w:val="-2"/>
          <w:sz w:val="20"/>
          <w:szCs w:val="20"/>
          <w:lang w:val="es-CR"/>
        </w:rPr>
        <w:t>Con base en lo expuesto, este Tribunal analizará la alegada violación de los artículos 8 y 25, para lo cual desarrollará su análisis valorando: a) la denuncia de usurpación de 2003</w:t>
      </w:r>
      <w:r w:rsidRPr="00930C8B">
        <w:rPr>
          <w:rFonts w:ascii="Verdana" w:hAnsi="Verdana"/>
          <w:sz w:val="20"/>
          <w:szCs w:val="20"/>
          <w:lang w:val="es-CR"/>
        </w:rPr>
        <w:t xml:space="preserve">, así como la debida diligencia y plazo razonable durante las investigaciones y el proceso penal relativo a la muerte de Félix Ordóñez Suazo de 2007, y </w:t>
      </w:r>
      <w:r w:rsidRPr="00930C8B">
        <w:rPr>
          <w:rFonts w:ascii="Verdana" w:hAnsi="Verdana"/>
          <w:spacing w:val="-2"/>
          <w:sz w:val="20"/>
          <w:szCs w:val="20"/>
          <w:lang w:val="es-CR"/>
        </w:rPr>
        <w:t xml:space="preserve">b) la debida diligencia y el plazo razonable respecto </w:t>
      </w:r>
      <w:r w:rsidRPr="00930C8B">
        <w:rPr>
          <w:rFonts w:ascii="Verdana" w:eastAsia="Times New Roman" w:hAnsi="Verdana" w:cs="Arial"/>
          <w:spacing w:val="-2"/>
          <w:sz w:val="20"/>
          <w:szCs w:val="20"/>
          <w:lang w:val="es-CR" w:eastAsia="es-ES"/>
        </w:rPr>
        <w:t xml:space="preserve">de las denuncias de usurpación y amenazas de 2010, en perjuicio de Paulino Mejía y de la Comunidad Garífuna de Punta Piedra y sus miembros, así como la denuncia de abuso de autoridad de 2010, en perjuicio de </w:t>
      </w:r>
      <w:r w:rsidR="00107FDA">
        <w:rPr>
          <w:rFonts w:ascii="Verdana" w:eastAsia="Times New Roman" w:hAnsi="Verdana" w:cs="Arial"/>
          <w:spacing w:val="-2"/>
          <w:sz w:val="20"/>
          <w:szCs w:val="20"/>
          <w:lang w:val="es-CR" w:eastAsia="es-ES"/>
        </w:rPr>
        <w:t>dicha</w:t>
      </w:r>
      <w:r w:rsidRPr="00930C8B">
        <w:rPr>
          <w:rFonts w:ascii="Verdana" w:eastAsia="Times New Roman" w:hAnsi="Verdana" w:cs="Arial"/>
          <w:spacing w:val="-2"/>
          <w:sz w:val="20"/>
          <w:szCs w:val="20"/>
          <w:lang w:val="es-CR" w:eastAsia="es-ES"/>
        </w:rPr>
        <w:t xml:space="preserve"> Comunidad y sus miembros.</w:t>
      </w:r>
    </w:p>
    <w:p w14:paraId="0C704BEA" w14:textId="77777777" w:rsidR="00930C8B" w:rsidRPr="00930C8B" w:rsidRDefault="00930C8B" w:rsidP="00930C8B">
      <w:pPr>
        <w:tabs>
          <w:tab w:val="left" w:pos="567"/>
        </w:tabs>
        <w:contextualSpacing/>
        <w:jc w:val="both"/>
        <w:rPr>
          <w:rFonts w:ascii="Verdana" w:hAnsi="Verdana"/>
          <w:sz w:val="20"/>
          <w:szCs w:val="20"/>
          <w:highlight w:val="yellow"/>
          <w:lang w:val="es-CR"/>
        </w:rPr>
      </w:pPr>
    </w:p>
    <w:p w14:paraId="0C704BEB" w14:textId="77777777" w:rsidR="00930C8B" w:rsidRPr="00930C8B" w:rsidRDefault="00930C8B" w:rsidP="00930C8B">
      <w:pPr>
        <w:keepNext/>
        <w:keepLines/>
        <w:ind w:left="1416"/>
        <w:jc w:val="both"/>
        <w:outlineLvl w:val="3"/>
        <w:rPr>
          <w:rFonts w:ascii="Verdana" w:eastAsiaTheme="majorEastAsia" w:hAnsi="Verdana" w:cstheme="majorBidi"/>
          <w:b/>
          <w:bCs/>
          <w:i/>
          <w:iCs/>
          <w:sz w:val="20"/>
          <w:szCs w:val="22"/>
          <w:lang w:val="es-CR"/>
        </w:rPr>
      </w:pPr>
      <w:bookmarkStart w:id="110" w:name="_Toc437247372"/>
      <w:r w:rsidRPr="00930C8B">
        <w:rPr>
          <w:rFonts w:ascii="Verdana" w:eastAsiaTheme="majorEastAsia" w:hAnsi="Verdana" w:cstheme="majorBidi"/>
          <w:b/>
          <w:bCs/>
          <w:i/>
          <w:iCs/>
          <w:sz w:val="20"/>
          <w:szCs w:val="22"/>
          <w:lang w:val="es-CR"/>
        </w:rPr>
        <w:lastRenderedPageBreak/>
        <w:t>B.2.1 Denuncia por el delito de usurpación de 2003, investigaciones y proceso penal relativo a la muerte de Félix Ordóñez Suazo</w:t>
      </w:r>
      <w:bookmarkEnd w:id="110"/>
    </w:p>
    <w:p w14:paraId="0C704BEC" w14:textId="77777777" w:rsidR="00930C8B" w:rsidRPr="00930C8B" w:rsidRDefault="00930C8B" w:rsidP="00930C8B">
      <w:pPr>
        <w:tabs>
          <w:tab w:val="left" w:pos="567"/>
        </w:tabs>
        <w:contextualSpacing/>
        <w:jc w:val="both"/>
        <w:rPr>
          <w:rFonts w:ascii="Verdana" w:eastAsia="Times New Roman" w:hAnsi="Verdana" w:cs="Arial"/>
          <w:spacing w:val="-2"/>
          <w:sz w:val="20"/>
          <w:szCs w:val="20"/>
          <w:lang w:val="es-CR" w:eastAsia="es-ES"/>
        </w:rPr>
      </w:pPr>
    </w:p>
    <w:p w14:paraId="0C704BED" w14:textId="77777777" w:rsidR="00930C8B" w:rsidRPr="00930C8B" w:rsidRDefault="00930C8B" w:rsidP="00930C8B">
      <w:pPr>
        <w:keepNext/>
        <w:keepLines/>
        <w:ind w:left="2124"/>
        <w:jc w:val="both"/>
        <w:outlineLvl w:val="4"/>
        <w:rPr>
          <w:rFonts w:ascii="Verdana" w:eastAsiaTheme="majorEastAsia" w:hAnsi="Verdana" w:cstheme="majorBidi"/>
          <w:i/>
          <w:sz w:val="20"/>
          <w:szCs w:val="20"/>
          <w:lang w:val="es-PE"/>
        </w:rPr>
      </w:pPr>
      <w:bookmarkStart w:id="111" w:name="_Toc437247373"/>
      <w:r w:rsidRPr="00930C8B">
        <w:rPr>
          <w:rFonts w:ascii="Verdana" w:eastAsiaTheme="majorEastAsia" w:hAnsi="Verdana" w:cstheme="majorBidi"/>
          <w:i/>
          <w:sz w:val="20"/>
          <w:szCs w:val="20"/>
          <w:lang w:val="es-PE"/>
        </w:rPr>
        <w:t>B.2.1.1 Investigaciones derivadas de la denuncia de usurpación de 2003</w:t>
      </w:r>
      <w:bookmarkEnd w:id="111"/>
    </w:p>
    <w:p w14:paraId="0C704BEE" w14:textId="77777777" w:rsidR="00930C8B" w:rsidRPr="00930C8B" w:rsidRDefault="00930C8B" w:rsidP="00930C8B">
      <w:pPr>
        <w:tabs>
          <w:tab w:val="left" w:pos="567"/>
        </w:tabs>
        <w:contextualSpacing/>
        <w:jc w:val="both"/>
        <w:rPr>
          <w:rFonts w:ascii="Verdana" w:eastAsia="Times New Roman" w:hAnsi="Verdana" w:cs="Arial"/>
          <w:spacing w:val="-2"/>
          <w:sz w:val="20"/>
          <w:szCs w:val="20"/>
          <w:highlight w:val="green"/>
          <w:lang w:val="es-CR" w:eastAsia="es-ES"/>
        </w:rPr>
      </w:pPr>
    </w:p>
    <w:p w14:paraId="0C704BEF" w14:textId="44CF29A5"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 xml:space="preserve">El Tribunal ha constatado que el </w:t>
      </w:r>
      <w:r w:rsidRPr="00930C8B">
        <w:rPr>
          <w:rFonts w:ascii="Verdana" w:hAnsi="Verdana"/>
          <w:sz w:val="20"/>
          <w:szCs w:val="20"/>
          <w:lang w:val="es-CR"/>
        </w:rPr>
        <w:t>22 mayo de 2003 Félix Ordóñez Suazo interpuso la denuncia No.188-2003 en contra de Luis Portillo por la presunta comisión del delito de usurpación de tierras</w:t>
      </w:r>
      <w:r w:rsidRPr="00930C8B">
        <w:rPr>
          <w:rFonts w:ascii="Verdana" w:hAnsi="Verdana"/>
          <w:sz w:val="20"/>
          <w:szCs w:val="20"/>
          <w:vertAlign w:val="superscript"/>
          <w:lang w:val="es-CR"/>
        </w:rPr>
        <w:footnoteReference w:id="310"/>
      </w:r>
      <w:r w:rsidRPr="00930C8B">
        <w:rPr>
          <w:rFonts w:ascii="Verdana" w:hAnsi="Verdana"/>
          <w:sz w:val="20"/>
          <w:szCs w:val="20"/>
          <w:lang w:val="es-CR"/>
        </w:rPr>
        <w:t>, en su perjuicio y el de la Comunidad de Punta Piedra, ya que este último quiso apoderarse de un área aproximada de tres a ocho manzanas de terreno, ubicados dentro del territorio de la comunidad</w:t>
      </w:r>
      <w:r w:rsidRPr="00930C8B">
        <w:rPr>
          <w:szCs w:val="20"/>
          <w:lang w:val="es-CR"/>
        </w:rPr>
        <w:t xml:space="preserve"> </w:t>
      </w:r>
      <w:r w:rsidRPr="00930C8B">
        <w:rPr>
          <w:rFonts w:ascii="Verdana" w:hAnsi="Verdana"/>
          <w:sz w:val="20"/>
          <w:szCs w:val="20"/>
          <w:lang w:val="es-CR"/>
        </w:rPr>
        <w:t>(</w:t>
      </w:r>
      <w:r w:rsidRPr="00930C8B">
        <w:rPr>
          <w:rFonts w:ascii="Verdana" w:hAnsi="Verdana"/>
          <w:i/>
          <w:sz w:val="20"/>
          <w:szCs w:val="20"/>
          <w:lang w:val="es-CR"/>
        </w:rPr>
        <w:t>supra</w:t>
      </w:r>
      <w:r w:rsidRPr="00930C8B">
        <w:rPr>
          <w:rFonts w:ascii="Verdana" w:hAnsi="Verdana"/>
          <w:sz w:val="20"/>
          <w:szCs w:val="20"/>
          <w:lang w:val="es-CR"/>
        </w:rPr>
        <w:t xml:space="preserve"> párr. </w:t>
      </w:r>
      <w:r w:rsidR="00D15AD2">
        <w:rPr>
          <w:rFonts w:ascii="Verdana" w:hAnsi="Verdana"/>
          <w:sz w:val="20"/>
          <w:szCs w:val="20"/>
          <w:lang w:val="es-CR"/>
        </w:rPr>
        <w:t>13</w:t>
      </w:r>
      <w:r w:rsidR="00A77E5A">
        <w:rPr>
          <w:rFonts w:ascii="Verdana" w:hAnsi="Verdana"/>
          <w:sz w:val="20"/>
          <w:szCs w:val="20"/>
          <w:lang w:val="es-CR"/>
        </w:rPr>
        <w:t>3</w:t>
      </w:r>
      <w:r w:rsidRPr="00930C8B">
        <w:rPr>
          <w:rFonts w:ascii="Verdana" w:hAnsi="Verdana"/>
          <w:sz w:val="20"/>
          <w:szCs w:val="20"/>
          <w:lang w:val="es-CR"/>
        </w:rPr>
        <w:t>).</w:t>
      </w:r>
    </w:p>
    <w:p w14:paraId="0C704BF0"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r w:rsidRPr="00930C8B">
        <w:rPr>
          <w:rFonts w:ascii="Verdana" w:hAnsi="Verdana"/>
          <w:sz w:val="20"/>
          <w:szCs w:val="20"/>
          <w:lang w:val="es-CR"/>
        </w:rPr>
        <w:t xml:space="preserve"> </w:t>
      </w:r>
    </w:p>
    <w:p w14:paraId="0C704BF1" w14:textId="7A279212"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hAnsi="Verdana"/>
          <w:sz w:val="20"/>
          <w:szCs w:val="20"/>
          <w:lang w:val="es-CR"/>
        </w:rPr>
        <w:t>Con motivo de dicha denuncia</w:t>
      </w:r>
      <w:r w:rsidR="00A77E5A">
        <w:rPr>
          <w:rFonts w:ascii="Verdana" w:hAnsi="Verdana"/>
          <w:sz w:val="20"/>
          <w:szCs w:val="20"/>
          <w:lang w:val="es-CR"/>
        </w:rPr>
        <w:t>,</w:t>
      </w:r>
      <w:r w:rsidRPr="00930C8B">
        <w:rPr>
          <w:rFonts w:ascii="Verdana" w:hAnsi="Verdana"/>
          <w:sz w:val="20"/>
          <w:szCs w:val="20"/>
          <w:lang w:val="es-CR"/>
        </w:rPr>
        <w:t xml:space="preserve"> el </w:t>
      </w:r>
      <w:r w:rsidRPr="00930C8B">
        <w:rPr>
          <w:rFonts w:ascii="Verdana" w:hAnsi="Verdana"/>
          <w:sz w:val="20"/>
          <w:szCs w:val="20"/>
          <w:lang w:val="es-ES"/>
        </w:rPr>
        <w:t>11 de julio de 2003 la Fiscalía de Etnias emitió un auto de requerimiento de investigación policial a fin de que la DGIC iniciara la investigación de los hechos. Por ello, instruyó que se realizaran ciertas diligencias (</w:t>
      </w:r>
      <w:r w:rsidRPr="00930C8B">
        <w:rPr>
          <w:rFonts w:ascii="Verdana" w:hAnsi="Verdana"/>
          <w:i/>
          <w:sz w:val="20"/>
          <w:szCs w:val="20"/>
          <w:lang w:val="es-ES"/>
        </w:rPr>
        <w:t>supra</w:t>
      </w:r>
      <w:r w:rsidRPr="00930C8B">
        <w:rPr>
          <w:rFonts w:ascii="Verdana" w:hAnsi="Verdana"/>
          <w:sz w:val="20"/>
          <w:szCs w:val="20"/>
          <w:lang w:val="es-ES"/>
        </w:rPr>
        <w:t xml:space="preserve"> párr. </w:t>
      </w:r>
      <w:r w:rsidR="00D15AD2">
        <w:rPr>
          <w:rFonts w:ascii="Verdana" w:hAnsi="Verdana"/>
          <w:sz w:val="20"/>
          <w:szCs w:val="20"/>
          <w:lang w:val="es-ES"/>
        </w:rPr>
        <w:t>134</w:t>
      </w:r>
      <w:r w:rsidRPr="00930C8B">
        <w:rPr>
          <w:rFonts w:ascii="Verdana" w:hAnsi="Verdana"/>
          <w:sz w:val="20"/>
          <w:szCs w:val="20"/>
          <w:lang w:val="es-ES"/>
        </w:rPr>
        <w:t>), entre las más importantes y básicas, la identificación del imputado</w:t>
      </w:r>
      <w:r w:rsidR="00F7349A">
        <w:rPr>
          <w:rFonts w:ascii="Verdana" w:hAnsi="Verdana"/>
          <w:sz w:val="20"/>
          <w:szCs w:val="20"/>
          <w:lang w:val="es-ES"/>
        </w:rPr>
        <w:t>,</w:t>
      </w:r>
      <w:r w:rsidRPr="00930C8B">
        <w:rPr>
          <w:rFonts w:ascii="Verdana" w:hAnsi="Verdana"/>
          <w:sz w:val="20"/>
          <w:szCs w:val="20"/>
          <w:lang w:val="es-ES"/>
        </w:rPr>
        <w:t xml:space="preserve"> la toma de su declaración y la de la víctima, así como la obtención de mapas</w:t>
      </w:r>
      <w:r w:rsidR="00F7349A">
        <w:rPr>
          <w:rFonts w:ascii="Verdana" w:hAnsi="Verdana"/>
          <w:sz w:val="20"/>
          <w:szCs w:val="20"/>
          <w:lang w:val="es-ES"/>
        </w:rPr>
        <w:t>,</w:t>
      </w:r>
      <w:r w:rsidRPr="00930C8B">
        <w:rPr>
          <w:rFonts w:ascii="Verdana" w:hAnsi="Verdana"/>
          <w:sz w:val="20"/>
          <w:szCs w:val="20"/>
          <w:lang w:val="es-ES"/>
        </w:rPr>
        <w:t xml:space="preserve"> documentos de propiedad de las partes en conflicto y la inspección del sitio.</w:t>
      </w:r>
    </w:p>
    <w:p w14:paraId="0C704BF2" w14:textId="77777777" w:rsidR="00930C8B" w:rsidRPr="00930C8B" w:rsidRDefault="00930C8B" w:rsidP="00930C8B">
      <w:pPr>
        <w:ind w:left="720"/>
        <w:contextualSpacing/>
        <w:rPr>
          <w:rFonts w:ascii="Verdana" w:hAnsi="Verdana"/>
          <w:sz w:val="20"/>
          <w:szCs w:val="20"/>
          <w:lang w:val="es-CR"/>
        </w:rPr>
      </w:pPr>
    </w:p>
    <w:p w14:paraId="0C704BF3" w14:textId="27012547"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hAnsi="Verdana"/>
          <w:sz w:val="20"/>
          <w:szCs w:val="20"/>
          <w:lang w:val="es-CR"/>
        </w:rPr>
        <w:t xml:space="preserve"> </w:t>
      </w:r>
      <w:r w:rsidRPr="00930C8B">
        <w:rPr>
          <w:rFonts w:ascii="Verdana" w:hAnsi="Verdana"/>
          <w:sz w:val="20"/>
          <w:szCs w:val="20"/>
          <w:lang w:val="es-ES"/>
        </w:rPr>
        <w:t xml:space="preserve">El Tribunal estima que la interposición de una denuncia penal </w:t>
      </w:r>
      <w:r w:rsidRPr="00930C8B">
        <w:rPr>
          <w:rFonts w:ascii="Verdana" w:hAnsi="Verdana"/>
          <w:sz w:val="20"/>
          <w:szCs w:val="20"/>
        </w:rPr>
        <w:t xml:space="preserve">exige que el órgano que investiga lleve a cabo todas aquellas actuaciones y averiguaciones necesarias, dentro de un plazo razonable, </w:t>
      </w:r>
      <w:r w:rsidRPr="00930C8B">
        <w:rPr>
          <w:rFonts w:ascii="Verdana" w:eastAsia="Times New Roman" w:hAnsi="Verdana"/>
          <w:sz w:val="20"/>
          <w:szCs w:val="20"/>
        </w:rPr>
        <w:t>con el fin de intentar obtener un resultado</w:t>
      </w:r>
      <w:r w:rsidRPr="00930C8B">
        <w:rPr>
          <w:rFonts w:ascii="Verdana" w:eastAsia="Times New Roman" w:hAnsi="Verdana"/>
          <w:sz w:val="20"/>
          <w:szCs w:val="20"/>
          <w:vertAlign w:val="superscript"/>
        </w:rPr>
        <w:footnoteReference w:id="311"/>
      </w:r>
      <w:r w:rsidRPr="00930C8B">
        <w:rPr>
          <w:rFonts w:ascii="Verdana" w:eastAsia="Times New Roman" w:hAnsi="Verdana"/>
          <w:sz w:val="20"/>
          <w:szCs w:val="20"/>
        </w:rPr>
        <w:t xml:space="preserve">. Sin embargo, la Corte entiende que si bien con base en la información recabada en las actuaciones iniciales, el órgano a cargo podría decidir no continuar con las investigaciones, de considerarlo procedente, sí es indispensable que este realice las diligencias mínimas que le permitan tener un marco informativo suficiente sobre la presunta comisión de un delito. </w:t>
      </w:r>
      <w:r w:rsidR="0097786F" w:rsidRPr="00930C8B">
        <w:rPr>
          <w:rFonts w:ascii="Verdana" w:eastAsia="Times New Roman" w:hAnsi="Verdana"/>
          <w:sz w:val="20"/>
          <w:szCs w:val="20"/>
        </w:rPr>
        <w:t>En el presente caso,</w:t>
      </w:r>
      <w:r w:rsidR="0097786F" w:rsidRPr="00930C8B">
        <w:rPr>
          <w:rFonts w:ascii="Verdana" w:hAnsi="Verdana"/>
          <w:sz w:val="20"/>
          <w:szCs w:val="20"/>
          <w:lang w:val="es-CR"/>
        </w:rPr>
        <w:t xml:space="preserve"> </w:t>
      </w:r>
      <w:r w:rsidR="0097786F" w:rsidRPr="00930C8B">
        <w:rPr>
          <w:rFonts w:ascii="Verdana" w:hAnsi="Verdana"/>
          <w:sz w:val="20"/>
          <w:szCs w:val="20"/>
          <w:lang w:val="es-ES"/>
        </w:rPr>
        <w:t xml:space="preserve">conforme a la prueba obrante en el expediente, la Corte verifica que se recabaron los títulos de propiedad emitidos en favor de la Comunidad de Punta Piedra, </w:t>
      </w:r>
      <w:r w:rsidR="0097786F">
        <w:rPr>
          <w:rFonts w:ascii="Verdana" w:hAnsi="Verdana"/>
          <w:sz w:val="20"/>
          <w:szCs w:val="20"/>
          <w:lang w:val="es-ES"/>
        </w:rPr>
        <w:t xml:space="preserve">empero </w:t>
      </w:r>
      <w:r w:rsidR="0097786F" w:rsidRPr="00930C8B">
        <w:rPr>
          <w:rFonts w:ascii="Verdana" w:hAnsi="Verdana"/>
          <w:sz w:val="20"/>
          <w:szCs w:val="20"/>
          <w:lang w:val="es-ES"/>
        </w:rPr>
        <w:t xml:space="preserve">ninguna otra diligencia fue practicada por las autoridades correspondientes, a efectos de </w:t>
      </w:r>
      <w:r w:rsidR="0097786F">
        <w:rPr>
          <w:rFonts w:ascii="Verdana" w:hAnsi="Verdana"/>
          <w:sz w:val="20"/>
          <w:szCs w:val="20"/>
          <w:lang w:val="es-ES"/>
        </w:rPr>
        <w:t xml:space="preserve">recolectar </w:t>
      </w:r>
      <w:r w:rsidR="0097786F" w:rsidRPr="00930C8B">
        <w:rPr>
          <w:rFonts w:ascii="Verdana" w:hAnsi="Verdana"/>
          <w:sz w:val="20"/>
          <w:szCs w:val="20"/>
          <w:lang w:val="es-ES"/>
        </w:rPr>
        <w:t>información mínima de lo ocurrido.</w:t>
      </w:r>
    </w:p>
    <w:p w14:paraId="0C704BF4" w14:textId="77777777" w:rsidR="00930C8B" w:rsidRPr="00930C8B" w:rsidRDefault="00930C8B" w:rsidP="00930C8B">
      <w:pPr>
        <w:tabs>
          <w:tab w:val="left" w:pos="567"/>
        </w:tabs>
        <w:contextualSpacing/>
        <w:jc w:val="both"/>
        <w:rPr>
          <w:rFonts w:ascii="Verdana" w:hAnsi="Verdana"/>
          <w:sz w:val="20"/>
          <w:szCs w:val="20"/>
          <w:lang w:val="es-ES"/>
        </w:rPr>
      </w:pPr>
    </w:p>
    <w:p w14:paraId="0C704BF5" w14:textId="45A982C0" w:rsidR="00930C8B" w:rsidRPr="00EE7979" w:rsidRDefault="00930C8B" w:rsidP="00930C8B">
      <w:pPr>
        <w:numPr>
          <w:ilvl w:val="0"/>
          <w:numId w:val="17"/>
        </w:numPr>
        <w:ind w:left="0" w:hanging="11"/>
        <w:contextualSpacing/>
        <w:jc w:val="both"/>
        <w:rPr>
          <w:rFonts w:ascii="Verdana" w:eastAsia="Times New Roman" w:hAnsi="Verdana"/>
          <w:b/>
          <w:spacing w:val="-2"/>
          <w:sz w:val="20"/>
          <w:szCs w:val="20"/>
          <w:lang w:val="es-CR" w:eastAsia="es-ES"/>
        </w:rPr>
      </w:pPr>
      <w:r w:rsidRPr="00930C8B">
        <w:rPr>
          <w:rFonts w:ascii="Verdana" w:hAnsi="Verdana"/>
          <w:sz w:val="20"/>
          <w:szCs w:val="20"/>
          <w:lang w:val="es-ES"/>
        </w:rPr>
        <w:t>En virtud de lo señalado, el Tribunal constata que el Estado no llevó a cabo ninguna diligencia relevante para el esclarecimiento de los hechos y la sanción de los responsables, por lo que a más de 11 años de interpuesta la denuncia por el delito de usurpación, el Estado no se ha pronunciado respecto de la misma, en contravención con los principios de debida diligencia y plazo razonable. Asimismo, si bien el señor Félix Ordóñez Suazo falleció en junio de 2007, el Tribunal carece de información adicional y actualizada del estado de la denuncia de usurpación luego de su muerte</w:t>
      </w:r>
      <w:r w:rsidRPr="00930C8B">
        <w:rPr>
          <w:rFonts w:ascii="Verdana" w:hAnsi="Verdana"/>
          <w:sz w:val="20"/>
          <w:szCs w:val="20"/>
          <w:vertAlign w:val="superscript"/>
          <w:lang w:val="es-ES"/>
        </w:rPr>
        <w:footnoteReference w:id="312"/>
      </w:r>
      <w:r w:rsidRPr="00930C8B">
        <w:rPr>
          <w:rFonts w:ascii="Verdana" w:hAnsi="Verdana"/>
          <w:sz w:val="20"/>
          <w:szCs w:val="20"/>
          <w:lang w:val="es-ES"/>
        </w:rPr>
        <w:t xml:space="preserve"> y constata que aquella no se vinculó con las investigaciones llevadas a cabo con motivo de su fallecimiento</w:t>
      </w:r>
      <w:r w:rsidR="00A77E5A">
        <w:rPr>
          <w:rFonts w:ascii="Verdana" w:hAnsi="Verdana"/>
          <w:sz w:val="20"/>
          <w:szCs w:val="20"/>
          <w:lang w:val="es-ES"/>
        </w:rPr>
        <w:t>.</w:t>
      </w:r>
    </w:p>
    <w:p w14:paraId="0C704BF7" w14:textId="77777777" w:rsidR="00930C8B" w:rsidRPr="00930C8B" w:rsidRDefault="00930C8B" w:rsidP="00930C8B">
      <w:pPr>
        <w:keepNext/>
        <w:keepLines/>
        <w:ind w:left="2124"/>
        <w:jc w:val="both"/>
        <w:outlineLvl w:val="4"/>
        <w:rPr>
          <w:rFonts w:ascii="Verdana" w:eastAsiaTheme="majorEastAsia" w:hAnsi="Verdana" w:cstheme="majorBidi"/>
          <w:i/>
          <w:color w:val="243F60" w:themeColor="accent1" w:themeShade="7F"/>
          <w:sz w:val="20"/>
          <w:szCs w:val="20"/>
          <w:lang w:val="es-CR"/>
        </w:rPr>
      </w:pPr>
      <w:bookmarkStart w:id="112" w:name="_Toc437247374"/>
      <w:r w:rsidRPr="00930C8B">
        <w:rPr>
          <w:rFonts w:ascii="Verdana" w:eastAsiaTheme="majorEastAsia" w:hAnsi="Verdana" w:cstheme="majorBidi"/>
          <w:i/>
          <w:sz w:val="20"/>
          <w:szCs w:val="20"/>
          <w:lang w:val="es-PE"/>
        </w:rPr>
        <w:lastRenderedPageBreak/>
        <w:t>B.2.1.2 Investigaciones y proceso penal relativo a la muerte de Félix Ordóñez Suazo</w:t>
      </w:r>
      <w:bookmarkEnd w:id="112"/>
    </w:p>
    <w:p w14:paraId="0C704BF8" w14:textId="77777777" w:rsidR="00930C8B" w:rsidRPr="00930C8B" w:rsidRDefault="00930C8B" w:rsidP="00930C8B">
      <w:pPr>
        <w:tabs>
          <w:tab w:val="left" w:pos="567"/>
        </w:tabs>
        <w:contextualSpacing/>
        <w:jc w:val="both"/>
        <w:rPr>
          <w:rFonts w:ascii="Verdana" w:eastAsia="Times New Roman" w:hAnsi="Verdana"/>
          <w:b/>
          <w:spacing w:val="-2"/>
          <w:sz w:val="20"/>
          <w:szCs w:val="20"/>
          <w:lang w:val="es-CR" w:eastAsia="es-ES"/>
        </w:rPr>
      </w:pPr>
    </w:p>
    <w:p w14:paraId="0C704BF9" w14:textId="7C23D91F" w:rsidR="006A0E8F" w:rsidRDefault="00930C8B" w:rsidP="00A0324F">
      <w:pPr>
        <w:numPr>
          <w:ilvl w:val="0"/>
          <w:numId w:val="17"/>
        </w:numPr>
        <w:tabs>
          <w:tab w:val="left" w:pos="567"/>
          <w:tab w:val="left" w:pos="2128"/>
        </w:tabs>
        <w:ind w:left="0" w:hanging="11"/>
        <w:contextualSpacing/>
        <w:jc w:val="both"/>
        <w:rPr>
          <w:rFonts w:ascii="Verdana" w:hAnsi="Verdana"/>
          <w:spacing w:val="-2"/>
          <w:sz w:val="20"/>
          <w:szCs w:val="20"/>
          <w:lang w:val="es-CR"/>
        </w:rPr>
      </w:pPr>
      <w:r w:rsidRPr="00A77E5A">
        <w:rPr>
          <w:rFonts w:ascii="Verdana" w:hAnsi="Verdana"/>
          <w:spacing w:val="-2"/>
          <w:sz w:val="20"/>
          <w:szCs w:val="20"/>
          <w:lang w:val="es-CR"/>
        </w:rPr>
        <w:t>El Tribunal ha establecido que Félix Ordóñez Suazo murió el 11 de junio de 2007</w:t>
      </w:r>
      <w:r w:rsidR="00A766FE" w:rsidRPr="00A77E5A">
        <w:rPr>
          <w:rFonts w:ascii="Verdana" w:hAnsi="Verdana"/>
          <w:spacing w:val="-2"/>
          <w:sz w:val="20"/>
          <w:szCs w:val="20"/>
          <w:lang w:val="es-CR"/>
        </w:rPr>
        <w:t>,</w:t>
      </w:r>
      <w:r w:rsidRPr="00A77E5A">
        <w:rPr>
          <w:rFonts w:ascii="Verdana" w:hAnsi="Verdana"/>
          <w:spacing w:val="-2"/>
          <w:sz w:val="20"/>
          <w:szCs w:val="20"/>
          <w:lang w:val="es-CR"/>
        </w:rPr>
        <w:t xml:space="preserve"> entre las 7:30 y 11:00 horas, a causa del impacto de tres proyectiles de bala (</w:t>
      </w:r>
      <w:r w:rsidRPr="00445B91">
        <w:rPr>
          <w:rFonts w:ascii="Verdana" w:hAnsi="Verdana"/>
          <w:i/>
          <w:spacing w:val="-2"/>
          <w:sz w:val="20"/>
          <w:szCs w:val="20"/>
          <w:lang w:val="es-CR"/>
        </w:rPr>
        <w:t>supra</w:t>
      </w:r>
      <w:r w:rsidRPr="00445B91">
        <w:rPr>
          <w:rFonts w:ascii="Verdana" w:hAnsi="Verdana"/>
          <w:spacing w:val="-2"/>
          <w:sz w:val="20"/>
          <w:szCs w:val="20"/>
          <w:lang w:val="es-CR"/>
        </w:rPr>
        <w:t xml:space="preserve"> párr. </w:t>
      </w:r>
      <w:r w:rsidR="00A77E5A" w:rsidRPr="00445B91">
        <w:rPr>
          <w:rFonts w:ascii="Verdana" w:hAnsi="Verdana"/>
          <w:spacing w:val="-2"/>
          <w:sz w:val="20"/>
          <w:szCs w:val="20"/>
          <w:lang w:val="es-CR"/>
        </w:rPr>
        <w:t>137</w:t>
      </w:r>
      <w:r w:rsidRPr="00445B91">
        <w:rPr>
          <w:rFonts w:ascii="Verdana" w:hAnsi="Verdana"/>
          <w:spacing w:val="-2"/>
          <w:sz w:val="20"/>
          <w:szCs w:val="20"/>
          <w:lang w:val="es-CR"/>
        </w:rPr>
        <w:t>). De acuerdo con declaraciones del único testigo del crimen, el presunto autor habría sido David Portillo</w:t>
      </w:r>
      <w:r w:rsidRPr="00375DD4">
        <w:rPr>
          <w:rFonts w:ascii="Verdana" w:hAnsi="Verdana"/>
          <w:spacing w:val="-2"/>
          <w:sz w:val="20"/>
          <w:szCs w:val="20"/>
          <w:lang w:val="es-CR"/>
        </w:rPr>
        <w:t xml:space="preserve"> </w:t>
      </w:r>
      <w:r w:rsidR="0097786F">
        <w:rPr>
          <w:rFonts w:ascii="Verdana" w:hAnsi="Verdana"/>
          <w:spacing w:val="-2"/>
          <w:sz w:val="20"/>
          <w:szCs w:val="20"/>
          <w:lang w:val="es-CR"/>
        </w:rPr>
        <w:t>Chacón, hijo de Luis Portillo, e</w:t>
      </w:r>
      <w:r w:rsidRPr="00375DD4">
        <w:rPr>
          <w:rFonts w:ascii="Verdana" w:hAnsi="Verdana"/>
          <w:spacing w:val="-2"/>
          <w:sz w:val="20"/>
          <w:szCs w:val="20"/>
          <w:lang w:val="es-CR"/>
        </w:rPr>
        <w:t xml:space="preserve">ste último denunciado en el año 2003 por el señor </w:t>
      </w:r>
      <w:r w:rsidR="00631669">
        <w:rPr>
          <w:rFonts w:ascii="Verdana" w:hAnsi="Verdana"/>
          <w:spacing w:val="-2"/>
          <w:sz w:val="20"/>
          <w:szCs w:val="20"/>
          <w:lang w:val="es-CR"/>
        </w:rPr>
        <w:t>Félix Ordóñez Suazo</w:t>
      </w:r>
      <w:r w:rsidRPr="00375DD4">
        <w:rPr>
          <w:rFonts w:ascii="Verdana" w:hAnsi="Verdana"/>
          <w:spacing w:val="-2"/>
          <w:sz w:val="20"/>
          <w:szCs w:val="20"/>
          <w:lang w:val="es-CR"/>
        </w:rPr>
        <w:t xml:space="preserve"> por el delito de usurpación de tierras (</w:t>
      </w:r>
      <w:r w:rsidRPr="00A17487">
        <w:rPr>
          <w:rFonts w:ascii="Verdana" w:hAnsi="Verdana"/>
          <w:i/>
          <w:spacing w:val="-2"/>
          <w:sz w:val="20"/>
          <w:szCs w:val="20"/>
          <w:lang w:val="es-CR"/>
        </w:rPr>
        <w:t>supr</w:t>
      </w:r>
      <w:r w:rsidRPr="00BA7BB0">
        <w:rPr>
          <w:rFonts w:ascii="Verdana" w:hAnsi="Verdana"/>
          <w:i/>
          <w:spacing w:val="-2"/>
          <w:sz w:val="20"/>
          <w:szCs w:val="20"/>
          <w:lang w:val="es-CR"/>
        </w:rPr>
        <w:t>a</w:t>
      </w:r>
      <w:r w:rsidRPr="00897FC9">
        <w:rPr>
          <w:rFonts w:ascii="Verdana" w:hAnsi="Verdana"/>
          <w:spacing w:val="-2"/>
          <w:sz w:val="20"/>
          <w:szCs w:val="20"/>
          <w:lang w:val="es-CR"/>
        </w:rPr>
        <w:t xml:space="preserve"> </w:t>
      </w:r>
      <w:r w:rsidRPr="00A77E5A">
        <w:rPr>
          <w:rFonts w:ascii="Verdana" w:hAnsi="Verdana"/>
          <w:spacing w:val="-2"/>
          <w:sz w:val="20"/>
          <w:szCs w:val="20"/>
          <w:lang w:val="es-CR"/>
        </w:rPr>
        <w:t>párr</w:t>
      </w:r>
      <w:r w:rsidR="006D30D1" w:rsidRPr="00A77E5A">
        <w:rPr>
          <w:rFonts w:ascii="Verdana" w:hAnsi="Verdana"/>
          <w:spacing w:val="-2"/>
          <w:sz w:val="20"/>
          <w:szCs w:val="20"/>
          <w:lang w:val="es-CR"/>
        </w:rPr>
        <w:t>s</w:t>
      </w:r>
      <w:r w:rsidRPr="00A77E5A">
        <w:rPr>
          <w:rFonts w:ascii="Verdana" w:hAnsi="Verdana"/>
          <w:spacing w:val="-2"/>
          <w:sz w:val="20"/>
          <w:szCs w:val="20"/>
          <w:lang w:val="es-CR"/>
        </w:rPr>
        <w:t xml:space="preserve">. </w:t>
      </w:r>
      <w:r w:rsidR="00A77E5A">
        <w:rPr>
          <w:rFonts w:ascii="Verdana" w:hAnsi="Verdana"/>
          <w:spacing w:val="-2"/>
          <w:sz w:val="20"/>
          <w:szCs w:val="20"/>
          <w:lang w:val="es-CR"/>
        </w:rPr>
        <w:t xml:space="preserve">133, </w:t>
      </w:r>
      <w:r w:rsidR="006D30D1" w:rsidRPr="00A77E5A">
        <w:rPr>
          <w:rFonts w:ascii="Verdana" w:hAnsi="Verdana"/>
          <w:spacing w:val="-2"/>
          <w:sz w:val="20"/>
          <w:szCs w:val="20"/>
          <w:lang w:val="es-CR"/>
        </w:rPr>
        <w:t>13</w:t>
      </w:r>
      <w:r w:rsidR="00A77E5A">
        <w:rPr>
          <w:rFonts w:ascii="Verdana" w:hAnsi="Verdana"/>
          <w:spacing w:val="-2"/>
          <w:sz w:val="20"/>
          <w:szCs w:val="20"/>
          <w:lang w:val="es-CR"/>
        </w:rPr>
        <w:t>8</w:t>
      </w:r>
      <w:r w:rsidR="00445B91">
        <w:rPr>
          <w:rFonts w:ascii="Verdana" w:hAnsi="Verdana"/>
          <w:spacing w:val="-2"/>
          <w:sz w:val="20"/>
          <w:szCs w:val="20"/>
          <w:lang w:val="es-CR"/>
        </w:rPr>
        <w:t xml:space="preserve"> y 139</w:t>
      </w:r>
      <w:r w:rsidRPr="00A77E5A">
        <w:rPr>
          <w:rFonts w:ascii="Verdana" w:hAnsi="Verdana"/>
          <w:spacing w:val="-2"/>
          <w:sz w:val="20"/>
          <w:szCs w:val="20"/>
          <w:lang w:val="es-CR"/>
        </w:rPr>
        <w:t>). Como consecuencia de ello, esta Corte constata que se presentaron dos denuncias</w:t>
      </w:r>
      <w:r w:rsidR="00A766FE" w:rsidRPr="00A77E5A">
        <w:rPr>
          <w:rFonts w:ascii="Verdana" w:hAnsi="Verdana"/>
          <w:spacing w:val="-2"/>
          <w:sz w:val="20"/>
          <w:szCs w:val="20"/>
          <w:lang w:val="es-CR"/>
        </w:rPr>
        <w:t>, por lo que</w:t>
      </w:r>
      <w:r w:rsidRPr="00445B91">
        <w:rPr>
          <w:rFonts w:ascii="Verdana" w:hAnsi="Verdana"/>
          <w:spacing w:val="-2"/>
          <w:sz w:val="20"/>
          <w:szCs w:val="20"/>
          <w:lang w:val="es-CR"/>
        </w:rPr>
        <w:t xml:space="preserve"> se inició una investigación </w:t>
      </w:r>
      <w:r w:rsidR="00A766FE" w:rsidRPr="00445B91">
        <w:rPr>
          <w:rFonts w:ascii="Verdana" w:hAnsi="Verdana"/>
          <w:spacing w:val="-2"/>
          <w:sz w:val="20"/>
          <w:szCs w:val="20"/>
          <w:lang w:val="es-CR"/>
        </w:rPr>
        <w:t>con</w:t>
      </w:r>
      <w:r w:rsidRPr="00445B91">
        <w:rPr>
          <w:rFonts w:ascii="Verdana" w:hAnsi="Verdana"/>
          <w:spacing w:val="-2"/>
          <w:sz w:val="20"/>
          <w:szCs w:val="20"/>
          <w:lang w:val="es-CR"/>
        </w:rPr>
        <w:t xml:space="preserve"> proceso penal para el esclarecimiento de los hechos y la correspondiente sanción de los responsables, la cual aún se encuentra en etapa de investigación. En virtud de ello, con base en lo alegado por la Comisión y por las partes, el Tribunal analizará: a) las presuntas omisiones en las diligencias iniciales de la investigación</w:t>
      </w:r>
      <w:r w:rsidR="00A766FE" w:rsidRPr="00445B91">
        <w:rPr>
          <w:rFonts w:ascii="Verdana" w:hAnsi="Verdana"/>
          <w:spacing w:val="-2"/>
          <w:sz w:val="20"/>
          <w:szCs w:val="20"/>
          <w:lang w:val="es-CR"/>
        </w:rPr>
        <w:t>, y</w:t>
      </w:r>
      <w:r w:rsidRPr="00445B91">
        <w:rPr>
          <w:rFonts w:ascii="Verdana" w:hAnsi="Verdana"/>
          <w:spacing w:val="-2"/>
          <w:sz w:val="20"/>
          <w:szCs w:val="20"/>
          <w:lang w:val="es-CR"/>
        </w:rPr>
        <w:t xml:space="preserve"> b) las presuntas irregularidades en el proceso penal y el plazo razonable. </w:t>
      </w:r>
    </w:p>
    <w:p w14:paraId="0C704BFB" w14:textId="77777777" w:rsidR="00930C8B" w:rsidRPr="00A77E5A" w:rsidRDefault="00930C8B" w:rsidP="00A77E5A">
      <w:pPr>
        <w:tabs>
          <w:tab w:val="left" w:pos="567"/>
          <w:tab w:val="left" w:pos="2128"/>
        </w:tabs>
        <w:contextualSpacing/>
        <w:jc w:val="both"/>
        <w:rPr>
          <w:rFonts w:ascii="Verdana" w:hAnsi="Verdana"/>
          <w:spacing w:val="-2"/>
          <w:sz w:val="20"/>
          <w:szCs w:val="20"/>
          <w:lang w:val="es-CR"/>
        </w:rPr>
      </w:pPr>
    </w:p>
    <w:p w14:paraId="0C704BFC" w14:textId="7B3145DC" w:rsidR="00930C8B" w:rsidRDefault="00930C8B" w:rsidP="00930C8B">
      <w:pPr>
        <w:numPr>
          <w:ilvl w:val="0"/>
          <w:numId w:val="17"/>
        </w:numPr>
        <w:ind w:left="0" w:hanging="11"/>
        <w:contextualSpacing/>
        <w:jc w:val="both"/>
        <w:rPr>
          <w:rFonts w:ascii="Verdana" w:eastAsia="Cambria" w:hAnsi="Verdana" w:cs="Arial"/>
          <w:sz w:val="20"/>
          <w:szCs w:val="20"/>
        </w:rPr>
      </w:pPr>
      <w:r w:rsidRPr="00930C8B">
        <w:rPr>
          <w:rFonts w:ascii="Verdana" w:hAnsi="Verdana"/>
          <w:spacing w:val="-2"/>
          <w:sz w:val="20"/>
          <w:szCs w:val="20"/>
          <w:lang w:val="es-CR"/>
        </w:rPr>
        <w:t>Respecto a las diligencias iniciales</w:t>
      </w:r>
      <w:r w:rsidRPr="00930C8B">
        <w:rPr>
          <w:rFonts w:ascii="Verdana" w:eastAsia="Cambria" w:hAnsi="Verdana" w:cs="Arial"/>
          <w:sz w:val="20"/>
          <w:szCs w:val="20"/>
        </w:rPr>
        <w:t xml:space="preserve">, </w:t>
      </w:r>
      <w:r w:rsidRPr="00930C8B">
        <w:rPr>
          <w:rFonts w:ascii="Verdana" w:eastAsia="Cambria" w:hAnsi="Verdana" w:cs="Arial"/>
          <w:sz w:val="20"/>
          <w:szCs w:val="20"/>
          <w:lang w:val="es-ES"/>
        </w:rPr>
        <w:t>l</w:t>
      </w:r>
      <w:r w:rsidRPr="00930C8B">
        <w:rPr>
          <w:rFonts w:ascii="Verdana" w:hAnsi="Verdana" w:cs="Arial"/>
          <w:sz w:val="20"/>
          <w:szCs w:val="20"/>
        </w:rPr>
        <w:t>a</w:t>
      </w:r>
      <w:r w:rsidRPr="00930C8B">
        <w:rPr>
          <w:rFonts w:ascii="Verdana" w:eastAsia="Cambria" w:hAnsi="Verdana" w:cs="Arial"/>
          <w:sz w:val="20"/>
          <w:szCs w:val="20"/>
        </w:rPr>
        <w:t xml:space="preserve"> </w:t>
      </w:r>
      <w:r w:rsidRPr="00930C8B">
        <w:rPr>
          <w:rFonts w:ascii="Verdana" w:hAnsi="Verdana" w:cs="Arial"/>
          <w:sz w:val="20"/>
          <w:szCs w:val="20"/>
        </w:rPr>
        <w:t>Corte ha establecido que la eficiente determinación de la verdad en el marco de la obligación de investigar una muerte, debe mostrarse desde las primeras diligencias con toda acuciosidad</w:t>
      </w:r>
      <w:r w:rsidRPr="00930C8B">
        <w:rPr>
          <w:rFonts w:ascii="Verdana" w:hAnsi="Verdana" w:cs="Arial"/>
          <w:sz w:val="20"/>
          <w:szCs w:val="20"/>
          <w:vertAlign w:val="superscript"/>
        </w:rPr>
        <w:footnoteReference w:id="313"/>
      </w:r>
      <w:r w:rsidRPr="00930C8B">
        <w:rPr>
          <w:rFonts w:ascii="Verdana" w:hAnsi="Verdana" w:cs="Arial"/>
          <w:sz w:val="20"/>
          <w:szCs w:val="20"/>
        </w:rPr>
        <w:t xml:space="preserve">. Asimismo, </w:t>
      </w:r>
      <w:r w:rsidRPr="00930C8B">
        <w:rPr>
          <w:rFonts w:ascii="Verdana" w:eastAsia="Cambria" w:hAnsi="Verdana" w:cs="Arial"/>
          <w:sz w:val="20"/>
          <w:szCs w:val="20"/>
        </w:rPr>
        <w:t>en cuanto al manejo exhaustivo de la escena del crimen</w:t>
      </w:r>
      <w:r w:rsidRPr="00930C8B">
        <w:rPr>
          <w:rFonts w:ascii="Verdana" w:eastAsia="Cambria" w:hAnsi="Verdana"/>
          <w:sz w:val="20"/>
          <w:szCs w:val="20"/>
          <w:vertAlign w:val="superscript"/>
        </w:rPr>
        <w:footnoteReference w:id="314"/>
      </w:r>
      <w:r w:rsidRPr="00930C8B">
        <w:rPr>
          <w:rFonts w:ascii="Verdana" w:eastAsia="Cambria" w:hAnsi="Verdana" w:cs="Arial"/>
          <w:sz w:val="20"/>
          <w:szCs w:val="20"/>
        </w:rPr>
        <w:t xml:space="preserve"> y el tratamiento del cadáver de la víctima, deben realizarse algunas diligencias mínimas e indispensables para la conservación de los elementos de prueba y evidencias que puedan contribuir al éxito de la investigación</w:t>
      </w:r>
      <w:r w:rsidRPr="00930C8B">
        <w:rPr>
          <w:rFonts w:ascii="Verdana" w:hAnsi="Verdana" w:cs="Arial"/>
          <w:sz w:val="20"/>
          <w:szCs w:val="20"/>
          <w:vertAlign w:val="superscript"/>
        </w:rPr>
        <w:footnoteReference w:id="315"/>
      </w:r>
      <w:r w:rsidRPr="00930C8B">
        <w:rPr>
          <w:rFonts w:ascii="Verdana" w:eastAsia="Cambria" w:hAnsi="Verdana" w:cs="Arial"/>
          <w:sz w:val="20"/>
          <w:szCs w:val="20"/>
        </w:rPr>
        <w:t>, tales como la autopsia y el levantamiento del cadáver.</w:t>
      </w:r>
    </w:p>
    <w:p w14:paraId="3FF8FE3B" w14:textId="77777777" w:rsidR="00C639F3" w:rsidRPr="00930C8B" w:rsidRDefault="00C639F3" w:rsidP="00A0324F">
      <w:pPr>
        <w:contextualSpacing/>
        <w:jc w:val="both"/>
        <w:rPr>
          <w:rFonts w:ascii="Verdana" w:eastAsia="Cambria" w:hAnsi="Verdana" w:cs="Arial"/>
          <w:sz w:val="20"/>
          <w:szCs w:val="20"/>
        </w:rPr>
      </w:pPr>
    </w:p>
    <w:p w14:paraId="0C704BFE" w14:textId="77777777"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 xml:space="preserve">Con base en lo señalado, la Corte constata que a las </w:t>
      </w:r>
      <w:r w:rsidRPr="00930C8B">
        <w:rPr>
          <w:rFonts w:ascii="Verdana" w:hAnsi="Verdana"/>
          <w:sz w:val="20"/>
          <w:szCs w:val="20"/>
          <w:lang w:val="es-CR"/>
        </w:rPr>
        <w:t xml:space="preserve">15:30 horas aproximadamente, del día de ocurridos los hechos, el Juez de Paz del Municipio de </w:t>
      </w:r>
      <w:proofErr w:type="spellStart"/>
      <w:r w:rsidRPr="00930C8B">
        <w:rPr>
          <w:rFonts w:ascii="Verdana" w:hAnsi="Verdana"/>
          <w:sz w:val="20"/>
          <w:szCs w:val="20"/>
          <w:lang w:val="es-CR"/>
        </w:rPr>
        <w:lastRenderedPageBreak/>
        <w:t>Iriona</w:t>
      </w:r>
      <w:proofErr w:type="spellEnd"/>
      <w:r w:rsidRPr="00930C8B">
        <w:rPr>
          <w:rFonts w:ascii="Verdana" w:hAnsi="Verdana"/>
          <w:sz w:val="20"/>
          <w:szCs w:val="20"/>
          <w:lang w:val="es-CR"/>
        </w:rPr>
        <w:t xml:space="preserve"> se apersonó a la zona de los hechos denominada “El Castillo”, a efectos de llevar a cabo la diligencia del levantamiento de cadáver de Félix Ordóñez Suazo.</w:t>
      </w:r>
      <w:r w:rsidRPr="00930C8B">
        <w:rPr>
          <w:rFonts w:ascii="Verdana" w:eastAsia="Times New Roman" w:hAnsi="Verdana"/>
          <w:spacing w:val="-2"/>
          <w:sz w:val="20"/>
          <w:szCs w:val="20"/>
          <w:lang w:val="es-CR" w:eastAsia="es-ES"/>
        </w:rPr>
        <w:t xml:space="preserve"> En el acta, el </w:t>
      </w:r>
      <w:r w:rsidRPr="00930C8B">
        <w:rPr>
          <w:rFonts w:ascii="Verdana" w:hAnsi="Verdana"/>
          <w:sz w:val="20"/>
          <w:szCs w:val="20"/>
          <w:lang w:val="es-CR"/>
        </w:rPr>
        <w:t xml:space="preserve">Juez de Paz dejó constancia de </w:t>
      </w:r>
      <w:r w:rsidRPr="00930C8B">
        <w:rPr>
          <w:rFonts w:ascii="Verdana" w:eastAsia="Times New Roman" w:hAnsi="Verdana"/>
          <w:spacing w:val="-2"/>
          <w:sz w:val="20"/>
          <w:szCs w:val="20"/>
          <w:lang w:val="es-CR" w:eastAsia="es-ES"/>
        </w:rPr>
        <w:t xml:space="preserve">la presencia de agentes de la Jefatura Municipal de </w:t>
      </w:r>
      <w:proofErr w:type="spellStart"/>
      <w:r w:rsidRPr="00930C8B">
        <w:rPr>
          <w:rFonts w:ascii="Verdana" w:eastAsia="Times New Roman" w:hAnsi="Verdana"/>
          <w:spacing w:val="-2"/>
          <w:sz w:val="20"/>
          <w:szCs w:val="20"/>
          <w:lang w:val="es-CR" w:eastAsia="es-ES"/>
        </w:rPr>
        <w:t>Iriona</w:t>
      </w:r>
      <w:proofErr w:type="spellEnd"/>
      <w:r w:rsidRPr="00930C8B">
        <w:rPr>
          <w:rFonts w:ascii="Verdana" w:eastAsia="Times New Roman" w:hAnsi="Verdana"/>
          <w:spacing w:val="-2"/>
          <w:sz w:val="20"/>
          <w:szCs w:val="20"/>
          <w:lang w:val="es-CR" w:eastAsia="es-ES"/>
        </w:rPr>
        <w:t xml:space="preserve">, y la ausencia del Fiscal y del médico forense. Asimismo, estableció que al llegar a la zona de los hechos, los pobladores habían movido el cuerpo del señor </w:t>
      </w:r>
      <w:r w:rsidRPr="00930C8B">
        <w:rPr>
          <w:rFonts w:ascii="Verdana" w:hAnsi="Verdana"/>
          <w:sz w:val="20"/>
          <w:szCs w:val="20"/>
          <w:lang w:val="es-CR"/>
        </w:rPr>
        <w:t xml:space="preserve">Félix Ordóñez Suazo, por lo que este Tribunal </w:t>
      </w:r>
      <w:r w:rsidRPr="00930C8B">
        <w:rPr>
          <w:rFonts w:ascii="Verdana" w:eastAsia="Cambria" w:hAnsi="Verdana" w:cs="Arial"/>
          <w:sz w:val="20"/>
          <w:szCs w:val="20"/>
        </w:rPr>
        <w:t>entiende</w:t>
      </w:r>
      <w:r w:rsidRPr="00930C8B">
        <w:rPr>
          <w:rFonts w:ascii="Verdana" w:hAnsi="Verdana"/>
          <w:sz w:val="20"/>
          <w:szCs w:val="20"/>
          <w:lang w:val="es-CR"/>
        </w:rPr>
        <w:t xml:space="preserve"> que la inspección del cuerpo se hizo en un lugar distinto al de ocurrido la muerte.</w:t>
      </w:r>
    </w:p>
    <w:p w14:paraId="0C704BFF" w14:textId="77777777" w:rsidR="00930C8B" w:rsidRPr="00930C8B" w:rsidRDefault="00930C8B" w:rsidP="00930C8B">
      <w:pPr>
        <w:ind w:left="720"/>
        <w:contextualSpacing/>
        <w:rPr>
          <w:rFonts w:ascii="Verdana" w:eastAsia="Times New Roman" w:hAnsi="Verdana"/>
          <w:spacing w:val="-2"/>
          <w:sz w:val="20"/>
          <w:szCs w:val="20"/>
          <w:lang w:val="es-CR" w:eastAsia="es-ES"/>
        </w:rPr>
      </w:pPr>
    </w:p>
    <w:p w14:paraId="0C704C00" w14:textId="392CA513"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 xml:space="preserve">Del acta de levantamiento del cadáver, la Corte constata que el Juez de Paz dejó constancia de las lesiones por arma de fuego en el cuerpo de </w:t>
      </w:r>
      <w:r w:rsidRPr="00930C8B">
        <w:rPr>
          <w:rFonts w:ascii="Verdana" w:hAnsi="Verdana"/>
          <w:sz w:val="20"/>
          <w:szCs w:val="20"/>
          <w:lang w:val="es-CR"/>
        </w:rPr>
        <w:t>Félix Ordóñez Suazo (</w:t>
      </w:r>
      <w:r w:rsidRPr="00930C8B">
        <w:rPr>
          <w:rFonts w:ascii="Verdana" w:hAnsi="Verdana"/>
          <w:i/>
          <w:sz w:val="20"/>
          <w:szCs w:val="20"/>
          <w:lang w:val="es-CR"/>
        </w:rPr>
        <w:t>supra</w:t>
      </w:r>
      <w:r w:rsidRPr="00930C8B">
        <w:rPr>
          <w:rFonts w:ascii="Verdana" w:hAnsi="Verdana"/>
          <w:sz w:val="20"/>
          <w:szCs w:val="20"/>
          <w:lang w:val="es-CR"/>
        </w:rPr>
        <w:t xml:space="preserve"> párr. </w:t>
      </w:r>
      <w:r w:rsidR="00801E72">
        <w:rPr>
          <w:rFonts w:ascii="Verdana" w:hAnsi="Verdana"/>
          <w:sz w:val="20"/>
          <w:szCs w:val="20"/>
          <w:lang w:val="es-CR"/>
        </w:rPr>
        <w:t>142</w:t>
      </w:r>
      <w:r w:rsidRPr="00930C8B">
        <w:rPr>
          <w:rFonts w:ascii="Verdana" w:hAnsi="Verdana"/>
          <w:sz w:val="20"/>
          <w:szCs w:val="20"/>
          <w:lang w:val="es-CR"/>
        </w:rPr>
        <w:t xml:space="preserve">), y que el auxiliar recogió dos cápsulas de proyectil calibre 16 mm en la escena del </w:t>
      </w:r>
      <w:r w:rsidR="003F224D">
        <w:rPr>
          <w:rFonts w:ascii="Verdana" w:hAnsi="Verdana"/>
          <w:sz w:val="20"/>
          <w:szCs w:val="20"/>
          <w:lang w:val="es-CR"/>
        </w:rPr>
        <w:t>crimen</w:t>
      </w:r>
      <w:r w:rsidRPr="00930C8B">
        <w:rPr>
          <w:rFonts w:ascii="Verdana" w:hAnsi="Verdana"/>
          <w:sz w:val="20"/>
          <w:szCs w:val="20"/>
          <w:lang w:val="es-CR"/>
        </w:rPr>
        <w:t xml:space="preserve">, trasladadas al Juzgado de Paz. </w:t>
      </w:r>
      <w:r w:rsidRPr="00930C8B">
        <w:rPr>
          <w:rFonts w:ascii="Verdana" w:hAnsi="Verdana"/>
          <w:sz w:val="20"/>
          <w:szCs w:val="20"/>
          <w:lang w:val="es-ES"/>
        </w:rPr>
        <w:t>Respecto de dicha prueba recabada, el Tribunal resalta que de la prueba obrante en el expediente, no se deriva que se haya practicado reconocimiento legal sobre dichos proyectiles ni peri</w:t>
      </w:r>
      <w:r w:rsidR="003F224D">
        <w:rPr>
          <w:rFonts w:ascii="Verdana" w:hAnsi="Verdana"/>
          <w:sz w:val="20"/>
          <w:szCs w:val="20"/>
          <w:lang w:val="es-ES"/>
        </w:rPr>
        <w:t>taje de</w:t>
      </w:r>
      <w:r w:rsidRPr="00930C8B">
        <w:rPr>
          <w:rFonts w:ascii="Verdana" w:hAnsi="Verdana"/>
          <w:sz w:val="20"/>
          <w:szCs w:val="20"/>
          <w:lang w:val="es-ES"/>
        </w:rPr>
        <w:t xml:space="preserve"> balística algun</w:t>
      </w:r>
      <w:r w:rsidR="003F224D">
        <w:rPr>
          <w:rFonts w:ascii="Verdana" w:hAnsi="Verdana"/>
          <w:sz w:val="20"/>
          <w:szCs w:val="20"/>
          <w:lang w:val="es-ES"/>
        </w:rPr>
        <w:t>o</w:t>
      </w:r>
      <w:r w:rsidRPr="00930C8B">
        <w:rPr>
          <w:rFonts w:ascii="Verdana" w:hAnsi="Verdana"/>
          <w:sz w:val="20"/>
          <w:szCs w:val="20"/>
          <w:lang w:val="es-ES"/>
        </w:rPr>
        <w:t>. Tampoco se desprende la recolección de ningún otro elemento de prueba de la escena del crimen.</w:t>
      </w:r>
    </w:p>
    <w:p w14:paraId="0C704C01" w14:textId="77777777" w:rsidR="00930C8B" w:rsidRPr="00930C8B" w:rsidRDefault="00930C8B" w:rsidP="00930C8B">
      <w:pPr>
        <w:ind w:left="720"/>
        <w:contextualSpacing/>
        <w:rPr>
          <w:rFonts w:ascii="Verdana" w:eastAsia="Times New Roman" w:hAnsi="Verdana"/>
          <w:spacing w:val="-2"/>
          <w:sz w:val="20"/>
          <w:szCs w:val="20"/>
          <w:lang w:val="es-CR" w:eastAsia="es-ES"/>
        </w:rPr>
      </w:pPr>
    </w:p>
    <w:p w14:paraId="0C704C02" w14:textId="00C5A492" w:rsidR="00930C8B" w:rsidRPr="00286EBD"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 xml:space="preserve">Asimismo, el Tribunal comprueba que el </w:t>
      </w:r>
      <w:r w:rsidRPr="00930C8B">
        <w:rPr>
          <w:rFonts w:ascii="Verdana" w:hAnsi="Verdana"/>
          <w:sz w:val="20"/>
          <w:szCs w:val="20"/>
          <w:lang w:val="es-CR"/>
        </w:rPr>
        <w:t>cuerpo del señor Félix Ordóñez Suazo fue entregado a sus familiares a las 16:30 horas del mismo día de su muerte, es decir</w:t>
      </w:r>
      <w:r w:rsidR="003F224D">
        <w:rPr>
          <w:rFonts w:ascii="Verdana" w:hAnsi="Verdana"/>
          <w:sz w:val="20"/>
          <w:szCs w:val="20"/>
          <w:lang w:val="es-CR"/>
        </w:rPr>
        <w:t>,</w:t>
      </w:r>
      <w:r w:rsidRPr="00930C8B">
        <w:rPr>
          <w:rFonts w:ascii="Verdana" w:hAnsi="Verdana"/>
          <w:sz w:val="20"/>
          <w:szCs w:val="20"/>
          <w:lang w:val="es-CR"/>
        </w:rPr>
        <w:t xml:space="preserve"> una hora después de iniciada la diligencia de levantamiento, sin la realización de una autopsia. Al respecto, este Tribunal ha señalado que </w:t>
      </w:r>
      <w:r w:rsidR="00C639F3">
        <w:rPr>
          <w:rFonts w:ascii="Verdana" w:hAnsi="Verdana"/>
          <w:sz w:val="20"/>
          <w:szCs w:val="20"/>
          <w:lang w:val="es-CR"/>
        </w:rPr>
        <w:t xml:space="preserve">la autopsia </w:t>
      </w:r>
      <w:r w:rsidRPr="00930C8B">
        <w:rPr>
          <w:rFonts w:ascii="Verdana" w:hAnsi="Verdana"/>
          <w:bCs/>
          <w:spacing w:val="-2"/>
          <w:sz w:val="20"/>
          <w:szCs w:val="20"/>
          <w:lang w:val="es-CR"/>
        </w:rPr>
        <w:t xml:space="preserve">es una de las pericias mínimas e indispensables a efectos de obtener evidencias que puedan contribuir al éxito de las investigaciones, </w:t>
      </w:r>
      <w:r w:rsidRPr="00930C8B">
        <w:rPr>
          <w:rFonts w:ascii="Verdana" w:hAnsi="Verdana" w:cs="Verdana"/>
          <w:iCs/>
          <w:spacing w:val="-2"/>
          <w:sz w:val="20"/>
          <w:szCs w:val="20"/>
          <w:lang w:val="es-CR"/>
        </w:rPr>
        <w:t>ya que tiene como objetivo recolectar información para identificar a la persona fallecida, la hora, fecha, causa y forma de la muerte y debe respetar ciertas formalidades básicas</w:t>
      </w:r>
      <w:r w:rsidRPr="00930C8B">
        <w:rPr>
          <w:rFonts w:ascii="Verdana" w:hAnsi="Verdana" w:cs="Verdana"/>
          <w:spacing w:val="-2"/>
          <w:sz w:val="20"/>
          <w:szCs w:val="20"/>
          <w:vertAlign w:val="superscript"/>
          <w:lang w:val="es-CR"/>
        </w:rPr>
        <w:footnoteReference w:id="316"/>
      </w:r>
      <w:r w:rsidRPr="00930C8B">
        <w:rPr>
          <w:rFonts w:ascii="Verdana" w:hAnsi="Verdana" w:cs="Verdana"/>
          <w:iCs/>
          <w:spacing w:val="-2"/>
          <w:sz w:val="20"/>
          <w:szCs w:val="20"/>
          <w:lang w:val="es-CR"/>
        </w:rPr>
        <w:t>. Si bien las lesiones por arma de fuego fueron descritas por el Juez de Paz en el acta de levantamiento, ningún médico forense o autoridad competente señaló la causa de muerte</w:t>
      </w:r>
      <w:r w:rsidRPr="00930C8B">
        <w:rPr>
          <w:rFonts w:ascii="Verdana" w:hAnsi="Verdana"/>
          <w:bCs/>
          <w:spacing w:val="-2"/>
          <w:sz w:val="20"/>
          <w:szCs w:val="20"/>
          <w:lang w:val="es-CR"/>
        </w:rPr>
        <w:t>, elementos relevantes a determinar en el presente caso</w:t>
      </w:r>
      <w:r w:rsidRPr="00930C8B">
        <w:rPr>
          <w:rFonts w:ascii="Verdana" w:hAnsi="Verdana"/>
          <w:spacing w:val="-2"/>
          <w:sz w:val="20"/>
          <w:szCs w:val="20"/>
          <w:lang w:val="es-CR"/>
        </w:rPr>
        <w:t xml:space="preserve">. No </w:t>
      </w:r>
      <w:r w:rsidRPr="00930C8B">
        <w:rPr>
          <w:rFonts w:ascii="Verdana" w:hAnsi="Verdana"/>
          <w:sz w:val="20"/>
          <w:szCs w:val="20"/>
          <w:lang w:val="es-ES"/>
        </w:rPr>
        <w:t>se desprende la actuación de ninguna otra diligencia inicial de recolección de prueba.</w:t>
      </w:r>
    </w:p>
    <w:p w14:paraId="0C704C03" w14:textId="77777777" w:rsidR="00286EBD" w:rsidRPr="00930C8B" w:rsidRDefault="00286EBD" w:rsidP="00286EBD">
      <w:pPr>
        <w:contextualSpacing/>
        <w:jc w:val="both"/>
        <w:rPr>
          <w:rFonts w:ascii="Verdana" w:eastAsia="Times New Roman" w:hAnsi="Verdana"/>
          <w:spacing w:val="-2"/>
          <w:sz w:val="20"/>
          <w:szCs w:val="20"/>
          <w:lang w:val="es-CR" w:eastAsia="es-ES"/>
        </w:rPr>
      </w:pPr>
    </w:p>
    <w:p w14:paraId="0C704C04" w14:textId="02EF4AB4" w:rsidR="00930C8B" w:rsidRPr="00930C8B" w:rsidRDefault="000D52CA" w:rsidP="00930C8B">
      <w:pPr>
        <w:numPr>
          <w:ilvl w:val="0"/>
          <w:numId w:val="17"/>
        </w:numPr>
        <w:ind w:left="0" w:hanging="11"/>
        <w:contextualSpacing/>
        <w:jc w:val="both"/>
        <w:rPr>
          <w:rFonts w:ascii="Verdana" w:eastAsia="Times New Roman" w:hAnsi="Verdana"/>
          <w:spacing w:val="-2"/>
          <w:sz w:val="20"/>
          <w:szCs w:val="20"/>
          <w:lang w:val="es-CR" w:eastAsia="es-ES"/>
        </w:rPr>
      </w:pPr>
      <w:r>
        <w:rPr>
          <w:rFonts w:ascii="Verdana" w:eastAsia="Times New Roman" w:hAnsi="Verdana"/>
          <w:spacing w:val="-2"/>
          <w:sz w:val="20"/>
          <w:szCs w:val="20"/>
          <w:lang w:val="es-CR" w:eastAsia="es-ES"/>
        </w:rPr>
        <w:t>De igual manera</w:t>
      </w:r>
      <w:r w:rsidR="00930C8B" w:rsidRPr="00930C8B">
        <w:rPr>
          <w:rFonts w:ascii="Verdana" w:eastAsia="Times New Roman" w:hAnsi="Verdana"/>
          <w:spacing w:val="-2"/>
          <w:sz w:val="20"/>
          <w:szCs w:val="20"/>
          <w:lang w:val="es-CR" w:eastAsia="es-ES"/>
        </w:rPr>
        <w:t xml:space="preserve">, la Corte constata que </w:t>
      </w:r>
      <w:r w:rsidRPr="00930C8B">
        <w:rPr>
          <w:rFonts w:ascii="Verdana" w:eastAsia="Times New Roman" w:hAnsi="Verdana"/>
          <w:spacing w:val="-2"/>
          <w:sz w:val="20"/>
          <w:szCs w:val="20"/>
          <w:lang w:val="es-CR" w:eastAsia="es-ES"/>
        </w:rPr>
        <w:t xml:space="preserve">el 13 de junio de 2007 </w:t>
      </w:r>
      <w:r w:rsidR="00930C8B" w:rsidRPr="00930C8B">
        <w:rPr>
          <w:rFonts w:ascii="Verdana" w:eastAsia="Times New Roman" w:hAnsi="Verdana"/>
          <w:spacing w:val="-2"/>
          <w:sz w:val="20"/>
          <w:szCs w:val="20"/>
          <w:lang w:val="es-CR" w:eastAsia="es-ES"/>
        </w:rPr>
        <w:t>se presentaron dos denuncias por la muerte de Félix Ordóñez Suazo (</w:t>
      </w:r>
      <w:r w:rsidR="00930C8B" w:rsidRPr="00930C8B">
        <w:rPr>
          <w:rFonts w:ascii="Verdana" w:eastAsia="Times New Roman" w:hAnsi="Verdana"/>
          <w:i/>
          <w:spacing w:val="-2"/>
          <w:sz w:val="20"/>
          <w:szCs w:val="20"/>
          <w:lang w:val="es-CR" w:eastAsia="es-ES"/>
        </w:rPr>
        <w:t>supra</w:t>
      </w:r>
      <w:r w:rsidR="00930C8B" w:rsidRPr="00930C8B">
        <w:rPr>
          <w:rFonts w:ascii="Verdana" w:eastAsia="Times New Roman" w:hAnsi="Verdana"/>
          <w:spacing w:val="-2"/>
          <w:sz w:val="20"/>
          <w:szCs w:val="20"/>
          <w:lang w:val="es-CR" w:eastAsia="es-ES"/>
        </w:rPr>
        <w:t xml:space="preserve"> párr</w:t>
      </w:r>
      <w:r>
        <w:rPr>
          <w:rFonts w:ascii="Verdana" w:eastAsia="Times New Roman" w:hAnsi="Verdana"/>
          <w:spacing w:val="-2"/>
          <w:sz w:val="20"/>
          <w:szCs w:val="20"/>
          <w:lang w:val="es-CR" w:eastAsia="es-ES"/>
        </w:rPr>
        <w:t>s</w:t>
      </w:r>
      <w:r w:rsidR="00930C8B" w:rsidRPr="00930C8B">
        <w:rPr>
          <w:rFonts w:ascii="Verdana" w:eastAsia="Times New Roman" w:hAnsi="Verdana"/>
          <w:spacing w:val="-2"/>
          <w:sz w:val="20"/>
          <w:szCs w:val="20"/>
          <w:lang w:val="es-CR" w:eastAsia="es-ES"/>
        </w:rPr>
        <w:t xml:space="preserve">. </w:t>
      </w:r>
      <w:r>
        <w:rPr>
          <w:rFonts w:ascii="Verdana" w:eastAsia="Times New Roman" w:hAnsi="Verdana"/>
          <w:spacing w:val="-2"/>
          <w:sz w:val="20"/>
          <w:szCs w:val="20"/>
          <w:lang w:val="es-CR" w:eastAsia="es-ES"/>
        </w:rPr>
        <w:t xml:space="preserve">143 y </w:t>
      </w:r>
      <w:r w:rsidR="00801E72">
        <w:rPr>
          <w:rFonts w:ascii="Verdana" w:eastAsia="Times New Roman" w:hAnsi="Verdana"/>
          <w:spacing w:val="-2"/>
          <w:sz w:val="20"/>
          <w:szCs w:val="20"/>
          <w:lang w:val="es-CR" w:eastAsia="es-ES"/>
        </w:rPr>
        <w:t>144</w:t>
      </w:r>
      <w:r w:rsidR="00930C8B" w:rsidRPr="00930C8B">
        <w:rPr>
          <w:rFonts w:ascii="Verdana" w:eastAsia="Times New Roman" w:hAnsi="Verdana"/>
          <w:spacing w:val="-2"/>
          <w:sz w:val="20"/>
          <w:szCs w:val="20"/>
          <w:lang w:val="es-CR" w:eastAsia="es-ES"/>
        </w:rPr>
        <w:t>)</w:t>
      </w:r>
      <w:r>
        <w:rPr>
          <w:rFonts w:ascii="Verdana" w:eastAsia="Times New Roman" w:hAnsi="Verdana"/>
          <w:spacing w:val="-2"/>
          <w:sz w:val="20"/>
          <w:szCs w:val="20"/>
          <w:lang w:val="es-CR" w:eastAsia="es-ES"/>
        </w:rPr>
        <w:t>,</w:t>
      </w:r>
      <w:r w:rsidR="00930C8B" w:rsidRPr="00930C8B">
        <w:rPr>
          <w:rFonts w:ascii="Verdana" w:eastAsia="Times New Roman" w:hAnsi="Verdana"/>
          <w:spacing w:val="-2"/>
          <w:sz w:val="20"/>
          <w:szCs w:val="20"/>
          <w:lang w:val="es-CR" w:eastAsia="es-ES"/>
        </w:rPr>
        <w:t xml:space="preserve"> por lo que la Fiscalía de Etnias emitió un auto de requerimiento de investigación policial el 26 de junio del mismo año, solicitando diversas diligencias a la DGIC. Dichas diligencias no pudieron ser inicialmente ejecutadas por falta de transporte y de apoyo logístico, y sólo se recabaron las declaraciones de cuatro personas, entre ellos el único testigo del caso, Marcos Bonifacio Castillo. Inclusive, la DGIC estableció la falta de inspección minuciosa de la escena del crimen. De igual manera, la Corte comprueba que no se llevó a cabo la inspección del lugar de los hechos, ni peri</w:t>
      </w:r>
      <w:r w:rsidR="00801E72">
        <w:rPr>
          <w:rFonts w:ascii="Verdana" w:eastAsia="Times New Roman" w:hAnsi="Verdana"/>
          <w:spacing w:val="-2"/>
          <w:sz w:val="20"/>
          <w:szCs w:val="20"/>
          <w:lang w:val="es-CR" w:eastAsia="es-ES"/>
        </w:rPr>
        <w:t>taje</w:t>
      </w:r>
      <w:r w:rsidR="00930C8B" w:rsidRPr="00930C8B">
        <w:rPr>
          <w:rFonts w:ascii="Verdana" w:eastAsia="Times New Roman" w:hAnsi="Verdana"/>
          <w:spacing w:val="-2"/>
          <w:sz w:val="20"/>
          <w:szCs w:val="20"/>
          <w:lang w:val="es-CR" w:eastAsia="es-ES"/>
        </w:rPr>
        <w:t xml:space="preserve"> alguna sobre los casquillos recolectados manteniendo la cadena de custodia correspondiente, como lo ordenó el Fiscal de Trujillo el 16 de julio de 2007, a través de un auto de requerimiento de ampliación policial (</w:t>
      </w:r>
      <w:r w:rsidR="00930C8B" w:rsidRPr="00930C8B">
        <w:rPr>
          <w:rFonts w:ascii="Verdana" w:eastAsia="Times New Roman" w:hAnsi="Verdana"/>
          <w:i/>
          <w:spacing w:val="-2"/>
          <w:sz w:val="20"/>
          <w:szCs w:val="20"/>
          <w:lang w:val="es-CR" w:eastAsia="es-ES"/>
        </w:rPr>
        <w:t>supra</w:t>
      </w:r>
      <w:r w:rsidR="00930C8B" w:rsidRPr="00930C8B">
        <w:rPr>
          <w:rFonts w:ascii="Verdana" w:eastAsia="Times New Roman" w:hAnsi="Verdana"/>
          <w:spacing w:val="-2"/>
          <w:sz w:val="20"/>
          <w:szCs w:val="20"/>
          <w:lang w:val="es-CR" w:eastAsia="es-ES"/>
        </w:rPr>
        <w:t xml:space="preserve"> párr. </w:t>
      </w:r>
      <w:r w:rsidR="00801E72">
        <w:rPr>
          <w:rFonts w:ascii="Verdana" w:eastAsia="Times New Roman" w:hAnsi="Verdana"/>
          <w:spacing w:val="-2"/>
          <w:sz w:val="20"/>
          <w:szCs w:val="20"/>
          <w:lang w:val="es-CR" w:eastAsia="es-ES"/>
        </w:rPr>
        <w:t>14</w:t>
      </w:r>
      <w:r w:rsidR="00556C1C">
        <w:rPr>
          <w:rFonts w:ascii="Verdana" w:eastAsia="Times New Roman" w:hAnsi="Verdana"/>
          <w:spacing w:val="-2"/>
          <w:sz w:val="20"/>
          <w:szCs w:val="20"/>
          <w:lang w:val="es-CR" w:eastAsia="es-ES"/>
        </w:rPr>
        <w:t>5</w:t>
      </w:r>
      <w:r w:rsidR="00930C8B" w:rsidRPr="00930C8B">
        <w:rPr>
          <w:rFonts w:ascii="Verdana" w:eastAsia="Times New Roman" w:hAnsi="Verdana"/>
          <w:spacing w:val="-2"/>
          <w:sz w:val="20"/>
          <w:szCs w:val="20"/>
          <w:lang w:val="es-CR" w:eastAsia="es-ES"/>
        </w:rPr>
        <w:t xml:space="preserve">). </w:t>
      </w:r>
    </w:p>
    <w:p w14:paraId="0C704C05"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p>
    <w:p w14:paraId="0C704C06" w14:textId="3111916A" w:rsidR="00930C8B" w:rsidRPr="00930C8B" w:rsidRDefault="00930C8B" w:rsidP="00930C8B">
      <w:pPr>
        <w:numPr>
          <w:ilvl w:val="0"/>
          <w:numId w:val="17"/>
        </w:numPr>
        <w:ind w:left="0" w:hanging="11"/>
        <w:contextualSpacing/>
        <w:jc w:val="both"/>
        <w:rPr>
          <w:rFonts w:ascii="Verdana" w:hAnsi="Verdana"/>
          <w:spacing w:val="-2"/>
          <w:szCs w:val="20"/>
          <w:lang w:val="es-CR"/>
        </w:rPr>
      </w:pPr>
      <w:r w:rsidRPr="00930C8B">
        <w:rPr>
          <w:rFonts w:ascii="Verdana" w:hAnsi="Verdana"/>
          <w:spacing w:val="-2"/>
          <w:sz w:val="20"/>
          <w:szCs w:val="20"/>
          <w:lang w:val="es-CR"/>
        </w:rPr>
        <w:t xml:space="preserve">La Corte ha señalado que las actuaciones más próximas al suceso, debidamente realizadas por las autoridades encargadas de la investigación, suelen arrojar indicios más adecuados que favorecen la identificación de elementos probatorios para el caso. Por tanto, este Tribunal considera que las omisiones cometidas durante las primeras </w:t>
      </w:r>
      <w:r w:rsidRPr="00930C8B">
        <w:rPr>
          <w:rFonts w:ascii="Verdana" w:hAnsi="Verdana"/>
          <w:spacing w:val="-2"/>
          <w:sz w:val="20"/>
          <w:szCs w:val="20"/>
          <w:lang w:val="es-CR"/>
        </w:rPr>
        <w:lastRenderedPageBreak/>
        <w:t>diligencias pueden constituir faltas al deber de investigar los hechos ocurridos</w:t>
      </w:r>
      <w:r w:rsidRPr="00930C8B">
        <w:rPr>
          <w:rFonts w:ascii="Verdana" w:hAnsi="Verdana" w:cs="Arial"/>
          <w:spacing w:val="-2"/>
          <w:sz w:val="20"/>
          <w:szCs w:val="20"/>
          <w:vertAlign w:val="superscript"/>
          <w:lang w:val="es-CR"/>
        </w:rPr>
        <w:footnoteReference w:id="317"/>
      </w:r>
      <w:r w:rsidRPr="00930C8B">
        <w:rPr>
          <w:rFonts w:ascii="Verdana" w:hAnsi="Verdana"/>
          <w:spacing w:val="-2"/>
          <w:sz w:val="20"/>
          <w:szCs w:val="20"/>
          <w:lang w:val="es-CR"/>
        </w:rPr>
        <w:t>, en contravención del deber de investigar con debida diligencia.</w:t>
      </w:r>
      <w:r w:rsidRPr="00930C8B">
        <w:rPr>
          <w:rFonts w:ascii="Verdana" w:hAnsi="Verdana"/>
          <w:spacing w:val="-2"/>
          <w:szCs w:val="20"/>
          <w:lang w:val="es-CR"/>
        </w:rPr>
        <w:t xml:space="preserve"> </w:t>
      </w:r>
    </w:p>
    <w:p w14:paraId="0C704C07" w14:textId="77777777" w:rsidR="00930C8B" w:rsidRPr="00930C8B" w:rsidRDefault="00930C8B" w:rsidP="00930C8B">
      <w:pPr>
        <w:ind w:left="720"/>
        <w:contextualSpacing/>
        <w:rPr>
          <w:rFonts w:ascii="Verdana" w:hAnsi="Verdana"/>
          <w:spacing w:val="-2"/>
          <w:sz w:val="20"/>
          <w:szCs w:val="20"/>
          <w:lang w:val="es-CR"/>
        </w:rPr>
      </w:pPr>
    </w:p>
    <w:p w14:paraId="0C704C08" w14:textId="6613C676" w:rsidR="00930C8B" w:rsidRPr="00930C8B" w:rsidRDefault="00930C8B" w:rsidP="00930C8B">
      <w:pPr>
        <w:numPr>
          <w:ilvl w:val="0"/>
          <w:numId w:val="17"/>
        </w:numPr>
        <w:ind w:left="0" w:hanging="11"/>
        <w:contextualSpacing/>
        <w:jc w:val="both"/>
        <w:rPr>
          <w:rFonts w:ascii="Verdana" w:hAnsi="Verdana"/>
          <w:spacing w:val="-2"/>
          <w:szCs w:val="20"/>
          <w:lang w:val="es-CR"/>
        </w:rPr>
      </w:pPr>
      <w:r w:rsidRPr="00930C8B">
        <w:rPr>
          <w:rFonts w:ascii="Verdana" w:hAnsi="Verdana"/>
          <w:spacing w:val="-2"/>
          <w:sz w:val="20"/>
          <w:szCs w:val="20"/>
          <w:lang w:val="es-CR"/>
        </w:rPr>
        <w:t xml:space="preserve">Asimismo, el Tribunal toma nota que la DGIC </w:t>
      </w:r>
      <w:r w:rsidRPr="00930C8B">
        <w:rPr>
          <w:rFonts w:ascii="Verdana" w:eastAsia="Times New Roman" w:hAnsi="Verdana"/>
          <w:spacing w:val="-2"/>
          <w:sz w:val="20"/>
          <w:szCs w:val="20"/>
          <w:lang w:val="es-CR" w:eastAsia="es-ES"/>
        </w:rPr>
        <w:t xml:space="preserve">señaló que el posible móvil de la muerte estaría relacionado con las disputas patrimoniales existentes, línea de investigación que no fue seguida en el proceso, a pesar de haberse interpuesto una denuncia de usurpación en el 2003 contra el padre del presunto autor del delito. </w:t>
      </w:r>
      <w:r w:rsidRPr="00930C8B">
        <w:rPr>
          <w:rFonts w:ascii="Verdana" w:hAnsi="Verdana"/>
          <w:spacing w:val="-2"/>
          <w:sz w:val="20"/>
          <w:szCs w:val="20"/>
          <w:lang w:val="es-CR"/>
        </w:rPr>
        <w:t xml:space="preserve">La Corte constata que a pesar de los indicios demostrados que indicaron una interrelación entre el móvil del crimen contra </w:t>
      </w:r>
      <w:r w:rsidR="00631669">
        <w:rPr>
          <w:rFonts w:ascii="Verdana" w:hAnsi="Verdana"/>
          <w:spacing w:val="-2"/>
          <w:sz w:val="20"/>
          <w:szCs w:val="20"/>
          <w:lang w:val="es-CR"/>
        </w:rPr>
        <w:t>Félix Ordóñez Suazo</w:t>
      </w:r>
      <w:r w:rsidRPr="00930C8B">
        <w:rPr>
          <w:rFonts w:ascii="Verdana" w:hAnsi="Verdana"/>
          <w:spacing w:val="-2"/>
          <w:sz w:val="20"/>
          <w:szCs w:val="20"/>
          <w:lang w:val="es-CR"/>
        </w:rPr>
        <w:t xml:space="preserve"> y la denuncia de usurpación de 2003, las autoridades no realizaron investigaciones del conjunto de estos hechos ni realizaron una averiguación tendiente a comprobar dichos vínculos</w:t>
      </w:r>
      <w:r w:rsidRPr="00930C8B">
        <w:rPr>
          <w:rFonts w:ascii="Verdana" w:hAnsi="Verdana"/>
          <w:spacing w:val="-2"/>
          <w:sz w:val="20"/>
          <w:szCs w:val="20"/>
          <w:vertAlign w:val="superscript"/>
          <w:lang w:val="es-CR"/>
        </w:rPr>
        <w:footnoteReference w:id="318"/>
      </w:r>
      <w:r w:rsidRPr="00930C8B">
        <w:rPr>
          <w:rFonts w:ascii="Verdana" w:hAnsi="Verdana"/>
          <w:spacing w:val="-2"/>
          <w:sz w:val="20"/>
          <w:szCs w:val="20"/>
          <w:lang w:val="es-CR"/>
        </w:rPr>
        <w:t>. Al respecto, si bien este Tribunal se ha referido a que “[l]a investigación con debida diligencia exige tomar en cuenta lo ocurrido en otros homicidios y establecer algún tipo de relación entre ellos”</w:t>
      </w:r>
      <w:r w:rsidRPr="00930C8B">
        <w:rPr>
          <w:rFonts w:ascii="Verdana" w:hAnsi="Verdana"/>
          <w:spacing w:val="-2"/>
          <w:sz w:val="20"/>
          <w:szCs w:val="20"/>
          <w:vertAlign w:val="superscript"/>
          <w:lang w:val="es-CR"/>
        </w:rPr>
        <w:footnoteReference w:id="319"/>
      </w:r>
      <w:r w:rsidRPr="00930C8B">
        <w:rPr>
          <w:rFonts w:ascii="Verdana" w:hAnsi="Verdana"/>
          <w:spacing w:val="-2"/>
          <w:sz w:val="20"/>
          <w:szCs w:val="20"/>
          <w:lang w:val="es-CR"/>
        </w:rPr>
        <w:t>, la Corte estima que ese mismo principio implica tomar en cuenta lo sucedido en cualquier otro delito que pudiera contribuir al esclarecimiento de los hechos y la determinación de responsabilidades. Ello debe ser impulsado de oficio, sin que sean las víctimas y sus familiares quienes tengan la carga de asumir tal iniciativa</w:t>
      </w:r>
      <w:r w:rsidRPr="00930C8B">
        <w:rPr>
          <w:rFonts w:ascii="Verdana" w:hAnsi="Verdana"/>
          <w:spacing w:val="-2"/>
          <w:sz w:val="20"/>
          <w:szCs w:val="20"/>
          <w:vertAlign w:val="superscript"/>
          <w:lang w:val="es-CR"/>
        </w:rPr>
        <w:footnoteReference w:id="320"/>
      </w:r>
      <w:r w:rsidRPr="00930C8B">
        <w:rPr>
          <w:rFonts w:ascii="Verdana" w:hAnsi="Verdana"/>
          <w:spacing w:val="-2"/>
          <w:sz w:val="20"/>
          <w:szCs w:val="20"/>
          <w:lang w:val="es-CR"/>
        </w:rPr>
        <w:t xml:space="preserve">. </w:t>
      </w:r>
    </w:p>
    <w:p w14:paraId="0C704C09"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p>
    <w:p w14:paraId="0C704C0A" w14:textId="7AB2DAEB" w:rsidR="00930C8B" w:rsidRPr="00930C8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Respecto a las irregularidades y retrasos en el proceso penal, el Tribunal constata que estos fueron</w:t>
      </w:r>
      <w:r w:rsidRPr="00930C8B">
        <w:rPr>
          <w:rFonts w:ascii="Verdana" w:hAnsi="Verdana"/>
          <w:spacing w:val="-2"/>
          <w:sz w:val="20"/>
          <w:szCs w:val="20"/>
          <w:lang w:val="es-CR"/>
        </w:rPr>
        <w:t xml:space="preserve"> </w:t>
      </w:r>
      <w:r w:rsidRPr="00930C8B">
        <w:rPr>
          <w:rFonts w:ascii="Verdana" w:hAnsi="Verdana" w:cs="Arial"/>
          <w:spacing w:val="-2"/>
          <w:sz w:val="20"/>
          <w:szCs w:val="20"/>
          <w:lang w:val="es-CR"/>
        </w:rPr>
        <w:t>atribuibles principalmente a la actuación judicial</w:t>
      </w:r>
      <w:r w:rsidRPr="00930C8B">
        <w:rPr>
          <w:rFonts w:ascii="Verdana" w:hAnsi="Verdana"/>
          <w:spacing w:val="-2"/>
          <w:sz w:val="20"/>
          <w:szCs w:val="20"/>
          <w:lang w:val="es-CR"/>
        </w:rPr>
        <w:t xml:space="preserve">. </w:t>
      </w:r>
      <w:r w:rsidRPr="00930C8B">
        <w:rPr>
          <w:rFonts w:ascii="Verdana" w:eastAsia="Times New Roman" w:hAnsi="Verdana"/>
          <w:spacing w:val="-2"/>
          <w:sz w:val="20"/>
          <w:szCs w:val="20"/>
          <w:lang w:val="es-CR" w:eastAsia="es-ES"/>
        </w:rPr>
        <w:t>En efecto, el 26 de julio de 2007 la Fiscalía de Trujillo presentó un requerimiento fiscal ante el Juzgado de Letras contra David Portillo Chacón como presunto autor del delito de asesinato en perjuicio de Félix Ordóñez Suazo, por lo que el 13 de agosto de 2007 el Juzgado de Letras emitió la orden de captura correspondiente. Sin embargo, hasta la fecha esta no ha sido ejecutada, a pesar de que la Fiscalía de Etnias solicitó la ejecución de la misma en cuatro oportunidades (</w:t>
      </w:r>
      <w:r w:rsidRPr="00930C8B">
        <w:rPr>
          <w:rFonts w:ascii="Verdana" w:eastAsia="Times New Roman" w:hAnsi="Verdana"/>
          <w:i/>
          <w:spacing w:val="-2"/>
          <w:sz w:val="20"/>
          <w:szCs w:val="20"/>
          <w:lang w:val="es-CR" w:eastAsia="es-ES"/>
        </w:rPr>
        <w:t>supra</w:t>
      </w:r>
      <w:r w:rsidRPr="00930C8B">
        <w:rPr>
          <w:rFonts w:ascii="Verdana" w:eastAsia="Times New Roman" w:hAnsi="Verdana"/>
          <w:spacing w:val="-2"/>
          <w:sz w:val="20"/>
          <w:szCs w:val="20"/>
          <w:lang w:val="es-CR" w:eastAsia="es-ES"/>
        </w:rPr>
        <w:t xml:space="preserve"> párr. </w:t>
      </w:r>
      <w:r w:rsidR="00900241">
        <w:rPr>
          <w:rFonts w:ascii="Verdana" w:eastAsia="Times New Roman" w:hAnsi="Verdana"/>
          <w:spacing w:val="-2"/>
          <w:sz w:val="20"/>
          <w:szCs w:val="20"/>
          <w:lang w:val="es-CR" w:eastAsia="es-ES"/>
        </w:rPr>
        <w:t>14</w:t>
      </w:r>
      <w:r w:rsidR="00556C1C">
        <w:rPr>
          <w:rFonts w:ascii="Verdana" w:eastAsia="Times New Roman" w:hAnsi="Verdana"/>
          <w:spacing w:val="-2"/>
          <w:sz w:val="20"/>
          <w:szCs w:val="20"/>
          <w:lang w:val="es-CR" w:eastAsia="es-ES"/>
        </w:rPr>
        <w:t>7</w:t>
      </w:r>
      <w:r w:rsidRPr="00930C8B">
        <w:rPr>
          <w:rFonts w:ascii="Verdana" w:eastAsia="Times New Roman" w:hAnsi="Verdana"/>
          <w:spacing w:val="-2"/>
          <w:sz w:val="20"/>
          <w:szCs w:val="20"/>
          <w:lang w:val="es-CR" w:eastAsia="es-ES"/>
        </w:rPr>
        <w:t>).</w:t>
      </w:r>
    </w:p>
    <w:p w14:paraId="0C704C0B" w14:textId="77777777" w:rsidR="00930C8B" w:rsidRPr="00930C8B" w:rsidRDefault="00930C8B" w:rsidP="00930C8B">
      <w:pPr>
        <w:ind w:left="720"/>
        <w:contextualSpacing/>
        <w:rPr>
          <w:rFonts w:ascii="Verdana" w:eastAsia="Times New Roman" w:hAnsi="Verdana"/>
          <w:spacing w:val="-2"/>
          <w:sz w:val="20"/>
          <w:szCs w:val="20"/>
          <w:lang w:val="es-CR" w:eastAsia="es-ES"/>
        </w:rPr>
      </w:pPr>
    </w:p>
    <w:p w14:paraId="0C704C0C" w14:textId="11738215" w:rsidR="00930C8B" w:rsidRPr="004D62B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930C8B">
        <w:rPr>
          <w:rFonts w:ascii="Verdana" w:eastAsia="Times New Roman" w:hAnsi="Verdana"/>
          <w:spacing w:val="-2"/>
          <w:sz w:val="20"/>
          <w:szCs w:val="20"/>
          <w:lang w:val="es-CR" w:eastAsia="es-ES"/>
        </w:rPr>
        <w:t xml:space="preserve">De igual manera, no consta en el expediente ante esta Corte que se </w:t>
      </w:r>
      <w:r w:rsidR="00C639F3">
        <w:rPr>
          <w:rFonts w:ascii="Verdana" w:eastAsia="Times New Roman" w:hAnsi="Verdana"/>
          <w:spacing w:val="-2"/>
          <w:sz w:val="20"/>
          <w:szCs w:val="20"/>
          <w:lang w:val="es-CR" w:eastAsia="es-ES"/>
        </w:rPr>
        <w:t xml:space="preserve">haya </w:t>
      </w:r>
      <w:r w:rsidRPr="00930C8B">
        <w:rPr>
          <w:rFonts w:ascii="Verdana" w:eastAsia="Times New Roman" w:hAnsi="Verdana"/>
          <w:spacing w:val="-2"/>
          <w:sz w:val="20"/>
          <w:szCs w:val="20"/>
          <w:lang w:val="es-CR" w:eastAsia="es-ES"/>
        </w:rPr>
        <w:t>celebra</w:t>
      </w:r>
      <w:r w:rsidR="00C639F3">
        <w:rPr>
          <w:rFonts w:ascii="Verdana" w:eastAsia="Times New Roman" w:hAnsi="Verdana"/>
          <w:spacing w:val="-2"/>
          <w:sz w:val="20"/>
          <w:szCs w:val="20"/>
          <w:lang w:val="es-CR" w:eastAsia="es-ES"/>
        </w:rPr>
        <w:t>do</w:t>
      </w:r>
      <w:r w:rsidRPr="00930C8B">
        <w:rPr>
          <w:rFonts w:ascii="Verdana" w:eastAsia="Times New Roman" w:hAnsi="Verdana"/>
          <w:spacing w:val="-2"/>
          <w:sz w:val="20"/>
          <w:szCs w:val="20"/>
          <w:lang w:val="es-CR" w:eastAsia="es-ES"/>
        </w:rPr>
        <w:t xml:space="preserve"> la audiencia del 18 de agosto de 2011 ordenada en el proceso penal ante el Juzgado de Letras,  conforme a lo solicitado por la Fiscalía de Trujillo, con el fin de que se tomara la declaración del señor Marcos Bonifacio Castillo, único testigo del caso, como prueba anticipada. Asimismo, la Corte comprueba que desde el año 2010</w:t>
      </w:r>
      <w:r w:rsidR="00801E72">
        <w:rPr>
          <w:rFonts w:ascii="Verdana" w:eastAsia="Times New Roman" w:hAnsi="Verdana"/>
          <w:spacing w:val="-2"/>
          <w:sz w:val="20"/>
          <w:szCs w:val="20"/>
          <w:lang w:val="es-CR" w:eastAsia="es-ES"/>
        </w:rPr>
        <w:t>,</w:t>
      </w:r>
      <w:r w:rsidRPr="00930C8B">
        <w:rPr>
          <w:rFonts w:ascii="Verdana" w:eastAsia="Times New Roman" w:hAnsi="Verdana"/>
          <w:spacing w:val="-2"/>
          <w:sz w:val="20"/>
          <w:szCs w:val="20"/>
          <w:lang w:val="es-CR" w:eastAsia="es-ES"/>
        </w:rPr>
        <w:t xml:space="preserve"> tanto la Fiscalía de Etnias, como la Fiscalía de Trujillo han solicitado se ejecute la diligencia de exhumación del cadáver de Félix Ordóñez Suazo, para la posterior práctica de la autopsia correspondiente. Sin embargo, a pesar de habérselo solicitado a la Directora Regional de Medicina Forense en dos oportunidades con carácter de urgente, y empero de que la Fiscalía de Etnias reiteró solicitudes de información respecto de la realización de dicha práctica en cuatro oportunidades, la exhumación del cadáver estaría pendiente </w:t>
      </w:r>
      <w:r w:rsidRPr="004D62BB">
        <w:rPr>
          <w:rFonts w:ascii="Verdana" w:eastAsia="Times New Roman" w:hAnsi="Verdana"/>
          <w:spacing w:val="-2"/>
          <w:sz w:val="20"/>
          <w:szCs w:val="20"/>
          <w:lang w:val="es-CR" w:eastAsia="es-ES"/>
        </w:rPr>
        <w:t>de cumplimiento a la fecha (</w:t>
      </w:r>
      <w:r w:rsidRPr="004D62BB">
        <w:rPr>
          <w:rFonts w:ascii="Verdana" w:eastAsia="Times New Roman" w:hAnsi="Verdana"/>
          <w:i/>
          <w:spacing w:val="-2"/>
          <w:sz w:val="20"/>
          <w:szCs w:val="20"/>
          <w:lang w:val="es-CR" w:eastAsia="es-ES"/>
        </w:rPr>
        <w:t>supra</w:t>
      </w:r>
      <w:r w:rsidRPr="004D62BB">
        <w:rPr>
          <w:rFonts w:ascii="Verdana" w:eastAsia="Times New Roman" w:hAnsi="Verdana"/>
          <w:spacing w:val="-2"/>
          <w:sz w:val="20"/>
          <w:szCs w:val="20"/>
          <w:lang w:val="es-CR" w:eastAsia="es-ES"/>
        </w:rPr>
        <w:t xml:space="preserve"> párr</w:t>
      </w:r>
      <w:r w:rsidR="00C639F3" w:rsidRPr="004D62BB">
        <w:rPr>
          <w:rFonts w:ascii="Verdana" w:eastAsia="Times New Roman" w:hAnsi="Verdana"/>
          <w:spacing w:val="-2"/>
          <w:sz w:val="20"/>
          <w:szCs w:val="20"/>
          <w:lang w:val="es-CR" w:eastAsia="es-ES"/>
        </w:rPr>
        <w:t>s</w:t>
      </w:r>
      <w:r w:rsidRPr="004D62BB">
        <w:rPr>
          <w:rFonts w:ascii="Verdana" w:eastAsia="Times New Roman" w:hAnsi="Verdana"/>
          <w:spacing w:val="-2"/>
          <w:sz w:val="20"/>
          <w:szCs w:val="20"/>
          <w:lang w:val="es-CR" w:eastAsia="es-ES"/>
        </w:rPr>
        <w:t xml:space="preserve">. </w:t>
      </w:r>
      <w:r w:rsidR="00C639F3" w:rsidRPr="004D62BB">
        <w:rPr>
          <w:rFonts w:ascii="Verdana" w:eastAsia="Times New Roman" w:hAnsi="Verdana"/>
          <w:spacing w:val="-2"/>
          <w:sz w:val="20"/>
          <w:szCs w:val="20"/>
          <w:lang w:val="es-CR" w:eastAsia="es-ES"/>
        </w:rPr>
        <w:t xml:space="preserve">146 a </w:t>
      </w:r>
      <w:r w:rsidR="00900241" w:rsidRPr="004D62BB">
        <w:rPr>
          <w:rFonts w:ascii="Verdana" w:eastAsia="Times New Roman" w:hAnsi="Verdana"/>
          <w:spacing w:val="-2"/>
          <w:sz w:val="20"/>
          <w:szCs w:val="20"/>
          <w:lang w:val="es-CR" w:eastAsia="es-ES"/>
        </w:rPr>
        <w:t>148</w:t>
      </w:r>
      <w:r w:rsidRPr="004D62BB">
        <w:rPr>
          <w:rFonts w:ascii="Verdana" w:eastAsia="Times New Roman" w:hAnsi="Verdana"/>
          <w:spacing w:val="-2"/>
          <w:sz w:val="20"/>
          <w:szCs w:val="20"/>
          <w:lang w:val="es-CR" w:eastAsia="es-ES"/>
        </w:rPr>
        <w:t xml:space="preserve">). </w:t>
      </w:r>
    </w:p>
    <w:p w14:paraId="0C704C0D" w14:textId="77777777" w:rsidR="00930C8B" w:rsidRPr="004D62BB" w:rsidRDefault="00930C8B" w:rsidP="00930C8B">
      <w:pPr>
        <w:tabs>
          <w:tab w:val="left" w:pos="567"/>
        </w:tabs>
        <w:contextualSpacing/>
        <w:jc w:val="both"/>
        <w:rPr>
          <w:rFonts w:ascii="Verdana" w:eastAsia="Times New Roman" w:hAnsi="Verdana"/>
          <w:spacing w:val="-2"/>
          <w:sz w:val="20"/>
          <w:szCs w:val="20"/>
          <w:lang w:val="es-CR" w:eastAsia="es-ES"/>
        </w:rPr>
      </w:pPr>
    </w:p>
    <w:p w14:paraId="0C704C0E" w14:textId="3EEA867B" w:rsidR="00930C8B" w:rsidRPr="004D62BB" w:rsidRDefault="00930C8B" w:rsidP="00930C8B">
      <w:pPr>
        <w:numPr>
          <w:ilvl w:val="0"/>
          <w:numId w:val="17"/>
        </w:numPr>
        <w:ind w:left="0" w:hanging="11"/>
        <w:contextualSpacing/>
        <w:jc w:val="both"/>
        <w:rPr>
          <w:rFonts w:ascii="Verdana" w:eastAsia="Times New Roman" w:hAnsi="Verdana"/>
          <w:spacing w:val="-2"/>
          <w:sz w:val="20"/>
          <w:szCs w:val="20"/>
          <w:lang w:val="es-CR" w:eastAsia="es-ES"/>
        </w:rPr>
      </w:pPr>
      <w:r w:rsidRPr="004D62BB">
        <w:rPr>
          <w:rFonts w:ascii="Verdana" w:eastAsia="Times New Roman" w:hAnsi="Verdana"/>
          <w:spacing w:val="-2"/>
          <w:sz w:val="20"/>
          <w:szCs w:val="20"/>
          <w:lang w:val="es-CR" w:eastAsia="es-ES"/>
        </w:rPr>
        <w:t xml:space="preserve">La Corte verifica que a más de ocho años de ocurridos los hechos, el proceso penal se encuentra en etapa de investigación ante el Juez de primera instancia, y sin que diligencias relevantes hayan sido llevadas a cabo. </w:t>
      </w:r>
      <w:r w:rsidRPr="004D62BB">
        <w:rPr>
          <w:rFonts w:ascii="Verdana" w:hAnsi="Verdana"/>
          <w:spacing w:val="-2"/>
          <w:sz w:val="20"/>
          <w:szCs w:val="20"/>
          <w:lang w:val="es-CR"/>
        </w:rPr>
        <w:t xml:space="preserve">En este sentido, considera que </w:t>
      </w:r>
      <w:r w:rsidRPr="004D62BB">
        <w:rPr>
          <w:rFonts w:ascii="Verdana" w:hAnsi="Verdana"/>
          <w:spacing w:val="-2"/>
          <w:sz w:val="20"/>
          <w:lang w:val="es-CR"/>
        </w:rPr>
        <w:t xml:space="preserve">una </w:t>
      </w:r>
      <w:r w:rsidRPr="004D62BB">
        <w:rPr>
          <w:rFonts w:ascii="Verdana" w:hAnsi="Verdana"/>
          <w:spacing w:val="-2"/>
          <w:sz w:val="20"/>
          <w:lang w:val="es-CR"/>
        </w:rPr>
        <w:lastRenderedPageBreak/>
        <w:t xml:space="preserve">demora prolongada, como la que se ha dado en este caso, </w:t>
      </w:r>
      <w:r w:rsidR="00904A54" w:rsidRPr="004D62BB">
        <w:rPr>
          <w:rFonts w:ascii="Verdana" w:hAnsi="Verdana"/>
          <w:spacing w:val="-2"/>
          <w:sz w:val="20"/>
          <w:lang w:val="es-CR"/>
        </w:rPr>
        <w:t xml:space="preserve">constituye en principio, </w:t>
      </w:r>
      <w:r w:rsidRPr="004D62BB">
        <w:rPr>
          <w:rFonts w:ascii="Verdana" w:hAnsi="Verdana"/>
          <w:spacing w:val="-2"/>
          <w:sz w:val="20"/>
          <w:lang w:val="es-CR"/>
        </w:rPr>
        <w:t>una violación a las garantías judiciales, vulnerándose con ello el plazo razonable</w:t>
      </w:r>
      <w:r w:rsidR="00904A54" w:rsidRPr="004D62BB">
        <w:rPr>
          <w:rStyle w:val="FootnoteReference"/>
          <w:spacing w:val="-2"/>
          <w:lang w:val="es-CR"/>
        </w:rPr>
        <w:footnoteReference w:id="321"/>
      </w:r>
      <w:r w:rsidRPr="004D62BB">
        <w:rPr>
          <w:rFonts w:ascii="Verdana" w:hAnsi="Verdana"/>
          <w:spacing w:val="-2"/>
          <w:sz w:val="20"/>
          <w:lang w:val="es-CR"/>
        </w:rPr>
        <w:t>.</w:t>
      </w:r>
    </w:p>
    <w:p w14:paraId="0C704C0F" w14:textId="77777777" w:rsidR="00930C8B" w:rsidRPr="004D62BB" w:rsidRDefault="00930C8B" w:rsidP="00930C8B">
      <w:pPr>
        <w:rPr>
          <w:rFonts w:ascii="Verdana" w:hAnsi="Verdana"/>
          <w:sz w:val="20"/>
          <w:szCs w:val="20"/>
        </w:rPr>
      </w:pPr>
    </w:p>
    <w:p w14:paraId="0C704C10" w14:textId="20C595F3" w:rsidR="00930C8B" w:rsidRDefault="00930C8B" w:rsidP="00930C8B">
      <w:pPr>
        <w:numPr>
          <w:ilvl w:val="0"/>
          <w:numId w:val="17"/>
        </w:numPr>
        <w:ind w:left="0" w:hanging="11"/>
        <w:contextualSpacing/>
        <w:jc w:val="both"/>
        <w:rPr>
          <w:rFonts w:ascii="Verdana" w:hAnsi="Verdana"/>
          <w:sz w:val="20"/>
          <w:szCs w:val="20"/>
        </w:rPr>
      </w:pPr>
      <w:r w:rsidRPr="004D62BB">
        <w:rPr>
          <w:rFonts w:ascii="Verdana" w:hAnsi="Verdana"/>
          <w:spacing w:val="-2"/>
          <w:sz w:val="20"/>
          <w:szCs w:val="20"/>
          <w:lang w:val="es-CR"/>
        </w:rPr>
        <w:t xml:space="preserve">En virtud de lo señalado, esta Corte comprueba que al inicio de las investigaciones por la muerte de </w:t>
      </w:r>
      <w:r w:rsidR="00631669" w:rsidRPr="004D62BB">
        <w:rPr>
          <w:rFonts w:ascii="Verdana" w:hAnsi="Verdana"/>
          <w:spacing w:val="-2"/>
          <w:sz w:val="20"/>
          <w:szCs w:val="20"/>
          <w:lang w:val="es-CR"/>
        </w:rPr>
        <w:t>Félix Ordóñez Suazo</w:t>
      </w:r>
      <w:r w:rsidRPr="004D62BB">
        <w:rPr>
          <w:rFonts w:ascii="Verdana" w:hAnsi="Verdana"/>
          <w:spacing w:val="-2"/>
          <w:sz w:val="20"/>
          <w:szCs w:val="20"/>
          <w:lang w:val="es-CR"/>
        </w:rPr>
        <w:t xml:space="preserve"> se omitió la</w:t>
      </w:r>
      <w:r w:rsidRPr="00930C8B">
        <w:rPr>
          <w:rFonts w:ascii="Verdana" w:hAnsi="Verdana"/>
          <w:spacing w:val="-2"/>
          <w:sz w:val="20"/>
          <w:szCs w:val="20"/>
          <w:lang w:val="es-CR"/>
        </w:rPr>
        <w:t xml:space="preserve"> recaudación de prueba trascendental, sin que posteriormente se hayan practicado diligencias relevantes a nivel judicial, por lo que</w:t>
      </w:r>
      <w:r w:rsidRPr="00930C8B">
        <w:rPr>
          <w:rFonts w:ascii="Verdana" w:hAnsi="Verdana"/>
          <w:sz w:val="20"/>
          <w:szCs w:val="20"/>
        </w:rPr>
        <w:t xml:space="preserve"> el Estado no llevó a cabo una averiguación exhaustiva y diligente</w:t>
      </w:r>
      <w:r w:rsidRPr="00930C8B">
        <w:rPr>
          <w:rFonts w:ascii="Verdana" w:hAnsi="Verdana"/>
          <w:spacing w:val="-2"/>
          <w:sz w:val="20"/>
          <w:szCs w:val="20"/>
          <w:lang w:val="es-CR"/>
        </w:rPr>
        <w:t xml:space="preserve">. Todo ello generó graves faltas al deber de investigar los hechos ocurridos, lo que incluso podría afectar la inmediatez de la prueba, la obtención de información fidedigna, la pérdida o la imposibilidad de recolección de prueba en el futuro, debido al paso del tiempo. En este sentido, el Tribunal considera que dichas omisiones e irregularidades, demuestran una falta de efectividad en el actuar del Estado durante las investigaciones y proceso penal del caso. </w:t>
      </w:r>
      <w:r w:rsidRPr="00930C8B">
        <w:rPr>
          <w:rFonts w:ascii="Verdana" w:hAnsi="Verdana"/>
          <w:sz w:val="20"/>
          <w:szCs w:val="20"/>
        </w:rPr>
        <w:t xml:space="preserve">De igual manera, la Corte concluye que el Estado incumplió con el plazo razonable debido a la existencia de ciertos retrasos procesales en la prosecución del caso. En consecuencia, esta Corte considera que el Estado es responsable internacionalmente por la violación de los derechos establecidos en los artículos 8.1 y 25.1 de la Convención Americana, </w:t>
      </w:r>
      <w:r w:rsidR="004D62BB" w:rsidRPr="00930C8B">
        <w:rPr>
          <w:rFonts w:ascii="Verdana" w:hAnsi="Verdana"/>
          <w:sz w:val="20"/>
          <w:szCs w:val="20"/>
        </w:rPr>
        <w:t xml:space="preserve">en perjuicio </w:t>
      </w:r>
      <w:r w:rsidR="004D62BB">
        <w:rPr>
          <w:rFonts w:ascii="Verdana" w:hAnsi="Verdana"/>
          <w:sz w:val="20"/>
          <w:szCs w:val="20"/>
        </w:rPr>
        <w:t xml:space="preserve">de </w:t>
      </w:r>
      <w:r w:rsidR="004D62BB" w:rsidRPr="00930C8B">
        <w:rPr>
          <w:rFonts w:ascii="Verdana" w:hAnsi="Verdana"/>
          <w:sz w:val="20"/>
          <w:szCs w:val="20"/>
        </w:rPr>
        <w:t xml:space="preserve">Félix Ordoñez Suazo </w:t>
      </w:r>
      <w:r w:rsidR="004D62BB">
        <w:rPr>
          <w:rFonts w:ascii="Verdana" w:hAnsi="Verdana"/>
          <w:sz w:val="20"/>
          <w:szCs w:val="20"/>
        </w:rPr>
        <w:t xml:space="preserve">y de los </w:t>
      </w:r>
      <w:r w:rsidR="004D62BB" w:rsidRPr="00930C8B">
        <w:rPr>
          <w:rFonts w:ascii="Verdana" w:hAnsi="Verdana"/>
          <w:sz w:val="20"/>
          <w:szCs w:val="20"/>
        </w:rPr>
        <w:t xml:space="preserve"> miembros de la Comunidad de Punta Piedra.</w:t>
      </w:r>
    </w:p>
    <w:p w14:paraId="0C704C11" w14:textId="77777777" w:rsidR="006A0E8F" w:rsidRDefault="006A0E8F" w:rsidP="00A0324F">
      <w:pPr>
        <w:contextualSpacing/>
        <w:jc w:val="both"/>
        <w:rPr>
          <w:rFonts w:ascii="Verdana" w:hAnsi="Verdana"/>
          <w:sz w:val="20"/>
          <w:szCs w:val="20"/>
        </w:rPr>
      </w:pPr>
    </w:p>
    <w:p w14:paraId="0C704C12" w14:textId="77777777" w:rsidR="00930C8B" w:rsidRPr="00930C8B" w:rsidRDefault="00930C8B" w:rsidP="00930C8B">
      <w:pPr>
        <w:keepNext/>
        <w:keepLines/>
        <w:ind w:left="1416"/>
        <w:jc w:val="both"/>
        <w:outlineLvl w:val="3"/>
        <w:rPr>
          <w:rFonts w:ascii="Verdana" w:eastAsia="Times New Roman" w:hAnsi="Verdana" w:cs="Arial"/>
          <w:b/>
          <w:bCs/>
          <w:i/>
          <w:iCs/>
          <w:spacing w:val="-2"/>
          <w:sz w:val="20"/>
          <w:szCs w:val="20"/>
          <w:lang w:val="es-CR" w:eastAsia="es-ES"/>
        </w:rPr>
      </w:pPr>
      <w:bookmarkStart w:id="113" w:name="_Toc437247375"/>
      <w:r w:rsidRPr="00930C8B">
        <w:rPr>
          <w:rFonts w:ascii="Verdana" w:eastAsiaTheme="majorEastAsia" w:hAnsi="Verdana" w:cstheme="majorBidi"/>
          <w:b/>
          <w:bCs/>
          <w:i/>
          <w:iCs/>
          <w:sz w:val="20"/>
          <w:szCs w:val="22"/>
          <w:lang w:val="es-CR"/>
        </w:rPr>
        <w:t>B.2.2. Denuncias de usurpación y amenazas de 2010 y abuso de autoridad de 2010 en perjuicio de la Comunidad Garífuna de Punta Piedra y sus miembros</w:t>
      </w:r>
      <w:bookmarkEnd w:id="113"/>
      <w:r w:rsidRPr="00930C8B">
        <w:rPr>
          <w:rFonts w:ascii="Verdana" w:eastAsia="Times New Roman" w:hAnsi="Verdana" w:cs="Arial"/>
          <w:b/>
          <w:bCs/>
          <w:i/>
          <w:iCs/>
          <w:spacing w:val="-2"/>
          <w:sz w:val="20"/>
          <w:szCs w:val="20"/>
          <w:lang w:val="es-CR" w:eastAsia="es-ES"/>
        </w:rPr>
        <w:t xml:space="preserve"> </w:t>
      </w:r>
    </w:p>
    <w:p w14:paraId="0C704C13" w14:textId="77777777" w:rsidR="00930C8B" w:rsidRPr="00930C8B" w:rsidRDefault="00930C8B" w:rsidP="00930C8B">
      <w:pPr>
        <w:tabs>
          <w:tab w:val="left" w:pos="567"/>
        </w:tabs>
        <w:contextualSpacing/>
        <w:jc w:val="both"/>
        <w:rPr>
          <w:rFonts w:ascii="Verdana" w:eastAsia="Times New Roman" w:hAnsi="Verdana" w:cs="Arial"/>
          <w:b/>
          <w:spacing w:val="-2"/>
          <w:sz w:val="20"/>
          <w:szCs w:val="20"/>
          <w:highlight w:val="cyan"/>
          <w:lang w:val="es-CR" w:eastAsia="es-ES"/>
        </w:rPr>
      </w:pPr>
    </w:p>
    <w:p w14:paraId="0C704C14" w14:textId="7CDD48B9" w:rsidR="00930C8B" w:rsidRPr="00930C8B" w:rsidRDefault="00930C8B" w:rsidP="00930C8B">
      <w:pPr>
        <w:numPr>
          <w:ilvl w:val="0"/>
          <w:numId w:val="17"/>
        </w:numPr>
        <w:ind w:left="0" w:hanging="11"/>
        <w:contextualSpacing/>
        <w:jc w:val="both"/>
        <w:rPr>
          <w:rFonts w:ascii="Verdana" w:hAnsi="Verdana"/>
          <w:spacing w:val="-2"/>
          <w:sz w:val="20"/>
          <w:szCs w:val="20"/>
          <w:lang w:val="es-CR"/>
        </w:rPr>
      </w:pPr>
      <w:r w:rsidRPr="00930C8B">
        <w:rPr>
          <w:rFonts w:ascii="Verdana" w:hAnsi="Verdana" w:cs="Arial"/>
          <w:spacing w:val="-2"/>
          <w:sz w:val="20"/>
          <w:szCs w:val="20"/>
          <w:lang w:val="es-CR"/>
        </w:rPr>
        <w:t>L</w:t>
      </w:r>
      <w:r w:rsidRPr="00930C8B">
        <w:rPr>
          <w:rFonts w:ascii="Verdana" w:hAnsi="Verdana"/>
          <w:sz w:val="20"/>
          <w:szCs w:val="20"/>
        </w:rPr>
        <w:t xml:space="preserve">a Corte constató que el 13 </w:t>
      </w:r>
      <w:r w:rsidR="00900241">
        <w:rPr>
          <w:rFonts w:ascii="Verdana" w:hAnsi="Verdana"/>
          <w:sz w:val="20"/>
          <w:szCs w:val="20"/>
        </w:rPr>
        <w:t xml:space="preserve">y </w:t>
      </w:r>
      <w:r w:rsidRPr="00930C8B">
        <w:rPr>
          <w:rFonts w:ascii="Verdana" w:hAnsi="Verdana"/>
          <w:sz w:val="20"/>
          <w:szCs w:val="20"/>
        </w:rPr>
        <w:t>16 de abril</w:t>
      </w:r>
      <w:r w:rsidR="00900241">
        <w:rPr>
          <w:rFonts w:ascii="Verdana" w:hAnsi="Verdana"/>
          <w:sz w:val="20"/>
          <w:szCs w:val="20"/>
        </w:rPr>
        <w:t>,</w:t>
      </w:r>
      <w:r w:rsidRPr="00930C8B">
        <w:rPr>
          <w:rFonts w:ascii="Verdana" w:hAnsi="Verdana"/>
          <w:sz w:val="20"/>
          <w:szCs w:val="20"/>
        </w:rPr>
        <w:t xml:space="preserve"> y 19 de octubre de 2010, respectivamente, la Comunidad de Punta Piedra, a través de su patronato, interpuso tres denuncias, a saber: a) por usurpación </w:t>
      </w:r>
      <w:r w:rsidRPr="00930C8B">
        <w:rPr>
          <w:rFonts w:ascii="Verdana" w:hAnsi="Verdana"/>
          <w:sz w:val="20"/>
          <w:szCs w:val="20"/>
          <w:lang w:val="es-ES"/>
        </w:rPr>
        <w:t xml:space="preserve">por la invasión de terrenos de la Comunidad </w:t>
      </w:r>
      <w:r w:rsidRPr="00930C8B">
        <w:rPr>
          <w:rFonts w:ascii="Verdana" w:hAnsi="Verdana"/>
          <w:sz w:val="20"/>
          <w:szCs w:val="20"/>
        </w:rPr>
        <w:t xml:space="preserve">y por amenazas </w:t>
      </w:r>
      <w:r w:rsidRPr="00930C8B">
        <w:rPr>
          <w:rFonts w:ascii="Verdana" w:hAnsi="Verdana"/>
          <w:sz w:val="20"/>
          <w:szCs w:val="20"/>
          <w:lang w:val="es-ES"/>
        </w:rPr>
        <w:t xml:space="preserve">derivadas del conflicto de tierras </w:t>
      </w:r>
      <w:r w:rsidRPr="00930C8B">
        <w:rPr>
          <w:rFonts w:ascii="Verdana" w:hAnsi="Verdana"/>
          <w:sz w:val="20"/>
          <w:szCs w:val="20"/>
        </w:rPr>
        <w:t>por parte de los “ladinos o foráneos” de Río Miel; b) por la presunta comisión del delito de amenazas de muerte por parte de tres pobladores de Río Miel, en perjuicio de Paulino Mejía, miembro de dicha comunidad</w:t>
      </w:r>
      <w:r w:rsidRPr="00930C8B">
        <w:rPr>
          <w:rFonts w:ascii="Verdana" w:hAnsi="Verdana"/>
          <w:spacing w:val="-2"/>
          <w:sz w:val="20"/>
          <w:szCs w:val="20"/>
          <w:lang w:val="es-MX"/>
        </w:rPr>
        <w:t xml:space="preserve">, y c) por la comisión del presunto delito de abuso de autoridad, </w:t>
      </w:r>
      <w:r w:rsidRPr="00930C8B">
        <w:rPr>
          <w:rFonts w:ascii="Verdana" w:hAnsi="Verdana"/>
          <w:sz w:val="20"/>
          <w:szCs w:val="20"/>
          <w:lang w:val="es-ES"/>
        </w:rPr>
        <w:t>a efectos de investigar la presunta construcción de una brecha de carretera que cruzaba el territorio de la comunidad en Río Miel, sin que se haya hecho la consulta previa (</w:t>
      </w:r>
      <w:r w:rsidRPr="00930C8B">
        <w:rPr>
          <w:rFonts w:ascii="Verdana" w:hAnsi="Verdana"/>
          <w:i/>
          <w:sz w:val="20"/>
          <w:szCs w:val="20"/>
          <w:lang w:val="es-ES"/>
        </w:rPr>
        <w:t>supra</w:t>
      </w:r>
      <w:r w:rsidRPr="00930C8B">
        <w:rPr>
          <w:rFonts w:ascii="Verdana" w:hAnsi="Verdana"/>
          <w:sz w:val="20"/>
          <w:szCs w:val="20"/>
          <w:lang w:val="es-ES"/>
        </w:rPr>
        <w:t xml:space="preserve"> párrs. </w:t>
      </w:r>
      <w:r w:rsidR="007F7733">
        <w:rPr>
          <w:rFonts w:ascii="Verdana" w:hAnsi="Verdana"/>
          <w:sz w:val="20"/>
          <w:szCs w:val="20"/>
          <w:lang w:val="es-ES"/>
        </w:rPr>
        <w:t>1</w:t>
      </w:r>
      <w:r w:rsidR="00265F13">
        <w:rPr>
          <w:rFonts w:ascii="Verdana" w:hAnsi="Verdana"/>
          <w:sz w:val="20"/>
          <w:szCs w:val="20"/>
          <w:lang w:val="es-ES"/>
        </w:rPr>
        <w:t xml:space="preserve">49, </w:t>
      </w:r>
      <w:r w:rsidR="007F7733">
        <w:rPr>
          <w:rFonts w:ascii="Verdana" w:hAnsi="Verdana"/>
          <w:sz w:val="20"/>
          <w:szCs w:val="20"/>
          <w:lang w:val="es-ES"/>
        </w:rPr>
        <w:t>15</w:t>
      </w:r>
      <w:r w:rsidR="00265F13">
        <w:rPr>
          <w:rFonts w:ascii="Verdana" w:hAnsi="Verdana"/>
          <w:sz w:val="20"/>
          <w:szCs w:val="20"/>
          <w:lang w:val="es-ES"/>
        </w:rPr>
        <w:t>0 y 155</w:t>
      </w:r>
      <w:r w:rsidRPr="00930C8B">
        <w:rPr>
          <w:rFonts w:ascii="Verdana" w:hAnsi="Verdana"/>
          <w:sz w:val="20"/>
          <w:szCs w:val="20"/>
          <w:lang w:val="es-ES"/>
        </w:rPr>
        <w:t xml:space="preserve">). </w:t>
      </w:r>
    </w:p>
    <w:p w14:paraId="0C704C15"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p>
    <w:p w14:paraId="0C704C16" w14:textId="77777777" w:rsidR="00930C8B" w:rsidRPr="00930C8B" w:rsidRDefault="00930C8B" w:rsidP="00930C8B">
      <w:pPr>
        <w:keepNext/>
        <w:keepLines/>
        <w:ind w:left="2126"/>
        <w:jc w:val="both"/>
        <w:outlineLvl w:val="4"/>
        <w:rPr>
          <w:rFonts w:asciiTheme="majorHAnsi" w:eastAsiaTheme="majorEastAsia" w:hAnsiTheme="majorHAnsi" w:cstheme="majorBidi"/>
          <w:i/>
          <w:szCs w:val="20"/>
          <w:lang w:val="es-PE"/>
        </w:rPr>
      </w:pPr>
      <w:bookmarkStart w:id="114" w:name="_Toc437247376"/>
      <w:r w:rsidRPr="00930C8B">
        <w:rPr>
          <w:rFonts w:ascii="Verdana" w:eastAsiaTheme="majorEastAsia" w:hAnsi="Verdana" w:cstheme="majorBidi"/>
          <w:i/>
          <w:sz w:val="20"/>
          <w:szCs w:val="20"/>
          <w:lang w:val="es-PE"/>
        </w:rPr>
        <w:t>B.2.2.1 Denuncia de usurpación y amenazas en perjuicio de los miembros de la Comunidad Garífuna de Punta Piedra,</w:t>
      </w:r>
      <w:r w:rsidRPr="00930C8B">
        <w:rPr>
          <w:rFonts w:ascii="Verdana" w:eastAsia="Times New Roman" w:hAnsi="Verdana" w:cs="Arial"/>
          <w:i/>
          <w:spacing w:val="-2"/>
          <w:sz w:val="20"/>
          <w:szCs w:val="20"/>
          <w:lang w:val="es-CR" w:eastAsia="es-ES"/>
        </w:rPr>
        <w:t xml:space="preserve"> y denuncia de amenazas en perjuicio de Paulino Mejía</w:t>
      </w:r>
      <w:bookmarkEnd w:id="114"/>
    </w:p>
    <w:p w14:paraId="0C704C17" w14:textId="77777777" w:rsidR="00930C8B" w:rsidRPr="00930C8B" w:rsidRDefault="00930C8B" w:rsidP="00930C8B">
      <w:pPr>
        <w:tabs>
          <w:tab w:val="left" w:pos="567"/>
        </w:tabs>
        <w:contextualSpacing/>
        <w:jc w:val="both"/>
        <w:rPr>
          <w:rFonts w:ascii="Verdana" w:eastAsia="Times New Roman" w:hAnsi="Verdana"/>
          <w:spacing w:val="-2"/>
          <w:sz w:val="20"/>
          <w:szCs w:val="20"/>
          <w:lang w:val="es-CR" w:eastAsia="es-ES"/>
        </w:rPr>
      </w:pPr>
    </w:p>
    <w:p w14:paraId="0C704C18" w14:textId="62BD10ED" w:rsidR="00930C8B" w:rsidRPr="00930C8B" w:rsidRDefault="00930C8B" w:rsidP="00930C8B">
      <w:pPr>
        <w:numPr>
          <w:ilvl w:val="0"/>
          <w:numId w:val="17"/>
        </w:numPr>
        <w:ind w:left="0" w:hanging="11"/>
        <w:contextualSpacing/>
        <w:jc w:val="both"/>
        <w:rPr>
          <w:rFonts w:ascii="Verdana" w:hAnsi="Verdana"/>
          <w:spacing w:val="-2"/>
          <w:sz w:val="20"/>
          <w:szCs w:val="20"/>
          <w:lang w:val="es-CR"/>
        </w:rPr>
      </w:pPr>
      <w:r w:rsidRPr="00930C8B">
        <w:rPr>
          <w:rFonts w:ascii="Verdana" w:hAnsi="Verdana"/>
          <w:spacing w:val="-2"/>
          <w:sz w:val="20"/>
          <w:szCs w:val="20"/>
          <w:lang w:val="es-CR"/>
        </w:rPr>
        <w:t>Respecto de la denuncia por usurpación y amenazas en perjuicio de la Comunidad de Punta Piedra, la Corte comprueba que el 13 de abril de 2010 la Fiscalía de Etnias emitió un auto de requerimiento en donde se ordenaron distintas diligencias, en especial, la de inspección ocular de los hechos (</w:t>
      </w:r>
      <w:r w:rsidRPr="00930C8B">
        <w:rPr>
          <w:rFonts w:ascii="Verdana" w:hAnsi="Verdana"/>
          <w:i/>
          <w:spacing w:val="-2"/>
          <w:sz w:val="20"/>
          <w:szCs w:val="20"/>
          <w:lang w:val="es-CR"/>
        </w:rPr>
        <w:t xml:space="preserve">supra </w:t>
      </w:r>
      <w:r w:rsidRPr="00930C8B">
        <w:rPr>
          <w:rFonts w:ascii="Verdana" w:hAnsi="Verdana"/>
          <w:spacing w:val="-2"/>
          <w:sz w:val="20"/>
          <w:szCs w:val="20"/>
          <w:lang w:val="es-CR"/>
        </w:rPr>
        <w:t xml:space="preserve">párr. </w:t>
      </w:r>
      <w:r w:rsidR="00EA3F04">
        <w:rPr>
          <w:rFonts w:ascii="Verdana" w:hAnsi="Verdana"/>
          <w:spacing w:val="-2"/>
          <w:sz w:val="20"/>
          <w:szCs w:val="20"/>
          <w:lang w:val="es-CR"/>
        </w:rPr>
        <w:t>15</w:t>
      </w:r>
      <w:r w:rsidR="00265F13">
        <w:rPr>
          <w:rFonts w:ascii="Verdana" w:hAnsi="Verdana"/>
          <w:spacing w:val="-2"/>
          <w:sz w:val="20"/>
          <w:szCs w:val="20"/>
          <w:lang w:val="es-CR"/>
        </w:rPr>
        <w:t>1</w:t>
      </w:r>
      <w:r w:rsidRPr="00930C8B">
        <w:rPr>
          <w:rFonts w:ascii="Verdana" w:hAnsi="Verdana"/>
          <w:spacing w:val="-2"/>
          <w:sz w:val="20"/>
          <w:szCs w:val="20"/>
          <w:lang w:val="es-CR"/>
        </w:rPr>
        <w:t>). Asimismo, en relación con la denuncia de amenazas en perjuicio de Paulin</w:t>
      </w:r>
      <w:r w:rsidR="00A909ED">
        <w:rPr>
          <w:rFonts w:ascii="Verdana" w:hAnsi="Verdana"/>
          <w:spacing w:val="-2"/>
          <w:sz w:val="20"/>
          <w:szCs w:val="20"/>
          <w:lang w:val="es-CR"/>
        </w:rPr>
        <w:t>o</w:t>
      </w:r>
      <w:r w:rsidRPr="00930C8B">
        <w:rPr>
          <w:rFonts w:ascii="Verdana" w:hAnsi="Verdana"/>
          <w:spacing w:val="-2"/>
          <w:sz w:val="20"/>
          <w:szCs w:val="20"/>
          <w:lang w:val="es-CR"/>
        </w:rPr>
        <w:t xml:space="preserve"> Mejía, el 17 de abril de 2010</w:t>
      </w:r>
      <w:r w:rsidR="00A909ED">
        <w:rPr>
          <w:rFonts w:ascii="Verdana" w:hAnsi="Verdana"/>
          <w:spacing w:val="-2"/>
          <w:sz w:val="20"/>
          <w:szCs w:val="20"/>
          <w:lang w:val="es-CR"/>
        </w:rPr>
        <w:t>,</w:t>
      </w:r>
      <w:r w:rsidRPr="00930C8B">
        <w:rPr>
          <w:rFonts w:ascii="Verdana" w:hAnsi="Verdana"/>
          <w:spacing w:val="-2"/>
          <w:sz w:val="20"/>
          <w:szCs w:val="20"/>
          <w:lang w:val="es-CR"/>
        </w:rPr>
        <w:t xml:space="preserve"> la Fiscalía de Etnias emitió un auto de requerimiento, remitido en dos oportunidades a los agentes de la DGIC, solicitando una serie de diligencias iniciales pertinentes</w:t>
      </w:r>
      <w:r w:rsidRPr="00930C8B">
        <w:rPr>
          <w:rFonts w:ascii="Verdana" w:hAnsi="Verdana"/>
          <w:spacing w:val="-2"/>
          <w:sz w:val="20"/>
          <w:szCs w:val="20"/>
          <w:vertAlign w:val="superscript"/>
          <w:lang w:val="es-CR"/>
        </w:rPr>
        <w:footnoteReference w:id="322"/>
      </w:r>
      <w:r w:rsidRPr="00930C8B">
        <w:rPr>
          <w:rFonts w:ascii="Verdana" w:hAnsi="Verdana"/>
          <w:spacing w:val="-2"/>
          <w:sz w:val="20"/>
          <w:szCs w:val="20"/>
          <w:lang w:val="es-CR"/>
        </w:rPr>
        <w:t xml:space="preserve">. La Corte </w:t>
      </w:r>
      <w:r w:rsidRPr="00930C8B">
        <w:rPr>
          <w:rFonts w:ascii="Verdana" w:hAnsi="Verdana"/>
          <w:spacing w:val="-2"/>
          <w:sz w:val="20"/>
          <w:szCs w:val="20"/>
          <w:lang w:val="es-CR"/>
        </w:rPr>
        <w:lastRenderedPageBreak/>
        <w:t>nota que las investigaciones derivadas de ambas denuncia</w:t>
      </w:r>
      <w:r w:rsidR="00954A47">
        <w:rPr>
          <w:rFonts w:ascii="Verdana" w:hAnsi="Verdana"/>
          <w:spacing w:val="-2"/>
          <w:sz w:val="20"/>
          <w:szCs w:val="20"/>
          <w:lang w:val="es-CR"/>
        </w:rPr>
        <w:t>s</w:t>
      </w:r>
      <w:r w:rsidRPr="00930C8B">
        <w:rPr>
          <w:rFonts w:ascii="Verdana" w:hAnsi="Verdana"/>
          <w:spacing w:val="-2"/>
          <w:sz w:val="20"/>
          <w:szCs w:val="20"/>
          <w:lang w:val="es-CR"/>
        </w:rPr>
        <w:t xml:space="preserve"> se llevaron a cabo en conjunto, por lo que las analizará de esta manera.</w:t>
      </w:r>
    </w:p>
    <w:p w14:paraId="0C704C19" w14:textId="77777777" w:rsidR="00930C8B" w:rsidRPr="00930C8B" w:rsidRDefault="00930C8B" w:rsidP="00930C8B">
      <w:pPr>
        <w:tabs>
          <w:tab w:val="left" w:pos="567"/>
          <w:tab w:val="left" w:pos="2128"/>
        </w:tabs>
        <w:contextualSpacing/>
        <w:jc w:val="both"/>
        <w:rPr>
          <w:rFonts w:ascii="Verdana" w:hAnsi="Verdana"/>
          <w:spacing w:val="-2"/>
          <w:sz w:val="20"/>
          <w:szCs w:val="20"/>
          <w:lang w:val="es-CR"/>
        </w:rPr>
      </w:pPr>
    </w:p>
    <w:p w14:paraId="0C704C1A" w14:textId="39D78369" w:rsidR="00930C8B" w:rsidRPr="00930C8B" w:rsidRDefault="00930C8B" w:rsidP="00930C8B">
      <w:pPr>
        <w:numPr>
          <w:ilvl w:val="0"/>
          <w:numId w:val="17"/>
        </w:numPr>
        <w:ind w:left="0" w:hanging="11"/>
        <w:contextualSpacing/>
        <w:jc w:val="both"/>
        <w:rPr>
          <w:rFonts w:ascii="Verdana" w:hAnsi="Verdana"/>
          <w:spacing w:val="-2"/>
          <w:sz w:val="20"/>
          <w:szCs w:val="20"/>
          <w:lang w:val="es-CR"/>
        </w:rPr>
      </w:pPr>
      <w:r w:rsidRPr="00930C8B">
        <w:rPr>
          <w:rFonts w:ascii="Verdana" w:hAnsi="Verdana"/>
          <w:spacing w:val="-2"/>
          <w:sz w:val="20"/>
          <w:szCs w:val="20"/>
          <w:lang w:val="es-CR"/>
        </w:rPr>
        <w:t>El Tribunal constata que más de tres años después de interpuestas ambas denuncias, el 3 y 4 de junio de 2013, se llevó a cabo la inspección a la zona por agentes de la DNIC, adscritos a la Fiscalía de Etnias en Tegucigalpa. Esta sería la única diligencia practicada en el marco de las investigaciones de ambos casos. Durante la inspección, los agentes se apersonaron a la Comunidad de Punta Piedra en donde tomaron la declaración de cuatro testigos</w:t>
      </w:r>
      <w:r w:rsidR="00D72A2C">
        <w:rPr>
          <w:rFonts w:ascii="Verdana" w:hAnsi="Verdana"/>
          <w:spacing w:val="-2"/>
          <w:sz w:val="20"/>
          <w:szCs w:val="20"/>
          <w:lang w:val="es-CR"/>
        </w:rPr>
        <w:t xml:space="preserve"> (</w:t>
      </w:r>
      <w:r w:rsidR="0086236B" w:rsidRPr="00A0324F">
        <w:rPr>
          <w:rFonts w:ascii="Verdana" w:hAnsi="Verdana"/>
          <w:i/>
          <w:spacing w:val="-2"/>
          <w:sz w:val="20"/>
          <w:szCs w:val="20"/>
          <w:lang w:val="es-CR"/>
        </w:rPr>
        <w:t>supra</w:t>
      </w:r>
      <w:r w:rsidR="00D72A2C">
        <w:rPr>
          <w:rFonts w:ascii="Verdana" w:hAnsi="Verdana"/>
          <w:spacing w:val="-2"/>
          <w:sz w:val="20"/>
          <w:szCs w:val="20"/>
          <w:lang w:val="es-CR"/>
        </w:rPr>
        <w:t xml:space="preserve"> párr. 1</w:t>
      </w:r>
      <w:r w:rsidR="009A4510">
        <w:rPr>
          <w:rFonts w:ascii="Verdana" w:hAnsi="Verdana"/>
          <w:spacing w:val="-2"/>
          <w:sz w:val="20"/>
          <w:szCs w:val="20"/>
          <w:lang w:val="es-CR"/>
        </w:rPr>
        <w:t>53</w:t>
      </w:r>
      <w:r w:rsidR="00D72A2C">
        <w:rPr>
          <w:rFonts w:ascii="Verdana" w:hAnsi="Verdana"/>
          <w:spacing w:val="-2"/>
          <w:sz w:val="20"/>
          <w:szCs w:val="20"/>
          <w:lang w:val="es-CR"/>
        </w:rPr>
        <w:t>)</w:t>
      </w:r>
      <w:r w:rsidRPr="00930C8B">
        <w:rPr>
          <w:rFonts w:ascii="Verdana" w:hAnsi="Verdana"/>
          <w:spacing w:val="-2"/>
          <w:sz w:val="20"/>
          <w:szCs w:val="20"/>
          <w:lang w:val="es-CR"/>
        </w:rPr>
        <w:t xml:space="preserve">, los que consistentemente declararon que </w:t>
      </w:r>
      <w:r w:rsidRPr="00930C8B">
        <w:rPr>
          <w:rFonts w:ascii="Verdana" w:hAnsi="Verdana"/>
          <w:sz w:val="20"/>
          <w:szCs w:val="20"/>
          <w:lang w:val="es-CR"/>
        </w:rPr>
        <w:t xml:space="preserve">parte del territorio de la comunidad estaba siendo ocupado por personas ajenas a esta desde 1993, es decir por habitantes de la zona de Río Miel. En particular, declararon que Alejandro, Efraín y </w:t>
      </w:r>
      <w:proofErr w:type="spellStart"/>
      <w:r w:rsidRPr="00930C8B">
        <w:rPr>
          <w:rFonts w:ascii="Verdana" w:hAnsi="Verdana"/>
          <w:sz w:val="20"/>
          <w:szCs w:val="20"/>
          <w:lang w:val="es-CR"/>
        </w:rPr>
        <w:t>Calín</w:t>
      </w:r>
      <w:proofErr w:type="spellEnd"/>
      <w:r w:rsidRPr="00930C8B">
        <w:rPr>
          <w:rFonts w:ascii="Verdana" w:hAnsi="Verdana"/>
          <w:sz w:val="20"/>
          <w:szCs w:val="20"/>
          <w:lang w:val="es-CR"/>
        </w:rPr>
        <w:t xml:space="preserve"> Ortiz, no sólo habían amenazado a diversos miembros de la Comunidad, sino también a Paulino Mejía, a efectos de que este abandonara sus tierras, las cuales colindaban con las ocupadas por aquellos, en el sector </w:t>
      </w:r>
      <w:r w:rsidR="00900241">
        <w:rPr>
          <w:rFonts w:ascii="Verdana" w:hAnsi="Verdana"/>
          <w:sz w:val="20"/>
          <w:szCs w:val="20"/>
          <w:lang w:val="es-CR"/>
        </w:rPr>
        <w:t>E</w:t>
      </w:r>
      <w:r w:rsidRPr="00930C8B">
        <w:rPr>
          <w:rFonts w:ascii="Verdana" w:hAnsi="Verdana"/>
          <w:sz w:val="20"/>
          <w:szCs w:val="20"/>
          <w:lang w:val="es-CR"/>
        </w:rPr>
        <w:t>l Castillo, en Punta Piedra. Las declaraciones señalaron que los ocupantes de Río Miel amenazaron de muerte a la comunidad</w:t>
      </w:r>
      <w:r w:rsidRPr="00930C8B">
        <w:rPr>
          <w:rFonts w:ascii="Verdana" w:hAnsi="Verdana"/>
          <w:sz w:val="20"/>
          <w:szCs w:val="20"/>
          <w:vertAlign w:val="superscript"/>
          <w:lang w:val="es-CR"/>
        </w:rPr>
        <w:footnoteReference w:id="323"/>
      </w:r>
      <w:r w:rsidRPr="00930C8B">
        <w:rPr>
          <w:rFonts w:ascii="Verdana" w:hAnsi="Verdana"/>
          <w:sz w:val="20"/>
          <w:szCs w:val="20"/>
          <w:lang w:val="es-CR"/>
        </w:rPr>
        <w:t xml:space="preserve"> mostrándoles sus escopetas, les dijeron que “ellos nunca se van a salir” y que “</w:t>
      </w:r>
      <w:r w:rsidR="00B94679">
        <w:rPr>
          <w:rFonts w:ascii="Verdana" w:hAnsi="Verdana"/>
          <w:sz w:val="20"/>
          <w:szCs w:val="20"/>
          <w:lang w:val="es-CR"/>
        </w:rPr>
        <w:t xml:space="preserve">si se salen de donde están </w:t>
      </w:r>
      <w:r w:rsidRPr="00930C8B">
        <w:rPr>
          <w:rFonts w:ascii="Verdana" w:hAnsi="Verdana"/>
          <w:sz w:val="20"/>
          <w:szCs w:val="20"/>
          <w:lang w:val="es-CR"/>
        </w:rPr>
        <w:t>van a matar</w:t>
      </w:r>
      <w:r w:rsidR="00B94679">
        <w:rPr>
          <w:rFonts w:ascii="Verdana" w:hAnsi="Verdana"/>
          <w:sz w:val="20"/>
          <w:szCs w:val="20"/>
          <w:lang w:val="es-CR"/>
        </w:rPr>
        <w:t xml:space="preserve"> a alguno de </w:t>
      </w:r>
      <w:r w:rsidR="00C639F3">
        <w:rPr>
          <w:rFonts w:ascii="Verdana" w:hAnsi="Verdana"/>
          <w:sz w:val="20"/>
          <w:szCs w:val="20"/>
          <w:lang w:val="es-CR"/>
        </w:rPr>
        <w:t>[ellos]</w:t>
      </w:r>
      <w:r w:rsidRPr="00930C8B">
        <w:rPr>
          <w:rFonts w:ascii="Verdana" w:hAnsi="Verdana"/>
          <w:sz w:val="20"/>
          <w:szCs w:val="20"/>
          <w:lang w:val="es-CR"/>
        </w:rPr>
        <w:t>”</w:t>
      </w:r>
      <w:r w:rsidRPr="00930C8B">
        <w:rPr>
          <w:rFonts w:ascii="Verdana" w:hAnsi="Verdana"/>
          <w:sz w:val="20"/>
          <w:szCs w:val="20"/>
          <w:vertAlign w:val="superscript"/>
          <w:lang w:val="es-CR"/>
        </w:rPr>
        <w:footnoteReference w:id="324"/>
      </w:r>
      <w:r w:rsidRPr="00930C8B">
        <w:rPr>
          <w:rFonts w:ascii="Verdana" w:hAnsi="Verdana"/>
          <w:sz w:val="20"/>
          <w:szCs w:val="20"/>
          <w:lang w:val="es-CR"/>
        </w:rPr>
        <w:t>.</w:t>
      </w:r>
    </w:p>
    <w:p w14:paraId="0C704C1B" w14:textId="77777777" w:rsidR="00930C8B" w:rsidRPr="00930C8B" w:rsidRDefault="00930C8B" w:rsidP="00930C8B">
      <w:pPr>
        <w:tabs>
          <w:tab w:val="left" w:pos="567"/>
          <w:tab w:val="left" w:pos="2128"/>
        </w:tabs>
        <w:contextualSpacing/>
        <w:jc w:val="both"/>
        <w:rPr>
          <w:rFonts w:ascii="Verdana" w:hAnsi="Verdana"/>
          <w:spacing w:val="-2"/>
          <w:sz w:val="20"/>
          <w:szCs w:val="20"/>
          <w:lang w:val="es-CR"/>
        </w:rPr>
      </w:pPr>
    </w:p>
    <w:p w14:paraId="0C704C1C" w14:textId="5B64E43A" w:rsidR="00930C8B"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pacing w:val="-2"/>
          <w:sz w:val="20"/>
          <w:szCs w:val="20"/>
          <w:lang w:val="es-CR"/>
        </w:rPr>
        <w:t xml:space="preserve">Los agentes de la DNIC sólo pudieron recabar la declaración de los cuatro testigos debido a que </w:t>
      </w:r>
      <w:r w:rsidRPr="00930C8B">
        <w:rPr>
          <w:rFonts w:ascii="Verdana" w:hAnsi="Verdana"/>
          <w:sz w:val="20"/>
          <w:szCs w:val="20"/>
          <w:lang w:val="es-CR"/>
        </w:rPr>
        <w:t>por falta de combustible,</w:t>
      </w:r>
      <w:r w:rsidRPr="00930C8B">
        <w:rPr>
          <w:rFonts w:ascii="Verdana" w:hAnsi="Verdana"/>
          <w:spacing w:val="-2"/>
          <w:sz w:val="20"/>
          <w:szCs w:val="20"/>
          <w:lang w:val="es-CR"/>
        </w:rPr>
        <w:t xml:space="preserve"> </w:t>
      </w:r>
      <w:r w:rsidRPr="00930C8B">
        <w:rPr>
          <w:rFonts w:ascii="Verdana" w:hAnsi="Verdana"/>
          <w:sz w:val="20"/>
          <w:szCs w:val="20"/>
          <w:lang w:val="es-CR"/>
        </w:rPr>
        <w:t>no pudieron regresar a la zona de Punta Piedra para terminar con las diligencias planeadas, es decir que no se logró recabar la declaración de Paulino Mejía, no se realizó la inspección de la zona presuntamente usurpada por la familia Ortiz, ni se identificó plenamente a las personas denunciadas (</w:t>
      </w:r>
      <w:r w:rsidRPr="00930C8B">
        <w:rPr>
          <w:rFonts w:ascii="Verdana" w:hAnsi="Verdana"/>
          <w:i/>
          <w:sz w:val="20"/>
          <w:szCs w:val="20"/>
          <w:lang w:val="es-CR"/>
        </w:rPr>
        <w:t xml:space="preserve">supra </w:t>
      </w:r>
      <w:r w:rsidRPr="00930C8B">
        <w:rPr>
          <w:rFonts w:ascii="Verdana" w:hAnsi="Verdana"/>
          <w:sz w:val="20"/>
          <w:szCs w:val="20"/>
          <w:lang w:val="es-CR"/>
        </w:rPr>
        <w:t xml:space="preserve">párr. </w:t>
      </w:r>
      <w:r w:rsidR="003E127C">
        <w:rPr>
          <w:rFonts w:ascii="Verdana" w:hAnsi="Verdana"/>
          <w:sz w:val="20"/>
          <w:szCs w:val="20"/>
          <w:lang w:val="es-CR"/>
        </w:rPr>
        <w:t>15</w:t>
      </w:r>
      <w:r w:rsidR="009A4510">
        <w:rPr>
          <w:rFonts w:ascii="Verdana" w:hAnsi="Verdana"/>
          <w:sz w:val="20"/>
          <w:szCs w:val="20"/>
          <w:lang w:val="es-CR"/>
        </w:rPr>
        <w:t>4</w:t>
      </w:r>
      <w:r w:rsidRPr="00930C8B">
        <w:rPr>
          <w:rFonts w:ascii="Verdana" w:hAnsi="Verdana"/>
          <w:sz w:val="20"/>
          <w:szCs w:val="20"/>
          <w:lang w:val="es-CR"/>
        </w:rPr>
        <w:t xml:space="preserve">). Incluso, dichos agentes dejaron constancia que ni las oficinas de la DNIC en la ciudad de Trujillo, ni las del Ministerio Público de Trujillo, conocían, registraban o habían realizado diligencias en relación con las denuncias de usurpación y amenazas. A la fecha, la Corte comprueba que no se ha practicado ninguna diligencia relevante con posterioridad al mes de junio de 2013, habiendo transcurrido casi cinco años desde los hechos, en contravención </w:t>
      </w:r>
      <w:r w:rsidR="00C639F3">
        <w:rPr>
          <w:rFonts w:ascii="Verdana" w:hAnsi="Verdana"/>
          <w:sz w:val="20"/>
          <w:szCs w:val="20"/>
          <w:lang w:val="es-CR"/>
        </w:rPr>
        <w:t>con</w:t>
      </w:r>
      <w:r w:rsidRPr="00930C8B">
        <w:rPr>
          <w:rFonts w:ascii="Verdana" w:hAnsi="Verdana"/>
          <w:sz w:val="20"/>
          <w:szCs w:val="20"/>
          <w:lang w:val="es-CR"/>
        </w:rPr>
        <w:t xml:space="preserve"> los principios de </w:t>
      </w:r>
      <w:r w:rsidRPr="00930C8B">
        <w:rPr>
          <w:rFonts w:ascii="Verdana" w:hAnsi="Verdana"/>
          <w:sz w:val="20"/>
          <w:szCs w:val="20"/>
          <w:lang w:val="es-ES"/>
        </w:rPr>
        <w:t>la debida diligencia y del plazo razonable</w:t>
      </w:r>
      <w:r w:rsidRPr="00930C8B">
        <w:rPr>
          <w:rFonts w:ascii="Verdana" w:hAnsi="Verdana"/>
          <w:sz w:val="20"/>
          <w:szCs w:val="20"/>
          <w:vertAlign w:val="superscript"/>
          <w:lang w:val="es-ES"/>
        </w:rPr>
        <w:footnoteReference w:id="325"/>
      </w:r>
      <w:r w:rsidRPr="00930C8B">
        <w:rPr>
          <w:rFonts w:ascii="Verdana" w:hAnsi="Verdana"/>
          <w:sz w:val="20"/>
          <w:szCs w:val="20"/>
          <w:lang w:val="es-ES"/>
        </w:rPr>
        <w:t>.</w:t>
      </w:r>
      <w:r w:rsidRPr="00930C8B">
        <w:rPr>
          <w:rFonts w:ascii="Verdana" w:hAnsi="Verdana"/>
          <w:sz w:val="20"/>
          <w:szCs w:val="20"/>
          <w:lang w:val="es-CR"/>
        </w:rPr>
        <w:t xml:space="preserve"> </w:t>
      </w:r>
    </w:p>
    <w:p w14:paraId="0C704C1D" w14:textId="77777777" w:rsidR="00930C8B" w:rsidRPr="00930C8B" w:rsidRDefault="00930C8B" w:rsidP="00930C8B">
      <w:pPr>
        <w:contextualSpacing/>
        <w:jc w:val="both"/>
        <w:rPr>
          <w:rFonts w:ascii="Verdana" w:hAnsi="Verdana"/>
          <w:sz w:val="20"/>
          <w:szCs w:val="20"/>
          <w:lang w:val="es-CR"/>
        </w:rPr>
      </w:pPr>
    </w:p>
    <w:p w14:paraId="0C704C1E" w14:textId="0DCF6BEE" w:rsidR="00930C8B"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z w:val="20"/>
          <w:szCs w:val="20"/>
          <w:lang w:val="es-CR"/>
        </w:rPr>
        <w:t xml:space="preserve">Asimismo, el Tribunal nota que, a pesar de la existencia de declaraciones de miembros de la comunidad reportando la existencia de amenazas, incluso de muerte, en contra de ellos, el Estado no llevó a cabo diligencias adicionales para el esclarecimiento de los hechos. En este sentido, el Tribunal recuerda que </w:t>
      </w:r>
      <w:r w:rsidRPr="00930C8B">
        <w:rPr>
          <w:rFonts w:ascii="Verdana" w:hAnsi="Verdana"/>
          <w:spacing w:val="-2"/>
          <w:sz w:val="20"/>
          <w:szCs w:val="20"/>
          <w:lang w:val="es-CR"/>
        </w:rPr>
        <w:t xml:space="preserve">la obligación del Estado de investigar debe cumplirse diligentemente para evitar la impunidad y que </w:t>
      </w:r>
      <w:r w:rsidRPr="00930C8B">
        <w:rPr>
          <w:rFonts w:ascii="Verdana" w:hAnsi="Verdana"/>
          <w:spacing w:val="-2"/>
          <w:sz w:val="20"/>
          <w:szCs w:val="20"/>
          <w:lang w:val="es-CR"/>
        </w:rPr>
        <w:lastRenderedPageBreak/>
        <w:t>este tipo de hechos vuelvan a repetirse</w:t>
      </w:r>
      <w:r w:rsidRPr="00930C8B">
        <w:rPr>
          <w:rFonts w:ascii="Verdana" w:hAnsi="Verdana"/>
          <w:spacing w:val="-2"/>
          <w:sz w:val="20"/>
          <w:szCs w:val="20"/>
          <w:vertAlign w:val="superscript"/>
          <w:lang w:val="es-CR"/>
        </w:rPr>
        <w:footnoteReference w:id="326"/>
      </w:r>
      <w:r w:rsidRPr="00930C8B">
        <w:rPr>
          <w:rFonts w:ascii="Verdana" w:hAnsi="Verdana"/>
          <w:spacing w:val="-2"/>
          <w:sz w:val="20"/>
          <w:szCs w:val="20"/>
          <w:lang w:val="es-CR"/>
        </w:rPr>
        <w:t>. Por ello, ante la existencia de amenazas presuntamente proferidas hasta la actualidad</w:t>
      </w:r>
      <w:r w:rsidR="0022740C">
        <w:rPr>
          <w:rFonts w:ascii="Verdana" w:hAnsi="Verdana"/>
          <w:spacing w:val="-2"/>
          <w:sz w:val="20"/>
          <w:szCs w:val="20"/>
          <w:lang w:val="es-CR"/>
        </w:rPr>
        <w:t xml:space="preserve">, </w:t>
      </w:r>
      <w:r w:rsidRPr="00930C8B">
        <w:rPr>
          <w:rFonts w:ascii="Verdana" w:hAnsi="Verdana"/>
          <w:spacing w:val="-2"/>
          <w:sz w:val="20"/>
          <w:szCs w:val="20"/>
          <w:lang w:val="es-CR"/>
        </w:rPr>
        <w:t xml:space="preserve">la Corte le recuerda al Estado las </w:t>
      </w:r>
      <w:r w:rsidRPr="00930C8B">
        <w:rPr>
          <w:rFonts w:ascii="Verdana" w:hAnsi="Verdana"/>
          <w:sz w:val="20"/>
          <w:szCs w:val="20"/>
          <w:lang w:val="es-CR"/>
        </w:rPr>
        <w:t>obligaciones generales que le corresponden bajo el artículo 1.1 de la Convención</w:t>
      </w:r>
      <w:r w:rsidRPr="00930C8B">
        <w:rPr>
          <w:rFonts w:ascii="Verdana" w:hAnsi="Verdana"/>
          <w:sz w:val="20"/>
          <w:szCs w:val="20"/>
          <w:vertAlign w:val="superscript"/>
        </w:rPr>
        <w:footnoteReference w:id="327"/>
      </w:r>
      <w:r w:rsidRPr="00930C8B">
        <w:rPr>
          <w:rFonts w:ascii="Verdana" w:hAnsi="Verdana"/>
          <w:sz w:val="20"/>
          <w:szCs w:val="20"/>
        </w:rPr>
        <w:t xml:space="preserve">, y la especial </w:t>
      </w:r>
      <w:r w:rsidRPr="00930C8B">
        <w:rPr>
          <w:rFonts w:ascii="Verdana" w:hAnsi="Verdana"/>
          <w:sz w:val="20"/>
          <w:szCs w:val="20"/>
          <w:lang w:val="es-ES"/>
        </w:rPr>
        <w:t>obligación de garantizar los derechos de las personas en situación de riesgo</w:t>
      </w:r>
      <w:r w:rsidRPr="00930C8B">
        <w:rPr>
          <w:rFonts w:ascii="Verdana" w:eastAsia="Times" w:hAnsi="Verdana"/>
          <w:sz w:val="20"/>
          <w:szCs w:val="20"/>
          <w:vertAlign w:val="superscript"/>
        </w:rPr>
        <w:footnoteReference w:id="328"/>
      </w:r>
      <w:r w:rsidR="0022740C">
        <w:rPr>
          <w:rFonts w:ascii="Verdana" w:hAnsi="Verdana"/>
          <w:sz w:val="20"/>
          <w:szCs w:val="20"/>
        </w:rPr>
        <w:t xml:space="preserve"> </w:t>
      </w:r>
      <w:r w:rsidR="0022740C" w:rsidRPr="00930C8B">
        <w:rPr>
          <w:rFonts w:ascii="Verdana" w:hAnsi="Verdana"/>
          <w:spacing w:val="-2"/>
          <w:sz w:val="20"/>
          <w:szCs w:val="20"/>
          <w:lang w:val="es-CR"/>
        </w:rPr>
        <w:t>(</w:t>
      </w:r>
      <w:r w:rsidR="0022740C" w:rsidRPr="00930C8B">
        <w:rPr>
          <w:rFonts w:ascii="Verdana" w:hAnsi="Verdana"/>
          <w:i/>
          <w:spacing w:val="-2"/>
          <w:sz w:val="20"/>
          <w:szCs w:val="20"/>
          <w:lang w:val="es-CR"/>
        </w:rPr>
        <w:t>supra</w:t>
      </w:r>
      <w:r w:rsidR="0022740C" w:rsidRPr="00930C8B">
        <w:rPr>
          <w:rFonts w:ascii="Verdana" w:hAnsi="Verdana"/>
          <w:spacing w:val="-2"/>
          <w:sz w:val="20"/>
          <w:szCs w:val="20"/>
          <w:lang w:val="es-CR"/>
        </w:rPr>
        <w:t xml:space="preserve"> párr. </w:t>
      </w:r>
      <w:r w:rsidR="0022740C">
        <w:rPr>
          <w:rFonts w:ascii="Verdana" w:hAnsi="Verdana"/>
          <w:spacing w:val="-2"/>
          <w:sz w:val="20"/>
          <w:szCs w:val="20"/>
          <w:lang w:val="es-CR"/>
        </w:rPr>
        <w:t>280).</w:t>
      </w:r>
      <w:r w:rsidRPr="00930C8B">
        <w:rPr>
          <w:rFonts w:ascii="Verdana" w:hAnsi="Verdana"/>
          <w:lang w:val="es-CR" w:eastAsia="es-CR"/>
        </w:rPr>
        <w:t xml:space="preserve"> </w:t>
      </w:r>
    </w:p>
    <w:p w14:paraId="0C704C1F" w14:textId="77777777" w:rsidR="00930C8B" w:rsidRPr="00930C8B" w:rsidRDefault="00930C8B" w:rsidP="00930C8B">
      <w:pPr>
        <w:ind w:left="720"/>
        <w:contextualSpacing/>
        <w:rPr>
          <w:rFonts w:ascii="Verdana" w:hAnsi="Verdana"/>
          <w:sz w:val="20"/>
          <w:szCs w:val="20"/>
          <w:lang w:val="es-CR"/>
        </w:rPr>
      </w:pPr>
    </w:p>
    <w:p w14:paraId="0C704C20" w14:textId="696C40AE" w:rsidR="00930C8B" w:rsidRPr="00A0324F"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z w:val="20"/>
          <w:szCs w:val="20"/>
          <w:lang w:val="es-CR"/>
        </w:rPr>
        <w:t>Con base en lo señalado, l</w:t>
      </w:r>
      <w:r w:rsidRPr="00930C8B">
        <w:rPr>
          <w:rFonts w:ascii="Verdana" w:hAnsi="Verdana"/>
          <w:sz w:val="20"/>
          <w:szCs w:val="20"/>
        </w:rPr>
        <w:t>a Corte concluye que el Estado actuó vulnerando el principio de la debida diligencia, al no haber practicado diligencias relevantes para el esclarecimiento de los hechos y la determinación de las responsabilidades correspondientes. Asimismo, el Estado vulneró el principio del plazo razonable, con motivo de que a más de cinco años de la presentación de las denuncias anteriormente mencionadas, el Estado no ha concluido las investigaciones ni los procedimientos iniciados por la Comunidad de Punta Piedra</w:t>
      </w:r>
      <w:r w:rsidR="00983225">
        <w:rPr>
          <w:rFonts w:ascii="Verdana" w:hAnsi="Verdana"/>
          <w:sz w:val="20"/>
          <w:szCs w:val="20"/>
        </w:rPr>
        <w:t>.</w:t>
      </w:r>
    </w:p>
    <w:p w14:paraId="0C704C21" w14:textId="77777777" w:rsidR="006A0E8F" w:rsidRDefault="006A0E8F" w:rsidP="00A0324F">
      <w:pPr>
        <w:contextualSpacing/>
        <w:jc w:val="both"/>
        <w:rPr>
          <w:rFonts w:ascii="Verdana" w:hAnsi="Verdana"/>
          <w:sz w:val="20"/>
          <w:szCs w:val="20"/>
          <w:lang w:val="es-CR"/>
        </w:rPr>
      </w:pPr>
    </w:p>
    <w:p w14:paraId="0C704C23" w14:textId="77777777" w:rsidR="00930C8B" w:rsidRPr="00930C8B" w:rsidRDefault="00930C8B" w:rsidP="00930C8B">
      <w:pPr>
        <w:keepNext/>
        <w:keepLines/>
        <w:ind w:left="2126"/>
        <w:jc w:val="both"/>
        <w:outlineLvl w:val="4"/>
        <w:rPr>
          <w:rFonts w:ascii="Verdana" w:eastAsiaTheme="majorEastAsia" w:hAnsi="Verdana" w:cstheme="majorBidi"/>
          <w:i/>
          <w:sz w:val="20"/>
          <w:szCs w:val="20"/>
          <w:lang w:val="es-PE"/>
        </w:rPr>
      </w:pPr>
      <w:bookmarkStart w:id="115" w:name="_Toc437247377"/>
      <w:r w:rsidRPr="00930C8B">
        <w:rPr>
          <w:rFonts w:ascii="Verdana" w:eastAsiaTheme="majorEastAsia" w:hAnsi="Verdana" w:cstheme="majorBidi"/>
          <w:i/>
          <w:sz w:val="20"/>
          <w:szCs w:val="20"/>
          <w:lang w:val="es-PE"/>
        </w:rPr>
        <w:t>B.2.2.2 Denuncia por abuso de autoridad en perjuicio de los miembros de la Comunidad Garífuna de Punta Piedra</w:t>
      </w:r>
      <w:bookmarkEnd w:id="115"/>
    </w:p>
    <w:p w14:paraId="0C704C24" w14:textId="77777777" w:rsidR="00930C8B" w:rsidRPr="00930C8B" w:rsidRDefault="00930C8B" w:rsidP="00930C8B">
      <w:pPr>
        <w:rPr>
          <w:lang w:val="es-PE"/>
        </w:rPr>
      </w:pPr>
    </w:p>
    <w:p w14:paraId="0C704C25" w14:textId="139D9681" w:rsidR="00930C8B"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eastAsia="Times New Roman" w:hAnsi="Verdana"/>
          <w:spacing w:val="-2"/>
          <w:sz w:val="20"/>
          <w:szCs w:val="20"/>
          <w:lang w:val="es-CR" w:eastAsia="es-ES"/>
        </w:rPr>
        <w:t>Respecto de la denuncia por abuso de autoridad</w:t>
      </w:r>
      <w:r w:rsidRPr="00930C8B">
        <w:rPr>
          <w:rFonts w:ascii="Verdana" w:eastAsia="Times New Roman" w:hAnsi="Verdana"/>
          <w:spacing w:val="-2"/>
          <w:sz w:val="20"/>
          <w:szCs w:val="20"/>
          <w:vertAlign w:val="superscript"/>
          <w:lang w:val="es-CR" w:eastAsia="es-ES"/>
        </w:rPr>
        <w:footnoteReference w:id="329"/>
      </w:r>
      <w:r w:rsidRPr="00930C8B">
        <w:rPr>
          <w:rFonts w:ascii="Verdana" w:eastAsia="Times New Roman" w:hAnsi="Verdana"/>
          <w:spacing w:val="-2"/>
          <w:sz w:val="20"/>
          <w:szCs w:val="20"/>
          <w:lang w:val="es-CR" w:eastAsia="es-ES"/>
        </w:rPr>
        <w:t xml:space="preserve"> en relación con la construcción de una brecha de carretera sin la consulta previa respectiva, el Tribunal nota que si bien el 3 de noviembre del mismo año la Fiscalía de Etnias dictó un auto de requerimiento policial ordenando una serie de diligencias, entre ellas, la inspección de los terrenos en donde se habría construido la brecha de carretera, ninguna de ellas fue realizada por “falta de viáticos”. No fue hasta inicios de junio de 2013, es decir</w:t>
      </w:r>
      <w:r w:rsidR="00B94679">
        <w:rPr>
          <w:rFonts w:ascii="Verdana" w:eastAsia="Times New Roman" w:hAnsi="Verdana"/>
          <w:spacing w:val="-2"/>
          <w:sz w:val="20"/>
          <w:szCs w:val="20"/>
          <w:lang w:val="es-CR" w:eastAsia="es-ES"/>
        </w:rPr>
        <w:t>,</w:t>
      </w:r>
      <w:r w:rsidRPr="00930C8B">
        <w:rPr>
          <w:rFonts w:ascii="Verdana" w:eastAsia="Times New Roman" w:hAnsi="Verdana"/>
          <w:spacing w:val="-2"/>
          <w:sz w:val="20"/>
          <w:szCs w:val="20"/>
          <w:lang w:val="es-CR" w:eastAsia="es-ES"/>
        </w:rPr>
        <w:t xml:space="preserve"> más de dos años después de la denuncia, que se realizó la inspección de la zona y se tomaron fotografías. La misma </w:t>
      </w:r>
      <w:r w:rsidRPr="00930C8B">
        <w:rPr>
          <w:rFonts w:ascii="Verdana" w:hAnsi="Verdana"/>
          <w:sz w:val="20"/>
          <w:szCs w:val="20"/>
          <w:lang w:val="es-CR"/>
        </w:rPr>
        <w:t xml:space="preserve">confirmó la existencia de una apertura de carretera frente a un lugar denominado “Pulpería y Hospedaje La </w:t>
      </w:r>
      <w:r w:rsidR="00B94679">
        <w:rPr>
          <w:rFonts w:ascii="Verdana" w:hAnsi="Verdana"/>
          <w:sz w:val="20"/>
          <w:szCs w:val="20"/>
          <w:lang w:val="es-CR"/>
        </w:rPr>
        <w:t>Ú</w:t>
      </w:r>
      <w:r w:rsidRPr="00930C8B">
        <w:rPr>
          <w:rFonts w:ascii="Verdana" w:hAnsi="Verdana"/>
          <w:sz w:val="20"/>
          <w:szCs w:val="20"/>
          <w:lang w:val="es-CR"/>
        </w:rPr>
        <w:t>ni</w:t>
      </w:r>
      <w:r w:rsidR="00B94679">
        <w:rPr>
          <w:rFonts w:ascii="Verdana" w:hAnsi="Verdana"/>
          <w:sz w:val="20"/>
          <w:szCs w:val="20"/>
          <w:lang w:val="es-CR"/>
        </w:rPr>
        <w:t>c</w:t>
      </w:r>
      <w:r w:rsidRPr="00930C8B">
        <w:rPr>
          <w:rFonts w:ascii="Verdana" w:hAnsi="Verdana"/>
          <w:sz w:val="20"/>
          <w:szCs w:val="20"/>
          <w:lang w:val="es-CR"/>
        </w:rPr>
        <w:t xml:space="preserve">a”, en el territorio de la Comunidad de Punta Piedra. Sin embargo, tanto el Director General de Carreteras como el Vice-Alcalde del Municipio de </w:t>
      </w:r>
      <w:proofErr w:type="spellStart"/>
      <w:r w:rsidRPr="00930C8B">
        <w:rPr>
          <w:rFonts w:ascii="Verdana" w:hAnsi="Verdana"/>
          <w:sz w:val="20"/>
          <w:szCs w:val="20"/>
          <w:lang w:val="es-CR"/>
        </w:rPr>
        <w:t>Iriona</w:t>
      </w:r>
      <w:proofErr w:type="spellEnd"/>
      <w:r w:rsidRPr="00930C8B">
        <w:rPr>
          <w:rFonts w:ascii="Verdana" w:hAnsi="Verdana"/>
          <w:sz w:val="20"/>
          <w:szCs w:val="20"/>
          <w:lang w:val="es-CR"/>
        </w:rPr>
        <w:t>, informaron a la Fiscalía de Etnias que dichas instituciones no habían autorizado la construcción de ninguna carretera en la zona (</w:t>
      </w:r>
      <w:r w:rsidRPr="00930C8B">
        <w:rPr>
          <w:rFonts w:ascii="Verdana" w:hAnsi="Verdana"/>
          <w:i/>
          <w:sz w:val="20"/>
          <w:szCs w:val="20"/>
          <w:lang w:val="es-CR"/>
        </w:rPr>
        <w:t>supra</w:t>
      </w:r>
      <w:r w:rsidRPr="00930C8B">
        <w:rPr>
          <w:rFonts w:ascii="Verdana" w:hAnsi="Verdana"/>
          <w:sz w:val="20"/>
          <w:szCs w:val="20"/>
          <w:lang w:val="es-CR"/>
        </w:rPr>
        <w:t xml:space="preserve"> párr. </w:t>
      </w:r>
      <w:r w:rsidR="002C1972">
        <w:rPr>
          <w:rFonts w:ascii="Verdana" w:hAnsi="Verdana"/>
          <w:sz w:val="20"/>
          <w:szCs w:val="20"/>
          <w:lang w:val="es-CR"/>
        </w:rPr>
        <w:t>156</w:t>
      </w:r>
      <w:r w:rsidRPr="00930C8B">
        <w:rPr>
          <w:rFonts w:ascii="Verdana" w:hAnsi="Verdana"/>
          <w:sz w:val="20"/>
          <w:szCs w:val="20"/>
          <w:lang w:val="es-CR"/>
        </w:rPr>
        <w:t xml:space="preserve">). </w:t>
      </w:r>
    </w:p>
    <w:p w14:paraId="0C704C26" w14:textId="77777777" w:rsidR="00930C8B" w:rsidRPr="00930C8B" w:rsidRDefault="00930C8B" w:rsidP="00930C8B">
      <w:pPr>
        <w:ind w:left="720"/>
        <w:contextualSpacing/>
        <w:rPr>
          <w:rFonts w:ascii="Verdana" w:hAnsi="Verdana"/>
          <w:sz w:val="20"/>
          <w:szCs w:val="20"/>
          <w:lang w:val="es-CR"/>
        </w:rPr>
      </w:pPr>
    </w:p>
    <w:p w14:paraId="0C704C27" w14:textId="4EB0FFE3" w:rsidR="00930C8B"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z w:val="20"/>
          <w:szCs w:val="20"/>
          <w:lang w:val="es-CR"/>
        </w:rPr>
        <w:t xml:space="preserve">La Corte corrobora que, conforme al Memorándum No. FEEPC-108-2014 aportado por el Estado a esta Corte, la Fiscalía de Etnias señaló que ninguna autoridad pública había autorizado la construcción de dicha carretera y que conforme a las investigaciones realizadas por los analistas de investigación, no se </w:t>
      </w:r>
      <w:proofErr w:type="spellStart"/>
      <w:r w:rsidRPr="00930C8B">
        <w:rPr>
          <w:rFonts w:ascii="Verdana" w:hAnsi="Verdana"/>
          <w:sz w:val="20"/>
          <w:szCs w:val="20"/>
          <w:lang w:val="es-CR"/>
        </w:rPr>
        <w:t>configur</w:t>
      </w:r>
      <w:proofErr w:type="spellEnd"/>
      <w:r w:rsidRPr="00930C8B">
        <w:rPr>
          <w:rFonts w:ascii="Verdana" w:hAnsi="Verdana"/>
          <w:sz w:val="20"/>
          <w:szCs w:val="20"/>
          <w:lang w:val="es-CR"/>
        </w:rPr>
        <w:t>[</w:t>
      </w:r>
      <w:proofErr w:type="spellStart"/>
      <w:r w:rsidRPr="00930C8B">
        <w:rPr>
          <w:rFonts w:ascii="Verdana" w:hAnsi="Verdana"/>
          <w:sz w:val="20"/>
          <w:szCs w:val="20"/>
          <w:lang w:val="es-CR"/>
        </w:rPr>
        <w:t>ó</w:t>
      </w:r>
      <w:proofErr w:type="spellEnd"/>
      <w:r w:rsidRPr="00930C8B">
        <w:rPr>
          <w:rFonts w:ascii="Verdana" w:hAnsi="Verdana"/>
          <w:sz w:val="20"/>
          <w:szCs w:val="20"/>
          <w:lang w:val="es-CR"/>
        </w:rPr>
        <w:t xml:space="preserve">] la </w:t>
      </w:r>
      <w:r w:rsidRPr="00930C8B">
        <w:rPr>
          <w:rFonts w:ascii="Verdana" w:hAnsi="Verdana"/>
          <w:sz w:val="20"/>
          <w:szCs w:val="20"/>
          <w:lang w:val="es-CR"/>
        </w:rPr>
        <w:lastRenderedPageBreak/>
        <w:t>comisión del delito de Abuso de Autoridad […]”</w:t>
      </w:r>
      <w:r w:rsidRPr="00930C8B">
        <w:rPr>
          <w:rFonts w:ascii="Verdana" w:hAnsi="Verdana"/>
          <w:sz w:val="20"/>
          <w:szCs w:val="20"/>
          <w:vertAlign w:val="superscript"/>
          <w:lang w:val="es-CR"/>
        </w:rPr>
        <w:footnoteReference w:id="330"/>
      </w:r>
      <w:r w:rsidRPr="00930C8B">
        <w:rPr>
          <w:rFonts w:ascii="Verdana" w:hAnsi="Verdana"/>
          <w:sz w:val="20"/>
          <w:szCs w:val="20"/>
          <w:lang w:val="es-CR"/>
        </w:rPr>
        <w:t xml:space="preserve">. Con base en la prueba obrante en el expediente, </w:t>
      </w:r>
      <w:r w:rsidR="004D62BB" w:rsidRPr="00930C8B">
        <w:rPr>
          <w:rFonts w:ascii="Verdana" w:hAnsi="Verdana"/>
          <w:sz w:val="20"/>
          <w:szCs w:val="20"/>
          <w:lang w:val="es-CR"/>
        </w:rPr>
        <w:t xml:space="preserve">la Corte constató que ni los hallazgos derivados de la inspección de la zona ni la conclusión respecto a la no configuración de la comisión del delito de </w:t>
      </w:r>
      <w:r w:rsidR="004D62BB">
        <w:rPr>
          <w:rFonts w:ascii="Verdana" w:hAnsi="Verdana"/>
          <w:sz w:val="20"/>
          <w:szCs w:val="20"/>
          <w:lang w:val="es-CR"/>
        </w:rPr>
        <w:t>a</w:t>
      </w:r>
      <w:r w:rsidR="004D62BB" w:rsidRPr="00930C8B">
        <w:rPr>
          <w:rFonts w:ascii="Verdana" w:hAnsi="Verdana"/>
          <w:sz w:val="20"/>
          <w:szCs w:val="20"/>
          <w:lang w:val="es-CR"/>
        </w:rPr>
        <w:t xml:space="preserve">buso de </w:t>
      </w:r>
      <w:r w:rsidR="004D62BB">
        <w:rPr>
          <w:rFonts w:ascii="Verdana" w:hAnsi="Verdana"/>
          <w:sz w:val="20"/>
          <w:szCs w:val="20"/>
          <w:lang w:val="es-CR"/>
        </w:rPr>
        <w:t>a</w:t>
      </w:r>
      <w:r w:rsidR="004D62BB" w:rsidRPr="00930C8B">
        <w:rPr>
          <w:rFonts w:ascii="Verdana" w:hAnsi="Verdana"/>
          <w:sz w:val="20"/>
          <w:szCs w:val="20"/>
          <w:lang w:val="es-CR"/>
        </w:rPr>
        <w:t>utoridad fueron puestos en conocimiento de los denunciantes, por lo que la decisión sobre dicha denuncia nunca les fue notificada, lo que pudo haber impedido que estos hicieran uso de los recursos disponibles a efectos de recurrir dicha decisión.</w:t>
      </w:r>
    </w:p>
    <w:p w14:paraId="0C704C28" w14:textId="77777777" w:rsidR="00930C8B" w:rsidRPr="00A0324F" w:rsidRDefault="00930C8B" w:rsidP="00930C8B">
      <w:pPr>
        <w:tabs>
          <w:tab w:val="left" w:pos="567"/>
        </w:tabs>
        <w:contextualSpacing/>
        <w:jc w:val="both"/>
        <w:rPr>
          <w:rFonts w:ascii="Verdana" w:hAnsi="Verdana"/>
          <w:sz w:val="20"/>
          <w:szCs w:val="20"/>
          <w:lang w:val="es-CR"/>
        </w:rPr>
      </w:pPr>
    </w:p>
    <w:p w14:paraId="0C704C29" w14:textId="77777777" w:rsidR="00930C8B"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z w:val="20"/>
          <w:szCs w:val="20"/>
        </w:rPr>
        <w:t xml:space="preserve">El Tribunal considera que la falta de la notificación de la decisión derivada de la denuncia interpuesta por la presunta comisión del delito de abuso de autoridad, así como la demora en el inicio de las investigaciones, vulneraron el derecho al acceso a la justicia y el principio del plazo razonable, con motivo de que a más de cuatro años de la presentación de la denuncia, el Estado no ha notificado la terminación del procedimiento a la Comunidad de Punta Piedra o a sus representantes. </w:t>
      </w:r>
    </w:p>
    <w:p w14:paraId="0C704C2A" w14:textId="77777777" w:rsidR="00930C8B" w:rsidRDefault="00930C8B" w:rsidP="00930C8B">
      <w:pPr>
        <w:pStyle w:val="ListParagraph"/>
        <w:rPr>
          <w:rFonts w:ascii="Verdana" w:hAnsi="Verdana"/>
          <w:sz w:val="20"/>
          <w:szCs w:val="20"/>
        </w:rPr>
      </w:pPr>
    </w:p>
    <w:p w14:paraId="0C704C2B" w14:textId="77777777" w:rsidR="00D22B93" w:rsidRPr="00930C8B" w:rsidRDefault="00930C8B" w:rsidP="00930C8B">
      <w:pPr>
        <w:numPr>
          <w:ilvl w:val="0"/>
          <w:numId w:val="17"/>
        </w:numPr>
        <w:ind w:left="0" w:hanging="11"/>
        <w:contextualSpacing/>
        <w:jc w:val="both"/>
        <w:rPr>
          <w:rFonts w:ascii="Verdana" w:hAnsi="Verdana"/>
          <w:sz w:val="20"/>
          <w:szCs w:val="20"/>
          <w:lang w:val="es-CR"/>
        </w:rPr>
      </w:pPr>
      <w:r w:rsidRPr="00930C8B">
        <w:rPr>
          <w:rFonts w:ascii="Verdana" w:hAnsi="Verdana"/>
          <w:sz w:val="20"/>
          <w:szCs w:val="20"/>
        </w:rPr>
        <w:t xml:space="preserve">En vista de todo lo señalado anteriormente, el Tribunal </w:t>
      </w:r>
      <w:r w:rsidRPr="00930C8B">
        <w:rPr>
          <w:rFonts w:ascii="Verdana" w:hAnsi="Verdana" w:cs="Arial"/>
          <w:spacing w:val="-2"/>
          <w:sz w:val="20"/>
          <w:szCs w:val="20"/>
          <w:lang w:val="es-CR" w:eastAsia="es-ES"/>
        </w:rPr>
        <w:t xml:space="preserve">concluye </w:t>
      </w:r>
      <w:r w:rsidRPr="00930C8B">
        <w:rPr>
          <w:rFonts w:ascii="Verdana" w:hAnsi="Verdana"/>
          <w:sz w:val="20"/>
          <w:szCs w:val="20"/>
        </w:rPr>
        <w:t>que el Estado es responsable por la violación de los artículos 8 y 25 de la Convención Americana, en relación con el artículo 1.1 del mismo instrumento</w:t>
      </w:r>
      <w:r w:rsidR="00A909ED">
        <w:rPr>
          <w:rFonts w:ascii="Verdana" w:hAnsi="Verdana"/>
          <w:sz w:val="20"/>
          <w:szCs w:val="20"/>
        </w:rPr>
        <w:t>,</w:t>
      </w:r>
      <w:r w:rsidRPr="00930C8B">
        <w:rPr>
          <w:rFonts w:ascii="Verdana" w:hAnsi="Verdana"/>
          <w:sz w:val="20"/>
          <w:szCs w:val="20"/>
        </w:rPr>
        <w:t xml:space="preserve"> en perjuicio de la Comunidad Garífuna de Punta Piedra y sus miembros.</w:t>
      </w:r>
    </w:p>
    <w:p w14:paraId="0C704C2C" w14:textId="77777777" w:rsidR="00D22B93" w:rsidRPr="00CD617B" w:rsidRDefault="00D22B93" w:rsidP="00D22B93">
      <w:pPr>
        <w:pStyle w:val="ListParagraph"/>
        <w:ind w:left="0"/>
        <w:jc w:val="both"/>
        <w:rPr>
          <w:rFonts w:ascii="Verdana" w:eastAsia="Times New Roman" w:hAnsi="Verdana"/>
          <w:bCs/>
          <w:sz w:val="20"/>
          <w:szCs w:val="20"/>
          <w:lang w:val="es-ES" w:eastAsia="es-ES"/>
        </w:rPr>
      </w:pPr>
    </w:p>
    <w:p w14:paraId="0C704C2D" w14:textId="5882BC29" w:rsidR="00A140E5" w:rsidRPr="00A140E5" w:rsidRDefault="00A140E5" w:rsidP="00A140E5">
      <w:pPr>
        <w:keepNext/>
        <w:keepLines/>
        <w:tabs>
          <w:tab w:val="left" w:pos="851"/>
        </w:tabs>
        <w:jc w:val="center"/>
        <w:outlineLvl w:val="0"/>
        <w:rPr>
          <w:rFonts w:ascii="Verdana" w:eastAsia="Times New Roman" w:hAnsi="Verdana" w:cs="Verdana"/>
          <w:b/>
          <w:bCs/>
          <w:caps/>
          <w:snapToGrid w:val="0"/>
          <w:sz w:val="20"/>
          <w:szCs w:val="20"/>
        </w:rPr>
      </w:pPr>
      <w:bookmarkStart w:id="116" w:name="_Toc410112261"/>
      <w:bookmarkStart w:id="117" w:name="_Toc437247378"/>
      <w:r w:rsidRPr="00A140E5">
        <w:rPr>
          <w:rFonts w:ascii="Verdana" w:eastAsia="Times New Roman" w:hAnsi="Verdana" w:cs="Verdana"/>
          <w:b/>
          <w:bCs/>
          <w:caps/>
          <w:snapToGrid w:val="0"/>
          <w:sz w:val="20"/>
          <w:szCs w:val="20"/>
        </w:rPr>
        <w:t>X</w:t>
      </w:r>
      <w:r w:rsidRPr="00A140E5">
        <w:rPr>
          <w:rFonts w:ascii="Verdana" w:eastAsia="Times New Roman" w:hAnsi="Verdana" w:cs="Verdana"/>
          <w:b/>
          <w:bCs/>
          <w:caps/>
          <w:snapToGrid w:val="0"/>
          <w:sz w:val="20"/>
          <w:szCs w:val="20"/>
        </w:rPr>
        <w:br/>
        <w:t>REPARACIONES</w:t>
      </w:r>
      <w:bookmarkEnd w:id="116"/>
      <w:bookmarkEnd w:id="117"/>
    </w:p>
    <w:p w14:paraId="0C704C2E" w14:textId="77777777" w:rsidR="00A140E5" w:rsidRPr="00A140E5" w:rsidRDefault="00A140E5" w:rsidP="00A140E5">
      <w:pPr>
        <w:keepNext/>
        <w:keepLines/>
        <w:tabs>
          <w:tab w:val="left" w:pos="851"/>
        </w:tabs>
        <w:jc w:val="center"/>
        <w:outlineLvl w:val="0"/>
        <w:rPr>
          <w:rFonts w:ascii="Verdana" w:eastAsia="Times New Roman" w:hAnsi="Verdana" w:cs="Verdana"/>
          <w:b/>
          <w:bCs/>
          <w:caps/>
          <w:snapToGrid w:val="0"/>
          <w:sz w:val="20"/>
          <w:szCs w:val="20"/>
        </w:rPr>
      </w:pPr>
      <w:bookmarkStart w:id="118" w:name="_Toc414885402"/>
      <w:bookmarkStart w:id="119" w:name="_Toc421543138"/>
      <w:bookmarkStart w:id="120" w:name="_Toc421868237"/>
      <w:bookmarkStart w:id="121" w:name="_Toc423347861"/>
      <w:bookmarkStart w:id="122" w:name="_Toc429724493"/>
      <w:bookmarkStart w:id="123" w:name="_Toc430787606"/>
      <w:bookmarkStart w:id="124" w:name="_Toc432072832"/>
      <w:bookmarkStart w:id="125" w:name="_Toc437247379"/>
      <w:r w:rsidRPr="00A140E5">
        <w:rPr>
          <w:rFonts w:ascii="Verdana" w:eastAsia="Times New Roman" w:hAnsi="Verdana" w:cs="Verdana"/>
          <w:b/>
          <w:bCs/>
          <w:caps/>
          <w:snapToGrid w:val="0"/>
          <w:sz w:val="20"/>
          <w:szCs w:val="20"/>
        </w:rPr>
        <w:t>(Aplicación del artículo 63.1 de la Convención Americana)</w:t>
      </w:r>
      <w:bookmarkEnd w:id="118"/>
      <w:bookmarkEnd w:id="119"/>
      <w:bookmarkEnd w:id="120"/>
      <w:bookmarkEnd w:id="121"/>
      <w:bookmarkEnd w:id="122"/>
      <w:bookmarkEnd w:id="123"/>
      <w:bookmarkEnd w:id="124"/>
      <w:bookmarkEnd w:id="125"/>
    </w:p>
    <w:p w14:paraId="0C704C2F" w14:textId="77777777" w:rsidR="00A140E5" w:rsidRPr="00A140E5" w:rsidRDefault="00A140E5" w:rsidP="00A140E5">
      <w:pPr>
        <w:jc w:val="both"/>
        <w:rPr>
          <w:rFonts w:ascii="Verdana" w:hAnsi="Verdana"/>
          <w:sz w:val="20"/>
          <w:szCs w:val="20"/>
        </w:rPr>
      </w:pPr>
    </w:p>
    <w:p w14:paraId="0C704C30"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Sobre la base de lo dispuesto en el artículo 63.1 de la Convención Americana</w:t>
      </w:r>
      <w:r w:rsidRPr="00A140E5">
        <w:rPr>
          <w:rFonts w:ascii="Verdana" w:hAnsi="Verdana"/>
          <w:sz w:val="20"/>
          <w:szCs w:val="20"/>
          <w:vertAlign w:val="superscript"/>
        </w:rPr>
        <w:footnoteReference w:id="331"/>
      </w:r>
      <w:r w:rsidRPr="00A140E5">
        <w:rPr>
          <w:rFonts w:ascii="Verdana" w:hAnsi="Verdana"/>
          <w:sz w:val="20"/>
          <w:szCs w:val="20"/>
        </w:rPr>
        <w:t xml:space="preserve">, la Corte ha indicado que toda violación de una obligación internacional que haya producido daño comporta el deber de repararlo adecuadamente y que esa disposición recoge una norma </w:t>
      </w:r>
      <w:r w:rsidRPr="00A140E5">
        <w:rPr>
          <w:rFonts w:ascii="Verdana" w:eastAsia="Times New Roman" w:hAnsi="Verdana"/>
          <w:bCs/>
          <w:sz w:val="20"/>
          <w:szCs w:val="20"/>
          <w:lang w:val="es-ES" w:eastAsia="es-ES"/>
        </w:rPr>
        <w:t>consuetudinaria</w:t>
      </w:r>
      <w:r w:rsidRPr="00A140E5">
        <w:rPr>
          <w:rFonts w:ascii="Verdana" w:hAnsi="Verdana"/>
          <w:sz w:val="20"/>
          <w:szCs w:val="20"/>
        </w:rPr>
        <w:t xml:space="preserve"> que constituye uno de los principios fundamentales del Derecho Internacional contemporáneo sobre responsabilidad de un Estado</w:t>
      </w:r>
      <w:r w:rsidRPr="00A140E5">
        <w:rPr>
          <w:rFonts w:ascii="Verdana" w:hAnsi="Verdana"/>
          <w:sz w:val="20"/>
          <w:szCs w:val="20"/>
          <w:vertAlign w:val="superscript"/>
        </w:rPr>
        <w:footnoteReference w:id="332"/>
      </w:r>
      <w:r w:rsidRPr="00A140E5">
        <w:rPr>
          <w:rFonts w:ascii="Verdana" w:hAnsi="Verdana"/>
          <w:sz w:val="20"/>
          <w:szCs w:val="20"/>
        </w:rPr>
        <w:t xml:space="preserve">. </w:t>
      </w:r>
    </w:p>
    <w:p w14:paraId="0C704C31" w14:textId="77777777" w:rsidR="00A140E5" w:rsidRPr="00A140E5" w:rsidRDefault="00A140E5" w:rsidP="00A140E5">
      <w:pPr>
        <w:jc w:val="both"/>
        <w:rPr>
          <w:rFonts w:ascii="Verdana" w:hAnsi="Verdana"/>
          <w:sz w:val="20"/>
          <w:szCs w:val="20"/>
        </w:rPr>
      </w:pPr>
    </w:p>
    <w:p w14:paraId="0C704C32" w14:textId="77777777" w:rsid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Corte ha establecido que las reparaciones deben tener un nexo causal con los hechos del caso, las violaciones declaradas, los daños acreditados, así como con las medidas </w:t>
      </w:r>
      <w:r w:rsidRPr="00A140E5">
        <w:rPr>
          <w:rFonts w:ascii="Verdana" w:eastAsia="Times New Roman" w:hAnsi="Verdana"/>
          <w:bCs/>
          <w:sz w:val="20"/>
          <w:szCs w:val="20"/>
          <w:lang w:val="es-ES" w:eastAsia="es-ES"/>
        </w:rPr>
        <w:t>solicitadas</w:t>
      </w:r>
      <w:r w:rsidRPr="00A140E5">
        <w:rPr>
          <w:rFonts w:ascii="Verdana" w:hAnsi="Verdana"/>
          <w:sz w:val="20"/>
          <w:szCs w:val="20"/>
        </w:rPr>
        <w:t xml:space="preserve"> para reparar los daños respectivos. Por lo tanto, la Corte deberá observar dicha concurrencia para pronunciarse debidamente y conforme a derecho</w:t>
      </w:r>
      <w:r w:rsidRPr="00A140E5">
        <w:rPr>
          <w:rFonts w:ascii="Verdana" w:hAnsi="Verdana"/>
          <w:sz w:val="20"/>
          <w:szCs w:val="20"/>
          <w:vertAlign w:val="superscript"/>
        </w:rPr>
        <w:footnoteReference w:id="333"/>
      </w:r>
      <w:r w:rsidRPr="00A140E5">
        <w:rPr>
          <w:rFonts w:ascii="Verdana" w:hAnsi="Verdana"/>
          <w:sz w:val="20"/>
          <w:szCs w:val="20"/>
        </w:rPr>
        <w:t xml:space="preserve">. </w:t>
      </w:r>
    </w:p>
    <w:p w14:paraId="0C704C33" w14:textId="77777777" w:rsidR="006A0E8F" w:rsidRDefault="006A0E8F" w:rsidP="00A0324F">
      <w:pPr>
        <w:contextualSpacing/>
        <w:jc w:val="both"/>
        <w:rPr>
          <w:rFonts w:ascii="Verdana" w:hAnsi="Verdana"/>
          <w:sz w:val="20"/>
          <w:szCs w:val="20"/>
        </w:rPr>
      </w:pPr>
    </w:p>
    <w:p w14:paraId="0C704C34" w14:textId="09772882"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De acuerdo con las consideraciones expuestas sobre el reconocimiento parcial realizado por el Estado (</w:t>
      </w:r>
      <w:r w:rsidRPr="00A140E5">
        <w:rPr>
          <w:rFonts w:ascii="Verdana" w:hAnsi="Verdana"/>
          <w:i/>
          <w:sz w:val="20"/>
          <w:szCs w:val="20"/>
        </w:rPr>
        <w:t>supra</w:t>
      </w:r>
      <w:r w:rsidRPr="00A140E5">
        <w:rPr>
          <w:rFonts w:ascii="Verdana" w:hAnsi="Verdana"/>
          <w:sz w:val="20"/>
          <w:szCs w:val="20"/>
        </w:rPr>
        <w:t xml:space="preserve"> párrs. </w:t>
      </w:r>
      <w:r w:rsidR="00243DBF">
        <w:rPr>
          <w:rFonts w:ascii="Verdana" w:hAnsi="Verdana"/>
          <w:sz w:val="20"/>
          <w:szCs w:val="20"/>
        </w:rPr>
        <w:t xml:space="preserve">43 </w:t>
      </w:r>
      <w:r w:rsidR="000C00A4">
        <w:rPr>
          <w:rFonts w:ascii="Verdana" w:hAnsi="Verdana"/>
          <w:sz w:val="20"/>
          <w:szCs w:val="20"/>
        </w:rPr>
        <w:t>a</w:t>
      </w:r>
      <w:r w:rsidR="00243DBF">
        <w:rPr>
          <w:rFonts w:ascii="Verdana" w:hAnsi="Verdana"/>
          <w:sz w:val="20"/>
          <w:szCs w:val="20"/>
        </w:rPr>
        <w:t xml:space="preserve"> 49</w:t>
      </w:r>
      <w:r w:rsidRPr="00A140E5">
        <w:rPr>
          <w:rFonts w:ascii="Verdana" w:hAnsi="Verdana"/>
          <w:sz w:val="20"/>
          <w:szCs w:val="20"/>
        </w:rPr>
        <w:t>) y las violaciones a la Convención Americana declaradas en el Capítulo I</w:t>
      </w:r>
      <w:r w:rsidR="00243DBF">
        <w:rPr>
          <w:rFonts w:ascii="Verdana" w:hAnsi="Verdana"/>
          <w:sz w:val="20"/>
          <w:szCs w:val="20"/>
        </w:rPr>
        <w:t>X</w:t>
      </w:r>
      <w:r w:rsidRPr="00A140E5">
        <w:rPr>
          <w:rFonts w:ascii="Verdana" w:hAnsi="Verdana"/>
          <w:sz w:val="20"/>
          <w:szCs w:val="20"/>
        </w:rPr>
        <w:t xml:space="preserve"> de la presente Sentencia, la Corte procederá a analizar los argumentos y recomendaciones presentados por la Comisión Interamericana, las pretensiones de los representantes de las víctimas y los alegatos del Estado, a la luz de los criterios fijados en su jurisprudencia en relación con la </w:t>
      </w:r>
      <w:r w:rsidRPr="00A140E5">
        <w:rPr>
          <w:rFonts w:ascii="Verdana" w:hAnsi="Verdana"/>
          <w:sz w:val="20"/>
          <w:szCs w:val="20"/>
        </w:rPr>
        <w:lastRenderedPageBreak/>
        <w:t>naturaleza y alcance de la obligación de reparar, con el objeto de disponer las medidas dirigidas a reparar los daños ocasionados a las víctimas</w:t>
      </w:r>
      <w:r w:rsidRPr="00A140E5">
        <w:rPr>
          <w:rFonts w:ascii="Verdana" w:hAnsi="Verdana"/>
          <w:sz w:val="20"/>
          <w:szCs w:val="20"/>
          <w:vertAlign w:val="superscript"/>
        </w:rPr>
        <w:footnoteReference w:id="334"/>
      </w:r>
      <w:r w:rsidRPr="00A140E5">
        <w:rPr>
          <w:rFonts w:ascii="Verdana" w:hAnsi="Verdana"/>
          <w:sz w:val="20"/>
          <w:szCs w:val="20"/>
        </w:rPr>
        <w:t>.</w:t>
      </w:r>
      <w:r w:rsidRPr="00A140E5">
        <w:rPr>
          <w:rFonts w:ascii="Verdana" w:eastAsiaTheme="minorHAnsi" w:hAnsi="Verdana"/>
          <w:sz w:val="20"/>
          <w:szCs w:val="20"/>
        </w:rPr>
        <w:t xml:space="preserve"> </w:t>
      </w:r>
    </w:p>
    <w:p w14:paraId="0C704C35" w14:textId="77777777" w:rsidR="00A140E5" w:rsidRPr="00A140E5" w:rsidRDefault="00A140E5" w:rsidP="00A140E5">
      <w:pPr>
        <w:ind w:left="720"/>
        <w:contextualSpacing/>
        <w:rPr>
          <w:rFonts w:ascii="Verdana" w:hAnsi="Verdana"/>
          <w:sz w:val="20"/>
          <w:szCs w:val="20"/>
        </w:rPr>
      </w:pPr>
    </w:p>
    <w:p w14:paraId="0C704C36"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La Corte considera que la reparación en casos como el presente debe reconocer el fortalecimiento de la identidad cultural de los pueblos indígenas y tribales, garantizando el control de sus propias instituciones, culturas, tradiciones y territorios, a fin de contribuir con su desarrollo de acuerdo con sus proyectos de vida y necesidades presentes y futuras. Asimismo, el Tribunal reconoce que la situación de los pueblos indígenas varía según las particularidades nacionales y regionales, y las diversas tradiciones históricas y culturales. En vista de ello, la Corte estima que, las medidas de reparación otorgadas deben proporcionar mecanismos eficaces enfocados desde su propia perspectiva étnica que les permita definir sus prioridades en lo que atañe a su proceso de desarrollo y evolución como pueblo.</w:t>
      </w:r>
    </w:p>
    <w:p w14:paraId="0C704C37" w14:textId="77777777" w:rsidR="00A140E5" w:rsidRPr="00A140E5" w:rsidRDefault="00A140E5" w:rsidP="00A140E5">
      <w:pPr>
        <w:jc w:val="both"/>
        <w:rPr>
          <w:rFonts w:ascii="Verdana" w:hAnsi="Verdana"/>
          <w:sz w:val="20"/>
          <w:szCs w:val="20"/>
        </w:rPr>
      </w:pPr>
    </w:p>
    <w:p w14:paraId="0C704C38"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26" w:name="_Toc437247380"/>
      <w:r w:rsidRPr="00A140E5">
        <w:rPr>
          <w:rFonts w:ascii="Verdana" w:eastAsia="Times New Roman" w:hAnsi="Verdana"/>
          <w:b/>
          <w:bCs/>
          <w:i/>
          <w:sz w:val="20"/>
          <w:szCs w:val="20"/>
        </w:rPr>
        <w:t>Parte Lesionada</w:t>
      </w:r>
      <w:bookmarkEnd w:id="126"/>
    </w:p>
    <w:p w14:paraId="0C704C39" w14:textId="77777777" w:rsidR="00A140E5" w:rsidRPr="00A140E5" w:rsidRDefault="00A140E5" w:rsidP="00A140E5">
      <w:pPr>
        <w:jc w:val="both"/>
        <w:rPr>
          <w:rFonts w:ascii="Verdana" w:hAnsi="Verdana"/>
          <w:sz w:val="20"/>
          <w:szCs w:val="20"/>
        </w:rPr>
      </w:pPr>
    </w:p>
    <w:p w14:paraId="0C704C3A" w14:textId="3A746FD4"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Corte considera parte lesionada, en los términos del artículo 63.1 de la Convención, a quien ha sido declarada víctima de la violación de algún derecho reconocido en la misma. Por lo tanto, esta Corte considera como parte lesionada a la Comunidad Garífuna de Punta Piedra y sus miembros, y de forma </w:t>
      </w:r>
      <w:r w:rsidR="003B5BF3">
        <w:rPr>
          <w:rFonts w:ascii="Verdana" w:hAnsi="Verdana"/>
          <w:sz w:val="20"/>
          <w:szCs w:val="20"/>
        </w:rPr>
        <w:t>individual</w:t>
      </w:r>
      <w:r w:rsidR="003B5BF3" w:rsidRPr="00A140E5">
        <w:rPr>
          <w:rFonts w:ascii="Verdana" w:hAnsi="Verdana"/>
          <w:sz w:val="20"/>
          <w:szCs w:val="20"/>
        </w:rPr>
        <w:t xml:space="preserve"> </w:t>
      </w:r>
      <w:r w:rsidRPr="00A140E5">
        <w:rPr>
          <w:rFonts w:ascii="Verdana" w:hAnsi="Verdana"/>
          <w:sz w:val="20"/>
          <w:szCs w:val="20"/>
        </w:rPr>
        <w:t>al señor Félix Ordóñez Suazo, quienes en su carácter de víctimas de las violaciones declaradas en el Capítulo I</w:t>
      </w:r>
      <w:r w:rsidR="00243DBF">
        <w:rPr>
          <w:rFonts w:ascii="Verdana" w:hAnsi="Verdana"/>
          <w:sz w:val="20"/>
          <w:szCs w:val="20"/>
        </w:rPr>
        <w:t>X</w:t>
      </w:r>
      <w:r w:rsidRPr="00A140E5">
        <w:rPr>
          <w:rFonts w:ascii="Verdana" w:hAnsi="Verdana"/>
          <w:sz w:val="20"/>
          <w:szCs w:val="20"/>
        </w:rPr>
        <w:t xml:space="preserve"> serán </w:t>
      </w:r>
      <w:r w:rsidR="00243DBF">
        <w:rPr>
          <w:rFonts w:ascii="Verdana" w:hAnsi="Verdana"/>
          <w:sz w:val="20"/>
          <w:szCs w:val="20"/>
        </w:rPr>
        <w:t>beneficiarios</w:t>
      </w:r>
      <w:r w:rsidR="00243DBF" w:rsidRPr="00A140E5">
        <w:rPr>
          <w:rFonts w:ascii="Verdana" w:hAnsi="Verdana"/>
          <w:sz w:val="20"/>
          <w:szCs w:val="20"/>
        </w:rPr>
        <w:t xml:space="preserve"> </w:t>
      </w:r>
      <w:r w:rsidRPr="00A140E5">
        <w:rPr>
          <w:rFonts w:ascii="Verdana" w:hAnsi="Verdana"/>
          <w:sz w:val="20"/>
          <w:szCs w:val="20"/>
        </w:rPr>
        <w:t>de lo que la Corte ordene a continuación.</w:t>
      </w:r>
    </w:p>
    <w:p w14:paraId="0C704C3B" w14:textId="77777777" w:rsidR="00A140E5" w:rsidRPr="00A140E5" w:rsidRDefault="00A140E5" w:rsidP="00A140E5">
      <w:pPr>
        <w:jc w:val="both"/>
        <w:rPr>
          <w:rFonts w:ascii="Verdana" w:hAnsi="Verdana"/>
          <w:sz w:val="20"/>
          <w:szCs w:val="20"/>
        </w:rPr>
      </w:pPr>
    </w:p>
    <w:p w14:paraId="0C704C3C"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27" w:name="_Toc437247381"/>
      <w:r w:rsidRPr="00A140E5">
        <w:rPr>
          <w:rFonts w:ascii="Verdana" w:eastAsia="Times New Roman" w:hAnsi="Verdana"/>
          <w:b/>
          <w:bCs/>
          <w:i/>
          <w:sz w:val="20"/>
          <w:szCs w:val="20"/>
        </w:rPr>
        <w:t>Restitución</w:t>
      </w:r>
      <w:bookmarkEnd w:id="127"/>
    </w:p>
    <w:p w14:paraId="0C704C3D" w14:textId="77777777" w:rsidR="00A140E5" w:rsidRPr="00A140E5" w:rsidRDefault="00A140E5" w:rsidP="00A140E5">
      <w:pPr>
        <w:jc w:val="both"/>
        <w:rPr>
          <w:rFonts w:ascii="Verdana" w:hAnsi="Verdana"/>
          <w:sz w:val="20"/>
          <w:szCs w:val="20"/>
        </w:rPr>
      </w:pPr>
    </w:p>
    <w:p w14:paraId="0C704C3E" w14:textId="76167634"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solicitó a la Corte que ordene al Estado adoptar a la brevedad las medidas necesarias para hacer efectivo el derecho de propiedad comunal y la posesión de la Comunidad de Punta Piedra y sus miembros, con respecto a su territorio ancestral. En particular, el Estado deberá adoptar las medidas legislativas, administrativas o de otro carácter</w:t>
      </w:r>
      <w:r w:rsidR="003B5BF3">
        <w:rPr>
          <w:rFonts w:ascii="Verdana" w:hAnsi="Verdana"/>
          <w:sz w:val="20"/>
          <w:szCs w:val="20"/>
        </w:rPr>
        <w:t>,</w:t>
      </w:r>
      <w:r w:rsidRPr="00A140E5">
        <w:rPr>
          <w:rFonts w:ascii="Verdana" w:hAnsi="Verdana"/>
          <w:sz w:val="20"/>
          <w:szCs w:val="20"/>
        </w:rPr>
        <w:t xml:space="preserve"> necesarias para lograr su saneamiento efectivo, acorde con su derecho consuetudinario, valores, usos y costumbres. Asimismo deberá garantizar a los miembros de la Comunidad que puedan continuar viviendo su modo de vida tradicional, conforme a su identidad cultural, estructura social, sistema económico, costumbres, creencias y tradiciones distintivas.</w:t>
      </w:r>
    </w:p>
    <w:p w14:paraId="0C704C3F" w14:textId="77777777" w:rsidR="00A140E5" w:rsidRPr="00A140E5" w:rsidRDefault="00A140E5" w:rsidP="00A140E5">
      <w:pPr>
        <w:jc w:val="both"/>
        <w:rPr>
          <w:rFonts w:ascii="Verdana" w:hAnsi="Verdana"/>
          <w:sz w:val="20"/>
          <w:szCs w:val="20"/>
        </w:rPr>
      </w:pPr>
    </w:p>
    <w:p w14:paraId="0C704C40" w14:textId="5D1815B9" w:rsidR="00A140E5" w:rsidRPr="00A140E5" w:rsidRDefault="00A140E5" w:rsidP="00A140E5">
      <w:pPr>
        <w:numPr>
          <w:ilvl w:val="0"/>
          <w:numId w:val="17"/>
        </w:numPr>
        <w:ind w:left="0" w:hanging="11"/>
        <w:contextualSpacing/>
        <w:jc w:val="both"/>
        <w:rPr>
          <w:rFonts w:ascii="Verdana" w:hAnsi="Verdana"/>
          <w:b/>
          <w:sz w:val="20"/>
          <w:szCs w:val="20"/>
        </w:rPr>
      </w:pPr>
      <w:r w:rsidRPr="00A140E5">
        <w:rPr>
          <w:rFonts w:ascii="Verdana" w:hAnsi="Verdana"/>
          <w:sz w:val="20"/>
          <w:szCs w:val="20"/>
        </w:rPr>
        <w:t xml:space="preserve">En sus observaciones finales escritas, la Comisión consideró que el Estado debe: 1) disponer </w:t>
      </w:r>
      <w:r w:rsidR="00830401">
        <w:rPr>
          <w:rFonts w:ascii="Verdana" w:hAnsi="Verdana"/>
          <w:sz w:val="20"/>
          <w:szCs w:val="20"/>
        </w:rPr>
        <w:t>las</w:t>
      </w:r>
      <w:r w:rsidR="00830401" w:rsidRPr="00A140E5">
        <w:rPr>
          <w:rFonts w:ascii="Verdana" w:hAnsi="Verdana"/>
          <w:sz w:val="20"/>
          <w:szCs w:val="20"/>
        </w:rPr>
        <w:t xml:space="preserve"> </w:t>
      </w:r>
      <w:r w:rsidRPr="00A140E5">
        <w:rPr>
          <w:rFonts w:ascii="Verdana" w:hAnsi="Verdana"/>
          <w:sz w:val="20"/>
          <w:szCs w:val="20"/>
        </w:rPr>
        <w:t xml:space="preserve">medidas necesarias para identificar en un plazo corto la totalidad del territorio invadido; 2) disponer </w:t>
      </w:r>
      <w:r w:rsidR="00830401">
        <w:rPr>
          <w:rFonts w:ascii="Verdana" w:hAnsi="Verdana"/>
          <w:sz w:val="20"/>
          <w:szCs w:val="20"/>
        </w:rPr>
        <w:t xml:space="preserve">los </w:t>
      </w:r>
      <w:r w:rsidRPr="00A140E5">
        <w:rPr>
          <w:rFonts w:ascii="Verdana" w:hAnsi="Verdana"/>
          <w:sz w:val="20"/>
          <w:szCs w:val="20"/>
        </w:rPr>
        <w:t xml:space="preserve">recursos humanos y financieros </w:t>
      </w:r>
      <w:r w:rsidR="00830401">
        <w:rPr>
          <w:rFonts w:ascii="Verdana" w:hAnsi="Verdana"/>
          <w:sz w:val="20"/>
          <w:szCs w:val="20"/>
        </w:rPr>
        <w:t xml:space="preserve">necesarios </w:t>
      </w:r>
      <w:r w:rsidRPr="00A140E5">
        <w:rPr>
          <w:rFonts w:ascii="Verdana" w:hAnsi="Verdana"/>
          <w:sz w:val="20"/>
          <w:szCs w:val="20"/>
        </w:rPr>
        <w:t>para la reubicación de las personas de Río Miel, consultando con ellas todas las demás posibilidades que permitan evitar o, cuan</w:t>
      </w:r>
      <w:r w:rsidR="00830401">
        <w:rPr>
          <w:rFonts w:ascii="Verdana" w:hAnsi="Verdana"/>
          <w:sz w:val="20"/>
          <w:szCs w:val="20"/>
        </w:rPr>
        <w:t>d</w:t>
      </w:r>
      <w:r w:rsidRPr="00A140E5">
        <w:rPr>
          <w:rFonts w:ascii="Verdana" w:hAnsi="Verdana"/>
          <w:sz w:val="20"/>
          <w:szCs w:val="20"/>
        </w:rPr>
        <w:t xml:space="preserve">o menos, minimizar la necesidad de recurrir a la fuerza, y 3) disponer las medidas necesarias para evitar afectaciones a la vida e integridad al momento de la reubicación, así como restablecer los canales de confianza. En este sentido, la Comisión consideró que una fijación concreta de los plazos para cada una de estas etapas en la Sentencia, favorecería significativamente su cumplimiento y la restitución definitiva de las tierras de la Comunidad. </w:t>
      </w:r>
      <w:r w:rsidRPr="00A140E5">
        <w:rPr>
          <w:rFonts w:ascii="Verdana" w:eastAsiaTheme="minorHAnsi" w:hAnsi="Verdana"/>
          <w:sz w:val="20"/>
          <w:szCs w:val="20"/>
        </w:rPr>
        <w:t xml:space="preserve">Asimismo, indicó que “el Estado debe adoptar las medidas necesarias para prevenir que luego de la reubicación de los colonos de Río Miel, se generen nuevas invasiones por parte de terceros en el territorio de la Comunidad. En la misma línea, el Estado debe abstenerse </w:t>
      </w:r>
      <w:r w:rsidRPr="00A140E5">
        <w:rPr>
          <w:rFonts w:ascii="Verdana" w:eastAsiaTheme="minorHAnsi" w:hAnsi="Verdana"/>
          <w:sz w:val="20"/>
          <w:szCs w:val="20"/>
        </w:rPr>
        <w:lastRenderedPageBreak/>
        <w:t xml:space="preserve">de adoptar decisiones que afecten dicho territorio sin realizar una consulta previa, libre e informada con miras a la obtención del consentimiento”. </w:t>
      </w:r>
    </w:p>
    <w:p w14:paraId="0C704C41" w14:textId="77777777" w:rsidR="00A140E5" w:rsidRPr="00A140E5" w:rsidRDefault="00A140E5" w:rsidP="00A140E5">
      <w:pPr>
        <w:jc w:val="both"/>
        <w:rPr>
          <w:rFonts w:ascii="Verdana" w:hAnsi="Verdana"/>
          <w:sz w:val="20"/>
          <w:szCs w:val="20"/>
        </w:rPr>
      </w:pPr>
    </w:p>
    <w:p w14:paraId="0C704C42" w14:textId="7FF9E2D3"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Los </w:t>
      </w:r>
      <w:r w:rsidRPr="00A140E5">
        <w:rPr>
          <w:rFonts w:ascii="Verdana" w:hAnsi="Verdana"/>
          <w:b/>
          <w:i/>
          <w:sz w:val="20"/>
          <w:szCs w:val="20"/>
        </w:rPr>
        <w:t>representantes</w:t>
      </w:r>
      <w:r w:rsidRPr="00A140E5">
        <w:rPr>
          <w:rFonts w:ascii="Verdana" w:hAnsi="Verdana"/>
          <w:sz w:val="20"/>
          <w:szCs w:val="20"/>
        </w:rPr>
        <w:t xml:space="preserve"> solicitaron: a) la restitución total de las tierras de la Comunidad de Punta Piedra que se encuentran en manos de los habitantes de Río Miel; b) la anulación de todos los títulos emitidos a terceros sobre los títulos comunitarios (en todas las comunidades Garífunas), y c) el reconocimiento jurídico sobre la posesión territorial ancestral de cada una de las comunidades Garífunas. En sus alegatos finales escritos, solicitaron el saneamiento efectivo de la totalidad del territorio de la Comunidad de Punta Piedra, considerando no solamente las zonas invadidas por el asentamiento de los nuevos colonos, sino también las demás zonas en posesión de terceros, </w:t>
      </w:r>
      <w:r w:rsidR="00B6463D">
        <w:rPr>
          <w:rFonts w:ascii="Verdana" w:hAnsi="Verdana"/>
          <w:sz w:val="20"/>
          <w:szCs w:val="20"/>
        </w:rPr>
        <w:t>a</w:t>
      </w:r>
      <w:r w:rsidRPr="00A140E5">
        <w:rPr>
          <w:rFonts w:ascii="Verdana" w:hAnsi="Verdana"/>
          <w:sz w:val="20"/>
          <w:szCs w:val="20"/>
        </w:rPr>
        <w:t xml:space="preserve"> de bosque, y hábitat funcional. Para ello, solicitaron que se establezcan mecanismos integrales para la reubicación de los nuevos colonos</w:t>
      </w:r>
      <w:r w:rsidR="00830401">
        <w:rPr>
          <w:rFonts w:ascii="Verdana" w:hAnsi="Verdana"/>
          <w:sz w:val="20"/>
          <w:szCs w:val="20"/>
        </w:rPr>
        <w:t>,</w:t>
      </w:r>
      <w:r w:rsidRPr="00A140E5">
        <w:rPr>
          <w:rFonts w:ascii="Verdana" w:hAnsi="Verdana"/>
          <w:sz w:val="20"/>
          <w:szCs w:val="20"/>
        </w:rPr>
        <w:t xml:space="preserve"> y las medidas de seguridad necesarias para proteger la vida e integridad de los miembros de Río Miel, y que se fije</w:t>
      </w:r>
      <w:r w:rsidR="00830401">
        <w:rPr>
          <w:rFonts w:ascii="Verdana" w:hAnsi="Verdana"/>
          <w:sz w:val="20"/>
          <w:szCs w:val="20"/>
        </w:rPr>
        <w:t>n</w:t>
      </w:r>
      <w:r w:rsidRPr="00A140E5">
        <w:rPr>
          <w:rFonts w:ascii="Verdana" w:hAnsi="Verdana"/>
          <w:sz w:val="20"/>
          <w:szCs w:val="20"/>
        </w:rPr>
        <w:t xml:space="preserve"> plazos específicos para la realización de este saneamiento. Asimismo, solicitaron la adopción </w:t>
      </w:r>
      <w:r w:rsidR="00830401">
        <w:rPr>
          <w:rFonts w:ascii="Verdana" w:hAnsi="Verdana"/>
          <w:sz w:val="20"/>
          <w:szCs w:val="20"/>
        </w:rPr>
        <w:t xml:space="preserve">inmediata </w:t>
      </w:r>
      <w:r w:rsidRPr="00A140E5">
        <w:rPr>
          <w:rFonts w:ascii="Verdana" w:hAnsi="Verdana"/>
          <w:sz w:val="20"/>
          <w:szCs w:val="20"/>
        </w:rPr>
        <w:t xml:space="preserve">de medidas integrales que </w:t>
      </w:r>
      <w:r w:rsidR="00830401">
        <w:rPr>
          <w:rFonts w:ascii="Verdana" w:hAnsi="Verdana"/>
          <w:sz w:val="20"/>
          <w:szCs w:val="20"/>
        </w:rPr>
        <w:t>eviten</w:t>
      </w:r>
      <w:r w:rsidRPr="00A140E5">
        <w:rPr>
          <w:rFonts w:ascii="Verdana" w:hAnsi="Verdana"/>
          <w:sz w:val="20"/>
          <w:szCs w:val="20"/>
        </w:rPr>
        <w:t xml:space="preserve"> la continuación de la conflictividad en la zona y para que una vez restituido el territorio no se vuelvan a dar invasiones en los territorios garífunas. </w:t>
      </w:r>
    </w:p>
    <w:p w14:paraId="0C704C43" w14:textId="77777777" w:rsidR="00A140E5" w:rsidRPr="00A140E5" w:rsidRDefault="00A140E5" w:rsidP="00A140E5">
      <w:pPr>
        <w:jc w:val="both"/>
        <w:rPr>
          <w:rFonts w:ascii="Verdana" w:hAnsi="Verdana"/>
          <w:sz w:val="20"/>
          <w:szCs w:val="20"/>
        </w:rPr>
      </w:pPr>
    </w:p>
    <w:p w14:paraId="4A675CAA" w14:textId="33A3D044" w:rsidR="003B5BF3"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En su escrito de contestación, el </w:t>
      </w:r>
      <w:r w:rsidRPr="00A140E5">
        <w:rPr>
          <w:rFonts w:ascii="Verdana" w:hAnsi="Verdana"/>
          <w:b/>
          <w:i/>
          <w:sz w:val="20"/>
          <w:szCs w:val="20"/>
        </w:rPr>
        <w:t>Estado</w:t>
      </w:r>
      <w:r w:rsidRPr="00A140E5">
        <w:rPr>
          <w:rFonts w:ascii="Verdana" w:hAnsi="Verdana"/>
          <w:sz w:val="20"/>
          <w:szCs w:val="20"/>
        </w:rPr>
        <w:t xml:space="preserve"> “</w:t>
      </w:r>
      <w:proofErr w:type="spellStart"/>
      <w:proofErr w:type="gramStart"/>
      <w:r w:rsidRPr="00A140E5">
        <w:rPr>
          <w:rFonts w:ascii="Verdana" w:hAnsi="Verdana"/>
          <w:sz w:val="20"/>
          <w:szCs w:val="20"/>
        </w:rPr>
        <w:t>prop</w:t>
      </w:r>
      <w:proofErr w:type="spellEnd"/>
      <w:r w:rsidRPr="00A140E5">
        <w:rPr>
          <w:rFonts w:ascii="Verdana" w:hAnsi="Verdana"/>
          <w:sz w:val="20"/>
          <w:szCs w:val="20"/>
        </w:rPr>
        <w:t>[</w:t>
      </w:r>
      <w:proofErr w:type="gramEnd"/>
      <w:r w:rsidRPr="00A140E5">
        <w:rPr>
          <w:rFonts w:ascii="Verdana" w:hAnsi="Verdana"/>
          <w:sz w:val="20"/>
          <w:szCs w:val="20"/>
        </w:rPr>
        <w:t>uso] realizar nuevamente la actualización del avalúo de las mejoras útiles y necesarias introducidas por los [pobladores de Río Miel] y adicionalmente destinar una cantidad adicional de cinco millones (</w:t>
      </w:r>
      <w:proofErr w:type="spellStart"/>
      <w:r w:rsidRPr="00A140E5">
        <w:rPr>
          <w:rFonts w:ascii="Verdana" w:hAnsi="Verdana"/>
          <w:sz w:val="20"/>
          <w:szCs w:val="20"/>
        </w:rPr>
        <w:t>Lps</w:t>
      </w:r>
      <w:proofErr w:type="spellEnd"/>
      <w:r w:rsidRPr="00A140E5">
        <w:rPr>
          <w:rFonts w:ascii="Verdana" w:hAnsi="Verdana"/>
          <w:sz w:val="20"/>
          <w:szCs w:val="20"/>
        </w:rPr>
        <w:t>. 5,000,000.00) a seis millones de lempiras (</w:t>
      </w:r>
      <w:proofErr w:type="spellStart"/>
      <w:r w:rsidRPr="00A140E5">
        <w:rPr>
          <w:rFonts w:ascii="Verdana" w:hAnsi="Verdana"/>
          <w:sz w:val="20"/>
          <w:szCs w:val="20"/>
        </w:rPr>
        <w:t>Lps</w:t>
      </w:r>
      <w:proofErr w:type="spellEnd"/>
      <w:r w:rsidRPr="00A140E5">
        <w:rPr>
          <w:rFonts w:ascii="Verdana" w:hAnsi="Verdana"/>
          <w:sz w:val="20"/>
          <w:szCs w:val="20"/>
        </w:rPr>
        <w:t>. 6,000,000.00), para adquirir un predio con la finalidad de reubicar a los miembros de la Aldea de Río Miel. Sin embargo, durante la audiencia pública del caso, el Estado realizó las siguientes propuestas</w:t>
      </w:r>
      <w:r w:rsidR="003B5BF3">
        <w:rPr>
          <w:rFonts w:ascii="Verdana" w:hAnsi="Verdana"/>
          <w:sz w:val="20"/>
          <w:szCs w:val="20"/>
        </w:rPr>
        <w:t>:</w:t>
      </w:r>
      <w:r w:rsidRPr="00A140E5">
        <w:rPr>
          <w:rFonts w:ascii="Verdana" w:hAnsi="Verdana"/>
          <w:sz w:val="20"/>
          <w:szCs w:val="20"/>
        </w:rPr>
        <w:t xml:space="preserve"> i) “que la Comunidad Garífuna de Punta Piedra acceda que el Estado […] le pague la tierra que actualmente ocupan los pobladores de Río Miel y que esa tierra pase a ser propiedad de los pobladores de Río Miel”; ii) “que la Comunidad Garífuna de Punta Piedra acceda que el Estado […] le entregue un área de tierra equivalente a la que ocupan los pobladores de Río Miel en otro lugar contiguo a su anterior título”, y iii) “que la </w:t>
      </w:r>
      <w:r w:rsidR="00D3280D">
        <w:rPr>
          <w:rFonts w:ascii="Verdana" w:hAnsi="Verdana"/>
          <w:sz w:val="20"/>
          <w:szCs w:val="20"/>
        </w:rPr>
        <w:t>C</w:t>
      </w:r>
      <w:r w:rsidRPr="00A140E5">
        <w:rPr>
          <w:rFonts w:ascii="Verdana" w:hAnsi="Verdana"/>
          <w:sz w:val="20"/>
          <w:szCs w:val="20"/>
        </w:rPr>
        <w:t xml:space="preserve">omunidad de Río Miel […] pague a la Comunidad Garífuna de Punta Piedra un canon anual por la tierra que ellos ocupan”. </w:t>
      </w:r>
    </w:p>
    <w:p w14:paraId="179096B2" w14:textId="77777777" w:rsidR="003B5BF3" w:rsidRDefault="003B5BF3" w:rsidP="00A0324F">
      <w:pPr>
        <w:pStyle w:val="ListParagraph"/>
        <w:rPr>
          <w:rFonts w:ascii="Verdana" w:hAnsi="Verdana"/>
          <w:b/>
          <w:sz w:val="20"/>
          <w:szCs w:val="20"/>
        </w:rPr>
      </w:pPr>
    </w:p>
    <w:p w14:paraId="1E05AD53" w14:textId="0F7FE535" w:rsidR="003B5BF3" w:rsidRPr="00A140E5" w:rsidRDefault="00A140E5" w:rsidP="003B5BF3">
      <w:pPr>
        <w:numPr>
          <w:ilvl w:val="0"/>
          <w:numId w:val="17"/>
        </w:numPr>
        <w:ind w:left="0" w:hanging="11"/>
        <w:contextualSpacing/>
        <w:jc w:val="both"/>
        <w:rPr>
          <w:rFonts w:ascii="Verdana" w:hAnsi="Verdana"/>
          <w:strike/>
          <w:sz w:val="20"/>
          <w:szCs w:val="20"/>
        </w:rPr>
      </w:pPr>
      <w:r w:rsidRPr="00A140E5">
        <w:rPr>
          <w:rFonts w:ascii="Verdana" w:hAnsi="Verdana"/>
          <w:sz w:val="20"/>
          <w:szCs w:val="20"/>
        </w:rPr>
        <w:t xml:space="preserve">En el Capítulo </w:t>
      </w:r>
      <w:r w:rsidR="00D6325D">
        <w:rPr>
          <w:rFonts w:ascii="Verdana" w:hAnsi="Verdana"/>
          <w:sz w:val="20"/>
          <w:szCs w:val="20"/>
        </w:rPr>
        <w:t>IX</w:t>
      </w:r>
      <w:r w:rsidRPr="00A140E5">
        <w:rPr>
          <w:rFonts w:ascii="Verdana" w:hAnsi="Verdana"/>
          <w:sz w:val="20"/>
          <w:szCs w:val="20"/>
        </w:rPr>
        <w:t>, la Corte determinó que el Estado violó el artículo 21 y 25 de la Convención con motivo del incumplimiento en garantizar el uso y goce de la propiedad comunal, a través del saneamiento respectivo, así como por el incumplimiento en la ejecución de los acuerdos alcanzados (</w:t>
      </w:r>
      <w:r w:rsidRPr="00A140E5">
        <w:rPr>
          <w:rFonts w:ascii="Verdana" w:hAnsi="Verdana"/>
          <w:i/>
          <w:sz w:val="20"/>
          <w:szCs w:val="20"/>
        </w:rPr>
        <w:t>supra</w:t>
      </w:r>
      <w:r w:rsidRPr="00A140E5">
        <w:rPr>
          <w:rFonts w:ascii="Verdana" w:hAnsi="Verdana"/>
          <w:sz w:val="20"/>
          <w:szCs w:val="20"/>
        </w:rPr>
        <w:t xml:space="preserve"> párr</w:t>
      </w:r>
      <w:r w:rsidR="00BA7BB0">
        <w:rPr>
          <w:rFonts w:ascii="Verdana" w:hAnsi="Verdana"/>
          <w:sz w:val="20"/>
          <w:szCs w:val="20"/>
        </w:rPr>
        <w:t>s</w:t>
      </w:r>
      <w:r w:rsidRPr="00A140E5">
        <w:rPr>
          <w:rFonts w:ascii="Verdana" w:hAnsi="Verdana"/>
          <w:sz w:val="20"/>
          <w:szCs w:val="20"/>
        </w:rPr>
        <w:t xml:space="preserve">. </w:t>
      </w:r>
      <w:r w:rsidR="00D6325D">
        <w:rPr>
          <w:rFonts w:ascii="Verdana" w:hAnsi="Verdana"/>
          <w:sz w:val="20"/>
          <w:szCs w:val="20"/>
        </w:rPr>
        <w:t>189</w:t>
      </w:r>
      <w:r w:rsidR="00BA7BB0">
        <w:rPr>
          <w:rFonts w:ascii="Verdana" w:hAnsi="Verdana"/>
          <w:sz w:val="20"/>
          <w:szCs w:val="20"/>
        </w:rPr>
        <w:t>, 202 y 251</w:t>
      </w:r>
      <w:r w:rsidRPr="00A140E5">
        <w:rPr>
          <w:rFonts w:ascii="Verdana" w:hAnsi="Verdana"/>
          <w:sz w:val="20"/>
          <w:szCs w:val="20"/>
        </w:rPr>
        <w:t>), por lo que dichas omisiones permitieron el incremento progresivo de la ocupación del territorio comunal, privando a la Comunidad de Punta Piedra del uso y goce efectivo y pacífico de su territorio (</w:t>
      </w:r>
      <w:r w:rsidRPr="00A140E5">
        <w:rPr>
          <w:rFonts w:ascii="Verdana" w:hAnsi="Verdana"/>
          <w:i/>
          <w:sz w:val="20"/>
          <w:szCs w:val="20"/>
        </w:rPr>
        <w:t>supra</w:t>
      </w:r>
      <w:r w:rsidRPr="00A140E5">
        <w:rPr>
          <w:rFonts w:ascii="Verdana" w:hAnsi="Verdana"/>
          <w:sz w:val="20"/>
          <w:szCs w:val="20"/>
        </w:rPr>
        <w:t xml:space="preserve"> párr</w:t>
      </w:r>
      <w:r w:rsidR="003B5BF3">
        <w:rPr>
          <w:rFonts w:ascii="Verdana" w:hAnsi="Verdana"/>
          <w:sz w:val="20"/>
          <w:szCs w:val="20"/>
        </w:rPr>
        <w:t>s</w:t>
      </w:r>
      <w:r w:rsidRPr="00A140E5">
        <w:rPr>
          <w:rFonts w:ascii="Verdana" w:hAnsi="Verdana"/>
          <w:sz w:val="20"/>
          <w:szCs w:val="20"/>
        </w:rPr>
        <w:t xml:space="preserve">. </w:t>
      </w:r>
      <w:r w:rsidR="003B5BF3">
        <w:rPr>
          <w:rFonts w:ascii="Verdana" w:hAnsi="Verdana"/>
          <w:sz w:val="20"/>
          <w:szCs w:val="20"/>
        </w:rPr>
        <w:t xml:space="preserve">189 y </w:t>
      </w:r>
      <w:r w:rsidR="00D6325D">
        <w:rPr>
          <w:rFonts w:ascii="Verdana" w:hAnsi="Verdana"/>
          <w:sz w:val="20"/>
          <w:szCs w:val="20"/>
        </w:rPr>
        <w:t>197</w:t>
      </w:r>
      <w:r w:rsidRPr="00A140E5">
        <w:rPr>
          <w:rFonts w:ascii="Verdana" w:hAnsi="Verdana"/>
          <w:sz w:val="20"/>
          <w:szCs w:val="20"/>
        </w:rPr>
        <w:t xml:space="preserve">). </w:t>
      </w:r>
      <w:r w:rsidR="00D6325D">
        <w:rPr>
          <w:rFonts w:ascii="Verdana" w:hAnsi="Verdana"/>
          <w:sz w:val="20"/>
          <w:szCs w:val="20"/>
        </w:rPr>
        <w:t>Asimismo</w:t>
      </w:r>
      <w:r w:rsidRPr="00A140E5">
        <w:rPr>
          <w:rFonts w:ascii="Verdana" w:hAnsi="Verdana"/>
          <w:sz w:val="20"/>
          <w:szCs w:val="20"/>
        </w:rPr>
        <w:t>, este Tribunal también observ</w:t>
      </w:r>
      <w:r w:rsidR="00D6325D">
        <w:rPr>
          <w:rFonts w:ascii="Verdana" w:hAnsi="Verdana"/>
          <w:sz w:val="20"/>
          <w:szCs w:val="20"/>
        </w:rPr>
        <w:t>ó</w:t>
      </w:r>
      <w:r w:rsidRPr="00A140E5">
        <w:rPr>
          <w:rFonts w:ascii="Verdana" w:hAnsi="Verdana"/>
          <w:sz w:val="20"/>
          <w:szCs w:val="20"/>
        </w:rPr>
        <w:t xml:space="preserve"> que han transcurrido más de 15 años del compromiso y deber del Estado para sanear el territorio y en la actualidad otros pobladores se encuentra</w:t>
      </w:r>
      <w:r w:rsidR="00D6325D">
        <w:rPr>
          <w:rFonts w:ascii="Verdana" w:hAnsi="Verdana"/>
          <w:sz w:val="20"/>
          <w:szCs w:val="20"/>
        </w:rPr>
        <w:t>n</w:t>
      </w:r>
      <w:r w:rsidRPr="00A140E5">
        <w:rPr>
          <w:rFonts w:ascii="Verdana" w:hAnsi="Verdana"/>
          <w:sz w:val="20"/>
          <w:szCs w:val="20"/>
        </w:rPr>
        <w:t xml:space="preserve"> asentad</w:t>
      </w:r>
      <w:r w:rsidR="00D6325D">
        <w:rPr>
          <w:rFonts w:ascii="Verdana" w:hAnsi="Verdana"/>
          <w:sz w:val="20"/>
          <w:szCs w:val="20"/>
        </w:rPr>
        <w:t>os</w:t>
      </w:r>
      <w:r w:rsidRPr="00A140E5">
        <w:rPr>
          <w:rFonts w:ascii="Verdana" w:hAnsi="Verdana"/>
          <w:sz w:val="20"/>
          <w:szCs w:val="20"/>
        </w:rPr>
        <w:t xml:space="preserve"> en esa área. </w:t>
      </w:r>
    </w:p>
    <w:p w14:paraId="0C704C47" w14:textId="3888ED55" w:rsidR="006A0E8F" w:rsidRDefault="006A0E8F" w:rsidP="00A0324F">
      <w:pPr>
        <w:contextualSpacing/>
        <w:jc w:val="both"/>
        <w:rPr>
          <w:rFonts w:ascii="Verdana" w:hAnsi="Verdana"/>
          <w:sz w:val="20"/>
          <w:szCs w:val="20"/>
        </w:rPr>
      </w:pPr>
    </w:p>
    <w:p w14:paraId="0C704C48" w14:textId="53DB301F" w:rsid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La Corte establece que a fin de lograr una reparación integral de las violaciones acreditadas, a través de la restitución de los derechos conculcados, corresponde al Estado realizar el saneamiento de las tierras tradicionales que fueron tituladas por el Estado en favor de la Comunidad de Punta Piedra y hacer efectiva la implementación de los acuerdos alcanzados.</w:t>
      </w:r>
      <w:r w:rsidRPr="00A140E5">
        <w:rPr>
          <w:rFonts w:ascii="Verdana" w:hAnsi="Verdana"/>
          <w:i/>
          <w:sz w:val="20"/>
          <w:szCs w:val="20"/>
        </w:rPr>
        <w:t xml:space="preserve"> </w:t>
      </w:r>
      <w:r w:rsidRPr="00A140E5">
        <w:rPr>
          <w:rFonts w:ascii="Verdana" w:hAnsi="Verdana"/>
          <w:sz w:val="20"/>
          <w:szCs w:val="20"/>
        </w:rPr>
        <w:t>Dicha obligación de saneamiento corresponde ejercerla al Estado de oficio y con extrema diligencia. (</w:t>
      </w:r>
      <w:r w:rsidRPr="00A140E5">
        <w:rPr>
          <w:rFonts w:ascii="Verdana" w:hAnsi="Verdana"/>
          <w:i/>
          <w:sz w:val="20"/>
          <w:szCs w:val="20"/>
        </w:rPr>
        <w:t>supra</w:t>
      </w:r>
      <w:r w:rsidRPr="00A140E5">
        <w:rPr>
          <w:rFonts w:ascii="Verdana" w:hAnsi="Verdana"/>
          <w:sz w:val="20"/>
          <w:szCs w:val="20"/>
        </w:rPr>
        <w:t xml:space="preserve"> párr. </w:t>
      </w:r>
      <w:r w:rsidR="00DB403F">
        <w:rPr>
          <w:rFonts w:ascii="Verdana" w:hAnsi="Verdana"/>
          <w:sz w:val="20"/>
          <w:szCs w:val="20"/>
        </w:rPr>
        <w:t>186</w:t>
      </w:r>
      <w:r w:rsidRPr="00A140E5">
        <w:rPr>
          <w:rFonts w:ascii="Verdana" w:hAnsi="Verdana"/>
          <w:sz w:val="20"/>
          <w:szCs w:val="20"/>
        </w:rPr>
        <w:t xml:space="preserve">). </w:t>
      </w:r>
      <w:r w:rsidR="00DB403F">
        <w:rPr>
          <w:rFonts w:ascii="Verdana" w:hAnsi="Verdana"/>
          <w:sz w:val="20"/>
          <w:szCs w:val="20"/>
        </w:rPr>
        <w:t>En este sentido</w:t>
      </w:r>
      <w:r w:rsidRPr="00A140E5">
        <w:rPr>
          <w:rFonts w:ascii="Verdana" w:hAnsi="Verdana"/>
          <w:sz w:val="20"/>
          <w:szCs w:val="20"/>
        </w:rPr>
        <w:t>, el Estado debe remover cualquier tipo de obstáculo o interferencia sobre el territorio en cuestión</w:t>
      </w:r>
      <w:r w:rsidR="00DB403F">
        <w:rPr>
          <w:rFonts w:ascii="Verdana" w:hAnsi="Verdana"/>
          <w:sz w:val="20"/>
          <w:szCs w:val="20"/>
        </w:rPr>
        <w:t xml:space="preserve"> (</w:t>
      </w:r>
      <w:r w:rsidR="0086236B" w:rsidRPr="00A0324F">
        <w:rPr>
          <w:rFonts w:ascii="Verdana" w:hAnsi="Verdana"/>
          <w:i/>
          <w:sz w:val="20"/>
          <w:szCs w:val="20"/>
        </w:rPr>
        <w:t>supra</w:t>
      </w:r>
      <w:r w:rsidR="00DB403F">
        <w:rPr>
          <w:rFonts w:ascii="Verdana" w:hAnsi="Verdana"/>
          <w:sz w:val="20"/>
          <w:szCs w:val="20"/>
        </w:rPr>
        <w:t xml:space="preserve"> párr. 181)</w:t>
      </w:r>
      <w:r w:rsidRPr="00A140E5">
        <w:rPr>
          <w:rFonts w:ascii="Verdana" w:hAnsi="Verdana"/>
          <w:sz w:val="20"/>
          <w:szCs w:val="20"/>
        </w:rPr>
        <w:t xml:space="preserve">. En particular, a través de garantizar el dominio pleno y efectivo de los miembros de la Comunidad de Punta Piedra como legítimos propietarios, y de ser </w:t>
      </w:r>
      <w:r w:rsidRPr="00A140E5">
        <w:rPr>
          <w:rFonts w:ascii="Verdana" w:hAnsi="Verdana"/>
          <w:sz w:val="20"/>
          <w:szCs w:val="20"/>
        </w:rPr>
        <w:lastRenderedPageBreak/>
        <w:t>procedente y según lo acordado, mediante el pago de mejoras y la reubicación, con las debidas garantías, de los terceros ocupantes.</w:t>
      </w:r>
    </w:p>
    <w:p w14:paraId="0C704C49" w14:textId="77777777" w:rsidR="006A0E8F" w:rsidRDefault="006A0E8F" w:rsidP="00A0324F">
      <w:pPr>
        <w:contextualSpacing/>
        <w:jc w:val="both"/>
        <w:rPr>
          <w:rFonts w:ascii="Verdana" w:hAnsi="Verdana"/>
          <w:sz w:val="20"/>
          <w:szCs w:val="20"/>
        </w:rPr>
      </w:pPr>
    </w:p>
    <w:p w14:paraId="0C704C4A"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Para ello, el Estado debe realizar las siguientes acciones: </w:t>
      </w:r>
    </w:p>
    <w:p w14:paraId="0C704C4B" w14:textId="77777777" w:rsidR="00A140E5" w:rsidRPr="00A140E5" w:rsidRDefault="00A140E5" w:rsidP="00A140E5">
      <w:pPr>
        <w:jc w:val="both"/>
        <w:rPr>
          <w:rFonts w:ascii="Verdana" w:hAnsi="Verdana"/>
          <w:sz w:val="20"/>
          <w:szCs w:val="20"/>
        </w:rPr>
      </w:pPr>
    </w:p>
    <w:p w14:paraId="0C704C4C" w14:textId="1AD20A9A" w:rsidR="00A140E5" w:rsidRPr="009740DB" w:rsidRDefault="00A140E5" w:rsidP="00A140E5">
      <w:pPr>
        <w:ind w:left="567"/>
        <w:jc w:val="both"/>
        <w:rPr>
          <w:rFonts w:ascii="Verdana" w:hAnsi="Verdana"/>
          <w:b/>
          <w:sz w:val="20"/>
          <w:szCs w:val="20"/>
        </w:rPr>
      </w:pPr>
      <w:r w:rsidRPr="00A140E5">
        <w:rPr>
          <w:rFonts w:ascii="Verdana" w:hAnsi="Verdana"/>
          <w:sz w:val="20"/>
          <w:szCs w:val="20"/>
        </w:rPr>
        <w:t xml:space="preserve">a) </w:t>
      </w:r>
      <w:r w:rsidR="003B5BF3">
        <w:rPr>
          <w:rFonts w:ascii="Verdana" w:hAnsi="Verdana"/>
          <w:sz w:val="20"/>
          <w:szCs w:val="20"/>
        </w:rPr>
        <w:t>a</w:t>
      </w:r>
      <w:r w:rsidRPr="00A140E5">
        <w:rPr>
          <w:rFonts w:ascii="Verdana" w:hAnsi="Verdana"/>
          <w:sz w:val="20"/>
          <w:szCs w:val="20"/>
        </w:rPr>
        <w:t>doptar todas las medidas administrativas, legislativas, financieras y de recursos humanos necesarias para restituir de manera integral a la Comunidad de Punta Piedra su territorio titulado, garantizando su uso y goce pacífico de manera plena y efectiva</w:t>
      </w:r>
      <w:r w:rsidRPr="00A140E5">
        <w:rPr>
          <w:rFonts w:ascii="Verdana" w:hAnsi="Verdana"/>
          <w:sz w:val="20"/>
          <w:szCs w:val="20"/>
          <w:vertAlign w:val="superscript"/>
        </w:rPr>
        <w:footnoteReference w:id="335"/>
      </w:r>
      <w:r w:rsidR="00CC64C0">
        <w:rPr>
          <w:rFonts w:ascii="Verdana" w:hAnsi="Verdana"/>
          <w:sz w:val="20"/>
          <w:szCs w:val="20"/>
        </w:rPr>
        <w:t xml:space="preserve">, en </w:t>
      </w:r>
      <w:r w:rsidR="00CC64C0" w:rsidRPr="00DB403F">
        <w:rPr>
          <w:rFonts w:ascii="Verdana" w:hAnsi="Verdana"/>
          <w:sz w:val="20"/>
          <w:szCs w:val="20"/>
        </w:rPr>
        <w:t>el plazo</w:t>
      </w:r>
      <w:r w:rsidR="0086236B" w:rsidRPr="00A0324F">
        <w:rPr>
          <w:rFonts w:ascii="Verdana" w:hAnsi="Verdana"/>
          <w:sz w:val="20"/>
          <w:szCs w:val="20"/>
        </w:rPr>
        <w:t xml:space="preserve"> no mayor a 30 meses, a partir de la notificación de la presente Sentencia.</w:t>
      </w:r>
      <w:r w:rsidRPr="009740DB">
        <w:rPr>
          <w:rFonts w:ascii="Verdana" w:hAnsi="Verdana"/>
          <w:b/>
          <w:sz w:val="20"/>
          <w:szCs w:val="20"/>
        </w:rPr>
        <w:t xml:space="preserve"> </w:t>
      </w:r>
    </w:p>
    <w:p w14:paraId="0C704C4D" w14:textId="77777777" w:rsidR="00A140E5" w:rsidRPr="00A140E5" w:rsidRDefault="00A140E5" w:rsidP="00A140E5">
      <w:pPr>
        <w:ind w:left="567"/>
        <w:contextualSpacing/>
        <w:jc w:val="both"/>
        <w:rPr>
          <w:rFonts w:ascii="Verdana" w:hAnsi="Verdana"/>
          <w:sz w:val="20"/>
          <w:szCs w:val="20"/>
        </w:rPr>
      </w:pPr>
    </w:p>
    <w:p w14:paraId="0C704C4E" w14:textId="06ED7AA9" w:rsidR="00A140E5" w:rsidRPr="00A140E5" w:rsidRDefault="00A140E5" w:rsidP="00A140E5">
      <w:pPr>
        <w:ind w:left="567"/>
        <w:contextualSpacing/>
        <w:jc w:val="both"/>
        <w:rPr>
          <w:rFonts w:ascii="Verdana" w:hAnsi="Verdana"/>
          <w:strike/>
          <w:sz w:val="20"/>
          <w:szCs w:val="20"/>
        </w:rPr>
      </w:pPr>
      <w:r w:rsidRPr="00A140E5">
        <w:rPr>
          <w:rFonts w:ascii="Verdana" w:hAnsi="Verdana"/>
          <w:sz w:val="20"/>
          <w:szCs w:val="20"/>
        </w:rPr>
        <w:t xml:space="preserve">b) </w:t>
      </w:r>
      <w:r w:rsidR="003B5BF3">
        <w:rPr>
          <w:rFonts w:ascii="Verdana" w:hAnsi="Verdana"/>
          <w:sz w:val="20"/>
          <w:szCs w:val="20"/>
        </w:rPr>
        <w:t>g</w:t>
      </w:r>
      <w:r w:rsidRPr="00A140E5">
        <w:rPr>
          <w:rFonts w:ascii="Verdana" w:hAnsi="Verdana"/>
          <w:sz w:val="20"/>
          <w:szCs w:val="20"/>
        </w:rPr>
        <w:t xml:space="preserve">arantizar de manera inmediata y efectiva que el territorio que actualmente se encuentra en posesión de la Comunidad de Punta Piedra, no sufra ninguna intrusión, expansión </w:t>
      </w:r>
      <w:r w:rsidRPr="00DB403F">
        <w:rPr>
          <w:rFonts w:ascii="Verdana" w:hAnsi="Verdana"/>
          <w:sz w:val="20"/>
          <w:szCs w:val="20"/>
        </w:rPr>
        <w:t xml:space="preserve">adicional, interferencia o afectación de parte de terceros o agentes del Estado que pueda </w:t>
      </w:r>
      <w:r w:rsidR="0086236B" w:rsidRPr="00A0324F">
        <w:rPr>
          <w:rFonts w:ascii="Verdana" w:hAnsi="Verdana"/>
          <w:sz w:val="20"/>
          <w:szCs w:val="20"/>
        </w:rPr>
        <w:t>menoscabar</w:t>
      </w:r>
      <w:r w:rsidRPr="00DB403F">
        <w:rPr>
          <w:rFonts w:ascii="Verdana" w:hAnsi="Verdana"/>
          <w:sz w:val="20"/>
          <w:szCs w:val="20"/>
        </w:rPr>
        <w:t xml:space="preserve"> la</w:t>
      </w:r>
      <w:r w:rsidRPr="00A140E5">
        <w:rPr>
          <w:rFonts w:ascii="Verdana" w:hAnsi="Verdana"/>
          <w:sz w:val="20"/>
          <w:szCs w:val="20"/>
        </w:rPr>
        <w:t xml:space="preserve"> existencia, el valor, el uso o el goce de su territorio</w:t>
      </w:r>
      <w:r w:rsidRPr="00A140E5">
        <w:rPr>
          <w:rFonts w:ascii="Verdana" w:hAnsi="Verdana"/>
          <w:sz w:val="20"/>
          <w:szCs w:val="20"/>
          <w:vertAlign w:val="superscript"/>
        </w:rPr>
        <w:footnoteReference w:id="336"/>
      </w:r>
      <w:r w:rsidRPr="00A140E5">
        <w:rPr>
          <w:rFonts w:ascii="Verdana" w:hAnsi="Verdana"/>
          <w:sz w:val="20"/>
          <w:szCs w:val="20"/>
        </w:rPr>
        <w:t>.</w:t>
      </w:r>
      <w:r w:rsidRPr="00A140E5">
        <w:rPr>
          <w:rFonts w:ascii="Verdana" w:hAnsi="Verdana"/>
          <w:strike/>
          <w:sz w:val="20"/>
          <w:szCs w:val="20"/>
        </w:rPr>
        <w:t xml:space="preserve"> </w:t>
      </w:r>
    </w:p>
    <w:p w14:paraId="0C704C4F" w14:textId="77777777" w:rsidR="00A140E5" w:rsidRPr="00A140E5" w:rsidRDefault="00A140E5" w:rsidP="00A140E5">
      <w:pPr>
        <w:jc w:val="both"/>
        <w:rPr>
          <w:rFonts w:ascii="Verdana" w:hAnsi="Verdana"/>
          <w:strike/>
          <w:sz w:val="20"/>
          <w:szCs w:val="20"/>
        </w:rPr>
      </w:pPr>
    </w:p>
    <w:p w14:paraId="0C704C50" w14:textId="63E83185" w:rsidR="00A140E5" w:rsidRPr="00A140E5" w:rsidRDefault="00A140E5" w:rsidP="00A140E5">
      <w:pPr>
        <w:ind w:left="567"/>
        <w:contextualSpacing/>
        <w:jc w:val="both"/>
        <w:rPr>
          <w:rFonts w:ascii="Verdana" w:hAnsi="Verdana"/>
          <w:sz w:val="20"/>
          <w:szCs w:val="20"/>
        </w:rPr>
      </w:pPr>
      <w:r w:rsidRPr="00A140E5">
        <w:rPr>
          <w:rFonts w:ascii="Verdana" w:hAnsi="Verdana"/>
          <w:sz w:val="20"/>
          <w:szCs w:val="20"/>
        </w:rPr>
        <w:t xml:space="preserve">c) </w:t>
      </w:r>
      <w:r w:rsidR="003B5BF3">
        <w:rPr>
          <w:rFonts w:ascii="Verdana" w:hAnsi="Verdana"/>
          <w:sz w:val="20"/>
          <w:szCs w:val="20"/>
        </w:rPr>
        <w:t>p</w:t>
      </w:r>
      <w:r w:rsidRPr="00A140E5">
        <w:rPr>
          <w:rFonts w:ascii="Verdana" w:hAnsi="Verdana"/>
          <w:sz w:val="20"/>
          <w:szCs w:val="20"/>
        </w:rPr>
        <w:t xml:space="preserve">roceder con el pago de mejoras y la reubicación de los terceros pobladores con las debidas garantías, en el plazo no mayor a dos años posteriores a la notificación del </w:t>
      </w:r>
      <w:r w:rsidR="00DB403F">
        <w:rPr>
          <w:rFonts w:ascii="Verdana" w:hAnsi="Verdana"/>
          <w:sz w:val="20"/>
          <w:szCs w:val="20"/>
        </w:rPr>
        <w:t>p</w:t>
      </w:r>
      <w:r w:rsidRPr="00A140E5">
        <w:rPr>
          <w:rFonts w:ascii="Verdana" w:hAnsi="Verdana"/>
          <w:sz w:val="20"/>
          <w:szCs w:val="20"/>
        </w:rPr>
        <w:t xml:space="preserve">resente Fallo. </w:t>
      </w:r>
    </w:p>
    <w:p w14:paraId="0C704C51" w14:textId="77777777" w:rsidR="00A140E5" w:rsidRPr="00451426" w:rsidRDefault="00A140E5" w:rsidP="00A140E5">
      <w:pPr>
        <w:jc w:val="both"/>
        <w:rPr>
          <w:rFonts w:ascii="Verdana" w:hAnsi="Verdana"/>
          <w:sz w:val="20"/>
          <w:szCs w:val="20"/>
        </w:rPr>
      </w:pPr>
    </w:p>
    <w:p w14:paraId="0C704C52" w14:textId="5DC0B958" w:rsidR="00A140E5" w:rsidRPr="00A140E5" w:rsidRDefault="00A140E5" w:rsidP="00A140E5">
      <w:pPr>
        <w:ind w:left="567"/>
        <w:jc w:val="both"/>
        <w:rPr>
          <w:rFonts w:ascii="Verdana" w:hAnsi="Verdana"/>
          <w:b/>
          <w:sz w:val="20"/>
          <w:szCs w:val="20"/>
        </w:rPr>
      </w:pPr>
      <w:r w:rsidRPr="00451426">
        <w:rPr>
          <w:rFonts w:ascii="Verdana" w:hAnsi="Verdana"/>
          <w:sz w:val="20"/>
          <w:szCs w:val="20"/>
        </w:rPr>
        <w:t>d)</w:t>
      </w:r>
      <w:r w:rsidRPr="00A140E5">
        <w:rPr>
          <w:rFonts w:ascii="Verdana" w:hAnsi="Verdana"/>
          <w:sz w:val="20"/>
          <w:szCs w:val="20"/>
        </w:rPr>
        <w:t xml:space="preserve"> </w:t>
      </w:r>
      <w:r w:rsidR="003B5BF3">
        <w:rPr>
          <w:rFonts w:ascii="Verdana" w:hAnsi="Verdana"/>
          <w:sz w:val="20"/>
          <w:szCs w:val="20"/>
        </w:rPr>
        <w:t>e</w:t>
      </w:r>
      <w:r w:rsidRPr="00A140E5">
        <w:rPr>
          <w:rFonts w:ascii="Verdana" w:hAnsi="Verdana"/>
          <w:sz w:val="20"/>
          <w:szCs w:val="20"/>
        </w:rPr>
        <w:t>n el supuesto que se acredite la existencia de títulos legítimos de propiedad en la Aldea de Río Miel, anteriores a la entrega del segundo título a la Comunidad de Punta Piedra, conforme a la jurisprudencia de la Corte, el Estado deberá valorar la posibilidad de su compra o la expropiación de esas tierras</w:t>
      </w:r>
      <w:r w:rsidRPr="00DB403F">
        <w:rPr>
          <w:rFonts w:ascii="Verdana" w:hAnsi="Verdana"/>
          <w:sz w:val="20"/>
          <w:szCs w:val="20"/>
        </w:rPr>
        <w:t xml:space="preserve">, </w:t>
      </w:r>
      <w:r w:rsidR="0086236B" w:rsidRPr="00A0324F">
        <w:rPr>
          <w:rFonts w:ascii="Verdana" w:hAnsi="Verdana"/>
          <w:sz w:val="20"/>
          <w:szCs w:val="20"/>
        </w:rPr>
        <w:t>por razones de utilidad pública o interés social</w:t>
      </w:r>
      <w:r w:rsidR="0086236B" w:rsidRPr="00A0324F">
        <w:rPr>
          <w:rFonts w:ascii="Verdana" w:hAnsi="Verdana"/>
          <w:sz w:val="20"/>
          <w:szCs w:val="20"/>
          <w:vertAlign w:val="superscript"/>
        </w:rPr>
        <w:footnoteReference w:id="337"/>
      </w:r>
      <w:r w:rsidR="0086236B" w:rsidRPr="00A0324F">
        <w:rPr>
          <w:rFonts w:ascii="Verdana" w:hAnsi="Verdana"/>
          <w:sz w:val="20"/>
          <w:szCs w:val="20"/>
        </w:rPr>
        <w:t>.</w:t>
      </w:r>
      <w:r w:rsidRPr="00A140E5">
        <w:rPr>
          <w:rFonts w:ascii="Verdana" w:hAnsi="Verdana"/>
          <w:b/>
          <w:sz w:val="20"/>
          <w:szCs w:val="20"/>
        </w:rPr>
        <w:t xml:space="preserve"> </w:t>
      </w:r>
    </w:p>
    <w:p w14:paraId="0C704C53" w14:textId="77777777" w:rsidR="00A140E5" w:rsidRPr="00A140E5" w:rsidRDefault="00A140E5" w:rsidP="00A140E5">
      <w:pPr>
        <w:tabs>
          <w:tab w:val="left" w:pos="4755"/>
        </w:tabs>
        <w:ind w:left="567"/>
        <w:rPr>
          <w:rFonts w:ascii="Verdana" w:hAnsi="Verdana"/>
          <w:color w:val="000000"/>
          <w:sz w:val="20"/>
          <w:szCs w:val="20"/>
          <w:lang w:val="es-ES"/>
        </w:rPr>
      </w:pPr>
      <w:r w:rsidRPr="00A140E5">
        <w:rPr>
          <w:rFonts w:ascii="Verdana" w:hAnsi="Verdana"/>
          <w:color w:val="000000"/>
          <w:sz w:val="20"/>
          <w:szCs w:val="20"/>
          <w:lang w:val="es-ES"/>
        </w:rPr>
        <w:tab/>
      </w:r>
    </w:p>
    <w:p w14:paraId="0C704C54" w14:textId="62C0A3C1" w:rsidR="00A140E5" w:rsidRPr="00A140E5" w:rsidRDefault="0086236B" w:rsidP="00A140E5">
      <w:pPr>
        <w:numPr>
          <w:ilvl w:val="0"/>
          <w:numId w:val="17"/>
        </w:numPr>
        <w:ind w:left="0" w:hanging="11"/>
        <w:contextualSpacing/>
        <w:jc w:val="both"/>
        <w:rPr>
          <w:rFonts w:ascii="Verdana" w:hAnsi="Verdana"/>
          <w:b/>
          <w:sz w:val="20"/>
          <w:szCs w:val="20"/>
        </w:rPr>
      </w:pPr>
      <w:r w:rsidRPr="00A0324F">
        <w:rPr>
          <w:rFonts w:ascii="Verdana" w:hAnsi="Verdana"/>
          <w:color w:val="000000"/>
          <w:sz w:val="20"/>
          <w:szCs w:val="20"/>
        </w:rPr>
        <w:t>Si por motivos</w:t>
      </w:r>
      <w:r w:rsidR="00A140E5" w:rsidRPr="00DB403F">
        <w:rPr>
          <w:rFonts w:ascii="Verdana" w:hAnsi="Verdana"/>
          <w:color w:val="000000"/>
          <w:sz w:val="20"/>
          <w:szCs w:val="20"/>
        </w:rPr>
        <w:t xml:space="preserve"> objetivos</w:t>
      </w:r>
      <w:r w:rsidR="00A140E5" w:rsidRPr="00A140E5">
        <w:rPr>
          <w:rFonts w:ascii="Verdana" w:hAnsi="Verdana"/>
          <w:color w:val="000000"/>
          <w:sz w:val="20"/>
          <w:szCs w:val="20"/>
        </w:rPr>
        <w:t xml:space="preserve"> y fundamentados</w:t>
      </w:r>
      <w:r w:rsidR="00A140E5" w:rsidRPr="00A140E5">
        <w:rPr>
          <w:rFonts w:ascii="Verdana" w:hAnsi="Verdana"/>
          <w:color w:val="000000"/>
          <w:sz w:val="20"/>
          <w:szCs w:val="20"/>
          <w:vertAlign w:val="superscript"/>
        </w:rPr>
        <w:footnoteReference w:id="338"/>
      </w:r>
      <w:r w:rsidR="00A140E5" w:rsidRPr="00A140E5">
        <w:rPr>
          <w:rFonts w:ascii="Verdana" w:hAnsi="Verdana"/>
          <w:color w:val="000000"/>
          <w:sz w:val="20"/>
          <w:szCs w:val="20"/>
        </w:rPr>
        <w:t xml:space="preserve"> se impidiera el reintegro total o parcial del territorio ocupado por terceros, el Estado deberá, de manera excepcional, ofrecer a la Comunidad de Punta Piedra </w:t>
      </w:r>
      <w:r w:rsidR="00A140E5" w:rsidRPr="00A140E5">
        <w:rPr>
          <w:rFonts w:ascii="Verdana" w:hAnsi="Verdana"/>
          <w:sz w:val="20"/>
          <w:szCs w:val="20"/>
        </w:rPr>
        <w:t xml:space="preserve">tierras alternativas, de la misma o mayor calidad física, las cuales </w:t>
      </w:r>
      <w:r w:rsidR="00A140E5" w:rsidRPr="00DB403F">
        <w:rPr>
          <w:rFonts w:ascii="Verdana" w:hAnsi="Verdana"/>
          <w:sz w:val="20"/>
          <w:szCs w:val="20"/>
        </w:rPr>
        <w:t xml:space="preserve">deberán </w:t>
      </w:r>
      <w:r w:rsidRPr="00A0324F">
        <w:rPr>
          <w:rFonts w:ascii="Verdana" w:hAnsi="Verdana"/>
          <w:sz w:val="20"/>
          <w:szCs w:val="20"/>
        </w:rPr>
        <w:t>de ser contiguas</w:t>
      </w:r>
      <w:r w:rsidR="00A140E5" w:rsidRPr="00DB403F">
        <w:rPr>
          <w:rFonts w:ascii="Verdana" w:hAnsi="Verdana"/>
          <w:sz w:val="20"/>
          <w:szCs w:val="20"/>
        </w:rPr>
        <w:t xml:space="preserve"> a su territorio titulado, libre de cualquier vicio material o formal y debidamente tituladas en su favor. El Estado deberá entregar las tierras, electas de manera consensuada con</w:t>
      </w:r>
      <w:r w:rsidR="00A140E5" w:rsidRPr="00A140E5">
        <w:rPr>
          <w:rFonts w:ascii="Verdana" w:hAnsi="Verdana"/>
          <w:sz w:val="20"/>
          <w:szCs w:val="20"/>
        </w:rPr>
        <w:t xml:space="preserve"> la Comunidad de Punta Piedra, conforme a sus propias formas de consulta y decisión, valores, usos y costumbres</w:t>
      </w:r>
      <w:r w:rsidR="00A140E5" w:rsidRPr="00A140E5">
        <w:rPr>
          <w:rFonts w:ascii="Verdana" w:hAnsi="Verdana"/>
          <w:color w:val="000000"/>
          <w:sz w:val="20"/>
          <w:szCs w:val="20"/>
          <w:vertAlign w:val="superscript"/>
        </w:rPr>
        <w:footnoteReference w:id="339"/>
      </w:r>
      <w:r w:rsidR="00A140E5" w:rsidRPr="00A140E5">
        <w:rPr>
          <w:rFonts w:ascii="Verdana" w:hAnsi="Verdana"/>
          <w:sz w:val="20"/>
          <w:szCs w:val="20"/>
        </w:rPr>
        <w:t xml:space="preserve">. Una vez acordado lo anterior, dicha medida deberá ser efectivamente ejecutada en el plazo de un año </w:t>
      </w:r>
      <w:r w:rsidR="007979C1">
        <w:rPr>
          <w:rFonts w:ascii="Verdana" w:hAnsi="Verdana"/>
          <w:sz w:val="20"/>
          <w:szCs w:val="20"/>
        </w:rPr>
        <w:t>contado a partir de</w:t>
      </w:r>
      <w:r w:rsidR="00A140E5" w:rsidRPr="00A140E5">
        <w:rPr>
          <w:rFonts w:ascii="Verdana" w:hAnsi="Verdana"/>
          <w:sz w:val="20"/>
          <w:szCs w:val="20"/>
        </w:rPr>
        <w:t xml:space="preserve"> la notificación de voluntad de la Comunidad de Punta Piedra.</w:t>
      </w:r>
      <w:r w:rsidR="00A140E5" w:rsidRPr="00A140E5">
        <w:rPr>
          <w:rFonts w:ascii="Verdana" w:hAnsi="Verdana"/>
          <w:b/>
          <w:sz w:val="20"/>
          <w:szCs w:val="20"/>
        </w:rPr>
        <w:t xml:space="preserve"> </w:t>
      </w:r>
      <w:r w:rsidR="00A140E5" w:rsidRPr="00A140E5">
        <w:rPr>
          <w:rFonts w:ascii="Verdana" w:hAnsi="Verdana"/>
          <w:sz w:val="20"/>
          <w:szCs w:val="20"/>
        </w:rPr>
        <w:t xml:space="preserve">Asimismo, en </w:t>
      </w:r>
      <w:r w:rsidR="00A140E5" w:rsidRPr="007979C1">
        <w:rPr>
          <w:rFonts w:ascii="Verdana" w:hAnsi="Verdana"/>
          <w:sz w:val="20"/>
          <w:szCs w:val="20"/>
        </w:rPr>
        <w:t xml:space="preserve">el otorgamiento de dichas tierras se deberá incluir un plan de desarrollo integral para ese territorio </w:t>
      </w:r>
      <w:r w:rsidRPr="00A0324F">
        <w:rPr>
          <w:rFonts w:ascii="Verdana" w:hAnsi="Verdana"/>
          <w:sz w:val="20"/>
          <w:szCs w:val="20"/>
        </w:rPr>
        <w:t>alternativo,</w:t>
      </w:r>
      <w:r w:rsidR="00A140E5" w:rsidRPr="007979C1">
        <w:rPr>
          <w:rFonts w:ascii="Verdana" w:hAnsi="Verdana"/>
          <w:sz w:val="20"/>
          <w:szCs w:val="20"/>
        </w:rPr>
        <w:t xml:space="preserve"> de común acuerdo con la Comunidad</w:t>
      </w:r>
      <w:r w:rsidRPr="00A0324F">
        <w:rPr>
          <w:rFonts w:ascii="Verdana" w:hAnsi="Verdana"/>
          <w:sz w:val="20"/>
          <w:szCs w:val="20"/>
        </w:rPr>
        <w:t>, el cual es</w:t>
      </w:r>
      <w:r w:rsidR="00A140E5" w:rsidRPr="007979C1">
        <w:rPr>
          <w:rFonts w:ascii="Verdana" w:hAnsi="Verdana"/>
          <w:sz w:val="20"/>
          <w:szCs w:val="20"/>
        </w:rPr>
        <w:t xml:space="preserve"> adicional al referido fondo </w:t>
      </w:r>
      <w:r w:rsidRPr="00A0324F">
        <w:rPr>
          <w:rFonts w:ascii="Verdana" w:hAnsi="Verdana"/>
          <w:sz w:val="20"/>
          <w:szCs w:val="20"/>
        </w:rPr>
        <w:t>de desarrollo</w:t>
      </w:r>
      <w:r w:rsidR="00A140E5" w:rsidRPr="007979C1">
        <w:rPr>
          <w:rFonts w:ascii="Verdana" w:hAnsi="Verdana"/>
          <w:sz w:val="20"/>
          <w:szCs w:val="20"/>
        </w:rPr>
        <w:t xml:space="preserve"> </w:t>
      </w:r>
      <w:r w:rsidRPr="00A0324F">
        <w:rPr>
          <w:rFonts w:ascii="Verdana" w:hAnsi="Verdana"/>
          <w:sz w:val="20"/>
          <w:szCs w:val="20"/>
        </w:rPr>
        <w:t>dispuesto</w:t>
      </w:r>
      <w:r w:rsidR="00A140E5" w:rsidRPr="007979C1">
        <w:rPr>
          <w:rFonts w:ascii="Verdana" w:hAnsi="Verdana"/>
          <w:sz w:val="20"/>
          <w:szCs w:val="20"/>
        </w:rPr>
        <w:t xml:space="preserve"> </w:t>
      </w:r>
      <w:r w:rsidR="007979C1" w:rsidRPr="007979C1">
        <w:rPr>
          <w:rFonts w:ascii="Verdana" w:hAnsi="Verdana"/>
          <w:sz w:val="20"/>
          <w:szCs w:val="20"/>
        </w:rPr>
        <w:t>(</w:t>
      </w:r>
      <w:r w:rsidRPr="00A0324F">
        <w:rPr>
          <w:rFonts w:ascii="Verdana" w:hAnsi="Verdana"/>
          <w:i/>
          <w:sz w:val="20"/>
          <w:szCs w:val="20"/>
        </w:rPr>
        <w:t>infra</w:t>
      </w:r>
      <w:r w:rsidR="007979C1" w:rsidRPr="007979C1">
        <w:rPr>
          <w:rFonts w:ascii="Verdana" w:hAnsi="Verdana"/>
          <w:sz w:val="20"/>
          <w:szCs w:val="20"/>
        </w:rPr>
        <w:t xml:space="preserve"> párrs. 332 </w:t>
      </w:r>
      <w:r w:rsidR="000C00A4">
        <w:rPr>
          <w:rFonts w:ascii="Verdana" w:hAnsi="Verdana"/>
          <w:sz w:val="20"/>
          <w:szCs w:val="20"/>
        </w:rPr>
        <w:t>a</w:t>
      </w:r>
      <w:r w:rsidR="007979C1" w:rsidRPr="007979C1">
        <w:rPr>
          <w:rFonts w:ascii="Verdana" w:hAnsi="Verdana"/>
          <w:sz w:val="20"/>
          <w:szCs w:val="20"/>
        </w:rPr>
        <w:t xml:space="preserve"> 336)</w:t>
      </w:r>
      <w:r w:rsidR="00A140E5" w:rsidRPr="007979C1">
        <w:rPr>
          <w:rFonts w:ascii="Verdana" w:hAnsi="Verdana"/>
          <w:sz w:val="20"/>
          <w:szCs w:val="20"/>
        </w:rPr>
        <w:t xml:space="preserve">. </w:t>
      </w:r>
      <w:r w:rsidRPr="00A0324F">
        <w:rPr>
          <w:rFonts w:ascii="Verdana" w:hAnsi="Verdana"/>
          <w:sz w:val="20"/>
          <w:szCs w:val="20"/>
        </w:rPr>
        <w:t xml:space="preserve">El Estado deberá hacerse cargo de los gastos derivados del traslado y reubicación, así como </w:t>
      </w:r>
      <w:r w:rsidR="007979C1">
        <w:rPr>
          <w:rFonts w:ascii="Verdana" w:hAnsi="Verdana"/>
          <w:sz w:val="20"/>
          <w:szCs w:val="20"/>
        </w:rPr>
        <w:t xml:space="preserve">de </w:t>
      </w:r>
      <w:r w:rsidRPr="00A0324F">
        <w:rPr>
          <w:rFonts w:ascii="Verdana" w:hAnsi="Verdana"/>
          <w:sz w:val="20"/>
          <w:szCs w:val="20"/>
        </w:rPr>
        <w:t xml:space="preserve">los correspondientes gastos por pérdida o daño que puedan sufrir como consecuencia del otorgamiento de </w:t>
      </w:r>
      <w:r w:rsidR="003B5BF3">
        <w:rPr>
          <w:rFonts w:ascii="Verdana" w:hAnsi="Verdana"/>
          <w:sz w:val="20"/>
          <w:szCs w:val="20"/>
        </w:rPr>
        <w:t>dichas</w:t>
      </w:r>
      <w:r w:rsidR="003B5BF3" w:rsidRPr="00A0324F">
        <w:rPr>
          <w:rFonts w:ascii="Verdana" w:hAnsi="Verdana"/>
          <w:sz w:val="20"/>
          <w:szCs w:val="20"/>
        </w:rPr>
        <w:t xml:space="preserve"> </w:t>
      </w:r>
      <w:r w:rsidRPr="00A0324F">
        <w:rPr>
          <w:rFonts w:ascii="Verdana" w:hAnsi="Verdana"/>
          <w:sz w:val="20"/>
          <w:szCs w:val="20"/>
        </w:rPr>
        <w:t>tierras alternativas</w:t>
      </w:r>
      <w:r w:rsidRPr="00A0324F">
        <w:rPr>
          <w:rFonts w:ascii="Verdana" w:hAnsi="Verdana"/>
          <w:color w:val="000000"/>
          <w:sz w:val="20"/>
          <w:szCs w:val="20"/>
          <w:vertAlign w:val="superscript"/>
        </w:rPr>
        <w:footnoteReference w:id="340"/>
      </w:r>
      <w:r w:rsidRPr="00A0324F">
        <w:rPr>
          <w:rFonts w:ascii="Verdana" w:hAnsi="Verdana"/>
          <w:sz w:val="20"/>
          <w:szCs w:val="20"/>
        </w:rPr>
        <w:t>.</w:t>
      </w:r>
    </w:p>
    <w:p w14:paraId="0C704C55" w14:textId="77777777" w:rsidR="00A140E5" w:rsidRPr="00A140E5" w:rsidRDefault="00A140E5" w:rsidP="00A140E5">
      <w:pPr>
        <w:rPr>
          <w:rFonts w:ascii="Verdana" w:hAnsi="Verdana"/>
          <w:color w:val="000000"/>
          <w:sz w:val="20"/>
          <w:szCs w:val="20"/>
        </w:rPr>
      </w:pPr>
    </w:p>
    <w:p w14:paraId="0C704C56" w14:textId="2421B2D5" w:rsidR="00A140E5" w:rsidRPr="007979C1" w:rsidRDefault="0086236B" w:rsidP="00A140E5">
      <w:pPr>
        <w:numPr>
          <w:ilvl w:val="0"/>
          <w:numId w:val="17"/>
        </w:numPr>
        <w:ind w:left="0" w:hanging="11"/>
        <w:contextualSpacing/>
        <w:jc w:val="both"/>
      </w:pPr>
      <w:r w:rsidRPr="00A0324F">
        <w:rPr>
          <w:rFonts w:ascii="Verdana" w:hAnsi="Verdana"/>
          <w:color w:val="000000"/>
          <w:sz w:val="20"/>
          <w:szCs w:val="20"/>
        </w:rPr>
        <w:lastRenderedPageBreak/>
        <w:t>Sin</w:t>
      </w:r>
      <w:r w:rsidR="00A140E5" w:rsidRPr="007979C1">
        <w:rPr>
          <w:rFonts w:ascii="Verdana" w:hAnsi="Verdana"/>
          <w:color w:val="000000"/>
          <w:sz w:val="20"/>
          <w:szCs w:val="20"/>
        </w:rPr>
        <w:t xml:space="preserve"> perjuicio de lo anterior, el Estado deberá desarrollar, de común acuerdo con la Comunidad de Punta Piedra y la Aldea de </w:t>
      </w:r>
      <w:r w:rsidR="00CC64C0" w:rsidRPr="007979C1">
        <w:rPr>
          <w:rFonts w:ascii="Verdana" w:hAnsi="Verdana"/>
          <w:color w:val="000000"/>
          <w:sz w:val="20"/>
          <w:szCs w:val="20"/>
        </w:rPr>
        <w:t xml:space="preserve">Río Miel, reglas de </w:t>
      </w:r>
      <w:r w:rsidRPr="00A0324F">
        <w:rPr>
          <w:rFonts w:ascii="Verdana" w:hAnsi="Verdana"/>
          <w:color w:val="000000"/>
          <w:sz w:val="20"/>
          <w:szCs w:val="20"/>
        </w:rPr>
        <w:t>convivencia</w:t>
      </w:r>
      <w:r w:rsidR="00A140E5" w:rsidRPr="007979C1">
        <w:rPr>
          <w:rFonts w:ascii="Verdana" w:hAnsi="Verdana"/>
          <w:color w:val="000000"/>
          <w:sz w:val="20"/>
          <w:szCs w:val="20"/>
        </w:rPr>
        <w:t xml:space="preserve"> pacífica y armoniosas en el territorio en cuestión que respeten los usos y costumbres de la Comunidad de Punta Piedra, así como </w:t>
      </w:r>
      <w:r w:rsidR="00A140E5" w:rsidRPr="007979C1">
        <w:rPr>
          <w:rFonts w:ascii="Verdana" w:hAnsi="Verdana"/>
          <w:sz w:val="20"/>
          <w:szCs w:val="20"/>
        </w:rPr>
        <w:t xml:space="preserve">los mecanismos de prevención necesarios que eviten cualquier afectación </w:t>
      </w:r>
      <w:r w:rsidR="00A140E5" w:rsidRPr="007979C1">
        <w:rPr>
          <w:rFonts w:ascii="Verdana" w:eastAsiaTheme="minorHAnsi" w:hAnsi="Verdana"/>
          <w:sz w:val="20"/>
          <w:szCs w:val="20"/>
        </w:rPr>
        <w:t>por parte de terceros en el territorio garífuna.</w:t>
      </w:r>
    </w:p>
    <w:p w14:paraId="0C704C57" w14:textId="77777777" w:rsidR="00A140E5" w:rsidRPr="00A140E5" w:rsidRDefault="00A140E5" w:rsidP="00A140E5"/>
    <w:p w14:paraId="0C704C58" w14:textId="3BD65E36" w:rsidR="00A140E5" w:rsidRPr="007979C1" w:rsidRDefault="00A140E5" w:rsidP="00A140E5">
      <w:pPr>
        <w:numPr>
          <w:ilvl w:val="0"/>
          <w:numId w:val="17"/>
        </w:numPr>
        <w:ind w:left="0" w:hanging="11"/>
        <w:contextualSpacing/>
        <w:jc w:val="both"/>
        <w:rPr>
          <w:rFonts w:ascii="Verdana" w:hAnsi="Verdana"/>
          <w:sz w:val="20"/>
          <w:szCs w:val="20"/>
        </w:rPr>
      </w:pPr>
      <w:r w:rsidRPr="007979C1">
        <w:rPr>
          <w:rFonts w:ascii="Verdana" w:hAnsi="Verdana"/>
          <w:sz w:val="20"/>
          <w:szCs w:val="20"/>
        </w:rPr>
        <w:t xml:space="preserve">En relación con la falta de consulta del proyecto de exploración Punta Piedra II, que incluye parte del territorio de la Comunidad de Punta Piedra, el Estado deberá </w:t>
      </w:r>
      <w:r w:rsidR="0086236B" w:rsidRPr="00A0324F">
        <w:rPr>
          <w:rFonts w:ascii="Verdana" w:hAnsi="Verdana"/>
          <w:sz w:val="20"/>
          <w:szCs w:val="20"/>
        </w:rPr>
        <w:t>hacer cesar</w:t>
      </w:r>
      <w:r w:rsidRPr="007979C1">
        <w:rPr>
          <w:rFonts w:ascii="Verdana" w:hAnsi="Verdana"/>
          <w:sz w:val="20"/>
          <w:szCs w:val="20"/>
        </w:rPr>
        <w:t xml:space="preserve"> cualquier actividad que no haya sido previamente consultada, y en su caso, proceder de conformidad con la jurisprudencia de la Corte, a la realización de la misma</w:t>
      </w:r>
      <w:r w:rsidRPr="007979C1">
        <w:rPr>
          <w:rFonts w:ascii="Verdana" w:hAnsi="Verdana"/>
          <w:sz w:val="20"/>
          <w:szCs w:val="20"/>
          <w:vertAlign w:val="superscript"/>
        </w:rPr>
        <w:footnoteReference w:id="341"/>
      </w:r>
      <w:r w:rsidRPr="007979C1">
        <w:rPr>
          <w:rFonts w:ascii="Verdana" w:hAnsi="Verdana"/>
          <w:sz w:val="20"/>
          <w:szCs w:val="20"/>
        </w:rPr>
        <w:t xml:space="preserve">. </w:t>
      </w:r>
    </w:p>
    <w:p w14:paraId="0C704C59" w14:textId="77777777" w:rsidR="00A140E5" w:rsidRPr="00A140E5" w:rsidRDefault="00A140E5" w:rsidP="00A140E5"/>
    <w:p w14:paraId="0C704C5A" w14:textId="1D1F5FED" w:rsidR="00A140E5" w:rsidRPr="00A0324F" w:rsidRDefault="0086236B" w:rsidP="00A140E5">
      <w:pPr>
        <w:numPr>
          <w:ilvl w:val="0"/>
          <w:numId w:val="17"/>
        </w:numPr>
        <w:ind w:left="0" w:hanging="11"/>
        <w:contextualSpacing/>
        <w:jc w:val="both"/>
        <w:rPr>
          <w:rFonts w:ascii="Verdana" w:hAnsi="Verdana"/>
          <w:sz w:val="20"/>
          <w:szCs w:val="20"/>
        </w:rPr>
      </w:pPr>
      <w:r w:rsidRPr="00A0324F">
        <w:rPr>
          <w:rFonts w:ascii="Verdana" w:hAnsi="Verdana"/>
          <w:sz w:val="20"/>
          <w:szCs w:val="20"/>
        </w:rPr>
        <w:t>El Estado deberá, dentro del plazo de tres meses a partir de la notificación de la Sentencia, poner en marcha los mecanismos necesarios de coordinación entre instituciones que tengan incidencia en la toma de decisiones y cuenten con competencia en la materia, con el fin de velar por la efectividad de las medidas antes dispuestas, entre ellas: hacer efectivo el saneamiento, garantizar la integridad del territorio comunal y, en su caso, participar en la implementación del referido plan de desarrollo</w:t>
      </w:r>
      <w:r w:rsidR="00C83FD6">
        <w:rPr>
          <w:rFonts w:ascii="Verdana" w:hAnsi="Verdana"/>
          <w:sz w:val="20"/>
          <w:szCs w:val="20"/>
        </w:rPr>
        <w:t>.</w:t>
      </w:r>
    </w:p>
    <w:p w14:paraId="0C704C5B" w14:textId="77777777" w:rsidR="00A140E5" w:rsidRPr="00A140E5" w:rsidRDefault="00A140E5" w:rsidP="00A140E5"/>
    <w:p w14:paraId="0C704C5C" w14:textId="77777777" w:rsidR="00A140E5" w:rsidRPr="00A140E5" w:rsidRDefault="00A140E5" w:rsidP="00A140E5">
      <w:pPr>
        <w:keepNext/>
        <w:keepLines/>
        <w:numPr>
          <w:ilvl w:val="0"/>
          <w:numId w:val="16"/>
        </w:numPr>
        <w:jc w:val="both"/>
        <w:outlineLvl w:val="1"/>
        <w:rPr>
          <w:rFonts w:ascii="Verdana" w:eastAsia="Times New Roman" w:hAnsi="Verdana"/>
          <w:b/>
          <w:bCs/>
          <w:i/>
          <w:color w:val="4F81BD"/>
          <w:sz w:val="20"/>
          <w:szCs w:val="20"/>
        </w:rPr>
      </w:pPr>
      <w:bookmarkStart w:id="128" w:name="_Toc437247382"/>
      <w:r w:rsidRPr="00A140E5">
        <w:rPr>
          <w:rFonts w:ascii="Verdana" w:eastAsia="Times New Roman" w:hAnsi="Verdana"/>
          <w:b/>
          <w:bCs/>
          <w:i/>
          <w:sz w:val="20"/>
          <w:szCs w:val="20"/>
        </w:rPr>
        <w:t>Compensación colectiva a través de un fondo de desarrollo</w:t>
      </w:r>
      <w:bookmarkEnd w:id="128"/>
    </w:p>
    <w:p w14:paraId="0C704C5D" w14:textId="77777777" w:rsidR="00A140E5" w:rsidRPr="00A140E5" w:rsidRDefault="00A140E5" w:rsidP="00A140E5">
      <w:pPr>
        <w:keepNext/>
        <w:keepLines/>
        <w:jc w:val="both"/>
        <w:outlineLvl w:val="1"/>
        <w:rPr>
          <w:rFonts w:ascii="Verdana" w:eastAsia="Times New Roman" w:hAnsi="Verdana"/>
          <w:b/>
          <w:bCs/>
          <w:color w:val="4F81BD"/>
          <w:sz w:val="20"/>
          <w:szCs w:val="20"/>
          <w:lang w:val="es-CR"/>
        </w:rPr>
      </w:pPr>
    </w:p>
    <w:p w14:paraId="0C704C5E" w14:textId="55819219"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solicitó a la Corte que ordene al Estado reparar en el ámbito individual y colectivo las consecuencias de la violación de los derechos enunciados, en especial por la falta de saneamiento de su territorio ancestral </w:t>
      </w:r>
      <w:r w:rsidR="00144A1F">
        <w:rPr>
          <w:rFonts w:ascii="Verdana" w:hAnsi="Verdana"/>
          <w:sz w:val="20"/>
          <w:szCs w:val="20"/>
        </w:rPr>
        <w:t>y por</w:t>
      </w:r>
      <w:r w:rsidR="00144A1F" w:rsidRPr="00A140E5">
        <w:rPr>
          <w:rFonts w:ascii="Verdana" w:hAnsi="Verdana"/>
          <w:sz w:val="20"/>
          <w:szCs w:val="20"/>
        </w:rPr>
        <w:t xml:space="preserve"> </w:t>
      </w:r>
      <w:r w:rsidRPr="00A140E5">
        <w:rPr>
          <w:rFonts w:ascii="Verdana" w:hAnsi="Verdana"/>
          <w:sz w:val="20"/>
          <w:szCs w:val="20"/>
        </w:rPr>
        <w:t>los daños provocados en el propio territorio por el accionar de terceros. Asimismo, en sus observaciones finales escritas señaló que esta obligación busca compensar los daños sufridos por la falta de posesión pacífica de parte importante de su territorio por más de veinte años.</w:t>
      </w:r>
    </w:p>
    <w:p w14:paraId="0C704C5F" w14:textId="77777777" w:rsidR="00A140E5" w:rsidRPr="00A140E5" w:rsidRDefault="00A140E5" w:rsidP="00A140E5">
      <w:pPr>
        <w:jc w:val="both"/>
        <w:rPr>
          <w:rFonts w:ascii="Verdana" w:hAnsi="Verdana"/>
          <w:sz w:val="20"/>
          <w:szCs w:val="20"/>
        </w:rPr>
      </w:pPr>
    </w:p>
    <w:p w14:paraId="0C704C60" w14:textId="76A93C1A"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Los </w:t>
      </w:r>
      <w:r w:rsidRPr="00A140E5">
        <w:rPr>
          <w:rFonts w:ascii="Verdana" w:hAnsi="Verdana"/>
          <w:b/>
          <w:i/>
          <w:sz w:val="20"/>
          <w:szCs w:val="20"/>
        </w:rPr>
        <w:t>representantes</w:t>
      </w:r>
      <w:r w:rsidRPr="00A140E5">
        <w:rPr>
          <w:rFonts w:ascii="Verdana" w:hAnsi="Verdana"/>
          <w:sz w:val="20"/>
          <w:szCs w:val="20"/>
        </w:rPr>
        <w:t xml:space="preserve"> solicitaron la reparación del daño emergente en términos de la pérdida y detrimento económico que se ha generado en la </w:t>
      </w:r>
      <w:r w:rsidR="00ED6BFF">
        <w:rPr>
          <w:rFonts w:ascii="Verdana" w:hAnsi="Verdana"/>
          <w:sz w:val="20"/>
          <w:szCs w:val="20"/>
        </w:rPr>
        <w:t>C</w:t>
      </w:r>
      <w:r w:rsidRPr="00A140E5">
        <w:rPr>
          <w:rFonts w:ascii="Verdana" w:hAnsi="Verdana"/>
          <w:sz w:val="20"/>
          <w:szCs w:val="20"/>
        </w:rPr>
        <w:t>omunidad, como colectividad, por la falta de acceso y usufructo tradicional de los recursos naturales. Adicionalmente, solicitaron una serie de reparaciones con el ánimo de: a) mejorar la capacidad productiva</w:t>
      </w:r>
      <w:r w:rsidRPr="00A140E5">
        <w:rPr>
          <w:rFonts w:ascii="Verdana" w:hAnsi="Verdana"/>
          <w:sz w:val="20"/>
          <w:szCs w:val="20"/>
          <w:vertAlign w:val="superscript"/>
        </w:rPr>
        <w:footnoteReference w:id="342"/>
      </w:r>
      <w:r w:rsidRPr="00A140E5">
        <w:rPr>
          <w:rFonts w:ascii="Verdana" w:hAnsi="Verdana"/>
          <w:sz w:val="20"/>
          <w:szCs w:val="20"/>
        </w:rPr>
        <w:t>; b) recuperar el área de bosque</w:t>
      </w:r>
      <w:r w:rsidRPr="00A140E5">
        <w:rPr>
          <w:rFonts w:ascii="Verdana" w:hAnsi="Verdana"/>
          <w:sz w:val="20"/>
          <w:szCs w:val="20"/>
          <w:vertAlign w:val="superscript"/>
        </w:rPr>
        <w:footnoteReference w:id="343"/>
      </w:r>
      <w:r w:rsidRPr="00A140E5">
        <w:rPr>
          <w:rFonts w:ascii="Verdana" w:hAnsi="Verdana"/>
          <w:sz w:val="20"/>
          <w:szCs w:val="20"/>
        </w:rPr>
        <w:t xml:space="preserve">, c) mejorar el servicio </w:t>
      </w:r>
      <w:r w:rsidRPr="00A140E5">
        <w:rPr>
          <w:rFonts w:ascii="Verdana" w:hAnsi="Verdana"/>
          <w:sz w:val="20"/>
          <w:szCs w:val="20"/>
        </w:rPr>
        <w:lastRenderedPageBreak/>
        <w:t>eléctrico</w:t>
      </w:r>
      <w:r w:rsidRPr="00A140E5">
        <w:rPr>
          <w:rFonts w:ascii="Verdana" w:hAnsi="Verdana"/>
          <w:sz w:val="20"/>
          <w:szCs w:val="20"/>
          <w:vertAlign w:val="superscript"/>
        </w:rPr>
        <w:footnoteReference w:id="344"/>
      </w:r>
      <w:r w:rsidRPr="00A140E5">
        <w:rPr>
          <w:rFonts w:ascii="Verdana" w:hAnsi="Verdana"/>
          <w:sz w:val="20"/>
          <w:szCs w:val="20"/>
        </w:rPr>
        <w:t>; d) prevenir desastres naturales</w:t>
      </w:r>
      <w:r w:rsidRPr="00A140E5">
        <w:rPr>
          <w:rFonts w:ascii="Verdana" w:hAnsi="Verdana"/>
          <w:sz w:val="20"/>
          <w:szCs w:val="20"/>
          <w:vertAlign w:val="superscript"/>
        </w:rPr>
        <w:footnoteReference w:id="345"/>
      </w:r>
      <w:r w:rsidRPr="00A140E5">
        <w:rPr>
          <w:rFonts w:ascii="Verdana" w:hAnsi="Verdana"/>
          <w:sz w:val="20"/>
          <w:szCs w:val="20"/>
        </w:rPr>
        <w:t xml:space="preserve">; e) crear un parque de recreación con iluminación, y f) crear un centro cultural y museo. </w:t>
      </w:r>
      <w:r w:rsidR="00BB14B7">
        <w:rPr>
          <w:rFonts w:ascii="Verdana" w:hAnsi="Verdana"/>
          <w:sz w:val="20"/>
          <w:szCs w:val="20"/>
        </w:rPr>
        <w:t>Asimismo, l</w:t>
      </w:r>
      <w:r w:rsidRPr="00A140E5">
        <w:rPr>
          <w:rFonts w:ascii="Verdana" w:hAnsi="Verdana"/>
          <w:sz w:val="20"/>
          <w:szCs w:val="20"/>
        </w:rPr>
        <w:t xml:space="preserve">os representantes señalaron que el patronato es una forma de organización municipal impuesta.  </w:t>
      </w:r>
    </w:p>
    <w:p w14:paraId="0C704C61" w14:textId="77777777" w:rsidR="00A140E5" w:rsidRPr="00A140E5" w:rsidRDefault="00A140E5" w:rsidP="00A140E5">
      <w:pPr>
        <w:jc w:val="both"/>
        <w:rPr>
          <w:rFonts w:ascii="Verdana" w:hAnsi="Verdana"/>
          <w:sz w:val="20"/>
          <w:szCs w:val="20"/>
        </w:rPr>
      </w:pPr>
    </w:p>
    <w:p w14:paraId="0C704C62" w14:textId="1CFDEB31"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Por su parte, el </w:t>
      </w:r>
      <w:r w:rsidRPr="00A140E5">
        <w:rPr>
          <w:rFonts w:ascii="Verdana" w:hAnsi="Verdana"/>
          <w:b/>
          <w:i/>
          <w:sz w:val="20"/>
          <w:szCs w:val="20"/>
        </w:rPr>
        <w:t>Estado</w:t>
      </w:r>
      <w:r w:rsidRPr="00A140E5">
        <w:rPr>
          <w:rFonts w:ascii="Verdana" w:hAnsi="Verdana"/>
          <w:sz w:val="20"/>
          <w:szCs w:val="20"/>
        </w:rPr>
        <w:t xml:space="preserve"> rechazó de forma general las pretensiones planteadas por la Comisión y los representantes.</w:t>
      </w:r>
    </w:p>
    <w:p w14:paraId="0C704C63" w14:textId="77777777" w:rsidR="00A140E5" w:rsidRPr="00A140E5" w:rsidRDefault="00A140E5" w:rsidP="00A140E5">
      <w:pPr>
        <w:jc w:val="both"/>
        <w:rPr>
          <w:rFonts w:ascii="Verdana" w:hAnsi="Verdana"/>
          <w:sz w:val="20"/>
          <w:szCs w:val="20"/>
        </w:rPr>
      </w:pPr>
    </w:p>
    <w:p w14:paraId="0C704C64" w14:textId="39996C5F"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En vista de que el Estado fue encontrado responsable por la violación de los artículos 21 y 25 de la Convención, así como con motivo de que la variedad de las medidas de reparación solicitadas por los representantes pretenden en su conjunto el </w:t>
      </w:r>
      <w:r w:rsidR="00BB14B7">
        <w:rPr>
          <w:rFonts w:ascii="Verdana" w:hAnsi="Verdana"/>
          <w:sz w:val="20"/>
          <w:szCs w:val="20"/>
        </w:rPr>
        <w:t xml:space="preserve">desarrollo y </w:t>
      </w:r>
      <w:r w:rsidRPr="00A140E5">
        <w:rPr>
          <w:rFonts w:ascii="Verdana" w:hAnsi="Verdana"/>
          <w:sz w:val="20"/>
          <w:szCs w:val="20"/>
        </w:rPr>
        <w:t>mejoramiento de la productividad del territorio de la Comunidad</w:t>
      </w:r>
      <w:r w:rsidR="003B5BF3">
        <w:rPr>
          <w:rFonts w:ascii="Verdana" w:hAnsi="Verdana"/>
          <w:sz w:val="20"/>
          <w:szCs w:val="20"/>
        </w:rPr>
        <w:t xml:space="preserve"> (</w:t>
      </w:r>
      <w:r w:rsidR="003B5BF3" w:rsidRPr="00A0324F">
        <w:rPr>
          <w:rFonts w:ascii="Verdana" w:hAnsi="Verdana"/>
          <w:i/>
          <w:sz w:val="20"/>
          <w:szCs w:val="20"/>
        </w:rPr>
        <w:t>supra</w:t>
      </w:r>
      <w:r w:rsidR="003B5BF3">
        <w:rPr>
          <w:rFonts w:ascii="Verdana" w:hAnsi="Verdana"/>
          <w:sz w:val="20"/>
          <w:szCs w:val="20"/>
        </w:rPr>
        <w:t xml:space="preserve"> párr. 316)</w:t>
      </w:r>
      <w:r w:rsidRPr="00A140E5">
        <w:rPr>
          <w:rFonts w:ascii="Verdana" w:hAnsi="Verdana"/>
          <w:sz w:val="20"/>
          <w:szCs w:val="20"/>
        </w:rPr>
        <w:t>, como lo ha hecho en casos anteriores</w:t>
      </w:r>
      <w:r w:rsidRPr="00A140E5">
        <w:rPr>
          <w:rFonts w:ascii="Verdana" w:hAnsi="Verdana"/>
          <w:sz w:val="20"/>
          <w:szCs w:val="20"/>
          <w:vertAlign w:val="superscript"/>
        </w:rPr>
        <w:footnoteReference w:id="346"/>
      </w:r>
      <w:r w:rsidRPr="00A140E5">
        <w:rPr>
          <w:rFonts w:ascii="Verdana" w:hAnsi="Verdana"/>
          <w:sz w:val="20"/>
          <w:szCs w:val="20"/>
        </w:rPr>
        <w:t xml:space="preserve">, la Corte estima apropiado analizar dichas medidas a la luz de la creación de un fondo de desarrollo comunitario como compensación por el daño material e inmaterial que los miembros de la Comunidad han sufrido. En este sentido, dicho fondo es adicional a cualquier otro beneficio presente o futuro que le corresponda a la Comunidad de Punta Piedra </w:t>
      </w:r>
      <w:r w:rsidR="00BB14B7">
        <w:rPr>
          <w:rFonts w:ascii="Verdana" w:hAnsi="Verdana"/>
          <w:sz w:val="20"/>
          <w:szCs w:val="20"/>
        </w:rPr>
        <w:t>con motivo de</w:t>
      </w:r>
      <w:r w:rsidRPr="00A140E5">
        <w:rPr>
          <w:rFonts w:ascii="Verdana" w:hAnsi="Verdana"/>
          <w:sz w:val="20"/>
          <w:szCs w:val="20"/>
        </w:rPr>
        <w:t xml:space="preserve"> los deberes generales de desarrollo del Estado. </w:t>
      </w:r>
    </w:p>
    <w:p w14:paraId="0C704C65" w14:textId="77777777" w:rsidR="00A140E5" w:rsidRPr="00A140E5" w:rsidRDefault="00A140E5" w:rsidP="00286EBD">
      <w:pPr>
        <w:tabs>
          <w:tab w:val="left" w:pos="3125"/>
        </w:tabs>
        <w:contextualSpacing/>
        <w:jc w:val="both"/>
        <w:rPr>
          <w:rFonts w:ascii="Verdana" w:hAnsi="Verdana"/>
          <w:sz w:val="20"/>
          <w:szCs w:val="20"/>
        </w:rPr>
      </w:pPr>
    </w:p>
    <w:p w14:paraId="0C704C66" w14:textId="7A23ED15"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En atención a las medidas de reparación solicitadas por la Comisión y los representantes</w:t>
      </w:r>
      <w:r w:rsidR="0051295B">
        <w:rPr>
          <w:rFonts w:ascii="Verdana" w:hAnsi="Verdana"/>
          <w:sz w:val="20"/>
          <w:szCs w:val="20"/>
        </w:rPr>
        <w:t>,</w:t>
      </w:r>
      <w:r w:rsidRPr="00A140E5">
        <w:rPr>
          <w:rFonts w:ascii="Verdana" w:hAnsi="Verdana"/>
          <w:sz w:val="20"/>
          <w:szCs w:val="20"/>
        </w:rPr>
        <w:t xml:space="preserve"> la desposesión de su territorio, los daños ocasionados al mismo y que los pueblos indígenas tienen derecho a la conservación y protección de su medio ambiente y de la capacidad productiva de sus territorios y recursos naturales</w:t>
      </w:r>
      <w:r w:rsidRPr="00A140E5">
        <w:rPr>
          <w:rFonts w:ascii="Verdana" w:hAnsi="Verdana"/>
          <w:sz w:val="20"/>
          <w:szCs w:val="20"/>
          <w:vertAlign w:val="superscript"/>
        </w:rPr>
        <w:footnoteReference w:id="347"/>
      </w:r>
      <w:r w:rsidRPr="00A140E5">
        <w:rPr>
          <w:rFonts w:ascii="Verdana" w:hAnsi="Verdana"/>
          <w:sz w:val="20"/>
          <w:szCs w:val="20"/>
        </w:rPr>
        <w:t xml:space="preserve">, </w:t>
      </w:r>
      <w:r w:rsidR="0051295B">
        <w:rPr>
          <w:rFonts w:ascii="Verdana" w:hAnsi="Verdana"/>
          <w:sz w:val="20"/>
          <w:szCs w:val="20"/>
        </w:rPr>
        <w:t xml:space="preserve">la Corte ordena que </w:t>
      </w:r>
      <w:r w:rsidRPr="00A140E5">
        <w:rPr>
          <w:rFonts w:ascii="Verdana" w:hAnsi="Verdana"/>
          <w:sz w:val="20"/>
          <w:szCs w:val="20"/>
        </w:rPr>
        <w:t xml:space="preserve">el fondo sea destinado con los objetivos de: i) desarrollar proyectos orientados a aumentar la productividad agrícola o de otra índole en la Comunidad; ii) mejorar la infraestructura de la Comunidad de acuerdo con sus necesidades </w:t>
      </w:r>
      <w:r w:rsidRPr="0051295B">
        <w:rPr>
          <w:rFonts w:ascii="Verdana" w:hAnsi="Verdana"/>
          <w:sz w:val="20"/>
          <w:szCs w:val="20"/>
        </w:rPr>
        <w:t xml:space="preserve">presentes y futuras; iii) restaurar las </w:t>
      </w:r>
      <w:r w:rsidR="003B5BF3">
        <w:rPr>
          <w:rFonts w:ascii="Verdana" w:hAnsi="Verdana"/>
          <w:sz w:val="20"/>
          <w:szCs w:val="20"/>
        </w:rPr>
        <w:t>áreas</w:t>
      </w:r>
      <w:r w:rsidRPr="0051295B">
        <w:rPr>
          <w:rFonts w:ascii="Verdana" w:hAnsi="Verdana"/>
          <w:sz w:val="20"/>
          <w:szCs w:val="20"/>
        </w:rPr>
        <w:t xml:space="preserve"> deforestadas, y iv) otro</w:t>
      </w:r>
      <w:r w:rsidR="00BD39BE" w:rsidRPr="0051295B">
        <w:rPr>
          <w:rFonts w:ascii="Verdana" w:hAnsi="Verdana"/>
          <w:sz w:val="20"/>
          <w:szCs w:val="20"/>
        </w:rPr>
        <w:t xml:space="preserve">s que consideren pertinentes </w:t>
      </w:r>
      <w:r w:rsidR="0086236B" w:rsidRPr="00A0324F">
        <w:rPr>
          <w:rFonts w:ascii="Verdana" w:hAnsi="Verdana"/>
          <w:sz w:val="20"/>
          <w:szCs w:val="20"/>
        </w:rPr>
        <w:t>para el beneficio de la Comunidad de Punta Piedra</w:t>
      </w:r>
      <w:r w:rsidR="00BD39BE" w:rsidRPr="00A0324F">
        <w:rPr>
          <w:rFonts w:ascii="Verdana" w:hAnsi="Verdana"/>
          <w:sz w:val="20"/>
          <w:szCs w:val="20"/>
        </w:rPr>
        <w:t>.</w:t>
      </w:r>
      <w:r w:rsidR="00BD39BE">
        <w:rPr>
          <w:rFonts w:ascii="Verdana" w:hAnsi="Verdana"/>
          <w:sz w:val="20"/>
          <w:szCs w:val="20"/>
        </w:rPr>
        <w:t xml:space="preserve"> </w:t>
      </w:r>
    </w:p>
    <w:p w14:paraId="0C704C67" w14:textId="77777777" w:rsidR="00A140E5" w:rsidRPr="00A140E5" w:rsidRDefault="00A140E5" w:rsidP="00A140E5">
      <w:pPr>
        <w:ind w:left="720"/>
        <w:contextualSpacing/>
        <w:jc w:val="both"/>
        <w:rPr>
          <w:rFonts w:ascii="Verdana" w:hAnsi="Verdana"/>
          <w:sz w:val="20"/>
          <w:szCs w:val="20"/>
        </w:rPr>
      </w:pPr>
    </w:p>
    <w:p w14:paraId="0C704C68" w14:textId="1462E6CE" w:rsidR="00A140E5" w:rsidRPr="0051295B" w:rsidRDefault="00A140E5" w:rsidP="00A140E5">
      <w:pPr>
        <w:numPr>
          <w:ilvl w:val="0"/>
          <w:numId w:val="17"/>
        </w:numPr>
        <w:ind w:left="0" w:hanging="11"/>
        <w:contextualSpacing/>
        <w:jc w:val="both"/>
        <w:rPr>
          <w:rFonts w:ascii="Verdana" w:hAnsi="Verdana"/>
          <w:sz w:val="20"/>
          <w:szCs w:val="20"/>
        </w:rPr>
      </w:pPr>
      <w:r w:rsidRPr="0051295B">
        <w:rPr>
          <w:rFonts w:ascii="Verdana" w:hAnsi="Verdana"/>
          <w:sz w:val="20"/>
          <w:szCs w:val="20"/>
        </w:rPr>
        <w:t xml:space="preserve">El Estado deberá adoptar todas las medidas administrativas, legislativas, financieras y de recursos humanos necesarios para la implementación de este fondo, para lo cual, </w:t>
      </w:r>
      <w:r w:rsidR="0086236B" w:rsidRPr="00A0324F">
        <w:rPr>
          <w:rFonts w:ascii="Verdana" w:hAnsi="Verdana"/>
          <w:sz w:val="20"/>
          <w:szCs w:val="20"/>
        </w:rPr>
        <w:t>en el plazo de tres meses a partir de la notificación de la Sentencia,</w:t>
      </w:r>
      <w:r w:rsidRPr="0051295B">
        <w:rPr>
          <w:rFonts w:ascii="Verdana" w:hAnsi="Verdana"/>
          <w:sz w:val="20"/>
          <w:szCs w:val="20"/>
        </w:rPr>
        <w:t xml:space="preserve"> deberá nombrar una autoridad con competencia en la materia, a cargo de la administración del </w:t>
      </w:r>
      <w:r w:rsidR="0051295B">
        <w:rPr>
          <w:rFonts w:ascii="Verdana" w:hAnsi="Verdana"/>
          <w:sz w:val="20"/>
          <w:szCs w:val="20"/>
        </w:rPr>
        <w:t>fondo</w:t>
      </w:r>
      <w:r w:rsidRPr="0051295B">
        <w:rPr>
          <w:rFonts w:ascii="Verdana" w:hAnsi="Verdana"/>
          <w:sz w:val="20"/>
          <w:szCs w:val="20"/>
        </w:rPr>
        <w:t xml:space="preserve">. Por su parte, la Comunidad de Punta Piedra </w:t>
      </w:r>
      <w:r w:rsidR="0086236B" w:rsidRPr="00A0324F">
        <w:rPr>
          <w:rFonts w:ascii="Verdana" w:hAnsi="Verdana"/>
          <w:sz w:val="20"/>
          <w:szCs w:val="20"/>
        </w:rPr>
        <w:t>deberá elegir una representación</w:t>
      </w:r>
      <w:r w:rsidRPr="0051295B">
        <w:rPr>
          <w:rFonts w:ascii="Verdana" w:hAnsi="Verdana"/>
          <w:sz w:val="20"/>
          <w:szCs w:val="20"/>
        </w:rPr>
        <w:t xml:space="preserve"> para la interlocución con el Estado, a fin de que la implementación del fondo se realice conforme lo disponga la Comunidad. </w:t>
      </w:r>
    </w:p>
    <w:p w14:paraId="0C704C69" w14:textId="77777777" w:rsidR="00A140E5" w:rsidRPr="00A140E5" w:rsidRDefault="00A140E5" w:rsidP="00A140E5">
      <w:pPr>
        <w:rPr>
          <w:rFonts w:ascii="Verdana" w:hAnsi="Verdana"/>
          <w:sz w:val="20"/>
          <w:szCs w:val="20"/>
        </w:rPr>
      </w:pPr>
    </w:p>
    <w:p w14:paraId="0C704C6A" w14:textId="77777777" w:rsidR="00A140E5" w:rsidRPr="0051295B" w:rsidRDefault="00A140E5" w:rsidP="00A140E5">
      <w:pPr>
        <w:numPr>
          <w:ilvl w:val="0"/>
          <w:numId w:val="17"/>
        </w:numPr>
        <w:ind w:left="0" w:hanging="11"/>
        <w:contextualSpacing/>
        <w:jc w:val="both"/>
      </w:pPr>
      <w:r w:rsidRPr="0051295B">
        <w:rPr>
          <w:rFonts w:ascii="Verdana" w:hAnsi="Verdana"/>
          <w:sz w:val="20"/>
          <w:szCs w:val="20"/>
        </w:rPr>
        <w:t xml:space="preserve">Para dicho fondo, el Estado deberá destinar la cantidad de US$ </w:t>
      </w:r>
      <w:r w:rsidR="0086236B" w:rsidRPr="00A0324F">
        <w:rPr>
          <w:rFonts w:ascii="Verdana" w:hAnsi="Verdana"/>
          <w:sz w:val="20"/>
          <w:szCs w:val="20"/>
        </w:rPr>
        <w:t>1,500,000.</w:t>
      </w:r>
      <w:r w:rsidRPr="0051295B">
        <w:rPr>
          <w:rFonts w:ascii="Verdana" w:hAnsi="Verdana"/>
          <w:sz w:val="20"/>
          <w:szCs w:val="20"/>
        </w:rPr>
        <w:t>00 (un millón quinientos mil dólares de los Estados Unidos de América),</w:t>
      </w:r>
      <w:r w:rsidR="0086236B" w:rsidRPr="00A0324F">
        <w:rPr>
          <w:rFonts w:ascii="Verdana" w:hAnsi="Verdana"/>
          <w:sz w:val="20"/>
          <w:szCs w:val="20"/>
        </w:rPr>
        <w:t xml:space="preserve"> la cual será </w:t>
      </w:r>
      <w:r w:rsidR="0086236B" w:rsidRPr="00A0324F">
        <w:rPr>
          <w:rFonts w:ascii="Verdana" w:hAnsi="Verdana"/>
          <w:sz w:val="20"/>
          <w:szCs w:val="20"/>
        </w:rPr>
        <w:lastRenderedPageBreak/>
        <w:t xml:space="preserve">invertida para el beneficio del territorio titulado de la Comunidad de Punta Piedra en el periodo no mayor a tres años a partir de la notificación de la presente Sentencia. </w:t>
      </w:r>
    </w:p>
    <w:p w14:paraId="0C704C6B" w14:textId="77777777" w:rsidR="00A140E5" w:rsidRPr="00A140E5" w:rsidRDefault="00A140E5" w:rsidP="00A140E5">
      <w:pPr>
        <w:rPr>
          <w:rFonts w:ascii="Verdana" w:hAnsi="Verdana"/>
          <w:sz w:val="20"/>
          <w:szCs w:val="20"/>
        </w:rPr>
      </w:pPr>
    </w:p>
    <w:p w14:paraId="0C704C6C" w14:textId="77777777" w:rsidR="00A140E5" w:rsidRDefault="00A140E5" w:rsidP="00A140E5">
      <w:pPr>
        <w:numPr>
          <w:ilvl w:val="0"/>
          <w:numId w:val="17"/>
        </w:numPr>
        <w:ind w:left="0" w:hanging="11"/>
        <w:contextualSpacing/>
        <w:jc w:val="both"/>
        <w:rPr>
          <w:rFonts w:ascii="Verdana" w:hAnsi="Verdana"/>
          <w:sz w:val="20"/>
          <w:szCs w:val="20"/>
        </w:rPr>
      </w:pPr>
      <w:r w:rsidRPr="0051295B">
        <w:rPr>
          <w:rFonts w:ascii="Verdana" w:hAnsi="Verdana"/>
          <w:sz w:val="20"/>
          <w:szCs w:val="20"/>
        </w:rPr>
        <w:t xml:space="preserve">Finalmente, la Corte establece que </w:t>
      </w:r>
      <w:r w:rsidR="00BD39BE" w:rsidRPr="0051295B">
        <w:rPr>
          <w:rFonts w:ascii="Verdana" w:hAnsi="Verdana"/>
          <w:sz w:val="20"/>
          <w:szCs w:val="20"/>
        </w:rPr>
        <w:t xml:space="preserve">las partes deberán remitir al Tribunal </w:t>
      </w:r>
      <w:r w:rsidRPr="0051295B">
        <w:rPr>
          <w:rFonts w:ascii="Verdana" w:hAnsi="Verdana"/>
          <w:sz w:val="20"/>
          <w:szCs w:val="20"/>
        </w:rPr>
        <w:t xml:space="preserve">un informe </w:t>
      </w:r>
      <w:r w:rsidR="0086236B" w:rsidRPr="00A0324F">
        <w:rPr>
          <w:rFonts w:ascii="Verdana" w:hAnsi="Verdana"/>
          <w:sz w:val="20"/>
          <w:szCs w:val="20"/>
        </w:rPr>
        <w:t>anual durante el periodo de ejecución,</w:t>
      </w:r>
      <w:r w:rsidRPr="0051295B">
        <w:rPr>
          <w:rFonts w:ascii="Verdana" w:hAnsi="Verdana"/>
          <w:sz w:val="20"/>
          <w:szCs w:val="20"/>
        </w:rPr>
        <w:t xml:space="preserve"> en el cual se detallen los proyectos en los cuales se invertirá el monto destinado al Fondo.</w:t>
      </w:r>
    </w:p>
    <w:p w14:paraId="6D31C0FC" w14:textId="77777777" w:rsidR="003B5BF3" w:rsidRPr="0051295B" w:rsidRDefault="003B5BF3" w:rsidP="00A0324F">
      <w:pPr>
        <w:contextualSpacing/>
        <w:jc w:val="both"/>
        <w:rPr>
          <w:rFonts w:ascii="Verdana" w:hAnsi="Verdana"/>
          <w:sz w:val="20"/>
          <w:szCs w:val="20"/>
        </w:rPr>
      </w:pPr>
    </w:p>
    <w:p w14:paraId="0C704C6E" w14:textId="313D2449"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29" w:name="_Toc437247383"/>
      <w:r w:rsidRPr="00A140E5">
        <w:rPr>
          <w:rFonts w:ascii="Verdana" w:eastAsia="Times New Roman" w:hAnsi="Verdana"/>
          <w:b/>
          <w:bCs/>
          <w:i/>
          <w:sz w:val="20"/>
          <w:szCs w:val="20"/>
        </w:rPr>
        <w:t xml:space="preserve">Satisfacción: </w:t>
      </w:r>
      <w:r w:rsidR="00B803FE">
        <w:rPr>
          <w:rFonts w:ascii="Verdana" w:eastAsia="Times New Roman" w:hAnsi="Verdana"/>
          <w:b/>
          <w:bCs/>
          <w:i/>
          <w:sz w:val="20"/>
          <w:szCs w:val="20"/>
        </w:rPr>
        <w:t>p</w:t>
      </w:r>
      <w:r w:rsidRPr="00A140E5">
        <w:rPr>
          <w:rFonts w:ascii="Verdana" w:eastAsia="Times New Roman" w:hAnsi="Verdana"/>
          <w:b/>
          <w:bCs/>
          <w:i/>
          <w:sz w:val="20"/>
          <w:szCs w:val="20"/>
        </w:rPr>
        <w:t>ublicación y radiodifusión de la Sentencia</w:t>
      </w:r>
      <w:bookmarkEnd w:id="129"/>
    </w:p>
    <w:p w14:paraId="0C704C6F" w14:textId="77777777" w:rsidR="00A140E5" w:rsidRPr="00A140E5" w:rsidRDefault="00A140E5" w:rsidP="00A140E5">
      <w:pPr>
        <w:jc w:val="both"/>
        <w:rPr>
          <w:rFonts w:ascii="Verdana" w:hAnsi="Verdana"/>
          <w:sz w:val="20"/>
          <w:szCs w:val="20"/>
        </w:rPr>
      </w:pPr>
    </w:p>
    <w:p w14:paraId="0C704C70" w14:textId="1A39791C" w:rsidR="00A140E5" w:rsidRPr="00A140E5" w:rsidRDefault="00A140E5" w:rsidP="00A140E5">
      <w:pPr>
        <w:numPr>
          <w:ilvl w:val="0"/>
          <w:numId w:val="17"/>
        </w:numPr>
        <w:ind w:left="0" w:hanging="11"/>
        <w:contextualSpacing/>
        <w:jc w:val="both"/>
        <w:rPr>
          <w:rFonts w:ascii="Verdana" w:hAnsi="Verdana"/>
          <w:sz w:val="18"/>
          <w:szCs w:val="20"/>
        </w:rPr>
      </w:pPr>
      <w:r w:rsidRPr="00A140E5">
        <w:rPr>
          <w:rFonts w:ascii="Verdana" w:hAnsi="Verdana"/>
          <w:snapToGrid w:val="0"/>
          <w:spacing w:val="-2"/>
          <w:kern w:val="32"/>
          <w:sz w:val="20"/>
          <w:szCs w:val="20"/>
          <w:lang w:eastAsia="es-ES"/>
        </w:rPr>
        <w:t xml:space="preserve">Ni los </w:t>
      </w:r>
      <w:r w:rsidRPr="00A140E5">
        <w:rPr>
          <w:rFonts w:ascii="Verdana" w:hAnsi="Verdana"/>
          <w:b/>
          <w:i/>
          <w:snapToGrid w:val="0"/>
          <w:spacing w:val="-2"/>
          <w:kern w:val="32"/>
          <w:sz w:val="20"/>
          <w:szCs w:val="20"/>
          <w:lang w:eastAsia="es-ES"/>
        </w:rPr>
        <w:t>representantes</w:t>
      </w:r>
      <w:r w:rsidRPr="00A140E5">
        <w:rPr>
          <w:rFonts w:ascii="Verdana" w:hAnsi="Verdana"/>
          <w:snapToGrid w:val="0"/>
          <w:spacing w:val="-2"/>
          <w:kern w:val="32"/>
          <w:sz w:val="20"/>
          <w:szCs w:val="20"/>
          <w:lang w:eastAsia="es-ES"/>
        </w:rPr>
        <w:t xml:space="preserve">, ni la </w:t>
      </w:r>
      <w:r w:rsidRPr="00A140E5">
        <w:rPr>
          <w:rFonts w:ascii="Verdana" w:hAnsi="Verdana"/>
          <w:b/>
          <w:i/>
          <w:snapToGrid w:val="0"/>
          <w:spacing w:val="-2"/>
          <w:kern w:val="32"/>
          <w:sz w:val="20"/>
          <w:szCs w:val="20"/>
          <w:lang w:eastAsia="es-ES"/>
        </w:rPr>
        <w:t>Comisión,</w:t>
      </w:r>
      <w:r w:rsidRPr="00A140E5">
        <w:rPr>
          <w:rFonts w:ascii="Verdana" w:hAnsi="Verdana"/>
          <w:snapToGrid w:val="0"/>
          <w:spacing w:val="-2"/>
          <w:kern w:val="32"/>
          <w:sz w:val="20"/>
          <w:szCs w:val="20"/>
          <w:lang w:eastAsia="es-ES"/>
        </w:rPr>
        <w:t xml:space="preserve"> ni el </w:t>
      </w:r>
      <w:r w:rsidRPr="00A140E5">
        <w:rPr>
          <w:rFonts w:ascii="Verdana" w:hAnsi="Verdana"/>
          <w:b/>
          <w:i/>
          <w:snapToGrid w:val="0"/>
          <w:spacing w:val="-2"/>
          <w:kern w:val="32"/>
          <w:sz w:val="20"/>
          <w:szCs w:val="20"/>
          <w:lang w:eastAsia="es-ES"/>
        </w:rPr>
        <w:t>Estado</w:t>
      </w:r>
      <w:r w:rsidRPr="00A140E5">
        <w:rPr>
          <w:rFonts w:ascii="Verdana" w:hAnsi="Verdana"/>
          <w:snapToGrid w:val="0"/>
          <w:spacing w:val="-2"/>
          <w:kern w:val="32"/>
          <w:sz w:val="20"/>
          <w:szCs w:val="20"/>
          <w:lang w:eastAsia="es-ES"/>
        </w:rPr>
        <w:t xml:space="preserve"> se </w:t>
      </w:r>
      <w:r w:rsidRPr="00A140E5">
        <w:rPr>
          <w:rFonts w:ascii="Verdana" w:hAnsi="Verdana"/>
          <w:spacing w:val="-2"/>
          <w:sz w:val="20"/>
          <w:szCs w:val="20"/>
        </w:rPr>
        <w:t>refirieron</w:t>
      </w:r>
      <w:r w:rsidRPr="00A140E5">
        <w:rPr>
          <w:rFonts w:ascii="Verdana" w:hAnsi="Verdana"/>
          <w:snapToGrid w:val="0"/>
          <w:spacing w:val="-2"/>
          <w:kern w:val="32"/>
          <w:sz w:val="20"/>
          <w:szCs w:val="20"/>
          <w:lang w:eastAsia="es-ES"/>
        </w:rPr>
        <w:t xml:space="preserve"> a esta medida de reparación.</w:t>
      </w:r>
    </w:p>
    <w:p w14:paraId="0C704C71" w14:textId="77777777" w:rsidR="00A140E5" w:rsidRPr="00A140E5" w:rsidRDefault="00A140E5" w:rsidP="00A140E5">
      <w:pPr>
        <w:contextualSpacing/>
        <w:jc w:val="both"/>
        <w:rPr>
          <w:rFonts w:ascii="Verdana" w:hAnsi="Verdana"/>
          <w:sz w:val="18"/>
          <w:szCs w:val="20"/>
        </w:rPr>
      </w:pPr>
    </w:p>
    <w:p w14:paraId="0C704C72" w14:textId="29E7F852"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napToGrid w:val="0"/>
          <w:spacing w:val="-2"/>
          <w:kern w:val="32"/>
          <w:sz w:val="20"/>
          <w:szCs w:val="20"/>
          <w:lang w:eastAsia="es-ES"/>
        </w:rPr>
        <w:t>A pesar de lo anterior, e</w:t>
      </w:r>
      <w:r w:rsidRPr="00A140E5">
        <w:rPr>
          <w:rFonts w:ascii="Verdana" w:hAnsi="Verdana"/>
          <w:spacing w:val="-2"/>
          <w:sz w:val="20"/>
          <w:szCs w:val="20"/>
        </w:rPr>
        <w:t>n vista de las violaciones declaradas en el presente Fallo,</w:t>
      </w:r>
      <w:r w:rsidRPr="00A140E5">
        <w:rPr>
          <w:rFonts w:ascii="Verdana" w:hAnsi="Verdana"/>
          <w:sz w:val="20"/>
          <w:szCs w:val="20"/>
        </w:rPr>
        <w:t xml:space="preserve"> </w:t>
      </w:r>
      <w:r w:rsidRPr="00A140E5">
        <w:rPr>
          <w:rFonts w:ascii="Verdana" w:hAnsi="Verdana" w:cs="Verdana"/>
          <w:sz w:val="20"/>
          <w:szCs w:val="20"/>
        </w:rPr>
        <w:t xml:space="preserve">la </w:t>
      </w:r>
      <w:r w:rsidRPr="00A140E5">
        <w:rPr>
          <w:rFonts w:ascii="Verdana" w:hAnsi="Verdana"/>
          <w:sz w:val="20"/>
          <w:szCs w:val="20"/>
        </w:rPr>
        <w:t>Corte</w:t>
      </w:r>
      <w:r w:rsidRPr="00A140E5">
        <w:rPr>
          <w:rFonts w:ascii="Verdana" w:hAnsi="Verdana" w:cs="Verdana"/>
          <w:sz w:val="20"/>
          <w:szCs w:val="20"/>
        </w:rPr>
        <w:t xml:space="preserve"> estima pertinente ordenar, como lo ha hecho en otros casos</w:t>
      </w:r>
      <w:r w:rsidRPr="00A140E5">
        <w:rPr>
          <w:rFonts w:ascii="Verdana" w:hAnsi="Verdana"/>
          <w:sz w:val="20"/>
          <w:szCs w:val="20"/>
          <w:vertAlign w:val="superscript"/>
        </w:rPr>
        <w:footnoteReference w:id="348"/>
      </w:r>
      <w:r w:rsidRPr="00A140E5">
        <w:rPr>
          <w:rFonts w:ascii="Verdana" w:hAnsi="Verdana" w:cs="Verdana"/>
          <w:sz w:val="20"/>
          <w:szCs w:val="20"/>
        </w:rPr>
        <w:t>,</w:t>
      </w:r>
      <w:r w:rsidRPr="00A140E5">
        <w:rPr>
          <w:rFonts w:ascii="Verdana" w:hAnsi="Verdana"/>
          <w:sz w:val="20"/>
          <w:szCs w:val="20"/>
        </w:rPr>
        <w:t xml:space="preserve"> que el Estado, en el plazo de seis meses, contado a partir de la notificación de la presente Sentencia, realice las siguientes publicaciones: a) </w:t>
      </w:r>
      <w:r w:rsidRPr="00A140E5">
        <w:rPr>
          <w:rFonts w:ascii="Verdana" w:hAnsi="Verdana" w:cs="Verdana"/>
          <w:sz w:val="20"/>
          <w:szCs w:val="20"/>
          <w:lang w:val="es-CR"/>
        </w:rPr>
        <w:t>el resumen oficial de la presente Sentencia elaborado por la Corte en español, el cual deberá ser traducido a lengua garífuna por parte del Estado</w:t>
      </w:r>
      <w:r w:rsidRPr="00A140E5">
        <w:rPr>
          <w:rFonts w:ascii="Verdana" w:hAnsi="Verdana" w:cs="Verdana"/>
          <w:sz w:val="20"/>
          <w:szCs w:val="20"/>
          <w:vertAlign w:val="superscript"/>
        </w:rPr>
        <w:footnoteReference w:id="349"/>
      </w:r>
      <w:r w:rsidRPr="00A140E5">
        <w:rPr>
          <w:rFonts w:ascii="Verdana" w:hAnsi="Verdana" w:cs="Verdana"/>
          <w:sz w:val="20"/>
          <w:szCs w:val="20"/>
          <w:lang w:val="es-CR"/>
        </w:rPr>
        <w:t>, y publicado en ambos idiomas por una sola vez, en el Diario Oficial</w:t>
      </w:r>
      <w:r w:rsidR="00B803FE">
        <w:rPr>
          <w:rFonts w:ascii="Verdana" w:hAnsi="Verdana" w:cs="Verdana"/>
          <w:sz w:val="20"/>
          <w:szCs w:val="20"/>
          <w:lang w:val="es-CR"/>
        </w:rPr>
        <w:t>,</w:t>
      </w:r>
      <w:r w:rsidRPr="00A140E5">
        <w:rPr>
          <w:rFonts w:ascii="Verdana" w:hAnsi="Verdana" w:cs="Verdana"/>
          <w:sz w:val="20"/>
          <w:szCs w:val="20"/>
          <w:lang w:val="es-CR"/>
        </w:rPr>
        <w:t xml:space="preserve"> y en español en un diario de amplia circulación nacional de Honduras</w:t>
      </w:r>
      <w:r w:rsidRPr="00A140E5">
        <w:rPr>
          <w:rFonts w:ascii="Verdana" w:hAnsi="Verdana"/>
          <w:sz w:val="20"/>
          <w:szCs w:val="20"/>
        </w:rPr>
        <w:t xml:space="preserve">, y b) la presente Sentencia en su integridad en idioma español, disponible, por un periodo de </w:t>
      </w:r>
      <w:r w:rsidR="00B803FE">
        <w:rPr>
          <w:rFonts w:ascii="Verdana" w:hAnsi="Verdana"/>
          <w:sz w:val="20"/>
          <w:szCs w:val="20"/>
        </w:rPr>
        <w:t>un año</w:t>
      </w:r>
      <w:r w:rsidR="00B803FE" w:rsidRPr="00A140E5">
        <w:rPr>
          <w:rFonts w:ascii="Verdana" w:hAnsi="Verdana"/>
          <w:sz w:val="20"/>
          <w:szCs w:val="20"/>
        </w:rPr>
        <w:t xml:space="preserve">, </w:t>
      </w:r>
      <w:r w:rsidRPr="00A140E5">
        <w:rPr>
          <w:rFonts w:ascii="Verdana" w:hAnsi="Verdana"/>
          <w:sz w:val="20"/>
          <w:szCs w:val="20"/>
        </w:rPr>
        <w:t xml:space="preserve">en un sitio </w:t>
      </w:r>
      <w:r w:rsidRPr="00A140E5">
        <w:rPr>
          <w:rFonts w:ascii="Verdana" w:hAnsi="Verdana"/>
          <w:i/>
          <w:sz w:val="20"/>
          <w:szCs w:val="20"/>
        </w:rPr>
        <w:t>web</w:t>
      </w:r>
      <w:r w:rsidRPr="00A140E5">
        <w:rPr>
          <w:rFonts w:ascii="Verdana" w:hAnsi="Verdana"/>
          <w:sz w:val="20"/>
          <w:szCs w:val="20"/>
        </w:rPr>
        <w:t xml:space="preserve"> oficial del Estado.  </w:t>
      </w:r>
    </w:p>
    <w:p w14:paraId="0C704C73" w14:textId="77777777" w:rsidR="00A140E5" w:rsidRPr="00A140E5" w:rsidRDefault="00A140E5" w:rsidP="00A140E5">
      <w:pPr>
        <w:ind w:left="720"/>
        <w:contextualSpacing/>
        <w:jc w:val="both"/>
        <w:rPr>
          <w:rFonts w:ascii="Verdana" w:hAnsi="Verdana"/>
          <w:sz w:val="20"/>
          <w:szCs w:val="20"/>
        </w:rPr>
      </w:pPr>
    </w:p>
    <w:p w14:paraId="0C704C74"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Asimismo, la Corte considera apropiado, tal como lo ha dispuesto en otros casos</w:t>
      </w:r>
      <w:r w:rsidRPr="00A140E5">
        <w:rPr>
          <w:rFonts w:ascii="Verdana" w:hAnsi="Verdana"/>
          <w:sz w:val="20"/>
          <w:szCs w:val="20"/>
          <w:vertAlign w:val="superscript"/>
        </w:rPr>
        <w:footnoteReference w:id="350"/>
      </w:r>
      <w:r w:rsidRPr="00A140E5">
        <w:rPr>
          <w:rFonts w:ascii="Verdana" w:hAnsi="Verdana"/>
          <w:sz w:val="20"/>
          <w:szCs w:val="20"/>
        </w:rPr>
        <w:t xml:space="preserve">, que el Estado dé publicidad, a través de una emisora radial de amplia cobertura en la Comunidad de Punta Piedra, al resumen oficial de la Sentencia, en español y en garífuna. La transmisión radial deberá efectuarse cada primer domingo del mes al menos durante tres meses. El Estado deberá comunicar previamente a los representantes, al menos con dos semanas de anticipación, la fecha, horario y emisora en que efectuará tal difusión. El Estado deberá cumplir con esta medida en el plazo de seis meses a partir de la notificación de la presente Sentencia. </w:t>
      </w:r>
    </w:p>
    <w:p w14:paraId="0C704C75" w14:textId="77777777" w:rsidR="00A140E5" w:rsidRPr="00A140E5" w:rsidRDefault="00A140E5" w:rsidP="00A140E5">
      <w:pPr>
        <w:jc w:val="both"/>
        <w:rPr>
          <w:rFonts w:ascii="Verdana" w:hAnsi="Verdana"/>
          <w:sz w:val="20"/>
          <w:szCs w:val="20"/>
        </w:rPr>
      </w:pPr>
    </w:p>
    <w:p w14:paraId="0C704C76"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30" w:name="_Toc437247384"/>
      <w:r w:rsidRPr="00A140E5">
        <w:rPr>
          <w:rFonts w:ascii="Verdana" w:eastAsia="Times New Roman" w:hAnsi="Verdana"/>
          <w:b/>
          <w:bCs/>
          <w:i/>
          <w:sz w:val="20"/>
          <w:szCs w:val="20"/>
        </w:rPr>
        <w:t>Garantías de no repetición</w:t>
      </w:r>
      <w:bookmarkEnd w:id="130"/>
    </w:p>
    <w:p w14:paraId="0C704C77" w14:textId="77777777" w:rsidR="00A140E5" w:rsidRPr="00A140E5" w:rsidRDefault="00A140E5" w:rsidP="00A140E5"/>
    <w:p w14:paraId="0C704C78" w14:textId="1823C059" w:rsidR="00A140E5" w:rsidRPr="00A140E5" w:rsidRDefault="00A140E5" w:rsidP="00A140E5">
      <w:pPr>
        <w:numPr>
          <w:ilvl w:val="0"/>
          <w:numId w:val="17"/>
        </w:numPr>
        <w:ind w:left="0" w:hanging="11"/>
        <w:contextualSpacing/>
        <w:jc w:val="both"/>
        <w:rPr>
          <w:rFonts w:ascii="Verdana" w:eastAsiaTheme="minorHAnsi"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solicitó a la Corte que ordene al Estado “[a]</w:t>
      </w:r>
      <w:proofErr w:type="spellStart"/>
      <w:r w:rsidRPr="00A140E5">
        <w:rPr>
          <w:rFonts w:ascii="Verdana" w:hAnsi="Verdana"/>
          <w:sz w:val="20"/>
          <w:szCs w:val="20"/>
        </w:rPr>
        <w:t>doptar</w:t>
      </w:r>
      <w:proofErr w:type="spellEnd"/>
      <w:r w:rsidRPr="00A140E5">
        <w:rPr>
          <w:rFonts w:ascii="Verdana" w:hAnsi="Verdana"/>
          <w:sz w:val="20"/>
          <w:szCs w:val="20"/>
        </w:rPr>
        <w:t xml:space="preserve"> las medidas necesarias para evitar que en el futuro se produzcan hechos similares, conforme al deber de prevención y garantía de los derechos fundamentales reconocidos en la Convención Americana”. De forma particular recomendó i) “[a]</w:t>
      </w:r>
      <w:proofErr w:type="spellStart"/>
      <w:r w:rsidRPr="00A140E5">
        <w:rPr>
          <w:rFonts w:ascii="Verdana" w:hAnsi="Verdana"/>
          <w:sz w:val="20"/>
          <w:szCs w:val="20"/>
        </w:rPr>
        <w:t>doptar</w:t>
      </w:r>
      <w:proofErr w:type="spellEnd"/>
      <w:r w:rsidRPr="00A140E5">
        <w:rPr>
          <w:rFonts w:ascii="Verdana" w:hAnsi="Verdana"/>
          <w:sz w:val="20"/>
          <w:szCs w:val="20"/>
        </w:rPr>
        <w:t xml:space="preserve"> un recurso eficaz y sencillo que tutele el derecho de los pueblos indígenas de Honduras a reivindicar y acceder a sus territorios tradicionales y que permita proteger dichos territorios entre acciones de parte del Estado o terceros que infrinjan su derecho a la propiedad” y ii) “[a]adoptar las medidas necesarias para prevenir que la Comunidad Garífuna de Punta Piedra y sus miembros sean objeto de actos de discriminación y, en particular, que estén expuestos a actos de violencia por parte de terceros en razón de su origen étnico”. En sus observaciones finales escritas la Comisión </w:t>
      </w:r>
      <w:r w:rsidRPr="00A140E5">
        <w:rPr>
          <w:rFonts w:ascii="Verdana" w:eastAsiaTheme="minorHAnsi" w:hAnsi="Verdana"/>
          <w:sz w:val="20"/>
          <w:szCs w:val="20"/>
        </w:rPr>
        <w:t xml:space="preserve">destacó que “algunas </w:t>
      </w:r>
      <w:r w:rsidRPr="00A140E5">
        <w:rPr>
          <w:rFonts w:ascii="Verdana" w:eastAsiaTheme="minorHAnsi" w:hAnsi="Verdana"/>
          <w:sz w:val="20"/>
          <w:szCs w:val="20"/>
        </w:rPr>
        <w:lastRenderedPageBreak/>
        <w:t xml:space="preserve">disposiciones de la Ley de Propiedad de 2004 podrían vaciar de contenido los conceptos de indivisibilidad, </w:t>
      </w:r>
      <w:r w:rsidRPr="00A140E5">
        <w:rPr>
          <w:rFonts w:ascii="Verdana" w:hAnsi="Verdana"/>
          <w:sz w:val="20"/>
          <w:szCs w:val="20"/>
        </w:rPr>
        <w:t>imprescriptibilidad</w:t>
      </w:r>
      <w:r w:rsidRPr="00A140E5">
        <w:rPr>
          <w:rFonts w:ascii="Verdana" w:eastAsiaTheme="minorHAnsi" w:hAnsi="Verdana"/>
          <w:sz w:val="20"/>
          <w:szCs w:val="20"/>
        </w:rPr>
        <w:t xml:space="preserve"> e inalienabilidad incluidos en la misma ley. La [Comisión] </w:t>
      </w:r>
      <w:proofErr w:type="spellStart"/>
      <w:r w:rsidRPr="00A140E5">
        <w:rPr>
          <w:rFonts w:ascii="Verdana" w:eastAsiaTheme="minorHAnsi" w:hAnsi="Verdana"/>
          <w:sz w:val="20"/>
          <w:szCs w:val="20"/>
        </w:rPr>
        <w:t>observ</w:t>
      </w:r>
      <w:proofErr w:type="spellEnd"/>
      <w:r w:rsidRPr="00A140E5">
        <w:rPr>
          <w:rFonts w:ascii="Verdana" w:eastAsiaTheme="minorHAnsi" w:hAnsi="Verdana"/>
          <w:sz w:val="20"/>
          <w:szCs w:val="20"/>
        </w:rPr>
        <w:t>[</w:t>
      </w:r>
      <w:proofErr w:type="spellStart"/>
      <w:r w:rsidRPr="00A140E5">
        <w:rPr>
          <w:rFonts w:ascii="Verdana" w:eastAsiaTheme="minorHAnsi" w:hAnsi="Verdana"/>
          <w:sz w:val="20"/>
          <w:szCs w:val="20"/>
        </w:rPr>
        <w:t>ó</w:t>
      </w:r>
      <w:proofErr w:type="spellEnd"/>
      <w:r w:rsidRPr="00A140E5">
        <w:rPr>
          <w:rFonts w:ascii="Verdana" w:eastAsiaTheme="minorHAnsi" w:hAnsi="Verdana"/>
          <w:sz w:val="20"/>
          <w:szCs w:val="20"/>
        </w:rPr>
        <w:t xml:space="preserve">] con preocupación [que] algunas de las disposiciones de dicha norma que dejarían abierta </w:t>
      </w:r>
      <w:r w:rsidR="00B803FE">
        <w:rPr>
          <w:rFonts w:ascii="Verdana" w:eastAsiaTheme="minorHAnsi" w:hAnsi="Verdana"/>
          <w:sz w:val="20"/>
          <w:szCs w:val="20"/>
        </w:rPr>
        <w:t>[</w:t>
      </w:r>
      <w:r w:rsidRPr="00A140E5">
        <w:rPr>
          <w:rFonts w:ascii="Verdana" w:eastAsiaTheme="minorHAnsi" w:hAnsi="Verdana"/>
          <w:sz w:val="20"/>
          <w:szCs w:val="20"/>
        </w:rPr>
        <w:t>l</w:t>
      </w:r>
      <w:r w:rsidR="00B803FE">
        <w:rPr>
          <w:rFonts w:ascii="Verdana" w:eastAsiaTheme="minorHAnsi" w:hAnsi="Verdana"/>
          <w:sz w:val="20"/>
          <w:szCs w:val="20"/>
        </w:rPr>
        <w:t>]</w:t>
      </w:r>
      <w:r w:rsidRPr="00A140E5">
        <w:rPr>
          <w:rFonts w:ascii="Verdana" w:eastAsiaTheme="minorHAnsi" w:hAnsi="Verdana"/>
          <w:sz w:val="20"/>
          <w:szCs w:val="20"/>
        </w:rPr>
        <w:t>a posibilidad de que personas no indígenas puedan obtener un reconocimiento de propiedad sobre territorios indígenas por el paso del tiempo de su posesión”.</w:t>
      </w:r>
    </w:p>
    <w:p w14:paraId="0C704C79" w14:textId="77777777" w:rsidR="00A140E5" w:rsidRPr="00A140E5" w:rsidRDefault="00A140E5" w:rsidP="00A140E5">
      <w:pPr>
        <w:jc w:val="both"/>
        <w:rPr>
          <w:rFonts w:ascii="Verdana" w:hAnsi="Verdana"/>
          <w:sz w:val="20"/>
          <w:szCs w:val="20"/>
        </w:rPr>
      </w:pPr>
    </w:p>
    <w:p w14:paraId="0C704C7A" w14:textId="6C974F78"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En su escrito de solicitudes y argumentos los </w:t>
      </w:r>
      <w:r w:rsidRPr="00A140E5">
        <w:rPr>
          <w:rFonts w:ascii="Verdana" w:hAnsi="Verdana"/>
          <w:b/>
          <w:i/>
          <w:sz w:val="20"/>
          <w:szCs w:val="20"/>
        </w:rPr>
        <w:t>representantes</w:t>
      </w:r>
      <w:r w:rsidRPr="00A140E5">
        <w:rPr>
          <w:rFonts w:ascii="Verdana" w:hAnsi="Verdana"/>
          <w:sz w:val="20"/>
          <w:szCs w:val="20"/>
        </w:rPr>
        <w:t xml:space="preserve"> solicitaron: i) adoptar mecanismos eficaces para </w:t>
      </w:r>
      <w:r w:rsidR="00F5413C">
        <w:rPr>
          <w:rFonts w:ascii="Verdana" w:hAnsi="Verdana"/>
          <w:sz w:val="20"/>
          <w:szCs w:val="20"/>
        </w:rPr>
        <w:t>el</w:t>
      </w:r>
      <w:r w:rsidR="00F5413C" w:rsidRPr="00A140E5">
        <w:rPr>
          <w:rFonts w:ascii="Verdana" w:hAnsi="Verdana"/>
          <w:sz w:val="20"/>
          <w:szCs w:val="20"/>
        </w:rPr>
        <w:t xml:space="preserve"> </w:t>
      </w:r>
      <w:r w:rsidRPr="00A140E5">
        <w:rPr>
          <w:rFonts w:ascii="Verdana" w:hAnsi="Verdana"/>
          <w:sz w:val="20"/>
          <w:szCs w:val="20"/>
        </w:rPr>
        <w:t xml:space="preserve">reclamo y reivindicación efectiva de los derechos de propiedad territorial del </w:t>
      </w:r>
      <w:r w:rsidR="00F5413C">
        <w:rPr>
          <w:rFonts w:ascii="Verdana" w:hAnsi="Verdana"/>
          <w:sz w:val="20"/>
          <w:szCs w:val="20"/>
        </w:rPr>
        <w:t>P</w:t>
      </w:r>
      <w:r w:rsidRPr="00A140E5">
        <w:rPr>
          <w:rFonts w:ascii="Verdana" w:hAnsi="Verdana"/>
          <w:sz w:val="20"/>
          <w:szCs w:val="20"/>
        </w:rPr>
        <w:t xml:space="preserve">ueblo Garífuna, respetando las propias formas de derecho consuetudinario, usos y costumbres; ii) derogar el capítulo III de la Ley de Propiedad referente al “Proceso de Regularización de la Propiedad Inmueble para Pueblos Indígenas y </w:t>
      </w:r>
      <w:proofErr w:type="spellStart"/>
      <w:r w:rsidRPr="00A140E5">
        <w:rPr>
          <w:rFonts w:ascii="Verdana" w:hAnsi="Verdana"/>
          <w:sz w:val="20"/>
          <w:szCs w:val="20"/>
        </w:rPr>
        <w:t>Afrohondureños</w:t>
      </w:r>
      <w:proofErr w:type="spellEnd"/>
      <w:r w:rsidRPr="00A140E5">
        <w:rPr>
          <w:rFonts w:ascii="Verdana" w:hAnsi="Verdana"/>
          <w:sz w:val="20"/>
          <w:szCs w:val="20"/>
        </w:rPr>
        <w:t xml:space="preserve">”; iii) aprobar una ley consensuada por la consulta de los pueblos indígenas que se apegue al Convenio 169 y la UNDRIP, además de que el Estado garantice la buena fe en la aplicación de dicha ley; iv) atender procesos que nazcan desde las comunidades a fin de legislar y hacer efectivos los derechos de consulta previa, libre e informada conforme a los estándares, jurisprudencia y demás fuentes de derecho internacional de derechos humanos con la participación de las comunidades en los procesos legislativos; v) implementar programas consensuados con el </w:t>
      </w:r>
      <w:r w:rsidR="00F5413C">
        <w:rPr>
          <w:rFonts w:ascii="Verdana" w:hAnsi="Verdana"/>
          <w:sz w:val="20"/>
          <w:szCs w:val="20"/>
        </w:rPr>
        <w:t>P</w:t>
      </w:r>
      <w:r w:rsidRPr="00A140E5">
        <w:rPr>
          <w:rFonts w:ascii="Verdana" w:hAnsi="Verdana"/>
          <w:sz w:val="20"/>
          <w:szCs w:val="20"/>
        </w:rPr>
        <w:t xml:space="preserve">ueblo Garífuna para generar un impacto efectivo y memoria histórica en la sociedad; vi) excluir a las comunidades </w:t>
      </w:r>
      <w:r w:rsidR="00F5413C">
        <w:rPr>
          <w:rFonts w:ascii="Verdana" w:hAnsi="Verdana"/>
          <w:sz w:val="20"/>
          <w:szCs w:val="20"/>
        </w:rPr>
        <w:t>g</w:t>
      </w:r>
      <w:r w:rsidRPr="00A140E5">
        <w:rPr>
          <w:rFonts w:ascii="Verdana" w:hAnsi="Verdana"/>
          <w:sz w:val="20"/>
          <w:szCs w:val="20"/>
        </w:rPr>
        <w:t xml:space="preserve">arífunas del casco urbano de las municipalidades, y vii) aprobar el Título </w:t>
      </w:r>
      <w:proofErr w:type="spellStart"/>
      <w:r w:rsidRPr="00A140E5">
        <w:rPr>
          <w:rFonts w:ascii="Verdana" w:hAnsi="Verdana"/>
          <w:sz w:val="20"/>
          <w:szCs w:val="20"/>
        </w:rPr>
        <w:t>Multicomunal</w:t>
      </w:r>
      <w:proofErr w:type="spellEnd"/>
      <w:r w:rsidRPr="00A140E5">
        <w:rPr>
          <w:rFonts w:ascii="Verdana" w:hAnsi="Verdana"/>
          <w:sz w:val="20"/>
          <w:szCs w:val="20"/>
        </w:rPr>
        <w:t xml:space="preserve"> de la Zona de </w:t>
      </w:r>
      <w:proofErr w:type="spellStart"/>
      <w:r w:rsidRPr="00A140E5">
        <w:rPr>
          <w:rFonts w:ascii="Verdana" w:hAnsi="Verdana"/>
          <w:sz w:val="20"/>
          <w:szCs w:val="20"/>
        </w:rPr>
        <w:t>Iriona</w:t>
      </w:r>
      <w:proofErr w:type="spellEnd"/>
      <w:r w:rsidRPr="00A140E5">
        <w:rPr>
          <w:rFonts w:ascii="Verdana" w:hAnsi="Verdana"/>
          <w:sz w:val="20"/>
          <w:szCs w:val="20"/>
        </w:rPr>
        <w:t xml:space="preserve"> y Gracias a Dios, que abarcaría 15 comunidades continuas. Posteriormente, en sus alegatos finales escritos los representantes añadieron las siguientes garantías de no repetición: i) detener todas las medidas que afecten los territorios sin una consulta previa, libre e informada, y ii) derogar la Ley de Propiedad en tanto sus disposiciones vuelven ilusorios los alcances de una eventual Sentencia de la Corte y permitirían la repetición de hechos como los del presente caso. </w:t>
      </w:r>
    </w:p>
    <w:p w14:paraId="0C704C7B" w14:textId="77777777" w:rsidR="00A140E5" w:rsidRPr="00A140E5" w:rsidRDefault="00A140E5" w:rsidP="00A140E5">
      <w:pPr>
        <w:jc w:val="both"/>
        <w:rPr>
          <w:rFonts w:ascii="Verdana" w:hAnsi="Verdana"/>
          <w:sz w:val="20"/>
          <w:szCs w:val="20"/>
        </w:rPr>
      </w:pPr>
    </w:p>
    <w:p w14:paraId="0C704C7C" w14:textId="7147DF3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Por su parte, el </w:t>
      </w:r>
      <w:r w:rsidRPr="00A140E5">
        <w:rPr>
          <w:rFonts w:ascii="Verdana" w:hAnsi="Verdana"/>
          <w:b/>
          <w:i/>
          <w:sz w:val="20"/>
          <w:szCs w:val="20"/>
        </w:rPr>
        <w:t>Estado</w:t>
      </w:r>
      <w:r w:rsidRPr="00A140E5">
        <w:rPr>
          <w:rFonts w:ascii="Verdana" w:hAnsi="Verdana"/>
          <w:sz w:val="20"/>
          <w:szCs w:val="20"/>
        </w:rPr>
        <w:t xml:space="preserve"> se opuso a la pretensión derogatoria del capítulo III de la Ley de Propiedad, referente al “Proceso de Regularización de la Propiedad Inmueble para Pueblos Indígenas y </w:t>
      </w:r>
      <w:proofErr w:type="spellStart"/>
      <w:r w:rsidRPr="00A140E5">
        <w:rPr>
          <w:rFonts w:ascii="Verdana" w:hAnsi="Verdana"/>
          <w:sz w:val="20"/>
          <w:szCs w:val="20"/>
        </w:rPr>
        <w:t>Afrohondureños</w:t>
      </w:r>
      <w:proofErr w:type="spellEnd"/>
      <w:r w:rsidRPr="00A140E5">
        <w:rPr>
          <w:rFonts w:ascii="Verdana" w:hAnsi="Verdana"/>
          <w:sz w:val="20"/>
          <w:szCs w:val="20"/>
        </w:rPr>
        <w:t>”, y de las legislaciones relacionadas, en virtud de que la Comunidad de Punta Piedra “deber[</w:t>
      </w:r>
      <w:proofErr w:type="spellStart"/>
      <w:r w:rsidRPr="00A140E5">
        <w:rPr>
          <w:rFonts w:ascii="Verdana" w:hAnsi="Verdana"/>
          <w:sz w:val="20"/>
          <w:szCs w:val="20"/>
        </w:rPr>
        <w:t>ía</w:t>
      </w:r>
      <w:proofErr w:type="spellEnd"/>
      <w:r w:rsidRPr="00A140E5">
        <w:rPr>
          <w:rFonts w:ascii="Verdana" w:hAnsi="Verdana"/>
          <w:sz w:val="20"/>
          <w:szCs w:val="20"/>
        </w:rPr>
        <w:t xml:space="preserve">] hacer uso de las acciones o recursos establecidos en el derecho interno, ya que no han […] formalizado las solicitudes ante las autoridades nacionales competentes ni consta que se les ha denegado en sentencia o resolución definitiva”. Asimismo, rechazó de manera genérica las demás medidas de no repetición planteadas por los representantes.  </w:t>
      </w:r>
    </w:p>
    <w:p w14:paraId="0C704C7D" w14:textId="77777777" w:rsidR="00A140E5" w:rsidRPr="00A140E5" w:rsidRDefault="00A140E5" w:rsidP="00A140E5">
      <w:pPr>
        <w:ind w:left="708"/>
        <w:contextualSpacing/>
        <w:jc w:val="both"/>
        <w:rPr>
          <w:rFonts w:ascii="Verdana" w:hAnsi="Verdana"/>
          <w:sz w:val="20"/>
          <w:szCs w:val="20"/>
        </w:rPr>
      </w:pPr>
    </w:p>
    <w:p w14:paraId="0C704C7E" w14:textId="54517863" w:rsidR="00A140E5" w:rsidRPr="00A140E5" w:rsidRDefault="00A140E5" w:rsidP="00A140E5">
      <w:pPr>
        <w:ind w:left="708"/>
        <w:contextualSpacing/>
        <w:jc w:val="both"/>
        <w:rPr>
          <w:rFonts w:ascii="Verdana" w:hAnsi="Verdana"/>
          <w:b/>
          <w:i/>
          <w:sz w:val="20"/>
          <w:szCs w:val="20"/>
        </w:rPr>
      </w:pPr>
      <w:r w:rsidRPr="00A140E5">
        <w:rPr>
          <w:rFonts w:ascii="Verdana" w:hAnsi="Verdana"/>
          <w:b/>
          <w:i/>
          <w:sz w:val="20"/>
          <w:szCs w:val="20"/>
        </w:rPr>
        <w:t xml:space="preserve">E.1  </w:t>
      </w:r>
      <w:r w:rsidR="00490DED">
        <w:rPr>
          <w:rFonts w:ascii="Verdana" w:hAnsi="Verdana"/>
          <w:b/>
          <w:i/>
          <w:sz w:val="20"/>
          <w:szCs w:val="20"/>
        </w:rPr>
        <w:t>A</w:t>
      </w:r>
      <w:r w:rsidRPr="00A140E5">
        <w:rPr>
          <w:rFonts w:ascii="Verdana" w:hAnsi="Verdana"/>
          <w:b/>
          <w:i/>
          <w:sz w:val="20"/>
          <w:szCs w:val="20"/>
        </w:rPr>
        <w:t xml:space="preserve">decuación </w:t>
      </w:r>
      <w:r w:rsidR="00490DED">
        <w:rPr>
          <w:rFonts w:ascii="Verdana" w:hAnsi="Verdana"/>
          <w:b/>
          <w:i/>
          <w:sz w:val="20"/>
          <w:szCs w:val="20"/>
        </w:rPr>
        <w:t>del ordenamiento interno</w:t>
      </w:r>
    </w:p>
    <w:p w14:paraId="0C704C7F" w14:textId="77777777" w:rsidR="00A140E5" w:rsidRPr="00A140E5" w:rsidRDefault="00A140E5" w:rsidP="00A140E5">
      <w:pPr>
        <w:ind w:left="708"/>
        <w:contextualSpacing/>
        <w:jc w:val="both"/>
        <w:rPr>
          <w:rFonts w:ascii="Verdana" w:hAnsi="Verdana"/>
          <w:sz w:val="20"/>
          <w:szCs w:val="20"/>
        </w:rPr>
      </w:pPr>
    </w:p>
    <w:p w14:paraId="0C704C80" w14:textId="5484548A"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En cuanto a la solicitud de adecuación del ordenamiento interno, la Corte consideró que ninguna disposición de la Ley de Propiedad y su Reglamento fue aplicada en el presente caso, por lo que carecía de elementos suficientes </w:t>
      </w:r>
      <w:r w:rsidRPr="00A140E5">
        <w:rPr>
          <w:rFonts w:ascii="Verdana" w:eastAsia="Times New Roman" w:hAnsi="Verdana"/>
          <w:sz w:val="20"/>
          <w:szCs w:val="20"/>
        </w:rPr>
        <w:t xml:space="preserve">sobre la normativa vigente en la actualidad para concluir que existió un incumplimiento por parte del Estado del artículo 2 de la Convención Americana </w:t>
      </w:r>
      <w:r w:rsidRPr="00A140E5">
        <w:rPr>
          <w:rFonts w:ascii="Verdana" w:hAnsi="Verdana"/>
          <w:sz w:val="20"/>
          <w:szCs w:val="20"/>
        </w:rPr>
        <w:t>(</w:t>
      </w:r>
      <w:r w:rsidRPr="00A140E5">
        <w:rPr>
          <w:rFonts w:ascii="Verdana" w:hAnsi="Verdana"/>
          <w:i/>
          <w:sz w:val="20"/>
          <w:szCs w:val="20"/>
        </w:rPr>
        <w:t>supra</w:t>
      </w:r>
      <w:r w:rsidRPr="00A140E5">
        <w:rPr>
          <w:rFonts w:ascii="Verdana" w:hAnsi="Verdana"/>
          <w:sz w:val="20"/>
          <w:szCs w:val="20"/>
        </w:rPr>
        <w:t xml:space="preserve"> párrs. </w:t>
      </w:r>
      <w:r w:rsidR="00490DED">
        <w:rPr>
          <w:rFonts w:ascii="Verdana" w:hAnsi="Verdana"/>
          <w:sz w:val="20"/>
          <w:szCs w:val="20"/>
        </w:rPr>
        <w:t>211</w:t>
      </w:r>
      <w:r w:rsidR="003B5BF3">
        <w:rPr>
          <w:rFonts w:ascii="Verdana" w:hAnsi="Verdana"/>
          <w:sz w:val="20"/>
          <w:szCs w:val="20"/>
        </w:rPr>
        <w:t xml:space="preserve"> y 254</w:t>
      </w:r>
      <w:r w:rsidRPr="00A140E5">
        <w:rPr>
          <w:rFonts w:ascii="Verdana" w:hAnsi="Verdana"/>
          <w:sz w:val="20"/>
          <w:szCs w:val="20"/>
        </w:rPr>
        <w:t>)</w:t>
      </w:r>
      <w:r w:rsidRPr="00A140E5">
        <w:rPr>
          <w:rFonts w:ascii="Verdana" w:eastAsia="Times New Roman" w:hAnsi="Verdana"/>
          <w:sz w:val="20"/>
          <w:szCs w:val="20"/>
        </w:rPr>
        <w:t>. En este sentido, en virtud de la falta de nexo de causalidad entre los hechos y las violaciones establecidas, no es procedente ordenar tal medida.</w:t>
      </w:r>
      <w:r w:rsidRPr="00A140E5">
        <w:rPr>
          <w:rFonts w:ascii="Verdana" w:hAnsi="Verdana"/>
          <w:sz w:val="20"/>
          <w:szCs w:val="20"/>
        </w:rPr>
        <w:t xml:space="preserve"> </w:t>
      </w:r>
    </w:p>
    <w:p w14:paraId="0C704C81" w14:textId="77777777" w:rsidR="00A140E5" w:rsidRPr="00A140E5" w:rsidRDefault="00A140E5" w:rsidP="00A140E5">
      <w:pPr>
        <w:contextualSpacing/>
        <w:jc w:val="both"/>
        <w:rPr>
          <w:rFonts w:ascii="Verdana" w:hAnsi="Verdana"/>
          <w:sz w:val="20"/>
          <w:szCs w:val="20"/>
        </w:rPr>
      </w:pPr>
    </w:p>
    <w:p w14:paraId="0C704C83" w14:textId="2E285508" w:rsidR="006A0E8F" w:rsidRDefault="00A140E5" w:rsidP="00A0324F">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En cuanto a la normativa relativa a la consulta previa, libre e informada, la Corte consideró que el artículo 82 del Reglamento a la Ley General de Minería carecía de precisión respecto de las etapas previas de la consulta, en contravención con lo dispuesto en el artículo 50 de la misma ley que hacen alusión a los estándares internacionales en la materia. Por lo tanto, la Corte concluyó que el Estado era </w:t>
      </w:r>
      <w:r w:rsidRPr="00A140E5">
        <w:rPr>
          <w:rFonts w:ascii="Verdana" w:hAnsi="Verdana"/>
          <w:sz w:val="20"/>
          <w:szCs w:val="20"/>
        </w:rPr>
        <w:lastRenderedPageBreak/>
        <w:t xml:space="preserve">responsable por la violación del derecho a la propiedad comunal, </w:t>
      </w:r>
      <w:r w:rsidR="00490DED" w:rsidRPr="001C2A28">
        <w:rPr>
          <w:rFonts w:ascii="Verdana" w:hAnsi="Verdana"/>
          <w:sz w:val="20"/>
          <w:szCs w:val="20"/>
          <w:lang w:val="es-GT" w:eastAsia="es-CR"/>
        </w:rPr>
        <w:t xml:space="preserve">y de los artículos 1.1 y 2 </w:t>
      </w:r>
      <w:r w:rsidR="00490DED" w:rsidRPr="001C2A28">
        <w:rPr>
          <w:rFonts w:ascii="Verdana" w:hAnsi="Verdana"/>
          <w:sz w:val="20"/>
          <w:szCs w:val="20"/>
          <w:lang w:val="es-CR" w:eastAsia="es-CR"/>
        </w:rPr>
        <w:t>de la misma</w:t>
      </w:r>
      <w:r w:rsidR="00490DED">
        <w:rPr>
          <w:rFonts w:ascii="Verdana" w:hAnsi="Verdana"/>
          <w:sz w:val="20"/>
          <w:szCs w:val="20"/>
          <w:lang w:val="es-CR" w:eastAsia="es-CR"/>
        </w:rPr>
        <w:t xml:space="preserve"> y del derecho a la identidad cultural</w:t>
      </w:r>
      <w:r w:rsidR="00490DED">
        <w:rPr>
          <w:rFonts w:ascii="Verdana" w:hAnsi="Verdana"/>
          <w:sz w:val="20"/>
          <w:szCs w:val="20"/>
        </w:rPr>
        <w:t xml:space="preserve"> (</w:t>
      </w:r>
      <w:r w:rsidR="0086236B" w:rsidRPr="00A0324F">
        <w:rPr>
          <w:rFonts w:ascii="Verdana" w:hAnsi="Verdana"/>
          <w:i/>
          <w:sz w:val="20"/>
          <w:szCs w:val="20"/>
        </w:rPr>
        <w:t>supra</w:t>
      </w:r>
      <w:r w:rsidR="00490DED">
        <w:rPr>
          <w:rFonts w:ascii="Verdana" w:hAnsi="Verdana"/>
          <w:sz w:val="20"/>
          <w:szCs w:val="20"/>
        </w:rPr>
        <w:t xml:space="preserve"> párr. 224)</w:t>
      </w:r>
      <w:r w:rsidRPr="00A140E5">
        <w:rPr>
          <w:rFonts w:ascii="Verdana" w:hAnsi="Verdana"/>
          <w:sz w:val="20"/>
          <w:szCs w:val="20"/>
        </w:rPr>
        <w:t>.</w:t>
      </w:r>
      <w:r w:rsidR="00490DED">
        <w:rPr>
          <w:rFonts w:ascii="Verdana" w:hAnsi="Verdana"/>
          <w:sz w:val="20"/>
          <w:szCs w:val="20"/>
        </w:rPr>
        <w:t xml:space="preserve"> </w:t>
      </w:r>
    </w:p>
    <w:p w14:paraId="0C704C84" w14:textId="77777777" w:rsidR="006A0E8F" w:rsidRDefault="006A0E8F" w:rsidP="00A0324F">
      <w:pPr>
        <w:contextualSpacing/>
        <w:jc w:val="both"/>
        <w:rPr>
          <w:rFonts w:ascii="Verdana" w:hAnsi="Verdana"/>
          <w:sz w:val="20"/>
          <w:szCs w:val="20"/>
        </w:rPr>
      </w:pPr>
    </w:p>
    <w:p w14:paraId="0C704C86" w14:textId="70C8B47A" w:rsidR="006A0E8F" w:rsidRDefault="0086236B" w:rsidP="00A0324F">
      <w:pPr>
        <w:numPr>
          <w:ilvl w:val="0"/>
          <w:numId w:val="17"/>
        </w:numPr>
        <w:ind w:left="0" w:hanging="11"/>
        <w:contextualSpacing/>
        <w:jc w:val="both"/>
        <w:rPr>
          <w:rFonts w:ascii="Verdana" w:eastAsia="Times New Roman" w:hAnsi="Verdana"/>
          <w:sz w:val="20"/>
          <w:szCs w:val="20"/>
        </w:rPr>
      </w:pPr>
      <w:r w:rsidRPr="00A0324F">
        <w:rPr>
          <w:rFonts w:ascii="Verdana" w:eastAsia="Times New Roman" w:hAnsi="Verdana"/>
          <w:sz w:val="20"/>
          <w:szCs w:val="20"/>
        </w:rPr>
        <w:t>En consecuencia, el Estado deberá, en un plazo razonable, adoptar las medidas suficientes y necesarias, a fin de que sus disposiciones reglamentarias sobre minería no menoscaben el derecho a la consulta, en el sentido de que ésta deba realizarse inclusive de forma previa a la autorización de programas de prospección o exploración.</w:t>
      </w:r>
    </w:p>
    <w:p w14:paraId="0C704C87" w14:textId="77777777" w:rsidR="00A140E5" w:rsidRPr="00A140E5" w:rsidRDefault="00A140E5" w:rsidP="00A140E5">
      <w:pPr>
        <w:rPr>
          <w:rFonts w:ascii="Verdana" w:eastAsia="Times New Roman" w:hAnsi="Verdana"/>
          <w:sz w:val="20"/>
          <w:szCs w:val="20"/>
        </w:rPr>
      </w:pPr>
    </w:p>
    <w:p w14:paraId="0C704C88" w14:textId="1C2F55E7" w:rsidR="00A140E5" w:rsidRDefault="00A140E5" w:rsidP="00A140E5">
      <w:pPr>
        <w:numPr>
          <w:ilvl w:val="0"/>
          <w:numId w:val="17"/>
        </w:numPr>
        <w:ind w:left="0" w:hanging="11"/>
        <w:contextualSpacing/>
        <w:jc w:val="both"/>
        <w:rPr>
          <w:rFonts w:ascii="Verdana" w:hAnsi="Verdana"/>
          <w:sz w:val="20"/>
          <w:szCs w:val="20"/>
        </w:rPr>
      </w:pPr>
      <w:r w:rsidRPr="00A140E5">
        <w:rPr>
          <w:rFonts w:ascii="Verdana" w:eastAsia="Times New Roman" w:hAnsi="Verdana"/>
          <w:sz w:val="20"/>
          <w:szCs w:val="20"/>
        </w:rPr>
        <w:t xml:space="preserve">En este sentido, la Corte </w:t>
      </w:r>
      <w:r w:rsidRPr="00A140E5">
        <w:rPr>
          <w:rFonts w:ascii="Verdana" w:hAnsi="Verdana"/>
          <w:sz w:val="20"/>
          <w:szCs w:val="20"/>
        </w:rPr>
        <w:t xml:space="preserve">recuerda que la interpretación de la normativa aplicable en materia indígena, los </w:t>
      </w:r>
      <w:r w:rsidRPr="00A140E5">
        <w:rPr>
          <w:rFonts w:ascii="Verdana" w:hAnsi="Verdana"/>
          <w:sz w:val="20"/>
          <w:szCs w:val="20"/>
          <w:lang w:val="es-CR"/>
        </w:rPr>
        <w:t xml:space="preserve">jueces y órganos vinculados a la administración de justicia en todos los niveles, están en la obligación de ejercer </w:t>
      </w:r>
      <w:r w:rsidRPr="00A140E5">
        <w:rPr>
          <w:rFonts w:ascii="Verdana" w:hAnsi="Verdana"/>
          <w:i/>
          <w:iCs/>
          <w:sz w:val="20"/>
          <w:szCs w:val="20"/>
          <w:lang w:val="es-CR"/>
        </w:rPr>
        <w:t xml:space="preserve">ex officio </w:t>
      </w:r>
      <w:r w:rsidRPr="00A140E5">
        <w:rPr>
          <w:rFonts w:ascii="Verdana" w:hAnsi="Verdana"/>
          <w:sz w:val="20"/>
          <w:szCs w:val="20"/>
          <w:lang w:val="es-CR"/>
        </w:rPr>
        <w:t>un “control de convencionalidad” entre las normas internas y la Convención Americana, evidentemente en el marco de sus respectivas competencias y de las regulaciones procesales correspondientes. En esta tarea, los jueces y órganos vinculados a la administración de justicia deben tener en cuenta no solamente el tratado, sino también la interpretación que del mismo ha hecho la Corte Interamericana, intérprete última de la Convención Americana</w:t>
      </w:r>
      <w:r w:rsidRPr="00A140E5">
        <w:rPr>
          <w:rFonts w:ascii="Verdana" w:hAnsi="Verdana"/>
          <w:sz w:val="20"/>
          <w:szCs w:val="20"/>
          <w:vertAlign w:val="superscript"/>
          <w:lang w:val="es-CR"/>
        </w:rPr>
        <w:footnoteReference w:id="351"/>
      </w:r>
      <w:r w:rsidRPr="00A140E5">
        <w:rPr>
          <w:rFonts w:ascii="Verdana" w:hAnsi="Verdana"/>
          <w:sz w:val="20"/>
          <w:szCs w:val="20"/>
        </w:rPr>
        <w:t>. Lo anterior, resulta especialmente aplicable a la interpretación de la legislación en materia de minería a la a luz de los estándares expuestos en la presente Sentencia (</w:t>
      </w:r>
      <w:r w:rsidR="0086236B" w:rsidRPr="00A0324F">
        <w:rPr>
          <w:rFonts w:ascii="Verdana" w:hAnsi="Verdana"/>
          <w:i/>
          <w:sz w:val="20"/>
          <w:szCs w:val="20"/>
        </w:rPr>
        <w:t>supra</w:t>
      </w:r>
      <w:r w:rsidRPr="00A140E5">
        <w:rPr>
          <w:rFonts w:ascii="Verdana" w:hAnsi="Verdana"/>
          <w:sz w:val="20"/>
          <w:szCs w:val="20"/>
        </w:rPr>
        <w:t xml:space="preserve"> párr. </w:t>
      </w:r>
      <w:r w:rsidR="00BA4CED">
        <w:rPr>
          <w:rFonts w:ascii="Verdana" w:hAnsi="Verdana"/>
          <w:sz w:val="20"/>
          <w:szCs w:val="20"/>
        </w:rPr>
        <w:t>222</w:t>
      </w:r>
      <w:r w:rsidRPr="00A140E5">
        <w:rPr>
          <w:rFonts w:ascii="Verdana" w:hAnsi="Verdana"/>
          <w:sz w:val="20"/>
          <w:szCs w:val="20"/>
        </w:rPr>
        <w:t xml:space="preserve">). </w:t>
      </w:r>
    </w:p>
    <w:p w14:paraId="0C704C89" w14:textId="77777777" w:rsidR="00A140E5" w:rsidRPr="00A140E5" w:rsidRDefault="00A140E5" w:rsidP="00A140E5">
      <w:pPr>
        <w:contextualSpacing/>
        <w:jc w:val="both"/>
        <w:rPr>
          <w:rFonts w:ascii="Verdana" w:hAnsi="Verdana"/>
          <w:sz w:val="20"/>
          <w:szCs w:val="20"/>
        </w:rPr>
      </w:pPr>
    </w:p>
    <w:p w14:paraId="0C704C8A" w14:textId="77777777" w:rsidR="00A140E5" w:rsidRPr="00A140E5" w:rsidRDefault="00A140E5" w:rsidP="00A140E5">
      <w:pPr>
        <w:ind w:left="708"/>
        <w:contextualSpacing/>
        <w:jc w:val="both"/>
        <w:rPr>
          <w:rFonts w:ascii="Verdana" w:hAnsi="Verdana"/>
          <w:b/>
          <w:i/>
          <w:sz w:val="20"/>
          <w:szCs w:val="20"/>
        </w:rPr>
      </w:pPr>
      <w:r w:rsidRPr="00A140E5">
        <w:rPr>
          <w:rFonts w:ascii="Verdana" w:hAnsi="Verdana"/>
          <w:b/>
          <w:i/>
          <w:sz w:val="20"/>
          <w:szCs w:val="20"/>
        </w:rPr>
        <w:t xml:space="preserve">E.2 Creación de mecanismos efectivos para la regulación del Registro de Propiedad </w:t>
      </w:r>
    </w:p>
    <w:p w14:paraId="0C704C8B" w14:textId="77777777" w:rsidR="00286EBD" w:rsidRDefault="00286EBD" w:rsidP="00A140E5">
      <w:pPr>
        <w:jc w:val="both"/>
        <w:rPr>
          <w:rFonts w:ascii="Verdana" w:hAnsi="Verdana"/>
          <w:sz w:val="20"/>
          <w:szCs w:val="20"/>
          <w:lang w:val="es-ES"/>
        </w:rPr>
      </w:pPr>
    </w:p>
    <w:p w14:paraId="0C704C8C" w14:textId="1A088D71" w:rsidR="00A140E5" w:rsidRPr="00286EBD" w:rsidRDefault="00A140E5" w:rsidP="00286EBD">
      <w:pPr>
        <w:numPr>
          <w:ilvl w:val="0"/>
          <w:numId w:val="17"/>
        </w:numPr>
        <w:ind w:left="0" w:hanging="11"/>
        <w:contextualSpacing/>
        <w:jc w:val="both"/>
        <w:rPr>
          <w:rFonts w:ascii="Verdana" w:hAnsi="Verdana"/>
          <w:sz w:val="20"/>
          <w:szCs w:val="20"/>
        </w:rPr>
      </w:pPr>
      <w:r w:rsidRPr="00286EBD">
        <w:rPr>
          <w:rFonts w:ascii="Verdana" w:hAnsi="Verdana"/>
          <w:sz w:val="20"/>
          <w:szCs w:val="20"/>
          <w:lang w:val="es-ES"/>
        </w:rPr>
        <w:t xml:space="preserve">En virtud de que en los hechos del caso se evidenció una falta de claridad en el Registro de la Propiedad en Honduras que podría estar permitiendo el traslape de títulos en </w:t>
      </w:r>
      <w:r w:rsidR="00B6463D">
        <w:rPr>
          <w:rFonts w:ascii="Verdana" w:hAnsi="Verdana"/>
          <w:sz w:val="20"/>
          <w:szCs w:val="20"/>
          <w:lang w:val="es-ES"/>
        </w:rPr>
        <w:t>a</w:t>
      </w:r>
      <w:r w:rsidRPr="00286EBD">
        <w:rPr>
          <w:rFonts w:ascii="Verdana" w:hAnsi="Verdana"/>
          <w:sz w:val="20"/>
          <w:szCs w:val="20"/>
          <w:lang w:val="es-ES"/>
        </w:rPr>
        <w:t xml:space="preserve"> rurales (</w:t>
      </w:r>
      <w:r w:rsidRPr="00286EBD">
        <w:rPr>
          <w:rFonts w:ascii="Verdana" w:hAnsi="Verdana"/>
          <w:i/>
          <w:sz w:val="20"/>
          <w:szCs w:val="20"/>
          <w:lang w:val="es-ES"/>
        </w:rPr>
        <w:t>supra</w:t>
      </w:r>
      <w:r w:rsidRPr="00286EBD">
        <w:rPr>
          <w:rFonts w:ascii="Verdana" w:hAnsi="Verdana"/>
          <w:sz w:val="20"/>
          <w:szCs w:val="20"/>
          <w:lang w:val="es-ES"/>
        </w:rPr>
        <w:t xml:space="preserve"> párr. </w:t>
      </w:r>
      <w:r w:rsidR="00BA4CED">
        <w:rPr>
          <w:rFonts w:ascii="Verdana" w:hAnsi="Verdana"/>
          <w:sz w:val="20"/>
          <w:szCs w:val="20"/>
          <w:lang w:val="es-ES"/>
        </w:rPr>
        <w:t>201</w:t>
      </w:r>
      <w:r w:rsidRPr="00286EBD">
        <w:rPr>
          <w:rFonts w:ascii="Verdana" w:hAnsi="Verdana"/>
          <w:sz w:val="20"/>
          <w:szCs w:val="20"/>
          <w:lang w:val="es-ES"/>
        </w:rPr>
        <w:t xml:space="preserve">), la Corte estima pertinente ordenar al Estado que cree los mecanismos adecuados para evitar que en el futuro hechos similares puedan generar afectaciones al derecho a la propiedad en </w:t>
      </w:r>
      <w:r w:rsidR="00B6463D">
        <w:rPr>
          <w:rFonts w:ascii="Verdana" w:hAnsi="Verdana"/>
          <w:sz w:val="20"/>
          <w:szCs w:val="20"/>
          <w:lang w:val="es-ES"/>
        </w:rPr>
        <w:t>a</w:t>
      </w:r>
      <w:r w:rsidRPr="00286EBD">
        <w:rPr>
          <w:rFonts w:ascii="Verdana" w:hAnsi="Verdana"/>
          <w:sz w:val="20"/>
          <w:szCs w:val="20"/>
          <w:lang w:val="es-ES"/>
        </w:rPr>
        <w:t xml:space="preserve"> rurales como las analizadas en el presente caso.</w:t>
      </w:r>
    </w:p>
    <w:p w14:paraId="0C704C8D" w14:textId="77777777" w:rsidR="00A140E5" w:rsidRPr="00A140E5" w:rsidRDefault="00A140E5" w:rsidP="00A140E5">
      <w:pPr>
        <w:jc w:val="both"/>
        <w:rPr>
          <w:rFonts w:ascii="Verdana" w:hAnsi="Verdana"/>
          <w:sz w:val="20"/>
          <w:szCs w:val="20"/>
        </w:rPr>
      </w:pPr>
    </w:p>
    <w:p w14:paraId="0C704C8E" w14:textId="77777777" w:rsidR="00A140E5" w:rsidRPr="00A140E5" w:rsidRDefault="00A140E5" w:rsidP="00A140E5">
      <w:pPr>
        <w:ind w:firstLine="708"/>
        <w:jc w:val="both"/>
        <w:rPr>
          <w:rFonts w:ascii="Verdana" w:hAnsi="Verdana"/>
          <w:b/>
          <w:i/>
          <w:sz w:val="20"/>
          <w:szCs w:val="20"/>
        </w:rPr>
      </w:pPr>
      <w:r w:rsidRPr="00A140E5">
        <w:rPr>
          <w:rFonts w:ascii="Verdana" w:hAnsi="Verdana"/>
          <w:b/>
          <w:i/>
          <w:sz w:val="20"/>
          <w:szCs w:val="20"/>
        </w:rPr>
        <w:t>E.3 Otras medidas solicitadas</w:t>
      </w:r>
    </w:p>
    <w:p w14:paraId="0C704C8F" w14:textId="77777777" w:rsidR="00A140E5" w:rsidRPr="00A140E5" w:rsidRDefault="00A140E5" w:rsidP="00A140E5">
      <w:pPr>
        <w:ind w:firstLine="708"/>
        <w:jc w:val="both"/>
        <w:rPr>
          <w:rFonts w:ascii="Verdana" w:hAnsi="Verdana"/>
          <w:sz w:val="20"/>
          <w:szCs w:val="20"/>
        </w:rPr>
      </w:pPr>
    </w:p>
    <w:p w14:paraId="0C704C90"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Respecto de las demás medidas de reparación indicadas en el presente apartado, relacionadas con la memoria histórica de la Comunidad, la exclusión del ca</w:t>
      </w:r>
      <w:r w:rsidRPr="00BA4CED">
        <w:rPr>
          <w:rFonts w:ascii="Verdana" w:hAnsi="Verdana"/>
          <w:sz w:val="20"/>
          <w:szCs w:val="20"/>
        </w:rPr>
        <w:t>s</w:t>
      </w:r>
      <w:r w:rsidR="0086236B" w:rsidRPr="00A0324F">
        <w:rPr>
          <w:rFonts w:ascii="Verdana" w:hAnsi="Verdana"/>
          <w:sz w:val="20"/>
          <w:szCs w:val="20"/>
        </w:rPr>
        <w:t>c</w:t>
      </w:r>
      <w:r w:rsidRPr="00BA4CED">
        <w:rPr>
          <w:rFonts w:ascii="Verdana" w:hAnsi="Verdana"/>
          <w:sz w:val="20"/>
          <w:szCs w:val="20"/>
        </w:rPr>
        <w:t>o</w:t>
      </w:r>
      <w:r w:rsidRPr="00A140E5">
        <w:rPr>
          <w:rFonts w:ascii="Verdana" w:hAnsi="Verdana"/>
          <w:sz w:val="20"/>
          <w:szCs w:val="20"/>
        </w:rPr>
        <w:t xml:space="preserve"> urbano de las municipalidades, y la aprobación de un Título </w:t>
      </w:r>
      <w:proofErr w:type="spellStart"/>
      <w:r w:rsidRPr="00A140E5">
        <w:rPr>
          <w:rFonts w:ascii="Verdana" w:hAnsi="Verdana"/>
          <w:sz w:val="20"/>
          <w:szCs w:val="20"/>
        </w:rPr>
        <w:t>Multicomunal</w:t>
      </w:r>
      <w:proofErr w:type="spellEnd"/>
      <w:r w:rsidRPr="00A140E5">
        <w:rPr>
          <w:rFonts w:ascii="Verdana" w:hAnsi="Verdana"/>
          <w:sz w:val="20"/>
          <w:szCs w:val="20"/>
        </w:rPr>
        <w:t xml:space="preserve"> de la Zona de </w:t>
      </w:r>
      <w:proofErr w:type="spellStart"/>
      <w:r w:rsidRPr="00A140E5">
        <w:rPr>
          <w:rFonts w:ascii="Verdana" w:hAnsi="Verdana"/>
          <w:sz w:val="20"/>
          <w:szCs w:val="20"/>
        </w:rPr>
        <w:t>Iriona</w:t>
      </w:r>
      <w:proofErr w:type="spellEnd"/>
      <w:r w:rsidRPr="00A140E5">
        <w:rPr>
          <w:rFonts w:ascii="Verdana" w:hAnsi="Verdana"/>
          <w:sz w:val="20"/>
          <w:szCs w:val="20"/>
        </w:rPr>
        <w:t xml:space="preserve"> y Gracias a Dios, la Corte estima que</w:t>
      </w:r>
      <w:r w:rsidRPr="00A140E5">
        <w:rPr>
          <w:rFonts w:ascii="Verdana" w:eastAsia="MS Mincho" w:hAnsi="Verdana"/>
          <w:color w:val="000000"/>
          <w:sz w:val="20"/>
          <w:szCs w:val="20"/>
        </w:rPr>
        <w:t xml:space="preserve"> la emisión de la presente Sentencia y las reparaciones ordenadas en la misma resultan suficientes y adecuadas para el presente caso, y en virtud de ello no estima necesario ordenar las medidas solicitadas.</w:t>
      </w:r>
    </w:p>
    <w:p w14:paraId="0C704C91" w14:textId="77777777" w:rsidR="00A140E5" w:rsidRPr="00A140E5" w:rsidRDefault="00A140E5" w:rsidP="00A140E5">
      <w:pPr>
        <w:jc w:val="both"/>
        <w:rPr>
          <w:rFonts w:ascii="Verdana" w:hAnsi="Verdana"/>
          <w:sz w:val="20"/>
          <w:szCs w:val="20"/>
        </w:rPr>
      </w:pPr>
    </w:p>
    <w:p w14:paraId="0C704C92"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31" w:name="_Toc437247385"/>
      <w:r w:rsidRPr="00A140E5">
        <w:rPr>
          <w:rFonts w:ascii="Verdana" w:eastAsia="Times New Roman" w:hAnsi="Verdana"/>
          <w:b/>
          <w:bCs/>
          <w:i/>
          <w:sz w:val="20"/>
          <w:szCs w:val="20"/>
        </w:rPr>
        <w:t>Obligación de investigar los hechos e identificar, juzgar y, en su caso, sancionar a los responsables</w:t>
      </w:r>
      <w:bookmarkEnd w:id="131"/>
    </w:p>
    <w:p w14:paraId="0C704C93" w14:textId="77777777" w:rsidR="00A140E5" w:rsidRPr="00A140E5" w:rsidRDefault="00A140E5" w:rsidP="00A140E5">
      <w:pPr>
        <w:jc w:val="both"/>
        <w:rPr>
          <w:rFonts w:ascii="Verdana" w:hAnsi="Verdana"/>
          <w:sz w:val="20"/>
          <w:szCs w:val="20"/>
        </w:rPr>
      </w:pPr>
    </w:p>
    <w:p w14:paraId="0C704C94" w14:textId="0904ABD5"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solicitó a la Corte que ordene al Estado realizar la investigación y sanción efectiva de los actos de amenazas, hostigamientos, actos de violencia e intimidación y daños </w:t>
      </w:r>
      <w:r w:rsidR="00BA4CED">
        <w:rPr>
          <w:rFonts w:ascii="Verdana" w:hAnsi="Verdana"/>
          <w:sz w:val="20"/>
          <w:szCs w:val="20"/>
        </w:rPr>
        <w:t xml:space="preserve">realizados a </w:t>
      </w:r>
      <w:r w:rsidRPr="00A140E5">
        <w:rPr>
          <w:rFonts w:ascii="Verdana" w:hAnsi="Verdana"/>
          <w:sz w:val="20"/>
          <w:szCs w:val="20"/>
        </w:rPr>
        <w:t>la propiedad de la comunidad Garífuna de Punta Piedra.</w:t>
      </w:r>
    </w:p>
    <w:p w14:paraId="0C704C95" w14:textId="77777777" w:rsidR="00A140E5" w:rsidRPr="00A140E5" w:rsidRDefault="00A140E5" w:rsidP="00A140E5">
      <w:pPr>
        <w:jc w:val="both"/>
        <w:rPr>
          <w:rFonts w:ascii="Verdana" w:hAnsi="Verdana"/>
          <w:sz w:val="20"/>
          <w:szCs w:val="20"/>
        </w:rPr>
      </w:pPr>
    </w:p>
    <w:p w14:paraId="0C704C96" w14:textId="364A4606"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lastRenderedPageBreak/>
        <w:t xml:space="preserve">Los </w:t>
      </w:r>
      <w:r w:rsidRPr="00A140E5">
        <w:rPr>
          <w:rFonts w:ascii="Verdana" w:hAnsi="Verdana"/>
          <w:b/>
          <w:i/>
          <w:sz w:val="20"/>
          <w:szCs w:val="20"/>
        </w:rPr>
        <w:t>representantes</w:t>
      </w:r>
      <w:r w:rsidRPr="00A140E5">
        <w:rPr>
          <w:rFonts w:ascii="Verdana" w:hAnsi="Verdana"/>
          <w:sz w:val="20"/>
          <w:szCs w:val="20"/>
        </w:rPr>
        <w:t xml:space="preserve"> solicitaron que se ordene al Estado la investigación y sanción efectiva de los actos de amenazas, hostigamientos, represión y asesinatos de miembros de la Comunidad de Punta Piedra, y que se investigue y sancione a los agentes estatales que por acción u omisión hayan contribuido a que las violaciones mencionadas estén en impunidad.</w:t>
      </w:r>
    </w:p>
    <w:p w14:paraId="0C704C97" w14:textId="77777777" w:rsidR="00A140E5" w:rsidRPr="00A140E5" w:rsidRDefault="00A140E5" w:rsidP="00A140E5">
      <w:pPr>
        <w:jc w:val="both"/>
        <w:rPr>
          <w:rFonts w:ascii="Verdana" w:hAnsi="Verdana"/>
          <w:sz w:val="20"/>
          <w:szCs w:val="20"/>
        </w:rPr>
      </w:pPr>
    </w:p>
    <w:p w14:paraId="0C704C98" w14:textId="539ACD34"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Por su parte, el </w:t>
      </w:r>
      <w:r w:rsidRPr="00A140E5">
        <w:rPr>
          <w:rFonts w:ascii="Verdana" w:hAnsi="Verdana"/>
          <w:b/>
          <w:i/>
          <w:sz w:val="20"/>
          <w:szCs w:val="20"/>
        </w:rPr>
        <w:t>Estado</w:t>
      </w:r>
      <w:r w:rsidRPr="00A140E5">
        <w:rPr>
          <w:rFonts w:ascii="Verdana" w:hAnsi="Verdana"/>
          <w:sz w:val="20"/>
          <w:szCs w:val="20"/>
        </w:rPr>
        <w:t xml:space="preserve"> manifestó que “tiene toda la voluntad de investigar y sancionar a los responsables de las amenazas, hostigamientos, actos de violencia e intimidación y daños realizados a la propiedad de la Comunidad Garífuna de Punta Piedra y sus miembros”.  </w:t>
      </w:r>
    </w:p>
    <w:p w14:paraId="0C704C99" w14:textId="77777777" w:rsidR="00A140E5" w:rsidRPr="00A140E5" w:rsidRDefault="00A140E5" w:rsidP="00A140E5">
      <w:pPr>
        <w:jc w:val="both"/>
        <w:rPr>
          <w:rFonts w:ascii="Verdana" w:hAnsi="Verdana"/>
          <w:sz w:val="20"/>
          <w:szCs w:val="20"/>
        </w:rPr>
      </w:pPr>
    </w:p>
    <w:p w14:paraId="0C704C9A" w14:textId="74BF1842" w:rsidR="00A140E5" w:rsidRPr="00A140E5" w:rsidRDefault="00A140E5" w:rsidP="00A140E5">
      <w:pPr>
        <w:numPr>
          <w:ilvl w:val="0"/>
          <w:numId w:val="17"/>
        </w:numPr>
        <w:ind w:left="0" w:hanging="11"/>
        <w:contextualSpacing/>
        <w:jc w:val="both"/>
        <w:rPr>
          <w:sz w:val="20"/>
          <w:szCs w:val="20"/>
        </w:rPr>
      </w:pPr>
      <w:r w:rsidRPr="00A140E5">
        <w:rPr>
          <w:rFonts w:ascii="Verdana" w:hAnsi="Verdana"/>
          <w:sz w:val="20"/>
          <w:szCs w:val="20"/>
        </w:rPr>
        <w:t>En el presente caso, respecto de la d</w:t>
      </w:r>
      <w:r w:rsidRPr="00A140E5">
        <w:rPr>
          <w:rFonts w:ascii="Verdana" w:hAnsi="Verdana"/>
          <w:sz w:val="20"/>
          <w:szCs w:val="20"/>
          <w:lang w:val="es-PE"/>
        </w:rPr>
        <w:t>enuncia por el delito de usurpación y el proceso penal relativo a la muerte de Félix Ordóñez Suazo, y las denuncias de usurpación, amenazas y abuso de autoridad en perjuicio de la Comunidad Garífuna de Punta Piedra</w:t>
      </w:r>
      <w:r w:rsidRPr="00A140E5">
        <w:rPr>
          <w:rFonts w:ascii="Verdana" w:hAnsi="Verdana"/>
          <w:sz w:val="20"/>
          <w:szCs w:val="20"/>
        </w:rPr>
        <w:t xml:space="preserve">, la Corte encontró al Estado responsable por la violación de los derechos establecidos en los artículos 8.1 y 25.1 de la Convención, en virtud de que las omisiones </w:t>
      </w:r>
      <w:r w:rsidRPr="00A140E5">
        <w:rPr>
          <w:rFonts w:ascii="Verdana" w:hAnsi="Verdana"/>
          <w:spacing w:val="-2"/>
          <w:sz w:val="20"/>
          <w:szCs w:val="20"/>
          <w:lang w:val="es-CR"/>
        </w:rPr>
        <w:t>e irregularidades en los procesos demostraron una clara falta de efectividad en el actuar del Estado con el fin de alcanzar la verdad y sancionar a los responsables (</w:t>
      </w:r>
      <w:r w:rsidRPr="00A140E5">
        <w:rPr>
          <w:rFonts w:ascii="Verdana" w:hAnsi="Verdana"/>
          <w:i/>
          <w:spacing w:val="-2"/>
          <w:sz w:val="20"/>
          <w:szCs w:val="20"/>
          <w:lang w:val="es-CR"/>
        </w:rPr>
        <w:t>supra</w:t>
      </w:r>
      <w:r w:rsidRPr="00A140E5">
        <w:rPr>
          <w:rFonts w:ascii="Verdana" w:hAnsi="Verdana"/>
          <w:spacing w:val="-2"/>
          <w:sz w:val="20"/>
          <w:szCs w:val="20"/>
          <w:lang w:val="es-CR"/>
        </w:rPr>
        <w:t xml:space="preserve"> párrs. </w:t>
      </w:r>
      <w:r w:rsidR="00403D70">
        <w:rPr>
          <w:rFonts w:ascii="Verdana" w:hAnsi="Verdana"/>
          <w:spacing w:val="-2"/>
          <w:sz w:val="20"/>
          <w:szCs w:val="20"/>
          <w:lang w:val="es-CR"/>
        </w:rPr>
        <w:t>302, 308 y 312</w:t>
      </w:r>
      <w:r w:rsidRPr="00A140E5">
        <w:rPr>
          <w:rFonts w:ascii="Verdana" w:hAnsi="Verdana"/>
          <w:spacing w:val="-2"/>
          <w:sz w:val="20"/>
          <w:szCs w:val="20"/>
          <w:lang w:val="es-CR"/>
        </w:rPr>
        <w:t xml:space="preserve">). </w:t>
      </w:r>
    </w:p>
    <w:p w14:paraId="0C704C9B" w14:textId="77777777" w:rsidR="00A140E5" w:rsidRPr="00A140E5" w:rsidRDefault="00A140E5" w:rsidP="00A140E5">
      <w:pPr>
        <w:ind w:left="720"/>
        <w:contextualSpacing/>
        <w:rPr>
          <w:rFonts w:ascii="Verdana" w:hAnsi="Verdana"/>
          <w:sz w:val="20"/>
          <w:szCs w:val="20"/>
        </w:rPr>
      </w:pPr>
    </w:p>
    <w:p w14:paraId="0C704C9C"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En razón de lo anterior, teniendo en cuenta la jurisprudencia de este Tribunal</w:t>
      </w:r>
      <w:r w:rsidRPr="00A140E5">
        <w:rPr>
          <w:rFonts w:ascii="Verdana" w:hAnsi="Verdana"/>
          <w:sz w:val="20"/>
          <w:szCs w:val="20"/>
          <w:vertAlign w:val="superscript"/>
        </w:rPr>
        <w:footnoteReference w:id="352"/>
      </w:r>
      <w:r w:rsidRPr="00A140E5">
        <w:rPr>
          <w:rFonts w:ascii="Verdana" w:hAnsi="Verdana"/>
          <w:sz w:val="20"/>
          <w:szCs w:val="20"/>
        </w:rPr>
        <w:t xml:space="preserve"> y que los distintos procesos judiciales analizados aún se encuentran pendientes de sentencia, la Corte dispone que el Estado debe continuar eficazmente y conducir con la mayor diligencia y dentro del plazo razonable las investigaciones penales por los hechos analizados en el presente Fallo. Para ello, el Estado debe emprender con seriedad todas las acciones necesarias con el fin de individualizar, juzgar, y en su caso sancionar a los autores y partícipes de los mismos. No obstante, la Corte determina que la supervisión de la presente medida de reparación se realizará únicamente respecto del proceso penal relativo a la muerte del señor Félix Ordóñez Suazo. </w:t>
      </w:r>
    </w:p>
    <w:p w14:paraId="0C704C9D" w14:textId="77777777" w:rsidR="00A140E5" w:rsidRPr="00A140E5" w:rsidRDefault="00A140E5" w:rsidP="00A140E5">
      <w:r w:rsidRPr="00A140E5" w:rsidDel="00762546">
        <w:rPr>
          <w:rFonts w:ascii="Verdana" w:hAnsi="Verdana"/>
          <w:sz w:val="20"/>
          <w:szCs w:val="20"/>
        </w:rPr>
        <w:t xml:space="preserve"> </w:t>
      </w:r>
    </w:p>
    <w:p w14:paraId="0C704C9E" w14:textId="62128A0B" w:rsidR="00A140E5" w:rsidRPr="00A140E5" w:rsidRDefault="009A28AE" w:rsidP="00A140E5">
      <w:pPr>
        <w:keepNext/>
        <w:keepLines/>
        <w:numPr>
          <w:ilvl w:val="0"/>
          <w:numId w:val="16"/>
        </w:numPr>
        <w:jc w:val="both"/>
        <w:outlineLvl w:val="1"/>
        <w:rPr>
          <w:rFonts w:ascii="Verdana" w:eastAsia="Times New Roman" w:hAnsi="Verdana"/>
          <w:b/>
          <w:bCs/>
          <w:i/>
          <w:sz w:val="20"/>
          <w:szCs w:val="20"/>
        </w:rPr>
      </w:pPr>
      <w:bookmarkStart w:id="132" w:name="_Toc437247386"/>
      <w:r>
        <w:rPr>
          <w:rFonts w:ascii="Verdana" w:eastAsia="Times New Roman" w:hAnsi="Verdana"/>
          <w:b/>
          <w:bCs/>
          <w:i/>
          <w:sz w:val="20"/>
          <w:szCs w:val="20"/>
        </w:rPr>
        <w:t>Solicitud de i</w:t>
      </w:r>
      <w:r w:rsidR="00A140E5" w:rsidRPr="00A140E5">
        <w:rPr>
          <w:rFonts w:ascii="Verdana" w:eastAsia="Times New Roman" w:hAnsi="Verdana"/>
          <w:b/>
          <w:bCs/>
          <w:i/>
          <w:sz w:val="20"/>
          <w:szCs w:val="20"/>
        </w:rPr>
        <w:t>ndemnización compensatoria por la muerte de Félix Ordóñez Suazo</w:t>
      </w:r>
      <w:bookmarkEnd w:id="132"/>
    </w:p>
    <w:p w14:paraId="0C704C9F" w14:textId="77777777" w:rsidR="00A140E5" w:rsidRPr="00A140E5" w:rsidRDefault="00A140E5" w:rsidP="00A140E5">
      <w:pPr>
        <w:jc w:val="both"/>
        <w:rPr>
          <w:rFonts w:ascii="Verdana" w:hAnsi="Verdana"/>
          <w:sz w:val="20"/>
          <w:szCs w:val="20"/>
          <w:lang w:val="es-CR"/>
        </w:rPr>
      </w:pPr>
    </w:p>
    <w:p w14:paraId="0C704CA0" w14:textId="0CFDD748"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Los </w:t>
      </w:r>
      <w:r w:rsidRPr="00A140E5">
        <w:rPr>
          <w:rFonts w:ascii="Verdana" w:hAnsi="Verdana"/>
          <w:b/>
          <w:i/>
          <w:sz w:val="20"/>
          <w:szCs w:val="20"/>
        </w:rPr>
        <w:t>representantes</w:t>
      </w:r>
      <w:r w:rsidRPr="00A140E5">
        <w:rPr>
          <w:rFonts w:ascii="Verdana" w:hAnsi="Verdana"/>
          <w:sz w:val="20"/>
          <w:szCs w:val="20"/>
        </w:rPr>
        <w:t xml:space="preserve"> solicitaron la reparación del daño material con relación al detrimento económico generado a las familias de la víctima del asesinato </w:t>
      </w:r>
      <w:r w:rsidR="009A28AE">
        <w:rPr>
          <w:rFonts w:ascii="Verdana" w:hAnsi="Verdana"/>
          <w:sz w:val="20"/>
          <w:szCs w:val="20"/>
        </w:rPr>
        <w:t xml:space="preserve">de </w:t>
      </w:r>
      <w:r w:rsidR="00631669">
        <w:rPr>
          <w:rFonts w:ascii="Verdana" w:hAnsi="Verdana"/>
          <w:sz w:val="20"/>
          <w:szCs w:val="20"/>
        </w:rPr>
        <w:t>Félix Ordóñez Suazo</w:t>
      </w:r>
      <w:r w:rsidR="009A28AE">
        <w:rPr>
          <w:rFonts w:ascii="Verdana" w:hAnsi="Verdana"/>
          <w:sz w:val="20"/>
          <w:szCs w:val="20"/>
        </w:rPr>
        <w:t xml:space="preserve">, </w:t>
      </w:r>
      <w:r w:rsidRPr="00A140E5">
        <w:rPr>
          <w:rFonts w:ascii="Verdana" w:hAnsi="Verdana"/>
          <w:sz w:val="20"/>
          <w:szCs w:val="20"/>
        </w:rPr>
        <w:t xml:space="preserve">ocurrido en el contexto del conflicto. Asimismo, solicitaron la reparación del lucro cesante  y del daño inmaterial por las consecuencias psicológicas sufridas por los familiares de la víctima asesinada y los líderes y </w:t>
      </w:r>
      <w:r w:rsidR="00A0324F" w:rsidRPr="00A140E5">
        <w:rPr>
          <w:rFonts w:ascii="Verdana" w:hAnsi="Verdana"/>
          <w:sz w:val="20"/>
          <w:szCs w:val="20"/>
        </w:rPr>
        <w:t>lideresas</w:t>
      </w:r>
      <w:r w:rsidRPr="00A140E5">
        <w:rPr>
          <w:rFonts w:ascii="Verdana" w:hAnsi="Verdana"/>
          <w:sz w:val="20"/>
          <w:szCs w:val="20"/>
        </w:rPr>
        <w:t xml:space="preserve"> amedrentadas.</w:t>
      </w:r>
    </w:p>
    <w:p w14:paraId="0C704CA1" w14:textId="77777777" w:rsidR="00A140E5" w:rsidRPr="00A140E5" w:rsidRDefault="00A140E5" w:rsidP="00A140E5">
      <w:pPr>
        <w:contextualSpacing/>
        <w:jc w:val="both"/>
        <w:rPr>
          <w:rFonts w:ascii="Verdana" w:hAnsi="Verdana"/>
          <w:sz w:val="20"/>
          <w:szCs w:val="20"/>
        </w:rPr>
      </w:pPr>
    </w:p>
    <w:p w14:paraId="0C704CA2" w14:textId="3E81EB9A" w:rsidR="00A140E5" w:rsidRPr="00A140E5" w:rsidRDefault="00A140E5" w:rsidP="00A140E5">
      <w:pPr>
        <w:numPr>
          <w:ilvl w:val="0"/>
          <w:numId w:val="17"/>
        </w:numPr>
        <w:ind w:left="0" w:hanging="11"/>
        <w:contextualSpacing/>
        <w:jc w:val="both"/>
        <w:rPr>
          <w:rFonts w:ascii="Verdana" w:hAnsi="Verdana"/>
          <w:b/>
          <w:sz w:val="20"/>
          <w:szCs w:val="20"/>
        </w:rPr>
      </w:pPr>
      <w:r w:rsidRPr="00A140E5">
        <w:rPr>
          <w:rFonts w:ascii="Verdana" w:hAnsi="Verdana"/>
          <w:sz w:val="20"/>
          <w:szCs w:val="20"/>
        </w:rPr>
        <w:t xml:space="preserve">El </w:t>
      </w:r>
      <w:r w:rsidRPr="00A140E5">
        <w:rPr>
          <w:rFonts w:ascii="Verdana" w:hAnsi="Verdana"/>
          <w:b/>
          <w:i/>
          <w:sz w:val="20"/>
          <w:szCs w:val="20"/>
        </w:rPr>
        <w:t>Estado</w:t>
      </w:r>
      <w:r w:rsidRPr="00A140E5">
        <w:rPr>
          <w:rFonts w:ascii="Verdana" w:hAnsi="Verdana"/>
          <w:sz w:val="20"/>
          <w:szCs w:val="20"/>
        </w:rPr>
        <w:t xml:space="preserve"> rechazó de manera general las pretensiones de indemnización planteadas en el escrito de solicitudes y argumentos.</w:t>
      </w:r>
    </w:p>
    <w:p w14:paraId="0C704CA3" w14:textId="77777777" w:rsidR="00A140E5" w:rsidRPr="00A140E5" w:rsidRDefault="00A140E5" w:rsidP="00A140E5">
      <w:pPr>
        <w:jc w:val="both"/>
        <w:rPr>
          <w:rFonts w:ascii="Verdana" w:hAnsi="Verdana"/>
          <w:b/>
          <w:sz w:val="20"/>
          <w:szCs w:val="20"/>
        </w:rPr>
      </w:pPr>
    </w:p>
    <w:p w14:paraId="0C704CA4"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no se refirió a esta medida de reparación.</w:t>
      </w:r>
    </w:p>
    <w:p w14:paraId="0C704CA5" w14:textId="77777777" w:rsidR="00A140E5" w:rsidRPr="00A140E5" w:rsidRDefault="00A140E5" w:rsidP="00A140E5">
      <w:pPr>
        <w:rPr>
          <w:rFonts w:ascii="Verdana" w:hAnsi="Verdana"/>
          <w:sz w:val="20"/>
          <w:szCs w:val="20"/>
        </w:rPr>
      </w:pPr>
    </w:p>
    <w:p w14:paraId="0C704CA6" w14:textId="19384645" w:rsidR="00A140E5" w:rsidRPr="00A140E5" w:rsidRDefault="00A140E5" w:rsidP="00A140E5">
      <w:pPr>
        <w:numPr>
          <w:ilvl w:val="0"/>
          <w:numId w:val="17"/>
        </w:numPr>
        <w:ind w:left="0" w:hanging="11"/>
        <w:contextualSpacing/>
        <w:jc w:val="both"/>
        <w:rPr>
          <w:rFonts w:ascii="Verdana" w:hAnsi="Verdana"/>
          <w:sz w:val="20"/>
          <w:szCs w:val="20"/>
          <w:lang w:val="es-CR"/>
        </w:rPr>
      </w:pPr>
      <w:r w:rsidRPr="00A140E5">
        <w:rPr>
          <w:rFonts w:ascii="Verdana" w:hAnsi="Verdana"/>
          <w:sz w:val="20"/>
          <w:szCs w:val="20"/>
          <w:lang w:val="es-CR"/>
        </w:rPr>
        <w:t xml:space="preserve">En el presente caso, la Corte no encontró responsable al Estado de la violación del deber de garantía del derecho a la vida en perjuicio de Félix Ordóñez Suazo. En virtud de lo anterior, </w:t>
      </w:r>
      <w:r w:rsidR="003B5BF3">
        <w:rPr>
          <w:rFonts w:ascii="Verdana" w:hAnsi="Verdana"/>
          <w:sz w:val="20"/>
          <w:szCs w:val="20"/>
          <w:lang w:val="es-CR"/>
        </w:rPr>
        <w:t xml:space="preserve">a falta de nexo causal con las violaciones acreditadas, </w:t>
      </w:r>
      <w:r w:rsidRPr="00A140E5">
        <w:rPr>
          <w:rFonts w:ascii="Verdana" w:hAnsi="Verdana"/>
          <w:sz w:val="20"/>
          <w:szCs w:val="20"/>
          <w:lang w:val="es-CR"/>
        </w:rPr>
        <w:t xml:space="preserve">no resulta </w:t>
      </w:r>
      <w:r w:rsidRPr="00A140E5">
        <w:rPr>
          <w:rFonts w:ascii="Verdana" w:hAnsi="Verdana"/>
          <w:sz w:val="20"/>
          <w:szCs w:val="20"/>
          <w:lang w:val="es-CR"/>
        </w:rPr>
        <w:lastRenderedPageBreak/>
        <w:t>procedente la concesión de la indemnización compensatoria por lucro cesante y daño inmaterial solicitada por los representantes</w:t>
      </w:r>
      <w:r w:rsidRPr="00A140E5">
        <w:rPr>
          <w:rFonts w:ascii="Verdana" w:hAnsi="Verdana"/>
          <w:sz w:val="20"/>
          <w:szCs w:val="20"/>
          <w:lang w:val="es-MX"/>
        </w:rPr>
        <w:t xml:space="preserve">. </w:t>
      </w:r>
    </w:p>
    <w:p w14:paraId="0C704CA7" w14:textId="77777777" w:rsidR="00A140E5" w:rsidRPr="00A140E5" w:rsidRDefault="00A140E5" w:rsidP="00A140E5">
      <w:pPr>
        <w:contextualSpacing/>
        <w:jc w:val="both"/>
        <w:rPr>
          <w:rFonts w:ascii="Verdana" w:hAnsi="Verdana"/>
          <w:sz w:val="20"/>
          <w:szCs w:val="20"/>
        </w:rPr>
      </w:pPr>
    </w:p>
    <w:p w14:paraId="0C704CA8"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33" w:name="_Toc437247387"/>
      <w:r w:rsidRPr="00A140E5">
        <w:rPr>
          <w:rFonts w:ascii="Verdana" w:eastAsia="Times New Roman" w:hAnsi="Verdana"/>
          <w:b/>
          <w:bCs/>
          <w:i/>
          <w:sz w:val="20"/>
          <w:szCs w:val="20"/>
        </w:rPr>
        <w:t>Costas y gastos</w:t>
      </w:r>
      <w:bookmarkEnd w:id="133"/>
    </w:p>
    <w:p w14:paraId="0C704CA9" w14:textId="77777777" w:rsidR="00A140E5" w:rsidRPr="00A140E5" w:rsidRDefault="00A140E5" w:rsidP="00A140E5">
      <w:pPr>
        <w:jc w:val="both"/>
        <w:rPr>
          <w:rFonts w:ascii="Verdana" w:hAnsi="Verdana"/>
          <w:sz w:val="20"/>
          <w:szCs w:val="20"/>
        </w:rPr>
      </w:pPr>
    </w:p>
    <w:p w14:paraId="0C704CAA" w14:textId="2DBECA19"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Los </w:t>
      </w:r>
      <w:r w:rsidRPr="00A140E5">
        <w:rPr>
          <w:rFonts w:ascii="Verdana" w:hAnsi="Verdana"/>
          <w:b/>
          <w:i/>
          <w:sz w:val="20"/>
          <w:szCs w:val="20"/>
        </w:rPr>
        <w:t>representantes</w:t>
      </w:r>
      <w:r w:rsidRPr="00A140E5">
        <w:rPr>
          <w:rFonts w:ascii="Verdana" w:hAnsi="Verdana"/>
          <w:sz w:val="20"/>
          <w:szCs w:val="20"/>
        </w:rPr>
        <w:t xml:space="preserve"> señalaron que el Estado debe resarcir las costas y gastos en que incurrieron los miembros de la Comunidad en la </w:t>
      </w:r>
      <w:r w:rsidRPr="00A140E5">
        <w:rPr>
          <w:rFonts w:ascii="Verdana" w:eastAsia="MS Mincho" w:hAnsi="Verdana"/>
          <w:color w:val="000000"/>
          <w:sz w:val="20"/>
          <w:szCs w:val="20"/>
        </w:rPr>
        <w:t>tramitación</w:t>
      </w:r>
      <w:r w:rsidRPr="00A140E5">
        <w:rPr>
          <w:rFonts w:ascii="Verdana" w:hAnsi="Verdana"/>
          <w:sz w:val="20"/>
          <w:szCs w:val="20"/>
        </w:rPr>
        <w:t xml:space="preserve"> del caso ante la Comisión y la Corte. En sus alegatos finales escritos los representantes señalaron que las costas y gastos </w:t>
      </w:r>
      <w:r w:rsidR="009A28AE">
        <w:rPr>
          <w:rFonts w:ascii="Verdana" w:hAnsi="Verdana"/>
          <w:sz w:val="20"/>
          <w:szCs w:val="20"/>
        </w:rPr>
        <w:t>ascendían</w:t>
      </w:r>
      <w:r w:rsidR="009A28AE" w:rsidRPr="00A140E5">
        <w:rPr>
          <w:rFonts w:ascii="Verdana" w:hAnsi="Verdana"/>
          <w:sz w:val="20"/>
          <w:szCs w:val="20"/>
        </w:rPr>
        <w:t xml:space="preserve"> </w:t>
      </w:r>
      <w:r w:rsidRPr="00A140E5">
        <w:rPr>
          <w:rFonts w:ascii="Verdana" w:hAnsi="Verdana"/>
          <w:sz w:val="20"/>
          <w:szCs w:val="20"/>
        </w:rPr>
        <w:t xml:space="preserve">a un monto de </w:t>
      </w:r>
      <w:r w:rsidR="009A28AE">
        <w:rPr>
          <w:rFonts w:ascii="Verdana" w:hAnsi="Verdana"/>
          <w:sz w:val="20"/>
          <w:szCs w:val="20"/>
        </w:rPr>
        <w:t>US$ 90,000.00 (</w:t>
      </w:r>
      <w:r w:rsidRPr="00A140E5">
        <w:rPr>
          <w:rFonts w:ascii="Verdana" w:hAnsi="Verdana"/>
          <w:sz w:val="20"/>
          <w:szCs w:val="20"/>
        </w:rPr>
        <w:t>noventa mil dólares de los Estados Unidos de América</w:t>
      </w:r>
      <w:r w:rsidR="009A28AE">
        <w:rPr>
          <w:rFonts w:ascii="Verdana" w:hAnsi="Verdana"/>
          <w:sz w:val="20"/>
          <w:szCs w:val="20"/>
        </w:rPr>
        <w:t>)</w:t>
      </w:r>
      <w:r w:rsidRPr="00A140E5">
        <w:rPr>
          <w:rFonts w:ascii="Verdana" w:hAnsi="Verdana"/>
          <w:sz w:val="20"/>
          <w:szCs w:val="20"/>
        </w:rPr>
        <w:t>.</w:t>
      </w:r>
    </w:p>
    <w:p w14:paraId="0C704CAB" w14:textId="77777777" w:rsidR="00A140E5" w:rsidRPr="00A140E5" w:rsidRDefault="00A140E5" w:rsidP="00A140E5">
      <w:pPr>
        <w:jc w:val="both"/>
        <w:rPr>
          <w:rFonts w:ascii="Verdana" w:hAnsi="Verdana"/>
          <w:sz w:val="20"/>
          <w:szCs w:val="20"/>
        </w:rPr>
      </w:pPr>
    </w:p>
    <w:p w14:paraId="0C704CAC" w14:textId="61B90CC9"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El </w:t>
      </w:r>
      <w:r w:rsidRPr="00A140E5">
        <w:rPr>
          <w:rFonts w:ascii="Verdana" w:hAnsi="Verdana"/>
          <w:b/>
          <w:i/>
          <w:sz w:val="20"/>
          <w:szCs w:val="20"/>
        </w:rPr>
        <w:t>Estado</w:t>
      </w:r>
      <w:r w:rsidRPr="00A140E5">
        <w:rPr>
          <w:rFonts w:ascii="Verdana" w:hAnsi="Verdana"/>
          <w:sz w:val="20"/>
          <w:szCs w:val="20"/>
        </w:rPr>
        <w:t xml:space="preserve"> señaló que confía en que una vez resuelta la controversia, a la parte vencedora se le reconozca el derecho a que se le reembolsen los gastos en que pueda haber incurrido con motivo del procedimiento, y que en caso de que la Corte considere que las partes tuvieron motivos racionales para litigar, se les exima del pago de las mismas.</w:t>
      </w:r>
    </w:p>
    <w:p w14:paraId="0C704CAD" w14:textId="77777777" w:rsidR="00A140E5" w:rsidRPr="00A140E5" w:rsidRDefault="00A140E5" w:rsidP="00A140E5">
      <w:pPr>
        <w:ind w:left="720"/>
        <w:contextualSpacing/>
        <w:rPr>
          <w:rFonts w:ascii="Verdana" w:hAnsi="Verdana"/>
          <w:sz w:val="20"/>
          <w:szCs w:val="20"/>
        </w:rPr>
      </w:pPr>
    </w:p>
    <w:p w14:paraId="0C704CAE" w14:textId="77777777" w:rsid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La </w:t>
      </w:r>
      <w:r w:rsidRPr="00A140E5">
        <w:rPr>
          <w:rFonts w:ascii="Verdana" w:hAnsi="Verdana"/>
          <w:b/>
          <w:i/>
          <w:sz w:val="20"/>
          <w:szCs w:val="20"/>
        </w:rPr>
        <w:t>Comisión</w:t>
      </w:r>
      <w:r w:rsidRPr="00A140E5">
        <w:rPr>
          <w:rFonts w:ascii="Verdana" w:hAnsi="Verdana"/>
          <w:sz w:val="20"/>
          <w:szCs w:val="20"/>
        </w:rPr>
        <w:t xml:space="preserve"> no se refirió a esta medida de reparación. </w:t>
      </w:r>
    </w:p>
    <w:p w14:paraId="0C704CAF" w14:textId="77777777" w:rsidR="00286EBD" w:rsidRDefault="00286EBD" w:rsidP="00286EBD">
      <w:pPr>
        <w:pStyle w:val="ListParagraph"/>
        <w:rPr>
          <w:rFonts w:ascii="Verdana" w:hAnsi="Verdana"/>
          <w:sz w:val="20"/>
          <w:szCs w:val="20"/>
        </w:rPr>
      </w:pPr>
    </w:p>
    <w:p w14:paraId="0C704CB0" w14:textId="77777777" w:rsidR="00A140E5" w:rsidRDefault="00A140E5" w:rsidP="00A140E5">
      <w:pPr>
        <w:numPr>
          <w:ilvl w:val="0"/>
          <w:numId w:val="17"/>
        </w:numPr>
        <w:ind w:left="0" w:hanging="11"/>
        <w:contextualSpacing/>
        <w:jc w:val="both"/>
        <w:rPr>
          <w:rFonts w:ascii="Verdana" w:hAnsi="Verdana"/>
          <w:sz w:val="20"/>
          <w:szCs w:val="20"/>
        </w:rPr>
      </w:pPr>
      <w:r w:rsidRPr="00286EBD">
        <w:rPr>
          <w:rFonts w:ascii="Verdana" w:hAnsi="Verdana"/>
          <w:sz w:val="20"/>
          <w:szCs w:val="20"/>
        </w:rPr>
        <w:t>La Corte reitera que, conforme a su jurisprudencia</w:t>
      </w:r>
      <w:r w:rsidRPr="00A140E5">
        <w:rPr>
          <w:rFonts w:ascii="Verdana" w:hAnsi="Verdana"/>
          <w:sz w:val="20"/>
          <w:vertAlign w:val="superscript"/>
        </w:rPr>
        <w:footnoteReference w:id="353"/>
      </w:r>
      <w:r w:rsidRPr="00286EBD">
        <w:rPr>
          <w:rFonts w:ascii="Verdana" w:hAnsi="Verdana"/>
          <w:sz w:val="20"/>
          <w:szCs w:val="20"/>
        </w:rPr>
        <w:t xml:space="preserve">, las costas y gastos hacen parte del concepto de reparación, toda vez que las actividades desplegadas por las víctimas con el fin de obtener justicia, tanto a nivel nacional como internacional, implican erogaciones que deben ser compensadas cuando la responsabilidad internacional del Estado es declarada mediante una sentencia condenatoria. En cuanto al reembolso de gastos, corresponde a la Corte apreciar prudentemente su alcance, el cual comprende los gastos generados ante las autoridades de la jurisdicción interna, así como los generados en el curso del proceso ante el sistema interamericano, teniendo en cuenta las circunstancias del caso concreto y la naturaleza de la jurisdicción internacional de protección de los derechos humanos. Esta apreciación puede ser realizada con base en el principio de equidad y tomando en cuenta los gastos señalados por las partes, siempre que su </w:t>
      </w:r>
      <w:r w:rsidRPr="00286EBD">
        <w:rPr>
          <w:rFonts w:ascii="Verdana" w:hAnsi="Verdana"/>
          <w:i/>
          <w:sz w:val="20"/>
          <w:szCs w:val="20"/>
        </w:rPr>
        <w:t>quantum</w:t>
      </w:r>
      <w:r w:rsidRPr="00286EBD">
        <w:rPr>
          <w:rFonts w:ascii="Verdana" w:hAnsi="Verdana"/>
          <w:sz w:val="20"/>
          <w:szCs w:val="20"/>
        </w:rPr>
        <w:t xml:space="preserve"> sea razonable</w:t>
      </w:r>
      <w:r w:rsidRPr="00A140E5">
        <w:rPr>
          <w:rFonts w:ascii="Verdana" w:hAnsi="Verdana"/>
          <w:sz w:val="20"/>
          <w:vertAlign w:val="superscript"/>
        </w:rPr>
        <w:footnoteReference w:id="354"/>
      </w:r>
      <w:r w:rsidRPr="00286EBD">
        <w:rPr>
          <w:rFonts w:ascii="Verdana" w:hAnsi="Verdana"/>
          <w:sz w:val="20"/>
          <w:szCs w:val="20"/>
        </w:rPr>
        <w:t xml:space="preserve">. </w:t>
      </w:r>
    </w:p>
    <w:p w14:paraId="0C704CB1" w14:textId="77777777" w:rsidR="00286EBD" w:rsidRDefault="00286EBD" w:rsidP="00286EBD">
      <w:pPr>
        <w:pStyle w:val="ListParagraph"/>
        <w:rPr>
          <w:rFonts w:ascii="Verdana" w:hAnsi="Verdana"/>
          <w:sz w:val="20"/>
          <w:szCs w:val="20"/>
        </w:rPr>
      </w:pPr>
    </w:p>
    <w:p w14:paraId="0C704CB2" w14:textId="77777777" w:rsidR="00A140E5" w:rsidRPr="00286EBD" w:rsidRDefault="00A140E5" w:rsidP="00A140E5">
      <w:pPr>
        <w:numPr>
          <w:ilvl w:val="0"/>
          <w:numId w:val="17"/>
        </w:numPr>
        <w:ind w:left="0" w:hanging="11"/>
        <w:contextualSpacing/>
        <w:jc w:val="both"/>
        <w:rPr>
          <w:rFonts w:ascii="Verdana" w:hAnsi="Verdana"/>
          <w:sz w:val="20"/>
          <w:szCs w:val="20"/>
        </w:rPr>
      </w:pPr>
      <w:r w:rsidRPr="00286EBD">
        <w:rPr>
          <w:rFonts w:ascii="Verdana" w:hAnsi="Verdana"/>
          <w:sz w:val="20"/>
          <w:szCs w:val="20"/>
        </w:rPr>
        <w:t>Asimismo, la Corte reitera que no es suficiente la remisión de documentos probatorios, sino que se requiere que las partes hagan una argumentación que relacione la prueba con el hecho que se considera representado, y que, al tratarse de alegados desembolsos económicos, se establezcan con claridad los rubros y la justificación de los mismos</w:t>
      </w:r>
      <w:r w:rsidRPr="00A140E5">
        <w:rPr>
          <w:rFonts w:ascii="Verdana" w:hAnsi="Verdana"/>
          <w:sz w:val="20"/>
          <w:vertAlign w:val="superscript"/>
        </w:rPr>
        <w:footnoteReference w:id="355"/>
      </w:r>
      <w:r w:rsidRPr="00286EBD">
        <w:rPr>
          <w:rFonts w:ascii="Verdana" w:hAnsi="Verdana"/>
          <w:sz w:val="20"/>
          <w:szCs w:val="20"/>
        </w:rPr>
        <w:t>. Por otro lado, el Tribunal ha señalado que “las pretensiones de las víctimas o sus representantes en materia de costas y gastos, y las pruebas que sustentan, deben presentarse a la Corte en el primer momento procesal que se les concede, esto es, en el escrito de solicitudes y argumentos, sin perjuicio de que tales pretensiones se actualicen en un momento posterior, conforme a las nuevas costas y gastos en que se haya incurrido con ocasión del procedimiento ante esta Corte"</w:t>
      </w:r>
      <w:r w:rsidRPr="00A140E5">
        <w:rPr>
          <w:rFonts w:ascii="Verdana" w:hAnsi="Verdana"/>
          <w:sz w:val="20"/>
          <w:vertAlign w:val="superscript"/>
        </w:rPr>
        <w:footnoteReference w:id="356"/>
      </w:r>
      <w:r w:rsidRPr="00286EBD">
        <w:rPr>
          <w:rFonts w:ascii="Verdana" w:hAnsi="Verdana"/>
          <w:sz w:val="20"/>
          <w:szCs w:val="20"/>
        </w:rPr>
        <w:t>.</w:t>
      </w:r>
    </w:p>
    <w:p w14:paraId="0C704CB3" w14:textId="77777777" w:rsidR="00A140E5" w:rsidRPr="00A140E5" w:rsidRDefault="00A140E5" w:rsidP="00A140E5">
      <w:pPr>
        <w:jc w:val="both"/>
        <w:rPr>
          <w:rFonts w:ascii="Verdana" w:hAnsi="Verdana"/>
          <w:sz w:val="20"/>
          <w:szCs w:val="20"/>
        </w:rPr>
      </w:pPr>
    </w:p>
    <w:p w14:paraId="0C704CB4" w14:textId="2949F05E"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lastRenderedPageBreak/>
        <w:t xml:space="preserve">En el presente caso, la Corte constató que los representantes señalaron en sus alegatos finales escritos que “[l]a información documental que respalda [los] gastos se presentará en escrito de liquidación formal que será enviado vía </w:t>
      </w:r>
      <w:proofErr w:type="spellStart"/>
      <w:r w:rsidR="0086236B" w:rsidRPr="00A0324F">
        <w:rPr>
          <w:rFonts w:ascii="Verdana" w:hAnsi="Verdana"/>
          <w:i/>
          <w:sz w:val="20"/>
          <w:szCs w:val="20"/>
        </w:rPr>
        <w:t>courier</w:t>
      </w:r>
      <w:proofErr w:type="spellEnd"/>
      <w:r w:rsidRPr="00A140E5">
        <w:rPr>
          <w:rFonts w:ascii="Verdana" w:hAnsi="Verdana"/>
          <w:sz w:val="20"/>
          <w:szCs w:val="20"/>
        </w:rPr>
        <w:t xml:space="preserve"> a la Corte desde Honduras”. Sin embargo, dicha información no fue recibida</w:t>
      </w:r>
      <w:r w:rsidRPr="00423577">
        <w:rPr>
          <w:rFonts w:ascii="Verdana" w:hAnsi="Verdana"/>
          <w:sz w:val="20"/>
          <w:szCs w:val="20"/>
        </w:rPr>
        <w:t xml:space="preserve">. </w:t>
      </w:r>
      <w:r w:rsidR="0086236B" w:rsidRPr="00A0324F">
        <w:rPr>
          <w:rFonts w:ascii="Verdana" w:hAnsi="Verdana"/>
          <w:sz w:val="20"/>
          <w:szCs w:val="20"/>
        </w:rPr>
        <w:t>En virtud de ello, la Corte no cuenta con respaldo probatorio para determinar los gastos realizados.</w:t>
      </w:r>
    </w:p>
    <w:p w14:paraId="0C704CB5" w14:textId="77777777" w:rsidR="00A140E5" w:rsidRPr="00A140E5" w:rsidRDefault="00A140E5" w:rsidP="00A140E5">
      <w:pPr>
        <w:jc w:val="both"/>
        <w:rPr>
          <w:rFonts w:ascii="Verdana" w:hAnsi="Verdana"/>
          <w:sz w:val="20"/>
          <w:szCs w:val="20"/>
        </w:rPr>
      </w:pPr>
    </w:p>
    <w:p w14:paraId="0C704CB6" w14:textId="77777777" w:rsidR="00A140E5" w:rsidRPr="00423577" w:rsidRDefault="0086236B" w:rsidP="00A140E5">
      <w:pPr>
        <w:numPr>
          <w:ilvl w:val="0"/>
          <w:numId w:val="17"/>
        </w:numPr>
        <w:ind w:left="0" w:hanging="11"/>
        <w:contextualSpacing/>
        <w:jc w:val="both"/>
        <w:rPr>
          <w:rFonts w:ascii="Verdana" w:hAnsi="Verdana"/>
          <w:sz w:val="20"/>
          <w:szCs w:val="20"/>
        </w:rPr>
      </w:pPr>
      <w:r w:rsidRPr="00A0324F">
        <w:rPr>
          <w:rFonts w:ascii="Verdana" w:hAnsi="Verdana"/>
          <w:sz w:val="20"/>
          <w:szCs w:val="20"/>
        </w:rPr>
        <w:t>En consecuencia, la Corte decide fijar la suma de US$ 10,000 (diez mil dólares de los Estados Unidos de América), por las labores realizadas en el litigio del caso a nivel nacional e internacional, lo cual el Estado debe pagar a los representantes en un plazo de un año, contado a partir de la notificación de esta Sentencia.</w:t>
      </w:r>
      <w:r w:rsidR="00A140E5" w:rsidRPr="00423577">
        <w:rPr>
          <w:rFonts w:ascii="Verdana" w:hAnsi="Verdana"/>
          <w:sz w:val="20"/>
          <w:szCs w:val="20"/>
        </w:rPr>
        <w:t xml:space="preserve"> </w:t>
      </w:r>
    </w:p>
    <w:p w14:paraId="0C704CB7" w14:textId="77777777" w:rsidR="00A140E5" w:rsidRPr="00A140E5" w:rsidRDefault="00A140E5" w:rsidP="00A140E5">
      <w:pPr>
        <w:jc w:val="both"/>
        <w:rPr>
          <w:rFonts w:ascii="Verdana" w:eastAsia="MS Mincho" w:hAnsi="Verdana"/>
          <w:sz w:val="20"/>
          <w:szCs w:val="20"/>
        </w:rPr>
      </w:pPr>
    </w:p>
    <w:p w14:paraId="0C704CB8" w14:textId="77777777" w:rsidR="00A140E5" w:rsidRPr="00A140E5" w:rsidRDefault="00A140E5" w:rsidP="00A140E5">
      <w:pPr>
        <w:numPr>
          <w:ilvl w:val="0"/>
          <w:numId w:val="17"/>
        </w:numPr>
        <w:ind w:left="0" w:hanging="11"/>
        <w:contextualSpacing/>
        <w:jc w:val="both"/>
        <w:rPr>
          <w:rFonts w:ascii="Verdana" w:eastAsia="MS Mincho" w:hAnsi="Verdana"/>
          <w:sz w:val="20"/>
          <w:szCs w:val="20"/>
        </w:rPr>
      </w:pPr>
      <w:r w:rsidRPr="00A140E5">
        <w:rPr>
          <w:rFonts w:ascii="Verdana" w:eastAsia="MS Mincho" w:hAnsi="Verdana"/>
          <w:sz w:val="20"/>
          <w:szCs w:val="20"/>
        </w:rPr>
        <w:t xml:space="preserve">Asimismo, la Corte considera que, en el procedimiento de supervisión del cumplimiento de la presente </w:t>
      </w:r>
      <w:r w:rsidRPr="00A140E5">
        <w:rPr>
          <w:rFonts w:ascii="Verdana" w:hAnsi="Verdana"/>
          <w:sz w:val="20"/>
          <w:szCs w:val="20"/>
        </w:rPr>
        <w:t>Sentencia</w:t>
      </w:r>
      <w:r w:rsidRPr="00A140E5">
        <w:rPr>
          <w:rFonts w:ascii="Verdana" w:eastAsia="MS Mincho" w:hAnsi="Verdana"/>
          <w:sz w:val="20"/>
          <w:szCs w:val="20"/>
        </w:rPr>
        <w:t>, podrá disponer que el Estado reembolse a las víctimas o sus representantes los gastos razonables en que incurran durante dicha etapa procesal.</w:t>
      </w:r>
    </w:p>
    <w:p w14:paraId="0C704CB9" w14:textId="77777777" w:rsidR="00A140E5" w:rsidRPr="00A140E5" w:rsidRDefault="00A140E5" w:rsidP="00A140E5">
      <w:pPr>
        <w:contextualSpacing/>
        <w:jc w:val="both"/>
        <w:rPr>
          <w:rFonts w:ascii="Verdana" w:eastAsia="MS Mincho" w:hAnsi="Verdana"/>
          <w:sz w:val="20"/>
          <w:szCs w:val="20"/>
        </w:rPr>
      </w:pPr>
    </w:p>
    <w:p w14:paraId="0C704CBA"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34" w:name="_Toc405903903"/>
      <w:bookmarkStart w:id="135" w:name="_Toc437247388"/>
      <w:r w:rsidRPr="00A140E5">
        <w:rPr>
          <w:rFonts w:ascii="Verdana" w:eastAsia="Times New Roman" w:hAnsi="Verdana"/>
          <w:b/>
          <w:bCs/>
          <w:i/>
          <w:sz w:val="20"/>
          <w:szCs w:val="20"/>
        </w:rPr>
        <w:t>Reintegro de los gastos al Fondo de Asistencia Legal de Víctimas</w:t>
      </w:r>
      <w:bookmarkEnd w:id="134"/>
      <w:bookmarkEnd w:id="135"/>
    </w:p>
    <w:p w14:paraId="0C704CBB" w14:textId="77777777" w:rsidR="00A140E5" w:rsidRPr="00A140E5" w:rsidRDefault="00A140E5" w:rsidP="00A140E5">
      <w:pPr>
        <w:jc w:val="both"/>
        <w:rPr>
          <w:rFonts w:ascii="Verdana" w:hAnsi="Verdana"/>
          <w:sz w:val="20"/>
          <w:szCs w:val="20"/>
        </w:rPr>
      </w:pPr>
    </w:p>
    <w:p w14:paraId="0C704CBC" w14:textId="21283BB4"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Los </w:t>
      </w:r>
      <w:r w:rsidRPr="00A140E5">
        <w:rPr>
          <w:rFonts w:ascii="Verdana" w:hAnsi="Verdana"/>
          <w:b/>
          <w:i/>
          <w:sz w:val="20"/>
          <w:szCs w:val="20"/>
        </w:rPr>
        <w:t>representantes</w:t>
      </w:r>
      <w:r w:rsidRPr="00A140E5">
        <w:rPr>
          <w:rFonts w:ascii="Verdana" w:hAnsi="Verdana"/>
          <w:sz w:val="20"/>
          <w:szCs w:val="20"/>
        </w:rPr>
        <w:t xml:space="preserve"> presentaron solicitud de apoyo del Fondo de Asistencia Legal de Víctimas de la Corte para cubrir determinados gastos de presentación de prueba. Mediante Resoluci</w:t>
      </w:r>
      <w:r w:rsidR="00423577">
        <w:rPr>
          <w:rFonts w:ascii="Verdana" w:hAnsi="Verdana"/>
          <w:sz w:val="20"/>
          <w:szCs w:val="20"/>
        </w:rPr>
        <w:t>ó</w:t>
      </w:r>
      <w:r w:rsidRPr="00A140E5">
        <w:rPr>
          <w:rFonts w:ascii="Verdana" w:hAnsi="Verdana"/>
          <w:sz w:val="20"/>
          <w:szCs w:val="20"/>
        </w:rPr>
        <w:t xml:space="preserve">n del Presidente de la Corte de 30 de mayo de 2014, se autorizó la asistencia económica del Fondo para la </w:t>
      </w:r>
      <w:r w:rsidR="00423577">
        <w:rPr>
          <w:rFonts w:ascii="Verdana" w:hAnsi="Verdana"/>
          <w:sz w:val="20"/>
          <w:szCs w:val="20"/>
        </w:rPr>
        <w:t>comparecencia</w:t>
      </w:r>
      <w:r w:rsidR="00423577" w:rsidRPr="00A140E5">
        <w:rPr>
          <w:rFonts w:ascii="Verdana" w:hAnsi="Verdana"/>
          <w:sz w:val="20"/>
          <w:szCs w:val="20"/>
        </w:rPr>
        <w:t xml:space="preserve"> </w:t>
      </w:r>
      <w:r w:rsidRPr="00A140E5">
        <w:rPr>
          <w:rFonts w:ascii="Verdana" w:hAnsi="Verdana"/>
          <w:sz w:val="20"/>
          <w:szCs w:val="20"/>
        </w:rPr>
        <w:t>a la Audiencia Pública de dos representantes y para la presentación de un máximo de tres declaraciones y un peritaje.</w:t>
      </w:r>
    </w:p>
    <w:p w14:paraId="0C704CBD" w14:textId="77777777" w:rsidR="00A140E5" w:rsidRPr="00A140E5" w:rsidRDefault="00A140E5" w:rsidP="00A140E5">
      <w:pPr>
        <w:jc w:val="both"/>
        <w:rPr>
          <w:rFonts w:ascii="Verdana" w:hAnsi="Verdana"/>
          <w:sz w:val="20"/>
          <w:szCs w:val="20"/>
        </w:rPr>
      </w:pPr>
    </w:p>
    <w:p w14:paraId="0C704CBE" w14:textId="1EB7CBA5"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El </w:t>
      </w:r>
      <w:r w:rsidRPr="00A140E5">
        <w:rPr>
          <w:rFonts w:ascii="Verdana" w:hAnsi="Verdana"/>
          <w:b/>
          <w:i/>
          <w:sz w:val="20"/>
          <w:szCs w:val="20"/>
        </w:rPr>
        <w:t>Estado</w:t>
      </w:r>
      <w:r w:rsidRPr="00A140E5">
        <w:rPr>
          <w:rFonts w:ascii="Verdana" w:hAnsi="Verdana"/>
          <w:sz w:val="20"/>
          <w:szCs w:val="20"/>
        </w:rPr>
        <w:t xml:space="preserve"> tuvo oportunidad de presentar sus observaciones sobre las erogaciones realizadas en el presente caso, las cuales ascendieron a la suma de US$ 8,543.06 (ocho mil quinientos cuarenta y tres dólares de los Estados Unidos de América con seis centavos). Al respecto, el Estado señaló que confía en que una vez resuelta la controversia, a la parte vencedora se le reconozca el derecho a que se le reembolsen los gastos en que pueda haber incurrido con motivo del procedimiento, y que en caso de que la Corte considere que las partes tuvieron motivos racionales para litigar, se les exima del pago de las mismas. Corresponde entonces al Tribunal, en aplicación del artículo 5 del Reglamento del Fondo, evaluar la procedencia de ordenar al Estado demandado el reintegro al Fondo de Asistencia Legal de las erogaciones en que se hubiese incurrido. </w:t>
      </w:r>
    </w:p>
    <w:p w14:paraId="0C704CBF" w14:textId="77777777" w:rsidR="00A140E5" w:rsidRPr="00A140E5" w:rsidRDefault="00A140E5" w:rsidP="00A140E5">
      <w:pPr>
        <w:jc w:val="both"/>
        <w:rPr>
          <w:rFonts w:ascii="Verdana" w:hAnsi="Verdana"/>
          <w:sz w:val="20"/>
          <w:szCs w:val="20"/>
        </w:rPr>
      </w:pPr>
    </w:p>
    <w:p w14:paraId="0C704CC0" w14:textId="402915CA"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En razón de las violaciones declaradas en la presente Sentencia</w:t>
      </w:r>
      <w:r w:rsidR="007D7023">
        <w:rPr>
          <w:rFonts w:ascii="Verdana" w:hAnsi="Verdana"/>
          <w:sz w:val="20"/>
          <w:szCs w:val="20"/>
        </w:rPr>
        <w:t xml:space="preserve"> y del cumplimiento de los requisitos para acogerse al Fondo</w:t>
      </w:r>
      <w:r w:rsidRPr="00A140E5">
        <w:rPr>
          <w:rFonts w:ascii="Verdana" w:hAnsi="Verdana"/>
          <w:sz w:val="20"/>
          <w:szCs w:val="20"/>
        </w:rPr>
        <w:t>, la Corte ordena al Estado reintegr</w:t>
      </w:r>
      <w:r w:rsidR="007D7023">
        <w:rPr>
          <w:rFonts w:ascii="Verdana" w:hAnsi="Verdana"/>
          <w:sz w:val="20"/>
          <w:szCs w:val="20"/>
        </w:rPr>
        <w:t>ar</w:t>
      </w:r>
      <w:r w:rsidRPr="00A140E5">
        <w:rPr>
          <w:rFonts w:ascii="Verdana" w:hAnsi="Verdana"/>
          <w:sz w:val="20"/>
          <w:szCs w:val="20"/>
        </w:rPr>
        <w:t xml:space="preserve"> a dicho Fondo la cantidad de US$ 8,543.06 (ocho mil quinientos cuarenta y tres dólares de los Estados Unidos de América con seis centavos) por los gastos incurridos. Este monto deberá ser reintegrado a la Corte Interamericana en el plazo de noventa días, contados a partir de la notificación del presente Fallo.</w:t>
      </w:r>
    </w:p>
    <w:p w14:paraId="0C704CC1" w14:textId="77777777" w:rsidR="00A140E5" w:rsidRPr="00A140E5" w:rsidRDefault="00A140E5" w:rsidP="00A140E5">
      <w:pPr>
        <w:jc w:val="both"/>
        <w:rPr>
          <w:rFonts w:ascii="Verdana" w:hAnsi="Verdana"/>
          <w:sz w:val="20"/>
          <w:szCs w:val="20"/>
        </w:rPr>
      </w:pPr>
    </w:p>
    <w:p w14:paraId="0C704CC2" w14:textId="77777777" w:rsidR="00A140E5" w:rsidRPr="00A140E5" w:rsidRDefault="00A140E5" w:rsidP="00A140E5">
      <w:pPr>
        <w:keepNext/>
        <w:keepLines/>
        <w:numPr>
          <w:ilvl w:val="0"/>
          <w:numId w:val="16"/>
        </w:numPr>
        <w:jc w:val="both"/>
        <w:outlineLvl w:val="1"/>
        <w:rPr>
          <w:rFonts w:ascii="Verdana" w:eastAsia="Times New Roman" w:hAnsi="Verdana"/>
          <w:b/>
          <w:bCs/>
          <w:i/>
          <w:sz w:val="20"/>
          <w:szCs w:val="20"/>
        </w:rPr>
      </w:pPr>
      <w:bookmarkStart w:id="136" w:name="_Toc405903904"/>
      <w:bookmarkStart w:id="137" w:name="_Toc437247389"/>
      <w:r w:rsidRPr="00A140E5">
        <w:rPr>
          <w:rFonts w:ascii="Verdana" w:eastAsia="Times New Roman" w:hAnsi="Verdana"/>
          <w:b/>
          <w:bCs/>
          <w:i/>
          <w:sz w:val="20"/>
          <w:szCs w:val="20"/>
        </w:rPr>
        <w:t>Modalidad de cumplimiento de los pagos ordenados</w:t>
      </w:r>
      <w:bookmarkEnd w:id="136"/>
      <w:bookmarkEnd w:id="137"/>
    </w:p>
    <w:p w14:paraId="0C704CC3" w14:textId="77777777" w:rsidR="00A140E5" w:rsidRPr="00A140E5" w:rsidRDefault="00A140E5" w:rsidP="00A140E5">
      <w:pPr>
        <w:jc w:val="both"/>
        <w:rPr>
          <w:rFonts w:ascii="Verdana" w:hAnsi="Verdana"/>
          <w:sz w:val="20"/>
          <w:szCs w:val="20"/>
        </w:rPr>
      </w:pPr>
    </w:p>
    <w:p w14:paraId="0C704CC4" w14:textId="0335C6BF"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 xml:space="preserve">El Estado deberá cumplir con sus obligaciones monetarias mediante el pago en lempiras o en su equivalente en dólares de los Estados Unidos de América, utilizando para el cálculo respectivo el tipo de cambio que esté vigente en la bolsa de Nueva York, Estados Unidos de América, el día anterior al pago. Si por causas atribuibles a los beneficiarios de reintegros o a sus derechohabientes no fuese posible el pago de las cantidades determinadas dentro del plazo indicado, el Estado consignará dichos montos a su favor en una cuenta o certificado de depósito en una institución financiera </w:t>
      </w:r>
      <w:r w:rsidRPr="00A140E5">
        <w:rPr>
          <w:rFonts w:ascii="Verdana" w:hAnsi="Verdana"/>
          <w:sz w:val="20"/>
          <w:szCs w:val="20"/>
        </w:rPr>
        <w:lastRenderedPageBreak/>
        <w:t xml:space="preserve">hondureña solvente, en dólares estadounidenses, y en las condiciones financieras más favorables que permitan la legislación y la práctica bancaria. Si no se reclaman las cantidades correspondientes una vez transcurridos diez años, las cantidades serán devueltas </w:t>
      </w:r>
      <w:r w:rsidR="003B5BF3">
        <w:rPr>
          <w:rFonts w:ascii="Verdana" w:hAnsi="Verdana"/>
          <w:sz w:val="20"/>
          <w:szCs w:val="20"/>
        </w:rPr>
        <w:t>a</w:t>
      </w:r>
      <w:r w:rsidRPr="00A140E5">
        <w:rPr>
          <w:rFonts w:ascii="Verdana" w:hAnsi="Verdana"/>
          <w:sz w:val="20"/>
          <w:szCs w:val="20"/>
        </w:rPr>
        <w:t>l Estado con los intereses devengados.</w:t>
      </w:r>
    </w:p>
    <w:p w14:paraId="0C704CC5" w14:textId="77777777" w:rsidR="00A140E5" w:rsidRPr="00A140E5" w:rsidRDefault="00A140E5" w:rsidP="00A140E5">
      <w:pPr>
        <w:jc w:val="both"/>
        <w:rPr>
          <w:rFonts w:ascii="Verdana" w:hAnsi="Verdana"/>
          <w:sz w:val="20"/>
          <w:szCs w:val="20"/>
        </w:rPr>
      </w:pPr>
    </w:p>
    <w:p w14:paraId="0C704CC6"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Las cantidades asignadas en la presente Sentencia como reintegro de costas y gastos deberán ser entregadas a los representantes en forma íntegra, conforme a lo establecido en esta Sentencia, sin reducciones derivadas de eventuales cargas fiscales.</w:t>
      </w:r>
    </w:p>
    <w:p w14:paraId="0C704CC7" w14:textId="77777777" w:rsidR="00A140E5" w:rsidRPr="00A140E5" w:rsidRDefault="00A140E5" w:rsidP="00A140E5">
      <w:pPr>
        <w:jc w:val="both"/>
        <w:rPr>
          <w:rFonts w:ascii="Verdana" w:hAnsi="Verdana"/>
          <w:sz w:val="20"/>
          <w:szCs w:val="20"/>
        </w:rPr>
      </w:pPr>
    </w:p>
    <w:p w14:paraId="0C704CC8" w14:textId="77777777" w:rsidR="00A140E5" w:rsidRPr="00A140E5" w:rsidRDefault="00A140E5" w:rsidP="00A140E5">
      <w:pPr>
        <w:numPr>
          <w:ilvl w:val="0"/>
          <w:numId w:val="17"/>
        </w:numPr>
        <w:ind w:left="0" w:hanging="11"/>
        <w:contextualSpacing/>
        <w:jc w:val="both"/>
        <w:rPr>
          <w:rFonts w:ascii="Verdana" w:hAnsi="Verdana"/>
          <w:sz w:val="20"/>
          <w:szCs w:val="20"/>
        </w:rPr>
      </w:pPr>
      <w:r w:rsidRPr="00A140E5">
        <w:rPr>
          <w:rFonts w:ascii="Verdana" w:hAnsi="Verdana"/>
          <w:sz w:val="20"/>
          <w:szCs w:val="20"/>
        </w:rPr>
        <w:t>En caso de que el Estado incurriera en mora respecto del Fondo de Desarrollo Comunitario,  las costas y gastos, o el reintegro de los gastos al Fondo de Asistencia Legal de Víctimas, deberá pagar un interés sobre la cantidad adeudada correspondiente al interés bancario moratorio en la República de Honduras.</w:t>
      </w:r>
    </w:p>
    <w:p w14:paraId="0C704CCD" w14:textId="77777777" w:rsidR="00CB26E3" w:rsidRPr="00CB26E3" w:rsidRDefault="00CB26E3" w:rsidP="00CB26E3">
      <w:pPr>
        <w:pStyle w:val="ListParagraph"/>
        <w:rPr>
          <w:rFonts w:ascii="Verdana" w:hAnsi="Verdana"/>
          <w:sz w:val="20"/>
          <w:szCs w:val="20"/>
        </w:rPr>
      </w:pPr>
    </w:p>
    <w:p w14:paraId="0C704CCE" w14:textId="77777777" w:rsidR="005C11E9" w:rsidRPr="006669DA" w:rsidRDefault="005C11E9" w:rsidP="005C11E9">
      <w:pPr>
        <w:pStyle w:val="Heading1"/>
        <w:tabs>
          <w:tab w:val="left" w:pos="851"/>
        </w:tabs>
        <w:spacing w:before="0"/>
        <w:jc w:val="center"/>
        <w:rPr>
          <w:rFonts w:ascii="Verdana" w:hAnsi="Verdana" w:cs="Verdana"/>
          <w:caps/>
          <w:snapToGrid w:val="0"/>
          <w:color w:val="auto"/>
          <w:sz w:val="20"/>
          <w:szCs w:val="20"/>
        </w:rPr>
      </w:pPr>
      <w:bookmarkStart w:id="138" w:name="_Toc437247390"/>
      <w:r>
        <w:rPr>
          <w:rFonts w:ascii="Verdana" w:hAnsi="Verdana" w:cs="Verdana"/>
          <w:caps/>
          <w:snapToGrid w:val="0"/>
          <w:color w:val="auto"/>
          <w:sz w:val="20"/>
          <w:szCs w:val="20"/>
        </w:rPr>
        <w:t>x</w:t>
      </w:r>
      <w:r w:rsidR="00466E22">
        <w:rPr>
          <w:rFonts w:ascii="Verdana" w:hAnsi="Verdana" w:cs="Verdana"/>
          <w:caps/>
          <w:snapToGrid w:val="0"/>
          <w:color w:val="auto"/>
          <w:sz w:val="20"/>
          <w:szCs w:val="20"/>
        </w:rPr>
        <w:t>I</w:t>
      </w:r>
      <w:r w:rsidRPr="006669DA">
        <w:rPr>
          <w:rFonts w:ascii="Verdana" w:hAnsi="Verdana" w:cs="Verdana"/>
          <w:caps/>
          <w:snapToGrid w:val="0"/>
          <w:color w:val="auto"/>
          <w:sz w:val="20"/>
          <w:szCs w:val="20"/>
        </w:rPr>
        <w:br/>
      </w:r>
      <w:r>
        <w:rPr>
          <w:rFonts w:ascii="Verdana" w:hAnsi="Verdana" w:cs="Verdana"/>
          <w:caps/>
          <w:snapToGrid w:val="0"/>
          <w:color w:val="auto"/>
          <w:sz w:val="20"/>
          <w:szCs w:val="20"/>
        </w:rPr>
        <w:t>puntos resolutivos</w:t>
      </w:r>
      <w:bookmarkEnd w:id="138"/>
    </w:p>
    <w:p w14:paraId="0C704CCF" w14:textId="77777777" w:rsidR="001C2A28" w:rsidRPr="001C2A28" w:rsidRDefault="001C2A28" w:rsidP="001C2A28">
      <w:pPr>
        <w:contextualSpacing/>
        <w:jc w:val="both"/>
        <w:rPr>
          <w:rFonts w:ascii="Verdana" w:hAnsi="Verdana"/>
          <w:sz w:val="20"/>
          <w:szCs w:val="20"/>
        </w:rPr>
      </w:pPr>
    </w:p>
    <w:p w14:paraId="0C704CD1" w14:textId="77777777" w:rsidR="001C2A28" w:rsidRPr="001C2A28" w:rsidRDefault="001C2A28" w:rsidP="001C2A28">
      <w:pPr>
        <w:numPr>
          <w:ilvl w:val="0"/>
          <w:numId w:val="17"/>
        </w:numPr>
        <w:ind w:left="0" w:hanging="11"/>
        <w:contextualSpacing/>
        <w:jc w:val="both"/>
        <w:rPr>
          <w:rFonts w:ascii="Verdana" w:hAnsi="Verdana"/>
          <w:sz w:val="20"/>
          <w:szCs w:val="20"/>
        </w:rPr>
      </w:pPr>
      <w:r w:rsidRPr="001C2A28">
        <w:rPr>
          <w:rFonts w:ascii="Verdana" w:hAnsi="Verdana"/>
          <w:sz w:val="20"/>
          <w:szCs w:val="20"/>
        </w:rPr>
        <w:t xml:space="preserve">Por tanto, </w:t>
      </w:r>
    </w:p>
    <w:p w14:paraId="0C704CD2" w14:textId="77777777" w:rsidR="001C2A28" w:rsidRPr="001C2A28" w:rsidRDefault="001C2A28" w:rsidP="001C2A28">
      <w:pPr>
        <w:contextualSpacing/>
        <w:jc w:val="both"/>
        <w:rPr>
          <w:rFonts w:ascii="Verdana" w:hAnsi="Verdana"/>
          <w:sz w:val="20"/>
          <w:szCs w:val="20"/>
        </w:rPr>
      </w:pPr>
    </w:p>
    <w:p w14:paraId="0C704CD3" w14:textId="77777777" w:rsidR="001C2A28" w:rsidRPr="001C2A28" w:rsidRDefault="001C2A28" w:rsidP="001C2A28">
      <w:pPr>
        <w:tabs>
          <w:tab w:val="left" w:pos="3669"/>
        </w:tabs>
        <w:rPr>
          <w:rFonts w:ascii="Verdana" w:hAnsi="Verdana"/>
          <w:b/>
          <w:smallCaps/>
          <w:sz w:val="20"/>
          <w:szCs w:val="20"/>
        </w:rPr>
      </w:pPr>
      <w:r w:rsidRPr="001C2A28">
        <w:rPr>
          <w:rFonts w:ascii="Verdana" w:hAnsi="Verdana"/>
          <w:b/>
          <w:smallCaps/>
          <w:sz w:val="20"/>
          <w:szCs w:val="20"/>
        </w:rPr>
        <w:t>LA CORTE</w:t>
      </w:r>
      <w:r w:rsidRPr="001C2A28">
        <w:rPr>
          <w:rFonts w:ascii="Verdana" w:hAnsi="Verdana"/>
          <w:b/>
          <w:smallCaps/>
          <w:sz w:val="20"/>
          <w:szCs w:val="20"/>
        </w:rPr>
        <w:tab/>
      </w:r>
    </w:p>
    <w:p w14:paraId="0C704CD4" w14:textId="77777777" w:rsidR="001C2A28" w:rsidRPr="001C2A28" w:rsidRDefault="001C2A28" w:rsidP="001C2A28">
      <w:pPr>
        <w:keepNext/>
        <w:keepLines/>
        <w:spacing w:line="276" w:lineRule="auto"/>
        <w:ind w:right="11"/>
        <w:outlineLvl w:val="5"/>
        <w:rPr>
          <w:rFonts w:ascii="Verdana" w:eastAsiaTheme="majorEastAsia" w:hAnsi="Verdana" w:cstheme="majorBidi"/>
          <w:b/>
          <w:iCs/>
          <w:smallCaps/>
          <w:color w:val="243F60" w:themeColor="accent1" w:themeShade="7F"/>
          <w:sz w:val="20"/>
          <w:szCs w:val="20"/>
          <w:lang w:val="es-CR"/>
        </w:rPr>
      </w:pPr>
    </w:p>
    <w:p w14:paraId="0C704CD6" w14:textId="77777777" w:rsidR="001C2A28" w:rsidRPr="001C2A28" w:rsidRDefault="001C2A28" w:rsidP="001C2A28">
      <w:pPr>
        <w:keepNext/>
        <w:keepLines/>
        <w:spacing w:line="276" w:lineRule="auto"/>
        <w:ind w:right="11"/>
        <w:outlineLvl w:val="5"/>
        <w:rPr>
          <w:rFonts w:ascii="Verdana" w:eastAsiaTheme="majorEastAsia" w:hAnsi="Verdana" w:cstheme="majorBidi"/>
          <w:b/>
          <w:iCs/>
          <w:smallCaps/>
          <w:sz w:val="20"/>
          <w:szCs w:val="20"/>
          <w:lang w:val="es-CR"/>
        </w:rPr>
      </w:pPr>
      <w:r w:rsidRPr="001C2A28">
        <w:rPr>
          <w:rFonts w:ascii="Verdana" w:eastAsiaTheme="majorEastAsia" w:hAnsi="Verdana" w:cstheme="majorBidi"/>
          <w:b/>
          <w:iCs/>
          <w:smallCaps/>
          <w:sz w:val="20"/>
          <w:szCs w:val="20"/>
          <w:lang w:val="es-CR"/>
        </w:rPr>
        <w:t>DECIDE,</w:t>
      </w:r>
    </w:p>
    <w:p w14:paraId="0C704CD7" w14:textId="77777777" w:rsidR="001C2A28" w:rsidRPr="001C2A28" w:rsidRDefault="001C2A28" w:rsidP="001C2A28">
      <w:pPr>
        <w:ind w:right="11"/>
        <w:rPr>
          <w:rFonts w:ascii="Verdana" w:hAnsi="Verdana"/>
          <w:sz w:val="20"/>
          <w:szCs w:val="20"/>
        </w:rPr>
      </w:pPr>
    </w:p>
    <w:p w14:paraId="0C704CD8" w14:textId="77777777" w:rsidR="001C2A28" w:rsidRPr="001C2A28" w:rsidRDefault="00BD39BE" w:rsidP="001C2A28">
      <w:pPr>
        <w:ind w:right="11"/>
        <w:jc w:val="both"/>
        <w:rPr>
          <w:rFonts w:ascii="Verdana" w:hAnsi="Verdana"/>
          <w:sz w:val="20"/>
          <w:szCs w:val="20"/>
        </w:rPr>
      </w:pPr>
      <w:r>
        <w:rPr>
          <w:rFonts w:ascii="Verdana" w:hAnsi="Verdana"/>
          <w:sz w:val="20"/>
          <w:szCs w:val="20"/>
        </w:rPr>
        <w:t>Por</w:t>
      </w:r>
      <w:r w:rsidRPr="00BD39BE">
        <w:rPr>
          <w:rFonts w:ascii="Verdana" w:hAnsi="Verdana"/>
          <w:b/>
          <w:sz w:val="20"/>
          <w:szCs w:val="20"/>
        </w:rPr>
        <w:t xml:space="preserve"> </w:t>
      </w:r>
      <w:r w:rsidR="0086236B" w:rsidRPr="00A0324F">
        <w:rPr>
          <w:rFonts w:ascii="Verdana" w:hAnsi="Verdana"/>
          <w:sz w:val="20"/>
          <w:szCs w:val="20"/>
        </w:rPr>
        <w:t>unanimidad</w:t>
      </w:r>
      <w:r w:rsidR="001C2A28" w:rsidRPr="001C2A28">
        <w:rPr>
          <w:rFonts w:ascii="Verdana" w:hAnsi="Verdana"/>
          <w:sz w:val="20"/>
          <w:szCs w:val="20"/>
        </w:rPr>
        <w:t>,</w:t>
      </w:r>
    </w:p>
    <w:p w14:paraId="0C704CD9" w14:textId="77777777" w:rsidR="001C2A28" w:rsidRPr="001C2A28" w:rsidRDefault="001C2A28" w:rsidP="001C2A28">
      <w:pPr>
        <w:ind w:right="11"/>
        <w:jc w:val="both"/>
        <w:rPr>
          <w:rFonts w:ascii="Verdana" w:hAnsi="Verdana"/>
          <w:sz w:val="20"/>
          <w:szCs w:val="20"/>
        </w:rPr>
      </w:pPr>
    </w:p>
    <w:p w14:paraId="0C704CDA" w14:textId="3A6F9980"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hAnsi="Verdana" w:cs="Verdana"/>
          <w:sz w:val="20"/>
          <w:szCs w:val="20"/>
        </w:rPr>
        <w:t xml:space="preserve">Aceptar el reconocimiento parcial de responsabilidad efectuado por el Estado, en los términos de los párrafos </w:t>
      </w:r>
      <w:r w:rsidR="00515E64">
        <w:rPr>
          <w:rFonts w:ascii="Verdana" w:hAnsi="Verdana" w:cs="Verdana"/>
          <w:sz w:val="20"/>
          <w:szCs w:val="20"/>
        </w:rPr>
        <w:t>43</w:t>
      </w:r>
      <w:r w:rsidR="00515E64" w:rsidRPr="001C2A28">
        <w:rPr>
          <w:rFonts w:ascii="Verdana" w:hAnsi="Verdana" w:cs="Verdana"/>
          <w:sz w:val="20"/>
          <w:szCs w:val="20"/>
        </w:rPr>
        <w:t xml:space="preserve"> </w:t>
      </w:r>
      <w:r w:rsidRPr="001C2A28">
        <w:rPr>
          <w:rFonts w:ascii="Verdana" w:hAnsi="Verdana" w:cs="Verdana"/>
          <w:sz w:val="20"/>
          <w:szCs w:val="20"/>
        </w:rPr>
        <w:t xml:space="preserve">a </w:t>
      </w:r>
      <w:r w:rsidR="00515E64">
        <w:rPr>
          <w:rFonts w:ascii="Verdana" w:hAnsi="Verdana" w:cs="Verdana"/>
          <w:sz w:val="20"/>
          <w:szCs w:val="20"/>
        </w:rPr>
        <w:t>49</w:t>
      </w:r>
      <w:r w:rsidR="00515E64" w:rsidRPr="00515E64">
        <w:rPr>
          <w:rFonts w:ascii="Verdana" w:hAnsi="Verdana" w:cs="Verdana"/>
          <w:sz w:val="20"/>
          <w:szCs w:val="20"/>
        </w:rPr>
        <w:t xml:space="preserve"> </w:t>
      </w:r>
      <w:r w:rsidR="0086236B" w:rsidRPr="00A0324F">
        <w:rPr>
          <w:rFonts w:ascii="Verdana" w:hAnsi="Verdana" w:cs="Verdana"/>
          <w:sz w:val="20"/>
          <w:szCs w:val="20"/>
        </w:rPr>
        <w:t>de la presente Sentencia.</w:t>
      </w:r>
    </w:p>
    <w:p w14:paraId="0C704CDB" w14:textId="77777777" w:rsidR="001C2A28" w:rsidRPr="001C2A28" w:rsidRDefault="001C2A28" w:rsidP="001C2A28">
      <w:pPr>
        <w:ind w:right="11"/>
        <w:jc w:val="both"/>
        <w:rPr>
          <w:rFonts w:ascii="Verdana" w:hAnsi="Verdana" w:cs="Verdana"/>
          <w:sz w:val="20"/>
          <w:szCs w:val="20"/>
        </w:rPr>
      </w:pPr>
    </w:p>
    <w:p w14:paraId="0C704CDC" w14:textId="220E14F6"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eastAsia="Times New Roman" w:hAnsi="Verdana"/>
          <w:sz w:val="20"/>
          <w:szCs w:val="20"/>
        </w:rPr>
        <w:t xml:space="preserve">Desestimar la excepción preliminar interpuesta por el Estado sobre “falta de agotamiento de recursos internos” para garantizar el uso y goce del territorio de la Comunidad Garífuna de Punta Piedra y sus miembros, en los términos de los párrafos </w:t>
      </w:r>
      <w:r w:rsidR="00515E64">
        <w:rPr>
          <w:rFonts w:ascii="Verdana" w:eastAsia="Times New Roman" w:hAnsi="Verdana"/>
          <w:sz w:val="20"/>
          <w:szCs w:val="20"/>
        </w:rPr>
        <w:t>29</w:t>
      </w:r>
      <w:r w:rsidR="00515E64" w:rsidRPr="001C2A28">
        <w:rPr>
          <w:rFonts w:ascii="Verdana" w:eastAsia="Times New Roman" w:hAnsi="Verdana"/>
          <w:sz w:val="20"/>
          <w:szCs w:val="20"/>
        </w:rPr>
        <w:t xml:space="preserve"> </w:t>
      </w:r>
      <w:r w:rsidRPr="001C2A28">
        <w:rPr>
          <w:rFonts w:ascii="Verdana" w:eastAsia="Times New Roman" w:hAnsi="Verdana"/>
          <w:sz w:val="20"/>
          <w:szCs w:val="20"/>
        </w:rPr>
        <w:t xml:space="preserve">a </w:t>
      </w:r>
      <w:r w:rsidR="00515E64">
        <w:rPr>
          <w:rFonts w:ascii="Verdana" w:eastAsia="Times New Roman" w:hAnsi="Verdana"/>
          <w:sz w:val="20"/>
          <w:szCs w:val="20"/>
        </w:rPr>
        <w:t>32</w:t>
      </w:r>
      <w:r w:rsidR="00515E64" w:rsidRPr="001C2A28">
        <w:rPr>
          <w:rFonts w:ascii="Verdana" w:eastAsia="Times New Roman" w:hAnsi="Verdana"/>
          <w:sz w:val="20"/>
          <w:szCs w:val="20"/>
        </w:rPr>
        <w:t xml:space="preserve"> </w:t>
      </w:r>
      <w:r w:rsidRPr="001C2A28">
        <w:rPr>
          <w:rFonts w:ascii="Verdana" w:eastAsia="Times New Roman" w:hAnsi="Verdana"/>
          <w:sz w:val="20"/>
          <w:szCs w:val="20"/>
        </w:rPr>
        <w:t>de la presente Sentencia.</w:t>
      </w:r>
    </w:p>
    <w:p w14:paraId="0C704CDD" w14:textId="77777777" w:rsidR="001C2A28" w:rsidRPr="001C2A28" w:rsidRDefault="001C2A28" w:rsidP="001C2A28">
      <w:pPr>
        <w:ind w:left="720"/>
        <w:contextualSpacing/>
        <w:rPr>
          <w:rFonts w:ascii="Verdana" w:hAnsi="Verdana" w:cs="Verdana"/>
          <w:sz w:val="20"/>
          <w:szCs w:val="20"/>
        </w:rPr>
      </w:pPr>
    </w:p>
    <w:p w14:paraId="0C704CDE" w14:textId="6A3CDC24" w:rsidR="001C2A28" w:rsidRPr="00A0324F" w:rsidRDefault="001C2A28" w:rsidP="001C2A28">
      <w:pPr>
        <w:numPr>
          <w:ilvl w:val="0"/>
          <w:numId w:val="22"/>
        </w:numPr>
        <w:ind w:left="0" w:right="11" w:firstLine="0"/>
        <w:jc w:val="both"/>
        <w:rPr>
          <w:rFonts w:ascii="Verdana" w:hAnsi="Verdana" w:cs="Verdana"/>
          <w:sz w:val="20"/>
          <w:szCs w:val="20"/>
        </w:rPr>
      </w:pPr>
      <w:r w:rsidRPr="001C2A28">
        <w:rPr>
          <w:rFonts w:ascii="Verdana" w:eastAsia="Times New Roman" w:hAnsi="Verdana"/>
          <w:sz w:val="20"/>
          <w:szCs w:val="20"/>
        </w:rPr>
        <w:t xml:space="preserve">Desestimar la excepción preliminar interpuesta por el Estado sobre “falta de agotamiento de recursos internos” con motivo de la muerte de Félix Ordóñez Suazo, en los términos de los párrafos </w:t>
      </w:r>
      <w:r w:rsidR="00515E64">
        <w:rPr>
          <w:rFonts w:ascii="Verdana" w:eastAsia="Times New Roman" w:hAnsi="Verdana"/>
          <w:sz w:val="20"/>
          <w:szCs w:val="20"/>
        </w:rPr>
        <w:t>33</w:t>
      </w:r>
      <w:r w:rsidR="00515E64" w:rsidRPr="001C2A28">
        <w:rPr>
          <w:rFonts w:ascii="Verdana" w:eastAsia="Times New Roman" w:hAnsi="Verdana"/>
          <w:sz w:val="20"/>
          <w:szCs w:val="20"/>
        </w:rPr>
        <w:t xml:space="preserve"> </w:t>
      </w:r>
      <w:r w:rsidRPr="001C2A28">
        <w:rPr>
          <w:rFonts w:ascii="Verdana" w:eastAsia="Times New Roman" w:hAnsi="Verdana"/>
          <w:sz w:val="20"/>
          <w:szCs w:val="20"/>
        </w:rPr>
        <w:t xml:space="preserve">a </w:t>
      </w:r>
      <w:r w:rsidR="00515E64">
        <w:rPr>
          <w:rFonts w:ascii="Verdana" w:eastAsia="Times New Roman" w:hAnsi="Verdana"/>
          <w:sz w:val="20"/>
          <w:szCs w:val="20"/>
        </w:rPr>
        <w:t>34</w:t>
      </w:r>
      <w:r w:rsidR="00515E64" w:rsidRPr="001C2A28">
        <w:rPr>
          <w:rFonts w:ascii="Verdana" w:eastAsia="Times New Roman" w:hAnsi="Verdana"/>
          <w:sz w:val="20"/>
          <w:szCs w:val="20"/>
        </w:rPr>
        <w:t xml:space="preserve"> </w:t>
      </w:r>
      <w:r w:rsidRPr="001C2A28">
        <w:rPr>
          <w:rFonts w:ascii="Verdana" w:eastAsia="Times New Roman" w:hAnsi="Verdana"/>
          <w:sz w:val="20"/>
          <w:szCs w:val="20"/>
        </w:rPr>
        <w:t>de la presente Sentencia.</w:t>
      </w:r>
    </w:p>
    <w:p w14:paraId="0C704CDF" w14:textId="77777777" w:rsidR="006A0E8F" w:rsidRDefault="006A0E8F" w:rsidP="00A0324F">
      <w:pPr>
        <w:ind w:right="11"/>
        <w:jc w:val="both"/>
        <w:rPr>
          <w:rFonts w:ascii="Verdana" w:hAnsi="Verdana" w:cs="Verdana"/>
          <w:sz w:val="20"/>
          <w:szCs w:val="20"/>
        </w:rPr>
      </w:pPr>
    </w:p>
    <w:p w14:paraId="0C704CE0" w14:textId="77777777" w:rsidR="001C2A28" w:rsidRPr="001C2A28" w:rsidRDefault="001C2A28" w:rsidP="001C2A28">
      <w:pPr>
        <w:tabs>
          <w:tab w:val="num" w:pos="630"/>
          <w:tab w:val="left" w:pos="720"/>
        </w:tabs>
        <w:rPr>
          <w:rFonts w:ascii="Verdana" w:hAnsi="Verdana" w:cs="Verdana"/>
          <w:b/>
          <w:color w:val="000000"/>
          <w:spacing w:val="-2"/>
          <w:sz w:val="20"/>
          <w:szCs w:val="20"/>
          <w:lang w:val="es-EC"/>
        </w:rPr>
      </w:pPr>
      <w:r w:rsidRPr="001C2A28">
        <w:rPr>
          <w:rFonts w:ascii="Verdana" w:hAnsi="Verdana" w:cs="Verdana"/>
          <w:b/>
          <w:color w:val="000000"/>
          <w:spacing w:val="-2"/>
          <w:sz w:val="20"/>
          <w:szCs w:val="20"/>
          <w:lang w:val="es-EC"/>
        </w:rPr>
        <w:t>DECLARA,</w:t>
      </w:r>
    </w:p>
    <w:p w14:paraId="0C704CE1" w14:textId="77777777" w:rsidR="001C2A28" w:rsidRPr="00A0324F" w:rsidRDefault="001C2A28" w:rsidP="001C2A28">
      <w:pPr>
        <w:tabs>
          <w:tab w:val="num" w:pos="630"/>
          <w:tab w:val="left" w:pos="720"/>
        </w:tabs>
        <w:rPr>
          <w:rFonts w:ascii="Verdana" w:hAnsi="Verdana" w:cs="Verdana"/>
          <w:color w:val="000000"/>
          <w:spacing w:val="-2"/>
          <w:sz w:val="20"/>
          <w:szCs w:val="20"/>
          <w:lang w:val="es-EC"/>
        </w:rPr>
      </w:pPr>
    </w:p>
    <w:p w14:paraId="0C704CE2" w14:textId="77777777" w:rsidR="001C2A28" w:rsidRPr="008E65BF" w:rsidRDefault="00BD39BE" w:rsidP="001C2A28">
      <w:pPr>
        <w:autoSpaceDE w:val="0"/>
        <w:autoSpaceDN w:val="0"/>
        <w:adjustRightInd w:val="0"/>
        <w:jc w:val="both"/>
        <w:rPr>
          <w:rFonts w:ascii="Verdana" w:eastAsiaTheme="minorHAnsi" w:hAnsi="Verdana" w:cs="Verdana"/>
          <w:color w:val="000000"/>
          <w:spacing w:val="-2"/>
          <w:sz w:val="20"/>
          <w:szCs w:val="20"/>
          <w:lang w:val="es-AR"/>
        </w:rPr>
      </w:pPr>
      <w:r w:rsidRPr="000C00A4">
        <w:rPr>
          <w:rFonts w:ascii="Verdana" w:eastAsiaTheme="minorHAnsi" w:hAnsi="Verdana" w:cs="Verdana"/>
          <w:color w:val="000000"/>
          <w:spacing w:val="-2"/>
          <w:sz w:val="20"/>
          <w:szCs w:val="20"/>
          <w:lang w:val="es-AR"/>
        </w:rPr>
        <w:t>Por</w:t>
      </w:r>
      <w:r w:rsidR="0086236B" w:rsidRPr="00A0324F">
        <w:rPr>
          <w:rFonts w:ascii="Verdana" w:eastAsiaTheme="minorHAnsi" w:hAnsi="Verdana" w:cs="Verdana"/>
          <w:color w:val="000000"/>
          <w:spacing w:val="-2"/>
          <w:sz w:val="20"/>
          <w:szCs w:val="20"/>
          <w:lang w:val="es-AR"/>
        </w:rPr>
        <w:t xml:space="preserve"> unanimidad</w:t>
      </w:r>
      <w:r w:rsidR="001C2A28" w:rsidRPr="000C00A4">
        <w:rPr>
          <w:rFonts w:ascii="Verdana" w:eastAsiaTheme="minorHAnsi" w:hAnsi="Verdana" w:cs="Verdana"/>
          <w:color w:val="000000"/>
          <w:spacing w:val="-2"/>
          <w:sz w:val="20"/>
          <w:szCs w:val="20"/>
          <w:lang w:val="es-AR"/>
        </w:rPr>
        <w:t>, que</w:t>
      </w:r>
    </w:p>
    <w:p w14:paraId="0C704CE3" w14:textId="77777777" w:rsidR="001C2A28" w:rsidRPr="001C2A28" w:rsidRDefault="001C2A28" w:rsidP="001C2A28">
      <w:pPr>
        <w:ind w:right="11"/>
        <w:jc w:val="both"/>
        <w:rPr>
          <w:rFonts w:ascii="Verdana" w:hAnsi="Verdana" w:cs="Verdana"/>
          <w:sz w:val="20"/>
          <w:szCs w:val="20"/>
        </w:rPr>
      </w:pPr>
    </w:p>
    <w:p w14:paraId="0C704CE4" w14:textId="24F3CB9E"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hAnsi="Verdana"/>
          <w:sz w:val="20"/>
          <w:szCs w:val="20"/>
          <w:lang w:val="es-CR" w:eastAsia="es-CR"/>
        </w:rPr>
        <w:t xml:space="preserve">El Estado es responsable por la violación del derecho a la propiedad colectiva, reconocido en el artículo 21 de la Convención </w:t>
      </w:r>
      <w:r w:rsidRPr="001C2A28">
        <w:rPr>
          <w:rFonts w:ascii="Verdana" w:hAnsi="Verdana"/>
          <w:sz w:val="20"/>
          <w:szCs w:val="20"/>
          <w:lang w:val="es-GT" w:eastAsia="es-CR"/>
        </w:rPr>
        <w:t xml:space="preserve">Americana, y de los artículos 1.1 y 2 </w:t>
      </w:r>
      <w:r w:rsidRPr="001C2A28">
        <w:rPr>
          <w:rFonts w:ascii="Verdana" w:hAnsi="Verdana"/>
          <w:sz w:val="20"/>
          <w:szCs w:val="20"/>
          <w:lang w:val="es-CR" w:eastAsia="es-CR"/>
        </w:rPr>
        <w:t>de la misma</w:t>
      </w:r>
      <w:r w:rsidR="00490DED">
        <w:rPr>
          <w:rFonts w:ascii="Verdana" w:hAnsi="Verdana"/>
          <w:sz w:val="20"/>
          <w:szCs w:val="20"/>
          <w:lang w:val="es-CR" w:eastAsia="es-CR"/>
        </w:rPr>
        <w:t xml:space="preserve"> y del derecho a la identidad cultural</w:t>
      </w:r>
      <w:r w:rsidRPr="001C2A28">
        <w:rPr>
          <w:rFonts w:ascii="Verdana" w:hAnsi="Verdana"/>
          <w:sz w:val="20"/>
          <w:szCs w:val="20"/>
          <w:lang w:val="es-GT" w:eastAsia="es-CR"/>
        </w:rPr>
        <w:t xml:space="preserve">, </w:t>
      </w:r>
      <w:r w:rsidRPr="001C2A28">
        <w:rPr>
          <w:rFonts w:ascii="Verdana" w:hAnsi="Verdana"/>
          <w:sz w:val="20"/>
          <w:szCs w:val="20"/>
        </w:rPr>
        <w:t xml:space="preserve">en perjuicio de la Comunidad Garífuna de Punta Piedra y sus miembros, en los términos de los párrafos </w:t>
      </w:r>
      <w:r w:rsidR="00515E64">
        <w:rPr>
          <w:rFonts w:ascii="Verdana" w:hAnsi="Verdana"/>
          <w:sz w:val="20"/>
          <w:szCs w:val="20"/>
        </w:rPr>
        <w:t>162</w:t>
      </w:r>
      <w:r w:rsidR="00515E64" w:rsidRPr="001C2A28">
        <w:rPr>
          <w:rFonts w:ascii="Verdana" w:hAnsi="Verdana"/>
          <w:sz w:val="20"/>
          <w:szCs w:val="20"/>
        </w:rPr>
        <w:t xml:space="preserve"> </w:t>
      </w:r>
      <w:r w:rsidRPr="001C2A28">
        <w:rPr>
          <w:rFonts w:ascii="Verdana" w:hAnsi="Verdana"/>
          <w:sz w:val="20"/>
          <w:szCs w:val="20"/>
        </w:rPr>
        <w:t xml:space="preserve">a </w:t>
      </w:r>
      <w:r w:rsidR="00515E64">
        <w:rPr>
          <w:rFonts w:ascii="Verdana" w:hAnsi="Verdana"/>
          <w:sz w:val="20"/>
          <w:szCs w:val="20"/>
        </w:rPr>
        <w:t>202, y 215 a 224</w:t>
      </w:r>
      <w:r w:rsidR="00515E64" w:rsidRPr="001C2A28">
        <w:rPr>
          <w:rFonts w:ascii="Verdana" w:hAnsi="Verdana"/>
          <w:sz w:val="20"/>
          <w:szCs w:val="20"/>
        </w:rPr>
        <w:t xml:space="preserve"> </w:t>
      </w:r>
      <w:r w:rsidRPr="001C2A28">
        <w:rPr>
          <w:rFonts w:ascii="Verdana" w:hAnsi="Verdana"/>
          <w:sz w:val="20"/>
          <w:szCs w:val="20"/>
        </w:rPr>
        <w:t>de la presente Sentencia.</w:t>
      </w:r>
    </w:p>
    <w:p w14:paraId="0C704CE5" w14:textId="77777777" w:rsidR="001C2A28" w:rsidRPr="001C2A28" w:rsidRDefault="001C2A28" w:rsidP="001C2A28">
      <w:pPr>
        <w:ind w:right="11"/>
        <w:jc w:val="both"/>
        <w:rPr>
          <w:rFonts w:ascii="Verdana" w:hAnsi="Verdana" w:cs="Verdana"/>
          <w:sz w:val="20"/>
          <w:szCs w:val="20"/>
        </w:rPr>
      </w:pPr>
    </w:p>
    <w:p w14:paraId="0C704CE6" w14:textId="5804CB76"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hAnsi="Verdana"/>
          <w:sz w:val="20"/>
          <w:szCs w:val="20"/>
          <w:lang w:val="es-CR" w:eastAsia="es-CR"/>
        </w:rPr>
        <w:t xml:space="preserve">El Estado es responsable por la violación del derecho a la protección judicial, reconocido en los artículos 25.1 y 25.2.c de la Convención </w:t>
      </w:r>
      <w:r w:rsidRPr="001C2A28">
        <w:rPr>
          <w:rFonts w:ascii="Verdana" w:hAnsi="Verdana"/>
          <w:sz w:val="20"/>
          <w:szCs w:val="20"/>
          <w:lang w:val="es-GT" w:eastAsia="es-CR"/>
        </w:rPr>
        <w:t xml:space="preserve">Americana, en relación con el artículo 1.1 de la misma, </w:t>
      </w:r>
      <w:r w:rsidRPr="001C2A28">
        <w:rPr>
          <w:rFonts w:ascii="Verdana" w:hAnsi="Verdana"/>
          <w:sz w:val="20"/>
          <w:szCs w:val="20"/>
        </w:rPr>
        <w:t xml:space="preserve">en perjuicio de la Comunidad Garífuna de Punta Piedra y sus miembros, en los términos de los párrafos </w:t>
      </w:r>
      <w:r w:rsidR="00515E64">
        <w:rPr>
          <w:rFonts w:ascii="Verdana" w:hAnsi="Verdana"/>
          <w:sz w:val="20"/>
          <w:szCs w:val="20"/>
        </w:rPr>
        <w:t>235</w:t>
      </w:r>
      <w:r w:rsidR="00515E64" w:rsidRPr="001C2A28">
        <w:rPr>
          <w:rFonts w:ascii="Verdana" w:hAnsi="Verdana"/>
          <w:sz w:val="20"/>
          <w:szCs w:val="20"/>
        </w:rPr>
        <w:t xml:space="preserve"> </w:t>
      </w:r>
      <w:r w:rsidRPr="001C2A28">
        <w:rPr>
          <w:rFonts w:ascii="Verdana" w:hAnsi="Verdana"/>
          <w:sz w:val="20"/>
          <w:szCs w:val="20"/>
        </w:rPr>
        <w:t xml:space="preserve">a </w:t>
      </w:r>
      <w:r w:rsidR="00515E64">
        <w:rPr>
          <w:rFonts w:ascii="Verdana" w:hAnsi="Verdana"/>
          <w:sz w:val="20"/>
          <w:szCs w:val="20"/>
        </w:rPr>
        <w:t>251</w:t>
      </w:r>
      <w:r w:rsidR="00515E64" w:rsidRPr="001C2A28">
        <w:rPr>
          <w:rFonts w:ascii="Verdana" w:hAnsi="Verdana"/>
          <w:sz w:val="20"/>
          <w:szCs w:val="20"/>
        </w:rPr>
        <w:t xml:space="preserve"> </w:t>
      </w:r>
      <w:r w:rsidRPr="001C2A28">
        <w:rPr>
          <w:rFonts w:ascii="Verdana" w:hAnsi="Verdana"/>
          <w:sz w:val="20"/>
          <w:szCs w:val="20"/>
        </w:rPr>
        <w:t>de la presente Sentencia.</w:t>
      </w:r>
    </w:p>
    <w:p w14:paraId="0C704CE7" w14:textId="77777777" w:rsidR="001C2A28" w:rsidRPr="001C2A28" w:rsidRDefault="001C2A28" w:rsidP="001C2A28">
      <w:pPr>
        <w:ind w:right="11"/>
        <w:jc w:val="both"/>
        <w:rPr>
          <w:rFonts w:ascii="Verdana" w:hAnsi="Verdana" w:cs="Verdana"/>
          <w:sz w:val="20"/>
          <w:szCs w:val="20"/>
        </w:rPr>
      </w:pPr>
    </w:p>
    <w:p w14:paraId="0C704CE8" w14:textId="19F1C6D5"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hAnsi="Verdana"/>
          <w:sz w:val="20"/>
          <w:szCs w:val="20"/>
        </w:rPr>
        <w:lastRenderedPageBreak/>
        <w:t xml:space="preserve">El Estado es responsable </w:t>
      </w:r>
      <w:r w:rsidRPr="001C2A28">
        <w:rPr>
          <w:rFonts w:ascii="Verdana" w:hAnsi="Verdana"/>
          <w:sz w:val="20"/>
          <w:szCs w:val="20"/>
          <w:lang w:val="es-CR" w:eastAsia="es-CR"/>
        </w:rPr>
        <w:t>por la violación de los derechos a las garantías judiciales y protección judicial, reconocidos en</w:t>
      </w:r>
      <w:r w:rsidRPr="001C2A28">
        <w:rPr>
          <w:rFonts w:ascii="Verdana" w:hAnsi="Verdana"/>
          <w:sz w:val="20"/>
          <w:szCs w:val="20"/>
        </w:rPr>
        <w:t xml:space="preserve"> los artículos 8.1 y 25 de la Convención Americana, en relación con el artículo 1.1 de la misma, en perjuicio de la Comunidad Garífuna de Punta Piedra, sus miembros, y en particular de Félix Ordoñez Suazo, en los términos de los párrafos </w:t>
      </w:r>
      <w:r w:rsidR="00515E64">
        <w:rPr>
          <w:rFonts w:ascii="Verdana" w:hAnsi="Verdana"/>
          <w:sz w:val="20"/>
          <w:szCs w:val="20"/>
        </w:rPr>
        <w:t>284</w:t>
      </w:r>
      <w:r w:rsidR="00515E64" w:rsidRPr="001C2A28">
        <w:rPr>
          <w:rFonts w:ascii="Verdana" w:hAnsi="Verdana"/>
          <w:sz w:val="20"/>
          <w:szCs w:val="20"/>
        </w:rPr>
        <w:t xml:space="preserve"> </w:t>
      </w:r>
      <w:r w:rsidRPr="001C2A28">
        <w:rPr>
          <w:rFonts w:ascii="Verdana" w:hAnsi="Verdana"/>
          <w:sz w:val="20"/>
          <w:szCs w:val="20"/>
        </w:rPr>
        <w:t xml:space="preserve">a </w:t>
      </w:r>
      <w:r w:rsidR="00515E64">
        <w:rPr>
          <w:rFonts w:ascii="Verdana" w:hAnsi="Verdana"/>
          <w:sz w:val="20"/>
          <w:szCs w:val="20"/>
        </w:rPr>
        <w:t>312</w:t>
      </w:r>
      <w:r w:rsidR="00515E64" w:rsidRPr="001C2A28">
        <w:rPr>
          <w:rFonts w:ascii="Verdana" w:hAnsi="Verdana"/>
          <w:sz w:val="20"/>
          <w:szCs w:val="20"/>
        </w:rPr>
        <w:t xml:space="preserve"> </w:t>
      </w:r>
      <w:r w:rsidRPr="001C2A28">
        <w:rPr>
          <w:rFonts w:ascii="Verdana" w:hAnsi="Verdana"/>
          <w:sz w:val="20"/>
          <w:szCs w:val="20"/>
        </w:rPr>
        <w:t>de la presente Sentencia.</w:t>
      </w:r>
    </w:p>
    <w:p w14:paraId="0C704CE9" w14:textId="77777777" w:rsidR="001C2A28" w:rsidRPr="001C2A28" w:rsidRDefault="001C2A28" w:rsidP="001C2A28">
      <w:pPr>
        <w:ind w:left="720"/>
        <w:contextualSpacing/>
        <w:rPr>
          <w:rFonts w:ascii="Verdana" w:hAnsi="Verdana" w:cs="Verdana"/>
          <w:sz w:val="20"/>
          <w:szCs w:val="20"/>
        </w:rPr>
      </w:pPr>
    </w:p>
    <w:p w14:paraId="0C704CEA" w14:textId="32215C00" w:rsidR="001C2A28" w:rsidRPr="00515E64" w:rsidRDefault="001C2A28" w:rsidP="001C2A28">
      <w:pPr>
        <w:numPr>
          <w:ilvl w:val="0"/>
          <w:numId w:val="22"/>
        </w:numPr>
        <w:ind w:left="0" w:right="11" w:firstLine="0"/>
        <w:jc w:val="both"/>
        <w:rPr>
          <w:rFonts w:ascii="Verdana" w:hAnsi="Verdana" w:cs="Verdana"/>
          <w:sz w:val="20"/>
          <w:szCs w:val="20"/>
        </w:rPr>
      </w:pPr>
      <w:r w:rsidRPr="001C2A28">
        <w:rPr>
          <w:rFonts w:ascii="Verdana" w:hAnsi="Verdana"/>
          <w:sz w:val="20"/>
          <w:szCs w:val="20"/>
        </w:rPr>
        <w:t xml:space="preserve">El Estado no es responsable por la violación </w:t>
      </w:r>
      <w:r w:rsidRPr="00515E64">
        <w:rPr>
          <w:rFonts w:ascii="Verdana" w:hAnsi="Verdana"/>
          <w:sz w:val="20"/>
          <w:szCs w:val="20"/>
        </w:rPr>
        <w:t xml:space="preserve">del deber de garantía del derecho a la vida, reconocido en el artículo 4 de la Convención Americana, </w:t>
      </w:r>
      <w:r w:rsidR="0086236B" w:rsidRPr="00A0324F">
        <w:rPr>
          <w:rFonts w:ascii="Verdana" w:hAnsi="Verdana"/>
          <w:sz w:val="20"/>
          <w:szCs w:val="20"/>
        </w:rPr>
        <w:t>en relación con el artículo 1.1 de la misma,</w:t>
      </w:r>
      <w:r w:rsidRPr="00515E64">
        <w:rPr>
          <w:rFonts w:ascii="Verdana" w:hAnsi="Verdana"/>
          <w:sz w:val="20"/>
          <w:szCs w:val="20"/>
        </w:rPr>
        <w:t xml:space="preserve"> en perjuicio de Félix Ordóñez Suazo, en los términos de los párrafos </w:t>
      </w:r>
      <w:r w:rsidR="00515E64">
        <w:rPr>
          <w:rFonts w:ascii="Verdana" w:hAnsi="Verdana"/>
          <w:sz w:val="20"/>
          <w:szCs w:val="20"/>
        </w:rPr>
        <w:t>260</w:t>
      </w:r>
      <w:r w:rsidR="00515E64" w:rsidRPr="00515E64">
        <w:rPr>
          <w:rFonts w:ascii="Verdana" w:hAnsi="Verdana"/>
          <w:sz w:val="20"/>
          <w:szCs w:val="20"/>
        </w:rPr>
        <w:t xml:space="preserve"> </w:t>
      </w:r>
      <w:r w:rsidRPr="00515E64">
        <w:rPr>
          <w:rFonts w:ascii="Verdana" w:hAnsi="Verdana"/>
          <w:sz w:val="20"/>
          <w:szCs w:val="20"/>
        </w:rPr>
        <w:t xml:space="preserve">a </w:t>
      </w:r>
      <w:r w:rsidR="00515E64">
        <w:rPr>
          <w:rFonts w:ascii="Verdana" w:hAnsi="Verdana"/>
          <w:sz w:val="20"/>
          <w:szCs w:val="20"/>
        </w:rPr>
        <w:t>280</w:t>
      </w:r>
      <w:r w:rsidR="00515E64" w:rsidRPr="00515E64">
        <w:rPr>
          <w:rFonts w:ascii="Verdana" w:hAnsi="Verdana"/>
          <w:sz w:val="20"/>
          <w:szCs w:val="20"/>
        </w:rPr>
        <w:t xml:space="preserve"> </w:t>
      </w:r>
      <w:r w:rsidRPr="00515E64">
        <w:rPr>
          <w:rFonts w:ascii="Verdana" w:hAnsi="Verdana"/>
          <w:sz w:val="20"/>
          <w:szCs w:val="20"/>
        </w:rPr>
        <w:t>de la presente Sentencia.</w:t>
      </w:r>
    </w:p>
    <w:p w14:paraId="0C704CEB" w14:textId="77777777" w:rsidR="001C2A28" w:rsidRPr="00515E64" w:rsidRDefault="001C2A28" w:rsidP="001C2A28">
      <w:pPr>
        <w:ind w:right="11"/>
        <w:jc w:val="both"/>
        <w:rPr>
          <w:rFonts w:ascii="Verdana" w:hAnsi="Verdana" w:cs="Verdana"/>
          <w:sz w:val="20"/>
          <w:szCs w:val="20"/>
        </w:rPr>
      </w:pPr>
    </w:p>
    <w:p w14:paraId="0C704CEC" w14:textId="4AF308B0" w:rsidR="001C2A28" w:rsidRPr="001C2A28"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rPr>
        <w:t>El Estado no es responsable por la violación de la obligación de adoptar disposiciones de derecho interno, establecida en el artículo 2 de la Convención Americana, en relación con los artículos 1.1, 21 y 25 de la misma, en los términos de los párrafos</w:t>
      </w:r>
      <w:r w:rsidRPr="001C2A28">
        <w:rPr>
          <w:rFonts w:ascii="Verdana" w:hAnsi="Verdana"/>
          <w:sz w:val="20"/>
          <w:szCs w:val="20"/>
        </w:rPr>
        <w:t xml:space="preserve"> </w:t>
      </w:r>
      <w:r w:rsidR="00515E64">
        <w:rPr>
          <w:rFonts w:ascii="Verdana" w:hAnsi="Verdana"/>
          <w:sz w:val="20"/>
          <w:szCs w:val="20"/>
        </w:rPr>
        <w:t>206</w:t>
      </w:r>
      <w:r w:rsidR="00515E64" w:rsidRPr="001C2A28">
        <w:rPr>
          <w:rFonts w:ascii="Verdana" w:hAnsi="Verdana"/>
          <w:sz w:val="20"/>
          <w:szCs w:val="20"/>
        </w:rPr>
        <w:t xml:space="preserve"> </w:t>
      </w:r>
      <w:r w:rsidRPr="001C2A28">
        <w:rPr>
          <w:rFonts w:ascii="Verdana" w:hAnsi="Verdana"/>
          <w:sz w:val="20"/>
          <w:szCs w:val="20"/>
        </w:rPr>
        <w:t xml:space="preserve">a </w:t>
      </w:r>
      <w:r w:rsidR="00515E64">
        <w:rPr>
          <w:rFonts w:ascii="Verdana" w:hAnsi="Verdana"/>
          <w:sz w:val="20"/>
          <w:szCs w:val="20"/>
        </w:rPr>
        <w:t>211</w:t>
      </w:r>
      <w:r w:rsidR="00515E64" w:rsidRPr="001C2A28">
        <w:rPr>
          <w:rFonts w:ascii="Verdana" w:hAnsi="Verdana"/>
          <w:sz w:val="20"/>
          <w:szCs w:val="20"/>
        </w:rPr>
        <w:t xml:space="preserve"> </w:t>
      </w:r>
      <w:r w:rsidRPr="001C2A28">
        <w:rPr>
          <w:rFonts w:ascii="Verdana" w:hAnsi="Verdana"/>
          <w:sz w:val="20"/>
          <w:szCs w:val="20"/>
        </w:rPr>
        <w:t xml:space="preserve">y </w:t>
      </w:r>
      <w:r w:rsidR="00515E64">
        <w:rPr>
          <w:rFonts w:ascii="Verdana" w:hAnsi="Verdana"/>
          <w:sz w:val="20"/>
          <w:szCs w:val="20"/>
        </w:rPr>
        <w:t>252</w:t>
      </w:r>
      <w:r w:rsidR="00515E64" w:rsidRPr="001C2A28">
        <w:rPr>
          <w:rFonts w:ascii="Verdana" w:hAnsi="Verdana"/>
          <w:sz w:val="20"/>
          <w:szCs w:val="20"/>
        </w:rPr>
        <w:t xml:space="preserve"> </w:t>
      </w:r>
      <w:r w:rsidRPr="001C2A28">
        <w:rPr>
          <w:rFonts w:ascii="Verdana" w:hAnsi="Verdana"/>
          <w:sz w:val="20"/>
          <w:szCs w:val="20"/>
        </w:rPr>
        <w:t xml:space="preserve">a </w:t>
      </w:r>
      <w:r w:rsidR="00515E64">
        <w:rPr>
          <w:rFonts w:ascii="Verdana" w:hAnsi="Verdana"/>
          <w:sz w:val="20"/>
          <w:szCs w:val="20"/>
        </w:rPr>
        <w:t>255</w:t>
      </w:r>
      <w:r w:rsidR="00515E64" w:rsidRPr="001C2A28">
        <w:rPr>
          <w:rFonts w:ascii="Verdana" w:hAnsi="Verdana"/>
          <w:sz w:val="20"/>
          <w:szCs w:val="20"/>
        </w:rPr>
        <w:t xml:space="preserve"> </w:t>
      </w:r>
      <w:r w:rsidRPr="001C2A28">
        <w:rPr>
          <w:rFonts w:ascii="Verdana" w:hAnsi="Verdana"/>
          <w:sz w:val="20"/>
          <w:szCs w:val="20"/>
        </w:rPr>
        <w:t>de la presente Sentencia.</w:t>
      </w:r>
    </w:p>
    <w:p w14:paraId="0C704CED" w14:textId="77777777" w:rsidR="001C2A28" w:rsidRPr="001C2A28" w:rsidRDefault="001C2A28" w:rsidP="001C2A28">
      <w:pPr>
        <w:ind w:right="11"/>
        <w:jc w:val="both"/>
        <w:rPr>
          <w:rFonts w:ascii="Verdana" w:hAnsi="Verdana" w:cs="Verdana"/>
          <w:sz w:val="20"/>
          <w:szCs w:val="20"/>
        </w:rPr>
      </w:pPr>
    </w:p>
    <w:p w14:paraId="0C704CEE" w14:textId="77777777" w:rsidR="001C2A28" w:rsidRPr="001C2A28" w:rsidRDefault="001C2A28" w:rsidP="001C2A28">
      <w:pPr>
        <w:ind w:right="11"/>
        <w:jc w:val="both"/>
        <w:rPr>
          <w:rFonts w:ascii="Verdana" w:hAnsi="Verdana" w:cs="Verdana"/>
          <w:b/>
          <w:sz w:val="20"/>
          <w:szCs w:val="20"/>
        </w:rPr>
      </w:pPr>
      <w:r w:rsidRPr="001C2A28">
        <w:rPr>
          <w:rFonts w:ascii="Verdana" w:hAnsi="Verdana" w:cs="Verdana"/>
          <w:b/>
          <w:sz w:val="20"/>
          <w:szCs w:val="20"/>
        </w:rPr>
        <w:t>Y DISPONE,</w:t>
      </w:r>
    </w:p>
    <w:p w14:paraId="0C704CEF" w14:textId="77777777" w:rsidR="001C2A28" w:rsidRPr="001C2A28" w:rsidRDefault="001C2A28" w:rsidP="001C2A28">
      <w:pPr>
        <w:ind w:right="11"/>
        <w:jc w:val="both"/>
        <w:rPr>
          <w:rFonts w:ascii="Verdana" w:hAnsi="Verdana" w:cs="Verdana"/>
          <w:b/>
          <w:sz w:val="20"/>
          <w:szCs w:val="20"/>
        </w:rPr>
      </w:pPr>
    </w:p>
    <w:p w14:paraId="0C704CF0" w14:textId="77777777" w:rsidR="001C2A28" w:rsidRPr="00515E64" w:rsidRDefault="001C2A28" w:rsidP="001C2A28">
      <w:pPr>
        <w:rPr>
          <w:rFonts w:ascii="Verdana" w:hAnsi="Verdana" w:cs="Verdana"/>
          <w:sz w:val="20"/>
          <w:szCs w:val="20"/>
        </w:rPr>
      </w:pPr>
      <w:r w:rsidRPr="001C2A28">
        <w:rPr>
          <w:rFonts w:ascii="Verdana" w:hAnsi="Verdana" w:cs="Verdana"/>
          <w:sz w:val="20"/>
          <w:szCs w:val="20"/>
        </w:rPr>
        <w:t xml:space="preserve">Por </w:t>
      </w:r>
      <w:r w:rsidR="0086236B" w:rsidRPr="00A0324F">
        <w:rPr>
          <w:rFonts w:ascii="Verdana" w:hAnsi="Verdana" w:cs="Verdana"/>
          <w:sz w:val="20"/>
          <w:szCs w:val="20"/>
        </w:rPr>
        <w:t>unanimidad</w:t>
      </w:r>
      <w:r w:rsidRPr="00515E64">
        <w:rPr>
          <w:rFonts w:ascii="Verdana" w:hAnsi="Verdana" w:cs="Verdana"/>
          <w:sz w:val="20"/>
          <w:szCs w:val="20"/>
        </w:rPr>
        <w:t>, que:</w:t>
      </w:r>
    </w:p>
    <w:p w14:paraId="0C704CF1" w14:textId="77777777" w:rsidR="001C2A28" w:rsidRPr="00515E64" w:rsidRDefault="001C2A28" w:rsidP="001C2A28">
      <w:pPr>
        <w:rPr>
          <w:rFonts w:ascii="Verdana" w:hAnsi="Verdana" w:cs="Verdana"/>
          <w:strike/>
          <w:sz w:val="20"/>
          <w:szCs w:val="20"/>
        </w:rPr>
      </w:pPr>
    </w:p>
    <w:p w14:paraId="0C704CF2" w14:textId="77777777" w:rsidR="001C2A28" w:rsidRPr="00515E64"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rPr>
        <w:t xml:space="preserve">Esta Sentencia constituye </w:t>
      </w:r>
      <w:r w:rsidRPr="00515E64">
        <w:rPr>
          <w:rFonts w:ascii="Verdana" w:hAnsi="Verdana"/>
          <w:i/>
          <w:sz w:val="20"/>
          <w:szCs w:val="20"/>
        </w:rPr>
        <w:t>per se</w:t>
      </w:r>
      <w:r w:rsidRPr="00515E64">
        <w:rPr>
          <w:rFonts w:ascii="Verdana" w:hAnsi="Verdana"/>
          <w:sz w:val="20"/>
          <w:szCs w:val="20"/>
        </w:rPr>
        <w:t xml:space="preserve"> una forma de reparación.</w:t>
      </w:r>
    </w:p>
    <w:p w14:paraId="0C704CF3" w14:textId="77777777" w:rsidR="001C2A28" w:rsidRPr="00515E64" w:rsidRDefault="001C2A28" w:rsidP="001C2A28">
      <w:pPr>
        <w:ind w:right="11"/>
        <w:jc w:val="both"/>
        <w:rPr>
          <w:rFonts w:ascii="Verdana" w:hAnsi="Verdana" w:cs="Verdana"/>
          <w:sz w:val="20"/>
          <w:szCs w:val="20"/>
        </w:rPr>
      </w:pPr>
    </w:p>
    <w:p w14:paraId="0C704CF4" w14:textId="0457A376"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eastAsia="MS Mincho" w:hAnsi="Verdana" w:cs="Verdana"/>
          <w:w w:val="95"/>
          <w:sz w:val="20"/>
          <w:szCs w:val="20"/>
        </w:rPr>
        <w:t xml:space="preserve">El </w:t>
      </w:r>
      <w:r w:rsidRPr="001C2A28">
        <w:rPr>
          <w:rFonts w:ascii="Verdana" w:hAnsi="Verdana"/>
          <w:sz w:val="20"/>
          <w:szCs w:val="20"/>
          <w:lang w:bidi="en-US"/>
        </w:rPr>
        <w:t>Estado</w:t>
      </w:r>
      <w:r w:rsidRPr="001C2A28">
        <w:rPr>
          <w:rFonts w:ascii="Verdana" w:eastAsia="MS Mincho" w:hAnsi="Verdana" w:cs="Verdana"/>
          <w:w w:val="95"/>
          <w:sz w:val="20"/>
          <w:szCs w:val="20"/>
        </w:rPr>
        <w:t xml:space="preserve"> </w:t>
      </w:r>
      <w:r w:rsidRPr="001C2A28">
        <w:rPr>
          <w:rFonts w:ascii="Verdana" w:hAnsi="Verdana"/>
          <w:sz w:val="20"/>
          <w:szCs w:val="20"/>
        </w:rPr>
        <w:t xml:space="preserve">debe garantizar el uso y goce, a través del saneamiento, de las tierras tradicionales que fueron tituladas por el Estado a favor de la Comunidad Garífuna de Punta Piedra, llevando a cabo dicha obligación de oficio y con extrema diligencia, en los términos y plazos establecidos en los párrafos </w:t>
      </w:r>
      <w:r w:rsidR="00A66478">
        <w:rPr>
          <w:rFonts w:ascii="Verdana" w:hAnsi="Verdana"/>
          <w:sz w:val="20"/>
          <w:szCs w:val="20"/>
        </w:rPr>
        <w:t>32</w:t>
      </w:r>
      <w:r w:rsidR="00DB558E">
        <w:rPr>
          <w:rFonts w:ascii="Verdana" w:hAnsi="Verdana"/>
          <w:sz w:val="20"/>
          <w:szCs w:val="20"/>
        </w:rPr>
        <w:t>2</w:t>
      </w:r>
      <w:r w:rsidR="00A66478" w:rsidRPr="001C2A28">
        <w:rPr>
          <w:rFonts w:ascii="Verdana" w:hAnsi="Verdana"/>
          <w:sz w:val="20"/>
          <w:szCs w:val="20"/>
        </w:rPr>
        <w:t xml:space="preserve"> </w:t>
      </w:r>
      <w:r w:rsidRPr="001C2A28">
        <w:rPr>
          <w:rFonts w:ascii="Verdana" w:hAnsi="Verdana"/>
          <w:sz w:val="20"/>
          <w:szCs w:val="20"/>
        </w:rPr>
        <w:t xml:space="preserve">a </w:t>
      </w:r>
      <w:r w:rsidR="00A66478">
        <w:rPr>
          <w:rFonts w:ascii="Verdana" w:hAnsi="Verdana"/>
          <w:sz w:val="20"/>
          <w:szCs w:val="20"/>
        </w:rPr>
        <w:t>326</w:t>
      </w:r>
      <w:r w:rsidR="00A66478" w:rsidRPr="001C2A28">
        <w:rPr>
          <w:rFonts w:ascii="Verdana" w:hAnsi="Verdana"/>
          <w:sz w:val="20"/>
          <w:szCs w:val="20"/>
        </w:rPr>
        <w:t xml:space="preserve"> </w:t>
      </w:r>
      <w:r w:rsidRPr="001C2A28">
        <w:rPr>
          <w:rFonts w:ascii="Verdana" w:hAnsi="Verdana"/>
          <w:sz w:val="20"/>
          <w:szCs w:val="20"/>
        </w:rPr>
        <w:t xml:space="preserve">de la presente Sentencia. </w:t>
      </w:r>
    </w:p>
    <w:p w14:paraId="0C704CF5" w14:textId="77777777" w:rsidR="001C2A28" w:rsidRPr="001C2A28" w:rsidRDefault="001C2A28" w:rsidP="001C2A28">
      <w:pPr>
        <w:ind w:right="11"/>
        <w:jc w:val="both"/>
        <w:rPr>
          <w:rFonts w:ascii="Verdana" w:hAnsi="Verdana" w:cs="Verdana"/>
          <w:sz w:val="20"/>
          <w:szCs w:val="20"/>
        </w:rPr>
      </w:pPr>
    </w:p>
    <w:p w14:paraId="0C704CF6" w14:textId="31269FCA" w:rsidR="001C2A28" w:rsidRPr="001C2A28" w:rsidRDefault="001C2A28" w:rsidP="001C2A28">
      <w:pPr>
        <w:numPr>
          <w:ilvl w:val="0"/>
          <w:numId w:val="22"/>
        </w:numPr>
        <w:ind w:left="0" w:right="11" w:firstLine="0"/>
        <w:jc w:val="both"/>
        <w:rPr>
          <w:rFonts w:ascii="Verdana" w:hAnsi="Verdana" w:cs="Verdana"/>
          <w:sz w:val="20"/>
          <w:szCs w:val="20"/>
        </w:rPr>
      </w:pPr>
      <w:r w:rsidRPr="001C2A28">
        <w:rPr>
          <w:rFonts w:ascii="Verdana" w:hAnsi="Verdana" w:cs="Verdana"/>
          <w:sz w:val="20"/>
          <w:szCs w:val="20"/>
        </w:rPr>
        <w:t xml:space="preserve">El Estado debe hacer cesar cualquier actividad respecto del proyecto de exploración Punta Piedra II que no haya sido previamente consultada, </w:t>
      </w:r>
      <w:r w:rsidRPr="001C2A28">
        <w:rPr>
          <w:rFonts w:ascii="Verdana" w:hAnsi="Verdana"/>
          <w:sz w:val="20"/>
          <w:szCs w:val="20"/>
        </w:rPr>
        <w:t xml:space="preserve">en los términos establecidos en el párrafo </w:t>
      </w:r>
      <w:r w:rsidR="00A66478">
        <w:rPr>
          <w:rFonts w:ascii="Verdana" w:hAnsi="Verdana"/>
          <w:sz w:val="20"/>
          <w:szCs w:val="20"/>
        </w:rPr>
        <w:t>327</w:t>
      </w:r>
      <w:r w:rsidR="00A66478" w:rsidRPr="001C2A28">
        <w:rPr>
          <w:rFonts w:ascii="Verdana" w:hAnsi="Verdana"/>
          <w:sz w:val="20"/>
          <w:szCs w:val="20"/>
        </w:rPr>
        <w:t xml:space="preserve"> </w:t>
      </w:r>
      <w:r w:rsidRPr="001C2A28">
        <w:rPr>
          <w:rFonts w:ascii="Verdana" w:hAnsi="Verdana"/>
          <w:sz w:val="20"/>
          <w:szCs w:val="20"/>
        </w:rPr>
        <w:t>de la presente Sentencia.</w:t>
      </w:r>
    </w:p>
    <w:p w14:paraId="0C704CF7" w14:textId="77777777" w:rsidR="001C2A28" w:rsidRPr="001C2A28" w:rsidRDefault="001C2A28" w:rsidP="001C2A28">
      <w:pPr>
        <w:ind w:left="720"/>
        <w:contextualSpacing/>
        <w:rPr>
          <w:rFonts w:ascii="Verdana" w:hAnsi="Verdana" w:cs="Verdana"/>
          <w:sz w:val="20"/>
          <w:szCs w:val="20"/>
        </w:rPr>
      </w:pPr>
    </w:p>
    <w:p w14:paraId="0C704CF8" w14:textId="12E5EBC3" w:rsidR="001C2A28" w:rsidRPr="00A66478" w:rsidRDefault="001C2A28" w:rsidP="001C2A28">
      <w:pPr>
        <w:numPr>
          <w:ilvl w:val="0"/>
          <w:numId w:val="22"/>
        </w:numPr>
        <w:ind w:left="0" w:right="11" w:firstLine="0"/>
        <w:jc w:val="both"/>
        <w:rPr>
          <w:rFonts w:ascii="Verdana" w:hAnsi="Verdana" w:cs="Verdana"/>
          <w:sz w:val="20"/>
          <w:szCs w:val="20"/>
        </w:rPr>
      </w:pPr>
      <w:r w:rsidRPr="001C2A28">
        <w:rPr>
          <w:rFonts w:ascii="Verdana" w:hAnsi="Verdana" w:cs="Verdana"/>
          <w:sz w:val="20"/>
          <w:szCs w:val="20"/>
        </w:rPr>
        <w:t xml:space="preserve">El Estado debe crear un fondo de desarrollo comunitario a favor de los miembros de la Comunidad Garífuna </w:t>
      </w:r>
      <w:r w:rsidRPr="00515E64">
        <w:rPr>
          <w:rFonts w:ascii="Verdana" w:hAnsi="Verdana" w:cs="Verdana"/>
          <w:sz w:val="20"/>
          <w:szCs w:val="20"/>
        </w:rPr>
        <w:t xml:space="preserve">de Punta Piedra, </w:t>
      </w:r>
      <w:r w:rsidRPr="00515E64">
        <w:rPr>
          <w:rFonts w:ascii="Verdana" w:hAnsi="Verdana"/>
          <w:sz w:val="20"/>
          <w:szCs w:val="20"/>
        </w:rPr>
        <w:t xml:space="preserve">en los términos y plazos establecidos en los párrafos </w:t>
      </w:r>
      <w:r w:rsidR="00A66478">
        <w:rPr>
          <w:rFonts w:ascii="Verdana" w:hAnsi="Verdana"/>
          <w:sz w:val="20"/>
          <w:szCs w:val="20"/>
        </w:rPr>
        <w:t>332</w:t>
      </w:r>
      <w:r w:rsidR="00A66478" w:rsidRPr="00515E64">
        <w:rPr>
          <w:rFonts w:ascii="Verdana" w:hAnsi="Verdana"/>
          <w:sz w:val="20"/>
          <w:szCs w:val="20"/>
        </w:rPr>
        <w:t xml:space="preserve"> </w:t>
      </w:r>
      <w:r w:rsidR="00DB558E">
        <w:rPr>
          <w:rFonts w:ascii="Verdana" w:hAnsi="Verdana"/>
          <w:sz w:val="20"/>
          <w:szCs w:val="20"/>
        </w:rPr>
        <w:t>a</w:t>
      </w:r>
      <w:r w:rsidRPr="00515E64">
        <w:rPr>
          <w:rFonts w:ascii="Verdana" w:hAnsi="Verdana"/>
          <w:sz w:val="20"/>
          <w:szCs w:val="20"/>
        </w:rPr>
        <w:t xml:space="preserve"> </w:t>
      </w:r>
      <w:r w:rsidR="00A66478">
        <w:rPr>
          <w:rFonts w:ascii="Verdana" w:hAnsi="Verdana"/>
          <w:sz w:val="20"/>
          <w:szCs w:val="20"/>
        </w:rPr>
        <w:t>336</w:t>
      </w:r>
      <w:r w:rsidR="00A66478" w:rsidRPr="00515E64">
        <w:rPr>
          <w:rFonts w:ascii="Verdana" w:hAnsi="Verdana"/>
          <w:sz w:val="20"/>
          <w:szCs w:val="20"/>
        </w:rPr>
        <w:t xml:space="preserve"> </w:t>
      </w:r>
      <w:r w:rsidRPr="00515E64">
        <w:rPr>
          <w:rFonts w:ascii="Verdana" w:hAnsi="Verdana"/>
          <w:sz w:val="20"/>
          <w:szCs w:val="20"/>
        </w:rPr>
        <w:t>de la presente Sentencia.</w:t>
      </w:r>
    </w:p>
    <w:p w14:paraId="0C704CF9" w14:textId="77777777" w:rsidR="001C2A28" w:rsidRPr="00515E64" w:rsidRDefault="001C2A28" w:rsidP="001C2A28">
      <w:pPr>
        <w:ind w:left="720"/>
        <w:contextualSpacing/>
        <w:rPr>
          <w:rFonts w:ascii="Verdana" w:hAnsi="Verdana" w:cs="Verdana"/>
          <w:sz w:val="20"/>
          <w:szCs w:val="20"/>
        </w:rPr>
      </w:pPr>
    </w:p>
    <w:p w14:paraId="0C704CFA" w14:textId="78E00F1F" w:rsidR="001C2A28" w:rsidRPr="00A0324F" w:rsidRDefault="0086236B" w:rsidP="001C2A28">
      <w:pPr>
        <w:numPr>
          <w:ilvl w:val="0"/>
          <w:numId w:val="22"/>
        </w:numPr>
        <w:ind w:left="0" w:right="11" w:firstLine="0"/>
        <w:jc w:val="both"/>
        <w:rPr>
          <w:rFonts w:ascii="Verdana" w:hAnsi="Verdana" w:cs="Verdana"/>
          <w:sz w:val="20"/>
          <w:szCs w:val="20"/>
        </w:rPr>
      </w:pPr>
      <w:r w:rsidRPr="00A0324F">
        <w:rPr>
          <w:rFonts w:ascii="Verdana" w:hAnsi="Verdana"/>
          <w:sz w:val="20"/>
          <w:szCs w:val="20"/>
        </w:rPr>
        <w:t xml:space="preserve">El Estado debe poner en marcha los mecanismos necesarios de coordinación entre instituciones con el fin de velar por la efectividad de las medidas antes dispuestas, dentro del plazo de tres meses a partir de la notificación del Fallo, en los términos de lo establecido en </w:t>
      </w:r>
      <w:r w:rsidR="00A66478">
        <w:rPr>
          <w:rFonts w:ascii="Verdana" w:hAnsi="Verdana"/>
          <w:sz w:val="20"/>
          <w:szCs w:val="20"/>
        </w:rPr>
        <w:t>el</w:t>
      </w:r>
      <w:r w:rsidRPr="00A0324F">
        <w:rPr>
          <w:rFonts w:ascii="Verdana" w:hAnsi="Verdana"/>
          <w:sz w:val="20"/>
          <w:szCs w:val="20"/>
        </w:rPr>
        <w:t xml:space="preserve"> párrafo </w:t>
      </w:r>
      <w:r w:rsidR="00A66478">
        <w:rPr>
          <w:rFonts w:ascii="Verdana" w:hAnsi="Verdana"/>
          <w:sz w:val="20"/>
          <w:szCs w:val="20"/>
        </w:rPr>
        <w:t>328</w:t>
      </w:r>
      <w:r w:rsidRPr="00A0324F">
        <w:rPr>
          <w:rFonts w:ascii="Verdana" w:hAnsi="Verdana"/>
          <w:sz w:val="20"/>
          <w:szCs w:val="20"/>
        </w:rPr>
        <w:t xml:space="preserve"> de la presente Sentencia.</w:t>
      </w:r>
    </w:p>
    <w:p w14:paraId="0C704CFB" w14:textId="77777777" w:rsidR="001C2A28" w:rsidRPr="00515E64" w:rsidRDefault="001C2A28" w:rsidP="001C2A28">
      <w:pPr>
        <w:ind w:right="11"/>
        <w:jc w:val="both"/>
        <w:rPr>
          <w:rFonts w:ascii="Verdana" w:hAnsi="Verdana" w:cs="Verdana"/>
          <w:sz w:val="20"/>
          <w:szCs w:val="20"/>
        </w:rPr>
      </w:pPr>
    </w:p>
    <w:p w14:paraId="0C704CFC" w14:textId="46B10103" w:rsidR="001C2A28" w:rsidRPr="00A66478" w:rsidRDefault="001C2A28" w:rsidP="001C2A28">
      <w:pPr>
        <w:numPr>
          <w:ilvl w:val="0"/>
          <w:numId w:val="22"/>
        </w:numPr>
        <w:ind w:left="0" w:right="11" w:firstLine="0"/>
        <w:jc w:val="both"/>
        <w:rPr>
          <w:rFonts w:ascii="Verdana" w:hAnsi="Verdana" w:cs="Verdana"/>
          <w:sz w:val="20"/>
          <w:szCs w:val="20"/>
        </w:rPr>
      </w:pPr>
      <w:r w:rsidRPr="00515E64">
        <w:rPr>
          <w:rFonts w:ascii="Verdana" w:eastAsia="MS Mincho" w:hAnsi="Verdana" w:cs="Verdana"/>
          <w:w w:val="95"/>
          <w:sz w:val="20"/>
          <w:szCs w:val="20"/>
        </w:rPr>
        <w:t xml:space="preserve">El </w:t>
      </w:r>
      <w:r w:rsidRPr="00515E64">
        <w:rPr>
          <w:rFonts w:ascii="Verdana" w:hAnsi="Verdana"/>
          <w:sz w:val="20"/>
          <w:szCs w:val="20"/>
          <w:lang w:bidi="en-US"/>
        </w:rPr>
        <w:t>Estado</w:t>
      </w:r>
      <w:r w:rsidRPr="00515E64">
        <w:rPr>
          <w:rFonts w:ascii="Verdana" w:eastAsia="MS Mincho" w:hAnsi="Verdana" w:cs="Verdana"/>
          <w:w w:val="95"/>
          <w:sz w:val="20"/>
          <w:szCs w:val="20"/>
        </w:rPr>
        <w:t xml:space="preserve"> </w:t>
      </w:r>
      <w:r w:rsidRPr="00515E64">
        <w:rPr>
          <w:rFonts w:ascii="Verdana" w:hAnsi="Verdana"/>
          <w:sz w:val="20"/>
          <w:szCs w:val="20"/>
        </w:rPr>
        <w:t xml:space="preserve">debe, en el plazo de seis meses, realizar las publicaciones y transmisión radial señaladas en los párrafos </w:t>
      </w:r>
      <w:r w:rsidR="00A66478">
        <w:rPr>
          <w:rFonts w:ascii="Verdana" w:hAnsi="Verdana"/>
          <w:sz w:val="20"/>
          <w:szCs w:val="20"/>
        </w:rPr>
        <w:t>338 y 339</w:t>
      </w:r>
      <w:r w:rsidR="00A66478" w:rsidRPr="00A66478">
        <w:rPr>
          <w:rFonts w:ascii="Verdana" w:hAnsi="Verdana"/>
          <w:sz w:val="20"/>
          <w:szCs w:val="20"/>
        </w:rPr>
        <w:t xml:space="preserve"> </w:t>
      </w:r>
      <w:r w:rsidRPr="00A66478">
        <w:rPr>
          <w:rFonts w:ascii="Verdana" w:hAnsi="Verdana"/>
          <w:sz w:val="20"/>
          <w:szCs w:val="20"/>
        </w:rPr>
        <w:t>de la presente Sentencia.</w:t>
      </w:r>
    </w:p>
    <w:p w14:paraId="0C704CFD" w14:textId="77777777" w:rsidR="001C2A28" w:rsidRPr="00515E64" w:rsidRDefault="001C2A28" w:rsidP="001C2A28">
      <w:pPr>
        <w:ind w:left="720"/>
        <w:contextualSpacing/>
        <w:rPr>
          <w:rFonts w:ascii="Verdana" w:hAnsi="Verdana" w:cs="Verdana"/>
          <w:sz w:val="20"/>
          <w:szCs w:val="20"/>
        </w:rPr>
      </w:pPr>
    </w:p>
    <w:p w14:paraId="0C704CFE" w14:textId="04732B9A" w:rsidR="001C2A28" w:rsidRPr="00A0324F" w:rsidRDefault="001C2A28" w:rsidP="001C2A28">
      <w:pPr>
        <w:numPr>
          <w:ilvl w:val="0"/>
          <w:numId w:val="22"/>
        </w:numPr>
        <w:ind w:left="0" w:right="11" w:firstLine="0"/>
        <w:jc w:val="both"/>
        <w:rPr>
          <w:rFonts w:ascii="Verdana" w:hAnsi="Verdana" w:cs="Verdana"/>
          <w:sz w:val="20"/>
          <w:szCs w:val="20"/>
        </w:rPr>
      </w:pPr>
      <w:r w:rsidRPr="00515E64">
        <w:rPr>
          <w:rFonts w:ascii="Verdana" w:hAnsi="Verdana" w:cs="Verdana"/>
          <w:sz w:val="20"/>
          <w:szCs w:val="20"/>
        </w:rPr>
        <w:t xml:space="preserve">El Estado debe, dentro de un plazo razonable, </w:t>
      </w:r>
      <w:r w:rsidRPr="00515E64">
        <w:rPr>
          <w:rFonts w:ascii="Verdana" w:eastAsia="Times New Roman" w:hAnsi="Verdana"/>
          <w:sz w:val="20"/>
          <w:szCs w:val="20"/>
        </w:rPr>
        <w:t xml:space="preserve">adoptar las medidas suficientes y necesarias, a fin de que sus disposiciones reglamentarias sobre minería no menoscaben el derecho a la consulta, </w:t>
      </w:r>
      <w:r w:rsidRPr="00515E64">
        <w:rPr>
          <w:rFonts w:ascii="Verdana" w:hAnsi="Verdana"/>
          <w:sz w:val="20"/>
          <w:szCs w:val="20"/>
        </w:rPr>
        <w:t xml:space="preserve">en los términos de lo establecido en </w:t>
      </w:r>
      <w:r w:rsidR="003B5BF3">
        <w:rPr>
          <w:rFonts w:ascii="Verdana" w:hAnsi="Verdana"/>
          <w:sz w:val="20"/>
          <w:szCs w:val="20"/>
        </w:rPr>
        <w:t>los</w:t>
      </w:r>
      <w:r w:rsidR="00A66478" w:rsidRPr="00A66478">
        <w:rPr>
          <w:rFonts w:ascii="Verdana" w:hAnsi="Verdana"/>
          <w:sz w:val="20"/>
          <w:szCs w:val="20"/>
        </w:rPr>
        <w:t xml:space="preserve"> </w:t>
      </w:r>
      <w:r w:rsidRPr="00A66478">
        <w:rPr>
          <w:rFonts w:ascii="Verdana" w:hAnsi="Verdana"/>
          <w:sz w:val="20"/>
          <w:szCs w:val="20"/>
        </w:rPr>
        <w:t>párrafo</w:t>
      </w:r>
      <w:r w:rsidR="003B5BF3">
        <w:rPr>
          <w:rFonts w:ascii="Verdana" w:hAnsi="Verdana"/>
          <w:sz w:val="20"/>
          <w:szCs w:val="20"/>
        </w:rPr>
        <w:t>s</w:t>
      </w:r>
      <w:r w:rsidR="00A66478">
        <w:rPr>
          <w:rFonts w:ascii="Verdana" w:hAnsi="Verdana"/>
          <w:sz w:val="20"/>
          <w:szCs w:val="20"/>
        </w:rPr>
        <w:t xml:space="preserve"> 34</w:t>
      </w:r>
      <w:r w:rsidR="003B5BF3">
        <w:rPr>
          <w:rFonts w:ascii="Verdana" w:hAnsi="Verdana"/>
          <w:sz w:val="20"/>
          <w:szCs w:val="20"/>
        </w:rPr>
        <w:t>4 a 346</w:t>
      </w:r>
      <w:r w:rsidRPr="00A66478">
        <w:rPr>
          <w:rFonts w:ascii="Verdana" w:hAnsi="Verdana"/>
          <w:sz w:val="20"/>
          <w:szCs w:val="20"/>
        </w:rPr>
        <w:t xml:space="preserve"> </w:t>
      </w:r>
      <w:r w:rsidR="0086236B" w:rsidRPr="00A0324F">
        <w:rPr>
          <w:rFonts w:ascii="Verdana" w:hAnsi="Verdana"/>
          <w:sz w:val="20"/>
          <w:szCs w:val="20"/>
        </w:rPr>
        <w:t>de la presente Sentencia.</w:t>
      </w:r>
    </w:p>
    <w:p w14:paraId="0C704CFF" w14:textId="77777777" w:rsidR="001C2A28" w:rsidRPr="00515E64" w:rsidRDefault="001C2A28" w:rsidP="001C2A28">
      <w:pPr>
        <w:rPr>
          <w:rFonts w:ascii="Verdana" w:hAnsi="Verdana" w:cs="Verdana"/>
          <w:sz w:val="20"/>
          <w:szCs w:val="20"/>
        </w:rPr>
      </w:pPr>
    </w:p>
    <w:p w14:paraId="0C704D00" w14:textId="515C5B1B" w:rsidR="001C2A28" w:rsidRPr="00747003" w:rsidRDefault="001C2A28" w:rsidP="001C2A28">
      <w:pPr>
        <w:numPr>
          <w:ilvl w:val="0"/>
          <w:numId w:val="22"/>
        </w:numPr>
        <w:ind w:left="0" w:right="11" w:firstLine="0"/>
        <w:jc w:val="both"/>
        <w:rPr>
          <w:rFonts w:ascii="Verdana" w:hAnsi="Verdana" w:cs="Verdana"/>
          <w:sz w:val="20"/>
          <w:szCs w:val="20"/>
        </w:rPr>
      </w:pPr>
      <w:r w:rsidRPr="00515E64">
        <w:rPr>
          <w:rFonts w:ascii="Verdana" w:hAnsi="Verdana" w:cs="Verdana"/>
          <w:sz w:val="20"/>
          <w:szCs w:val="20"/>
        </w:rPr>
        <w:t>El Estado debe, en un plazo razonable, crear mecanismos adecuados para regular su sistema de Registro de Propiedad,</w:t>
      </w:r>
      <w:r w:rsidRPr="00515E64">
        <w:rPr>
          <w:rFonts w:ascii="Verdana" w:hAnsi="Verdana"/>
          <w:sz w:val="20"/>
          <w:szCs w:val="20"/>
        </w:rPr>
        <w:t xml:space="preserve"> en los términos de lo establecido en el párrafo </w:t>
      </w:r>
      <w:r w:rsidR="00747003">
        <w:rPr>
          <w:rFonts w:ascii="Verdana" w:hAnsi="Verdana"/>
          <w:sz w:val="20"/>
          <w:szCs w:val="20"/>
        </w:rPr>
        <w:t>347</w:t>
      </w:r>
      <w:r w:rsidR="00747003" w:rsidRPr="00747003">
        <w:rPr>
          <w:rFonts w:ascii="Verdana" w:hAnsi="Verdana"/>
          <w:sz w:val="20"/>
          <w:szCs w:val="20"/>
        </w:rPr>
        <w:t xml:space="preserve"> </w:t>
      </w:r>
      <w:r w:rsidRPr="00747003">
        <w:rPr>
          <w:rFonts w:ascii="Verdana" w:hAnsi="Verdana"/>
          <w:sz w:val="20"/>
          <w:szCs w:val="20"/>
        </w:rPr>
        <w:t>de la presente Sentencia.</w:t>
      </w:r>
    </w:p>
    <w:p w14:paraId="0C704D01" w14:textId="77777777" w:rsidR="001C2A28" w:rsidRPr="00515E64" w:rsidRDefault="001C2A28" w:rsidP="001C2A28">
      <w:pPr>
        <w:ind w:left="720"/>
        <w:contextualSpacing/>
        <w:rPr>
          <w:rFonts w:ascii="Verdana" w:hAnsi="Verdana" w:cs="Verdana"/>
          <w:sz w:val="20"/>
          <w:szCs w:val="20"/>
        </w:rPr>
      </w:pPr>
    </w:p>
    <w:p w14:paraId="0C704D02" w14:textId="5F20026F" w:rsidR="001C2A28" w:rsidRPr="00515E64" w:rsidRDefault="001C2A28" w:rsidP="001C2A28">
      <w:pPr>
        <w:numPr>
          <w:ilvl w:val="0"/>
          <w:numId w:val="22"/>
        </w:numPr>
        <w:ind w:left="0" w:right="11" w:firstLine="0"/>
        <w:jc w:val="both"/>
        <w:rPr>
          <w:rFonts w:ascii="Verdana" w:hAnsi="Verdana" w:cs="Verdana"/>
          <w:sz w:val="20"/>
          <w:szCs w:val="20"/>
        </w:rPr>
      </w:pPr>
      <w:r w:rsidRPr="00515E64">
        <w:rPr>
          <w:rFonts w:ascii="Verdana" w:hAnsi="Verdana" w:cs="Verdana"/>
          <w:sz w:val="20"/>
          <w:szCs w:val="20"/>
        </w:rPr>
        <w:lastRenderedPageBreak/>
        <w:t xml:space="preserve">El Estado debe </w:t>
      </w:r>
      <w:r w:rsidRPr="00515E64">
        <w:rPr>
          <w:rFonts w:ascii="Verdana" w:hAnsi="Verdana"/>
          <w:sz w:val="20"/>
          <w:szCs w:val="20"/>
        </w:rPr>
        <w:t xml:space="preserve">continuar y concluir, en un plazo razonable, la investigación por la muerte de Félix Ordóñez Suazo y demás denuncias interpuestas en la jurisdicción interna, y en su caso, sancionar a los responsables, en los términos de lo establecido en el párrafo </w:t>
      </w:r>
      <w:r w:rsidR="00747003">
        <w:rPr>
          <w:rFonts w:ascii="Verdana" w:hAnsi="Verdana"/>
          <w:sz w:val="20"/>
          <w:szCs w:val="20"/>
        </w:rPr>
        <w:t>353</w:t>
      </w:r>
      <w:r w:rsidR="00747003" w:rsidRPr="00747003">
        <w:rPr>
          <w:rFonts w:ascii="Verdana" w:hAnsi="Verdana"/>
          <w:sz w:val="20"/>
          <w:szCs w:val="20"/>
        </w:rPr>
        <w:t xml:space="preserve"> </w:t>
      </w:r>
      <w:r w:rsidRPr="00747003">
        <w:rPr>
          <w:rFonts w:ascii="Verdana" w:hAnsi="Verdana"/>
          <w:sz w:val="20"/>
          <w:szCs w:val="20"/>
        </w:rPr>
        <w:t>de la presente Sentencia.</w:t>
      </w:r>
    </w:p>
    <w:p w14:paraId="0C704D03" w14:textId="77777777" w:rsidR="001C2A28" w:rsidRPr="00515E64" w:rsidRDefault="001C2A28" w:rsidP="001C2A28">
      <w:pPr>
        <w:rPr>
          <w:rFonts w:ascii="Verdana" w:hAnsi="Verdana" w:cs="Verdana"/>
          <w:sz w:val="20"/>
          <w:szCs w:val="20"/>
          <w:lang w:val="es-PR"/>
        </w:rPr>
      </w:pPr>
    </w:p>
    <w:p w14:paraId="0C704D04" w14:textId="45E3C8BF" w:rsidR="001C2A28" w:rsidRPr="00323348"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lang w:val="es-CR" w:eastAsia="es-MX"/>
        </w:rPr>
        <w:t xml:space="preserve">El </w:t>
      </w:r>
      <w:r w:rsidRPr="00515E64">
        <w:rPr>
          <w:rFonts w:ascii="Verdana" w:hAnsi="Verdana" w:cs="Verdana"/>
          <w:w w:val="95"/>
          <w:sz w:val="20"/>
          <w:szCs w:val="20"/>
        </w:rPr>
        <w:t>Estado</w:t>
      </w:r>
      <w:r w:rsidRPr="00515E64">
        <w:rPr>
          <w:rFonts w:ascii="Verdana" w:hAnsi="Verdana"/>
          <w:sz w:val="20"/>
          <w:szCs w:val="20"/>
          <w:lang w:val="es-CR" w:eastAsia="es-MX"/>
        </w:rPr>
        <w:t xml:space="preserve"> </w:t>
      </w:r>
      <w:r w:rsidRPr="00515E64">
        <w:rPr>
          <w:rFonts w:ascii="Verdana" w:hAnsi="Verdana"/>
          <w:sz w:val="20"/>
          <w:szCs w:val="20"/>
        </w:rPr>
        <w:t>debe</w:t>
      </w:r>
      <w:r w:rsidRPr="00515E64">
        <w:rPr>
          <w:rFonts w:ascii="Verdana" w:hAnsi="Verdana"/>
          <w:sz w:val="20"/>
          <w:szCs w:val="20"/>
          <w:lang w:val="es-CR" w:eastAsia="es-MX"/>
        </w:rPr>
        <w:t xml:space="preserve"> pagar la cantidad fijada en </w:t>
      </w:r>
      <w:r w:rsidR="00747003">
        <w:rPr>
          <w:rFonts w:ascii="Verdana" w:hAnsi="Verdana"/>
          <w:sz w:val="20"/>
          <w:szCs w:val="20"/>
          <w:lang w:val="es-CR" w:eastAsia="es-MX"/>
        </w:rPr>
        <w:t>el</w:t>
      </w:r>
      <w:r w:rsidR="00747003" w:rsidRPr="00747003">
        <w:rPr>
          <w:rFonts w:ascii="Verdana" w:hAnsi="Verdana"/>
          <w:sz w:val="20"/>
          <w:szCs w:val="20"/>
          <w:lang w:val="es-CR" w:eastAsia="es-MX"/>
        </w:rPr>
        <w:t xml:space="preserve"> </w:t>
      </w:r>
      <w:r w:rsidRPr="00747003">
        <w:rPr>
          <w:rFonts w:ascii="Verdana" w:hAnsi="Verdana"/>
          <w:sz w:val="20"/>
          <w:szCs w:val="20"/>
          <w:lang w:val="es-CR" w:eastAsia="es-MX"/>
        </w:rPr>
        <w:t xml:space="preserve">párrafo </w:t>
      </w:r>
      <w:r w:rsidR="00323348">
        <w:rPr>
          <w:rFonts w:ascii="Verdana" w:hAnsi="Verdana"/>
          <w:sz w:val="20"/>
          <w:szCs w:val="20"/>
          <w:lang w:val="es-CR" w:eastAsia="es-MX"/>
        </w:rPr>
        <w:t>364</w:t>
      </w:r>
      <w:r w:rsidR="00323348" w:rsidRPr="00747003">
        <w:rPr>
          <w:rFonts w:ascii="Verdana" w:hAnsi="Verdana"/>
          <w:sz w:val="20"/>
          <w:szCs w:val="20"/>
          <w:lang w:val="es-CR" w:eastAsia="es-MX"/>
        </w:rPr>
        <w:t xml:space="preserve"> </w:t>
      </w:r>
      <w:r w:rsidRPr="00747003">
        <w:rPr>
          <w:rFonts w:ascii="Verdana" w:hAnsi="Verdana"/>
          <w:sz w:val="20"/>
          <w:szCs w:val="20"/>
          <w:lang w:val="es-CR" w:eastAsia="es-MX"/>
        </w:rPr>
        <w:t xml:space="preserve">de la presente </w:t>
      </w:r>
      <w:r w:rsidRPr="00747003">
        <w:rPr>
          <w:rFonts w:ascii="Verdana" w:hAnsi="Verdana"/>
          <w:sz w:val="20"/>
          <w:szCs w:val="20"/>
        </w:rPr>
        <w:t>Sentencia por concepto de reintegro de costas y gastos en el plazo de un año, contado a partir de la notificación de la misma.</w:t>
      </w:r>
    </w:p>
    <w:p w14:paraId="0C704D05" w14:textId="77777777" w:rsidR="001C2A28" w:rsidRPr="00515E64" w:rsidRDefault="001C2A28" w:rsidP="001C2A28">
      <w:pPr>
        <w:rPr>
          <w:rFonts w:ascii="Verdana" w:hAnsi="Verdana" w:cs="Verdana"/>
          <w:sz w:val="20"/>
          <w:szCs w:val="20"/>
        </w:rPr>
      </w:pPr>
    </w:p>
    <w:p w14:paraId="0C704D06" w14:textId="4E992CC4" w:rsidR="001C2A28" w:rsidRPr="00515E64"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rPr>
        <w:t xml:space="preserve">El Estado debe reintegrar al Fondo de Asistencia Legal de Víctimas de la Corte Interamericana de Derechos Humanos la cantidad erogada durante la tramitación del presente caso, en los términos de lo establecido en el párrafo </w:t>
      </w:r>
      <w:r w:rsidR="00323348">
        <w:rPr>
          <w:rFonts w:ascii="Verdana" w:hAnsi="Verdana"/>
          <w:sz w:val="20"/>
          <w:szCs w:val="20"/>
        </w:rPr>
        <w:t>368</w:t>
      </w:r>
      <w:r w:rsidR="00323348" w:rsidRPr="00323348">
        <w:rPr>
          <w:rFonts w:ascii="Verdana" w:hAnsi="Verdana"/>
          <w:sz w:val="20"/>
          <w:szCs w:val="20"/>
        </w:rPr>
        <w:t xml:space="preserve"> </w:t>
      </w:r>
      <w:r w:rsidR="0086236B" w:rsidRPr="00A0324F">
        <w:rPr>
          <w:rFonts w:ascii="Verdana" w:hAnsi="Verdana"/>
          <w:sz w:val="20"/>
          <w:szCs w:val="20"/>
        </w:rPr>
        <w:t>de la presente Sentencia.</w:t>
      </w:r>
    </w:p>
    <w:p w14:paraId="0C704D07" w14:textId="77777777" w:rsidR="001C2A28" w:rsidRPr="00515E64" w:rsidRDefault="001C2A28" w:rsidP="001C2A28">
      <w:pPr>
        <w:ind w:left="720"/>
        <w:contextualSpacing/>
        <w:rPr>
          <w:rFonts w:ascii="Verdana" w:hAnsi="Verdana" w:cs="Verdana"/>
          <w:sz w:val="20"/>
          <w:szCs w:val="20"/>
        </w:rPr>
      </w:pPr>
    </w:p>
    <w:p w14:paraId="0C704D08" w14:textId="77777777" w:rsidR="001C2A28" w:rsidRPr="00515E64"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rPr>
        <w:t>El Estado debe, dentro del plazo de un año contado a partir de la notificación de la presente Sentencia, rendir al Tribunal un informe sobre las medidas adoptadas para cumplir con la misma.</w:t>
      </w:r>
    </w:p>
    <w:p w14:paraId="0C704D09" w14:textId="77777777" w:rsidR="001C2A28" w:rsidRPr="00515E64" w:rsidRDefault="001C2A28" w:rsidP="001C2A28">
      <w:pPr>
        <w:ind w:right="11"/>
        <w:jc w:val="both"/>
        <w:rPr>
          <w:rFonts w:ascii="Verdana" w:hAnsi="Verdana" w:cs="Verdana"/>
          <w:sz w:val="20"/>
          <w:szCs w:val="20"/>
        </w:rPr>
      </w:pPr>
    </w:p>
    <w:p w14:paraId="0C704D0A" w14:textId="77777777" w:rsidR="001C2A28" w:rsidRPr="00515E64" w:rsidRDefault="001C2A28" w:rsidP="001C2A28">
      <w:pPr>
        <w:numPr>
          <w:ilvl w:val="0"/>
          <w:numId w:val="22"/>
        </w:numPr>
        <w:ind w:left="0" w:right="11" w:firstLine="0"/>
        <w:jc w:val="both"/>
        <w:rPr>
          <w:rFonts w:ascii="Verdana" w:hAnsi="Verdana" w:cs="Verdana"/>
          <w:sz w:val="20"/>
          <w:szCs w:val="20"/>
        </w:rPr>
      </w:pPr>
      <w:r w:rsidRPr="00515E64">
        <w:rPr>
          <w:rFonts w:ascii="Verdana" w:hAnsi="Verdana"/>
          <w:sz w:val="20"/>
          <w:szCs w:val="20"/>
        </w:rPr>
        <w:t>La Corte supervisará el cumplimiento íntegro de esta Sentencia, en ejercicio de sus atribuciones y en cumplimiento de sus deberes conforme a la Convención Americana sobre Derechos Humanos, y dará por concluido el presente caso una vez que el Estado haya dado cabal cumplimiento a lo dispuesto en la misma.</w:t>
      </w:r>
    </w:p>
    <w:p w14:paraId="0C704D0B" w14:textId="77777777" w:rsidR="00D40B29" w:rsidRPr="00A0324F" w:rsidRDefault="00D40B29" w:rsidP="00D40B29">
      <w:pPr>
        <w:jc w:val="both"/>
        <w:rPr>
          <w:rFonts w:ascii="Verdana" w:hAnsi="Verdana"/>
          <w:sz w:val="20"/>
          <w:szCs w:val="20"/>
        </w:rPr>
      </w:pPr>
    </w:p>
    <w:p w14:paraId="0C704D0C" w14:textId="2D3F232F" w:rsidR="001C2A28" w:rsidRPr="00A0324F" w:rsidRDefault="00865E06" w:rsidP="00D40B29">
      <w:pPr>
        <w:jc w:val="both"/>
        <w:rPr>
          <w:rFonts w:ascii="Verdana" w:hAnsi="Verdana"/>
          <w:sz w:val="20"/>
          <w:szCs w:val="20"/>
          <w:lang w:val="es-CR"/>
        </w:rPr>
      </w:pPr>
      <w:r>
        <w:rPr>
          <w:rFonts w:ascii="Verdana" w:hAnsi="Verdana"/>
          <w:sz w:val="20"/>
          <w:szCs w:val="20"/>
        </w:rPr>
        <w:t xml:space="preserve">El juez </w:t>
      </w:r>
      <w:r w:rsidR="0086236B" w:rsidRPr="00A0324F">
        <w:rPr>
          <w:rFonts w:ascii="Verdana" w:hAnsi="Verdana"/>
          <w:sz w:val="20"/>
          <w:szCs w:val="20"/>
        </w:rPr>
        <w:t>Eduardo Vio Grossi</w:t>
      </w:r>
      <w:r w:rsidR="0086236B" w:rsidRPr="00A0324F">
        <w:rPr>
          <w:rFonts w:ascii="Verdana" w:hAnsi="Verdana"/>
          <w:sz w:val="20"/>
          <w:szCs w:val="20"/>
          <w:lang w:val="es-CR"/>
        </w:rPr>
        <w:t xml:space="preserve"> </w:t>
      </w:r>
      <w:r>
        <w:rPr>
          <w:rFonts w:ascii="Verdana" w:hAnsi="Verdana"/>
          <w:sz w:val="20"/>
          <w:szCs w:val="20"/>
          <w:lang w:val="es-CR"/>
        </w:rPr>
        <w:t>hizo</w:t>
      </w:r>
      <w:r w:rsidR="0086236B" w:rsidRPr="00A0324F">
        <w:rPr>
          <w:rFonts w:ascii="Verdana" w:hAnsi="Verdana"/>
          <w:sz w:val="20"/>
          <w:szCs w:val="20"/>
          <w:lang w:val="es-CR"/>
        </w:rPr>
        <w:t xml:space="preserve"> conocer a la Corte </w:t>
      </w:r>
      <w:r>
        <w:rPr>
          <w:rFonts w:ascii="Verdana" w:hAnsi="Verdana"/>
          <w:sz w:val="20"/>
          <w:szCs w:val="20"/>
          <w:lang w:val="es-CR"/>
        </w:rPr>
        <w:t>su voto</w:t>
      </w:r>
      <w:r w:rsidR="0086236B" w:rsidRPr="00A0324F">
        <w:rPr>
          <w:rFonts w:ascii="Verdana" w:hAnsi="Verdana"/>
          <w:sz w:val="20"/>
          <w:szCs w:val="20"/>
          <w:lang w:val="es-CR"/>
        </w:rPr>
        <w:t xml:space="preserve"> concurrente, </w:t>
      </w:r>
      <w:r>
        <w:rPr>
          <w:rFonts w:ascii="Verdana" w:hAnsi="Verdana"/>
          <w:sz w:val="20"/>
          <w:szCs w:val="20"/>
          <w:lang w:val="es-CR"/>
        </w:rPr>
        <w:t>el</w:t>
      </w:r>
      <w:r w:rsidR="0086236B" w:rsidRPr="00A0324F">
        <w:rPr>
          <w:rFonts w:ascii="Verdana" w:hAnsi="Verdana"/>
          <w:sz w:val="20"/>
          <w:szCs w:val="20"/>
          <w:lang w:val="es-CR"/>
        </w:rPr>
        <w:t xml:space="preserve"> cual acompaña esta Sentencia.</w:t>
      </w:r>
    </w:p>
    <w:p w14:paraId="0C704D0D" w14:textId="77777777" w:rsidR="00CB26E3" w:rsidRDefault="001C2A28" w:rsidP="001C2A28">
      <w:pPr>
        <w:spacing w:before="360" w:after="360"/>
        <w:rPr>
          <w:rFonts w:ascii="Verdana" w:hAnsi="Verdana"/>
          <w:sz w:val="20"/>
          <w:szCs w:val="20"/>
          <w:lang w:val="es-CR"/>
        </w:rPr>
      </w:pPr>
      <w:r w:rsidRPr="00515E64">
        <w:rPr>
          <w:rFonts w:ascii="Verdana" w:hAnsi="Verdana"/>
          <w:sz w:val="20"/>
          <w:szCs w:val="20"/>
          <w:lang w:val="es-CR"/>
        </w:rPr>
        <w:t xml:space="preserve">Redactada en español en San José, Costa Rica, y </w:t>
      </w:r>
      <w:r w:rsidR="009740DB" w:rsidRPr="00515E64">
        <w:rPr>
          <w:rFonts w:ascii="Verdana" w:hAnsi="Verdana"/>
          <w:sz w:val="20"/>
          <w:szCs w:val="20"/>
          <w:lang w:val="es-CR"/>
        </w:rPr>
        <w:t xml:space="preserve">emitida </w:t>
      </w:r>
      <w:r w:rsidRPr="00515E64">
        <w:rPr>
          <w:rFonts w:ascii="Verdana" w:hAnsi="Verdana"/>
          <w:sz w:val="20"/>
          <w:szCs w:val="20"/>
          <w:lang w:val="es-CR"/>
        </w:rPr>
        <w:t>el 8 de octubre de 2015.</w:t>
      </w:r>
    </w:p>
    <w:p w14:paraId="0C704D0E" w14:textId="77777777" w:rsidR="0076085D" w:rsidRDefault="0076085D" w:rsidP="001C2A28">
      <w:pPr>
        <w:spacing w:before="360" w:after="360"/>
        <w:rPr>
          <w:rFonts w:ascii="Verdana" w:hAnsi="Verdana"/>
          <w:sz w:val="20"/>
          <w:szCs w:val="20"/>
          <w:lang w:val="es-CR"/>
        </w:rPr>
      </w:pPr>
    </w:p>
    <w:p w14:paraId="0C704D0F" w14:textId="4F2F6534" w:rsidR="00386128" w:rsidRDefault="00386128">
      <w:pPr>
        <w:spacing w:after="200" w:line="276" w:lineRule="auto"/>
        <w:rPr>
          <w:rFonts w:ascii="Verdana" w:hAnsi="Verdana"/>
          <w:sz w:val="20"/>
          <w:szCs w:val="20"/>
          <w:lang w:val="es-CR"/>
        </w:rPr>
      </w:pPr>
      <w:r>
        <w:rPr>
          <w:rFonts w:ascii="Verdana" w:hAnsi="Verdana"/>
          <w:sz w:val="20"/>
          <w:szCs w:val="20"/>
          <w:lang w:val="es-CR"/>
        </w:rPr>
        <w:br w:type="page"/>
      </w:r>
    </w:p>
    <w:p w14:paraId="7F7D2B20" w14:textId="77777777" w:rsidR="00AE12A1" w:rsidRDefault="00AE12A1" w:rsidP="00AE12A1">
      <w:pPr>
        <w:jc w:val="both"/>
        <w:rPr>
          <w:rFonts w:ascii="Verdana" w:hAnsi="Verdana"/>
          <w:sz w:val="20"/>
          <w:lang w:val="es-CR"/>
        </w:rPr>
      </w:pPr>
    </w:p>
    <w:p w14:paraId="7FEC56AB" w14:textId="77777777" w:rsidR="00AE12A1" w:rsidRPr="00274D2F" w:rsidRDefault="00AE12A1" w:rsidP="00AE12A1">
      <w:pPr>
        <w:jc w:val="both"/>
        <w:rPr>
          <w:rFonts w:ascii="Verdana" w:hAnsi="Verdana"/>
          <w:sz w:val="20"/>
          <w:lang w:val="es-CR"/>
        </w:rPr>
      </w:pPr>
      <w:r>
        <w:rPr>
          <w:rFonts w:ascii="Verdana" w:hAnsi="Verdana"/>
          <w:sz w:val="20"/>
          <w:lang w:val="es-CR"/>
        </w:rPr>
        <w:t>Sentencia de la Corte Interamericana de Derechos Humanos. Caso Comunidad Garífuna de Punta Piedra y sus miembros vs. Honduras. Excepciones Preliminares, Fondo, Reparaciones y Costas.</w:t>
      </w:r>
    </w:p>
    <w:p w14:paraId="28C5DB7A" w14:textId="77777777" w:rsidR="00AE12A1" w:rsidRDefault="00AE12A1" w:rsidP="00AE12A1">
      <w:pPr>
        <w:rPr>
          <w:rFonts w:ascii="Verdana" w:hAnsi="Verdana"/>
          <w:sz w:val="20"/>
        </w:rPr>
      </w:pPr>
    </w:p>
    <w:p w14:paraId="0ECF8B12" w14:textId="77777777" w:rsidR="00AE12A1" w:rsidRDefault="00AE12A1" w:rsidP="00AE12A1">
      <w:pPr>
        <w:rPr>
          <w:rFonts w:ascii="Verdana" w:hAnsi="Verdana"/>
          <w:sz w:val="20"/>
        </w:rPr>
      </w:pPr>
    </w:p>
    <w:p w14:paraId="4B16ED68" w14:textId="77777777" w:rsidR="00AE12A1" w:rsidRDefault="00AE12A1" w:rsidP="00AE12A1">
      <w:pPr>
        <w:rPr>
          <w:rFonts w:ascii="Verdana" w:hAnsi="Verdana"/>
          <w:sz w:val="20"/>
        </w:rPr>
      </w:pPr>
    </w:p>
    <w:p w14:paraId="499E8DA4" w14:textId="77777777" w:rsidR="00AE12A1" w:rsidRDefault="00AE12A1" w:rsidP="00AE12A1">
      <w:pPr>
        <w:rPr>
          <w:rFonts w:ascii="Verdana" w:hAnsi="Verdana"/>
          <w:sz w:val="20"/>
        </w:rPr>
      </w:pPr>
    </w:p>
    <w:p w14:paraId="62ACA4C4" w14:textId="77777777" w:rsidR="00AE12A1" w:rsidRDefault="00AE12A1" w:rsidP="00AE12A1">
      <w:pPr>
        <w:jc w:val="center"/>
        <w:rPr>
          <w:rFonts w:ascii="Verdana" w:hAnsi="Verdana"/>
          <w:sz w:val="20"/>
        </w:rPr>
      </w:pPr>
      <w:r>
        <w:rPr>
          <w:rFonts w:ascii="Verdana" w:hAnsi="Verdana"/>
          <w:sz w:val="20"/>
          <w:lang w:val="es-CR"/>
        </w:rPr>
        <w:t>Humberto Antonio Sierra Porto</w:t>
      </w:r>
    </w:p>
    <w:p w14:paraId="1439EB64" w14:textId="77777777" w:rsidR="00AE12A1" w:rsidRDefault="00AE12A1" w:rsidP="00AE12A1">
      <w:pPr>
        <w:jc w:val="center"/>
        <w:rPr>
          <w:rFonts w:ascii="Verdana" w:hAnsi="Verdana"/>
          <w:sz w:val="20"/>
        </w:rPr>
      </w:pPr>
      <w:r>
        <w:rPr>
          <w:rFonts w:ascii="Verdana" w:hAnsi="Verdana"/>
          <w:sz w:val="20"/>
        </w:rPr>
        <w:t>Presidente</w:t>
      </w:r>
    </w:p>
    <w:p w14:paraId="0D081C4B" w14:textId="77777777" w:rsidR="00AE12A1" w:rsidRDefault="00AE12A1" w:rsidP="00AE12A1">
      <w:pPr>
        <w:jc w:val="both"/>
        <w:rPr>
          <w:rFonts w:ascii="Verdana" w:hAnsi="Verdana"/>
          <w:sz w:val="20"/>
        </w:rPr>
      </w:pPr>
    </w:p>
    <w:p w14:paraId="1F4AB6F0" w14:textId="77777777" w:rsidR="00AE12A1" w:rsidRDefault="00AE12A1" w:rsidP="00AE12A1">
      <w:pPr>
        <w:jc w:val="both"/>
        <w:rPr>
          <w:rFonts w:ascii="Verdana" w:hAnsi="Verdana"/>
          <w:sz w:val="20"/>
        </w:rPr>
      </w:pPr>
    </w:p>
    <w:p w14:paraId="1058DA20" w14:textId="77777777" w:rsidR="00AE12A1" w:rsidRDefault="00AE12A1" w:rsidP="00AE12A1">
      <w:pPr>
        <w:jc w:val="both"/>
        <w:rPr>
          <w:rFonts w:ascii="Verdana" w:hAnsi="Verdana"/>
          <w:sz w:val="20"/>
        </w:rPr>
      </w:pPr>
    </w:p>
    <w:p w14:paraId="3BB4B54C" w14:textId="77777777" w:rsidR="00AE12A1" w:rsidRDefault="00AE12A1" w:rsidP="00AE12A1">
      <w:pPr>
        <w:jc w:val="both"/>
        <w:rPr>
          <w:rFonts w:ascii="Verdana" w:hAnsi="Verdana"/>
          <w:sz w:val="20"/>
        </w:rPr>
      </w:pPr>
    </w:p>
    <w:p w14:paraId="1E9BFCE1" w14:textId="77777777" w:rsidR="00AE12A1" w:rsidRDefault="00AE12A1" w:rsidP="00AE12A1">
      <w:pPr>
        <w:jc w:val="both"/>
        <w:rPr>
          <w:rFonts w:ascii="Verdana" w:hAnsi="Verdana"/>
          <w:sz w:val="20"/>
        </w:rPr>
      </w:pPr>
      <w:r>
        <w:rPr>
          <w:rFonts w:ascii="Verdana" w:hAnsi="Verdana"/>
          <w:sz w:val="20"/>
          <w:lang w:val="es-CR"/>
        </w:rPr>
        <w:t xml:space="preserve">Roberto F. Caldas </w:t>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t xml:space="preserve">    Manuel E. Ventura Robles</w:t>
      </w:r>
    </w:p>
    <w:p w14:paraId="6140F62A" w14:textId="77777777" w:rsidR="00AE12A1" w:rsidRDefault="00AE12A1" w:rsidP="00AE12A1">
      <w:pPr>
        <w:jc w:val="center"/>
        <w:rPr>
          <w:rFonts w:ascii="Verdana" w:hAnsi="Verdana"/>
          <w:sz w:val="20"/>
        </w:rPr>
      </w:pPr>
    </w:p>
    <w:p w14:paraId="14308C77" w14:textId="77777777" w:rsidR="00AE12A1" w:rsidRDefault="00AE12A1" w:rsidP="00AE12A1">
      <w:pPr>
        <w:jc w:val="center"/>
        <w:rPr>
          <w:rFonts w:ascii="Verdana" w:hAnsi="Verdana"/>
          <w:sz w:val="20"/>
        </w:rPr>
      </w:pPr>
    </w:p>
    <w:p w14:paraId="25897797" w14:textId="77777777" w:rsidR="00AE12A1" w:rsidRDefault="00AE12A1" w:rsidP="00AE12A1">
      <w:pPr>
        <w:jc w:val="center"/>
        <w:rPr>
          <w:rFonts w:ascii="Verdana" w:hAnsi="Verdana"/>
          <w:sz w:val="20"/>
        </w:rPr>
      </w:pPr>
    </w:p>
    <w:p w14:paraId="25BDA4D6" w14:textId="77777777" w:rsidR="00AE12A1" w:rsidRDefault="00AE12A1" w:rsidP="00AE12A1">
      <w:pPr>
        <w:jc w:val="center"/>
        <w:rPr>
          <w:rFonts w:ascii="Verdana" w:hAnsi="Verdana"/>
          <w:sz w:val="20"/>
        </w:rPr>
      </w:pPr>
    </w:p>
    <w:p w14:paraId="77697C6E" w14:textId="77777777" w:rsidR="00AE12A1" w:rsidRDefault="00AE12A1" w:rsidP="00AE12A1">
      <w:pPr>
        <w:jc w:val="center"/>
        <w:rPr>
          <w:rFonts w:ascii="Verdana" w:hAnsi="Verdana"/>
          <w:sz w:val="20"/>
        </w:rPr>
      </w:pPr>
    </w:p>
    <w:p w14:paraId="24D78E3C" w14:textId="77777777" w:rsidR="00AE12A1" w:rsidRDefault="00AE12A1" w:rsidP="00AE12A1">
      <w:pPr>
        <w:rPr>
          <w:rFonts w:ascii="Verdana" w:hAnsi="Verdana"/>
          <w:sz w:val="20"/>
        </w:rPr>
      </w:pPr>
      <w:r>
        <w:rPr>
          <w:rFonts w:ascii="Verdana" w:hAnsi="Verdana"/>
          <w:sz w:val="20"/>
        </w:rPr>
        <w:t>Diego García-Sayán</w:t>
      </w:r>
      <w:r>
        <w:rPr>
          <w:rFonts w:ascii="Verdana" w:hAnsi="Verdana"/>
          <w:sz w:val="20"/>
          <w:lang w:val="es-CR"/>
        </w:rPr>
        <w:t xml:space="preserve"> </w:t>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t xml:space="preserve">  Alberto Pérez </w:t>
      </w:r>
      <w:proofErr w:type="spellStart"/>
      <w:r>
        <w:rPr>
          <w:rFonts w:ascii="Verdana" w:hAnsi="Verdana"/>
          <w:sz w:val="20"/>
          <w:lang w:val="es-CR"/>
        </w:rPr>
        <w:t>Pérez</w:t>
      </w:r>
      <w:proofErr w:type="spellEnd"/>
    </w:p>
    <w:p w14:paraId="7C785A73" w14:textId="77777777" w:rsidR="00AE12A1" w:rsidRDefault="00AE12A1" w:rsidP="00AE12A1">
      <w:pPr>
        <w:jc w:val="both"/>
        <w:rPr>
          <w:rFonts w:ascii="Verdana" w:hAnsi="Verdana"/>
          <w:sz w:val="20"/>
        </w:rPr>
      </w:pPr>
    </w:p>
    <w:p w14:paraId="3032F8FF" w14:textId="77777777" w:rsidR="00AE12A1" w:rsidRDefault="00AE12A1" w:rsidP="00AE12A1">
      <w:pPr>
        <w:rPr>
          <w:rFonts w:ascii="Verdana" w:hAnsi="Verdana"/>
          <w:sz w:val="20"/>
          <w:lang w:val="es-CR"/>
        </w:rPr>
      </w:pPr>
    </w:p>
    <w:p w14:paraId="2E8714D9" w14:textId="77777777" w:rsidR="00AE12A1" w:rsidRDefault="00AE12A1" w:rsidP="00AE12A1">
      <w:pPr>
        <w:rPr>
          <w:rFonts w:ascii="Verdana" w:hAnsi="Verdana"/>
          <w:sz w:val="20"/>
          <w:lang w:val="es-CR"/>
        </w:rPr>
      </w:pPr>
    </w:p>
    <w:p w14:paraId="0F3783E1" w14:textId="77777777" w:rsidR="00AE12A1" w:rsidRDefault="00AE12A1" w:rsidP="00AE12A1">
      <w:pPr>
        <w:rPr>
          <w:rFonts w:ascii="Verdana" w:hAnsi="Verdana"/>
          <w:sz w:val="20"/>
          <w:lang w:val="es-CR"/>
        </w:rPr>
      </w:pPr>
    </w:p>
    <w:p w14:paraId="5FCB074F" w14:textId="77777777" w:rsidR="00AE12A1" w:rsidRDefault="00AE12A1" w:rsidP="00AE12A1">
      <w:pPr>
        <w:rPr>
          <w:rFonts w:ascii="Verdana" w:hAnsi="Verdana"/>
          <w:sz w:val="20"/>
          <w:lang w:val="es-CR"/>
        </w:rPr>
      </w:pPr>
    </w:p>
    <w:p w14:paraId="0AE440DD" w14:textId="77777777" w:rsidR="00AE12A1" w:rsidRDefault="00AE12A1" w:rsidP="00AE12A1">
      <w:pPr>
        <w:rPr>
          <w:rFonts w:ascii="Verdana" w:hAnsi="Verdana"/>
          <w:sz w:val="20"/>
        </w:rPr>
      </w:pPr>
      <w:r>
        <w:rPr>
          <w:rFonts w:ascii="Verdana" w:hAnsi="Verdana"/>
          <w:sz w:val="20"/>
          <w:lang w:val="es-CR"/>
        </w:rPr>
        <w:t xml:space="preserve">Eduardo Vio Grossi </w:t>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r>
      <w:r>
        <w:rPr>
          <w:rFonts w:ascii="Verdana" w:hAnsi="Verdana"/>
          <w:sz w:val="20"/>
          <w:lang w:val="es-CR"/>
        </w:rPr>
        <w:tab/>
        <w:t xml:space="preserve">  Eduardo Ferrer Mac-Gregor Poisot</w:t>
      </w:r>
    </w:p>
    <w:p w14:paraId="7199059F" w14:textId="77777777" w:rsidR="00AE12A1" w:rsidRDefault="00AE12A1" w:rsidP="00AE12A1">
      <w:pPr>
        <w:jc w:val="both"/>
        <w:rPr>
          <w:rFonts w:ascii="Verdana" w:hAnsi="Verdana"/>
          <w:sz w:val="20"/>
          <w:lang w:val="es-CR"/>
        </w:rPr>
      </w:pPr>
    </w:p>
    <w:p w14:paraId="16798C77" w14:textId="77777777" w:rsidR="00AE12A1" w:rsidRDefault="00AE12A1" w:rsidP="00AE12A1">
      <w:pPr>
        <w:rPr>
          <w:rFonts w:ascii="Verdana" w:hAnsi="Verdana"/>
          <w:sz w:val="20"/>
          <w:lang w:val="es-CR"/>
        </w:rPr>
      </w:pPr>
    </w:p>
    <w:p w14:paraId="500E73B1" w14:textId="77777777" w:rsidR="00AE12A1" w:rsidRDefault="00AE12A1" w:rsidP="00AE12A1">
      <w:pPr>
        <w:rPr>
          <w:rFonts w:ascii="Verdana" w:hAnsi="Verdana"/>
          <w:sz w:val="20"/>
          <w:lang w:val="es-CR"/>
        </w:rPr>
      </w:pPr>
    </w:p>
    <w:p w14:paraId="55792B8F" w14:textId="77777777" w:rsidR="00AE12A1" w:rsidRDefault="00AE12A1" w:rsidP="00AE12A1">
      <w:pPr>
        <w:tabs>
          <w:tab w:val="left" w:pos="8460"/>
          <w:tab w:val="left" w:pos="8640"/>
        </w:tabs>
        <w:jc w:val="both"/>
        <w:rPr>
          <w:rFonts w:ascii="Verdana" w:hAnsi="Verdana"/>
          <w:sz w:val="20"/>
          <w:lang w:val="es-CR"/>
        </w:rPr>
      </w:pPr>
    </w:p>
    <w:p w14:paraId="2488FA1F" w14:textId="77777777" w:rsidR="00AE12A1" w:rsidRDefault="00AE12A1" w:rsidP="00AE12A1">
      <w:pPr>
        <w:tabs>
          <w:tab w:val="left" w:pos="8460"/>
          <w:tab w:val="left" w:pos="8640"/>
        </w:tabs>
        <w:jc w:val="both"/>
        <w:rPr>
          <w:rFonts w:ascii="Verdana" w:hAnsi="Verdana"/>
          <w:sz w:val="20"/>
          <w:lang w:val="es-CR"/>
        </w:rPr>
      </w:pPr>
    </w:p>
    <w:p w14:paraId="35F043B1" w14:textId="77777777" w:rsidR="00AE12A1" w:rsidRDefault="00AE12A1" w:rsidP="00AE12A1">
      <w:pPr>
        <w:tabs>
          <w:tab w:val="left" w:pos="8460"/>
          <w:tab w:val="left" w:pos="8640"/>
        </w:tabs>
        <w:jc w:val="center"/>
        <w:rPr>
          <w:rFonts w:ascii="Verdana" w:hAnsi="Verdana"/>
          <w:sz w:val="20"/>
        </w:rPr>
      </w:pPr>
      <w:r>
        <w:rPr>
          <w:rFonts w:ascii="Verdana" w:hAnsi="Verdana"/>
          <w:sz w:val="20"/>
        </w:rPr>
        <w:t>Pablo Saavedra Alessandri</w:t>
      </w:r>
    </w:p>
    <w:p w14:paraId="5D619B44" w14:textId="77777777" w:rsidR="00AE12A1" w:rsidRDefault="00AE12A1" w:rsidP="00AE12A1">
      <w:pPr>
        <w:tabs>
          <w:tab w:val="left" w:pos="8460"/>
          <w:tab w:val="left" w:pos="8640"/>
        </w:tabs>
        <w:jc w:val="center"/>
        <w:rPr>
          <w:rFonts w:ascii="Verdana" w:hAnsi="Verdana"/>
          <w:sz w:val="20"/>
        </w:rPr>
      </w:pPr>
      <w:r>
        <w:rPr>
          <w:rFonts w:ascii="Verdana" w:hAnsi="Verdana"/>
          <w:sz w:val="20"/>
        </w:rPr>
        <w:t>Secretario</w:t>
      </w:r>
    </w:p>
    <w:p w14:paraId="048E61DD" w14:textId="77777777" w:rsidR="00AE12A1" w:rsidRDefault="00AE12A1" w:rsidP="00AE12A1">
      <w:pPr>
        <w:tabs>
          <w:tab w:val="left" w:pos="8460"/>
          <w:tab w:val="left" w:pos="8640"/>
        </w:tabs>
        <w:jc w:val="both"/>
        <w:rPr>
          <w:rFonts w:ascii="Verdana" w:hAnsi="Verdana"/>
          <w:sz w:val="20"/>
        </w:rPr>
      </w:pPr>
    </w:p>
    <w:p w14:paraId="654D0CD0" w14:textId="77777777" w:rsidR="00AE12A1" w:rsidRDefault="00AE12A1" w:rsidP="00AE12A1">
      <w:pPr>
        <w:jc w:val="both"/>
        <w:rPr>
          <w:rFonts w:ascii="Verdana" w:hAnsi="Verdana"/>
          <w:sz w:val="20"/>
        </w:rPr>
      </w:pPr>
    </w:p>
    <w:p w14:paraId="57F163DF" w14:textId="77777777" w:rsidR="00AE12A1" w:rsidRDefault="00AE12A1" w:rsidP="00AE12A1">
      <w:pPr>
        <w:tabs>
          <w:tab w:val="left" w:pos="8460"/>
          <w:tab w:val="left" w:pos="8640"/>
        </w:tabs>
        <w:jc w:val="both"/>
        <w:rPr>
          <w:rFonts w:ascii="Verdana" w:hAnsi="Verdana"/>
          <w:sz w:val="20"/>
        </w:rPr>
      </w:pPr>
      <w:r>
        <w:rPr>
          <w:rFonts w:ascii="Verdana" w:hAnsi="Verdana"/>
          <w:sz w:val="20"/>
        </w:rPr>
        <w:t>Comuníquese y ejecútese,</w:t>
      </w:r>
    </w:p>
    <w:p w14:paraId="629159D2" w14:textId="77777777" w:rsidR="00AE12A1" w:rsidRDefault="00AE12A1" w:rsidP="00AE12A1">
      <w:pPr>
        <w:tabs>
          <w:tab w:val="left" w:pos="8460"/>
          <w:tab w:val="left" w:pos="8640"/>
        </w:tabs>
        <w:jc w:val="both"/>
        <w:rPr>
          <w:rFonts w:ascii="Verdana" w:hAnsi="Verdana"/>
          <w:sz w:val="20"/>
        </w:rPr>
      </w:pPr>
    </w:p>
    <w:p w14:paraId="7D2FB822" w14:textId="77777777" w:rsidR="00AE12A1" w:rsidRDefault="00AE12A1" w:rsidP="00AE12A1">
      <w:pPr>
        <w:tabs>
          <w:tab w:val="left" w:pos="8460"/>
          <w:tab w:val="left" w:pos="8640"/>
        </w:tabs>
        <w:jc w:val="both"/>
        <w:rPr>
          <w:rFonts w:ascii="Verdana" w:hAnsi="Verdana"/>
          <w:sz w:val="20"/>
        </w:rPr>
      </w:pPr>
    </w:p>
    <w:p w14:paraId="2AB7F14E" w14:textId="77777777" w:rsidR="00AE12A1" w:rsidRDefault="00AE12A1" w:rsidP="00AE12A1">
      <w:pPr>
        <w:tabs>
          <w:tab w:val="left" w:pos="8460"/>
          <w:tab w:val="left" w:pos="8640"/>
        </w:tabs>
        <w:jc w:val="both"/>
        <w:rPr>
          <w:rFonts w:ascii="Verdana" w:hAnsi="Verdana"/>
          <w:sz w:val="20"/>
        </w:rPr>
      </w:pPr>
    </w:p>
    <w:p w14:paraId="6DB10809" w14:textId="77777777" w:rsidR="00AE12A1" w:rsidRDefault="00AE12A1" w:rsidP="00AE12A1">
      <w:pPr>
        <w:tabs>
          <w:tab w:val="left" w:pos="8460"/>
          <w:tab w:val="left" w:pos="8640"/>
        </w:tabs>
        <w:jc w:val="both"/>
        <w:rPr>
          <w:rFonts w:ascii="Verdana" w:hAnsi="Verdana"/>
          <w:sz w:val="20"/>
        </w:rPr>
      </w:pPr>
    </w:p>
    <w:p w14:paraId="3B8E4525" w14:textId="77777777" w:rsidR="00AE12A1" w:rsidRDefault="00AE12A1" w:rsidP="00AE12A1">
      <w:pPr>
        <w:jc w:val="right"/>
        <w:rPr>
          <w:rFonts w:ascii="Verdana" w:hAnsi="Verdana"/>
          <w:sz w:val="20"/>
        </w:rPr>
      </w:pPr>
      <w:r>
        <w:rPr>
          <w:rFonts w:ascii="Verdana" w:hAnsi="Verdana"/>
          <w:sz w:val="20"/>
          <w:lang w:val="es-CR"/>
        </w:rPr>
        <w:t>Humberto Antonio Sierra Porto</w:t>
      </w:r>
    </w:p>
    <w:p w14:paraId="5BFF6A4A" w14:textId="77777777" w:rsidR="00AE12A1" w:rsidRPr="00DA333E" w:rsidRDefault="00AE12A1" w:rsidP="00AE12A1">
      <w:pPr>
        <w:ind w:right="1170"/>
        <w:jc w:val="right"/>
        <w:rPr>
          <w:rFonts w:ascii="Verdana" w:hAnsi="Verdana"/>
          <w:sz w:val="20"/>
          <w:lang w:val="es-CR"/>
        </w:rPr>
      </w:pPr>
      <w:r w:rsidRPr="00DA333E">
        <w:rPr>
          <w:rFonts w:ascii="Verdana" w:hAnsi="Verdana"/>
          <w:sz w:val="20"/>
          <w:lang w:val="es-CR"/>
        </w:rPr>
        <w:t>Presidente</w:t>
      </w:r>
    </w:p>
    <w:p w14:paraId="709D8E85" w14:textId="77777777" w:rsidR="00AE12A1" w:rsidRPr="00DA333E" w:rsidRDefault="00AE12A1" w:rsidP="00AE12A1">
      <w:pPr>
        <w:tabs>
          <w:tab w:val="left" w:pos="8460"/>
          <w:tab w:val="left" w:pos="8640"/>
        </w:tabs>
        <w:jc w:val="both"/>
        <w:rPr>
          <w:rFonts w:ascii="Verdana" w:hAnsi="Verdana"/>
          <w:sz w:val="20"/>
          <w:lang w:val="es-CR"/>
        </w:rPr>
      </w:pPr>
    </w:p>
    <w:p w14:paraId="677164E6" w14:textId="77777777" w:rsidR="00AE12A1" w:rsidRPr="00DA333E" w:rsidRDefault="00AE12A1" w:rsidP="00AE12A1">
      <w:pPr>
        <w:tabs>
          <w:tab w:val="left" w:pos="8460"/>
          <w:tab w:val="left" w:pos="8640"/>
        </w:tabs>
        <w:jc w:val="both"/>
        <w:rPr>
          <w:rFonts w:ascii="Verdana" w:hAnsi="Verdana"/>
          <w:sz w:val="20"/>
          <w:lang w:val="es-CR"/>
        </w:rPr>
      </w:pPr>
    </w:p>
    <w:p w14:paraId="0438AAA5" w14:textId="77777777" w:rsidR="00AE12A1" w:rsidRPr="00DA333E" w:rsidRDefault="00AE12A1" w:rsidP="00AE12A1">
      <w:pPr>
        <w:tabs>
          <w:tab w:val="left" w:pos="8460"/>
          <w:tab w:val="left" w:pos="8640"/>
        </w:tabs>
        <w:jc w:val="both"/>
        <w:rPr>
          <w:rFonts w:ascii="Verdana" w:hAnsi="Verdana"/>
          <w:sz w:val="20"/>
          <w:lang w:val="es-CR"/>
        </w:rPr>
      </w:pPr>
    </w:p>
    <w:p w14:paraId="0CF71C50" w14:textId="77777777" w:rsidR="00AE12A1" w:rsidRPr="00DA333E" w:rsidRDefault="00AE12A1" w:rsidP="00AE12A1">
      <w:pPr>
        <w:tabs>
          <w:tab w:val="left" w:pos="8460"/>
          <w:tab w:val="left" w:pos="8640"/>
        </w:tabs>
        <w:jc w:val="both"/>
        <w:rPr>
          <w:rFonts w:ascii="Verdana" w:hAnsi="Verdana"/>
          <w:sz w:val="20"/>
          <w:lang w:val="es-CR"/>
        </w:rPr>
      </w:pPr>
    </w:p>
    <w:p w14:paraId="7F05EE84" w14:textId="77777777" w:rsidR="00AE12A1" w:rsidRPr="00DA333E" w:rsidRDefault="00AE12A1" w:rsidP="00AE12A1">
      <w:pPr>
        <w:tabs>
          <w:tab w:val="left" w:pos="8460"/>
          <w:tab w:val="left" w:pos="8640"/>
        </w:tabs>
        <w:jc w:val="both"/>
        <w:rPr>
          <w:rFonts w:ascii="Verdana" w:hAnsi="Verdana"/>
          <w:sz w:val="20"/>
          <w:lang w:val="es-CR"/>
        </w:rPr>
      </w:pPr>
      <w:r w:rsidRPr="00DA333E">
        <w:rPr>
          <w:rFonts w:ascii="Verdana" w:hAnsi="Verdana"/>
          <w:sz w:val="20"/>
          <w:lang w:val="es-CR"/>
        </w:rPr>
        <w:t>Pablo Saavedra Alessandri</w:t>
      </w:r>
    </w:p>
    <w:p w14:paraId="219C4CC5" w14:textId="77777777" w:rsidR="00AE12A1" w:rsidRPr="00DA333E" w:rsidRDefault="00AE12A1" w:rsidP="00AE12A1">
      <w:pPr>
        <w:tabs>
          <w:tab w:val="left" w:pos="8640"/>
        </w:tabs>
        <w:ind w:left="720"/>
        <w:rPr>
          <w:rFonts w:ascii="Verdana" w:hAnsi="Verdana"/>
          <w:sz w:val="20"/>
          <w:lang w:val="es-CR"/>
        </w:rPr>
      </w:pPr>
      <w:r w:rsidRPr="00DA333E">
        <w:rPr>
          <w:rFonts w:ascii="Verdana" w:hAnsi="Verdana"/>
          <w:sz w:val="20"/>
          <w:lang w:val="es-CR"/>
        </w:rPr>
        <w:t xml:space="preserve">  Secretario</w:t>
      </w:r>
    </w:p>
    <w:p w14:paraId="06CEA010" w14:textId="77777777" w:rsidR="006B2C5D" w:rsidRDefault="006B2C5D">
      <w:pPr>
        <w:spacing w:after="200" w:line="276" w:lineRule="auto"/>
        <w:rPr>
          <w:rFonts w:ascii="Verdana" w:hAnsi="Verdana"/>
          <w:sz w:val="20"/>
          <w:szCs w:val="20"/>
          <w:lang w:val="es-CR"/>
        </w:rPr>
      </w:pPr>
    </w:p>
    <w:p w14:paraId="0C704D1F" w14:textId="77777777" w:rsidR="0076085D" w:rsidRDefault="0076085D" w:rsidP="0076085D">
      <w:pPr>
        <w:pStyle w:val="Heading1"/>
        <w:tabs>
          <w:tab w:val="left" w:pos="851"/>
        </w:tabs>
        <w:spacing w:before="0"/>
        <w:jc w:val="center"/>
        <w:rPr>
          <w:rFonts w:ascii="Verdana" w:hAnsi="Verdana" w:cs="Verdana"/>
          <w:caps/>
          <w:snapToGrid w:val="0"/>
          <w:color w:val="auto"/>
          <w:sz w:val="20"/>
          <w:szCs w:val="20"/>
        </w:rPr>
      </w:pPr>
      <w:bookmarkStart w:id="139" w:name="_Toc437247391"/>
      <w:r>
        <w:rPr>
          <w:rFonts w:ascii="Verdana" w:hAnsi="Verdana" w:cs="Verdana"/>
          <w:caps/>
          <w:snapToGrid w:val="0"/>
          <w:color w:val="auto"/>
          <w:sz w:val="20"/>
          <w:szCs w:val="20"/>
        </w:rPr>
        <w:lastRenderedPageBreak/>
        <w:t>xii</w:t>
      </w:r>
      <w:bookmarkEnd w:id="139"/>
    </w:p>
    <w:p w14:paraId="0C704D20" w14:textId="77777777" w:rsidR="0076085D" w:rsidRPr="009F4526" w:rsidRDefault="0076085D" w:rsidP="0076085D">
      <w:pPr>
        <w:jc w:val="center"/>
        <w:rPr>
          <w:rFonts w:ascii="Verdana" w:hAnsi="Verdana"/>
          <w:b/>
          <w:sz w:val="20"/>
          <w:szCs w:val="20"/>
        </w:rPr>
      </w:pPr>
      <w:r w:rsidRPr="009F4526">
        <w:rPr>
          <w:rFonts w:ascii="Verdana" w:hAnsi="Verdana"/>
          <w:b/>
          <w:sz w:val="20"/>
          <w:szCs w:val="20"/>
        </w:rPr>
        <w:t>ANEXOS</w:t>
      </w:r>
    </w:p>
    <w:p w14:paraId="58A46879" w14:textId="77777777" w:rsidR="003B5BF3" w:rsidRDefault="003B5BF3" w:rsidP="0076085D">
      <w:pPr>
        <w:pStyle w:val="Heading1"/>
        <w:tabs>
          <w:tab w:val="left" w:pos="851"/>
        </w:tabs>
        <w:spacing w:before="0"/>
        <w:jc w:val="center"/>
        <w:rPr>
          <w:rFonts w:ascii="Verdana" w:hAnsi="Verdana" w:cs="Verdana"/>
          <w:caps/>
          <w:snapToGrid w:val="0"/>
          <w:color w:val="auto"/>
          <w:sz w:val="20"/>
          <w:szCs w:val="20"/>
        </w:rPr>
      </w:pPr>
    </w:p>
    <w:p w14:paraId="0C704D21" w14:textId="77777777" w:rsidR="0076085D" w:rsidRPr="001D2BE2" w:rsidRDefault="0076085D" w:rsidP="001D2BE2">
      <w:pPr>
        <w:jc w:val="center"/>
        <w:rPr>
          <w:rFonts w:ascii="Verdana" w:hAnsi="Verdana"/>
          <w:b/>
          <w:sz w:val="20"/>
          <w:szCs w:val="20"/>
        </w:rPr>
      </w:pPr>
      <w:r w:rsidRPr="00FD7DB4">
        <w:rPr>
          <w:snapToGrid w:val="0"/>
        </w:rPr>
        <w:br/>
      </w:r>
      <w:bookmarkStart w:id="140" w:name="_Toc436289320"/>
      <w:r w:rsidRPr="001D2BE2">
        <w:rPr>
          <w:rFonts w:ascii="Verdana" w:hAnsi="Verdana"/>
          <w:b/>
          <w:sz w:val="20"/>
          <w:szCs w:val="20"/>
        </w:rPr>
        <w:t>ANEXO I</w:t>
      </w:r>
      <w:bookmarkEnd w:id="140"/>
    </w:p>
    <w:p w14:paraId="0C704D22" w14:textId="77777777" w:rsidR="0076085D" w:rsidRDefault="0076085D" w:rsidP="0076085D"/>
    <w:p w14:paraId="0C704D23" w14:textId="77777777" w:rsidR="0076085D" w:rsidRDefault="0076085D" w:rsidP="0076085D">
      <w:pPr>
        <w:jc w:val="center"/>
      </w:pPr>
    </w:p>
    <w:p w14:paraId="0C704D24" w14:textId="77777777" w:rsidR="0076085D" w:rsidRDefault="006A0E8F" w:rsidP="0076085D">
      <w:pPr>
        <w:jc w:val="center"/>
      </w:pPr>
      <w:r w:rsidRPr="00A0324F">
        <w:rPr>
          <w:noProof/>
          <w:lang w:val="es-ES" w:eastAsia="es-ES"/>
        </w:rPr>
        <w:drawing>
          <wp:inline distT="0" distB="0" distL="0" distR="0" wp14:anchorId="0C704D49" wp14:editId="0C704D4A">
            <wp:extent cx="4924425" cy="5857875"/>
            <wp:effectExtent l="0" t="0" r="952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nexo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24425" cy="5857875"/>
                    </a:xfrm>
                    <a:prstGeom prst="rect">
                      <a:avLst/>
                    </a:prstGeom>
                  </pic:spPr>
                </pic:pic>
              </a:graphicData>
            </a:graphic>
          </wp:inline>
        </w:drawing>
      </w:r>
    </w:p>
    <w:p w14:paraId="0C704D25" w14:textId="77777777" w:rsidR="0076085D" w:rsidRDefault="0076085D" w:rsidP="0076085D"/>
    <w:p w14:paraId="0C704D26" w14:textId="4963FEB2" w:rsidR="0076085D" w:rsidRPr="00EE7979" w:rsidRDefault="0076085D" w:rsidP="0076085D">
      <w:pPr>
        <w:jc w:val="both"/>
        <w:rPr>
          <w:rFonts w:ascii="Verdana" w:hAnsi="Verdana"/>
          <w:sz w:val="16"/>
        </w:rPr>
      </w:pPr>
      <w:r w:rsidRPr="00EE7979">
        <w:rPr>
          <w:rFonts w:ascii="Verdana" w:hAnsi="Verdana"/>
          <w:b/>
          <w:sz w:val="16"/>
        </w:rPr>
        <w:t>Nota:</w:t>
      </w:r>
      <w:r w:rsidRPr="00EE7979">
        <w:rPr>
          <w:rFonts w:ascii="Verdana" w:hAnsi="Verdana"/>
          <w:sz w:val="16"/>
        </w:rPr>
        <w:t xml:space="preserve"> El presente mapa se incluye con fines ilustrativos. </w:t>
      </w:r>
      <w:r w:rsidR="003B5BF3" w:rsidRPr="00EE7979">
        <w:rPr>
          <w:rFonts w:ascii="Verdana" w:hAnsi="Verdana"/>
          <w:sz w:val="16"/>
        </w:rPr>
        <w:t>Este</w:t>
      </w:r>
      <w:r w:rsidRPr="00EE7979">
        <w:rPr>
          <w:rFonts w:ascii="Verdana" w:hAnsi="Verdana"/>
          <w:sz w:val="16"/>
        </w:rPr>
        <w:t xml:space="preserve"> fue </w:t>
      </w:r>
      <w:r w:rsidR="003B5BF3" w:rsidRPr="00EE7979">
        <w:rPr>
          <w:rFonts w:ascii="Verdana" w:hAnsi="Verdana"/>
          <w:sz w:val="16"/>
        </w:rPr>
        <w:t>aportado</w:t>
      </w:r>
      <w:r w:rsidRPr="00EE7979">
        <w:rPr>
          <w:rFonts w:ascii="Verdana" w:hAnsi="Verdana"/>
          <w:sz w:val="16"/>
        </w:rPr>
        <w:t xml:space="preserve"> por el Estado mediante sus alegatos finales escritos. En </w:t>
      </w:r>
      <w:r w:rsidR="003B5BF3" w:rsidRPr="00EE7979">
        <w:rPr>
          <w:rFonts w:ascii="Verdana" w:hAnsi="Verdana"/>
          <w:sz w:val="16"/>
        </w:rPr>
        <w:t xml:space="preserve">éste </w:t>
      </w:r>
      <w:r w:rsidRPr="00EE7979">
        <w:rPr>
          <w:rFonts w:ascii="Verdana" w:hAnsi="Verdana"/>
          <w:sz w:val="16"/>
        </w:rPr>
        <w:t xml:space="preserve">se </w:t>
      </w:r>
      <w:r w:rsidR="00386128" w:rsidRPr="00EE7979">
        <w:rPr>
          <w:rFonts w:ascii="Verdana" w:hAnsi="Verdana"/>
          <w:sz w:val="16"/>
        </w:rPr>
        <w:t>presentan</w:t>
      </w:r>
      <w:r w:rsidRPr="00EE7979">
        <w:rPr>
          <w:rFonts w:ascii="Verdana" w:hAnsi="Verdana"/>
          <w:sz w:val="16"/>
        </w:rPr>
        <w:t xml:space="preserve"> los dos títulos de propiedad otorgados a la Comunidad Garífuna de Punta Piedra, así como el área ocupada por los pobladores de la Aldea Río Miel</w:t>
      </w:r>
      <w:r w:rsidR="00386128" w:rsidRPr="00EE7979">
        <w:rPr>
          <w:rFonts w:ascii="Verdana" w:hAnsi="Verdana"/>
          <w:sz w:val="16"/>
        </w:rPr>
        <w:t xml:space="preserve">, según el Informe Catastral de 2007. </w:t>
      </w:r>
    </w:p>
    <w:p w14:paraId="0C704D27" w14:textId="488A47B6" w:rsidR="00386128" w:rsidRDefault="00386128">
      <w:pPr>
        <w:spacing w:after="200" w:line="276" w:lineRule="auto"/>
      </w:pPr>
      <w:r>
        <w:br w:type="page"/>
      </w:r>
    </w:p>
    <w:p w14:paraId="0C704D43" w14:textId="1C2ED366" w:rsidR="0076085D" w:rsidRPr="001D2BE2" w:rsidRDefault="0076085D" w:rsidP="001D2BE2">
      <w:pPr>
        <w:jc w:val="center"/>
        <w:rPr>
          <w:rFonts w:ascii="Verdana" w:hAnsi="Verdana"/>
          <w:b/>
          <w:sz w:val="20"/>
          <w:szCs w:val="20"/>
        </w:rPr>
      </w:pPr>
      <w:r w:rsidRPr="001D2BE2">
        <w:rPr>
          <w:rFonts w:ascii="Verdana" w:hAnsi="Verdana"/>
          <w:b/>
          <w:sz w:val="20"/>
          <w:szCs w:val="20"/>
        </w:rPr>
        <w:lastRenderedPageBreak/>
        <w:t>ANEXO II</w:t>
      </w:r>
    </w:p>
    <w:p w14:paraId="0C704D44" w14:textId="77777777" w:rsidR="0076085D" w:rsidRDefault="0076085D" w:rsidP="0076085D"/>
    <w:p w14:paraId="278B1B34" w14:textId="77777777" w:rsidR="00386128" w:rsidRDefault="00386128" w:rsidP="0076085D"/>
    <w:p w14:paraId="0C704D45" w14:textId="77777777" w:rsidR="0076085D" w:rsidRDefault="006A0E8F" w:rsidP="0076085D">
      <w:pPr>
        <w:jc w:val="center"/>
      </w:pPr>
      <w:r w:rsidRPr="00A0324F">
        <w:rPr>
          <w:noProof/>
          <w:lang w:val="es-ES" w:eastAsia="es-ES"/>
        </w:rPr>
        <w:drawing>
          <wp:inline distT="0" distB="0" distL="0" distR="0" wp14:anchorId="0C704D4D" wp14:editId="0C704D4E">
            <wp:extent cx="5427023" cy="4824020"/>
            <wp:effectExtent l="0" t="0" r="254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nexo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27023" cy="4824020"/>
                    </a:xfrm>
                    <a:prstGeom prst="rect">
                      <a:avLst/>
                    </a:prstGeom>
                  </pic:spPr>
                </pic:pic>
              </a:graphicData>
            </a:graphic>
          </wp:inline>
        </w:drawing>
      </w:r>
    </w:p>
    <w:p w14:paraId="0C704D46" w14:textId="77777777" w:rsidR="0076085D" w:rsidRDefault="0076085D" w:rsidP="0076085D">
      <w:pPr>
        <w:jc w:val="center"/>
      </w:pPr>
    </w:p>
    <w:p w14:paraId="717D208B" w14:textId="77777777" w:rsidR="00386128" w:rsidRDefault="00386128" w:rsidP="0076085D">
      <w:pPr>
        <w:jc w:val="both"/>
        <w:rPr>
          <w:rFonts w:ascii="Verdana" w:hAnsi="Verdana"/>
          <w:sz w:val="18"/>
        </w:rPr>
      </w:pPr>
    </w:p>
    <w:p w14:paraId="2F99F97A" w14:textId="77777777" w:rsidR="00386128" w:rsidRDefault="00386128" w:rsidP="0076085D">
      <w:pPr>
        <w:jc w:val="both"/>
        <w:rPr>
          <w:rFonts w:ascii="Verdana" w:hAnsi="Verdana"/>
          <w:sz w:val="18"/>
        </w:rPr>
      </w:pPr>
    </w:p>
    <w:p w14:paraId="4F38ED34" w14:textId="77777777" w:rsidR="00386128" w:rsidRDefault="00386128" w:rsidP="0076085D">
      <w:pPr>
        <w:jc w:val="both"/>
        <w:rPr>
          <w:rFonts w:ascii="Verdana" w:hAnsi="Verdana"/>
          <w:sz w:val="18"/>
        </w:rPr>
      </w:pPr>
    </w:p>
    <w:p w14:paraId="0C704D47" w14:textId="3E1B691A" w:rsidR="0076085D" w:rsidRPr="00EE7979" w:rsidRDefault="0076085D" w:rsidP="0076085D">
      <w:pPr>
        <w:jc w:val="both"/>
        <w:rPr>
          <w:rFonts w:ascii="Verdana" w:hAnsi="Verdana"/>
          <w:sz w:val="16"/>
        </w:rPr>
      </w:pPr>
      <w:r w:rsidRPr="00EE7979">
        <w:rPr>
          <w:rFonts w:ascii="Verdana" w:hAnsi="Verdana"/>
          <w:b/>
          <w:sz w:val="16"/>
        </w:rPr>
        <w:t>Nota:</w:t>
      </w:r>
      <w:r w:rsidRPr="00EE7979">
        <w:rPr>
          <w:rFonts w:ascii="Verdana" w:hAnsi="Verdana"/>
          <w:sz w:val="16"/>
        </w:rPr>
        <w:t xml:space="preserve"> El presente mapa se incluye con fines ilustrativos. E</w:t>
      </w:r>
      <w:r w:rsidR="00386128" w:rsidRPr="00EE7979">
        <w:rPr>
          <w:rFonts w:ascii="Verdana" w:hAnsi="Verdana"/>
          <w:sz w:val="16"/>
        </w:rPr>
        <w:t>ste</w:t>
      </w:r>
      <w:r w:rsidRPr="00EE7979">
        <w:rPr>
          <w:rFonts w:ascii="Verdana" w:hAnsi="Verdana"/>
          <w:sz w:val="16"/>
        </w:rPr>
        <w:t xml:space="preserve"> fue </w:t>
      </w:r>
      <w:r w:rsidR="00386128" w:rsidRPr="00EE7979">
        <w:rPr>
          <w:rFonts w:ascii="Verdana" w:hAnsi="Verdana"/>
          <w:sz w:val="16"/>
        </w:rPr>
        <w:t>aportado</w:t>
      </w:r>
      <w:r w:rsidRPr="00EE7979">
        <w:rPr>
          <w:rFonts w:ascii="Verdana" w:hAnsi="Verdana"/>
          <w:sz w:val="16"/>
        </w:rPr>
        <w:t xml:space="preserve"> como anexo al </w:t>
      </w:r>
      <w:r w:rsidRPr="00EE7979">
        <w:rPr>
          <w:rFonts w:ascii="Verdana" w:hAnsi="Verdana"/>
          <w:sz w:val="16"/>
          <w:szCs w:val="22"/>
        </w:rPr>
        <w:t xml:space="preserve">Informe </w:t>
      </w:r>
      <w:r w:rsidR="00386128" w:rsidRPr="00EE7979">
        <w:rPr>
          <w:rFonts w:ascii="Verdana" w:hAnsi="Verdana"/>
          <w:sz w:val="16"/>
          <w:szCs w:val="22"/>
        </w:rPr>
        <w:t xml:space="preserve">del </w:t>
      </w:r>
      <w:r w:rsidRPr="00EE7979">
        <w:rPr>
          <w:rFonts w:ascii="Verdana" w:hAnsi="Verdana"/>
          <w:sz w:val="16"/>
          <w:szCs w:val="22"/>
        </w:rPr>
        <w:t>AAAS, y fue adaptado por la Secretaría de la Corte Interamericana para indicar las Zonas 1, 2, 2-A y 2-B</w:t>
      </w:r>
      <w:r w:rsidRPr="00EE7979">
        <w:rPr>
          <w:rFonts w:ascii="Verdana" w:hAnsi="Verdana"/>
          <w:sz w:val="16"/>
        </w:rPr>
        <w:t>.</w:t>
      </w:r>
    </w:p>
    <w:p w14:paraId="0C704D48" w14:textId="499C24AB" w:rsidR="00386128" w:rsidRDefault="00386128">
      <w:pPr>
        <w:spacing w:after="200" w:line="276" w:lineRule="auto"/>
        <w:rPr>
          <w:rFonts w:ascii="Verdana" w:hAnsi="Verdana"/>
          <w:sz w:val="20"/>
          <w:szCs w:val="20"/>
        </w:rPr>
      </w:pPr>
      <w:r>
        <w:rPr>
          <w:rFonts w:ascii="Verdana" w:hAnsi="Verdana"/>
          <w:sz w:val="20"/>
          <w:szCs w:val="20"/>
        </w:rPr>
        <w:br w:type="page"/>
      </w:r>
    </w:p>
    <w:p w14:paraId="40DBD3D8" w14:textId="77777777" w:rsidR="00386128" w:rsidRPr="001D2BE2" w:rsidRDefault="00386128" w:rsidP="001D2BE2">
      <w:pPr>
        <w:jc w:val="center"/>
        <w:rPr>
          <w:rFonts w:ascii="Verdana" w:hAnsi="Verdana"/>
          <w:b/>
          <w:sz w:val="20"/>
          <w:szCs w:val="20"/>
        </w:rPr>
      </w:pPr>
      <w:r w:rsidRPr="001D2BE2">
        <w:rPr>
          <w:rFonts w:ascii="Verdana" w:hAnsi="Verdana"/>
          <w:b/>
          <w:sz w:val="20"/>
          <w:szCs w:val="20"/>
        </w:rPr>
        <w:lastRenderedPageBreak/>
        <w:t>ANEXO III</w:t>
      </w:r>
    </w:p>
    <w:p w14:paraId="4C5AE228" w14:textId="77777777" w:rsidR="00386128" w:rsidRDefault="00386128" w:rsidP="00386128"/>
    <w:p w14:paraId="29E0593A" w14:textId="77777777" w:rsidR="00386128" w:rsidRDefault="00386128" w:rsidP="00386128"/>
    <w:p w14:paraId="55A2E675" w14:textId="77777777" w:rsidR="00386128" w:rsidRDefault="00386128" w:rsidP="00386128">
      <w:pPr>
        <w:jc w:val="center"/>
      </w:pPr>
      <w:r w:rsidRPr="008C5ED3">
        <w:rPr>
          <w:noProof/>
          <w:lang w:val="es-ES" w:eastAsia="es-ES"/>
        </w:rPr>
        <w:drawing>
          <wp:inline distT="0" distB="0" distL="0" distR="0" wp14:anchorId="6859A050" wp14:editId="57EEAA25">
            <wp:extent cx="5732891" cy="423804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nexo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368" cy="4236919"/>
                    </a:xfrm>
                    <a:prstGeom prst="rect">
                      <a:avLst/>
                    </a:prstGeom>
                  </pic:spPr>
                </pic:pic>
              </a:graphicData>
            </a:graphic>
          </wp:inline>
        </w:drawing>
      </w:r>
    </w:p>
    <w:p w14:paraId="656FECBF" w14:textId="77777777" w:rsidR="00386128" w:rsidRDefault="00386128" w:rsidP="00386128"/>
    <w:p w14:paraId="11DA37DA" w14:textId="77777777" w:rsidR="00386128" w:rsidRDefault="00386128" w:rsidP="00386128"/>
    <w:p w14:paraId="7B9D5F36" w14:textId="77777777" w:rsidR="00386128" w:rsidRDefault="00386128" w:rsidP="00386128"/>
    <w:p w14:paraId="5F5AA396" w14:textId="77777777" w:rsidR="00386128" w:rsidRDefault="00386128" w:rsidP="00386128"/>
    <w:p w14:paraId="33428CD5" w14:textId="77777777" w:rsidR="00386128" w:rsidRDefault="00386128" w:rsidP="00386128"/>
    <w:p w14:paraId="04B22CF8" w14:textId="77777777" w:rsidR="00E66707" w:rsidRDefault="00386128" w:rsidP="00386128">
      <w:pPr>
        <w:jc w:val="both"/>
        <w:rPr>
          <w:rFonts w:ascii="Verdana" w:eastAsiaTheme="minorHAnsi" w:hAnsi="Verdana"/>
          <w:sz w:val="16"/>
          <w:szCs w:val="22"/>
        </w:rPr>
        <w:sectPr w:rsidR="00E66707" w:rsidSect="0019552C">
          <w:footerReference w:type="default" r:id="rId48"/>
          <w:headerReference w:type="first" r:id="rId49"/>
          <w:pgSz w:w="12240" w:h="15840"/>
          <w:pgMar w:top="1417" w:right="1701" w:bottom="1417" w:left="1701" w:header="709" w:footer="709" w:gutter="0"/>
          <w:cols w:space="708"/>
          <w:titlePg/>
          <w:docGrid w:linePitch="360"/>
        </w:sectPr>
      </w:pPr>
      <w:r w:rsidRPr="00EE7979">
        <w:rPr>
          <w:rFonts w:ascii="Verdana" w:hAnsi="Verdana"/>
          <w:b/>
          <w:sz w:val="16"/>
        </w:rPr>
        <w:t>Nota:</w:t>
      </w:r>
      <w:r w:rsidRPr="00EE7979">
        <w:rPr>
          <w:rFonts w:ascii="Verdana" w:hAnsi="Verdana"/>
          <w:sz w:val="16"/>
        </w:rPr>
        <w:t xml:space="preserve"> El presente mapa se incluye con fines ilustrativos. Este fue presentado por el Estado durante la diligencia </w:t>
      </w:r>
      <w:r w:rsidRPr="00EE7979">
        <w:rPr>
          <w:rFonts w:ascii="Verdana" w:hAnsi="Verdana"/>
          <w:i/>
          <w:sz w:val="16"/>
        </w:rPr>
        <w:t>in situ</w:t>
      </w:r>
      <w:r w:rsidRPr="00EE7979">
        <w:rPr>
          <w:rFonts w:ascii="Verdana" w:hAnsi="Verdana"/>
          <w:sz w:val="16"/>
        </w:rPr>
        <w:t xml:space="preserve">. En éste se delimita </w:t>
      </w:r>
      <w:r w:rsidRPr="00EE7979">
        <w:rPr>
          <w:rFonts w:ascii="Verdana" w:hAnsi="Verdana"/>
          <w:sz w:val="16"/>
          <w:szCs w:val="22"/>
        </w:rPr>
        <w:t xml:space="preserve">el área concesionada a </w:t>
      </w:r>
      <w:r w:rsidRPr="00EE7979">
        <w:rPr>
          <w:rFonts w:ascii="Verdana" w:eastAsiaTheme="minorHAnsi" w:hAnsi="Verdana"/>
          <w:sz w:val="16"/>
          <w:szCs w:val="22"/>
        </w:rPr>
        <w:t xml:space="preserve">la Corporación Minera CANIXA S.A. </w:t>
      </w:r>
      <w:r w:rsidRPr="00EE7979">
        <w:rPr>
          <w:rFonts w:ascii="Verdana" w:hAnsi="Verdana"/>
          <w:sz w:val="16"/>
          <w:szCs w:val="22"/>
        </w:rPr>
        <w:t xml:space="preserve">para el desarrollo del </w:t>
      </w:r>
      <w:r w:rsidRPr="00EE7979">
        <w:rPr>
          <w:rFonts w:ascii="Verdana" w:eastAsiaTheme="minorHAnsi" w:hAnsi="Verdana"/>
          <w:sz w:val="16"/>
          <w:szCs w:val="22"/>
        </w:rPr>
        <w:t>proyecto denominado “Punta Piedra II”.</w:t>
      </w:r>
    </w:p>
    <w:p w14:paraId="3E6E0DAE" w14:textId="77777777" w:rsidR="00E66707" w:rsidRPr="009B41EF" w:rsidRDefault="00E66707" w:rsidP="00E66707">
      <w:pPr>
        <w:rPr>
          <w:rFonts w:ascii="Verdana" w:hAnsi="Verdana"/>
          <w:b/>
          <w:sz w:val="20"/>
          <w:szCs w:val="20"/>
          <w:lang w:val="es-ES"/>
        </w:rPr>
      </w:pPr>
    </w:p>
    <w:p w14:paraId="1F0F9771" w14:textId="77777777" w:rsidR="00E66707" w:rsidRPr="009B41EF" w:rsidRDefault="00E66707" w:rsidP="00E66707">
      <w:pPr>
        <w:rPr>
          <w:rFonts w:ascii="Verdana" w:hAnsi="Verdana"/>
          <w:b/>
          <w:sz w:val="20"/>
          <w:szCs w:val="20"/>
          <w:lang w:val="es-ES"/>
        </w:rPr>
      </w:pPr>
    </w:p>
    <w:p w14:paraId="34318B9D" w14:textId="77777777" w:rsidR="00E66707" w:rsidRPr="009B41EF" w:rsidRDefault="00E66707" w:rsidP="00E66707">
      <w:pPr>
        <w:rPr>
          <w:rFonts w:ascii="Verdana" w:hAnsi="Verdana"/>
          <w:b/>
          <w:sz w:val="20"/>
          <w:szCs w:val="20"/>
          <w:lang w:val="es-ES"/>
        </w:rPr>
      </w:pPr>
    </w:p>
    <w:p w14:paraId="6BC5DD66" w14:textId="77777777" w:rsidR="00E66707" w:rsidRPr="009B41EF" w:rsidRDefault="00E66707" w:rsidP="00E66707">
      <w:pPr>
        <w:rPr>
          <w:rFonts w:ascii="Verdana" w:hAnsi="Verdana"/>
          <w:b/>
          <w:sz w:val="20"/>
          <w:szCs w:val="20"/>
          <w:lang w:val="es-ES"/>
        </w:rPr>
      </w:pPr>
    </w:p>
    <w:p w14:paraId="20CB8A51" w14:textId="77777777" w:rsidR="00E66707" w:rsidRPr="009B41EF" w:rsidRDefault="00E66707" w:rsidP="00E66707">
      <w:pPr>
        <w:rPr>
          <w:rFonts w:ascii="Verdana" w:hAnsi="Verdana"/>
          <w:b/>
          <w:sz w:val="20"/>
          <w:szCs w:val="20"/>
          <w:lang w:val="es-ES"/>
        </w:rPr>
      </w:pPr>
    </w:p>
    <w:p w14:paraId="3B860D6F" w14:textId="77777777" w:rsidR="00E66707" w:rsidRPr="009B41EF" w:rsidRDefault="00E66707" w:rsidP="00E66707">
      <w:pPr>
        <w:rPr>
          <w:rFonts w:ascii="Verdana" w:hAnsi="Verdana"/>
          <w:sz w:val="20"/>
          <w:szCs w:val="20"/>
          <w:lang w:val="es-ES"/>
        </w:rPr>
      </w:pPr>
    </w:p>
    <w:p w14:paraId="20BE2428" w14:textId="77777777" w:rsidR="00E66707" w:rsidRPr="009B41EF" w:rsidRDefault="00E66707" w:rsidP="00E66707">
      <w:pPr>
        <w:jc w:val="center"/>
        <w:rPr>
          <w:rFonts w:ascii="Verdana" w:hAnsi="Verdana"/>
          <w:b/>
          <w:sz w:val="20"/>
          <w:szCs w:val="20"/>
        </w:rPr>
      </w:pPr>
      <w:r w:rsidRPr="009B41EF">
        <w:rPr>
          <w:rFonts w:ascii="Verdana" w:hAnsi="Verdana"/>
          <w:b/>
          <w:sz w:val="20"/>
          <w:szCs w:val="20"/>
        </w:rPr>
        <w:t>VOTO CONCURRENTE DEL JUEZ EDUARDO VIO GROSSI,</w:t>
      </w:r>
    </w:p>
    <w:p w14:paraId="397DDB4A" w14:textId="77777777" w:rsidR="00E66707" w:rsidRPr="009B41EF" w:rsidRDefault="00E66707" w:rsidP="00E66707">
      <w:pPr>
        <w:jc w:val="center"/>
        <w:rPr>
          <w:rFonts w:ascii="Verdana" w:hAnsi="Verdana"/>
          <w:b/>
          <w:sz w:val="20"/>
          <w:szCs w:val="20"/>
        </w:rPr>
      </w:pPr>
      <w:r w:rsidRPr="009B41EF">
        <w:rPr>
          <w:rFonts w:ascii="Verdana" w:hAnsi="Verdana"/>
          <w:b/>
          <w:sz w:val="20"/>
          <w:szCs w:val="20"/>
        </w:rPr>
        <w:t>CORTE INTERAMERICANA DE DERECHOS HUMANOS</w:t>
      </w:r>
    </w:p>
    <w:p w14:paraId="2C5267AC" w14:textId="77777777" w:rsidR="00E66707" w:rsidRPr="009B41EF" w:rsidRDefault="00E66707" w:rsidP="00E66707">
      <w:pPr>
        <w:jc w:val="center"/>
        <w:rPr>
          <w:rFonts w:ascii="Verdana" w:hAnsi="Verdana"/>
          <w:b/>
          <w:sz w:val="20"/>
          <w:szCs w:val="20"/>
        </w:rPr>
      </w:pPr>
      <w:r w:rsidRPr="009B41EF">
        <w:rPr>
          <w:rFonts w:ascii="Verdana" w:hAnsi="Verdana"/>
          <w:b/>
          <w:sz w:val="20"/>
          <w:szCs w:val="20"/>
        </w:rPr>
        <w:t xml:space="preserve">CASO COMUNIDAD GARÍFUNA DE PUNTA PIEDRA Y SUS MIEMBROS </w:t>
      </w:r>
    </w:p>
    <w:p w14:paraId="705FF764" w14:textId="77777777" w:rsidR="00E66707" w:rsidRPr="009B41EF" w:rsidRDefault="00E66707" w:rsidP="00E66707">
      <w:pPr>
        <w:jc w:val="center"/>
        <w:rPr>
          <w:rFonts w:ascii="Verdana" w:hAnsi="Verdana"/>
          <w:b/>
          <w:sz w:val="20"/>
          <w:szCs w:val="20"/>
        </w:rPr>
      </w:pPr>
      <w:r w:rsidRPr="009B41EF">
        <w:rPr>
          <w:rFonts w:ascii="Verdana" w:hAnsi="Verdana"/>
          <w:b/>
          <w:sz w:val="20"/>
          <w:szCs w:val="20"/>
        </w:rPr>
        <w:t>VS. HONDURAS, SENTENCIA DE 8 DE OCTUBRE DE 2015</w:t>
      </w:r>
    </w:p>
    <w:p w14:paraId="2CA2A33A" w14:textId="77777777" w:rsidR="00E66707" w:rsidRDefault="00E66707" w:rsidP="00E66707">
      <w:pPr>
        <w:jc w:val="center"/>
        <w:rPr>
          <w:rFonts w:ascii="Verdana" w:hAnsi="Verdana"/>
          <w:b/>
          <w:sz w:val="20"/>
          <w:szCs w:val="20"/>
        </w:rPr>
      </w:pPr>
      <w:r w:rsidRPr="009B41EF">
        <w:rPr>
          <w:rFonts w:ascii="Verdana" w:hAnsi="Verdana"/>
          <w:b/>
          <w:sz w:val="20"/>
          <w:szCs w:val="20"/>
        </w:rPr>
        <w:t>(Excepciones Preliminares, Fondo, Reparaciones y Costas)</w:t>
      </w:r>
    </w:p>
    <w:p w14:paraId="765CB11F" w14:textId="77777777" w:rsidR="00E66707" w:rsidRPr="009B41EF" w:rsidRDefault="00E66707" w:rsidP="00E66707">
      <w:pPr>
        <w:jc w:val="center"/>
        <w:rPr>
          <w:rFonts w:ascii="Verdana" w:hAnsi="Verdana"/>
          <w:b/>
          <w:sz w:val="20"/>
          <w:szCs w:val="20"/>
        </w:rPr>
      </w:pPr>
    </w:p>
    <w:p w14:paraId="5D03F649" w14:textId="77777777" w:rsidR="00E66707" w:rsidRDefault="00E66707" w:rsidP="00E66707">
      <w:pPr>
        <w:jc w:val="both"/>
        <w:rPr>
          <w:rFonts w:ascii="Verdana" w:eastAsia="Times New Roman" w:hAnsi="Verdana"/>
          <w:sz w:val="20"/>
          <w:szCs w:val="20"/>
        </w:rPr>
      </w:pPr>
      <w:r w:rsidRPr="009B41EF">
        <w:rPr>
          <w:rFonts w:ascii="Verdana" w:hAnsi="Verdana"/>
          <w:sz w:val="20"/>
          <w:szCs w:val="20"/>
          <w:lang w:val="es-ES"/>
        </w:rPr>
        <w:t xml:space="preserve">Se emite el presente voto concurrente con la Sentencia del título, toda vez que, si bien el infrascrito comparte las decisiones que en ella se establecen, en cuanto a desestimar </w:t>
      </w:r>
      <w:r w:rsidRPr="009B41EF">
        <w:rPr>
          <w:rFonts w:ascii="Verdana" w:eastAsia="Times New Roman" w:hAnsi="Verdana"/>
          <w:sz w:val="20"/>
          <w:szCs w:val="20"/>
        </w:rPr>
        <w:t>las excepciones preliminares interpuestas por el Estado por la “</w:t>
      </w:r>
      <w:r w:rsidRPr="009B41EF">
        <w:rPr>
          <w:rFonts w:ascii="Verdana" w:eastAsia="Times New Roman" w:hAnsi="Verdana"/>
          <w:i/>
          <w:sz w:val="20"/>
          <w:szCs w:val="20"/>
        </w:rPr>
        <w:t>falta de agotamiento de recursos internos</w:t>
      </w:r>
      <w:r w:rsidRPr="009B41EF">
        <w:rPr>
          <w:rFonts w:ascii="Verdana" w:eastAsia="Times New Roman" w:hAnsi="Verdana"/>
          <w:sz w:val="20"/>
          <w:szCs w:val="20"/>
        </w:rPr>
        <w:t>” tanto “</w:t>
      </w:r>
      <w:r w:rsidRPr="009B41EF">
        <w:rPr>
          <w:rFonts w:ascii="Verdana" w:eastAsia="Times New Roman" w:hAnsi="Verdana"/>
          <w:i/>
          <w:sz w:val="20"/>
          <w:szCs w:val="20"/>
        </w:rPr>
        <w:t>para garantizar el uso y goce del territorio de la Comunidad Garífuna de Punta Piedra y sus miembros</w:t>
      </w:r>
      <w:r w:rsidRPr="009B41EF">
        <w:rPr>
          <w:rFonts w:ascii="Verdana" w:eastAsia="Times New Roman" w:hAnsi="Verdana"/>
          <w:sz w:val="20"/>
          <w:szCs w:val="20"/>
        </w:rPr>
        <w:t>”</w:t>
      </w:r>
      <w:r w:rsidRPr="009B41EF">
        <w:rPr>
          <w:rStyle w:val="FootnoteReference"/>
          <w:rFonts w:eastAsia="Times New Roman"/>
          <w:szCs w:val="20"/>
        </w:rPr>
        <w:footnoteReference w:id="357"/>
      </w:r>
      <w:r w:rsidRPr="009B41EF">
        <w:rPr>
          <w:rFonts w:ascii="Verdana" w:eastAsia="Times New Roman" w:hAnsi="Verdana"/>
          <w:sz w:val="20"/>
          <w:szCs w:val="20"/>
        </w:rPr>
        <w:t xml:space="preserve">, como </w:t>
      </w:r>
      <w:r w:rsidRPr="009B41EF">
        <w:rPr>
          <w:rFonts w:ascii="Verdana" w:hAnsi="Verdana" w:cs="Verdana"/>
          <w:sz w:val="20"/>
          <w:szCs w:val="20"/>
        </w:rPr>
        <w:t>“</w:t>
      </w:r>
      <w:r w:rsidRPr="009B41EF">
        <w:rPr>
          <w:rFonts w:ascii="Verdana" w:eastAsia="Times New Roman" w:hAnsi="Verdana"/>
          <w:i/>
          <w:sz w:val="20"/>
          <w:szCs w:val="20"/>
        </w:rPr>
        <w:t>con motivo de la muerte de Félix Ordóñez Suazo</w:t>
      </w:r>
      <w:r w:rsidRPr="009B41EF">
        <w:rPr>
          <w:rFonts w:ascii="Verdana" w:eastAsia="Times New Roman" w:hAnsi="Verdana"/>
          <w:sz w:val="20"/>
          <w:szCs w:val="20"/>
        </w:rPr>
        <w:t>”</w:t>
      </w:r>
      <w:r w:rsidRPr="009B41EF">
        <w:rPr>
          <w:rStyle w:val="FootnoteReference"/>
          <w:rFonts w:eastAsia="Times New Roman"/>
          <w:szCs w:val="20"/>
        </w:rPr>
        <w:footnoteReference w:id="358"/>
      </w:r>
      <w:r w:rsidRPr="009B41EF">
        <w:rPr>
          <w:rFonts w:ascii="Verdana" w:eastAsia="Times New Roman" w:hAnsi="Verdana"/>
          <w:sz w:val="20"/>
          <w:szCs w:val="20"/>
        </w:rPr>
        <w:t>, estima que hay razones adicionales para adoptar aquellas.</w:t>
      </w:r>
    </w:p>
    <w:p w14:paraId="7C0C2A4E" w14:textId="77777777" w:rsidR="00E66707" w:rsidRPr="009B41EF" w:rsidRDefault="00E66707" w:rsidP="00E66707">
      <w:pPr>
        <w:jc w:val="both"/>
        <w:rPr>
          <w:rFonts w:ascii="Verdana" w:hAnsi="Verdana"/>
          <w:b/>
          <w:sz w:val="20"/>
          <w:szCs w:val="20"/>
        </w:rPr>
      </w:pPr>
    </w:p>
    <w:p w14:paraId="79BFDFBA" w14:textId="77777777" w:rsidR="00E66707" w:rsidRDefault="00E66707" w:rsidP="00E66707">
      <w:pPr>
        <w:jc w:val="both"/>
        <w:rPr>
          <w:rFonts w:ascii="Verdana" w:eastAsia="Times New Roman" w:hAnsi="Verdana"/>
          <w:sz w:val="20"/>
          <w:szCs w:val="20"/>
        </w:rPr>
      </w:pPr>
      <w:r w:rsidRPr="009B41EF">
        <w:rPr>
          <w:rFonts w:ascii="Verdana" w:eastAsia="Times New Roman" w:hAnsi="Verdana"/>
          <w:sz w:val="20"/>
          <w:szCs w:val="20"/>
        </w:rPr>
        <w:t xml:space="preserve">Además, se extiende el presente voto concurrente a los efectos de dejar constancia de la interpretación que el suscrito le asigna a la terminología empleada, en cuanto a la responsabilidad el Estado, en los resolutivos 4 a 8 de la Sentencia.  </w:t>
      </w:r>
    </w:p>
    <w:p w14:paraId="50F6EA44" w14:textId="77777777" w:rsidR="00E66707" w:rsidRPr="009B41EF" w:rsidRDefault="00E66707" w:rsidP="00E66707">
      <w:pPr>
        <w:jc w:val="both"/>
        <w:rPr>
          <w:rFonts w:ascii="Verdana" w:hAnsi="Verdana"/>
          <w:b/>
          <w:sz w:val="20"/>
          <w:szCs w:val="20"/>
        </w:rPr>
      </w:pPr>
    </w:p>
    <w:p w14:paraId="2B860ABF" w14:textId="77777777" w:rsidR="00E66707" w:rsidRPr="008D38B2" w:rsidRDefault="00E66707" w:rsidP="00E66707">
      <w:pPr>
        <w:numPr>
          <w:ilvl w:val="0"/>
          <w:numId w:val="25"/>
        </w:numPr>
        <w:jc w:val="both"/>
        <w:rPr>
          <w:rFonts w:ascii="Verdana" w:hAnsi="Verdana"/>
          <w:b/>
          <w:sz w:val="20"/>
          <w:szCs w:val="20"/>
          <w:lang w:val="es-ES"/>
        </w:rPr>
      </w:pPr>
      <w:r w:rsidRPr="009B41EF">
        <w:rPr>
          <w:rFonts w:ascii="Verdana" w:eastAsia="Times New Roman" w:hAnsi="Verdana"/>
          <w:b/>
          <w:sz w:val="20"/>
          <w:szCs w:val="20"/>
        </w:rPr>
        <w:t>Falta de agotamiento de recursos internos para garantizar el uso y goce del territorio de la Comunidad Garífuna de Punta Piedra y sus miembros.</w:t>
      </w:r>
    </w:p>
    <w:p w14:paraId="50570545" w14:textId="77777777" w:rsidR="00E66707" w:rsidRPr="009B41EF" w:rsidRDefault="00E66707" w:rsidP="00E66707">
      <w:pPr>
        <w:ind w:left="405"/>
        <w:jc w:val="both"/>
        <w:rPr>
          <w:rFonts w:ascii="Verdana" w:hAnsi="Verdana"/>
          <w:b/>
          <w:sz w:val="20"/>
          <w:szCs w:val="20"/>
          <w:lang w:val="es-ES"/>
        </w:rPr>
      </w:pPr>
    </w:p>
    <w:p w14:paraId="357217A3" w14:textId="77777777" w:rsidR="00E66707" w:rsidRDefault="00E66707" w:rsidP="00E66707">
      <w:pPr>
        <w:ind w:left="45"/>
        <w:jc w:val="both"/>
        <w:rPr>
          <w:rFonts w:ascii="Verdana" w:eastAsia="Times New Roman" w:hAnsi="Verdana"/>
          <w:sz w:val="20"/>
          <w:szCs w:val="20"/>
          <w:lang w:val="es-ES"/>
        </w:rPr>
      </w:pPr>
      <w:r w:rsidRPr="009B41EF">
        <w:rPr>
          <w:rFonts w:ascii="Verdana" w:eastAsia="Times New Roman" w:hAnsi="Verdana"/>
          <w:sz w:val="20"/>
          <w:szCs w:val="20"/>
          <w:lang w:val="es-ES"/>
        </w:rPr>
        <w:t xml:space="preserve">En lo atingente a la primera excepción preliminar planteada por el Estado, cabe indicar que ella fue formulada en sus escritos de 25 de marzo, </w:t>
      </w:r>
      <w:r w:rsidRPr="009B41EF">
        <w:rPr>
          <w:rFonts w:ascii="Verdana" w:hAnsi="Verdana"/>
          <w:sz w:val="20"/>
          <w:szCs w:val="20"/>
        </w:rPr>
        <w:t>17 de agosto y 27 de octubre de 2004</w:t>
      </w:r>
      <w:r w:rsidRPr="009B41EF">
        <w:rPr>
          <w:rFonts w:ascii="Verdana" w:eastAsia="Times New Roman" w:hAnsi="Verdana"/>
          <w:sz w:val="20"/>
          <w:szCs w:val="20"/>
          <w:lang w:val="es-ES"/>
        </w:rPr>
        <w:t>, vale decir, en el escrito de contestación o de observaciones</w:t>
      </w:r>
      <w:r w:rsidRPr="009B41EF">
        <w:rPr>
          <w:rStyle w:val="FootnoteReference"/>
          <w:rFonts w:eastAsia="Times New Roman"/>
          <w:szCs w:val="20"/>
          <w:lang w:val="es-ES"/>
        </w:rPr>
        <w:footnoteReference w:id="359"/>
      </w:r>
      <w:r w:rsidRPr="009B41EF">
        <w:rPr>
          <w:rFonts w:ascii="Verdana" w:eastAsia="Times New Roman" w:hAnsi="Verdana"/>
          <w:sz w:val="20"/>
          <w:szCs w:val="20"/>
          <w:lang w:val="es-ES"/>
        </w:rPr>
        <w:t xml:space="preserve"> a la petición inicial de fecha </w:t>
      </w:r>
      <w:r w:rsidRPr="009B41EF">
        <w:rPr>
          <w:rFonts w:ascii="Verdana" w:hAnsi="Verdana"/>
          <w:sz w:val="20"/>
          <w:szCs w:val="20"/>
        </w:rPr>
        <w:t>29 de octubre de 2003</w:t>
      </w:r>
      <w:r w:rsidRPr="009B41EF">
        <w:rPr>
          <w:rStyle w:val="FootnoteReference"/>
          <w:szCs w:val="20"/>
        </w:rPr>
        <w:footnoteReference w:id="360"/>
      </w:r>
      <w:r w:rsidRPr="009B41EF">
        <w:rPr>
          <w:rFonts w:ascii="Verdana" w:hAnsi="Verdana"/>
          <w:sz w:val="20"/>
          <w:szCs w:val="20"/>
        </w:rPr>
        <w:t xml:space="preserve">, </w:t>
      </w:r>
      <w:r w:rsidRPr="009B41EF">
        <w:rPr>
          <w:rFonts w:ascii="Verdana" w:eastAsia="Times New Roman" w:hAnsi="Verdana"/>
          <w:sz w:val="20"/>
          <w:szCs w:val="20"/>
          <w:lang w:val="es-ES"/>
        </w:rPr>
        <w:t xml:space="preserve">y en otros complementarios a aquél. </w:t>
      </w:r>
    </w:p>
    <w:p w14:paraId="75018D72" w14:textId="77777777" w:rsidR="00E66707" w:rsidRPr="009B41EF" w:rsidRDefault="00E66707" w:rsidP="00E66707">
      <w:pPr>
        <w:ind w:left="45"/>
        <w:jc w:val="both"/>
        <w:rPr>
          <w:rFonts w:ascii="Verdana" w:eastAsia="Times New Roman" w:hAnsi="Verdana"/>
          <w:sz w:val="20"/>
          <w:szCs w:val="20"/>
          <w:lang w:val="es-ES"/>
        </w:rPr>
      </w:pPr>
    </w:p>
    <w:p w14:paraId="579C4852" w14:textId="77777777" w:rsidR="00E66707" w:rsidRPr="009B41EF" w:rsidRDefault="00E66707" w:rsidP="00E66707">
      <w:pPr>
        <w:pStyle w:val="ListParagraph"/>
        <w:ind w:left="0"/>
        <w:jc w:val="both"/>
        <w:rPr>
          <w:rFonts w:ascii="Verdana" w:eastAsia="Times New Roman" w:hAnsi="Verdana"/>
          <w:sz w:val="20"/>
          <w:szCs w:val="20"/>
          <w:lang w:val="es-ES"/>
        </w:rPr>
      </w:pPr>
      <w:r w:rsidRPr="009B41EF">
        <w:rPr>
          <w:rFonts w:ascii="Verdana" w:eastAsia="Times New Roman" w:hAnsi="Verdana"/>
          <w:sz w:val="20"/>
          <w:szCs w:val="20"/>
          <w:lang w:val="es-ES"/>
        </w:rPr>
        <w:t>Por ende, considerando lo expuesto en otros votos individuales y que se reiteran en este</w:t>
      </w:r>
      <w:r w:rsidRPr="009B41EF">
        <w:rPr>
          <w:rStyle w:val="FootnoteReference"/>
          <w:rFonts w:eastAsia="Times New Roman"/>
          <w:szCs w:val="20"/>
          <w:lang w:val="es-ES"/>
        </w:rPr>
        <w:footnoteReference w:id="361"/>
      </w:r>
      <w:r w:rsidRPr="009B41EF">
        <w:rPr>
          <w:rFonts w:ascii="Verdana" w:eastAsia="Times New Roman" w:hAnsi="Verdana"/>
          <w:sz w:val="20"/>
          <w:szCs w:val="20"/>
          <w:lang w:val="es-ES"/>
        </w:rPr>
        <w:t>, se puede afirmar que, aunque la presentación de la referida excepción preliminar fue oportunamente planteada por el Estado, no constituyó en realidad una excepción preliminar a lo alegado y expuesto en la petición.</w:t>
      </w:r>
    </w:p>
    <w:p w14:paraId="218F6003" w14:textId="77777777" w:rsidR="00E66707" w:rsidRPr="009B41EF" w:rsidRDefault="00E66707" w:rsidP="00E66707">
      <w:pPr>
        <w:pStyle w:val="ListParagraph"/>
        <w:ind w:left="0"/>
        <w:jc w:val="both"/>
        <w:rPr>
          <w:rFonts w:ascii="Verdana" w:eastAsia="Times New Roman" w:hAnsi="Verdana"/>
          <w:sz w:val="20"/>
          <w:szCs w:val="20"/>
          <w:lang w:val="es-ES"/>
        </w:rPr>
      </w:pPr>
    </w:p>
    <w:p w14:paraId="14630DFD" w14:textId="77777777" w:rsidR="00E66707" w:rsidRPr="009B41EF" w:rsidRDefault="00E66707" w:rsidP="00E66707">
      <w:pPr>
        <w:pStyle w:val="ListParagraph"/>
        <w:ind w:left="0"/>
        <w:jc w:val="both"/>
        <w:rPr>
          <w:rFonts w:ascii="Verdana" w:eastAsia="Times New Roman" w:hAnsi="Verdana"/>
          <w:sz w:val="20"/>
          <w:szCs w:val="20"/>
          <w:lang w:val="es-ES"/>
        </w:rPr>
      </w:pPr>
      <w:r w:rsidRPr="009B41EF">
        <w:rPr>
          <w:rFonts w:ascii="Verdana" w:eastAsia="Times New Roman" w:hAnsi="Verdana"/>
          <w:sz w:val="20"/>
          <w:szCs w:val="20"/>
          <w:lang w:val="es-ES"/>
        </w:rPr>
        <w:lastRenderedPageBreak/>
        <w:t xml:space="preserve">Esto es, el </w:t>
      </w:r>
      <w:r w:rsidRPr="009B41EF">
        <w:rPr>
          <w:rFonts w:ascii="Verdana" w:eastAsia="Times New Roman" w:hAnsi="Verdana"/>
          <w:i/>
          <w:sz w:val="20"/>
          <w:szCs w:val="20"/>
          <w:lang w:val="es-ES"/>
        </w:rPr>
        <w:t>“</w:t>
      </w:r>
      <w:r w:rsidRPr="009B41EF">
        <w:rPr>
          <w:rFonts w:ascii="Verdana" w:eastAsia="Times New Roman" w:hAnsi="Verdana" w:cs="Arial"/>
          <w:i/>
          <w:spacing w:val="-2"/>
          <w:sz w:val="20"/>
          <w:szCs w:val="20"/>
          <w:lang w:val="es-CR" w:eastAsia="es-ES"/>
        </w:rPr>
        <w:t>recurso administrativo para la obtención del pago de la indemnización</w:t>
      </w:r>
      <w:r w:rsidRPr="009B41EF">
        <w:rPr>
          <w:rFonts w:ascii="Verdana" w:eastAsia="Times New Roman" w:hAnsi="Verdana" w:cs="Arial"/>
          <w:spacing w:val="-2"/>
          <w:sz w:val="20"/>
          <w:szCs w:val="20"/>
          <w:lang w:val="es-CR" w:eastAsia="es-ES"/>
        </w:rPr>
        <w:t>” alegado por Estado como recurso no previamente agotado, no solo no “</w:t>
      </w:r>
      <w:r w:rsidRPr="009B41EF">
        <w:rPr>
          <w:rFonts w:ascii="Verdana" w:eastAsia="Times New Roman" w:hAnsi="Verdana" w:cs="Arial"/>
          <w:i/>
          <w:spacing w:val="-2"/>
          <w:sz w:val="20"/>
          <w:szCs w:val="20"/>
          <w:lang w:val="es-CR" w:eastAsia="es-ES"/>
        </w:rPr>
        <w:t>resultaba un recurso idóneo respecto de la pretensión de la Comunidad de recuperar su territorio ocupado ni  se trataba de una indemnización que la comunidad pudiera reclamar a en su favor</w:t>
      </w:r>
      <w:r w:rsidRPr="009B41EF">
        <w:rPr>
          <w:rFonts w:ascii="Verdana" w:eastAsia="Times New Roman" w:hAnsi="Verdana" w:cs="Arial"/>
          <w:spacing w:val="-2"/>
          <w:sz w:val="20"/>
          <w:szCs w:val="20"/>
          <w:lang w:val="es-CR" w:eastAsia="es-ES"/>
        </w:rPr>
        <w:t>”</w:t>
      </w:r>
      <w:r w:rsidRPr="009B41EF">
        <w:rPr>
          <w:rStyle w:val="FootnoteReference"/>
          <w:rFonts w:eastAsia="Times New Roman" w:cs="Arial"/>
          <w:spacing w:val="-2"/>
          <w:szCs w:val="20"/>
          <w:lang w:val="es-CR" w:eastAsia="es-ES"/>
        </w:rPr>
        <w:footnoteReference w:id="362"/>
      </w:r>
      <w:r w:rsidRPr="009B41EF">
        <w:rPr>
          <w:rFonts w:ascii="Verdana" w:eastAsia="Times New Roman" w:hAnsi="Verdana" w:cs="Arial"/>
          <w:spacing w:val="-2"/>
          <w:sz w:val="20"/>
          <w:szCs w:val="20"/>
          <w:lang w:val="es-CR" w:eastAsia="es-ES"/>
        </w:rPr>
        <w:t xml:space="preserve">, sino que, adicionalmente, no respondía a lo sostenido en la petición. En efecto, en esta lo que se alegó, en lo que respecta al cumplimiento de la regla del previo agotamiento de los recursos internos, era que, en atención a la celebración del acuerdo con el Estado para solucionar el conflicto en cuestión concerniente a la titularidad del dominio de tierras, no era menester agotarlos para hacer cumplir lo pactado. </w:t>
      </w:r>
    </w:p>
    <w:p w14:paraId="371C4D8C" w14:textId="77777777" w:rsidR="00E66707" w:rsidRPr="009B41EF" w:rsidRDefault="00E66707" w:rsidP="00E66707">
      <w:pPr>
        <w:pStyle w:val="ListParagraph"/>
        <w:ind w:left="0"/>
        <w:jc w:val="both"/>
        <w:rPr>
          <w:rFonts w:ascii="Verdana" w:eastAsia="Times New Roman" w:hAnsi="Verdana" w:cs="Arial"/>
          <w:spacing w:val="-2"/>
          <w:sz w:val="20"/>
          <w:szCs w:val="20"/>
          <w:lang w:val="es-CR" w:eastAsia="es-ES"/>
        </w:rPr>
      </w:pPr>
    </w:p>
    <w:p w14:paraId="53D7B4E5" w14:textId="77777777" w:rsidR="00E66707" w:rsidRDefault="00E66707" w:rsidP="00E66707">
      <w:pPr>
        <w:pStyle w:val="ListParagraph"/>
        <w:ind w:left="0"/>
        <w:jc w:val="both"/>
        <w:rPr>
          <w:rFonts w:ascii="Verdana" w:eastAsia="Times New Roman" w:hAnsi="Verdana" w:cs="Arial"/>
          <w:spacing w:val="-2"/>
          <w:sz w:val="20"/>
          <w:szCs w:val="20"/>
          <w:lang w:val="es-CR" w:eastAsia="es-ES"/>
        </w:rPr>
      </w:pPr>
      <w:r w:rsidRPr="009B41EF">
        <w:rPr>
          <w:rFonts w:ascii="Verdana" w:eastAsia="Times New Roman" w:hAnsi="Verdana" w:cs="Arial"/>
          <w:spacing w:val="-2"/>
          <w:sz w:val="20"/>
          <w:szCs w:val="20"/>
          <w:lang w:val="es-CR" w:eastAsia="es-ES"/>
        </w:rPr>
        <w:t>Sobre ese particular, es de advertir que resulta evidente que se debe entender que con dicho acuerdo se cumplió con la regla del agotamiento previo de los recursos internos o, en todo caso, que, celebrado aquel, se eximió de cumplir esta. De otra manera, la conciliación no tendría por objeto el solucionar el conflicto y podría servir, entonces, como mero instrumento para prolongarlo. Es decir, en tal hipótesis, el tener que recurrir a otras instancias nacionales para hacer cumplir lo pactado por el Estado importaría trasladar el caso nuevamente a una fase contradictoria, a un nuevo juicio, esta vez de orden administrativo. Lo pactado por el Estado no tendría, entonces, en realidad el valor de un real y efectivo compromiso, al no otorgar certeza y seguridad jurídicas y no ser suficiente para el objeto perseguido.</w:t>
      </w:r>
    </w:p>
    <w:p w14:paraId="1543A882" w14:textId="77777777" w:rsidR="00E66707" w:rsidRPr="009B41EF" w:rsidRDefault="00E66707" w:rsidP="00E66707">
      <w:pPr>
        <w:pStyle w:val="ListParagraph"/>
        <w:ind w:left="0"/>
        <w:jc w:val="both"/>
        <w:rPr>
          <w:rFonts w:ascii="Verdana" w:eastAsia="Times New Roman" w:hAnsi="Verdana" w:cs="Arial"/>
          <w:spacing w:val="-2"/>
          <w:sz w:val="20"/>
          <w:szCs w:val="20"/>
          <w:lang w:val="es-CR" w:eastAsia="es-ES"/>
        </w:rPr>
      </w:pPr>
    </w:p>
    <w:p w14:paraId="5FA44B9B" w14:textId="77777777" w:rsidR="00E66707" w:rsidRDefault="00E66707" w:rsidP="00E66707">
      <w:pPr>
        <w:jc w:val="both"/>
        <w:rPr>
          <w:rFonts w:ascii="Verdana" w:eastAsia="Times New Roman" w:hAnsi="Verdana"/>
          <w:sz w:val="20"/>
          <w:szCs w:val="20"/>
        </w:rPr>
      </w:pPr>
      <w:r w:rsidRPr="009B41EF">
        <w:rPr>
          <w:rFonts w:ascii="Verdana" w:eastAsia="Times New Roman" w:hAnsi="Verdana"/>
          <w:sz w:val="20"/>
          <w:szCs w:val="20"/>
        </w:rPr>
        <w:t>En ese orden de ideas, la conciliación, al dar término a un conflicto y descartar por innecesaria, por tanto, la concurrencia a los tribunales e instancias jurisdicciones pertinentes,  viene a significar con ello que se dan por agotados los recursos que se pudieran haber interpuesto ante éstas.</w:t>
      </w:r>
    </w:p>
    <w:p w14:paraId="3CF564FB" w14:textId="77777777" w:rsidR="00E66707" w:rsidRPr="009B41EF" w:rsidRDefault="00E66707" w:rsidP="00E66707">
      <w:pPr>
        <w:jc w:val="both"/>
        <w:rPr>
          <w:rFonts w:ascii="Verdana" w:eastAsia="Times New Roman" w:hAnsi="Verdana"/>
          <w:sz w:val="20"/>
          <w:szCs w:val="20"/>
        </w:rPr>
      </w:pPr>
    </w:p>
    <w:p w14:paraId="2D2FCBB3" w14:textId="77777777" w:rsidR="00E66707" w:rsidRDefault="00E66707" w:rsidP="00E66707">
      <w:pPr>
        <w:jc w:val="both"/>
        <w:rPr>
          <w:rFonts w:ascii="Verdana" w:eastAsia="Times New Roman" w:hAnsi="Verdana"/>
          <w:sz w:val="20"/>
          <w:szCs w:val="20"/>
        </w:rPr>
      </w:pPr>
      <w:r w:rsidRPr="009B41EF">
        <w:rPr>
          <w:rFonts w:ascii="Verdana" w:eastAsia="Times New Roman" w:hAnsi="Verdana"/>
          <w:sz w:val="20"/>
          <w:szCs w:val="20"/>
        </w:rPr>
        <w:t xml:space="preserve">Y también resulta pertinente observar que el hacer cumplir lo pactado por el Estado es una obligación propia de este y no de la contraparte. Habiendo concurrido a un acuerdo, corresponde al propio Estado adoptar todas las medidas para cumplir con lo que se ha obligado. El principio de buena fe así lo impone. Al efecto, tendría aplicación análoga el principio del </w:t>
      </w:r>
      <w:r w:rsidRPr="009B41EF">
        <w:rPr>
          <w:rFonts w:ascii="Verdana" w:eastAsia="Times New Roman" w:hAnsi="Verdana"/>
          <w:i/>
          <w:sz w:val="20"/>
          <w:szCs w:val="20"/>
        </w:rPr>
        <w:t xml:space="preserve">Pacta </w:t>
      </w:r>
      <w:proofErr w:type="spellStart"/>
      <w:r w:rsidRPr="009B41EF">
        <w:rPr>
          <w:rFonts w:ascii="Verdana" w:eastAsia="Times New Roman" w:hAnsi="Verdana"/>
          <w:i/>
          <w:sz w:val="20"/>
          <w:szCs w:val="20"/>
        </w:rPr>
        <w:t>Sunt</w:t>
      </w:r>
      <w:proofErr w:type="spellEnd"/>
      <w:r w:rsidRPr="009B41EF">
        <w:rPr>
          <w:rFonts w:ascii="Verdana" w:eastAsia="Times New Roman" w:hAnsi="Verdana"/>
          <w:i/>
          <w:sz w:val="20"/>
          <w:szCs w:val="20"/>
        </w:rPr>
        <w:t xml:space="preserve"> </w:t>
      </w:r>
      <w:proofErr w:type="spellStart"/>
      <w:r w:rsidRPr="009B41EF">
        <w:rPr>
          <w:rFonts w:ascii="Verdana" w:eastAsia="Times New Roman" w:hAnsi="Verdana"/>
          <w:i/>
          <w:sz w:val="20"/>
          <w:szCs w:val="20"/>
        </w:rPr>
        <w:t>Servanda</w:t>
      </w:r>
      <w:proofErr w:type="spellEnd"/>
      <w:r w:rsidRPr="009B41EF">
        <w:rPr>
          <w:rFonts w:ascii="Verdana" w:eastAsia="Times New Roman" w:hAnsi="Verdana"/>
          <w:sz w:val="20"/>
          <w:szCs w:val="20"/>
        </w:rPr>
        <w:t xml:space="preserve">, lo pactado obliga y así como ningún Estado puede invocar su derecho interno para incumplir una obligación internacional, tampoco podría invocarlo para dejar de cumplir lo pactado en el ámbito interno y alegado en el internacional. </w:t>
      </w:r>
    </w:p>
    <w:p w14:paraId="1DA655B1" w14:textId="77777777" w:rsidR="00E66707" w:rsidRPr="009B41EF" w:rsidRDefault="00E66707" w:rsidP="00E66707">
      <w:pPr>
        <w:jc w:val="both"/>
        <w:rPr>
          <w:rFonts w:ascii="Verdana" w:eastAsia="Times New Roman" w:hAnsi="Verdana"/>
          <w:sz w:val="20"/>
          <w:szCs w:val="20"/>
        </w:rPr>
      </w:pPr>
    </w:p>
    <w:p w14:paraId="11321B9B" w14:textId="77777777" w:rsidR="00E66707" w:rsidRDefault="00E66707" w:rsidP="00E66707">
      <w:pPr>
        <w:jc w:val="both"/>
        <w:rPr>
          <w:rFonts w:ascii="Verdana" w:eastAsia="Times New Roman" w:hAnsi="Verdana"/>
          <w:sz w:val="20"/>
          <w:szCs w:val="20"/>
        </w:rPr>
      </w:pPr>
      <w:r w:rsidRPr="009B41EF">
        <w:rPr>
          <w:rFonts w:ascii="Verdana" w:eastAsia="Times New Roman" w:hAnsi="Verdana"/>
          <w:sz w:val="20"/>
          <w:szCs w:val="20"/>
        </w:rPr>
        <w:t>En tal sentido, entonces, no habría, en consecuencia y en la situación de autos, recurso interno que agotar, es decir, la regla del previo agotamiento de los recursos internos no sería aplicable al caso.</w:t>
      </w:r>
    </w:p>
    <w:p w14:paraId="4A59B48B" w14:textId="77777777" w:rsidR="00E66707" w:rsidRPr="009B41EF" w:rsidRDefault="00E66707" w:rsidP="00E66707">
      <w:pPr>
        <w:jc w:val="both"/>
        <w:rPr>
          <w:rFonts w:ascii="Verdana" w:eastAsia="Times New Roman" w:hAnsi="Verdana"/>
          <w:sz w:val="20"/>
          <w:szCs w:val="20"/>
        </w:rPr>
      </w:pPr>
    </w:p>
    <w:p w14:paraId="6E700AEA" w14:textId="77777777" w:rsidR="00E66707" w:rsidRPr="008D38B2" w:rsidRDefault="00E66707" w:rsidP="00E66707">
      <w:pPr>
        <w:numPr>
          <w:ilvl w:val="0"/>
          <w:numId w:val="25"/>
        </w:numPr>
        <w:jc w:val="both"/>
        <w:rPr>
          <w:rFonts w:ascii="Verdana" w:hAnsi="Verdana"/>
          <w:b/>
          <w:sz w:val="20"/>
          <w:szCs w:val="20"/>
          <w:lang w:val="es-ES"/>
        </w:rPr>
      </w:pPr>
      <w:r w:rsidRPr="009B41EF">
        <w:rPr>
          <w:rFonts w:ascii="Verdana" w:eastAsia="Times New Roman" w:hAnsi="Verdana"/>
          <w:b/>
          <w:sz w:val="20"/>
          <w:szCs w:val="20"/>
        </w:rPr>
        <w:t>Falta de agotamiento de recursos internos con motivo de la muerte de Félix Ordóñez Suazo.</w:t>
      </w:r>
    </w:p>
    <w:p w14:paraId="5B5FABB7" w14:textId="77777777" w:rsidR="00E66707" w:rsidRPr="009B41EF" w:rsidRDefault="00E66707" w:rsidP="00E66707">
      <w:pPr>
        <w:ind w:left="405"/>
        <w:jc w:val="both"/>
        <w:rPr>
          <w:rFonts w:ascii="Verdana" w:hAnsi="Verdana"/>
          <w:b/>
          <w:sz w:val="20"/>
          <w:szCs w:val="20"/>
          <w:lang w:val="es-ES"/>
        </w:rPr>
      </w:pPr>
    </w:p>
    <w:p w14:paraId="004B7D4D" w14:textId="77777777" w:rsidR="00E66707" w:rsidRPr="009B41EF" w:rsidRDefault="00E66707" w:rsidP="00E66707">
      <w:pPr>
        <w:ind w:left="45"/>
        <w:jc w:val="both"/>
        <w:rPr>
          <w:rFonts w:ascii="Verdana" w:eastAsia="Times New Roman" w:hAnsi="Verdana"/>
          <w:sz w:val="20"/>
          <w:szCs w:val="20"/>
        </w:rPr>
      </w:pPr>
      <w:r w:rsidRPr="009B41EF">
        <w:rPr>
          <w:rFonts w:ascii="Verdana" w:eastAsia="Times New Roman" w:hAnsi="Verdana"/>
          <w:sz w:val="20"/>
          <w:szCs w:val="20"/>
        </w:rPr>
        <w:t>En lo concerniente a la excepción interpuesta por el Estado con relación a la muerte de don Félix Ordóñez Suazo, es menester recordar que aquella constituyó un hecho sobreviniente en la causa</w:t>
      </w:r>
      <w:r w:rsidRPr="009B41EF">
        <w:rPr>
          <w:rStyle w:val="FootnoteReference"/>
          <w:rFonts w:eastAsia="Times New Roman"/>
          <w:szCs w:val="20"/>
        </w:rPr>
        <w:footnoteReference w:id="363"/>
      </w:r>
      <w:r w:rsidRPr="009B41EF">
        <w:rPr>
          <w:rFonts w:ascii="Verdana" w:eastAsia="Times New Roman" w:hAnsi="Verdana"/>
          <w:sz w:val="20"/>
          <w:szCs w:val="20"/>
        </w:rPr>
        <w:t>, por lo que, lo que procedía, una vez que aconteció, no era el interponer una excepción preliminar en la misma, como se hizo, sino, en todo caso, alegar que se interpusiera, si así se estimaba, una nueva petición ante la Comisión.</w:t>
      </w:r>
    </w:p>
    <w:p w14:paraId="6B12A313" w14:textId="77777777" w:rsidR="00E66707" w:rsidRDefault="00E66707" w:rsidP="00E66707">
      <w:pPr>
        <w:ind w:left="45"/>
        <w:jc w:val="both"/>
        <w:rPr>
          <w:rFonts w:ascii="Verdana" w:eastAsia="Times New Roman" w:hAnsi="Verdana"/>
          <w:sz w:val="20"/>
          <w:szCs w:val="20"/>
        </w:rPr>
      </w:pPr>
      <w:r w:rsidRPr="009B41EF">
        <w:rPr>
          <w:rFonts w:ascii="Verdana" w:eastAsia="Times New Roman" w:hAnsi="Verdana"/>
          <w:sz w:val="20"/>
          <w:szCs w:val="20"/>
        </w:rPr>
        <w:lastRenderedPageBreak/>
        <w:t>Efectivamente, como reiteradamente se ha indicado</w:t>
      </w:r>
      <w:r w:rsidRPr="009B41EF">
        <w:rPr>
          <w:rStyle w:val="FootnoteReference"/>
          <w:rFonts w:eastAsia="Times New Roman"/>
          <w:szCs w:val="20"/>
        </w:rPr>
        <w:footnoteReference w:id="364"/>
      </w:r>
      <w:r w:rsidRPr="009B41EF">
        <w:rPr>
          <w:rFonts w:ascii="Verdana" w:eastAsia="Times New Roman" w:hAnsi="Verdana"/>
          <w:sz w:val="20"/>
          <w:szCs w:val="20"/>
        </w:rPr>
        <w:t>, la regla del previo agotamiento de los recursos internos debe ser cumplida por el peticionario antes de interponer la petición ante la Comisión y ello, evidentemente, no pudo suceder en autos. Y tampoco se pudo alegar, por parte de la peticionara, el previo agotamiento de los recursos internos respecto de la citada excepción ni invocarse alguno de las causales para eximirse de esa obligación.</w:t>
      </w:r>
    </w:p>
    <w:p w14:paraId="45070145" w14:textId="77777777" w:rsidR="00E66707" w:rsidRPr="009B41EF" w:rsidRDefault="00E66707" w:rsidP="00E66707">
      <w:pPr>
        <w:ind w:left="45"/>
        <w:jc w:val="both"/>
        <w:rPr>
          <w:rFonts w:ascii="Verdana" w:eastAsia="Times New Roman" w:hAnsi="Verdana"/>
          <w:sz w:val="20"/>
          <w:szCs w:val="20"/>
        </w:rPr>
      </w:pPr>
    </w:p>
    <w:p w14:paraId="38C89566" w14:textId="77777777" w:rsidR="00E66707" w:rsidRDefault="00E66707" w:rsidP="00E66707">
      <w:pPr>
        <w:ind w:left="45"/>
        <w:jc w:val="both"/>
        <w:rPr>
          <w:rFonts w:ascii="Verdana" w:eastAsia="Times New Roman" w:hAnsi="Verdana"/>
          <w:sz w:val="20"/>
          <w:szCs w:val="20"/>
        </w:rPr>
      </w:pPr>
      <w:r w:rsidRPr="009B41EF">
        <w:rPr>
          <w:rFonts w:ascii="Verdana" w:eastAsia="Times New Roman" w:hAnsi="Verdana"/>
          <w:sz w:val="20"/>
          <w:szCs w:val="20"/>
        </w:rPr>
        <w:t>Por otra parte, al momento de producirse la muerte del Sr. Ordóñez, su vinculación con los hechos de la causa no estaba aún comprobada, de modo que mal se podía alegar, en ese momento, la falta de agotamiento previo de los recursos internos o una de las causales en que la misma no rige.</w:t>
      </w:r>
    </w:p>
    <w:p w14:paraId="02184206" w14:textId="77777777" w:rsidR="00E66707" w:rsidRPr="009B41EF" w:rsidRDefault="00E66707" w:rsidP="00E66707">
      <w:pPr>
        <w:ind w:left="45"/>
        <w:jc w:val="both"/>
        <w:rPr>
          <w:rFonts w:ascii="Verdana" w:eastAsia="Times New Roman" w:hAnsi="Verdana"/>
          <w:sz w:val="20"/>
          <w:szCs w:val="20"/>
        </w:rPr>
      </w:pPr>
    </w:p>
    <w:p w14:paraId="77A99D18" w14:textId="77777777" w:rsidR="00E66707" w:rsidRDefault="00E66707" w:rsidP="00E66707">
      <w:pPr>
        <w:ind w:left="45"/>
        <w:jc w:val="both"/>
        <w:rPr>
          <w:rFonts w:ascii="Verdana" w:hAnsi="Verdana"/>
          <w:sz w:val="20"/>
          <w:szCs w:val="20"/>
          <w:lang w:val="es-CO"/>
        </w:rPr>
      </w:pPr>
      <w:r w:rsidRPr="009B41EF">
        <w:rPr>
          <w:rFonts w:ascii="Verdana" w:eastAsia="Times New Roman" w:hAnsi="Verdana"/>
          <w:sz w:val="20"/>
          <w:szCs w:val="20"/>
        </w:rPr>
        <w:t>E igualmente, por lo tanto, no resulta adecuada la referencia que la Sentencia hace</w:t>
      </w:r>
      <w:r w:rsidRPr="009B41EF">
        <w:rPr>
          <w:rFonts w:ascii="Verdana" w:eastAsia="Times New Roman" w:hAnsi="Verdana" w:cs="Arial"/>
          <w:spacing w:val="-2"/>
          <w:sz w:val="20"/>
          <w:szCs w:val="20"/>
          <w:lang w:val="es-CR" w:eastAsia="es-ES"/>
        </w:rPr>
        <w:t xml:space="preserve"> al</w:t>
      </w:r>
      <w:r w:rsidRPr="009B41EF">
        <w:rPr>
          <w:rFonts w:ascii="Verdana" w:hAnsi="Verdana"/>
          <w:sz w:val="20"/>
          <w:szCs w:val="20"/>
          <w:lang w:val="es-CO"/>
        </w:rPr>
        <w:t xml:space="preserve"> artículo 46.2.c) de la Convención, con fundamento en </w:t>
      </w:r>
      <w:r w:rsidRPr="009B41EF">
        <w:rPr>
          <w:rFonts w:ascii="Verdana" w:hAnsi="Verdana" w:cs="Tahoma"/>
          <w:color w:val="000000"/>
          <w:sz w:val="20"/>
          <w:szCs w:val="20"/>
          <w:lang w:val="es-CR" w:eastAsia="es-CR"/>
        </w:rPr>
        <w:t>el retardo injustificado de las investigaciones penales</w:t>
      </w:r>
      <w:r w:rsidRPr="009B41EF">
        <w:rPr>
          <w:rFonts w:ascii="Verdana" w:hAnsi="Verdana"/>
          <w:sz w:val="20"/>
          <w:szCs w:val="20"/>
          <w:lang w:val="es-CO"/>
        </w:rPr>
        <w:t>, para desestimar la aludida excepción</w:t>
      </w:r>
      <w:r w:rsidRPr="009B41EF">
        <w:rPr>
          <w:rFonts w:ascii="Verdana" w:hAnsi="Verdana" w:cs="Tahoma"/>
          <w:color w:val="000000"/>
          <w:sz w:val="20"/>
          <w:szCs w:val="20"/>
          <w:lang w:val="es-CR" w:eastAsia="es-CR"/>
        </w:rPr>
        <w:t xml:space="preserve"> preliminar interpuesta por el Estado</w:t>
      </w:r>
      <w:r w:rsidRPr="009B41EF">
        <w:rPr>
          <w:rFonts w:ascii="Verdana" w:hAnsi="Verdana"/>
          <w:sz w:val="20"/>
          <w:szCs w:val="20"/>
          <w:lang w:val="es-CO"/>
        </w:rPr>
        <w:t xml:space="preserve">. </w:t>
      </w:r>
    </w:p>
    <w:p w14:paraId="40FC9569" w14:textId="77777777" w:rsidR="00E66707" w:rsidRPr="009B41EF" w:rsidRDefault="00E66707" w:rsidP="00E66707">
      <w:pPr>
        <w:ind w:left="45"/>
        <w:jc w:val="both"/>
        <w:rPr>
          <w:rFonts w:ascii="Verdana" w:eastAsia="Times New Roman" w:hAnsi="Verdana"/>
          <w:sz w:val="20"/>
          <w:szCs w:val="20"/>
        </w:rPr>
      </w:pPr>
    </w:p>
    <w:p w14:paraId="34FCB8EF" w14:textId="77777777" w:rsidR="00E66707" w:rsidRPr="009B41EF" w:rsidRDefault="00E66707" w:rsidP="00E66707">
      <w:pPr>
        <w:pStyle w:val="ListParagraph"/>
        <w:ind w:left="0"/>
        <w:jc w:val="both"/>
        <w:rPr>
          <w:rFonts w:ascii="Verdana" w:hAnsi="Verdana"/>
          <w:sz w:val="20"/>
          <w:szCs w:val="20"/>
          <w:lang w:val="es-CO"/>
        </w:rPr>
      </w:pPr>
      <w:r w:rsidRPr="009B41EF">
        <w:rPr>
          <w:rFonts w:ascii="Verdana" w:hAnsi="Verdana"/>
          <w:sz w:val="20"/>
          <w:szCs w:val="20"/>
          <w:lang w:val="es-CO"/>
        </w:rPr>
        <w:t>Lo procedente en el caso era, entonces, desestimar tal excepción también por  improcedente y no únicamente por no cumplir con prescrito en el citado artículo 46.2.c).</w:t>
      </w:r>
    </w:p>
    <w:p w14:paraId="5E4F6FDB" w14:textId="77777777" w:rsidR="00E66707" w:rsidRPr="009B41EF" w:rsidRDefault="00E66707" w:rsidP="00E66707">
      <w:pPr>
        <w:pStyle w:val="ListParagraph"/>
        <w:ind w:left="0"/>
        <w:jc w:val="both"/>
        <w:rPr>
          <w:rFonts w:ascii="Verdana" w:hAnsi="Verdana"/>
          <w:sz w:val="20"/>
          <w:szCs w:val="20"/>
          <w:lang w:val="es-CO"/>
        </w:rPr>
      </w:pPr>
    </w:p>
    <w:p w14:paraId="288305E4" w14:textId="77777777" w:rsidR="00E66707" w:rsidRPr="009B41EF" w:rsidRDefault="00E66707" w:rsidP="00E66707">
      <w:pPr>
        <w:pStyle w:val="ListParagraph"/>
        <w:numPr>
          <w:ilvl w:val="0"/>
          <w:numId w:val="25"/>
        </w:numPr>
        <w:jc w:val="both"/>
        <w:rPr>
          <w:rFonts w:ascii="Verdana" w:hAnsi="Verdana"/>
          <w:b/>
          <w:sz w:val="20"/>
          <w:szCs w:val="20"/>
          <w:lang w:val="es-CO"/>
        </w:rPr>
      </w:pPr>
      <w:r w:rsidRPr="009B41EF">
        <w:rPr>
          <w:rFonts w:ascii="Verdana" w:eastAsia="Times New Roman" w:hAnsi="Verdana"/>
          <w:b/>
          <w:sz w:val="20"/>
          <w:szCs w:val="20"/>
          <w:lang w:val="es-CO"/>
        </w:rPr>
        <w:t>T</w:t>
      </w:r>
      <w:proofErr w:type="spellStart"/>
      <w:r w:rsidRPr="009B41EF">
        <w:rPr>
          <w:rFonts w:ascii="Verdana" w:eastAsia="Times New Roman" w:hAnsi="Verdana"/>
          <w:b/>
          <w:sz w:val="20"/>
          <w:szCs w:val="20"/>
        </w:rPr>
        <w:t>erminología</w:t>
      </w:r>
      <w:proofErr w:type="spellEnd"/>
      <w:r w:rsidRPr="009B41EF">
        <w:rPr>
          <w:rFonts w:ascii="Verdana" w:eastAsia="Times New Roman" w:hAnsi="Verdana"/>
          <w:b/>
          <w:sz w:val="20"/>
          <w:szCs w:val="20"/>
        </w:rPr>
        <w:t xml:space="preserve"> empleada, en cuanto a la responsabilidad del Estado, en los resolutivos 4 a 8 de la Sentencia.</w:t>
      </w:r>
    </w:p>
    <w:p w14:paraId="4585D3CB" w14:textId="77777777" w:rsidR="00E66707" w:rsidRPr="009B41EF" w:rsidRDefault="00E66707" w:rsidP="00E66707">
      <w:pPr>
        <w:pStyle w:val="ListParagraph"/>
        <w:ind w:left="0"/>
        <w:jc w:val="both"/>
        <w:rPr>
          <w:rFonts w:ascii="Verdana" w:eastAsia="Times New Roman" w:hAnsi="Verdana"/>
          <w:b/>
          <w:sz w:val="20"/>
          <w:szCs w:val="20"/>
          <w:lang w:val="es-CO"/>
        </w:rPr>
      </w:pPr>
    </w:p>
    <w:p w14:paraId="3A1AF607" w14:textId="77777777" w:rsidR="00E66707" w:rsidRPr="009B41EF" w:rsidRDefault="00E66707" w:rsidP="00E66707">
      <w:pPr>
        <w:pStyle w:val="ListParagraph"/>
        <w:ind w:left="0"/>
        <w:jc w:val="both"/>
        <w:rPr>
          <w:rFonts w:ascii="Verdana" w:hAnsi="Verdana"/>
          <w:sz w:val="20"/>
          <w:szCs w:val="20"/>
          <w:lang w:val="es-CR" w:eastAsia="es-CR"/>
        </w:rPr>
      </w:pPr>
      <w:r w:rsidRPr="009B41EF">
        <w:rPr>
          <w:rFonts w:ascii="Verdana" w:eastAsia="Times New Roman" w:hAnsi="Verdana"/>
          <w:sz w:val="20"/>
          <w:szCs w:val="20"/>
          <w:lang w:val="es-CO"/>
        </w:rPr>
        <w:t>En los resolutivos 4 a 6 de la Sentencia se señala que “(</w:t>
      </w:r>
      <w:r w:rsidRPr="009B41EF">
        <w:rPr>
          <w:rFonts w:ascii="Verdana" w:eastAsia="Times New Roman" w:hAnsi="Verdana"/>
          <w:i/>
          <w:sz w:val="20"/>
          <w:szCs w:val="20"/>
          <w:lang w:val="es-CO"/>
        </w:rPr>
        <w:t>e</w:t>
      </w:r>
      <w:proofErr w:type="gramStart"/>
      <w:r w:rsidRPr="009B41EF">
        <w:rPr>
          <w:rFonts w:ascii="Verdana" w:eastAsia="Times New Roman" w:hAnsi="Verdana"/>
          <w:i/>
          <w:sz w:val="20"/>
          <w:szCs w:val="20"/>
          <w:lang w:val="es-CO"/>
        </w:rPr>
        <w:t>)l</w:t>
      </w:r>
      <w:proofErr w:type="gramEnd"/>
      <w:r w:rsidRPr="009B41EF">
        <w:rPr>
          <w:rFonts w:ascii="Verdana" w:eastAsia="Times New Roman" w:hAnsi="Verdana"/>
          <w:i/>
          <w:sz w:val="20"/>
          <w:szCs w:val="20"/>
          <w:lang w:val="es-CO"/>
        </w:rPr>
        <w:t xml:space="preserve"> Estado </w:t>
      </w:r>
      <w:r w:rsidRPr="009B41EF">
        <w:rPr>
          <w:rFonts w:ascii="Verdana" w:hAnsi="Verdana"/>
          <w:i/>
          <w:sz w:val="20"/>
          <w:szCs w:val="20"/>
        </w:rPr>
        <w:t xml:space="preserve">es responsable </w:t>
      </w:r>
      <w:r w:rsidRPr="009B41EF">
        <w:rPr>
          <w:rFonts w:ascii="Verdana" w:hAnsi="Verdana"/>
          <w:i/>
          <w:sz w:val="20"/>
          <w:szCs w:val="20"/>
          <w:lang w:val="es-CR" w:eastAsia="es-CR"/>
        </w:rPr>
        <w:t>por la violación de los derechos</w:t>
      </w:r>
      <w:r w:rsidRPr="009B41EF">
        <w:rPr>
          <w:rFonts w:ascii="Verdana" w:hAnsi="Verdana"/>
          <w:sz w:val="20"/>
          <w:szCs w:val="20"/>
          <w:lang w:val="es-CR" w:eastAsia="es-CR"/>
        </w:rPr>
        <w:t>” que indican y en los resolutivos 7 y 8 se expresa que “(e</w:t>
      </w:r>
      <w:r w:rsidRPr="009B41EF">
        <w:rPr>
          <w:rFonts w:ascii="Verdana" w:hAnsi="Verdana"/>
          <w:i/>
          <w:sz w:val="20"/>
          <w:szCs w:val="20"/>
          <w:lang w:val="es-CR" w:eastAsia="es-CR"/>
        </w:rPr>
        <w:t>)l Estado no es responsable</w:t>
      </w:r>
      <w:r w:rsidRPr="009B41EF">
        <w:rPr>
          <w:rFonts w:ascii="Verdana" w:hAnsi="Verdana"/>
          <w:sz w:val="20"/>
          <w:szCs w:val="20"/>
          <w:lang w:val="es-CR" w:eastAsia="es-CR"/>
        </w:rPr>
        <w:t>” del deber y de la obligación que, respectivamente, mencionan.</w:t>
      </w:r>
    </w:p>
    <w:p w14:paraId="375D37DF" w14:textId="77777777" w:rsidR="00E66707" w:rsidRPr="009B41EF" w:rsidRDefault="00E66707" w:rsidP="00E66707">
      <w:pPr>
        <w:pStyle w:val="ListParagraph"/>
        <w:ind w:left="0"/>
        <w:jc w:val="both"/>
        <w:rPr>
          <w:rFonts w:ascii="Verdana" w:hAnsi="Verdana"/>
          <w:sz w:val="20"/>
          <w:szCs w:val="20"/>
          <w:lang w:val="es-CR" w:eastAsia="es-CR"/>
        </w:rPr>
      </w:pPr>
    </w:p>
    <w:p w14:paraId="0E352AE0" w14:textId="77777777" w:rsidR="00E66707" w:rsidRPr="009B41EF" w:rsidRDefault="00E66707" w:rsidP="00E66707">
      <w:pPr>
        <w:pStyle w:val="ListParagraph"/>
        <w:ind w:left="0"/>
        <w:jc w:val="both"/>
        <w:rPr>
          <w:rFonts w:ascii="Verdana" w:hAnsi="Verdana"/>
          <w:sz w:val="20"/>
          <w:szCs w:val="20"/>
          <w:lang w:val="es-CR" w:eastAsia="es-CR"/>
        </w:rPr>
      </w:pPr>
      <w:r w:rsidRPr="009B41EF">
        <w:rPr>
          <w:rFonts w:ascii="Verdana" w:hAnsi="Verdana"/>
          <w:sz w:val="20"/>
          <w:szCs w:val="20"/>
          <w:lang w:val="es-CR" w:eastAsia="es-CR"/>
        </w:rPr>
        <w:t>De esta forma, en la Sentencia se omite la referencia al término “</w:t>
      </w:r>
      <w:r w:rsidRPr="009B41EF">
        <w:rPr>
          <w:rFonts w:ascii="Verdana" w:hAnsi="Verdana"/>
          <w:i/>
          <w:sz w:val="20"/>
          <w:szCs w:val="20"/>
          <w:lang w:val="es-CR" w:eastAsia="es-CR"/>
        </w:rPr>
        <w:t>internacionalmente</w:t>
      </w:r>
      <w:r w:rsidRPr="009B41EF">
        <w:rPr>
          <w:rFonts w:ascii="Verdana" w:hAnsi="Verdana"/>
          <w:sz w:val="20"/>
          <w:szCs w:val="20"/>
          <w:lang w:val="es-CR" w:eastAsia="es-CR"/>
        </w:rPr>
        <w:t xml:space="preserve">” que se ha empleado en otros fallos luego de la palabra </w:t>
      </w:r>
      <w:r w:rsidRPr="009B41EF">
        <w:rPr>
          <w:rFonts w:ascii="Verdana" w:hAnsi="Verdana"/>
          <w:i/>
          <w:sz w:val="20"/>
          <w:szCs w:val="20"/>
          <w:lang w:val="es-CR" w:eastAsia="es-CR"/>
        </w:rPr>
        <w:t>“responsable</w:t>
      </w:r>
      <w:r w:rsidRPr="009B41EF">
        <w:rPr>
          <w:rFonts w:ascii="Verdana" w:hAnsi="Verdana"/>
          <w:sz w:val="20"/>
          <w:szCs w:val="20"/>
          <w:lang w:val="es-CR" w:eastAsia="es-CR"/>
        </w:rPr>
        <w:t>”.</w:t>
      </w:r>
    </w:p>
    <w:p w14:paraId="28BA8415" w14:textId="77777777" w:rsidR="00E66707" w:rsidRPr="009B41EF" w:rsidRDefault="00E66707" w:rsidP="00E66707">
      <w:pPr>
        <w:pStyle w:val="ListParagraph"/>
        <w:ind w:left="0"/>
        <w:jc w:val="both"/>
        <w:rPr>
          <w:rFonts w:ascii="Verdana" w:hAnsi="Verdana"/>
          <w:sz w:val="20"/>
          <w:szCs w:val="20"/>
          <w:lang w:val="es-CR" w:eastAsia="es-CR"/>
        </w:rPr>
      </w:pPr>
    </w:p>
    <w:p w14:paraId="1669CFA8" w14:textId="77777777" w:rsidR="00E66707" w:rsidRPr="009B41EF" w:rsidRDefault="00E66707" w:rsidP="00E66707">
      <w:pPr>
        <w:pStyle w:val="ListParagraph"/>
        <w:ind w:left="0"/>
        <w:jc w:val="both"/>
        <w:rPr>
          <w:rFonts w:ascii="Verdana" w:hAnsi="Verdana"/>
          <w:sz w:val="20"/>
          <w:szCs w:val="20"/>
          <w:lang w:val="es-CR" w:eastAsia="es-CR"/>
        </w:rPr>
      </w:pPr>
      <w:r w:rsidRPr="009B41EF">
        <w:rPr>
          <w:rFonts w:ascii="Verdana" w:hAnsi="Verdana"/>
          <w:sz w:val="20"/>
          <w:szCs w:val="20"/>
          <w:lang w:val="es-CR" w:eastAsia="es-CR"/>
        </w:rPr>
        <w:t>El suscrito ha aceptado lo anterior entendiendo que la responsabilidad que puede constatar en una Sentencia de la Corte Interamericana de Derechos Humanos</w:t>
      </w:r>
      <w:r w:rsidRPr="009B41EF">
        <w:rPr>
          <w:rStyle w:val="FootnoteReference"/>
          <w:szCs w:val="20"/>
          <w:lang w:val="es-CR" w:eastAsia="es-CR"/>
        </w:rPr>
        <w:footnoteReference w:id="365"/>
      </w:r>
      <w:r w:rsidRPr="009B41EF">
        <w:rPr>
          <w:rFonts w:ascii="Verdana" w:hAnsi="Verdana"/>
          <w:sz w:val="20"/>
          <w:szCs w:val="20"/>
          <w:lang w:val="es-CR" w:eastAsia="es-CR"/>
        </w:rPr>
        <w:t xml:space="preserve"> es siempre y solo internacional.</w:t>
      </w:r>
    </w:p>
    <w:p w14:paraId="74501215" w14:textId="77777777" w:rsidR="00E66707" w:rsidRPr="009B41EF" w:rsidRDefault="00E66707" w:rsidP="00E66707">
      <w:pPr>
        <w:pStyle w:val="ListParagraph"/>
        <w:ind w:left="0"/>
        <w:jc w:val="both"/>
        <w:rPr>
          <w:rFonts w:ascii="Verdana" w:hAnsi="Verdana"/>
          <w:sz w:val="20"/>
          <w:szCs w:val="20"/>
          <w:lang w:val="es-CR" w:eastAsia="es-CR"/>
        </w:rPr>
      </w:pPr>
    </w:p>
    <w:p w14:paraId="3ED2965B" w14:textId="77777777" w:rsidR="00E66707" w:rsidRPr="009B41EF" w:rsidRDefault="00E66707" w:rsidP="00E66707">
      <w:pPr>
        <w:pStyle w:val="ListParagraph"/>
        <w:ind w:left="0"/>
        <w:jc w:val="both"/>
        <w:rPr>
          <w:rFonts w:ascii="Verdana" w:eastAsia="Times New Roman" w:hAnsi="Verdana"/>
          <w:i/>
          <w:color w:val="000000"/>
          <w:sz w:val="20"/>
          <w:szCs w:val="20"/>
          <w:lang w:eastAsia="es-CL"/>
        </w:rPr>
      </w:pPr>
      <w:r w:rsidRPr="009B41EF">
        <w:rPr>
          <w:rFonts w:ascii="Verdana" w:hAnsi="Verdana"/>
          <w:sz w:val="20"/>
          <w:szCs w:val="20"/>
          <w:lang w:val="es-CR" w:eastAsia="es-CR"/>
        </w:rPr>
        <w:t>En efecto, de conformidad a lo dispuesto en el artículo 62.3 de la Convención Americana sobre Derechos Humanos</w:t>
      </w:r>
      <w:r w:rsidRPr="009B41EF">
        <w:rPr>
          <w:rStyle w:val="FootnoteReference"/>
          <w:szCs w:val="20"/>
          <w:lang w:val="es-CR" w:eastAsia="es-CR"/>
        </w:rPr>
        <w:footnoteReference w:id="366"/>
      </w:r>
      <w:r w:rsidRPr="009B41EF">
        <w:rPr>
          <w:rFonts w:ascii="Verdana" w:hAnsi="Verdana"/>
          <w:sz w:val="20"/>
          <w:szCs w:val="20"/>
          <w:lang w:val="es-CR" w:eastAsia="es-CR"/>
        </w:rPr>
        <w:t xml:space="preserve">, </w:t>
      </w:r>
      <w:r w:rsidRPr="009B41EF">
        <w:rPr>
          <w:rFonts w:ascii="Verdana" w:hAnsi="Verdana"/>
          <w:i/>
          <w:sz w:val="20"/>
          <w:szCs w:val="20"/>
          <w:lang w:val="es-CR" w:eastAsia="es-CR"/>
        </w:rPr>
        <w:t>“</w:t>
      </w:r>
      <w:r w:rsidRPr="009B41EF">
        <w:rPr>
          <w:rFonts w:ascii="Verdana" w:hAnsi="Verdana" w:cs="Tahoma"/>
          <w:i/>
          <w:sz w:val="20"/>
          <w:szCs w:val="20"/>
        </w:rPr>
        <w:t>(l</w:t>
      </w:r>
      <w:proofErr w:type="gramStart"/>
      <w:r w:rsidRPr="009B41EF">
        <w:rPr>
          <w:rFonts w:ascii="Verdana" w:hAnsi="Verdana" w:cs="Tahoma"/>
          <w:i/>
          <w:sz w:val="20"/>
          <w:szCs w:val="20"/>
        </w:rPr>
        <w:t>)a</w:t>
      </w:r>
      <w:proofErr w:type="gramEnd"/>
      <w:r w:rsidRPr="009B41EF">
        <w:rPr>
          <w:rFonts w:ascii="Verdana" w:hAnsi="Verdana" w:cs="Tahoma"/>
          <w:i/>
          <w:sz w:val="20"/>
          <w:szCs w:val="20"/>
        </w:rPr>
        <w:t xml:space="preserve"> Corte tiene competencia para conocer de cualquier caso relativo a la interpretación y aplicación de las disposiciones de esta Convención que le sea sometido</w:t>
      </w:r>
      <w:r w:rsidRPr="009B41EF">
        <w:rPr>
          <w:rFonts w:ascii="Verdana" w:hAnsi="Verdana" w:cs="Tahoma"/>
          <w:sz w:val="20"/>
          <w:szCs w:val="20"/>
        </w:rPr>
        <w:t xml:space="preserve">”. La competencia de la Corte </w:t>
      </w:r>
      <w:r w:rsidRPr="009B41EF">
        <w:rPr>
          <w:rFonts w:ascii="Verdana" w:hAnsi="Verdana"/>
          <w:sz w:val="20"/>
          <w:szCs w:val="20"/>
          <w:lang w:val="es-CL"/>
        </w:rPr>
        <w:t>consiste, por tanto, en interpretar y aplicar un tratado, por lo que, al efecto, tiene plena aplicación lo previsto en el artículo 27 de la Convención de Viena sobre el Derecho de los Tratados, a saber que “</w:t>
      </w:r>
      <w:r w:rsidRPr="009B41EF">
        <w:rPr>
          <w:rFonts w:ascii="Verdana" w:eastAsia="Times New Roman" w:hAnsi="Verdana"/>
          <w:i/>
          <w:sz w:val="20"/>
          <w:szCs w:val="20"/>
          <w:lang w:eastAsia="es-CL"/>
        </w:rPr>
        <w:t>(u</w:t>
      </w:r>
      <w:proofErr w:type="gramStart"/>
      <w:r w:rsidRPr="009B41EF">
        <w:rPr>
          <w:rFonts w:ascii="Verdana" w:eastAsia="Times New Roman" w:hAnsi="Verdana"/>
          <w:i/>
          <w:sz w:val="20"/>
          <w:szCs w:val="20"/>
          <w:lang w:eastAsia="es-CL"/>
        </w:rPr>
        <w:t>)na</w:t>
      </w:r>
      <w:proofErr w:type="gramEnd"/>
      <w:r w:rsidRPr="009B41EF">
        <w:rPr>
          <w:rFonts w:ascii="Verdana" w:eastAsia="Times New Roman" w:hAnsi="Verdana"/>
          <w:i/>
          <w:sz w:val="20"/>
          <w:szCs w:val="20"/>
          <w:lang w:eastAsia="es-CL"/>
        </w:rPr>
        <w:t xml:space="preserve"> parte no podrá invocar las disposiciones de su derecho interno como justificación del incumplimiento de un tratado”.</w:t>
      </w:r>
    </w:p>
    <w:p w14:paraId="2FDEFC19" w14:textId="77777777" w:rsidR="00E66707" w:rsidRPr="009B41EF" w:rsidRDefault="00E66707" w:rsidP="00E66707">
      <w:pPr>
        <w:pStyle w:val="ListParagraph"/>
        <w:ind w:left="0"/>
        <w:jc w:val="both"/>
        <w:rPr>
          <w:rFonts w:ascii="Verdana" w:hAnsi="Verdana" w:cs="Tahoma"/>
          <w:sz w:val="20"/>
          <w:szCs w:val="20"/>
        </w:rPr>
      </w:pPr>
    </w:p>
    <w:p w14:paraId="187A1929" w14:textId="77777777" w:rsidR="00E66707" w:rsidRDefault="00E66707" w:rsidP="00E66707">
      <w:pPr>
        <w:pStyle w:val="ListParagraph"/>
        <w:ind w:left="0"/>
        <w:jc w:val="both"/>
        <w:rPr>
          <w:rFonts w:ascii="Verdana" w:hAnsi="Verdana" w:cs="Tahoma"/>
          <w:sz w:val="20"/>
          <w:szCs w:val="20"/>
        </w:rPr>
      </w:pPr>
      <w:r w:rsidRPr="009B41EF">
        <w:rPr>
          <w:rFonts w:ascii="Verdana" w:hAnsi="Verdana" w:cs="Tahoma"/>
          <w:sz w:val="20"/>
          <w:szCs w:val="20"/>
        </w:rPr>
        <w:t xml:space="preserve">Por otra parte, el artículo 63.1 de la Convención dispone que </w:t>
      </w:r>
      <w:r w:rsidRPr="009B41EF">
        <w:rPr>
          <w:rFonts w:ascii="Verdana" w:hAnsi="Verdana" w:cs="Tahoma"/>
          <w:i/>
          <w:sz w:val="20"/>
          <w:szCs w:val="20"/>
        </w:rPr>
        <w:t>“(c</w:t>
      </w:r>
      <w:proofErr w:type="gramStart"/>
      <w:r w:rsidRPr="009B41EF">
        <w:rPr>
          <w:rFonts w:ascii="Verdana" w:hAnsi="Verdana" w:cs="Tahoma"/>
          <w:i/>
          <w:sz w:val="20"/>
          <w:szCs w:val="20"/>
        </w:rPr>
        <w:t>)</w:t>
      </w:r>
      <w:proofErr w:type="spellStart"/>
      <w:r w:rsidRPr="009B41EF">
        <w:rPr>
          <w:rFonts w:ascii="Verdana" w:hAnsi="Verdana" w:cs="Tahoma"/>
          <w:i/>
          <w:sz w:val="20"/>
          <w:szCs w:val="20"/>
        </w:rPr>
        <w:t>uando</w:t>
      </w:r>
      <w:proofErr w:type="spellEnd"/>
      <w:proofErr w:type="gramEnd"/>
      <w:r w:rsidRPr="009B41EF">
        <w:rPr>
          <w:rFonts w:ascii="Verdana" w:hAnsi="Verdana" w:cs="Tahoma"/>
          <w:i/>
          <w:sz w:val="20"/>
          <w:szCs w:val="20"/>
        </w:rPr>
        <w:t xml:space="preserve"> decida que hubo violación de un derecho o libertad protegidos en esta Convención, la Corte </w:t>
      </w:r>
      <w:r w:rsidRPr="009B41EF">
        <w:rPr>
          <w:rFonts w:ascii="Verdana" w:hAnsi="Verdana" w:cs="Tahoma"/>
          <w:i/>
          <w:sz w:val="20"/>
          <w:szCs w:val="20"/>
        </w:rPr>
        <w:lastRenderedPageBreak/>
        <w:t>dispondrá que se garantice al lesionado en el goce de su derecho o libertad conculcados</w:t>
      </w:r>
      <w:r w:rsidRPr="009B41EF">
        <w:rPr>
          <w:rFonts w:ascii="Verdana" w:hAnsi="Verdana" w:cs="Tahoma"/>
          <w:sz w:val="20"/>
          <w:szCs w:val="20"/>
        </w:rPr>
        <w:t>”.</w:t>
      </w:r>
    </w:p>
    <w:p w14:paraId="1F23F7B6" w14:textId="77777777" w:rsidR="00E66707" w:rsidRPr="009B41EF" w:rsidRDefault="00E66707" w:rsidP="00E66707">
      <w:pPr>
        <w:pStyle w:val="ListParagraph"/>
        <w:ind w:left="0"/>
        <w:jc w:val="both"/>
        <w:rPr>
          <w:rFonts w:ascii="Verdana" w:hAnsi="Verdana" w:cs="Tahoma"/>
          <w:sz w:val="20"/>
          <w:szCs w:val="20"/>
        </w:rPr>
      </w:pPr>
    </w:p>
    <w:p w14:paraId="41E2D556" w14:textId="77777777" w:rsidR="00E66707" w:rsidRPr="00E66707" w:rsidRDefault="00E66707" w:rsidP="00E66707">
      <w:pPr>
        <w:pStyle w:val="NormalWeb"/>
        <w:spacing w:before="0" w:beforeAutospacing="0" w:after="0" w:afterAutospacing="0"/>
        <w:ind w:left="75" w:right="75"/>
        <w:jc w:val="both"/>
        <w:rPr>
          <w:rFonts w:ascii="Verdana" w:hAnsi="Verdana" w:cs="Tahoma"/>
          <w:sz w:val="20"/>
          <w:szCs w:val="20"/>
          <w:lang w:val="es-ES"/>
        </w:rPr>
      </w:pPr>
      <w:r w:rsidRPr="00E66707">
        <w:rPr>
          <w:rFonts w:ascii="Verdana" w:hAnsi="Verdana" w:cs="Tahoma"/>
          <w:sz w:val="20"/>
          <w:szCs w:val="20"/>
          <w:lang w:val="es-ES"/>
        </w:rPr>
        <w:t xml:space="preserve">A su turno, el artículo 68.1 del mismo texto normativo establece que </w:t>
      </w:r>
      <w:r w:rsidRPr="00E66707">
        <w:rPr>
          <w:rFonts w:ascii="Verdana" w:hAnsi="Verdana" w:cs="Tahoma"/>
          <w:i/>
          <w:sz w:val="20"/>
          <w:szCs w:val="20"/>
          <w:lang w:val="es-ES"/>
        </w:rPr>
        <w:t>“(l</w:t>
      </w:r>
      <w:proofErr w:type="gramStart"/>
      <w:r w:rsidRPr="00E66707">
        <w:rPr>
          <w:rFonts w:ascii="Verdana" w:hAnsi="Verdana" w:cs="Tahoma"/>
          <w:i/>
          <w:sz w:val="20"/>
          <w:szCs w:val="20"/>
          <w:lang w:val="es-ES"/>
        </w:rPr>
        <w:t>)os</w:t>
      </w:r>
      <w:proofErr w:type="gramEnd"/>
      <w:r w:rsidRPr="00E66707">
        <w:rPr>
          <w:rFonts w:ascii="Verdana" w:hAnsi="Verdana" w:cs="Tahoma"/>
          <w:i/>
          <w:sz w:val="20"/>
          <w:szCs w:val="20"/>
          <w:lang w:val="es-ES"/>
        </w:rPr>
        <w:t xml:space="preserve"> Estados Partes en la Convención se comprometen a cumplir la decisión de la Corte en todo caso en que sean partes</w:t>
      </w:r>
      <w:r w:rsidRPr="00E66707">
        <w:rPr>
          <w:rFonts w:ascii="Verdana" w:hAnsi="Verdana" w:cs="Tahoma"/>
          <w:sz w:val="20"/>
          <w:szCs w:val="20"/>
          <w:lang w:val="es-ES"/>
        </w:rPr>
        <w:t>.”</w:t>
      </w:r>
    </w:p>
    <w:p w14:paraId="361F2460" w14:textId="77777777" w:rsidR="00E66707" w:rsidRPr="00E66707" w:rsidRDefault="00E66707" w:rsidP="00E66707">
      <w:pPr>
        <w:pStyle w:val="NormalWeb"/>
        <w:spacing w:before="0" w:beforeAutospacing="0" w:after="0" w:afterAutospacing="0"/>
        <w:ind w:left="75" w:right="75"/>
        <w:jc w:val="both"/>
        <w:rPr>
          <w:rFonts w:ascii="Verdana" w:hAnsi="Verdana" w:cs="Tahoma"/>
          <w:sz w:val="20"/>
          <w:szCs w:val="20"/>
          <w:lang w:val="es-ES"/>
        </w:rPr>
      </w:pPr>
    </w:p>
    <w:p w14:paraId="63C3526F" w14:textId="77777777" w:rsidR="00E66707" w:rsidRPr="00E66707" w:rsidRDefault="00E66707" w:rsidP="00E66707">
      <w:pPr>
        <w:pStyle w:val="NormalWeb"/>
        <w:spacing w:before="0" w:beforeAutospacing="0" w:after="0" w:afterAutospacing="0"/>
        <w:ind w:left="75" w:right="75"/>
        <w:jc w:val="both"/>
        <w:rPr>
          <w:rFonts w:ascii="Verdana" w:hAnsi="Verdana" w:cs="Tahoma"/>
          <w:sz w:val="20"/>
          <w:szCs w:val="20"/>
          <w:lang w:val="es-ES"/>
        </w:rPr>
      </w:pPr>
      <w:r w:rsidRPr="00E66707">
        <w:rPr>
          <w:rFonts w:ascii="Verdana" w:hAnsi="Verdana" w:cs="Tahoma"/>
          <w:sz w:val="20"/>
          <w:szCs w:val="20"/>
          <w:lang w:val="es-ES"/>
        </w:rPr>
        <w:t>A su vez, en el artículo 65 de la Convención se indica que en el informe anual que la Corte debe presentar a la Asamblea General de la Organización de los Estados Americanos, “</w:t>
      </w:r>
      <w:r w:rsidRPr="00E66707">
        <w:rPr>
          <w:rFonts w:ascii="Verdana" w:hAnsi="Verdana" w:cs="Tahoma"/>
          <w:i/>
          <w:sz w:val="20"/>
          <w:szCs w:val="20"/>
          <w:lang w:val="es-ES"/>
        </w:rPr>
        <w:t>señalará los casos en que un Estado no haya dado cumplimiento a sus fallos”</w:t>
      </w:r>
      <w:r w:rsidRPr="00E66707">
        <w:rPr>
          <w:rFonts w:ascii="Verdana" w:hAnsi="Verdana" w:cs="Tahoma"/>
          <w:sz w:val="20"/>
          <w:szCs w:val="20"/>
          <w:lang w:val="es-ES"/>
        </w:rPr>
        <w:t xml:space="preserve">.  </w:t>
      </w:r>
    </w:p>
    <w:p w14:paraId="573E6B2D" w14:textId="77777777" w:rsidR="00E66707" w:rsidRPr="00E66707" w:rsidRDefault="00E66707" w:rsidP="00E66707">
      <w:pPr>
        <w:pStyle w:val="NormalWeb"/>
        <w:spacing w:before="0" w:beforeAutospacing="0" w:after="0" w:afterAutospacing="0"/>
        <w:ind w:left="75" w:right="75"/>
        <w:jc w:val="both"/>
        <w:rPr>
          <w:rFonts w:ascii="Verdana" w:hAnsi="Verdana" w:cs="Tahoma"/>
          <w:sz w:val="20"/>
          <w:szCs w:val="20"/>
          <w:lang w:val="es-ES"/>
        </w:rPr>
      </w:pPr>
    </w:p>
    <w:p w14:paraId="10A28B0C" w14:textId="77777777" w:rsidR="00E66707" w:rsidRPr="009B41EF" w:rsidRDefault="00E66707" w:rsidP="00E66707">
      <w:pPr>
        <w:pStyle w:val="ListParagraph"/>
        <w:ind w:left="0"/>
        <w:jc w:val="both"/>
        <w:rPr>
          <w:rFonts w:ascii="Verdana" w:hAnsi="Verdana"/>
          <w:sz w:val="20"/>
          <w:szCs w:val="20"/>
          <w:lang w:val="es-CL"/>
        </w:rPr>
      </w:pPr>
      <w:r w:rsidRPr="009B41EF">
        <w:rPr>
          <w:rFonts w:ascii="Verdana" w:hAnsi="Verdana"/>
          <w:sz w:val="20"/>
          <w:szCs w:val="20"/>
          <w:lang w:val="es-CL"/>
        </w:rPr>
        <w:t>Las aludidas normas convencionales demuestran, pues, que la competencia de la Corte lo es respecto de un instrumento jurídico internacional, que el cumplimiento de sus fallos corresponde a los Estados partes en los respectivos casos sometidos a su conocimiento</w:t>
      </w:r>
      <w:r w:rsidRPr="009B41EF">
        <w:rPr>
          <w:rStyle w:val="FootnoteReference"/>
          <w:szCs w:val="20"/>
          <w:lang w:val="es-CL"/>
        </w:rPr>
        <w:footnoteReference w:id="367"/>
      </w:r>
      <w:r w:rsidRPr="009B41EF">
        <w:rPr>
          <w:rFonts w:ascii="Verdana" w:hAnsi="Verdana"/>
          <w:sz w:val="20"/>
          <w:szCs w:val="20"/>
          <w:lang w:val="es-CL"/>
        </w:rPr>
        <w:t xml:space="preserve"> y que, si ellos no los cumplen, lo que procede es señalar esas violaciones de la obligación internacional de acatarlos ante una instancia internacional, esto es, la Asamblea General de la Organización de los Estados Americanos. La esfera de acción de la Corte es, pues, la internacional.</w:t>
      </w:r>
    </w:p>
    <w:p w14:paraId="46BCFBD7" w14:textId="77777777" w:rsidR="00E66707" w:rsidRPr="009B41EF" w:rsidRDefault="00E66707" w:rsidP="00E66707">
      <w:pPr>
        <w:pStyle w:val="ListParagraph"/>
        <w:ind w:left="0"/>
        <w:jc w:val="both"/>
        <w:rPr>
          <w:rFonts w:ascii="Verdana" w:hAnsi="Verdana"/>
          <w:sz w:val="20"/>
          <w:szCs w:val="20"/>
          <w:lang w:val="es-CL"/>
        </w:rPr>
      </w:pPr>
      <w:r w:rsidRPr="009B41EF">
        <w:rPr>
          <w:rFonts w:ascii="Verdana" w:hAnsi="Verdana"/>
          <w:sz w:val="20"/>
          <w:szCs w:val="20"/>
          <w:lang w:val="es-CL"/>
        </w:rPr>
        <w:t>En suma, se ha aceptado suprimir el término ”</w:t>
      </w:r>
      <w:r w:rsidRPr="009B41EF">
        <w:rPr>
          <w:rFonts w:ascii="Verdana" w:hAnsi="Verdana"/>
          <w:i/>
          <w:sz w:val="20"/>
          <w:szCs w:val="20"/>
          <w:lang w:val="es-CL"/>
        </w:rPr>
        <w:t>internacionalmente”</w:t>
      </w:r>
      <w:r w:rsidRPr="009B41EF">
        <w:rPr>
          <w:rFonts w:ascii="Verdana" w:hAnsi="Verdana"/>
          <w:sz w:val="20"/>
          <w:szCs w:val="20"/>
          <w:lang w:val="es-CL"/>
        </w:rPr>
        <w:t xml:space="preserve"> en los puntos resolutivos antes indicados y referidos a la responsabilidad del Estado que declara la Corte, ya que se entiende que ésta solo puede ser internacional.   </w:t>
      </w:r>
    </w:p>
    <w:p w14:paraId="5B162E96" w14:textId="77777777" w:rsidR="00E66707" w:rsidRPr="009B41EF" w:rsidRDefault="00E66707" w:rsidP="00E66707">
      <w:pPr>
        <w:jc w:val="both"/>
        <w:rPr>
          <w:rFonts w:ascii="Verdana" w:hAnsi="Verdana" w:cs="Calibri"/>
          <w:sz w:val="20"/>
          <w:szCs w:val="20"/>
        </w:rPr>
      </w:pPr>
    </w:p>
    <w:p w14:paraId="7D061544" w14:textId="77777777" w:rsidR="00E66707" w:rsidRPr="009B41EF" w:rsidRDefault="00E66707" w:rsidP="00E66707">
      <w:pPr>
        <w:jc w:val="both"/>
        <w:rPr>
          <w:rFonts w:ascii="Verdana" w:hAnsi="Verdana" w:cs="Calibri"/>
          <w:sz w:val="20"/>
          <w:szCs w:val="20"/>
        </w:rPr>
      </w:pPr>
    </w:p>
    <w:p w14:paraId="6D6ADDAB" w14:textId="77777777" w:rsidR="00E66707" w:rsidRPr="009B41EF" w:rsidRDefault="00E66707" w:rsidP="00E66707">
      <w:pPr>
        <w:jc w:val="both"/>
        <w:rPr>
          <w:rFonts w:ascii="Verdana" w:hAnsi="Verdana" w:cs="Calibri"/>
          <w:sz w:val="20"/>
          <w:szCs w:val="20"/>
        </w:rPr>
      </w:pPr>
    </w:p>
    <w:p w14:paraId="37C6CEA6" w14:textId="77777777" w:rsidR="00E66707" w:rsidRPr="009B41EF" w:rsidRDefault="00E66707" w:rsidP="00E66707">
      <w:pPr>
        <w:jc w:val="right"/>
        <w:rPr>
          <w:rFonts w:ascii="Verdana" w:hAnsi="Verdana" w:cs="Calibri"/>
          <w:sz w:val="20"/>
          <w:szCs w:val="20"/>
        </w:rPr>
      </w:pPr>
    </w:p>
    <w:p w14:paraId="60F294F0" w14:textId="77777777" w:rsidR="00E66707" w:rsidRPr="009B41EF" w:rsidRDefault="00E66707" w:rsidP="00E66707">
      <w:pPr>
        <w:ind w:left="5103"/>
        <w:jc w:val="center"/>
        <w:rPr>
          <w:rFonts w:ascii="Verdana" w:hAnsi="Verdana" w:cs="Calibri"/>
          <w:sz w:val="20"/>
          <w:szCs w:val="20"/>
        </w:rPr>
      </w:pPr>
      <w:r w:rsidRPr="009B41EF">
        <w:rPr>
          <w:rFonts w:ascii="Verdana" w:hAnsi="Verdana" w:cs="Calibri"/>
          <w:sz w:val="20"/>
          <w:szCs w:val="20"/>
        </w:rPr>
        <w:t>Eduardo Vio Grossi</w:t>
      </w:r>
    </w:p>
    <w:p w14:paraId="5548A4D6" w14:textId="77777777" w:rsidR="00E66707" w:rsidRPr="009B41EF" w:rsidRDefault="00E66707" w:rsidP="00E66707">
      <w:pPr>
        <w:ind w:left="5103"/>
        <w:jc w:val="center"/>
        <w:rPr>
          <w:rFonts w:ascii="Verdana" w:hAnsi="Verdana" w:cs="Calibri"/>
          <w:sz w:val="20"/>
          <w:szCs w:val="20"/>
        </w:rPr>
      </w:pPr>
      <w:r w:rsidRPr="009B41EF">
        <w:rPr>
          <w:rFonts w:ascii="Verdana" w:hAnsi="Verdana" w:cs="Calibri"/>
          <w:sz w:val="20"/>
          <w:szCs w:val="20"/>
        </w:rPr>
        <w:t>Juez</w:t>
      </w:r>
    </w:p>
    <w:p w14:paraId="5EE883ED" w14:textId="77777777" w:rsidR="00E66707" w:rsidRPr="009B41EF" w:rsidRDefault="00E66707" w:rsidP="00E66707">
      <w:pPr>
        <w:rPr>
          <w:rFonts w:ascii="Verdana" w:hAnsi="Verdana"/>
          <w:sz w:val="20"/>
          <w:szCs w:val="20"/>
        </w:rPr>
      </w:pPr>
    </w:p>
    <w:p w14:paraId="191A014D" w14:textId="77777777" w:rsidR="00E66707" w:rsidRDefault="00E66707" w:rsidP="00E66707">
      <w:pPr>
        <w:rPr>
          <w:rFonts w:ascii="Verdana" w:hAnsi="Verdana"/>
          <w:sz w:val="20"/>
          <w:szCs w:val="20"/>
        </w:rPr>
      </w:pPr>
    </w:p>
    <w:p w14:paraId="15B0B786" w14:textId="77777777" w:rsidR="00E66707" w:rsidRPr="009B41EF" w:rsidRDefault="00E66707" w:rsidP="00E66707">
      <w:pPr>
        <w:rPr>
          <w:rFonts w:ascii="Verdana" w:hAnsi="Verdana"/>
          <w:sz w:val="20"/>
          <w:szCs w:val="20"/>
        </w:rPr>
      </w:pPr>
    </w:p>
    <w:p w14:paraId="377D4D46" w14:textId="77777777" w:rsidR="00E66707" w:rsidRPr="009B41EF" w:rsidRDefault="00E66707" w:rsidP="00E66707">
      <w:pPr>
        <w:rPr>
          <w:rFonts w:ascii="Verdana" w:hAnsi="Verdana"/>
          <w:sz w:val="20"/>
          <w:szCs w:val="20"/>
        </w:rPr>
      </w:pPr>
    </w:p>
    <w:p w14:paraId="5D0A35BE" w14:textId="77777777" w:rsidR="00E66707" w:rsidRPr="009B41EF" w:rsidRDefault="00E66707" w:rsidP="00E66707">
      <w:pPr>
        <w:pStyle w:val="ListParagraph"/>
        <w:ind w:left="0"/>
        <w:rPr>
          <w:rFonts w:ascii="Verdana" w:hAnsi="Verdana" w:cs="Verdana"/>
          <w:sz w:val="20"/>
          <w:szCs w:val="20"/>
          <w:lang w:val="es-MX" w:eastAsia="es-MX"/>
        </w:rPr>
      </w:pPr>
    </w:p>
    <w:p w14:paraId="6BBCA684" w14:textId="77777777" w:rsidR="00E66707" w:rsidRPr="009B41EF" w:rsidRDefault="00E66707" w:rsidP="00E66707">
      <w:pPr>
        <w:pStyle w:val="ListParagraph"/>
        <w:ind w:left="0"/>
        <w:rPr>
          <w:rFonts w:ascii="Verdana" w:hAnsi="Verdana" w:cs="Verdana"/>
          <w:sz w:val="20"/>
          <w:szCs w:val="20"/>
          <w:lang w:val="es-MX" w:eastAsia="es-MX"/>
        </w:rPr>
      </w:pPr>
    </w:p>
    <w:p w14:paraId="3F4D16C1" w14:textId="77777777" w:rsidR="00E66707" w:rsidRPr="009B41EF" w:rsidRDefault="00E66707" w:rsidP="00E66707">
      <w:pPr>
        <w:pStyle w:val="ListParagraph"/>
        <w:ind w:left="0" w:right="4585"/>
        <w:rPr>
          <w:rFonts w:ascii="Verdana" w:hAnsi="Verdana" w:cs="Verdana"/>
          <w:sz w:val="20"/>
          <w:szCs w:val="20"/>
          <w:lang w:val="es-MX" w:eastAsia="es-MX"/>
        </w:rPr>
      </w:pPr>
      <w:r w:rsidRPr="009B41EF">
        <w:rPr>
          <w:rFonts w:ascii="Verdana" w:hAnsi="Verdana" w:cs="Verdana"/>
          <w:sz w:val="20"/>
          <w:szCs w:val="20"/>
          <w:lang w:val="es-MX" w:eastAsia="es-MX"/>
        </w:rPr>
        <w:t xml:space="preserve">       Pablo Saavedra Alessandri</w:t>
      </w:r>
    </w:p>
    <w:p w14:paraId="0B6ECD3F" w14:textId="77777777" w:rsidR="00E66707" w:rsidRDefault="00E66707" w:rsidP="00E66707">
      <w:pPr>
        <w:pStyle w:val="ListParagraph"/>
        <w:ind w:left="0" w:right="4585" w:firstLine="720"/>
        <w:rPr>
          <w:rFonts w:ascii="Verdana" w:hAnsi="Verdana" w:cs="Verdana"/>
          <w:sz w:val="20"/>
          <w:szCs w:val="20"/>
          <w:lang w:val="es-MX" w:eastAsia="es-MX"/>
        </w:rPr>
      </w:pPr>
      <w:r w:rsidRPr="009B41EF">
        <w:rPr>
          <w:rFonts w:ascii="Verdana" w:hAnsi="Verdana" w:cs="Verdana"/>
          <w:sz w:val="20"/>
          <w:szCs w:val="20"/>
          <w:lang w:val="es-MX" w:eastAsia="es-MX"/>
        </w:rPr>
        <w:t xml:space="preserve">         Secretario</w:t>
      </w:r>
    </w:p>
    <w:p w14:paraId="34C4A947" w14:textId="77777777" w:rsidR="00E66707" w:rsidRPr="009B41EF" w:rsidRDefault="00E66707" w:rsidP="00E66707">
      <w:pPr>
        <w:pStyle w:val="ListParagraph"/>
        <w:jc w:val="both"/>
        <w:rPr>
          <w:rFonts w:ascii="Verdana" w:hAnsi="Verdana"/>
          <w:b/>
          <w:sz w:val="20"/>
          <w:szCs w:val="20"/>
        </w:rPr>
      </w:pPr>
    </w:p>
    <w:p w14:paraId="1B218AF8" w14:textId="23D3856B" w:rsidR="00386128" w:rsidRPr="00EE7979" w:rsidRDefault="00386128" w:rsidP="00386128">
      <w:pPr>
        <w:jc w:val="both"/>
        <w:rPr>
          <w:rFonts w:ascii="Verdana" w:hAnsi="Verdana"/>
          <w:sz w:val="16"/>
        </w:rPr>
      </w:pPr>
    </w:p>
    <w:sectPr w:rsidR="00386128" w:rsidRPr="00EE7979" w:rsidSect="00E66707">
      <w:footerReference w:type="default" r:id="rId50"/>
      <w:footnotePr>
        <w:numRestart w:val="eachSect"/>
      </w:footnotePr>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6CFD6" w14:textId="77777777" w:rsidR="00A90A01" w:rsidRDefault="00A90A01" w:rsidP="00D22B93">
      <w:r>
        <w:separator/>
      </w:r>
    </w:p>
  </w:endnote>
  <w:endnote w:type="continuationSeparator" w:id="0">
    <w:p w14:paraId="6A88F5F5" w14:textId="77777777" w:rsidR="00A90A01" w:rsidRDefault="00A90A01" w:rsidP="00D22B93">
      <w:r>
        <w:continuationSeparator/>
      </w:r>
    </w:p>
  </w:endnote>
  <w:endnote w:type="continuationNotice" w:id="1">
    <w:p w14:paraId="6AC31A68" w14:textId="77777777" w:rsidR="00A90A01" w:rsidRDefault="00A90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urostil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URWBookmanL-Ligh">
    <w:altName w:val="Calibri"/>
    <w:panose1 w:val="00000000000000000000"/>
    <w:charset w:val="00"/>
    <w:family w:val="auto"/>
    <w:notTrueType/>
    <w:pitch w:val="default"/>
    <w:sig w:usb0="00000003" w:usb1="00000000" w:usb2="00000000" w:usb3="00000000" w:csb0="00000001" w:csb1="00000000"/>
  </w:font>
  <w:font w:name="URWBookmanL-DemiBold">
    <w:panose1 w:val="00000000000000000000"/>
    <w:charset w:val="00"/>
    <w:family w:val="auto"/>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4D"/>
    <w:family w:val="roman"/>
    <w:notTrueType/>
    <w:pitch w:val="default"/>
    <w:sig w:usb0="03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684334"/>
      <w:docPartObj>
        <w:docPartGallery w:val="Page Numbers (Bottom of Page)"/>
        <w:docPartUnique/>
      </w:docPartObj>
    </w:sdtPr>
    <w:sdtEndPr/>
    <w:sdtContent>
      <w:p w14:paraId="0C704D55" w14:textId="77777777" w:rsidR="006B2C5D" w:rsidRDefault="006B2C5D">
        <w:pPr>
          <w:pStyle w:val="Footer"/>
          <w:jc w:val="center"/>
        </w:pPr>
        <w:r w:rsidRPr="003A718C">
          <w:rPr>
            <w:rFonts w:ascii="Verdana" w:hAnsi="Verdana"/>
            <w:sz w:val="20"/>
            <w:szCs w:val="20"/>
          </w:rPr>
          <w:fldChar w:fldCharType="begin"/>
        </w:r>
        <w:r w:rsidRPr="003A718C">
          <w:rPr>
            <w:rFonts w:ascii="Verdana" w:hAnsi="Verdana"/>
            <w:sz w:val="20"/>
            <w:szCs w:val="20"/>
          </w:rPr>
          <w:instrText>PAGE   \* MERGEFORMAT</w:instrText>
        </w:r>
        <w:r w:rsidRPr="003A718C">
          <w:rPr>
            <w:rFonts w:ascii="Verdana" w:hAnsi="Verdana"/>
            <w:sz w:val="20"/>
            <w:szCs w:val="20"/>
          </w:rPr>
          <w:fldChar w:fldCharType="separate"/>
        </w:r>
        <w:r w:rsidR="006B4260" w:rsidRPr="006B4260">
          <w:rPr>
            <w:rFonts w:ascii="Verdana" w:hAnsi="Verdana"/>
            <w:noProof/>
            <w:sz w:val="20"/>
            <w:szCs w:val="20"/>
            <w:lang w:val="es-ES"/>
          </w:rPr>
          <w:t>4</w:t>
        </w:r>
        <w:r w:rsidRPr="003A718C">
          <w:rPr>
            <w:rFonts w:ascii="Verdana" w:hAnsi="Verdana"/>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59840" w14:textId="77777777" w:rsidR="00DC6323" w:rsidRDefault="00A90A01">
    <w:pPr>
      <w:pStyle w:val="Footer"/>
      <w:jc w:val="center"/>
    </w:pPr>
    <w:r>
      <w:fldChar w:fldCharType="begin"/>
    </w:r>
    <w:r>
      <w:instrText xml:space="preserve"> PAGE   \* MERGEFORMAT </w:instrText>
    </w:r>
    <w:r>
      <w:fldChar w:fldCharType="separate"/>
    </w:r>
    <w:r w:rsidR="006B4260">
      <w:rPr>
        <w:noProof/>
      </w:rPr>
      <w:t>4</w:t>
    </w:r>
    <w:r>
      <w:fldChar w:fldCharType="end"/>
    </w:r>
  </w:p>
  <w:p w14:paraId="044EB3A8" w14:textId="77777777" w:rsidR="00DC6323" w:rsidRDefault="00A90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D78FA" w14:textId="77777777" w:rsidR="00A90A01" w:rsidRDefault="00A90A01" w:rsidP="00D22B93">
      <w:r>
        <w:separator/>
      </w:r>
    </w:p>
  </w:footnote>
  <w:footnote w:type="continuationSeparator" w:id="0">
    <w:p w14:paraId="0ED860D8" w14:textId="77777777" w:rsidR="00A90A01" w:rsidRDefault="00A90A01" w:rsidP="00D22B93">
      <w:r>
        <w:continuationSeparator/>
      </w:r>
    </w:p>
  </w:footnote>
  <w:footnote w:type="continuationNotice" w:id="1">
    <w:p w14:paraId="30A8F04C" w14:textId="77777777" w:rsidR="00A90A01" w:rsidRDefault="00A90A01"/>
  </w:footnote>
  <w:footnote w:id="2">
    <w:p w14:paraId="0C704D5A" w14:textId="184C0FD3" w:rsidR="006B2C5D" w:rsidRPr="00ED79DB" w:rsidRDefault="006B2C5D" w:rsidP="00B15331">
      <w:pPr>
        <w:pStyle w:val="FootnoteText"/>
      </w:pPr>
      <w:r w:rsidRPr="00ED79DB">
        <w:rPr>
          <w:rStyle w:val="FootnoteReference"/>
          <w:sz w:val="16"/>
        </w:rPr>
        <w:footnoteRef/>
      </w:r>
      <w:r w:rsidRPr="00ED79DB">
        <w:t xml:space="preserve"> </w:t>
      </w:r>
      <w:r w:rsidRPr="00ED79DB">
        <w:tab/>
        <w:t xml:space="preserve">La Corte Interamericana entenderá el término “saneamiento”, para los efectos del presente caso, como una forma de garantizar el uso y goce de la propiedad colectiva de acuerdo </w:t>
      </w:r>
      <w:r>
        <w:t>con el</w:t>
      </w:r>
      <w:r w:rsidRPr="00ED79DB">
        <w:t xml:space="preserve"> artículo 21 de la Convención Americana. </w:t>
      </w:r>
    </w:p>
  </w:footnote>
  <w:footnote w:id="3">
    <w:p w14:paraId="0C704D5B" w14:textId="3907DF0E" w:rsidR="006B2C5D" w:rsidRPr="001D2BE2" w:rsidRDefault="006B2C5D" w:rsidP="00B15331">
      <w:pPr>
        <w:pStyle w:val="FootnoteText"/>
      </w:pPr>
      <w:r w:rsidRPr="001D2BE2">
        <w:rPr>
          <w:rStyle w:val="FootnoteReference"/>
          <w:sz w:val="16"/>
        </w:rPr>
        <w:footnoteRef/>
      </w:r>
      <w:r w:rsidRPr="001D2BE2">
        <w:t xml:space="preserve"> </w:t>
      </w:r>
      <w:r w:rsidRPr="001D2BE2">
        <w:tab/>
        <w:t xml:space="preserve">Los representantes acreditados en el presente caso son la señora Miriam Miranda Chamorro, Coordinadora de OFRANEH, y el señor Christian Callejas Escojo, asesor legal. </w:t>
      </w:r>
    </w:p>
  </w:footnote>
  <w:footnote w:id="4">
    <w:p w14:paraId="0C704D5C" w14:textId="77777777" w:rsidR="006B2C5D" w:rsidRPr="001D2BE2" w:rsidRDefault="006B2C5D" w:rsidP="00B15331">
      <w:pPr>
        <w:pStyle w:val="FootnoteText"/>
      </w:pPr>
      <w:r w:rsidRPr="001D2BE2">
        <w:rPr>
          <w:rStyle w:val="FootnoteReference"/>
          <w:sz w:val="16"/>
        </w:rPr>
        <w:footnoteRef/>
      </w:r>
      <w:r w:rsidRPr="001D2BE2">
        <w:t xml:space="preserve"> </w:t>
      </w:r>
      <w:r w:rsidRPr="001D2BE2">
        <w:tab/>
        <w:t>Mediante comunicación de 28 noviembre de 2013 el Estado designó como agente titular al señor Ricardo Rodríguez, y como agente alterno al señor Kelvin Aguirre. Posteriormente, mediante comunicación de 27 de enero de 2014, el Estado nombró como nuevo agente titular al señor Abraham Alvarenga Urbina, y como nuevo agente alterno al señor Jorge Abilio Serrano Villanueva.</w:t>
      </w:r>
    </w:p>
  </w:footnote>
  <w:footnote w:id="5">
    <w:p w14:paraId="0C704D5D" w14:textId="77777777" w:rsidR="006B2C5D" w:rsidRPr="001D2BE2" w:rsidRDefault="006B2C5D" w:rsidP="00B15331">
      <w:pPr>
        <w:pStyle w:val="FootnoteText"/>
      </w:pPr>
      <w:r w:rsidRPr="001D2BE2">
        <w:rPr>
          <w:rStyle w:val="FootnoteReference"/>
          <w:sz w:val="16"/>
        </w:rPr>
        <w:footnoteRef/>
      </w:r>
      <w:r w:rsidRPr="001D2BE2">
        <w:t xml:space="preserve"> </w:t>
      </w:r>
      <w:r w:rsidRPr="001D2BE2">
        <w:tab/>
      </w:r>
      <w:r w:rsidRPr="001D2BE2">
        <w:rPr>
          <w:i/>
        </w:rPr>
        <w:t>Caso Comunidad Garífuna de Punta Piedra y sus miembros Vs. Honduras</w:t>
      </w:r>
      <w:r w:rsidRPr="001D2BE2">
        <w:t>. Resolución del Presidente de la Corte Interamericana de Derechos Humanos sobre el Fondo de Asistencia Legal de Víctimas de 30 de mayo de 2014.</w:t>
      </w:r>
      <w:r w:rsidRPr="001D2BE2">
        <w:rPr>
          <w:rStyle w:val="Strong"/>
          <w:color w:val="000000"/>
          <w:shd w:val="clear" w:color="auto" w:fill="FFFFFF"/>
        </w:rPr>
        <w:t xml:space="preserve"> </w:t>
      </w:r>
      <w:r w:rsidRPr="001D2BE2">
        <w:t xml:space="preserve">Disponible en: </w:t>
      </w:r>
      <w:hyperlink r:id="rId1" w:history="1">
        <w:r w:rsidRPr="001D2BE2">
          <w:rPr>
            <w:rStyle w:val="Hyperlink"/>
          </w:rPr>
          <w:t>http://www.corteidh.or.cr/docs/asuntos/garifuna_fv_14.pdf</w:t>
        </w:r>
      </w:hyperlink>
      <w:r w:rsidRPr="001D2BE2">
        <w:t xml:space="preserve"> </w:t>
      </w:r>
    </w:p>
  </w:footnote>
  <w:footnote w:id="6">
    <w:p w14:paraId="0C704D5E" w14:textId="77777777" w:rsidR="006B2C5D" w:rsidRPr="00ED79DB" w:rsidRDefault="006B2C5D" w:rsidP="00B15331">
      <w:pPr>
        <w:pStyle w:val="FootnoteText"/>
      </w:pPr>
      <w:r w:rsidRPr="001D2BE2">
        <w:rPr>
          <w:rStyle w:val="FootnoteReference"/>
          <w:sz w:val="16"/>
        </w:rPr>
        <w:footnoteRef/>
      </w:r>
      <w:r w:rsidRPr="001D2BE2">
        <w:t xml:space="preserve"> </w:t>
      </w:r>
      <w:r w:rsidRPr="001D2BE2">
        <w:tab/>
      </w:r>
      <w:r w:rsidRPr="001D2BE2">
        <w:rPr>
          <w:i/>
        </w:rPr>
        <w:t>Caso Comunidad Garífuna de Punta Piedra y sus Miembros Vs. Honduras</w:t>
      </w:r>
      <w:r w:rsidRPr="001D2BE2">
        <w:t xml:space="preserve">. Resolución de la Corte Interamericana de Derechos Humanos de 14 de noviembre de 2014. Disponible en: </w:t>
      </w:r>
      <w:hyperlink r:id="rId2" w:history="1">
        <w:r w:rsidRPr="001D2BE2">
          <w:rPr>
            <w:rStyle w:val="Hyperlink"/>
          </w:rPr>
          <w:t>http://www.corteidh.or.cr/docs/medidas/garifuna_se_02.pdf</w:t>
        </w:r>
      </w:hyperlink>
      <w:r w:rsidRPr="00ED79DB">
        <w:t xml:space="preserve"> </w:t>
      </w:r>
    </w:p>
  </w:footnote>
  <w:footnote w:id="7">
    <w:p w14:paraId="0C704D5F" w14:textId="77777777" w:rsidR="006B2C5D" w:rsidRPr="001D2BE2" w:rsidRDefault="006B2C5D" w:rsidP="00B15331">
      <w:pPr>
        <w:pStyle w:val="FootnoteText"/>
      </w:pPr>
      <w:r w:rsidRPr="001D2BE2">
        <w:rPr>
          <w:rStyle w:val="FootnoteReference"/>
          <w:sz w:val="16"/>
        </w:rPr>
        <w:footnoteRef/>
      </w:r>
      <w:r w:rsidRPr="001D2BE2">
        <w:t xml:space="preserve"> </w:t>
      </w:r>
      <w:r w:rsidRPr="001D2BE2">
        <w:tab/>
      </w:r>
      <w:r w:rsidRPr="001D2BE2">
        <w:rPr>
          <w:i/>
        </w:rPr>
        <w:t>Caso Comunidad Garífuna de Punta Piedra y sus Miembros Vs. Honduras</w:t>
      </w:r>
      <w:r w:rsidRPr="001D2BE2">
        <w:t>. Resolución del Presidente de la Corte Interamericana de Derechos Humanos de 31 de julio de 2014. Disponible en:</w:t>
      </w:r>
      <w:r w:rsidRPr="001D2BE2">
        <w:rPr>
          <w:rStyle w:val="Strong"/>
          <w:color w:val="000000"/>
          <w:shd w:val="clear" w:color="auto" w:fill="FFFFFF"/>
        </w:rPr>
        <w:t xml:space="preserve"> </w:t>
      </w:r>
      <w:hyperlink r:id="rId3" w:history="1">
        <w:r w:rsidRPr="001D2BE2">
          <w:rPr>
            <w:rStyle w:val="Hyperlink"/>
            <w:shd w:val="clear" w:color="auto" w:fill="FFFFFF"/>
          </w:rPr>
          <w:t>http://www.corteidh.or.cr/docs/asuntos/garifuna_31_07_14.pdf</w:t>
        </w:r>
      </w:hyperlink>
      <w:r w:rsidRPr="001D2BE2">
        <w:rPr>
          <w:rStyle w:val="Strong"/>
          <w:color w:val="000000"/>
          <w:shd w:val="clear" w:color="auto" w:fill="FFFFFF"/>
        </w:rPr>
        <w:t xml:space="preserve"> </w:t>
      </w:r>
    </w:p>
  </w:footnote>
  <w:footnote w:id="8">
    <w:p w14:paraId="0C704D60" w14:textId="043C8814" w:rsidR="006B2C5D" w:rsidRPr="001D2BE2" w:rsidRDefault="006B2C5D" w:rsidP="00B15331">
      <w:pPr>
        <w:pStyle w:val="FootnoteText"/>
      </w:pPr>
      <w:r w:rsidRPr="001D2BE2">
        <w:rPr>
          <w:rStyle w:val="FootnoteReference"/>
          <w:sz w:val="16"/>
        </w:rPr>
        <w:footnoteRef/>
      </w:r>
      <w:r w:rsidRPr="001D2BE2">
        <w:t xml:space="preserve"> </w:t>
      </w:r>
      <w:r w:rsidRPr="001D2BE2">
        <w:tab/>
        <w:t>Mediante comunicación de 21 de agosto de 2014 la Comisión informó que el perito James Anaya “tendría dificultades para trasladarse a Paraguay y rendir su peritaje en la audiencia pública” y por ello solicitó a la Corte que el perito rindiera su declaración a través del uso de medios electrónicos audiovisuales, o subsidiariamente mediante declaración jurada ante fedatario público. Al respecto, mediante Nota de Secretaría de 28 de agosto de 2014, se informó a la Comisión que el Pleno de la Corte decidió que el perito remitiera su dictamen “por medio de declaración jurada ante fedatario público, ya que no se justificó el porqué de la necesidad del cambio” en la modalidad en que se rendiría el peritaje.</w:t>
      </w:r>
    </w:p>
  </w:footnote>
  <w:footnote w:id="9">
    <w:p w14:paraId="0C704D61" w14:textId="42725306" w:rsidR="006B2C5D" w:rsidRPr="001D2BE2" w:rsidRDefault="006B2C5D" w:rsidP="00B15331">
      <w:pPr>
        <w:pStyle w:val="FootnoteText"/>
      </w:pPr>
      <w:r w:rsidRPr="001D2BE2">
        <w:rPr>
          <w:rStyle w:val="FootnoteReference"/>
          <w:sz w:val="16"/>
        </w:rPr>
        <w:footnoteRef/>
      </w:r>
      <w:r w:rsidRPr="001D2BE2">
        <w:t xml:space="preserve"> </w:t>
      </w:r>
      <w:r w:rsidRPr="001D2BE2">
        <w:tab/>
        <w:t xml:space="preserve">Mediante Nota de Secretaría de 28 de agosto de 2014 se dejó constancia que “los representantes no remitieron las declaraciones de los señores Roberto Mejía Castillo y Juliana Suazo Montero, presuntas víctimas del caso, conforme a lo dispuesto en el punto resolutivo primero de la Resolución que emitió el Presidente de la Corte el 31 de julio de 2014”. </w:t>
      </w:r>
    </w:p>
  </w:footnote>
  <w:footnote w:id="10">
    <w:p w14:paraId="0C704D62" w14:textId="7EF79FE4" w:rsidR="006B2C5D" w:rsidRDefault="006B2C5D" w:rsidP="00B15331">
      <w:pPr>
        <w:pStyle w:val="FootnoteText"/>
      </w:pPr>
      <w:r w:rsidRPr="001D2BE2">
        <w:rPr>
          <w:rStyle w:val="FootnoteReference"/>
          <w:sz w:val="16"/>
        </w:rPr>
        <w:footnoteRef/>
      </w:r>
      <w:r w:rsidRPr="001D2BE2">
        <w:tab/>
        <w:t>Al respecto, la Secretaría de la Corte constató que las partes no remitieron: a) información actualizada sobre la cantidad de hectáreas ocupadas por los habitantes de la Aldea de Río Miel; b) los títulos</w:t>
      </w:r>
      <w:r w:rsidRPr="00ED79DB">
        <w:t xml:space="preserve"> de propiedad de los terrenos de </w:t>
      </w:r>
      <w:proofErr w:type="spellStart"/>
      <w:r w:rsidRPr="00ED79DB">
        <w:t>Ambrocio</w:t>
      </w:r>
      <w:proofErr w:type="spellEnd"/>
      <w:r w:rsidRPr="00ED79DB">
        <w:t xml:space="preserve"> Thomas Castillo y </w:t>
      </w:r>
      <w:proofErr w:type="spellStart"/>
      <w:r w:rsidRPr="00ED79DB">
        <w:t>Sergia</w:t>
      </w:r>
      <w:proofErr w:type="spellEnd"/>
      <w:r w:rsidRPr="00ED79DB">
        <w:t xml:space="preserve"> Zapata Martínez, y c) información sobre la creación del Parque Nacional Sierra Río Tinto, así como la cantidad aproximada de </w:t>
      </w:r>
      <w:r>
        <w:t>hectáreas</w:t>
      </w:r>
      <w:r w:rsidRPr="00ED79DB">
        <w:t xml:space="preserve"> que dicha reserva ocuparía del territorio de la Comunidad de Punta Piedra. En virtud de ello, se solicitó a las partes enviar la información referida a más tardar el 31 de octubre de 2014.</w:t>
      </w:r>
    </w:p>
  </w:footnote>
  <w:footnote w:id="11">
    <w:p w14:paraId="0C704D63" w14:textId="40ED49C2" w:rsidR="006B2C5D" w:rsidRDefault="006B2C5D" w:rsidP="00B15331">
      <w:pPr>
        <w:pStyle w:val="FootnoteText"/>
      </w:pPr>
      <w:r w:rsidRPr="00ED79DB">
        <w:rPr>
          <w:rStyle w:val="FootnoteReference"/>
          <w:sz w:val="16"/>
        </w:rPr>
        <w:footnoteRef/>
      </w:r>
      <w:r w:rsidRPr="00ED79DB">
        <w:t xml:space="preserve"> </w:t>
      </w:r>
      <w:r w:rsidRPr="00ED79DB">
        <w:tab/>
        <w:t xml:space="preserve">La documentación solicitada al Estado  como prueba para mejor resolver fue la siguiente: 1) Conclusión del Fiscal de Etnias sobre la vulnerabilidad de los habitantes de Río Miel, rendida en el Expediente No. 0801-2010-12292; 2) Expediente No. 0801-2010-12739; 3) Investigaciones y proceso penal incoado en virtud de la denuncia de Usurpación de </w:t>
      </w:r>
      <w:r>
        <w:t>Félix Ordóñez Suazo</w:t>
      </w:r>
      <w:r w:rsidRPr="00ED79DB">
        <w:t>; 4) información sobre la creación del Parque Nacional Sierra Río Tinto; 5) Normativa interna relacionada con: a) el proceso de amparo; b) el procedimiento administrativo para la ejecución de acuerdo de conciliación extrajudicial; c) el “juicio declarativo” o acción civil judicial; d) el proceso de nulidad de escritura pública; e) sobre la existencia de cualquier otro procedimiento, sea de expropiación o de reivindicación de tierras, y f) sobre la legitimidad procesal de grupos colectivos, en su caso, de comunidades indígenas; 5) Copia de la Ley de Reforma Agraria, Ley para la Modernización y el Desarrollo del Sector Agrario, Ley de Propiedad, y Ley de Amparo, vigente al momento de los hechos y en la actualidad; 6) Normativa e información pertinente respecto del funcionamiento del Instituto Nacional Agrario</w:t>
      </w:r>
      <w:r>
        <w:t xml:space="preserve"> </w:t>
      </w:r>
      <w:r w:rsidRPr="00514304">
        <w:t xml:space="preserve">(INA) </w:t>
      </w:r>
      <w:r w:rsidRPr="00ED79DB">
        <w:t xml:space="preserve"> y el Instituto de la Propiedad</w:t>
      </w:r>
      <w:r>
        <w:t xml:space="preserve"> (IP)</w:t>
      </w:r>
      <w:r w:rsidRPr="00ED79DB">
        <w:t>. Por otra parte, a los representantes se les solicitó que remitieran un pronunciamiento sobre si el Parque Nacional Sierra Río Tinto se encontraba ubicado dentro del territorio de la Comunidad de Punta Piedra.</w:t>
      </w:r>
    </w:p>
  </w:footnote>
  <w:footnote w:id="12">
    <w:p w14:paraId="0C704D64" w14:textId="6A336208" w:rsidR="006B2C5D" w:rsidRDefault="006B2C5D" w:rsidP="00B15331">
      <w:pPr>
        <w:pStyle w:val="FootnoteText"/>
      </w:pPr>
      <w:r w:rsidRPr="00ED79DB">
        <w:rPr>
          <w:rStyle w:val="FootnoteReference"/>
          <w:sz w:val="16"/>
        </w:rPr>
        <w:footnoteRef/>
      </w:r>
      <w:r w:rsidRPr="00ED79DB">
        <w:t xml:space="preserve"> </w:t>
      </w:r>
      <w:r w:rsidRPr="00ED79DB">
        <w:tab/>
        <w:t>Los representantes no remitieron prueba sobre la ubicación del Parque Nacional Sierra Río Tinto.</w:t>
      </w:r>
    </w:p>
  </w:footnote>
  <w:footnote w:id="13">
    <w:p w14:paraId="0C704D65" w14:textId="76A66912" w:rsidR="006B2C5D" w:rsidRPr="00ED79DB" w:rsidRDefault="006B2C5D">
      <w:pPr>
        <w:pStyle w:val="Default"/>
        <w:tabs>
          <w:tab w:val="left" w:pos="567"/>
        </w:tabs>
        <w:jc w:val="both"/>
        <w:rPr>
          <w:sz w:val="16"/>
          <w:szCs w:val="16"/>
          <w:lang w:val="es-CR"/>
        </w:rPr>
      </w:pPr>
      <w:r w:rsidRPr="00ED79DB">
        <w:rPr>
          <w:rStyle w:val="FootnoteReference"/>
          <w:sz w:val="16"/>
          <w:szCs w:val="16"/>
        </w:rPr>
        <w:footnoteRef/>
      </w:r>
      <w:r w:rsidRPr="00ED79DB">
        <w:rPr>
          <w:sz w:val="16"/>
          <w:szCs w:val="16"/>
          <w:lang w:val="es-CR"/>
        </w:rPr>
        <w:t xml:space="preserve"> </w:t>
      </w:r>
      <w:r w:rsidRPr="00ED79DB">
        <w:rPr>
          <w:sz w:val="16"/>
          <w:szCs w:val="16"/>
          <w:lang w:val="es-CR"/>
        </w:rPr>
        <w:tab/>
        <w:t xml:space="preserve">La delegación del Tribunal que efectuó la visita estuvo integrada por el Presidente de la Corte, Juez Humberto Antonio Sierra Porto; Alexei Julio, Director Jurídico de la Secretaría; Jorge Calderón Gamboa, Abogado Coordinador de la Secretaría, y Cecilia La Hoz Barrera, Abogada de la Secretaría. Asimismo, por parte del Estado estuvieron presentes Jorge Abilio Serrano Villanueva, Sub Procurador General de la República, y Jesús Flores, Ingeniero del INA. Por la Comisión Interamericana estuvieron presentes James </w:t>
      </w:r>
      <w:proofErr w:type="spellStart"/>
      <w:r w:rsidRPr="00ED79DB">
        <w:rPr>
          <w:sz w:val="16"/>
          <w:szCs w:val="16"/>
          <w:lang w:val="es-CR"/>
        </w:rPr>
        <w:t>Cavallaro</w:t>
      </w:r>
      <w:proofErr w:type="spellEnd"/>
      <w:r w:rsidRPr="00ED79DB">
        <w:rPr>
          <w:sz w:val="16"/>
          <w:szCs w:val="16"/>
          <w:lang w:val="es-CR"/>
        </w:rPr>
        <w:t>, Comisionado, y Erick Acuña, Asesor de la Comisión. Además, estuvieron presentes por parte de los representantes Miriam Miranda, Coordinadora General de OFRANEH y otros líderes de la Comunidad</w:t>
      </w:r>
      <w:r w:rsidRPr="00A0324F">
        <w:rPr>
          <w:sz w:val="16"/>
          <w:szCs w:val="16"/>
          <w:lang w:val="es-CR"/>
        </w:rPr>
        <w:t>.</w:t>
      </w:r>
    </w:p>
  </w:footnote>
  <w:footnote w:id="14">
    <w:p w14:paraId="0C704D69" w14:textId="1DE3F7E1" w:rsidR="006B2C5D" w:rsidRPr="00A0324F" w:rsidRDefault="006B2C5D">
      <w:pPr>
        <w:tabs>
          <w:tab w:val="left" w:pos="567"/>
        </w:tabs>
        <w:jc w:val="both"/>
        <w:rPr>
          <w:rFonts w:ascii="Verdana" w:hAnsi="Verdana"/>
          <w:bCs/>
          <w:color w:val="000000"/>
          <w:sz w:val="16"/>
          <w:szCs w:val="16"/>
          <w:shd w:val="clear" w:color="auto" w:fill="FFFFFF"/>
        </w:rPr>
      </w:pPr>
      <w:r w:rsidRPr="00ED79DB">
        <w:rPr>
          <w:rStyle w:val="FootnoteReference"/>
          <w:rFonts w:cs="Times"/>
          <w:spacing w:val="-6"/>
          <w:sz w:val="16"/>
          <w:szCs w:val="16"/>
          <w:lang w:val="es-CR"/>
        </w:rPr>
        <w:footnoteRef/>
      </w:r>
      <w:r w:rsidRPr="00ED79DB">
        <w:rPr>
          <w:rFonts w:ascii="Verdana" w:hAnsi="Verdana"/>
          <w:spacing w:val="-6"/>
          <w:sz w:val="16"/>
          <w:szCs w:val="16"/>
          <w:lang w:val="es-CR"/>
        </w:rPr>
        <w:tab/>
      </w:r>
      <w:r w:rsidRPr="00ED79DB">
        <w:rPr>
          <w:rFonts w:ascii="Verdana" w:hAnsi="Verdana"/>
          <w:i/>
          <w:spacing w:val="-6"/>
          <w:sz w:val="16"/>
          <w:szCs w:val="16"/>
          <w:lang w:val="es-CR"/>
        </w:rPr>
        <w:t xml:space="preserve">Cfr. Caso Velásquez Rodríguez Vs. Honduras. Excepciones Preliminares. </w:t>
      </w:r>
      <w:r w:rsidRPr="00ED79DB">
        <w:rPr>
          <w:rFonts w:ascii="Verdana" w:hAnsi="Verdana"/>
          <w:spacing w:val="-6"/>
          <w:sz w:val="16"/>
          <w:szCs w:val="16"/>
          <w:lang w:val="es-CR"/>
        </w:rPr>
        <w:t xml:space="preserve">Sentencia de 26 de junio de 1987. Serie C No. 1, párr. 85, y </w:t>
      </w:r>
      <w:r w:rsidRPr="00A0324F">
        <w:rPr>
          <w:rStyle w:val="Strong"/>
          <w:rFonts w:ascii="Verdana" w:hAnsi="Verdana"/>
          <w:b w:val="0"/>
          <w:i/>
          <w:color w:val="000000"/>
          <w:sz w:val="16"/>
          <w:szCs w:val="16"/>
          <w:shd w:val="clear" w:color="auto" w:fill="FFFFFF"/>
        </w:rPr>
        <w:t xml:space="preserve">Caso Gonzales </w:t>
      </w:r>
      <w:proofErr w:type="spellStart"/>
      <w:r w:rsidRPr="00A0324F">
        <w:rPr>
          <w:rStyle w:val="Strong"/>
          <w:rFonts w:ascii="Verdana" w:hAnsi="Verdana"/>
          <w:b w:val="0"/>
          <w:i/>
          <w:color w:val="000000"/>
          <w:sz w:val="16"/>
          <w:szCs w:val="16"/>
          <w:shd w:val="clear" w:color="auto" w:fill="FFFFFF"/>
        </w:rPr>
        <w:t>Lluy</w:t>
      </w:r>
      <w:proofErr w:type="spellEnd"/>
      <w:r w:rsidRPr="00A0324F">
        <w:rPr>
          <w:rStyle w:val="Strong"/>
          <w:rFonts w:ascii="Verdana" w:hAnsi="Verdana"/>
          <w:b w:val="0"/>
          <w:i/>
          <w:color w:val="000000"/>
          <w:sz w:val="16"/>
          <w:szCs w:val="16"/>
          <w:shd w:val="clear" w:color="auto" w:fill="FFFFFF"/>
        </w:rPr>
        <w:t xml:space="preserve"> y otros Vs. Ecuador. Excepciones Preliminares, Fondo, Reparaciones y Costas.</w:t>
      </w:r>
      <w:r w:rsidRPr="00ED79DB">
        <w:rPr>
          <w:rStyle w:val="Strong"/>
          <w:rFonts w:ascii="Verdana" w:hAnsi="Verdana"/>
          <w:b w:val="0"/>
          <w:color w:val="000000"/>
          <w:sz w:val="16"/>
          <w:szCs w:val="16"/>
          <w:shd w:val="clear" w:color="auto" w:fill="FFFFFF"/>
        </w:rPr>
        <w:t xml:space="preserve"> Sentencia de 01 de septiembre de 2015. Serie C No. 298, párr. 27.</w:t>
      </w:r>
    </w:p>
  </w:footnote>
  <w:footnote w:id="15">
    <w:p w14:paraId="0C704D6A" w14:textId="6E5F6FD0" w:rsidR="006B2C5D" w:rsidRPr="00A0324F" w:rsidRDefault="006B2C5D">
      <w:pPr>
        <w:tabs>
          <w:tab w:val="left" w:pos="567"/>
        </w:tabs>
        <w:jc w:val="both"/>
        <w:rPr>
          <w:rFonts w:ascii="Verdana" w:hAnsi="Verdana"/>
          <w:bCs/>
          <w:color w:val="000000"/>
          <w:sz w:val="16"/>
          <w:szCs w:val="16"/>
          <w:shd w:val="clear" w:color="auto" w:fill="FFFFFF"/>
        </w:rPr>
      </w:pPr>
      <w:r w:rsidRPr="00ED79DB">
        <w:rPr>
          <w:rStyle w:val="FootnoteReference"/>
          <w:spacing w:val="-6"/>
          <w:sz w:val="16"/>
          <w:szCs w:val="16"/>
        </w:rPr>
        <w:footnoteRef/>
      </w:r>
      <w:r w:rsidRPr="00ED79DB">
        <w:rPr>
          <w:rFonts w:ascii="Verdana" w:hAnsi="Verdana"/>
          <w:spacing w:val="-6"/>
          <w:sz w:val="16"/>
          <w:szCs w:val="16"/>
          <w:lang w:val="es-CR"/>
        </w:rPr>
        <w:tab/>
      </w:r>
      <w:r w:rsidRPr="00ED79DB">
        <w:rPr>
          <w:rFonts w:ascii="Verdana" w:hAnsi="Verdana"/>
          <w:i/>
          <w:iCs/>
          <w:spacing w:val="-6"/>
          <w:sz w:val="16"/>
          <w:szCs w:val="16"/>
          <w:lang w:val="es-CR"/>
        </w:rPr>
        <w:t>Cfr</w:t>
      </w:r>
      <w:r w:rsidRPr="00ED79DB">
        <w:rPr>
          <w:rFonts w:ascii="Verdana" w:hAnsi="Verdana"/>
          <w:spacing w:val="-6"/>
          <w:sz w:val="16"/>
          <w:szCs w:val="16"/>
          <w:lang w:val="es-CR"/>
        </w:rPr>
        <w:t xml:space="preserve">. </w:t>
      </w:r>
      <w:r w:rsidRPr="00ED79DB">
        <w:rPr>
          <w:rFonts w:ascii="Verdana" w:hAnsi="Verdana"/>
          <w:i/>
          <w:iCs/>
          <w:spacing w:val="-6"/>
          <w:sz w:val="16"/>
          <w:szCs w:val="16"/>
          <w:lang w:val="es-CR"/>
        </w:rPr>
        <w:t>Caso Velásquez Rodríguez Vs. Honduras</w:t>
      </w:r>
      <w:r w:rsidRPr="00ED79DB">
        <w:rPr>
          <w:rFonts w:ascii="Verdana" w:hAnsi="Verdana"/>
          <w:spacing w:val="-6"/>
          <w:sz w:val="16"/>
          <w:szCs w:val="16"/>
          <w:lang w:val="es-CR"/>
        </w:rPr>
        <w:t xml:space="preserve">. </w:t>
      </w:r>
      <w:r w:rsidRPr="00ED79DB">
        <w:rPr>
          <w:rFonts w:ascii="Verdana" w:hAnsi="Verdana"/>
          <w:i/>
          <w:iCs/>
          <w:spacing w:val="-6"/>
          <w:sz w:val="16"/>
          <w:szCs w:val="16"/>
          <w:lang w:val="es-CR"/>
        </w:rPr>
        <w:t>Fondo</w:t>
      </w:r>
      <w:r w:rsidRPr="00ED79DB">
        <w:rPr>
          <w:rFonts w:ascii="Verdana" w:hAnsi="Verdana"/>
          <w:spacing w:val="-6"/>
          <w:sz w:val="16"/>
          <w:szCs w:val="16"/>
          <w:lang w:val="es-CR"/>
        </w:rPr>
        <w:t xml:space="preserve">. Sentencia de 29 de julio de 1988. Serie C No. 4, párr. 63, y </w:t>
      </w:r>
      <w:r w:rsidRPr="00A0324F">
        <w:rPr>
          <w:rStyle w:val="Strong"/>
          <w:rFonts w:ascii="Verdana" w:hAnsi="Verdana"/>
          <w:b w:val="0"/>
          <w:i/>
          <w:color w:val="000000"/>
          <w:sz w:val="16"/>
          <w:szCs w:val="16"/>
          <w:shd w:val="clear" w:color="auto" w:fill="FFFFFF"/>
        </w:rPr>
        <w:t>Caso de personas dominicanas y haitianas expulsadas Vs. República Dominicana. Excepciones Preliminares, Fondo, Reparaciones y Costas.</w:t>
      </w:r>
      <w:r w:rsidRPr="00ED79DB">
        <w:rPr>
          <w:rStyle w:val="Strong"/>
          <w:rFonts w:ascii="Verdana" w:hAnsi="Verdana"/>
          <w:b w:val="0"/>
          <w:color w:val="000000"/>
          <w:sz w:val="16"/>
          <w:szCs w:val="16"/>
          <w:shd w:val="clear" w:color="auto" w:fill="FFFFFF"/>
        </w:rPr>
        <w:t xml:space="preserve"> Sentencia de 28 de agosto de 2014. Serie C No. 282, párr. 30.</w:t>
      </w:r>
    </w:p>
  </w:footnote>
  <w:footnote w:id="16">
    <w:p w14:paraId="0C704D6B" w14:textId="2E24B0EA" w:rsidR="006B2C5D" w:rsidRPr="00A0324F" w:rsidRDefault="006B2C5D" w:rsidP="00ED79DB">
      <w:pPr>
        <w:tabs>
          <w:tab w:val="left" w:pos="567"/>
        </w:tabs>
        <w:jc w:val="both"/>
        <w:rPr>
          <w:rFonts w:ascii="Verdana" w:eastAsiaTheme="minorHAnsi" w:hAnsi="Verdana" w:cstheme="minorBidi"/>
          <w:bCs/>
          <w:color w:val="000000"/>
          <w:sz w:val="16"/>
          <w:szCs w:val="16"/>
          <w:shd w:val="clear" w:color="auto" w:fill="FFFFFF"/>
          <w:lang w:val="es-CR"/>
        </w:rPr>
      </w:pPr>
      <w:r w:rsidRPr="00ED79DB">
        <w:rPr>
          <w:rStyle w:val="FootnoteReference"/>
          <w:rFonts w:cs="Times"/>
          <w:spacing w:val="-6"/>
          <w:sz w:val="16"/>
          <w:szCs w:val="16"/>
          <w:lang w:val="es-CR"/>
        </w:rPr>
        <w:footnoteRef/>
      </w:r>
      <w:r w:rsidRPr="00ED79DB">
        <w:rPr>
          <w:rStyle w:val="FootnoteReference"/>
          <w:rFonts w:cs="Times"/>
          <w:spacing w:val="-6"/>
          <w:sz w:val="16"/>
          <w:szCs w:val="16"/>
          <w:lang w:val="es-CR"/>
        </w:rPr>
        <w:t xml:space="preserve"> </w:t>
      </w:r>
      <w:r w:rsidRPr="00ED79DB">
        <w:rPr>
          <w:rFonts w:ascii="Verdana" w:hAnsi="Verdana" w:cs="Verdana"/>
          <w:bCs/>
          <w:spacing w:val="-6"/>
          <w:sz w:val="16"/>
          <w:szCs w:val="16"/>
          <w:lang w:val="es-CR"/>
        </w:rPr>
        <w:tab/>
      </w:r>
      <w:r w:rsidRPr="00ED79DB">
        <w:rPr>
          <w:rFonts w:ascii="Verdana" w:hAnsi="Verdana"/>
          <w:i/>
          <w:spacing w:val="-6"/>
          <w:sz w:val="16"/>
          <w:szCs w:val="16"/>
          <w:lang w:val="es-CR"/>
        </w:rPr>
        <w:t>Cfr</w:t>
      </w:r>
      <w:r w:rsidRPr="00ED79DB">
        <w:rPr>
          <w:rFonts w:ascii="Verdana" w:hAnsi="Verdana"/>
          <w:spacing w:val="-6"/>
          <w:sz w:val="16"/>
          <w:szCs w:val="16"/>
          <w:lang w:val="es-CR"/>
        </w:rPr>
        <w:t xml:space="preserve">. </w:t>
      </w:r>
      <w:r w:rsidRPr="00ED79DB">
        <w:rPr>
          <w:rFonts w:ascii="Verdana" w:hAnsi="Verdana"/>
          <w:i/>
          <w:spacing w:val="-6"/>
          <w:sz w:val="16"/>
          <w:szCs w:val="16"/>
          <w:lang w:val="es-CR"/>
        </w:rPr>
        <w:t>Caso Velásquez Rodríguez</w:t>
      </w:r>
      <w:r>
        <w:rPr>
          <w:rFonts w:ascii="Verdana" w:hAnsi="Verdana"/>
          <w:i/>
          <w:spacing w:val="-6"/>
          <w:sz w:val="16"/>
          <w:szCs w:val="16"/>
          <w:lang w:val="es-CR"/>
        </w:rPr>
        <w:t xml:space="preserve">, </w:t>
      </w:r>
      <w:r w:rsidRPr="00ED79DB">
        <w:rPr>
          <w:rFonts w:ascii="Verdana" w:hAnsi="Verdana"/>
          <w:i/>
          <w:spacing w:val="-6"/>
          <w:sz w:val="16"/>
          <w:szCs w:val="16"/>
          <w:lang w:val="es-CR"/>
        </w:rPr>
        <w:t xml:space="preserve">Fondo, </w:t>
      </w:r>
      <w:r>
        <w:rPr>
          <w:rFonts w:ascii="Verdana" w:hAnsi="Verdana"/>
          <w:i/>
          <w:spacing w:val="-6"/>
          <w:sz w:val="16"/>
          <w:szCs w:val="16"/>
          <w:lang w:val="es-CR"/>
        </w:rPr>
        <w:t xml:space="preserve">supra, </w:t>
      </w:r>
      <w:r w:rsidRPr="00ED79DB">
        <w:rPr>
          <w:rFonts w:ascii="Verdana" w:hAnsi="Verdana"/>
          <w:spacing w:val="-6"/>
          <w:sz w:val="16"/>
          <w:szCs w:val="16"/>
          <w:lang w:val="es-CR"/>
        </w:rPr>
        <w:t xml:space="preserve">párr. 61, y </w:t>
      </w:r>
      <w:r w:rsidRPr="00A0324F">
        <w:rPr>
          <w:rFonts w:ascii="Verdana" w:eastAsiaTheme="minorHAnsi" w:hAnsi="Verdana" w:cstheme="minorBidi"/>
          <w:bCs/>
          <w:i/>
          <w:color w:val="000000"/>
          <w:sz w:val="16"/>
          <w:szCs w:val="16"/>
          <w:shd w:val="clear" w:color="auto" w:fill="FFFFFF"/>
          <w:lang w:val="es-CR"/>
        </w:rPr>
        <w:t>Caso Argüelles y otros Vs. Argentina. Excepciones Preliminares, Fondo, Reparaciones y Costas.</w:t>
      </w:r>
      <w:r w:rsidRPr="00ED79DB">
        <w:rPr>
          <w:rFonts w:ascii="Verdana" w:eastAsiaTheme="minorHAnsi" w:hAnsi="Verdana" w:cstheme="minorBidi"/>
          <w:bCs/>
          <w:color w:val="000000"/>
          <w:sz w:val="16"/>
          <w:szCs w:val="16"/>
          <w:shd w:val="clear" w:color="auto" w:fill="FFFFFF"/>
          <w:lang w:val="es-CR"/>
        </w:rPr>
        <w:t xml:space="preserve"> Sentencia de 20 de noviembre de 2014. Serie C No. 288, párr. 43.</w:t>
      </w:r>
    </w:p>
  </w:footnote>
  <w:footnote w:id="17">
    <w:p w14:paraId="0C704D6C" w14:textId="11E21C67" w:rsidR="006B2C5D" w:rsidRPr="00ED79DB" w:rsidRDefault="006B2C5D" w:rsidP="00ED79DB">
      <w:pPr>
        <w:tabs>
          <w:tab w:val="left" w:pos="567"/>
        </w:tabs>
        <w:jc w:val="both"/>
        <w:rPr>
          <w:rFonts w:ascii="Verdana" w:hAnsi="Verdana"/>
          <w:spacing w:val="-6"/>
          <w:sz w:val="16"/>
          <w:szCs w:val="16"/>
          <w:lang w:val="es-CR"/>
        </w:rPr>
      </w:pPr>
      <w:r w:rsidRPr="00ED79DB">
        <w:rPr>
          <w:rStyle w:val="FootnoteReference"/>
          <w:spacing w:val="-6"/>
          <w:sz w:val="16"/>
          <w:szCs w:val="16"/>
        </w:rPr>
        <w:footnoteRef/>
      </w:r>
      <w:r w:rsidRPr="00ED79DB">
        <w:rPr>
          <w:rFonts w:ascii="Verdana" w:hAnsi="Verdana"/>
          <w:spacing w:val="-6"/>
          <w:sz w:val="16"/>
          <w:szCs w:val="16"/>
          <w:lang w:val="es-CR"/>
        </w:rPr>
        <w:t xml:space="preserve"> </w:t>
      </w:r>
      <w:r w:rsidRPr="00ED79DB">
        <w:rPr>
          <w:rFonts w:ascii="Verdana" w:hAnsi="Verdana"/>
          <w:spacing w:val="-6"/>
          <w:sz w:val="16"/>
          <w:szCs w:val="16"/>
          <w:lang w:val="es-CR"/>
        </w:rPr>
        <w:tab/>
      </w:r>
      <w:r w:rsidRPr="00ED79DB">
        <w:rPr>
          <w:rFonts w:ascii="Verdana" w:hAnsi="Verdana"/>
          <w:i/>
          <w:spacing w:val="-6"/>
          <w:sz w:val="16"/>
          <w:szCs w:val="16"/>
          <w:lang w:val="es-CR"/>
        </w:rPr>
        <w:t>Cfr.</w:t>
      </w:r>
      <w:r w:rsidRPr="00ED79DB">
        <w:rPr>
          <w:rFonts w:ascii="Verdana" w:hAnsi="Verdana"/>
          <w:spacing w:val="-6"/>
          <w:sz w:val="16"/>
          <w:szCs w:val="16"/>
          <w:lang w:val="es-CR"/>
        </w:rPr>
        <w:t xml:space="preserve"> </w:t>
      </w:r>
      <w:r w:rsidRPr="00ED79DB">
        <w:rPr>
          <w:rFonts w:ascii="Verdana" w:hAnsi="Verdana"/>
          <w:i/>
          <w:spacing w:val="-6"/>
          <w:sz w:val="16"/>
          <w:szCs w:val="16"/>
          <w:lang w:val="es-MX"/>
        </w:rPr>
        <w:t>Caso Velásquez Rodríguez</w:t>
      </w:r>
      <w:r>
        <w:rPr>
          <w:rFonts w:ascii="Verdana" w:hAnsi="Verdana"/>
          <w:i/>
          <w:iCs/>
          <w:spacing w:val="-6"/>
          <w:sz w:val="16"/>
          <w:szCs w:val="16"/>
          <w:lang w:val="es-CR"/>
        </w:rPr>
        <w:t xml:space="preserve">, </w:t>
      </w:r>
      <w:r w:rsidRPr="00ED79DB">
        <w:rPr>
          <w:rFonts w:ascii="Verdana" w:hAnsi="Verdana"/>
          <w:i/>
          <w:spacing w:val="-6"/>
          <w:sz w:val="16"/>
          <w:szCs w:val="16"/>
          <w:lang w:val="es-MX"/>
        </w:rPr>
        <w:t xml:space="preserve">Fondo, </w:t>
      </w:r>
      <w:r>
        <w:rPr>
          <w:rFonts w:ascii="Verdana" w:hAnsi="Verdana"/>
          <w:i/>
          <w:spacing w:val="-6"/>
          <w:sz w:val="16"/>
          <w:szCs w:val="16"/>
          <w:lang w:val="es-MX"/>
        </w:rPr>
        <w:t xml:space="preserve">supra, </w:t>
      </w:r>
      <w:r w:rsidRPr="00ED79DB">
        <w:rPr>
          <w:rFonts w:ascii="Verdana" w:hAnsi="Verdana"/>
          <w:spacing w:val="-6"/>
          <w:sz w:val="16"/>
          <w:szCs w:val="16"/>
          <w:lang w:val="es-MX"/>
        </w:rPr>
        <w:t xml:space="preserve">párrs. 88 y 91, </w:t>
      </w:r>
      <w:r w:rsidRPr="00ED79DB">
        <w:rPr>
          <w:rFonts w:ascii="Verdana" w:hAnsi="Verdana"/>
          <w:spacing w:val="-6"/>
          <w:sz w:val="16"/>
          <w:szCs w:val="16"/>
          <w:lang w:val="es-CR"/>
        </w:rPr>
        <w:t xml:space="preserve">y </w:t>
      </w:r>
      <w:r w:rsidRPr="00ED79DB">
        <w:rPr>
          <w:rStyle w:val="Strong"/>
          <w:rFonts w:ascii="Verdana" w:hAnsi="Verdana"/>
          <w:b w:val="0"/>
          <w:i/>
          <w:color w:val="000000"/>
          <w:sz w:val="16"/>
          <w:szCs w:val="16"/>
          <w:shd w:val="clear" w:color="auto" w:fill="FFFFFF"/>
        </w:rPr>
        <w:t xml:space="preserve">Caso Gonzales </w:t>
      </w:r>
      <w:proofErr w:type="spellStart"/>
      <w:r w:rsidRPr="00ED79DB">
        <w:rPr>
          <w:rStyle w:val="Strong"/>
          <w:rFonts w:ascii="Verdana" w:hAnsi="Verdana"/>
          <w:b w:val="0"/>
          <w:i/>
          <w:color w:val="000000"/>
          <w:sz w:val="16"/>
          <w:szCs w:val="16"/>
          <w:shd w:val="clear" w:color="auto" w:fill="FFFFFF"/>
        </w:rPr>
        <w:t>Lluy</w:t>
      </w:r>
      <w:proofErr w:type="spellEnd"/>
      <w:r w:rsidRPr="00ED79DB">
        <w:rPr>
          <w:rStyle w:val="Strong"/>
          <w:rFonts w:ascii="Verdana" w:hAnsi="Verdana"/>
          <w:b w:val="0"/>
          <w:i/>
          <w:color w:val="000000"/>
          <w:sz w:val="16"/>
          <w:szCs w:val="16"/>
          <w:shd w:val="clear" w:color="auto" w:fill="FFFFFF"/>
        </w:rPr>
        <w:t xml:space="preserve"> y otros</w:t>
      </w:r>
      <w:r>
        <w:rPr>
          <w:rStyle w:val="Strong"/>
          <w:rFonts w:ascii="Verdana" w:hAnsi="Verdana"/>
          <w:b w:val="0"/>
          <w:i/>
          <w:color w:val="000000"/>
          <w:sz w:val="16"/>
          <w:szCs w:val="16"/>
          <w:shd w:val="clear" w:color="auto" w:fill="FFFFFF"/>
        </w:rPr>
        <w:t>, supra</w:t>
      </w:r>
      <w:r w:rsidRPr="00ED79DB">
        <w:rPr>
          <w:rFonts w:ascii="Verdana" w:eastAsiaTheme="minorHAnsi" w:hAnsi="Verdana" w:cstheme="minorBidi"/>
          <w:bCs/>
          <w:i/>
          <w:color w:val="000000"/>
          <w:sz w:val="16"/>
          <w:szCs w:val="16"/>
          <w:shd w:val="clear" w:color="auto" w:fill="FFFFFF"/>
          <w:lang w:val="es-CR"/>
        </w:rPr>
        <w:t xml:space="preserve">, </w:t>
      </w:r>
      <w:r w:rsidRPr="00ED79DB">
        <w:rPr>
          <w:rFonts w:ascii="Verdana" w:hAnsi="Verdana"/>
          <w:spacing w:val="-6"/>
          <w:sz w:val="16"/>
          <w:szCs w:val="16"/>
          <w:lang w:val="es-CR"/>
        </w:rPr>
        <w:t>párr. 31.</w:t>
      </w:r>
    </w:p>
  </w:footnote>
  <w:footnote w:id="18">
    <w:p w14:paraId="0C704D6D" w14:textId="1ED148A4" w:rsidR="006B2C5D" w:rsidRPr="00ED79DB" w:rsidRDefault="006B2C5D" w:rsidP="00ED79DB">
      <w:pPr>
        <w:tabs>
          <w:tab w:val="left" w:pos="567"/>
        </w:tabs>
        <w:jc w:val="both"/>
        <w:rPr>
          <w:rFonts w:ascii="Verdana" w:hAnsi="Verdana"/>
          <w:spacing w:val="-6"/>
          <w:sz w:val="16"/>
          <w:szCs w:val="16"/>
          <w:lang w:val="es-CR"/>
        </w:rPr>
      </w:pPr>
      <w:r w:rsidRPr="00ED79DB">
        <w:rPr>
          <w:rStyle w:val="FootnoteReference"/>
          <w:spacing w:val="-6"/>
          <w:sz w:val="16"/>
          <w:szCs w:val="16"/>
        </w:rPr>
        <w:footnoteRef/>
      </w:r>
      <w:r w:rsidRPr="00ED79DB">
        <w:rPr>
          <w:rFonts w:ascii="Verdana" w:hAnsi="Verdana" w:cs="Verdana"/>
          <w:spacing w:val="-6"/>
          <w:sz w:val="16"/>
          <w:szCs w:val="16"/>
          <w:lang w:val="es-ES"/>
        </w:rPr>
        <w:tab/>
      </w:r>
      <w:r w:rsidRPr="00ED79DB">
        <w:rPr>
          <w:rFonts w:ascii="Verdana" w:hAnsi="Verdana" w:cs="Verdana"/>
          <w:i/>
          <w:spacing w:val="-6"/>
          <w:sz w:val="16"/>
          <w:szCs w:val="16"/>
          <w:lang w:val="es-ES"/>
        </w:rPr>
        <w:t>Cfr. Caso Velásquez Rodríguez</w:t>
      </w:r>
      <w:r>
        <w:rPr>
          <w:rFonts w:ascii="Verdana" w:hAnsi="Verdana"/>
          <w:i/>
          <w:iCs/>
          <w:spacing w:val="-6"/>
          <w:sz w:val="16"/>
          <w:szCs w:val="16"/>
          <w:lang w:val="es-CR"/>
        </w:rPr>
        <w:t xml:space="preserve">, </w:t>
      </w:r>
      <w:r w:rsidRPr="00ED79DB">
        <w:rPr>
          <w:rFonts w:ascii="Verdana" w:hAnsi="Verdana" w:cs="Verdana"/>
          <w:bCs/>
          <w:i/>
          <w:spacing w:val="-6"/>
          <w:sz w:val="16"/>
          <w:szCs w:val="16"/>
          <w:lang w:val="es-ES"/>
        </w:rPr>
        <w:t xml:space="preserve">Excepciones Preliminares, </w:t>
      </w:r>
      <w:r>
        <w:rPr>
          <w:rFonts w:ascii="Verdana" w:hAnsi="Verdana" w:cs="Verdana"/>
          <w:bCs/>
          <w:i/>
          <w:spacing w:val="-6"/>
          <w:sz w:val="16"/>
          <w:szCs w:val="16"/>
          <w:lang w:val="es-ES"/>
        </w:rPr>
        <w:t xml:space="preserve">supra, </w:t>
      </w:r>
      <w:r w:rsidRPr="00ED79DB">
        <w:rPr>
          <w:rFonts w:ascii="Verdana" w:hAnsi="Verdana" w:cs="Verdana"/>
          <w:spacing w:val="-6"/>
          <w:sz w:val="16"/>
          <w:szCs w:val="16"/>
          <w:lang w:val="es-ES"/>
        </w:rPr>
        <w:t xml:space="preserve">párrs. 88 y 89, </w:t>
      </w:r>
      <w:r w:rsidRPr="00ED79DB">
        <w:rPr>
          <w:rFonts w:ascii="Verdana" w:hAnsi="Verdana" w:cs="Verdana"/>
          <w:spacing w:val="-6"/>
          <w:sz w:val="16"/>
          <w:szCs w:val="16"/>
          <w:lang w:val="es-CR"/>
        </w:rPr>
        <w:t xml:space="preserve">y </w:t>
      </w:r>
      <w:r w:rsidRPr="00ED79DB">
        <w:rPr>
          <w:rStyle w:val="Strong"/>
          <w:rFonts w:ascii="Verdana" w:hAnsi="Verdana"/>
          <w:b w:val="0"/>
          <w:i/>
          <w:color w:val="000000"/>
          <w:sz w:val="16"/>
          <w:szCs w:val="16"/>
          <w:shd w:val="clear" w:color="auto" w:fill="FFFFFF"/>
        </w:rPr>
        <w:t xml:space="preserve">Caso Gonzales </w:t>
      </w:r>
      <w:proofErr w:type="spellStart"/>
      <w:r w:rsidRPr="00ED79DB">
        <w:rPr>
          <w:rStyle w:val="Strong"/>
          <w:rFonts w:ascii="Verdana" w:hAnsi="Verdana"/>
          <w:b w:val="0"/>
          <w:i/>
          <w:color w:val="000000"/>
          <w:sz w:val="16"/>
          <w:szCs w:val="16"/>
          <w:shd w:val="clear" w:color="auto" w:fill="FFFFFF"/>
        </w:rPr>
        <w:t>Lluy</w:t>
      </w:r>
      <w:proofErr w:type="spellEnd"/>
      <w:r w:rsidRPr="00ED79DB">
        <w:rPr>
          <w:rStyle w:val="Strong"/>
          <w:rFonts w:ascii="Verdana" w:hAnsi="Verdana"/>
          <w:b w:val="0"/>
          <w:i/>
          <w:color w:val="000000"/>
          <w:sz w:val="16"/>
          <w:szCs w:val="16"/>
          <w:shd w:val="clear" w:color="auto" w:fill="FFFFFF"/>
        </w:rPr>
        <w:t xml:space="preserve"> y otros</w:t>
      </w:r>
      <w:r>
        <w:rPr>
          <w:rStyle w:val="Strong"/>
          <w:rFonts w:ascii="Verdana" w:hAnsi="Verdana"/>
          <w:b w:val="0"/>
          <w:i/>
          <w:color w:val="000000"/>
          <w:sz w:val="16"/>
          <w:szCs w:val="16"/>
          <w:shd w:val="clear" w:color="auto" w:fill="FFFFFF"/>
        </w:rPr>
        <w:t>, supra</w:t>
      </w:r>
      <w:r w:rsidRPr="00ED79DB">
        <w:rPr>
          <w:rFonts w:ascii="Verdana" w:eastAsiaTheme="minorHAnsi" w:hAnsi="Verdana" w:cstheme="minorBidi"/>
          <w:bCs/>
          <w:i/>
          <w:color w:val="000000"/>
          <w:sz w:val="16"/>
          <w:szCs w:val="16"/>
          <w:shd w:val="clear" w:color="auto" w:fill="FFFFFF"/>
          <w:lang w:val="es-CR"/>
        </w:rPr>
        <w:t xml:space="preserve">, </w:t>
      </w:r>
      <w:r w:rsidRPr="00ED79DB">
        <w:rPr>
          <w:rFonts w:ascii="Verdana" w:hAnsi="Verdana"/>
          <w:spacing w:val="-6"/>
          <w:sz w:val="16"/>
          <w:szCs w:val="16"/>
          <w:lang w:val="es-CR"/>
        </w:rPr>
        <w:t>párr. 27</w:t>
      </w:r>
      <w:r w:rsidRPr="00ED79DB">
        <w:rPr>
          <w:rFonts w:ascii="Verdana" w:hAnsi="Verdana" w:cs="Verdana"/>
          <w:spacing w:val="-6"/>
          <w:sz w:val="16"/>
          <w:szCs w:val="16"/>
          <w:lang w:val="es-CR"/>
        </w:rPr>
        <w:t>.</w:t>
      </w:r>
    </w:p>
  </w:footnote>
  <w:footnote w:id="19">
    <w:p w14:paraId="0C704D6E" w14:textId="5DDC6C82" w:rsidR="006B2C5D" w:rsidRPr="00ED79DB" w:rsidRDefault="006B2C5D" w:rsidP="00B15331">
      <w:pPr>
        <w:pStyle w:val="FootnoteText"/>
      </w:pPr>
      <w:r w:rsidRPr="00ED79DB">
        <w:rPr>
          <w:rStyle w:val="FootnoteReference"/>
          <w:sz w:val="16"/>
        </w:rPr>
        <w:footnoteRef/>
      </w:r>
      <w:r w:rsidRPr="00ED79DB">
        <w:t xml:space="preserve"> </w:t>
      </w:r>
      <w:r w:rsidRPr="00ED79DB">
        <w:tab/>
      </w:r>
      <w:r w:rsidRPr="00B17301">
        <w:rPr>
          <w:i/>
        </w:rPr>
        <w:t xml:space="preserve">Cfr. Caso </w:t>
      </w:r>
      <w:proofErr w:type="spellStart"/>
      <w:r w:rsidRPr="00B17301">
        <w:rPr>
          <w:i/>
        </w:rPr>
        <w:t>Mémoli</w:t>
      </w:r>
      <w:proofErr w:type="spellEnd"/>
      <w:r w:rsidRPr="00B17301">
        <w:rPr>
          <w:i/>
        </w:rPr>
        <w:t xml:space="preserve"> Vs. Argentina. Excepciones Preliminares, Fondo, Reparaciones y Costas. </w:t>
      </w:r>
      <w:r w:rsidRPr="00ED79DB">
        <w:t xml:space="preserve">Sentencia de 22 de agosto de 2013. Serie C No. 265, párr. 47, y </w:t>
      </w:r>
      <w:r w:rsidRPr="00A0324F">
        <w:rPr>
          <w:rStyle w:val="Strong"/>
          <w:b w:val="0"/>
          <w:i/>
          <w:color w:val="000000"/>
          <w:shd w:val="clear" w:color="auto" w:fill="FFFFFF"/>
        </w:rPr>
        <w:t>Caso Defensor de Derechos Humanos y otros Vs. Guatemala. Excepciones Preliminares, Fondo, Reparaciones y Costas.</w:t>
      </w:r>
      <w:r w:rsidRPr="00ED79DB">
        <w:rPr>
          <w:rStyle w:val="Strong"/>
          <w:b w:val="0"/>
          <w:color w:val="000000"/>
          <w:shd w:val="clear" w:color="auto" w:fill="FFFFFF"/>
        </w:rPr>
        <w:t xml:space="preserve"> Sentencia de 28 de agosto de 2014. Serie C No. 283, párr. 20.</w:t>
      </w:r>
    </w:p>
  </w:footnote>
  <w:footnote w:id="20">
    <w:p w14:paraId="0C704D6F" w14:textId="43B640C5" w:rsidR="006B2C5D" w:rsidRPr="00ED79DB" w:rsidRDefault="006B2C5D" w:rsidP="00B15331">
      <w:pPr>
        <w:pStyle w:val="FootnoteText"/>
      </w:pPr>
      <w:r w:rsidRPr="00ED79DB">
        <w:rPr>
          <w:rStyle w:val="FootnoteReference"/>
          <w:sz w:val="16"/>
        </w:rPr>
        <w:footnoteRef/>
      </w:r>
      <w:r w:rsidRPr="00ED79DB">
        <w:t xml:space="preserve"> </w:t>
      </w:r>
      <w:r w:rsidRPr="00ED79DB">
        <w:tab/>
        <w:t xml:space="preserve">La Corte constató que dicho monto se refería a un avalúo de las mejoras introducidas por los ocupantes de Río Miel, realizado por el Instituto Nacional Agrario en el año 2001 </w:t>
      </w:r>
      <w:r w:rsidRPr="00673F4B">
        <w:t>(</w:t>
      </w:r>
      <w:r w:rsidRPr="00673F4B">
        <w:rPr>
          <w:i/>
        </w:rPr>
        <w:t>infra</w:t>
      </w:r>
      <w:r w:rsidRPr="00673F4B">
        <w:t xml:space="preserve"> párr. </w:t>
      </w:r>
      <w:r w:rsidRPr="00A0324F">
        <w:t>115</w:t>
      </w:r>
      <w:r w:rsidRPr="00673F4B">
        <w:t>).</w:t>
      </w:r>
    </w:p>
  </w:footnote>
  <w:footnote w:id="21">
    <w:p w14:paraId="0C704D70" w14:textId="41DF9E35" w:rsidR="006B2C5D" w:rsidRPr="00ED79DB"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Escrito del Estado ante la CIDH de 19 de agosto de 2004 (expediente de prueba, folio 357).</w:t>
      </w:r>
    </w:p>
  </w:footnote>
  <w:footnote w:id="22">
    <w:p w14:paraId="0C704D71" w14:textId="6E7E8A2A" w:rsidR="006B2C5D" w:rsidRPr="00ED79DB" w:rsidRDefault="006B2C5D" w:rsidP="00B15331">
      <w:pPr>
        <w:pStyle w:val="FootnoteText"/>
      </w:pPr>
      <w:r w:rsidRPr="00ED79DB">
        <w:rPr>
          <w:rStyle w:val="FootnoteReference"/>
          <w:sz w:val="16"/>
        </w:rPr>
        <w:footnoteRef/>
      </w:r>
      <w:r w:rsidRPr="00ED79DB">
        <w:t xml:space="preserve"> </w:t>
      </w:r>
      <w:r w:rsidRPr="00ED79DB">
        <w:tab/>
        <w:t xml:space="preserve">En dicha oportunidad el Estado argumentó que “el conflicto de tierras de la </w:t>
      </w:r>
      <w:r>
        <w:t>Comunidad Garífuna de Punta Piedra</w:t>
      </w:r>
      <w:r w:rsidRPr="00ED79DB">
        <w:t xml:space="preserve"> no se resolvió por la vía prevista en la Ley de Conciliación y Arbitraje, sino ante una Comisión Interinstitucional Ad-hoc y representantes de la ODECO y OFRANEH, que realizó el avalúo de las mejoras útiles introducidas por dicha Comunidad Garífuna y agregó un presupuesto para gastos administrativos, por lo que ese acuerdo lo hemos considerado equivalente a la CONCILIACIÓN EXTRAJUDICIAL, a fin de que los interesados pudieran hacer uso de la vía administrativa, tal como está previsto en la Ley de Procedimiento Administrativo […] estableciéndose expresamente en el texto del artículo 146, que no se podrá demandar judicialmente, en materia de Derecho Privado al Estado, sin previo reclamo administrativo presentado ante el Titular del órgano o de la entidad respectiva. […] El acuerdo extrajudicial aludido, de ninguna manera debe entenderse como el “agotamiento de recursos internos” contenido en el [artículo] 46, inciso 1.a de la Convención Americana [sobre] Derechos Humanos.” </w:t>
      </w:r>
      <w:r w:rsidRPr="00ED79DB">
        <w:rPr>
          <w:i/>
        </w:rPr>
        <w:t>Cfr.</w:t>
      </w:r>
      <w:r w:rsidRPr="00ED79DB">
        <w:t xml:space="preserve"> Escrito del Estado ante la CIDH de 28 de octubre de 2004 (expediente de prueba, folios 331</w:t>
      </w:r>
      <w:r>
        <w:t xml:space="preserve"> y </w:t>
      </w:r>
      <w:r w:rsidRPr="00ED79DB">
        <w:t>332).</w:t>
      </w:r>
    </w:p>
  </w:footnote>
  <w:footnote w:id="23">
    <w:p w14:paraId="0C704D72" w14:textId="3038B444" w:rsidR="006B2C5D" w:rsidRPr="00ED79DB"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r>
      <w:r w:rsidRPr="00B17301">
        <w:rPr>
          <w:i/>
          <w:lang w:val="es-CR"/>
        </w:rPr>
        <w:t xml:space="preserve">Cfr. </w:t>
      </w:r>
      <w:r w:rsidRPr="00B17301">
        <w:rPr>
          <w:i/>
        </w:rPr>
        <w:t>Caso de personas dominicanas y haitianas expulsadas, supra,</w:t>
      </w:r>
      <w:r>
        <w:t xml:space="preserve"> </w:t>
      </w:r>
      <w:r w:rsidRPr="00ED79DB">
        <w:t>párr. 30.</w:t>
      </w:r>
    </w:p>
  </w:footnote>
  <w:footnote w:id="24">
    <w:p w14:paraId="0C704D76" w14:textId="5030F95A" w:rsidR="006B2C5D" w:rsidRDefault="006B2C5D" w:rsidP="00B15331">
      <w:pPr>
        <w:pStyle w:val="FootnoteText"/>
      </w:pPr>
      <w:r w:rsidRPr="00ED79DB">
        <w:rPr>
          <w:rStyle w:val="FootnoteReference"/>
          <w:sz w:val="16"/>
        </w:rPr>
        <w:footnoteRef/>
      </w:r>
      <w:r w:rsidRPr="00ED79DB">
        <w:t xml:space="preserve"> </w:t>
      </w:r>
      <w:r w:rsidRPr="00ED79DB">
        <w:tab/>
      </w:r>
      <w:r w:rsidRPr="00B17301">
        <w:rPr>
          <w:i/>
        </w:rPr>
        <w:t xml:space="preserve">Cfr. Caso </w:t>
      </w:r>
      <w:proofErr w:type="spellStart"/>
      <w:r w:rsidRPr="00B17301">
        <w:rPr>
          <w:i/>
        </w:rPr>
        <w:t>Huilca</w:t>
      </w:r>
      <w:proofErr w:type="spellEnd"/>
      <w:r w:rsidRPr="00B17301">
        <w:rPr>
          <w:i/>
        </w:rPr>
        <w:t xml:space="preserve"> </w:t>
      </w:r>
      <w:proofErr w:type="spellStart"/>
      <w:r w:rsidRPr="00B17301">
        <w:rPr>
          <w:i/>
        </w:rPr>
        <w:t>Tecse</w:t>
      </w:r>
      <w:proofErr w:type="spellEnd"/>
      <w:r w:rsidRPr="00B17301">
        <w:rPr>
          <w:i/>
        </w:rPr>
        <w:t xml:space="preserve"> Vs. Perú. Fondo, Reparaciones y Costas.</w:t>
      </w:r>
      <w:r w:rsidRPr="00ED79DB">
        <w:t xml:space="preserve"> Sentencia de 3 de marzo de 2005. Serie C No. 121, párr. 42, y </w:t>
      </w:r>
      <w:r w:rsidRPr="00ED79DB">
        <w:rPr>
          <w:rStyle w:val="Strong"/>
          <w:b w:val="0"/>
          <w:i/>
          <w:color w:val="000000"/>
          <w:shd w:val="clear" w:color="auto" w:fill="FFFFFF"/>
        </w:rPr>
        <w:t xml:space="preserve">Caso 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Fonts w:eastAsiaTheme="minorHAnsi" w:cstheme="minorBidi"/>
          <w:bCs/>
          <w:color w:val="000000"/>
          <w:shd w:val="clear" w:color="auto" w:fill="FFFFFF"/>
          <w:lang w:val="es-CR"/>
        </w:rPr>
        <w:t xml:space="preserve">, </w:t>
      </w:r>
      <w:r w:rsidRPr="00ED79DB">
        <w:rPr>
          <w:spacing w:val="-6"/>
          <w:lang w:val="es-CR"/>
        </w:rPr>
        <w:t>párr. 49</w:t>
      </w:r>
      <w:r w:rsidRPr="00ED79DB">
        <w:rPr>
          <w:rFonts w:cs="Verdana"/>
          <w:spacing w:val="-6"/>
          <w:lang w:val="es-CR"/>
        </w:rPr>
        <w:t>.</w:t>
      </w:r>
    </w:p>
  </w:footnote>
  <w:footnote w:id="25">
    <w:p w14:paraId="0C704D77" w14:textId="427FAFC7" w:rsidR="006B2C5D" w:rsidRDefault="006B2C5D" w:rsidP="00B15331">
      <w:pPr>
        <w:pStyle w:val="FootnoteText"/>
      </w:pPr>
      <w:r w:rsidRPr="00ED79DB">
        <w:rPr>
          <w:rStyle w:val="FootnoteReference"/>
          <w:sz w:val="16"/>
        </w:rPr>
        <w:footnoteRef/>
      </w:r>
      <w:r w:rsidRPr="00ED79DB">
        <w:t xml:space="preserve"> </w:t>
      </w:r>
      <w:r w:rsidRPr="00ED79DB">
        <w:tab/>
      </w:r>
      <w:r w:rsidRPr="00B17301">
        <w:rPr>
          <w:i/>
        </w:rPr>
        <w:t xml:space="preserve">Cfr. </w:t>
      </w:r>
      <w:r w:rsidRPr="00B17301">
        <w:rPr>
          <w:bCs/>
          <w:i/>
        </w:rPr>
        <w:t xml:space="preserve">Caso </w:t>
      </w:r>
      <w:proofErr w:type="spellStart"/>
      <w:r w:rsidRPr="00B17301">
        <w:rPr>
          <w:bCs/>
          <w:i/>
        </w:rPr>
        <w:t>Kimel</w:t>
      </w:r>
      <w:proofErr w:type="spellEnd"/>
      <w:r w:rsidRPr="00B17301">
        <w:rPr>
          <w:bCs/>
          <w:i/>
        </w:rPr>
        <w:t xml:space="preserve"> Vs. Argentina. </w:t>
      </w:r>
      <w:r w:rsidRPr="00B17301">
        <w:rPr>
          <w:i/>
        </w:rPr>
        <w:t xml:space="preserve">Fondo, Reparaciones y Costas. </w:t>
      </w:r>
      <w:r w:rsidRPr="00ED79DB">
        <w:t xml:space="preserve">Sentencia de 2 de mayo de 2008. Serie C No. 177, párr. 24, y </w:t>
      </w:r>
      <w:r w:rsidRPr="00ED79DB">
        <w:rPr>
          <w:rStyle w:val="Strong"/>
          <w:b w:val="0"/>
          <w:i/>
          <w:color w:val="000000"/>
          <w:shd w:val="clear" w:color="auto" w:fill="FFFFFF"/>
        </w:rPr>
        <w:t xml:space="preserve">Caso 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Fonts w:eastAsiaTheme="minorHAnsi" w:cstheme="minorBidi"/>
          <w:bCs/>
          <w:color w:val="000000"/>
          <w:shd w:val="clear" w:color="auto" w:fill="FFFFFF"/>
          <w:lang w:val="es-CR"/>
        </w:rPr>
        <w:t xml:space="preserve">, </w:t>
      </w:r>
      <w:r w:rsidRPr="00ED79DB">
        <w:rPr>
          <w:spacing w:val="-6"/>
          <w:lang w:val="es-CR"/>
        </w:rPr>
        <w:t>párr. 49</w:t>
      </w:r>
      <w:r w:rsidRPr="00ED79DB">
        <w:rPr>
          <w:rFonts w:cs="Verdana"/>
          <w:spacing w:val="-6"/>
          <w:lang w:val="es-CR"/>
        </w:rPr>
        <w:t>.</w:t>
      </w:r>
    </w:p>
  </w:footnote>
  <w:footnote w:id="26">
    <w:p w14:paraId="0C704D78" w14:textId="13B57E01" w:rsidR="006B2C5D"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r>
      <w:r w:rsidRPr="00A0324F">
        <w:rPr>
          <w:lang w:val="es-CR"/>
        </w:rPr>
        <w:t xml:space="preserve">Cfr. </w:t>
      </w:r>
      <w:r w:rsidRPr="00A0324F">
        <w:rPr>
          <w:rStyle w:val="Strong"/>
          <w:b w:val="0"/>
          <w:i/>
          <w:color w:val="000000"/>
          <w:shd w:val="clear" w:color="auto" w:fill="FFFFFF"/>
          <w:lang w:val="es-CR"/>
        </w:rPr>
        <w:t xml:space="preserve">Caso Myrna Mack Chang Vs. </w:t>
      </w:r>
      <w:r w:rsidRPr="00A0324F">
        <w:rPr>
          <w:rStyle w:val="Strong"/>
          <w:b w:val="0"/>
          <w:i/>
          <w:color w:val="000000"/>
          <w:shd w:val="clear" w:color="auto" w:fill="FFFFFF"/>
        </w:rPr>
        <w:t>Guatemala. Fondo, Reparaciones y Costas.</w:t>
      </w:r>
      <w:r w:rsidRPr="002F272A">
        <w:rPr>
          <w:rStyle w:val="Strong"/>
          <w:b w:val="0"/>
          <w:color w:val="000000"/>
          <w:shd w:val="clear" w:color="auto" w:fill="FFFFFF"/>
        </w:rPr>
        <w:t xml:space="preserve"> Sentencia de 25 de noviembre de 2003. Serie C No. 101</w:t>
      </w:r>
      <w:r>
        <w:rPr>
          <w:rStyle w:val="Strong"/>
          <w:b w:val="0"/>
          <w:color w:val="000000"/>
          <w:shd w:val="clear" w:color="auto" w:fill="FFFFFF"/>
        </w:rPr>
        <w:t>, párr. 105</w:t>
      </w:r>
      <w:r w:rsidRPr="00ED79DB">
        <w:rPr>
          <w:rStyle w:val="Strong"/>
          <w:b w:val="0"/>
          <w:color w:val="000000"/>
        </w:rPr>
        <w:t xml:space="preserve">, y </w:t>
      </w:r>
      <w:r w:rsidRPr="00ED79DB">
        <w:rPr>
          <w:rStyle w:val="Strong"/>
          <w:b w:val="0"/>
          <w:i/>
          <w:color w:val="000000"/>
          <w:shd w:val="clear" w:color="auto" w:fill="FFFFFF"/>
        </w:rPr>
        <w:t xml:space="preserve">Caso 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Fonts w:eastAsiaTheme="minorHAnsi" w:cstheme="minorBidi"/>
          <w:shd w:val="clear" w:color="auto" w:fill="FFFFFF"/>
          <w:lang w:val="es-CR"/>
        </w:rPr>
        <w:t xml:space="preserve">, </w:t>
      </w:r>
      <w:r w:rsidRPr="00ED79DB">
        <w:rPr>
          <w:spacing w:val="-6"/>
          <w:lang w:val="es-CR"/>
        </w:rPr>
        <w:t>párr. 49</w:t>
      </w:r>
      <w:r w:rsidRPr="00ED79DB">
        <w:rPr>
          <w:rFonts w:cs="Verdana"/>
          <w:spacing w:val="-6"/>
          <w:lang w:val="es-CR"/>
        </w:rPr>
        <w:t>.</w:t>
      </w:r>
    </w:p>
  </w:footnote>
  <w:footnote w:id="27">
    <w:p w14:paraId="0C704D79" w14:textId="6E4DD3AE" w:rsidR="006B2C5D" w:rsidRPr="00A0324F" w:rsidRDefault="006B2C5D">
      <w:pPr>
        <w:tabs>
          <w:tab w:val="left" w:pos="567"/>
        </w:tabs>
        <w:jc w:val="both"/>
        <w:rPr>
          <w:rFonts w:ascii="Verdana" w:hAnsi="Verdana"/>
          <w:bCs/>
          <w:color w:val="000000"/>
          <w:sz w:val="16"/>
          <w:szCs w:val="16"/>
          <w:shd w:val="clear" w:color="auto" w:fill="FFFFFF"/>
        </w:rPr>
      </w:pPr>
      <w:r w:rsidRPr="00ED79DB">
        <w:rPr>
          <w:rStyle w:val="FootnoteReference"/>
          <w:sz w:val="16"/>
          <w:szCs w:val="16"/>
        </w:rPr>
        <w:footnoteRef/>
      </w:r>
      <w:r w:rsidRPr="00A0324F">
        <w:rPr>
          <w:rFonts w:ascii="Verdana" w:hAnsi="Verdana"/>
          <w:sz w:val="16"/>
          <w:szCs w:val="16"/>
          <w:lang w:val="es-CR"/>
        </w:rPr>
        <w:t xml:space="preserve"> </w:t>
      </w:r>
      <w:r w:rsidRPr="00A0324F">
        <w:rPr>
          <w:rFonts w:ascii="Verdana" w:hAnsi="Verdana"/>
          <w:sz w:val="16"/>
          <w:szCs w:val="16"/>
          <w:lang w:val="es-CR"/>
        </w:rPr>
        <w:tab/>
      </w:r>
      <w:r w:rsidRPr="00A0324F">
        <w:rPr>
          <w:rFonts w:ascii="Verdana" w:hAnsi="Verdana"/>
          <w:i/>
          <w:sz w:val="16"/>
          <w:szCs w:val="16"/>
          <w:lang w:val="es-CR"/>
        </w:rPr>
        <w:t>Cfr.</w:t>
      </w:r>
      <w:r w:rsidRPr="00A0324F">
        <w:rPr>
          <w:rFonts w:ascii="Verdana" w:hAnsi="Verdana"/>
          <w:sz w:val="16"/>
          <w:szCs w:val="16"/>
          <w:lang w:val="es-CR"/>
        </w:rPr>
        <w:t xml:space="preserve"> </w:t>
      </w:r>
      <w:r w:rsidRPr="0076085D">
        <w:rPr>
          <w:rStyle w:val="Strong"/>
          <w:rFonts w:ascii="Verdana" w:hAnsi="Verdana"/>
          <w:b w:val="0"/>
          <w:i/>
          <w:color w:val="000000"/>
          <w:sz w:val="16"/>
          <w:szCs w:val="16"/>
          <w:shd w:val="clear" w:color="auto" w:fill="FFFFFF"/>
          <w:lang w:val="es-CR"/>
        </w:rPr>
        <w:t>Caso Myrna Mack Chang, supra</w:t>
      </w:r>
      <w:r w:rsidRPr="00A0324F">
        <w:rPr>
          <w:rFonts w:ascii="Verdana" w:hAnsi="Verdana"/>
          <w:color w:val="000000"/>
          <w:sz w:val="16"/>
          <w:szCs w:val="16"/>
          <w:lang w:val="es-CR"/>
        </w:rPr>
        <w:t xml:space="preserve">, párr. </w:t>
      </w:r>
      <w:r>
        <w:rPr>
          <w:rFonts w:ascii="Verdana" w:hAnsi="Verdana"/>
          <w:color w:val="000000"/>
          <w:sz w:val="16"/>
          <w:szCs w:val="16"/>
        </w:rPr>
        <w:t>116</w:t>
      </w:r>
      <w:r w:rsidRPr="00ED79DB">
        <w:rPr>
          <w:rFonts w:ascii="Verdana" w:hAnsi="Verdana"/>
          <w:color w:val="000000"/>
          <w:sz w:val="16"/>
          <w:szCs w:val="16"/>
        </w:rPr>
        <w:t xml:space="preserve">, y </w:t>
      </w:r>
      <w:r w:rsidRPr="00ED79DB">
        <w:rPr>
          <w:rStyle w:val="Strong"/>
          <w:rFonts w:ascii="Verdana" w:hAnsi="Verdana"/>
          <w:b w:val="0"/>
          <w:i/>
          <w:color w:val="000000"/>
          <w:sz w:val="16"/>
          <w:szCs w:val="16"/>
          <w:shd w:val="clear" w:color="auto" w:fill="FFFFFF"/>
        </w:rPr>
        <w:t>Caso Rodríguez Vera y otros (Desaparecidos del Palacio de Justicia) Vs. Colombia. Excepciones Preliminares, Fondo, Reparaciones y Costas.</w:t>
      </w:r>
      <w:r w:rsidRPr="00ED79DB">
        <w:rPr>
          <w:rStyle w:val="Strong"/>
          <w:rFonts w:ascii="Verdana" w:hAnsi="Verdana"/>
          <w:b w:val="0"/>
          <w:color w:val="000000"/>
          <w:sz w:val="16"/>
          <w:szCs w:val="16"/>
          <w:shd w:val="clear" w:color="auto" w:fill="FFFFFF"/>
        </w:rPr>
        <w:t xml:space="preserve"> Sentencia de 14 de noviembre de 2014. Serie C No. 287, párr. 33.</w:t>
      </w:r>
    </w:p>
  </w:footnote>
  <w:footnote w:id="28">
    <w:p w14:paraId="0C704D7B" w14:textId="3E28528A" w:rsidR="006B2C5D" w:rsidRDefault="006B2C5D" w:rsidP="00B15331">
      <w:pPr>
        <w:pStyle w:val="FootnoteText"/>
      </w:pPr>
      <w:r w:rsidRPr="00ED79DB">
        <w:rPr>
          <w:rStyle w:val="FootnoteReference"/>
          <w:sz w:val="16"/>
        </w:rPr>
        <w:footnoteRef/>
      </w:r>
      <w:r w:rsidRPr="00ED79DB">
        <w:t xml:space="preserve"> </w:t>
      </w:r>
      <w:r w:rsidRPr="00ED79DB">
        <w:tab/>
        <w:t>Adicionalmente, mediante comunicación de 10 de noviembre de 2014 remitida a la Corte ese mismo día, el Estado señaló que no ha cambiado su posición en la medida en que en la legislación nacional diferencia entre los pueblos indígenas y afro hondureños o afro descendientes. En este contexto, estimó pertinente aclarar que “las comunidades garífunas se les considera comunidades diferenciadas pero no indígenas originarias”.</w:t>
      </w:r>
    </w:p>
  </w:footnote>
  <w:footnote w:id="29">
    <w:p w14:paraId="0C704D7C" w14:textId="2BF34B9B"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Título definitivo de propiedad de 6 de diciembre de 1999 (expediente de prueba, folio 26).</w:t>
      </w:r>
    </w:p>
  </w:footnote>
  <w:footnote w:id="30">
    <w:p w14:paraId="0C704D7D" w14:textId="77777777" w:rsidR="006B2C5D" w:rsidRDefault="006B2C5D" w:rsidP="00B15331">
      <w:pPr>
        <w:pStyle w:val="FootnoteText"/>
      </w:pPr>
      <w:r w:rsidRPr="00ED79DB">
        <w:rPr>
          <w:rStyle w:val="FootnoteReference"/>
          <w:sz w:val="16"/>
        </w:rPr>
        <w:footnoteRef/>
      </w:r>
      <w:r w:rsidRPr="00ED79DB">
        <w:t xml:space="preserve"> </w:t>
      </w:r>
      <w:r w:rsidRPr="00ED79DB">
        <w:tab/>
      </w:r>
      <w:r w:rsidRPr="00B17301">
        <w:rPr>
          <w:i/>
        </w:rPr>
        <w:t xml:space="preserve">Cfr. Caso Acevedo Jaramillo y otros </w:t>
      </w:r>
      <w:r w:rsidRPr="00B17301">
        <w:rPr>
          <w:i/>
          <w:iCs/>
        </w:rPr>
        <w:t>Vs</w:t>
      </w:r>
      <w:r w:rsidRPr="00B17301">
        <w:rPr>
          <w:i/>
        </w:rPr>
        <w:t xml:space="preserve">. Perú. </w:t>
      </w:r>
      <w:r w:rsidRPr="00B17301">
        <w:rPr>
          <w:i/>
          <w:iCs/>
        </w:rPr>
        <w:t>Excepciones Preliminares, Fondo, Reparaciones y Costas</w:t>
      </w:r>
      <w:r w:rsidRPr="00B17301">
        <w:rPr>
          <w:i/>
        </w:rPr>
        <w:t xml:space="preserve">. </w:t>
      </w:r>
      <w:r w:rsidRPr="00ED79DB">
        <w:t xml:space="preserve">Sentencia de 7 de febrero de 2006, </w:t>
      </w:r>
      <w:r w:rsidRPr="00ED79DB">
        <w:rPr>
          <w:rFonts w:cs="Lucida Sans Unicode"/>
        </w:rPr>
        <w:t xml:space="preserve">Serie C No. 144, </w:t>
      </w:r>
      <w:r w:rsidRPr="00ED79DB">
        <w:t>párr. 167</w:t>
      </w:r>
      <w:r w:rsidRPr="00A0324F">
        <w:t>,</w:t>
      </w:r>
      <w:r w:rsidRPr="00ED79DB">
        <w:t xml:space="preserve"> y </w:t>
      </w:r>
      <w:r w:rsidRPr="00B17301">
        <w:rPr>
          <w:i/>
        </w:rPr>
        <w:t>Caso Masacre de Santo Domingo Vs. Colombia. Excepciones Preliminares, Fondo y Reparaciones.</w:t>
      </w:r>
      <w:r w:rsidRPr="00ED79DB">
        <w:t xml:space="preserve"> Sentencia de 30 de noviembre de 2012. Serie C No. 259, párr. 144.</w:t>
      </w:r>
    </w:p>
  </w:footnote>
  <w:footnote w:id="31">
    <w:p w14:paraId="0C704D7E" w14:textId="77777777" w:rsidR="006B2C5D" w:rsidRDefault="006B2C5D" w:rsidP="00B15331">
      <w:pPr>
        <w:pStyle w:val="FootnoteText"/>
        <w:rPr>
          <w:lang w:eastAsia="en-US"/>
        </w:rPr>
      </w:pPr>
      <w:r w:rsidRPr="00ED79DB">
        <w:rPr>
          <w:rStyle w:val="FootnoteReference"/>
          <w:spacing w:val="-2"/>
          <w:sz w:val="16"/>
        </w:rPr>
        <w:footnoteRef/>
      </w:r>
      <w:r w:rsidRPr="00ED79DB">
        <w:t xml:space="preserve"> </w:t>
      </w:r>
      <w:r w:rsidRPr="00ED79DB">
        <w:tab/>
      </w:r>
      <w:r w:rsidRPr="00B17301">
        <w:rPr>
          <w:i/>
        </w:rPr>
        <w:t xml:space="preserve">Cfr. Caso Neira Alegría y otros Vs. Perú. Excepciones Preliminares. </w:t>
      </w:r>
      <w:r w:rsidRPr="00ED79DB">
        <w:t xml:space="preserve">Sentencia de 11 de diciembre de 1991. Serie C No. 13, párr. 29, y </w:t>
      </w:r>
      <w:r w:rsidRPr="00B17301">
        <w:rPr>
          <w:i/>
        </w:rPr>
        <w:t>Caso García y familiares Vs. Guatemala. Fondo, Reparaciones y Costas.</w:t>
      </w:r>
      <w:r w:rsidRPr="00ED79DB">
        <w:t xml:space="preserve"> Sentencia de 29 de noviembre de 2012. Serie C No. 258, párr. 31.</w:t>
      </w:r>
    </w:p>
  </w:footnote>
  <w:footnote w:id="32">
    <w:p w14:paraId="0C704D7F" w14:textId="2FA83A1F" w:rsidR="006B2C5D" w:rsidRDefault="006B2C5D" w:rsidP="00B15331">
      <w:pPr>
        <w:pStyle w:val="FootnoteText"/>
      </w:pPr>
      <w:r w:rsidRPr="00ED79DB">
        <w:rPr>
          <w:rStyle w:val="FootnoteReference"/>
          <w:sz w:val="16"/>
        </w:rPr>
        <w:footnoteRef/>
      </w:r>
      <w:r w:rsidRPr="00A0324F">
        <w:t xml:space="preserve"> </w:t>
      </w:r>
      <w:r w:rsidRPr="00A0324F">
        <w:tab/>
      </w:r>
      <w:r w:rsidRPr="00B17301">
        <w:rPr>
          <w:i/>
        </w:rPr>
        <w:t xml:space="preserve">Cfr. </w:t>
      </w:r>
      <w:r w:rsidRPr="00B17301">
        <w:rPr>
          <w:rStyle w:val="Strong"/>
          <w:b w:val="0"/>
          <w:i/>
          <w:color w:val="000000"/>
          <w:shd w:val="clear" w:color="auto" w:fill="FFFFFF"/>
        </w:rPr>
        <w:t>Caso Neira Alegría y otros Vs. Perú, supra,</w:t>
      </w:r>
      <w:r>
        <w:rPr>
          <w:rStyle w:val="Strong"/>
          <w:b w:val="0"/>
          <w:i/>
          <w:color w:val="000000"/>
          <w:shd w:val="clear" w:color="auto" w:fill="FFFFFF"/>
        </w:rPr>
        <w:t xml:space="preserve"> </w:t>
      </w:r>
      <w:r>
        <w:t xml:space="preserve">párr. 29, y </w:t>
      </w:r>
      <w:r w:rsidRPr="00B17301">
        <w:rPr>
          <w:i/>
        </w:rPr>
        <w:t>Caso Masacre de Santo Domingo, supra,</w:t>
      </w:r>
      <w:r>
        <w:t xml:space="preserve"> </w:t>
      </w:r>
      <w:r w:rsidRPr="00ED79DB">
        <w:t>párr. 148.</w:t>
      </w:r>
    </w:p>
  </w:footnote>
  <w:footnote w:id="33">
    <w:p w14:paraId="0C704D80" w14:textId="6DDCBC3A"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Notas de la Secretaría de 24 de octubre, 3 y 19 de diciembre de 2014 (expediente de fondo, folios 589, 690 y 706). </w:t>
      </w:r>
    </w:p>
  </w:footnote>
  <w:footnote w:id="34">
    <w:p w14:paraId="0C704D81" w14:textId="482DE79E" w:rsidR="006B2C5D"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t xml:space="preserve">Sobre el </w:t>
      </w:r>
      <w:r w:rsidRPr="00ED79DB">
        <w:t xml:space="preserve">el proyecto hidroeléctrico “Los Chorros” ver nota de prensa disponible en </w:t>
      </w:r>
      <w:hyperlink r:id="rId4" w:history="1">
        <w:r w:rsidRPr="00ED79DB">
          <w:rPr>
            <w:rStyle w:val="Hyperlink"/>
          </w:rPr>
          <w:t>http://www.newsinamerica.com/pgint.php?id=10908</w:t>
        </w:r>
      </w:hyperlink>
      <w:r w:rsidRPr="00ED79DB">
        <w:t xml:space="preserve">. Sobre las actividades de exploración petrolera ver nota de prensa disponible en </w:t>
      </w:r>
      <w:hyperlink r:id="rId5" w:history="1">
        <w:r w:rsidRPr="00ED79DB">
          <w:rPr>
            <w:rStyle w:val="Hyperlink"/>
            <w:lang w:val="es-CR"/>
          </w:rPr>
          <w:t>http://www.elheraldo.hn/inicio/443116-331/bg-group-iniciara-exploracion-petrolera-en-la-mosquitia-de-honduras</w:t>
        </w:r>
      </w:hyperlink>
      <w:r w:rsidRPr="00ED79DB">
        <w:rPr>
          <w:lang w:val="es-CR"/>
        </w:rPr>
        <w:t xml:space="preserve">. Sobre la aprobación de la Ley de Pesca ver nota de prensa disponible en </w:t>
      </w:r>
      <w:hyperlink r:id="rId6" w:history="1">
        <w:r w:rsidRPr="00ED79DB">
          <w:rPr>
            <w:rStyle w:val="Hyperlink"/>
            <w:lang w:val="es-CR"/>
          </w:rPr>
          <w:t>http://www.latribuna.hn/2014/08/20/sustituyen-nueva-ley-de-pesca/</w:t>
        </w:r>
      </w:hyperlink>
      <w:r w:rsidRPr="00ED79DB">
        <w:rPr>
          <w:lang w:val="es-CR"/>
        </w:rPr>
        <w:t>.</w:t>
      </w:r>
    </w:p>
  </w:footnote>
  <w:footnote w:id="35">
    <w:p w14:paraId="0C704D83" w14:textId="7C7D535D" w:rsidR="006B2C5D" w:rsidRDefault="006B2C5D" w:rsidP="00B15331">
      <w:pPr>
        <w:pStyle w:val="FootnoteText"/>
      </w:pPr>
      <w:r w:rsidRPr="00ED79DB">
        <w:rPr>
          <w:rStyle w:val="FootnoteReference"/>
          <w:sz w:val="16"/>
        </w:rPr>
        <w:footnoteRef/>
      </w:r>
      <w:r w:rsidRPr="00ED79DB">
        <w:t xml:space="preserve"> </w:t>
      </w:r>
      <w:r w:rsidRPr="00ED79DB">
        <w:tab/>
      </w:r>
      <w:r w:rsidRPr="00B17301">
        <w:rPr>
          <w:i/>
        </w:rPr>
        <w:t xml:space="preserve">Cfr. </w:t>
      </w:r>
      <w:r w:rsidRPr="00B17301">
        <w:rPr>
          <w:rStyle w:val="Strong"/>
          <w:b w:val="0"/>
          <w:i/>
          <w:color w:val="000000"/>
          <w:shd w:val="clear" w:color="auto" w:fill="FFFFFF"/>
        </w:rPr>
        <w:t>Caso "Cinco Pensionistas" Vs. Perú. Fondo, Reparaciones y Costas.</w:t>
      </w:r>
      <w:r w:rsidRPr="00ED79DB">
        <w:rPr>
          <w:rStyle w:val="Strong"/>
          <w:b w:val="0"/>
          <w:color w:val="000000"/>
          <w:shd w:val="clear" w:color="auto" w:fill="FFFFFF"/>
        </w:rPr>
        <w:t xml:space="preserve"> Sentencia de 28 de febrero de 2003. Serie C No. 98, párr. 153, y </w:t>
      </w:r>
      <w:r w:rsidRPr="00B17301">
        <w:rPr>
          <w:i/>
        </w:rPr>
        <w:t xml:space="preserve">Caso Rodríguez Vera y otros (Desaparecidos del Palacio de Justicia), supra, </w:t>
      </w:r>
      <w:r w:rsidRPr="00ED79DB">
        <w:t>párr. 47.</w:t>
      </w:r>
    </w:p>
  </w:footnote>
  <w:footnote w:id="36">
    <w:p w14:paraId="0C704D86" w14:textId="77777777" w:rsidR="006B2C5D" w:rsidRPr="001D2BE2" w:rsidRDefault="006B2C5D" w:rsidP="00B15331">
      <w:pPr>
        <w:pStyle w:val="FootnoteText"/>
      </w:pPr>
      <w:r w:rsidRPr="001D2BE2">
        <w:rPr>
          <w:rStyle w:val="FootnoteReference"/>
          <w:sz w:val="16"/>
        </w:rPr>
        <w:footnoteRef/>
      </w:r>
      <w:r w:rsidRPr="001D2BE2">
        <w:t xml:space="preserve"> </w:t>
      </w:r>
      <w:r w:rsidRPr="001D2BE2">
        <w:tab/>
        <w:t xml:space="preserve">Los objetos de estas declaraciones se encuentran establecidos en la Resolución de la Presidencia de 31 de julio de 2014, </w:t>
      </w:r>
      <w:r w:rsidRPr="001D2BE2">
        <w:rPr>
          <w:i/>
        </w:rPr>
        <w:t>supra</w:t>
      </w:r>
      <w:r w:rsidRPr="001D2BE2">
        <w:t xml:space="preserve"> párr. 10.</w:t>
      </w:r>
    </w:p>
  </w:footnote>
  <w:footnote w:id="37">
    <w:p w14:paraId="0C704D87" w14:textId="132F373F" w:rsidR="006B2C5D" w:rsidRDefault="006B2C5D" w:rsidP="00B15331">
      <w:pPr>
        <w:pStyle w:val="FootnoteText"/>
      </w:pPr>
      <w:r w:rsidRPr="001D2BE2">
        <w:rPr>
          <w:rStyle w:val="FootnoteReference"/>
          <w:sz w:val="16"/>
        </w:rPr>
        <w:footnoteRef/>
      </w:r>
      <w:r w:rsidRPr="001D2BE2">
        <w:t xml:space="preserve"> </w:t>
      </w:r>
      <w:r w:rsidRPr="001D2BE2">
        <w:tab/>
      </w:r>
      <w:r w:rsidRPr="00B17301">
        <w:rPr>
          <w:i/>
        </w:rPr>
        <w:t>Cfr. Caso Velásquez Rodríguez, Fondo, supra,</w:t>
      </w:r>
      <w:r w:rsidRPr="001D2BE2">
        <w:t xml:space="preserve"> párr. 140, y </w:t>
      </w:r>
      <w:r w:rsidRPr="001D2BE2">
        <w:rPr>
          <w:rStyle w:val="Strong"/>
          <w:b w:val="0"/>
          <w:i/>
          <w:color w:val="000000"/>
          <w:shd w:val="clear" w:color="auto" w:fill="FFFFFF"/>
        </w:rPr>
        <w:t>Caso Omar Humberto Maldonado Vargas y otros Vs. Chile. Fondo, Reparaciones y Costas.</w:t>
      </w:r>
      <w:r w:rsidRPr="001D2BE2">
        <w:rPr>
          <w:rStyle w:val="Strong"/>
          <w:b w:val="0"/>
          <w:color w:val="000000"/>
          <w:shd w:val="clear" w:color="auto" w:fill="FFFFFF"/>
        </w:rPr>
        <w:t xml:space="preserve"> Sentencia de 02 de septiembre de 2015. Serie C No. 300, párr. 12.</w:t>
      </w:r>
    </w:p>
  </w:footnote>
  <w:footnote w:id="38">
    <w:p w14:paraId="0C704D88" w14:textId="5B52B116" w:rsidR="006B2C5D" w:rsidRDefault="006B2C5D" w:rsidP="00B15331">
      <w:pPr>
        <w:pStyle w:val="FootnoteText"/>
        <w:rPr>
          <w:spacing w:val="-4"/>
          <w:lang w:val="es-VE" w:eastAsia="en-US"/>
        </w:rPr>
      </w:pPr>
      <w:r w:rsidRPr="00ED79DB">
        <w:rPr>
          <w:rStyle w:val="FootnoteReference"/>
          <w:spacing w:val="-4"/>
          <w:sz w:val="16"/>
        </w:rPr>
        <w:footnoteRef/>
      </w:r>
      <w:r w:rsidRPr="00ED79DB">
        <w:rPr>
          <w:spacing w:val="-4"/>
        </w:rPr>
        <w:t xml:space="preserve"> </w:t>
      </w:r>
      <w:r w:rsidRPr="00ED79DB">
        <w:rPr>
          <w:spacing w:val="-4"/>
          <w:lang w:val="es-VE"/>
        </w:rPr>
        <w:tab/>
      </w:r>
      <w:r w:rsidRPr="00A0324F">
        <w:rPr>
          <w:i/>
          <w:spacing w:val="-4"/>
          <w:lang w:val="es-VE"/>
        </w:rPr>
        <w:t>Cfr.</w:t>
      </w:r>
      <w:r w:rsidRPr="00A0324F">
        <w:rPr>
          <w:i/>
          <w:spacing w:val="-4"/>
        </w:rPr>
        <w:t xml:space="preserve"> Caso Velásquez Rodríguez, Fondo,</w:t>
      </w:r>
      <w:r w:rsidRPr="00ED79DB">
        <w:rPr>
          <w:spacing w:val="-4"/>
        </w:rPr>
        <w:t xml:space="preserve"> </w:t>
      </w:r>
      <w:r w:rsidRPr="00A0324F">
        <w:rPr>
          <w:i/>
          <w:spacing w:val="-4"/>
        </w:rPr>
        <w:t>supra</w:t>
      </w:r>
      <w:r>
        <w:rPr>
          <w:spacing w:val="-4"/>
        </w:rPr>
        <w:t xml:space="preserve">, </w:t>
      </w:r>
      <w:r w:rsidRPr="00ED79DB">
        <w:rPr>
          <w:spacing w:val="-4"/>
        </w:rPr>
        <w:t>párr. 146, y</w:t>
      </w:r>
      <w:r w:rsidRPr="00ED79DB">
        <w:rPr>
          <w:spacing w:val="-4"/>
          <w:lang w:val="es-VE"/>
        </w:rPr>
        <w:t xml:space="preserve"> </w:t>
      </w:r>
      <w:r w:rsidRPr="00ED79DB">
        <w:rPr>
          <w:rStyle w:val="Strong"/>
          <w:b w:val="0"/>
          <w:i/>
          <w:color w:val="000000"/>
          <w:shd w:val="clear" w:color="auto" w:fill="FFFFFF"/>
        </w:rPr>
        <w:t>Caso Omar Humberto Maldonado Vargas y otros</w:t>
      </w:r>
      <w:r w:rsidRPr="00ED79DB">
        <w:t>,</w:t>
      </w:r>
      <w:r>
        <w:t xml:space="preserve"> </w:t>
      </w:r>
      <w:r w:rsidRPr="00A0324F">
        <w:rPr>
          <w:i/>
        </w:rPr>
        <w:t>supra,</w:t>
      </w:r>
      <w:r w:rsidRPr="00ED79DB">
        <w:t xml:space="preserve"> párr. 41</w:t>
      </w:r>
      <w:r w:rsidRPr="00ED79DB">
        <w:rPr>
          <w:rStyle w:val="Strong"/>
          <w:b w:val="0"/>
          <w:color w:val="000000"/>
          <w:shd w:val="clear" w:color="auto" w:fill="FFFFFF"/>
        </w:rPr>
        <w:t>.</w:t>
      </w:r>
      <w:r w:rsidRPr="00ED79DB">
        <w:rPr>
          <w:rStyle w:val="Strong"/>
          <w:color w:val="000000"/>
          <w:shd w:val="clear" w:color="auto" w:fill="FFFFFF"/>
        </w:rPr>
        <w:t xml:space="preserve"> </w:t>
      </w:r>
      <w:r w:rsidRPr="00ED79DB">
        <w:rPr>
          <w:rStyle w:val="Strong"/>
          <w:b w:val="0"/>
          <w:color w:val="000000"/>
          <w:shd w:val="clear" w:color="auto" w:fill="FFFFFF"/>
        </w:rPr>
        <w:t xml:space="preserve">Al respecto, se aportaron las notas de prensa señaladas en </w:t>
      </w:r>
      <w:r>
        <w:rPr>
          <w:rStyle w:val="Strong"/>
          <w:b w:val="0"/>
          <w:color w:val="000000"/>
          <w:shd w:val="clear" w:color="auto" w:fill="FFFFFF"/>
        </w:rPr>
        <w:t>el párrafo 65</w:t>
      </w:r>
      <w:r w:rsidRPr="00ED79DB">
        <w:rPr>
          <w:rStyle w:val="Strong"/>
          <w:b w:val="0"/>
          <w:color w:val="000000"/>
          <w:shd w:val="clear" w:color="auto" w:fill="FFFFFF"/>
        </w:rPr>
        <w:t xml:space="preserve">. </w:t>
      </w:r>
    </w:p>
  </w:footnote>
  <w:footnote w:id="39">
    <w:p w14:paraId="0C704D8A" w14:textId="77777777" w:rsidR="006B2C5D"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t>L</w:t>
      </w:r>
      <w:r w:rsidRPr="00ED79DB">
        <w:t xml:space="preserve">a Corte constata que en el Informe de Fondo la Comisión se refirió a las denuncias interpuestas a nivel interno y a la falta de investigación por parte del Estado en perjuicio de los miembros de la Comunidad de Punta Piedra. Asimismo, el Estado señaló durante el procedimiento ante la Corte, la existencia de una denuncia de usurpación interpuesta por Félix Ordóñez Suazo contra Luis Portillo en el año 2003. Respecto a estos hechos, la Corte estima que la información brindada por el Estado sobre la existencia de la denuncia de usurpación, complementa </w:t>
      </w:r>
      <w:r w:rsidRPr="00ED79DB">
        <w:rPr>
          <w:spacing w:val="-2"/>
        </w:rPr>
        <w:t xml:space="preserve">y aclara las actuaciones a nivel interno, las cuales forman parte del marco fáctico del referido </w:t>
      </w:r>
      <w:r w:rsidRPr="00ED79DB" w:rsidDel="004C6422">
        <w:rPr>
          <w:spacing w:val="-2"/>
        </w:rPr>
        <w:t xml:space="preserve">dicho </w:t>
      </w:r>
      <w:r w:rsidRPr="00ED79DB">
        <w:rPr>
          <w:spacing w:val="-2"/>
        </w:rPr>
        <w:t>Informe de Fondo (</w:t>
      </w:r>
      <w:r w:rsidRPr="00ED79DB">
        <w:rPr>
          <w:i/>
          <w:spacing w:val="-2"/>
        </w:rPr>
        <w:t>infra</w:t>
      </w:r>
      <w:r>
        <w:rPr>
          <w:spacing w:val="-2"/>
        </w:rPr>
        <w:t xml:space="preserve">, </w:t>
      </w:r>
      <w:r w:rsidRPr="00ED79DB">
        <w:rPr>
          <w:spacing w:val="-2"/>
        </w:rPr>
        <w:t xml:space="preserve">párrs. </w:t>
      </w:r>
      <w:r>
        <w:rPr>
          <w:spacing w:val="-2"/>
        </w:rPr>
        <w:t>133 a 136</w:t>
      </w:r>
      <w:r w:rsidRPr="00ED79DB">
        <w:rPr>
          <w:spacing w:val="-2"/>
        </w:rPr>
        <w:t xml:space="preserve">). </w:t>
      </w:r>
    </w:p>
  </w:footnote>
  <w:footnote w:id="40">
    <w:p w14:paraId="0C704D8B" w14:textId="001B794D" w:rsidR="006B2C5D" w:rsidRPr="00ED79DB" w:rsidRDefault="006B2C5D">
      <w:pPr>
        <w:tabs>
          <w:tab w:val="left" w:pos="567"/>
          <w:tab w:val="left" w:pos="709"/>
        </w:tabs>
        <w:jc w:val="both"/>
        <w:rPr>
          <w:rFonts w:ascii="Verdana" w:hAnsi="Verdana"/>
          <w:sz w:val="16"/>
          <w:szCs w:val="16"/>
        </w:rPr>
      </w:pPr>
      <w:r w:rsidRPr="00ED79DB">
        <w:rPr>
          <w:rStyle w:val="FootnoteReference"/>
          <w:sz w:val="16"/>
          <w:szCs w:val="16"/>
        </w:rPr>
        <w:footnoteRef/>
      </w:r>
      <w:r w:rsidRPr="00ED79DB">
        <w:rPr>
          <w:rFonts w:ascii="Verdana" w:hAnsi="Verdana"/>
          <w:sz w:val="16"/>
          <w:szCs w:val="16"/>
          <w:vertAlign w:val="superscript"/>
        </w:rPr>
        <w:t xml:space="preserve"> </w:t>
      </w:r>
      <w:r w:rsidRPr="00ED79DB">
        <w:rPr>
          <w:rFonts w:ascii="Verdana" w:hAnsi="Verdana"/>
          <w:sz w:val="16"/>
          <w:szCs w:val="16"/>
        </w:rPr>
        <w:tab/>
      </w:r>
      <w:r w:rsidRPr="00ED79DB">
        <w:rPr>
          <w:rFonts w:ascii="Verdana" w:hAnsi="Verdana"/>
          <w:i/>
          <w:sz w:val="16"/>
          <w:szCs w:val="16"/>
        </w:rPr>
        <w:t>Cfr.</w:t>
      </w:r>
      <w:r w:rsidRPr="00ED79DB">
        <w:rPr>
          <w:rFonts w:ascii="Verdana" w:hAnsi="Verdana"/>
          <w:bCs/>
          <w:i/>
          <w:sz w:val="16"/>
          <w:szCs w:val="16"/>
        </w:rPr>
        <w:t xml:space="preserve"> </w:t>
      </w:r>
      <w:r w:rsidRPr="00ED79DB">
        <w:rPr>
          <w:rFonts w:ascii="Verdana" w:hAnsi="Verdana"/>
          <w:i/>
          <w:sz w:val="16"/>
          <w:szCs w:val="16"/>
        </w:rPr>
        <w:t xml:space="preserve">Caso de la “Panel Blanca” (Paniagua Morales y otros) Vs. Guatemala. Fondo. </w:t>
      </w:r>
      <w:r w:rsidRPr="00ED79DB">
        <w:rPr>
          <w:rFonts w:ascii="Verdana" w:hAnsi="Verdana"/>
          <w:sz w:val="16"/>
          <w:szCs w:val="16"/>
        </w:rPr>
        <w:t xml:space="preserve">Sentencia de 8 de marzo de 1998. Serie C No. 37, párrs. 69 a 76, y </w:t>
      </w:r>
      <w:r w:rsidRPr="00ED79DB">
        <w:rPr>
          <w:rStyle w:val="Strong"/>
          <w:rFonts w:ascii="Verdana" w:hAnsi="Verdana"/>
          <w:b w:val="0"/>
          <w:i/>
          <w:color w:val="000000"/>
          <w:sz w:val="16"/>
          <w:szCs w:val="16"/>
          <w:shd w:val="clear" w:color="auto" w:fill="FFFFFF"/>
        </w:rPr>
        <w:t xml:space="preserve">Caso Omar Humberto Maldonado Vargas y </w:t>
      </w:r>
      <w:r w:rsidRPr="00A0324F">
        <w:rPr>
          <w:rStyle w:val="Strong"/>
          <w:rFonts w:ascii="Verdana" w:hAnsi="Verdana"/>
          <w:b w:val="0"/>
          <w:i/>
          <w:color w:val="000000"/>
          <w:sz w:val="16"/>
          <w:szCs w:val="16"/>
          <w:shd w:val="clear" w:color="auto" w:fill="FFFFFF"/>
        </w:rPr>
        <w:t>otros</w:t>
      </w:r>
      <w:r w:rsidRPr="00A0324F">
        <w:rPr>
          <w:rFonts w:ascii="Verdana" w:hAnsi="Verdana"/>
          <w:sz w:val="16"/>
          <w:szCs w:val="16"/>
        </w:rPr>
        <w:t xml:space="preserve">, </w:t>
      </w:r>
      <w:r w:rsidRPr="00A0324F">
        <w:rPr>
          <w:rFonts w:ascii="Verdana" w:hAnsi="Verdana"/>
          <w:i/>
          <w:sz w:val="16"/>
          <w:szCs w:val="16"/>
        </w:rPr>
        <w:t>supra,</w:t>
      </w:r>
      <w:r w:rsidRPr="00ED79DB">
        <w:t xml:space="preserve"> </w:t>
      </w:r>
      <w:r w:rsidRPr="00ED79DB">
        <w:rPr>
          <w:rFonts w:ascii="Verdana" w:hAnsi="Verdana"/>
          <w:sz w:val="16"/>
          <w:szCs w:val="16"/>
        </w:rPr>
        <w:t>párr. 16</w:t>
      </w:r>
      <w:r w:rsidRPr="00ED79DB">
        <w:rPr>
          <w:rFonts w:ascii="Verdana" w:hAnsi="Verdana"/>
          <w:bCs/>
          <w:sz w:val="16"/>
          <w:szCs w:val="16"/>
        </w:rPr>
        <w:t>.</w:t>
      </w:r>
    </w:p>
  </w:footnote>
  <w:footnote w:id="41">
    <w:p w14:paraId="0C704D8C" w14:textId="3E720E83" w:rsidR="006B2C5D" w:rsidRPr="00ED79DB" w:rsidRDefault="006B2C5D">
      <w:pPr>
        <w:tabs>
          <w:tab w:val="left" w:pos="567"/>
          <w:tab w:val="left" w:pos="709"/>
        </w:tabs>
        <w:jc w:val="both"/>
        <w:rPr>
          <w:rFonts w:ascii="Verdana" w:hAnsi="Verdana"/>
          <w:i/>
          <w:sz w:val="16"/>
          <w:szCs w:val="16"/>
        </w:rPr>
      </w:pPr>
      <w:r w:rsidRPr="00ED79DB">
        <w:rPr>
          <w:rStyle w:val="FootnoteReference"/>
          <w:sz w:val="16"/>
          <w:szCs w:val="16"/>
        </w:rPr>
        <w:footnoteRef/>
      </w:r>
      <w:r w:rsidRPr="00ED79DB">
        <w:rPr>
          <w:rFonts w:ascii="Verdana" w:hAnsi="Verdana"/>
          <w:sz w:val="16"/>
          <w:szCs w:val="16"/>
          <w:vertAlign w:val="superscript"/>
        </w:rPr>
        <w:t xml:space="preserve"> </w:t>
      </w:r>
      <w:r w:rsidRPr="00ED79DB">
        <w:rPr>
          <w:rFonts w:ascii="Verdana" w:hAnsi="Verdana"/>
          <w:sz w:val="16"/>
          <w:szCs w:val="16"/>
        </w:rPr>
        <w:tab/>
      </w:r>
      <w:r w:rsidRPr="00ED79DB">
        <w:rPr>
          <w:rFonts w:ascii="Verdana" w:hAnsi="Verdana"/>
          <w:i/>
          <w:sz w:val="16"/>
          <w:szCs w:val="16"/>
        </w:rPr>
        <w:t>Cfr</w:t>
      </w:r>
      <w:r w:rsidRPr="00ED79DB">
        <w:rPr>
          <w:rFonts w:ascii="Verdana" w:hAnsi="Verdana"/>
          <w:sz w:val="16"/>
          <w:szCs w:val="16"/>
        </w:rPr>
        <w:t xml:space="preserve">. </w:t>
      </w:r>
      <w:r w:rsidRPr="00ED79DB">
        <w:rPr>
          <w:rFonts w:ascii="Verdana" w:hAnsi="Verdana"/>
          <w:i/>
          <w:sz w:val="16"/>
          <w:szCs w:val="16"/>
        </w:rPr>
        <w:t>Caso de la “Panel Blanca” (Paniagua Morales y otros)</w:t>
      </w:r>
      <w:r>
        <w:rPr>
          <w:rFonts w:ascii="Verdana" w:hAnsi="Verdana"/>
          <w:i/>
          <w:sz w:val="16"/>
          <w:szCs w:val="16"/>
        </w:rPr>
        <w:t xml:space="preserve">, </w:t>
      </w:r>
      <w:r w:rsidRPr="00ED79DB">
        <w:rPr>
          <w:rFonts w:ascii="Verdana" w:hAnsi="Verdana"/>
          <w:i/>
          <w:sz w:val="16"/>
          <w:szCs w:val="16"/>
        </w:rPr>
        <w:t>Fondo</w:t>
      </w:r>
      <w:r>
        <w:rPr>
          <w:rFonts w:ascii="Verdana" w:hAnsi="Verdana"/>
          <w:sz w:val="16"/>
          <w:szCs w:val="16"/>
        </w:rPr>
        <w:t xml:space="preserve">, </w:t>
      </w:r>
      <w:r w:rsidRPr="00A0324F">
        <w:rPr>
          <w:rFonts w:ascii="Verdana" w:hAnsi="Verdana"/>
          <w:i/>
          <w:sz w:val="16"/>
          <w:szCs w:val="16"/>
        </w:rPr>
        <w:t>supra</w:t>
      </w:r>
      <w:r>
        <w:rPr>
          <w:rFonts w:ascii="Verdana" w:hAnsi="Verdana"/>
          <w:sz w:val="16"/>
          <w:szCs w:val="16"/>
        </w:rPr>
        <w:t xml:space="preserve">, </w:t>
      </w:r>
      <w:r w:rsidRPr="00ED79DB">
        <w:rPr>
          <w:rFonts w:ascii="Verdana" w:hAnsi="Verdana"/>
          <w:sz w:val="16"/>
          <w:szCs w:val="16"/>
        </w:rPr>
        <w:t xml:space="preserve">párr. 76, y </w:t>
      </w:r>
      <w:r w:rsidRPr="00ED79DB">
        <w:rPr>
          <w:rStyle w:val="Strong"/>
          <w:rFonts w:ascii="Verdana" w:hAnsi="Verdana"/>
          <w:b w:val="0"/>
          <w:i/>
          <w:color w:val="000000"/>
          <w:sz w:val="16"/>
          <w:szCs w:val="16"/>
          <w:shd w:val="clear" w:color="auto" w:fill="FFFFFF"/>
        </w:rPr>
        <w:t xml:space="preserve">Caso Omar Humberto Maldonado Vargas y </w:t>
      </w:r>
      <w:r w:rsidRPr="00A0324F">
        <w:rPr>
          <w:rStyle w:val="Strong"/>
          <w:rFonts w:ascii="Verdana" w:hAnsi="Verdana"/>
          <w:b w:val="0"/>
          <w:i/>
          <w:color w:val="000000"/>
          <w:sz w:val="16"/>
          <w:szCs w:val="16"/>
          <w:shd w:val="clear" w:color="auto" w:fill="FFFFFF"/>
        </w:rPr>
        <w:t>otros</w:t>
      </w:r>
      <w:r w:rsidRPr="00A0324F">
        <w:rPr>
          <w:rFonts w:ascii="Verdana" w:hAnsi="Verdana"/>
          <w:sz w:val="16"/>
          <w:szCs w:val="16"/>
        </w:rPr>
        <w:t xml:space="preserve">, </w:t>
      </w:r>
      <w:r w:rsidRPr="00A0324F">
        <w:rPr>
          <w:rFonts w:ascii="Verdana" w:hAnsi="Verdana"/>
          <w:i/>
          <w:sz w:val="16"/>
          <w:szCs w:val="16"/>
        </w:rPr>
        <w:t>supra</w:t>
      </w:r>
      <w:r w:rsidRPr="00D67E4C">
        <w:rPr>
          <w:rFonts w:ascii="Verdana" w:hAnsi="Verdana"/>
          <w:sz w:val="16"/>
          <w:szCs w:val="16"/>
        </w:rPr>
        <w:t>,</w:t>
      </w:r>
      <w:r w:rsidRPr="00ED79DB">
        <w:rPr>
          <w:rFonts w:ascii="Verdana" w:hAnsi="Verdana"/>
          <w:sz w:val="16"/>
          <w:szCs w:val="16"/>
        </w:rPr>
        <w:t xml:space="preserve"> párr. 16.</w:t>
      </w:r>
    </w:p>
  </w:footnote>
  <w:footnote w:id="42">
    <w:p w14:paraId="0C704D8D" w14:textId="5D8A6413" w:rsidR="006B2C5D" w:rsidRPr="00ED79DB" w:rsidRDefault="006B2C5D">
      <w:pPr>
        <w:tabs>
          <w:tab w:val="left" w:pos="567"/>
          <w:tab w:val="left" w:pos="709"/>
        </w:tabs>
        <w:jc w:val="both"/>
        <w:rPr>
          <w:rFonts w:ascii="Verdana" w:hAnsi="Verdana"/>
          <w:sz w:val="16"/>
          <w:szCs w:val="16"/>
        </w:rPr>
      </w:pPr>
      <w:r w:rsidRPr="00ED79DB">
        <w:rPr>
          <w:rStyle w:val="FootnoteReference"/>
          <w:sz w:val="16"/>
          <w:szCs w:val="16"/>
        </w:rPr>
        <w:footnoteRef/>
      </w:r>
      <w:r w:rsidRPr="00ED79DB">
        <w:rPr>
          <w:rFonts w:ascii="Verdana" w:hAnsi="Verdana"/>
          <w:sz w:val="16"/>
          <w:szCs w:val="16"/>
        </w:rPr>
        <w:t xml:space="preserve"> </w:t>
      </w:r>
      <w:r w:rsidRPr="00ED79DB">
        <w:rPr>
          <w:rFonts w:ascii="Verdana" w:hAnsi="Verdana"/>
          <w:sz w:val="16"/>
          <w:szCs w:val="16"/>
        </w:rPr>
        <w:tab/>
      </w:r>
      <w:r w:rsidRPr="00ED79DB">
        <w:rPr>
          <w:rFonts w:ascii="Verdana" w:hAnsi="Verdana"/>
          <w:i/>
          <w:sz w:val="16"/>
          <w:szCs w:val="16"/>
        </w:rPr>
        <w:t xml:space="preserve">Cfr. Caso Loayza Tamayo Vs. Perú. Fondo. </w:t>
      </w:r>
      <w:r w:rsidRPr="00ED79DB">
        <w:rPr>
          <w:rFonts w:ascii="Verdana" w:hAnsi="Verdana"/>
          <w:sz w:val="16"/>
          <w:szCs w:val="16"/>
        </w:rPr>
        <w:t xml:space="preserve">Sentencia de 17 de septiembre de 1997. Serie C No. 33, párr. 43, y </w:t>
      </w:r>
      <w:r w:rsidRPr="00ED79DB">
        <w:rPr>
          <w:rStyle w:val="Strong"/>
          <w:rFonts w:ascii="Verdana" w:hAnsi="Verdana"/>
          <w:b w:val="0"/>
          <w:i/>
          <w:color w:val="000000"/>
          <w:sz w:val="16"/>
          <w:szCs w:val="16"/>
          <w:shd w:val="clear" w:color="auto" w:fill="FFFFFF"/>
        </w:rPr>
        <w:t xml:space="preserve">Caso Omar Humberto Maldonado Vargas y </w:t>
      </w:r>
      <w:r w:rsidRPr="00A0324F">
        <w:rPr>
          <w:rStyle w:val="Strong"/>
          <w:rFonts w:ascii="Verdana" w:hAnsi="Verdana"/>
          <w:b w:val="0"/>
          <w:i/>
          <w:color w:val="000000"/>
          <w:sz w:val="16"/>
          <w:szCs w:val="16"/>
          <w:shd w:val="clear" w:color="auto" w:fill="FFFFFF"/>
        </w:rPr>
        <w:t>otros</w:t>
      </w:r>
      <w:r w:rsidRPr="00A0324F">
        <w:rPr>
          <w:rFonts w:ascii="Verdana" w:hAnsi="Verdana"/>
          <w:sz w:val="16"/>
          <w:szCs w:val="16"/>
        </w:rPr>
        <w:t xml:space="preserve">, </w:t>
      </w:r>
      <w:r w:rsidRPr="00A0324F">
        <w:rPr>
          <w:rFonts w:ascii="Verdana" w:hAnsi="Verdana"/>
          <w:i/>
          <w:sz w:val="16"/>
          <w:szCs w:val="16"/>
        </w:rPr>
        <w:t>supra,</w:t>
      </w:r>
      <w:r>
        <w:t xml:space="preserve"> </w:t>
      </w:r>
      <w:r w:rsidRPr="00ED79DB">
        <w:rPr>
          <w:rFonts w:ascii="Verdana" w:hAnsi="Verdana"/>
          <w:sz w:val="16"/>
          <w:szCs w:val="16"/>
        </w:rPr>
        <w:t>párr. 16.</w:t>
      </w:r>
    </w:p>
  </w:footnote>
  <w:footnote w:id="43">
    <w:p w14:paraId="0C704D8E" w14:textId="77777777" w:rsidR="006B2C5D" w:rsidRPr="00DD5254" w:rsidRDefault="006B2C5D" w:rsidP="00B15331">
      <w:pPr>
        <w:pStyle w:val="FootnoteText"/>
      </w:pPr>
      <w:r w:rsidRPr="005F0208">
        <w:rPr>
          <w:rStyle w:val="FootnoteReference"/>
          <w:sz w:val="16"/>
        </w:rPr>
        <w:footnoteRef/>
      </w:r>
      <w:r w:rsidRPr="005F0208">
        <w:t xml:space="preserve"> </w:t>
      </w:r>
      <w:r w:rsidRPr="005F0208">
        <w:tab/>
      </w:r>
      <w:r w:rsidRPr="00B17301">
        <w:rPr>
          <w:i/>
        </w:rPr>
        <w:t xml:space="preserve">Cfr. Caso Pueblo Indígena </w:t>
      </w:r>
      <w:proofErr w:type="spellStart"/>
      <w:r w:rsidRPr="00B17301">
        <w:rPr>
          <w:i/>
        </w:rPr>
        <w:t>Kichwa</w:t>
      </w:r>
      <w:proofErr w:type="spellEnd"/>
      <w:r w:rsidRPr="00B17301">
        <w:rPr>
          <w:i/>
        </w:rPr>
        <w:t xml:space="preserve"> de </w:t>
      </w:r>
      <w:proofErr w:type="spellStart"/>
      <w:r w:rsidRPr="00B17301">
        <w:rPr>
          <w:i/>
        </w:rPr>
        <w:t>Sarayaku</w:t>
      </w:r>
      <w:proofErr w:type="spellEnd"/>
      <w:r w:rsidRPr="00B17301">
        <w:rPr>
          <w:i/>
        </w:rPr>
        <w:t xml:space="preserve"> Vs. Ecuador. Fondo y Reparaciones.</w:t>
      </w:r>
      <w:r w:rsidRPr="005F0208">
        <w:t xml:space="preserve"> Sentencia de 27 de junio de 2012. </w:t>
      </w:r>
      <w:r w:rsidRPr="00DD5254">
        <w:t>Serie C No. 245, párr. 49.</w:t>
      </w:r>
    </w:p>
  </w:footnote>
  <w:footnote w:id="44">
    <w:p w14:paraId="0C704D8F" w14:textId="77777777" w:rsidR="006B2C5D" w:rsidRPr="006B396A" w:rsidRDefault="006B2C5D" w:rsidP="00B15331">
      <w:pPr>
        <w:pStyle w:val="FootnoteText"/>
      </w:pPr>
      <w:r w:rsidRPr="00DD5254">
        <w:rPr>
          <w:rStyle w:val="FootnoteReference"/>
          <w:sz w:val="16"/>
        </w:rPr>
        <w:footnoteRef/>
      </w:r>
      <w:r w:rsidRPr="006B396A">
        <w:t xml:space="preserve"> </w:t>
      </w:r>
      <w:r w:rsidRPr="006B396A">
        <w:tab/>
      </w:r>
      <w:r w:rsidRPr="006B396A">
        <w:rPr>
          <w:i/>
        </w:rPr>
        <w:t>Cfr.</w:t>
      </w:r>
      <w:r w:rsidRPr="006B396A">
        <w:t xml:space="preserve"> </w:t>
      </w:r>
      <w:r w:rsidRPr="00553D5C">
        <w:t>Panel de Inspección del Banco Mundial. Informe de Investigación sobre Programa de Administración de Tierras d</w:t>
      </w:r>
      <w:r w:rsidRPr="005F0208">
        <w:t>e Honduras. Informe No. 39933-</w:t>
      </w:r>
      <w:r w:rsidRPr="00553D5C">
        <w:t>HN</w:t>
      </w:r>
      <w:r>
        <w:t>, 12 de junio de 2007, p.</w:t>
      </w:r>
      <w:r w:rsidRPr="005F0208">
        <w:t xml:space="preserve"> 17, párr. 74</w:t>
      </w:r>
      <w:r>
        <w:t xml:space="preserve">. </w:t>
      </w:r>
      <w:r w:rsidRPr="00553D5C">
        <w:t xml:space="preserve">Disponible en: </w:t>
      </w:r>
      <w:hyperlink r:id="rId7" w:history="1">
        <w:r w:rsidRPr="00553D5C">
          <w:rPr>
            <w:rStyle w:val="Hyperlink"/>
          </w:rPr>
          <w:t>http://siteresources.worldbank.org/EXTINSPECTIONPANEL/Resources/HondurasFINAL</w:t>
        </w:r>
        <w:r w:rsidRPr="002D44D5">
          <w:rPr>
            <w:rStyle w:val="Hyperlink"/>
          </w:rPr>
          <w:t>INVESTIGATIONREPORTSpanishTrad.p</w:t>
        </w:r>
        <w:r w:rsidRPr="00553D5C">
          <w:rPr>
            <w:rStyle w:val="Hyperlink"/>
          </w:rPr>
          <w:t>df</w:t>
        </w:r>
      </w:hyperlink>
      <w:r>
        <w:t>.</w:t>
      </w:r>
    </w:p>
  </w:footnote>
  <w:footnote w:id="45">
    <w:p w14:paraId="0C704D90" w14:textId="6AE7AC30" w:rsidR="006B2C5D" w:rsidRDefault="006B2C5D" w:rsidP="00B15331">
      <w:pPr>
        <w:pStyle w:val="FootnoteText"/>
      </w:pPr>
      <w:r w:rsidRPr="006B396A">
        <w:rPr>
          <w:rStyle w:val="FootnoteReference"/>
          <w:sz w:val="16"/>
        </w:rPr>
        <w:footnoteRef/>
      </w:r>
      <w:r w:rsidRPr="006B396A">
        <w:t xml:space="preserve"> </w:t>
      </w:r>
      <w:r w:rsidRPr="006B396A">
        <w:tab/>
      </w:r>
      <w:r w:rsidRPr="006B396A">
        <w:rPr>
          <w:i/>
        </w:rPr>
        <w:t>Cfr.</w:t>
      </w:r>
      <w:r w:rsidRPr="000531BF">
        <w:t xml:space="preserve"> </w:t>
      </w:r>
      <w:r w:rsidRPr="00A0324F">
        <w:t>Panel de Inspección del Banco Mundial. Informe de Investigación sobre Programa de Administración de Tierras d</w:t>
      </w:r>
      <w:r w:rsidRPr="005F0208">
        <w:t>e Honduras,</w:t>
      </w:r>
      <w:r>
        <w:t xml:space="preserve"> </w:t>
      </w:r>
      <w:r w:rsidRPr="00A0324F">
        <w:rPr>
          <w:i/>
        </w:rPr>
        <w:t>supra,</w:t>
      </w:r>
      <w:r>
        <w:t xml:space="preserve"> p. </w:t>
      </w:r>
      <w:r w:rsidRPr="005F0208">
        <w:t xml:space="preserve">17, párr. 74, </w:t>
      </w:r>
      <w:r w:rsidRPr="00F318EF">
        <w:rPr>
          <w:lang w:val="es-CR"/>
        </w:rPr>
        <w:t>refiriéndose</w:t>
      </w:r>
      <w:r w:rsidRPr="00A0324F">
        <w:rPr>
          <w:lang w:val="es-CR"/>
        </w:rPr>
        <w:t xml:space="preserve"> respecto del número de 98.000 personas a un estudio del </w:t>
      </w:r>
      <w:r w:rsidRPr="00A0324F">
        <w:rPr>
          <w:i/>
          <w:lang w:val="es-CR"/>
        </w:rPr>
        <w:t xml:space="preserve">Central American and </w:t>
      </w:r>
      <w:proofErr w:type="spellStart"/>
      <w:r w:rsidRPr="00A0324F">
        <w:rPr>
          <w:i/>
          <w:lang w:val="es-CR"/>
        </w:rPr>
        <w:t>Caribbean</w:t>
      </w:r>
      <w:proofErr w:type="spellEnd"/>
      <w:r w:rsidRPr="00A0324F">
        <w:rPr>
          <w:i/>
          <w:lang w:val="es-CR"/>
        </w:rPr>
        <w:t xml:space="preserve"> </w:t>
      </w:r>
      <w:proofErr w:type="spellStart"/>
      <w:r w:rsidRPr="00A0324F">
        <w:rPr>
          <w:i/>
          <w:lang w:val="es-CR"/>
        </w:rPr>
        <w:t>Research</w:t>
      </w:r>
      <w:proofErr w:type="spellEnd"/>
      <w:r w:rsidRPr="00A0324F">
        <w:rPr>
          <w:i/>
          <w:lang w:val="es-CR"/>
        </w:rPr>
        <w:t xml:space="preserve"> Council</w:t>
      </w:r>
      <w:r w:rsidRPr="00A0324F">
        <w:rPr>
          <w:lang w:val="es-CR"/>
        </w:rPr>
        <w:t xml:space="preserve"> (CACRC) </w:t>
      </w:r>
      <w:r w:rsidRPr="00B17301">
        <w:rPr>
          <w:lang w:val="es-CR"/>
        </w:rPr>
        <w:t>de 1993</w:t>
      </w:r>
      <w:r w:rsidRPr="00B17301">
        <w:rPr>
          <w:rStyle w:val="Hyperlink"/>
          <w:color w:val="auto"/>
          <w:u w:val="none"/>
        </w:rPr>
        <w:t xml:space="preserve">, y </w:t>
      </w:r>
      <w:r w:rsidRPr="00B17301">
        <w:t xml:space="preserve">Pobreza </w:t>
      </w:r>
      <w:r w:rsidRPr="005F0208">
        <w:t xml:space="preserve">étnica en Honduras, </w:t>
      </w:r>
      <w:proofErr w:type="spellStart"/>
      <w:r w:rsidRPr="005F0208">
        <w:t>Utta</w:t>
      </w:r>
      <w:proofErr w:type="spellEnd"/>
      <w:r w:rsidRPr="005F0208">
        <w:t xml:space="preserve"> von </w:t>
      </w:r>
      <w:proofErr w:type="spellStart"/>
      <w:r w:rsidRPr="005F0208">
        <w:t>Gleich</w:t>
      </w:r>
      <w:proofErr w:type="spellEnd"/>
      <w:r w:rsidRPr="005F0208">
        <w:t xml:space="preserve"> y Ernesto Gálvez. Unidad de Pueblos Indígenas y Desarrollo Comunitario. Banco Interamericano de Desarrollo (BID), Departamento de Desarrollo Sostenible, Washi</w:t>
      </w:r>
      <w:r w:rsidRPr="002D44D5">
        <w:t>ngton,</w:t>
      </w:r>
      <w:r>
        <w:t xml:space="preserve"> D.C., septiembre de 1999, pp.</w:t>
      </w:r>
      <w:r w:rsidRPr="00DD5254">
        <w:t xml:space="preserve"> 1 y 2. Disponible en </w:t>
      </w:r>
      <w:hyperlink r:id="rId8" w:history="1">
        <w:r w:rsidRPr="005F0208">
          <w:rPr>
            <w:rStyle w:val="Hyperlink"/>
          </w:rPr>
          <w:t>http://www.bvsde.paho.org/bvsacd/cd47/etnica.pdf</w:t>
        </w:r>
      </w:hyperlink>
      <w:r w:rsidRPr="005F0208">
        <w:t>.</w:t>
      </w:r>
    </w:p>
  </w:footnote>
  <w:footnote w:id="46">
    <w:p w14:paraId="0C704D91" w14:textId="01871516" w:rsidR="006B2C5D" w:rsidRDefault="006B2C5D" w:rsidP="00B15331">
      <w:pPr>
        <w:pStyle w:val="FootnoteText"/>
      </w:pPr>
      <w:r w:rsidRPr="005F0208">
        <w:rPr>
          <w:rStyle w:val="FootnoteReference"/>
          <w:sz w:val="16"/>
        </w:rPr>
        <w:footnoteRef/>
      </w:r>
      <w:r w:rsidRPr="005F0208">
        <w:t xml:space="preserve"> </w:t>
      </w:r>
      <w:r w:rsidRPr="005F0208">
        <w:tab/>
      </w:r>
      <w:r w:rsidRPr="005F0208">
        <w:rPr>
          <w:i/>
        </w:rPr>
        <w:t>Cfr.</w:t>
      </w:r>
      <w:r w:rsidRPr="005F0208">
        <w:t xml:space="preserve"> Panel de Inspección del Banco Mundial. Informe de Investigación sobre Programa de Administración de Tierras de Honduras, </w:t>
      </w:r>
      <w:r w:rsidRPr="00A0324F">
        <w:rPr>
          <w:i/>
        </w:rPr>
        <w:t>supra,</w:t>
      </w:r>
      <w:r w:rsidRPr="005F0208">
        <w:t xml:space="preserve"> </w:t>
      </w:r>
      <w:r>
        <w:t>p.</w:t>
      </w:r>
      <w:r w:rsidRPr="005F0208">
        <w:t xml:space="preserve"> 17, párr. 74. </w:t>
      </w:r>
      <w:r w:rsidRPr="002D44D5">
        <w:t xml:space="preserve">Este informe hace referencia a que según el “Documento de Evaluación de Proyecto del </w:t>
      </w:r>
      <w:r w:rsidRPr="000143BC">
        <w:t>proyecto financiado por el Banco, Honduras: Proyecto de Modernización del Poder Judicial</w:t>
      </w:r>
      <w:r w:rsidRPr="00CC05CD">
        <w:t>” (Crédito de la AIF No. 4098-HO aprobado por el Directorio el 7 de julio de 2005) se estima que la población garífuna asciende a entre 100.000 y 190.000 p</w:t>
      </w:r>
      <w:r w:rsidRPr="00904503">
        <w:t xml:space="preserve">ersonas. </w:t>
      </w:r>
      <w:r w:rsidRPr="00904503">
        <w:rPr>
          <w:i/>
        </w:rPr>
        <w:t>Cfr.</w:t>
      </w:r>
      <w:r w:rsidRPr="00904503">
        <w:t xml:space="preserve"> Pobreza étnica en Honduras, </w:t>
      </w:r>
      <w:proofErr w:type="spellStart"/>
      <w:r w:rsidRPr="00904503">
        <w:t>Utta</w:t>
      </w:r>
      <w:proofErr w:type="spellEnd"/>
      <w:r w:rsidRPr="00904503">
        <w:t xml:space="preserve"> von </w:t>
      </w:r>
      <w:proofErr w:type="spellStart"/>
      <w:r w:rsidRPr="00904503">
        <w:t>Gleich</w:t>
      </w:r>
      <w:proofErr w:type="spellEnd"/>
      <w:r w:rsidRPr="00904503">
        <w:t xml:space="preserve"> y Ernesto Gálvez, </w:t>
      </w:r>
      <w:r w:rsidRPr="00A0324F">
        <w:rPr>
          <w:i/>
        </w:rPr>
        <w:t>supra,</w:t>
      </w:r>
      <w:r w:rsidRPr="000143BC">
        <w:t xml:space="preserve"> </w:t>
      </w:r>
      <w:r w:rsidRPr="00904503">
        <w:t xml:space="preserve">p. 2. Asimismo, de acuerdo a una nota de prensa de la OFRANEH de </w:t>
      </w:r>
      <w:r w:rsidRPr="00904A54">
        <w:t>septiembre de 2013, conforme a un boletín emitido por el INA, con posterioridad al censo nacional existían 49,952 garífunas</w:t>
      </w:r>
      <w:r w:rsidRPr="00904503">
        <w:t xml:space="preserve">. Esta nota de prensa señaló que dicho monto no era preciso ya que para esa fecha, habitaban la zona aproximadamente 200,000 garífunas. </w:t>
      </w:r>
      <w:r w:rsidRPr="00904503">
        <w:rPr>
          <w:i/>
        </w:rPr>
        <w:t>Cfr.</w:t>
      </w:r>
      <w:r w:rsidRPr="00904503">
        <w:t xml:space="preserve"> Nota de prensa de la OFRANEH publicada el 18 de septiembre de 2013 titulada “Afrodescendientes o Garífunas: raza o cultura”. Disponible en: </w:t>
      </w:r>
      <w:hyperlink r:id="rId9" w:history="1">
        <w:r w:rsidRPr="00904503">
          <w:rPr>
            <w:rStyle w:val="Hyperlink"/>
          </w:rPr>
          <w:t>https://ofraneh.wordpress.com/2013/09/18/afrodescendientes-o-garifunas-raza-o-cultura/</w:t>
        </w:r>
      </w:hyperlink>
      <w:r w:rsidRPr="00904503">
        <w:t xml:space="preserve">. Esta nota de prensa cita el informe del Banco Mundial de febrero de 2006, titulado “Más allá de los promedios: Afrodescendientes en América Latina”, disponible en: </w:t>
      </w:r>
      <w:hyperlink r:id="rId10" w:history="1">
        <w:r w:rsidRPr="00904503">
          <w:rPr>
            <w:rStyle w:val="Hyperlink"/>
          </w:rPr>
          <w:t>http://siteresources.worldbank.org/INTLACAFROLATINSINSPA/Resources/Honduras_Final.pdf</w:t>
        </w:r>
      </w:hyperlink>
      <w:r w:rsidRPr="00904503">
        <w:t xml:space="preserve">.  </w:t>
      </w:r>
    </w:p>
  </w:footnote>
  <w:footnote w:id="47">
    <w:p w14:paraId="0C704D93" w14:textId="3EBA4B72" w:rsidR="006B2C5D" w:rsidRPr="00904503" w:rsidRDefault="006B2C5D" w:rsidP="00B15331">
      <w:pPr>
        <w:pStyle w:val="FootnoteText"/>
      </w:pPr>
      <w:r w:rsidRPr="00CC05CD">
        <w:rPr>
          <w:rStyle w:val="FootnoteReference"/>
          <w:sz w:val="16"/>
        </w:rPr>
        <w:footnoteRef/>
      </w:r>
      <w:r w:rsidRPr="00CC05CD">
        <w:t xml:space="preserve"> </w:t>
      </w:r>
      <w:r w:rsidRPr="00CC05CD">
        <w:tab/>
      </w:r>
      <w:r w:rsidRPr="00904503">
        <w:rPr>
          <w:i/>
        </w:rPr>
        <w:t>Cfr.</w:t>
      </w:r>
      <w:r w:rsidRPr="00904503">
        <w:t xml:space="preserve"> Panel de Inspección del Banco Mundial. Informe de Investigación sobre Programa de Administración de Tierras de Honduras, </w:t>
      </w:r>
      <w:r w:rsidRPr="00904503">
        <w:rPr>
          <w:i/>
        </w:rPr>
        <w:t>supra,</w:t>
      </w:r>
      <w:r w:rsidRPr="00904503">
        <w:t xml:space="preserve"> p. 19, párr. 82; Pobreza étnica en Honduras, </w:t>
      </w:r>
      <w:proofErr w:type="spellStart"/>
      <w:r w:rsidRPr="00904503">
        <w:t>Utta</w:t>
      </w:r>
      <w:proofErr w:type="spellEnd"/>
      <w:r w:rsidRPr="00904503">
        <w:t xml:space="preserve"> von </w:t>
      </w:r>
      <w:proofErr w:type="spellStart"/>
      <w:r w:rsidRPr="00904503">
        <w:t>Gleich</w:t>
      </w:r>
      <w:proofErr w:type="spellEnd"/>
      <w:r w:rsidRPr="00904503">
        <w:t xml:space="preserve"> y Ernesto Gálvez, </w:t>
      </w:r>
      <w:r w:rsidRPr="00A0324F">
        <w:rPr>
          <w:i/>
        </w:rPr>
        <w:t>supra</w:t>
      </w:r>
      <w:r w:rsidRPr="00904503">
        <w:t>, p.</w:t>
      </w:r>
      <w:r w:rsidRPr="00A0324F">
        <w:t xml:space="preserve"> 35, </w:t>
      </w:r>
      <w:r w:rsidRPr="000143BC">
        <w:t>y</w:t>
      </w:r>
      <w:r w:rsidRPr="00CC05CD">
        <w:t xml:space="preserve"> Presentación ante Sub-com</w:t>
      </w:r>
      <w:r w:rsidRPr="00904503">
        <w:t xml:space="preserve">isión para la promoción y protección de los derechos humanos. Grupo de Trabajo sobre las Minorías. ONU, 10ª Sesión. 1-5 de marzo de 2004. Disponible en: </w:t>
      </w:r>
      <w:hyperlink r:id="rId11" w:history="1">
        <w:r w:rsidRPr="00904503">
          <w:rPr>
            <w:rStyle w:val="Hyperlink"/>
          </w:rPr>
          <w:t>http://www2.ohchr.org/english/issues/minorities/docs/OFRANEH3a.doc</w:t>
        </w:r>
      </w:hyperlink>
      <w:r w:rsidRPr="00904503">
        <w:t xml:space="preserve">. </w:t>
      </w:r>
    </w:p>
  </w:footnote>
  <w:footnote w:id="48">
    <w:p w14:paraId="0C704D94" w14:textId="5EF39010" w:rsidR="006B2C5D" w:rsidRPr="00904503" w:rsidRDefault="006B2C5D" w:rsidP="00B15331">
      <w:pPr>
        <w:pStyle w:val="FootnoteText"/>
      </w:pPr>
      <w:r w:rsidRPr="00904503">
        <w:rPr>
          <w:rStyle w:val="FootnoteReference"/>
          <w:sz w:val="16"/>
        </w:rPr>
        <w:footnoteRef/>
      </w:r>
      <w:r w:rsidRPr="00904503">
        <w:t xml:space="preserve"> </w:t>
      </w:r>
      <w:r w:rsidRPr="00904503">
        <w:tab/>
      </w:r>
      <w:r w:rsidRPr="00904503">
        <w:rPr>
          <w:i/>
        </w:rPr>
        <w:t>Cfr</w:t>
      </w:r>
      <w:r w:rsidRPr="00904503">
        <w:t xml:space="preserve">.  Moción suscrita por los Diputados Olegario López </w:t>
      </w:r>
      <w:proofErr w:type="spellStart"/>
      <w:r w:rsidRPr="00904503">
        <w:t>Róchez</w:t>
      </w:r>
      <w:proofErr w:type="spellEnd"/>
      <w:r w:rsidRPr="00904503">
        <w:t xml:space="preserve">, Erick Mauricio Rodríguez, Samuel Martínez, Jorge </w:t>
      </w:r>
      <w:proofErr w:type="spellStart"/>
      <w:r w:rsidRPr="00904503">
        <w:t>Leonidas</w:t>
      </w:r>
      <w:proofErr w:type="spellEnd"/>
      <w:r w:rsidRPr="00904503">
        <w:t xml:space="preserve"> García, entre otros y presentada con fecha 18 de abril de 2002 ante el Congreso Nacional (expediente de prueba, folio 5), y Declaración rendida ante fedatario público </w:t>
      </w:r>
      <w:r w:rsidRPr="00904503">
        <w:rPr>
          <w:i/>
        </w:rPr>
        <w:t>(affidávit)</w:t>
      </w:r>
      <w:r w:rsidRPr="00904503">
        <w:t xml:space="preserve"> por el perito Christopher Loperena el 22 de agosto de 2014 (expediente de fondo, folio 432). La moción en mención fue suscrita por un grupo de Diputados a fin de solicitarle al Congreso Nacional la aprobación de una partida presupuestaria de 13,168,982.84 lempiras en el Presupuesto General de Ingresos y Egresos de la República 2002, que estaba próximo a ser aprobado por la Asamblea Legislativa. Lo anterior, con el propósito de proceder al saneamiento del territorio de la Comunidad Garífuna de Punta Piedra (pago de mejoras introducidas por los pobladores de Río Miel, quienes ocupaban parte del territorio titulado a favor de dicha comunidad), con base en el avalúo elaborado por el Instituto Nacional Agrario en el año 2001.</w:t>
      </w:r>
    </w:p>
  </w:footnote>
  <w:footnote w:id="49">
    <w:p w14:paraId="0C704D95" w14:textId="40EA99D8" w:rsidR="006B2C5D" w:rsidRPr="00904503" w:rsidRDefault="006B2C5D" w:rsidP="00B15331">
      <w:pPr>
        <w:pStyle w:val="FootnoteText"/>
      </w:pPr>
      <w:r w:rsidRPr="00904503">
        <w:rPr>
          <w:rStyle w:val="FootnoteReference"/>
          <w:sz w:val="16"/>
        </w:rPr>
        <w:footnoteRef/>
      </w:r>
      <w:r w:rsidRPr="00904503">
        <w:t xml:space="preserve"> </w:t>
      </w:r>
      <w:r w:rsidRPr="00904503">
        <w:tab/>
      </w:r>
      <w:r w:rsidRPr="00904503">
        <w:rPr>
          <w:i/>
        </w:rPr>
        <w:t>Cfr.</w:t>
      </w:r>
      <w:r w:rsidRPr="00904503">
        <w:t xml:space="preserve"> Panel de Inspección del Banco Mundial. Informe de Investigación sobre Programa de Administración de Tierras de Honduras, </w:t>
      </w:r>
      <w:r w:rsidRPr="00904503">
        <w:rPr>
          <w:i/>
        </w:rPr>
        <w:t>supra,</w:t>
      </w:r>
      <w:r w:rsidRPr="00904503">
        <w:t xml:space="preserve"> </w:t>
      </w:r>
      <w:r>
        <w:t>p.</w:t>
      </w:r>
      <w:r w:rsidRPr="00904503">
        <w:t xml:space="preserve"> 19, párr. 82, refiriéndose a 38 comunidades; Pobreza étnica en Honduras, </w:t>
      </w:r>
      <w:proofErr w:type="spellStart"/>
      <w:r w:rsidRPr="00904503">
        <w:t>Utta</w:t>
      </w:r>
      <w:proofErr w:type="spellEnd"/>
      <w:r w:rsidRPr="00904503">
        <w:t xml:space="preserve"> von </w:t>
      </w:r>
      <w:proofErr w:type="spellStart"/>
      <w:r w:rsidRPr="00904503">
        <w:t>Gleich</w:t>
      </w:r>
      <w:proofErr w:type="spellEnd"/>
      <w:r w:rsidRPr="00904503">
        <w:t xml:space="preserve"> y Ernesto Gálvez, </w:t>
      </w:r>
      <w:r w:rsidRPr="00A0324F">
        <w:rPr>
          <w:i/>
        </w:rPr>
        <w:t>supra,</w:t>
      </w:r>
      <w:r w:rsidRPr="000143BC">
        <w:t xml:space="preserve"> folio </w:t>
      </w:r>
      <w:r w:rsidRPr="00CC05CD">
        <w:t xml:space="preserve">2 </w:t>
      </w:r>
      <w:r w:rsidRPr="00904503">
        <w:t xml:space="preserve">y 36, refiriéndose a 40 poblados, 36 de ellos de población garífuna mayoritaria, y Presentación ante Sub-comisión para la promoción y protección de los derechos humanos. Grupo de Trabajo sobre las Minorías, </w:t>
      </w:r>
      <w:r w:rsidRPr="00A0324F">
        <w:rPr>
          <w:i/>
        </w:rPr>
        <w:t>supra,</w:t>
      </w:r>
      <w:r w:rsidRPr="000143BC">
        <w:t xml:space="preserve"> </w:t>
      </w:r>
      <w:r w:rsidRPr="00CC05CD">
        <w:t>refiriéndose a 46 comunidades.</w:t>
      </w:r>
    </w:p>
  </w:footnote>
  <w:footnote w:id="50">
    <w:p w14:paraId="0C704D99" w14:textId="77777777" w:rsidR="006B2C5D" w:rsidRPr="00A0324F" w:rsidRDefault="006B2C5D" w:rsidP="00BD080F">
      <w:pPr>
        <w:tabs>
          <w:tab w:val="left" w:pos="567"/>
        </w:tabs>
        <w:jc w:val="both"/>
        <w:rPr>
          <w:snapToGrid w:val="0"/>
        </w:rPr>
      </w:pPr>
      <w:r w:rsidRPr="000143BC">
        <w:rPr>
          <w:rStyle w:val="FootnoteReference"/>
          <w:sz w:val="16"/>
          <w:szCs w:val="16"/>
        </w:rPr>
        <w:footnoteRef/>
      </w:r>
      <w:r w:rsidRPr="00B77BBE">
        <w:rPr>
          <w:rFonts w:ascii="Verdana" w:hAnsi="Verdana"/>
          <w:sz w:val="16"/>
          <w:szCs w:val="16"/>
        </w:rPr>
        <w:t xml:space="preserve"> </w:t>
      </w:r>
      <w:r w:rsidRPr="00B77BBE">
        <w:rPr>
          <w:rFonts w:ascii="Verdana" w:hAnsi="Verdana"/>
          <w:sz w:val="16"/>
          <w:szCs w:val="16"/>
        </w:rPr>
        <w:tab/>
        <w:t xml:space="preserve">El artículo 1.2 del Convenio 169 de la OIT establece el criterio subjetivo de auto-identificación, por lo que “[l]a conciencia de su identidad indígena o tribal deberá considerarse un criterio fundamental para determinar los grupos a los que se aplican las disposiciones del presente Convenio”. </w:t>
      </w:r>
      <w:r w:rsidRPr="00B77BBE">
        <w:rPr>
          <w:rFonts w:ascii="Verdana" w:hAnsi="Verdana"/>
          <w:i/>
          <w:sz w:val="16"/>
          <w:szCs w:val="16"/>
        </w:rPr>
        <w:t>Cfr.</w:t>
      </w:r>
      <w:r w:rsidRPr="00B77BBE">
        <w:rPr>
          <w:rFonts w:ascii="Verdana" w:hAnsi="Verdana"/>
          <w:sz w:val="16"/>
          <w:szCs w:val="16"/>
        </w:rPr>
        <w:t xml:space="preserve"> Organización Internacional del Trabajo (OIT), Convenio No. 169 </w:t>
      </w:r>
      <w:r w:rsidRPr="00B77BBE">
        <w:rPr>
          <w:rFonts w:ascii="Verdana" w:hAnsi="Verdana"/>
          <w:snapToGrid w:val="0"/>
          <w:sz w:val="16"/>
          <w:szCs w:val="16"/>
        </w:rPr>
        <w:t xml:space="preserve">sobre Pueblos Indígenas y Tribales en los Países Independientes, adoptado el 27 de junio de 1989 y vigente desde el 5 de septiembre de 1991. Disponible en: </w:t>
      </w:r>
      <w:hyperlink r:id="rId12" w:history="1">
        <w:r w:rsidRPr="00B77BBE">
          <w:rPr>
            <w:rStyle w:val="Hyperlink"/>
            <w:rFonts w:ascii="Verdana" w:hAnsi="Verdana"/>
            <w:snapToGrid w:val="0"/>
            <w:sz w:val="16"/>
            <w:szCs w:val="16"/>
          </w:rPr>
          <w:t>http://www.ilo.org/dyn/normlex/es/f?p=NORMLEXPUB:12100:0::NO::P12100_ILO_CODE:C169</w:t>
        </w:r>
      </w:hyperlink>
      <w:r w:rsidRPr="00B77BBE">
        <w:rPr>
          <w:rFonts w:ascii="Verdana" w:hAnsi="Verdana"/>
          <w:snapToGrid w:val="0"/>
          <w:sz w:val="16"/>
          <w:szCs w:val="16"/>
        </w:rPr>
        <w:t xml:space="preserve">. Honduras ha ratificado el Convenio 169 el cual </w:t>
      </w:r>
      <w:r w:rsidRPr="00B77BBE">
        <w:rPr>
          <w:rFonts w:ascii="Verdana" w:hAnsi="Verdana"/>
          <w:sz w:val="16"/>
          <w:szCs w:val="16"/>
        </w:rPr>
        <w:t xml:space="preserve">entró en vigor </w:t>
      </w:r>
      <w:r w:rsidRPr="00A0324F">
        <w:rPr>
          <w:rFonts w:ascii="Verdana" w:hAnsi="Verdana"/>
          <w:sz w:val="16"/>
          <w:szCs w:val="16"/>
        </w:rPr>
        <w:t xml:space="preserve">respecto de dicho Estado </w:t>
      </w:r>
      <w:r w:rsidRPr="00B77BBE">
        <w:rPr>
          <w:rFonts w:ascii="Verdana" w:hAnsi="Verdana"/>
          <w:sz w:val="16"/>
          <w:szCs w:val="16"/>
        </w:rPr>
        <w:t>el 28 de marzo de 1995. Las fechas de ratificación de los Convenios de la OIT por parte de Honduras se encuentran disponible</w:t>
      </w:r>
      <w:r w:rsidRPr="00A0324F">
        <w:rPr>
          <w:rFonts w:ascii="Verdana" w:hAnsi="Verdana"/>
          <w:sz w:val="16"/>
          <w:szCs w:val="16"/>
        </w:rPr>
        <w:t>s</w:t>
      </w:r>
      <w:r w:rsidRPr="00B77BBE">
        <w:rPr>
          <w:rFonts w:ascii="Verdana" w:hAnsi="Verdana"/>
          <w:sz w:val="16"/>
          <w:szCs w:val="16"/>
        </w:rPr>
        <w:t xml:space="preserve"> en: </w:t>
      </w:r>
      <w:hyperlink r:id="rId13" w:history="1">
        <w:r w:rsidRPr="00B77BBE">
          <w:rPr>
            <w:rStyle w:val="Hyperlink"/>
            <w:rFonts w:ascii="Verdana" w:hAnsi="Verdana" w:cstheme="minorBidi"/>
            <w:sz w:val="16"/>
            <w:szCs w:val="16"/>
          </w:rPr>
          <w:t>http://www.ilo.org/dyn/normlex/en/f?p=NORMLEXPUB:11200:0::NO::P11200_COUNTRY_ID:102675</w:t>
        </w:r>
      </w:hyperlink>
      <w:r w:rsidRPr="00B77BBE">
        <w:rPr>
          <w:rFonts w:ascii="Verdana" w:hAnsi="Verdana"/>
          <w:sz w:val="16"/>
          <w:szCs w:val="16"/>
        </w:rPr>
        <w:t xml:space="preserve">. De igual manera, la Declaración de las Naciones Unidas sobre los Derechos de los Pueblos Indígenas, en su artículo 33.1 establece que “los pueblos indígenas tienen derecho a determinar su propia identidad o pertenencia conforme a sus costumbres y tradiciones”. </w:t>
      </w:r>
      <w:r w:rsidRPr="00A0324F">
        <w:rPr>
          <w:rFonts w:ascii="Verdana" w:hAnsi="Verdana"/>
          <w:i/>
          <w:sz w:val="16"/>
          <w:szCs w:val="16"/>
        </w:rPr>
        <w:t>Cfr.</w:t>
      </w:r>
      <w:r w:rsidRPr="00B77BBE">
        <w:rPr>
          <w:rFonts w:ascii="Verdana" w:hAnsi="Verdana"/>
          <w:sz w:val="16"/>
          <w:szCs w:val="16"/>
        </w:rPr>
        <w:t xml:space="preserve"> Organización de las Naciones Unidas (ONU), Resolución de Asamblea General, A/Res/61/295, 13 de septiembre de 2007. Honduras votó a favor de la adopción de esta Declaración. Disponible en: </w:t>
      </w:r>
      <w:hyperlink r:id="rId14" w:history="1">
        <w:r w:rsidRPr="00B77BBE">
          <w:rPr>
            <w:rStyle w:val="Hyperlink"/>
            <w:rFonts w:ascii="Verdana" w:hAnsi="Verdana"/>
            <w:sz w:val="16"/>
            <w:szCs w:val="16"/>
          </w:rPr>
          <w:t>http://www.un.org/esa/socdev/unpfii/documents/DRIPS_es.pdf</w:t>
        </w:r>
      </w:hyperlink>
      <w:r w:rsidRPr="00B77BBE">
        <w:rPr>
          <w:rFonts w:ascii="Verdana" w:hAnsi="Verdana"/>
          <w:sz w:val="16"/>
          <w:szCs w:val="16"/>
        </w:rPr>
        <w:t>.</w:t>
      </w:r>
    </w:p>
  </w:footnote>
  <w:footnote w:id="51">
    <w:p w14:paraId="0C704D9B" w14:textId="66637082" w:rsidR="006B2C5D" w:rsidRPr="00514304" w:rsidRDefault="006B2C5D" w:rsidP="00E04121">
      <w:pPr>
        <w:tabs>
          <w:tab w:val="left" w:pos="567"/>
        </w:tabs>
        <w:jc w:val="both"/>
        <w:rPr>
          <w:rFonts w:ascii="Verdana" w:eastAsia="Times New Roman" w:hAnsi="Verdana"/>
          <w:bCs/>
          <w:sz w:val="16"/>
          <w:szCs w:val="16"/>
          <w:lang w:eastAsia="es-CR"/>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t xml:space="preserve">Existen varios criterios que permiten construir lo que se entiende por “pueblo indígena” o “pueblo tribal”. El artículo 1.1 del Convenio 169 de la OIT establece ciertos criterios objetivos, por lo que dispone que este se aplicará “a) a los pueblos tribales en países independientes, cuyas condiciones sociales, culturales y económicas les distingan de otros sectores de la colectividad nacional, y que estén regidos total o parcialmente por sus propias costumbres o tradiciones o por una legislación especial; 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 </w:t>
      </w:r>
      <w:r w:rsidRPr="006B396A">
        <w:rPr>
          <w:rFonts w:ascii="Verdana" w:hAnsi="Verdana"/>
          <w:i/>
          <w:sz w:val="16"/>
          <w:szCs w:val="16"/>
        </w:rPr>
        <w:t>Cfr.</w:t>
      </w:r>
      <w:r w:rsidRPr="006B396A">
        <w:rPr>
          <w:rFonts w:ascii="Verdana" w:hAnsi="Verdana"/>
          <w:sz w:val="16"/>
          <w:szCs w:val="16"/>
        </w:rPr>
        <w:t xml:space="preserve"> OIT, “Los Derechos de los Pueblos Indígenas y Tribales en la Práctica. Una Guía sobre el Convenio No. 169 de la OIT”. Programa para promover el Convenio No. 169 de la OIT (PRO 169), Departamento de Normas Internacionales del </w:t>
      </w:r>
      <w:r w:rsidRPr="000531BF">
        <w:rPr>
          <w:rFonts w:ascii="Verdana" w:hAnsi="Verdana"/>
          <w:sz w:val="16"/>
          <w:szCs w:val="16"/>
        </w:rPr>
        <w:t xml:space="preserve">Trabajo, 2009, </w:t>
      </w:r>
      <w:r>
        <w:rPr>
          <w:rFonts w:ascii="Verdana" w:hAnsi="Verdana"/>
          <w:sz w:val="16"/>
          <w:szCs w:val="16"/>
        </w:rPr>
        <w:t>pp.</w:t>
      </w:r>
      <w:r w:rsidRPr="000531BF">
        <w:rPr>
          <w:rFonts w:ascii="Verdana" w:hAnsi="Verdana"/>
          <w:sz w:val="16"/>
          <w:szCs w:val="16"/>
        </w:rPr>
        <w:t xml:space="preserve"> 9</w:t>
      </w:r>
      <w:r w:rsidRPr="00A0324F">
        <w:rPr>
          <w:rFonts w:ascii="Verdana" w:hAnsi="Verdana"/>
          <w:sz w:val="16"/>
          <w:szCs w:val="16"/>
        </w:rPr>
        <w:t xml:space="preserve"> y 10. </w:t>
      </w:r>
      <w:r w:rsidRPr="000531BF">
        <w:rPr>
          <w:rFonts w:ascii="Verdana" w:hAnsi="Verdana"/>
          <w:sz w:val="16"/>
          <w:szCs w:val="16"/>
        </w:rPr>
        <w:t>Disponible en: http://www.ilo.org/indigenous/Resources/Guidelinesandmanuals/WCMS_113014/lang--es/index.htm. Asimismo</w:t>
      </w:r>
      <w:r w:rsidRPr="00514304">
        <w:rPr>
          <w:rFonts w:ascii="Verdana" w:hAnsi="Verdana"/>
          <w:sz w:val="16"/>
          <w:szCs w:val="16"/>
        </w:rPr>
        <w:t xml:space="preserve">, </w:t>
      </w:r>
      <w:r w:rsidRPr="00514304">
        <w:rPr>
          <w:rFonts w:ascii="Verdana" w:eastAsia="Times New Roman" w:hAnsi="Verdana"/>
          <w:bCs/>
          <w:sz w:val="16"/>
          <w:szCs w:val="16"/>
          <w:lang w:eastAsia="es-CR"/>
        </w:rPr>
        <w:t xml:space="preserve">a efectos de identificar a los pueblos indígenas se debe tomar en cuenta sus estilos tradicionales de vida; su cultura y modo de vida diferentes a los de los otros segmentos de la población nacional (forma de subsistencia, el idioma, las costumbres, entre otros); su organización social e instituciones políticas propias, y vivir en continuidad histórica en un área determinada, o antes de que otros “invadieron” o vinieron al área. </w:t>
      </w:r>
      <w:r w:rsidRPr="00A0324F">
        <w:rPr>
          <w:rFonts w:ascii="Verdana" w:eastAsia="Times New Roman" w:hAnsi="Verdana"/>
          <w:bCs/>
          <w:i/>
          <w:sz w:val="16"/>
          <w:szCs w:val="16"/>
          <w:lang w:eastAsia="es-CR"/>
        </w:rPr>
        <w:t>Cfr.</w:t>
      </w:r>
      <w:r w:rsidRPr="00514304">
        <w:rPr>
          <w:rFonts w:ascii="Verdana" w:eastAsia="Times New Roman" w:hAnsi="Verdana"/>
          <w:bCs/>
          <w:sz w:val="16"/>
          <w:szCs w:val="16"/>
          <w:lang w:eastAsia="es-CR"/>
        </w:rPr>
        <w:t xml:space="preserve"> Los Principios básicos del Convenio No. 169 de la OIT</w:t>
      </w:r>
      <w:r>
        <w:rPr>
          <w:rFonts w:ascii="Verdana" w:eastAsia="Times New Roman" w:hAnsi="Verdana"/>
          <w:bCs/>
          <w:sz w:val="16"/>
          <w:szCs w:val="16"/>
          <w:lang w:eastAsia="es-CR"/>
        </w:rPr>
        <w:t>. D</w:t>
      </w:r>
      <w:r w:rsidRPr="00514304">
        <w:rPr>
          <w:rFonts w:ascii="Verdana" w:eastAsia="Times New Roman" w:hAnsi="Verdana"/>
          <w:bCs/>
          <w:sz w:val="16"/>
          <w:szCs w:val="16"/>
          <w:lang w:eastAsia="es-CR"/>
        </w:rPr>
        <w:t xml:space="preserve">isponible en: </w:t>
      </w:r>
      <w:hyperlink r:id="rId15" w:history="1">
        <w:r w:rsidRPr="00514304">
          <w:rPr>
            <w:rStyle w:val="Hyperlink"/>
            <w:rFonts w:ascii="Verdana" w:eastAsia="Times New Roman" w:hAnsi="Verdana"/>
            <w:bCs/>
            <w:sz w:val="16"/>
            <w:szCs w:val="16"/>
            <w:lang w:eastAsia="es-CR"/>
          </w:rPr>
          <w:t>http://www.ilo.org/indigenous/Conventions/no169/lang--es/index.htm</w:t>
        </w:r>
      </w:hyperlink>
      <w:r w:rsidRPr="00514304">
        <w:rPr>
          <w:rFonts w:ascii="Verdana" w:eastAsia="Times New Roman" w:hAnsi="Verdana"/>
          <w:bCs/>
          <w:sz w:val="16"/>
          <w:szCs w:val="16"/>
          <w:lang w:eastAsia="es-CR"/>
        </w:rPr>
        <w:t xml:space="preserve">. </w:t>
      </w:r>
    </w:p>
  </w:footnote>
  <w:footnote w:id="52">
    <w:p w14:paraId="0C704D9C" w14:textId="0C596A01" w:rsidR="006B2C5D" w:rsidRPr="007A3CC4" w:rsidRDefault="006B2C5D" w:rsidP="00B15331">
      <w:pPr>
        <w:pStyle w:val="FootnoteText"/>
      </w:pPr>
      <w:r w:rsidRPr="00514304">
        <w:rPr>
          <w:rStyle w:val="FootnoteReference"/>
          <w:sz w:val="16"/>
        </w:rPr>
        <w:footnoteRef/>
      </w:r>
      <w:r w:rsidRPr="00514304">
        <w:rPr>
          <w:vertAlign w:val="superscript"/>
        </w:rPr>
        <w:t xml:space="preserve"> </w:t>
      </w:r>
      <w:r w:rsidRPr="00514304">
        <w:tab/>
      </w:r>
      <w:r w:rsidRPr="007A3CC4">
        <w:t xml:space="preserve">“La lengua garífuna pertenece a la familia de lenguas </w:t>
      </w:r>
      <w:proofErr w:type="spellStart"/>
      <w:r w:rsidRPr="007A3CC4">
        <w:t>arawak</w:t>
      </w:r>
      <w:proofErr w:type="spellEnd"/>
      <w:r w:rsidRPr="007A3CC4">
        <w:t xml:space="preserve"> y ha sobrevivido a siglos de persecución y dominación lingüística. Poseen una gran riqueza de </w:t>
      </w:r>
      <w:proofErr w:type="spellStart"/>
      <w:r w:rsidRPr="00C0006D">
        <w:t>úragas</w:t>
      </w:r>
      <w:proofErr w:type="spellEnd"/>
      <w:r w:rsidRPr="00C0006D">
        <w:t>, relatos que se narraban durante las veladas o las grandes reuniones. Las melodías reúnen element</w:t>
      </w:r>
      <w:r>
        <w:t xml:space="preserve">os africanos, amerindios y los textos constituyen una verdadera reserva de la historia y el saber tradicional de los garífunas sobre el cultivo de </w:t>
      </w:r>
      <w:proofErr w:type="spellStart"/>
      <w:r>
        <w:t>manioc</w:t>
      </w:r>
      <w:proofErr w:type="spellEnd"/>
      <w:r>
        <w:t xml:space="preserve">, la pesca, la fabricación de canoas y la construcción de casas de barro cocido. Hay también un fuerte componente satírico en las canciones que se cantan al ritmo de los tambores y se acompañan de bailes en los que participan los espectadores”. </w:t>
      </w:r>
      <w:r>
        <w:rPr>
          <w:i/>
        </w:rPr>
        <w:t>Cfr.</w:t>
      </w:r>
      <w:r>
        <w:t xml:space="preserve"> UNESCO, Obra maestra del patrimonio oral e inmaterial de la humanidad, “La lengua, la danza y la música de los garífunas”</w:t>
      </w:r>
      <w:r w:rsidRPr="000143BC">
        <w:t xml:space="preserve">, </w:t>
      </w:r>
      <w:r>
        <w:t>p.</w:t>
      </w:r>
      <w:r w:rsidRPr="00A0324F">
        <w:t xml:space="preserve"> 17. </w:t>
      </w:r>
      <w:r w:rsidRPr="007A3CC4">
        <w:t xml:space="preserve">Disponible en: </w:t>
      </w:r>
      <w:hyperlink r:id="rId16" w:history="1">
        <w:r>
          <w:rPr>
            <w:rStyle w:val="Hyperlink"/>
          </w:rPr>
          <w:t>http://unesdoc.unesco.org/images/0014/001473/147344s.pdf</w:t>
        </w:r>
      </w:hyperlink>
      <w:r w:rsidRPr="00A0324F">
        <w:t xml:space="preserve">. Referenciado en el Informe de Fondo (expediente de fondo, folio 13, párr. 36). </w:t>
      </w:r>
    </w:p>
  </w:footnote>
  <w:footnote w:id="53">
    <w:p w14:paraId="0C704D9D" w14:textId="1F7BE282" w:rsidR="006B2C5D" w:rsidRPr="00A0324F" w:rsidRDefault="006B2C5D" w:rsidP="00B15331">
      <w:pPr>
        <w:pStyle w:val="FootnoteText"/>
        <w:rPr>
          <w:highlight w:val="yellow"/>
          <w:lang w:val="en-US"/>
        </w:rPr>
      </w:pPr>
      <w:r>
        <w:rPr>
          <w:rStyle w:val="FootnoteReference"/>
          <w:sz w:val="16"/>
        </w:rPr>
        <w:footnoteRef/>
      </w:r>
      <w:r w:rsidRPr="00A0324F">
        <w:t xml:space="preserve"> </w:t>
      </w:r>
      <w:r w:rsidRPr="00A0324F">
        <w:tab/>
      </w:r>
      <w:r w:rsidRPr="00A0324F">
        <w:rPr>
          <w:i/>
        </w:rPr>
        <w:t>Cfr.</w:t>
      </w:r>
      <w:r w:rsidRPr="00A0324F">
        <w:t xml:space="preserve"> UNESCO, Obra maestra del patrimonio oral e inmaterial de la humanidad, </w:t>
      </w:r>
      <w:r w:rsidRPr="00A0324F">
        <w:rPr>
          <w:i/>
        </w:rPr>
        <w:t>supra</w:t>
      </w:r>
      <w:r>
        <w:rPr>
          <w:i/>
        </w:rPr>
        <w:t xml:space="preserve">, </w:t>
      </w:r>
      <w:r>
        <w:t>p.</w:t>
      </w:r>
      <w:r w:rsidRPr="00A0324F">
        <w:t xml:space="preserve"> 17. Referenciado en el Informe de Fondo (expediente de fondo, folio 13, párr. </w:t>
      </w:r>
      <w:r w:rsidRPr="00A0324F">
        <w:rPr>
          <w:lang w:val="en-US"/>
        </w:rPr>
        <w:t xml:space="preserve">36). </w:t>
      </w:r>
    </w:p>
  </w:footnote>
  <w:footnote w:id="54">
    <w:p w14:paraId="0C704D9E" w14:textId="4C488AF4" w:rsidR="006B2C5D" w:rsidRPr="00514304" w:rsidRDefault="006B2C5D" w:rsidP="00B15331">
      <w:pPr>
        <w:pStyle w:val="FootnoteText"/>
      </w:pPr>
      <w:r w:rsidRPr="00514304">
        <w:rPr>
          <w:rStyle w:val="FootnoteReference"/>
          <w:sz w:val="16"/>
        </w:rPr>
        <w:footnoteRef/>
      </w:r>
      <w:r w:rsidRPr="00514304">
        <w:rPr>
          <w:lang w:val="en-US"/>
        </w:rPr>
        <w:t xml:space="preserve">  </w:t>
      </w:r>
      <w:r w:rsidRPr="00514304">
        <w:rPr>
          <w:lang w:val="en-US"/>
        </w:rPr>
        <w:tab/>
      </w:r>
      <w:proofErr w:type="spellStart"/>
      <w:r w:rsidRPr="00514304">
        <w:rPr>
          <w:i/>
          <w:lang w:val="en-US"/>
        </w:rPr>
        <w:t>Cfr</w:t>
      </w:r>
      <w:proofErr w:type="spellEnd"/>
      <w:r w:rsidRPr="00514304">
        <w:rPr>
          <w:i/>
          <w:lang w:val="en-US"/>
        </w:rPr>
        <w:t>.</w:t>
      </w:r>
      <w:r w:rsidRPr="00514304">
        <w:rPr>
          <w:lang w:val="en-US"/>
        </w:rPr>
        <w:t xml:space="preserve"> González, Nanc</w:t>
      </w:r>
      <w:r>
        <w:rPr>
          <w:lang w:val="en-US"/>
        </w:rPr>
        <w:t>ie</w:t>
      </w:r>
      <w:r w:rsidRPr="00514304">
        <w:rPr>
          <w:lang w:val="en-US"/>
        </w:rPr>
        <w:t xml:space="preserve">, Sojourners of the Caribbean: </w:t>
      </w:r>
      <w:proofErr w:type="spellStart"/>
      <w:r w:rsidRPr="00514304">
        <w:rPr>
          <w:lang w:val="en-US"/>
        </w:rPr>
        <w:t>Ethnogenesis</w:t>
      </w:r>
      <w:proofErr w:type="spellEnd"/>
      <w:r w:rsidRPr="00514304">
        <w:rPr>
          <w:lang w:val="en-US"/>
        </w:rPr>
        <w:t xml:space="preserve"> and </w:t>
      </w:r>
      <w:proofErr w:type="spellStart"/>
      <w:r w:rsidRPr="00514304">
        <w:rPr>
          <w:lang w:val="en-US"/>
        </w:rPr>
        <w:t>Ethnohistory</w:t>
      </w:r>
      <w:proofErr w:type="spellEnd"/>
      <w:r w:rsidRPr="00514304">
        <w:rPr>
          <w:lang w:val="en-US"/>
        </w:rPr>
        <w:t xml:space="preserve"> of the </w:t>
      </w:r>
      <w:proofErr w:type="spellStart"/>
      <w:r w:rsidRPr="00514304">
        <w:rPr>
          <w:lang w:val="en-US"/>
        </w:rPr>
        <w:t>garífunas</w:t>
      </w:r>
      <w:proofErr w:type="spellEnd"/>
      <w:r w:rsidRPr="00514304">
        <w:rPr>
          <w:lang w:val="en-US"/>
        </w:rPr>
        <w:t xml:space="preserve">. </w:t>
      </w:r>
      <w:proofErr w:type="spellStart"/>
      <w:r w:rsidRPr="00514304">
        <w:t>University</w:t>
      </w:r>
      <w:proofErr w:type="spellEnd"/>
      <w:r w:rsidRPr="00514304">
        <w:t xml:space="preserve"> of Illinois </w:t>
      </w:r>
      <w:proofErr w:type="spellStart"/>
      <w:r w:rsidRPr="00514304">
        <w:t>Press</w:t>
      </w:r>
      <w:proofErr w:type="spellEnd"/>
      <w:r w:rsidRPr="00514304">
        <w:t xml:space="preserve">, Urbana and Chicago, 1998. </w:t>
      </w:r>
      <w:r w:rsidRPr="007A3CC4">
        <w:t xml:space="preserve">En: Panel de Inspección del Banco Mundial. Informe de Investigación sobre Programa de Administración de Tierras de Honduras, </w:t>
      </w:r>
      <w:r w:rsidRPr="00A0324F">
        <w:rPr>
          <w:i/>
        </w:rPr>
        <w:t>supra,</w:t>
      </w:r>
      <w:r w:rsidRPr="007A3CC4">
        <w:t xml:space="preserve"> </w:t>
      </w:r>
      <w:r>
        <w:t>p.</w:t>
      </w:r>
      <w:r w:rsidRPr="007A3CC4">
        <w:t xml:space="preserve"> 23</w:t>
      </w:r>
      <w:r>
        <w:t>.</w:t>
      </w:r>
    </w:p>
  </w:footnote>
  <w:footnote w:id="55">
    <w:p w14:paraId="0C704D9F" w14:textId="220E9B0B"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Declaración rendida ante fedatario público </w:t>
      </w:r>
      <w:r w:rsidRPr="00514304">
        <w:rPr>
          <w:i/>
        </w:rPr>
        <w:t>(affidávit)</w:t>
      </w:r>
      <w:r w:rsidRPr="00514304">
        <w:t xml:space="preserve"> por el perito Christopher Loperena el 22 de agosto de 2014 (expediente de fondo, folio 440), y declaración </w:t>
      </w:r>
      <w:r>
        <w:t xml:space="preserve">de </w:t>
      </w:r>
      <w:r w:rsidRPr="00514304">
        <w:t xml:space="preserve">Lidia Palacios </w:t>
      </w:r>
      <w:r>
        <w:t xml:space="preserve">durante la </w:t>
      </w:r>
      <w:r w:rsidRPr="00514304">
        <w:t>audiencia pública celebrada ante la Corte Interameri</w:t>
      </w:r>
      <w:r>
        <w:t>cana el 2 de septiembre de 2014.</w:t>
      </w:r>
    </w:p>
  </w:footnote>
  <w:footnote w:id="56">
    <w:p w14:paraId="0C704DA0" w14:textId="50ABF8FC"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w:t>
      </w:r>
      <w:r w:rsidRPr="007A3CC4">
        <w:t xml:space="preserve">Panel de Inspección del Banco Mundial. Informe de Investigación sobre Programa de Administración de Tierras de Honduras, </w:t>
      </w:r>
      <w:r w:rsidRPr="002A7E5E">
        <w:rPr>
          <w:i/>
        </w:rPr>
        <w:t>supra,</w:t>
      </w:r>
      <w:r>
        <w:t xml:space="preserve"> p.</w:t>
      </w:r>
      <w:r w:rsidRPr="007A3CC4">
        <w:t xml:space="preserve"> 2</w:t>
      </w:r>
      <w:r>
        <w:t xml:space="preserve">1. </w:t>
      </w:r>
    </w:p>
  </w:footnote>
  <w:footnote w:id="57">
    <w:p w14:paraId="0C704DA1" w14:textId="27862F58" w:rsidR="006B2C5D" w:rsidRPr="00514304" w:rsidRDefault="006B2C5D" w:rsidP="00E04121">
      <w:pPr>
        <w:tabs>
          <w:tab w:val="left" w:pos="567"/>
        </w:tabs>
        <w:jc w:val="both"/>
        <w:rPr>
          <w:rFonts w:ascii="Verdana" w:hAnsi="Verdana"/>
          <w:sz w:val="16"/>
          <w:szCs w:val="16"/>
          <w:lang w:val="es-CR"/>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i/>
          <w:sz w:val="16"/>
          <w:szCs w:val="16"/>
        </w:rPr>
        <w:t>Cfr.</w:t>
      </w:r>
      <w:r w:rsidRPr="00514304">
        <w:rPr>
          <w:rFonts w:ascii="Verdana" w:hAnsi="Verdana"/>
          <w:sz w:val="16"/>
          <w:szCs w:val="16"/>
        </w:rPr>
        <w:t xml:space="preserve"> Declaración rendida ante fedatario público </w:t>
      </w:r>
      <w:r w:rsidRPr="00514304">
        <w:rPr>
          <w:rFonts w:ascii="Verdana" w:hAnsi="Verdana"/>
          <w:i/>
          <w:sz w:val="16"/>
          <w:szCs w:val="16"/>
        </w:rPr>
        <w:t>(affidávit)</w:t>
      </w:r>
      <w:r w:rsidRPr="00514304">
        <w:rPr>
          <w:rFonts w:ascii="Verdana" w:hAnsi="Verdana"/>
          <w:sz w:val="16"/>
          <w:szCs w:val="16"/>
        </w:rPr>
        <w:t xml:space="preserve"> por el perito Christopher Loperena el 22 de agosto de 2014 (expediente de fondo, folios 441 a 442). El barbecho es una técnica por la cual la tierra se deja sin sembrar o cultivar uno o varios ciclos con el propósito de recuperar y almacenar materia orgánica y humedad. Al respecto, el señor Doroteo Thomas, miembro de la Comunidad Garífuna de Punta Piedra, declaró durante la audiencia pública que “</w:t>
      </w:r>
      <w:r w:rsidRPr="00514304">
        <w:rPr>
          <w:rFonts w:ascii="Verdana" w:hAnsi="Verdana"/>
          <w:sz w:val="16"/>
          <w:szCs w:val="16"/>
          <w:lang w:val="es-CR"/>
        </w:rPr>
        <w:t>la comunidad nuestra [G]</w:t>
      </w:r>
      <w:proofErr w:type="spellStart"/>
      <w:r w:rsidRPr="00514304">
        <w:rPr>
          <w:rFonts w:ascii="Verdana" w:hAnsi="Verdana"/>
          <w:sz w:val="16"/>
          <w:szCs w:val="16"/>
          <w:lang w:val="es-CR"/>
        </w:rPr>
        <w:t>arífuna</w:t>
      </w:r>
      <w:proofErr w:type="spellEnd"/>
      <w:r w:rsidRPr="00514304">
        <w:rPr>
          <w:rFonts w:ascii="Verdana" w:hAnsi="Verdana"/>
          <w:sz w:val="16"/>
          <w:szCs w:val="16"/>
          <w:lang w:val="es-CR"/>
        </w:rPr>
        <w:t xml:space="preserve"> tiene la costumbre de hacer su trabajo al principio del año. Entonces, la comunidad trabaja en un sistema que nosotros le llamamos barbecho, porque no utilizamos sistemas técnicos</w:t>
      </w:r>
      <w:r>
        <w:rPr>
          <w:rFonts w:ascii="Verdana" w:hAnsi="Verdana"/>
          <w:sz w:val="16"/>
          <w:szCs w:val="16"/>
          <w:lang w:val="es-CR"/>
        </w:rPr>
        <w:t xml:space="preserve"> […] </w:t>
      </w:r>
      <w:r w:rsidRPr="00514304">
        <w:rPr>
          <w:rFonts w:ascii="Verdana" w:hAnsi="Verdana"/>
          <w:sz w:val="16"/>
          <w:szCs w:val="16"/>
          <w:lang w:val="es-CR"/>
        </w:rPr>
        <w:t xml:space="preserve">dejamos que la tierra descanse lo suficiente y que se abone así sola para volver a trabajar. La gente siempre la utilizaba pues decían, en tal año vamos a ir a tal parte a trabajar unos tres o cuatro </w:t>
      </w:r>
      <w:proofErr w:type="gramStart"/>
      <w:r w:rsidRPr="00514304">
        <w:rPr>
          <w:rFonts w:ascii="Verdana" w:hAnsi="Verdana"/>
          <w:sz w:val="16"/>
          <w:szCs w:val="16"/>
          <w:lang w:val="es-CR"/>
        </w:rPr>
        <w:t>años</w:t>
      </w:r>
      <w:r>
        <w:rPr>
          <w:rFonts w:ascii="Verdana" w:hAnsi="Verdana"/>
          <w:sz w:val="16"/>
          <w:szCs w:val="16"/>
          <w:lang w:val="es-CR"/>
        </w:rPr>
        <w:t>[</w:t>
      </w:r>
      <w:proofErr w:type="gramEnd"/>
      <w:r>
        <w:rPr>
          <w:rFonts w:ascii="Verdana" w:hAnsi="Verdana"/>
          <w:sz w:val="16"/>
          <w:szCs w:val="16"/>
          <w:lang w:val="es-CR"/>
        </w:rPr>
        <w:t>,]</w:t>
      </w:r>
      <w:r w:rsidRPr="00514304">
        <w:rPr>
          <w:rFonts w:ascii="Verdana" w:hAnsi="Verdana"/>
          <w:sz w:val="16"/>
          <w:szCs w:val="16"/>
          <w:lang w:val="es-CR"/>
        </w:rPr>
        <w:t xml:space="preserve"> mientras la otra parte descansaba. Cuando la comunidad, en aquel entonces ya estaba preparada para hacer sus </w:t>
      </w:r>
      <w:r>
        <w:rPr>
          <w:rFonts w:ascii="Verdana" w:hAnsi="Verdana"/>
          <w:sz w:val="16"/>
          <w:szCs w:val="16"/>
          <w:lang w:val="es-CR"/>
        </w:rPr>
        <w:t>[sembríos]</w:t>
      </w:r>
      <w:r w:rsidRPr="00514304">
        <w:rPr>
          <w:rFonts w:ascii="Verdana" w:hAnsi="Verdana"/>
          <w:sz w:val="16"/>
          <w:szCs w:val="16"/>
          <w:lang w:val="es-CR"/>
        </w:rPr>
        <w:t>, entonces vinieron unos foráneos,</w:t>
      </w:r>
      <w:r>
        <w:rPr>
          <w:rFonts w:ascii="Verdana" w:hAnsi="Verdana"/>
          <w:sz w:val="16"/>
          <w:szCs w:val="16"/>
          <w:lang w:val="es-CR"/>
        </w:rPr>
        <w:t xml:space="preserve"> […]</w:t>
      </w:r>
      <w:r w:rsidRPr="00514304">
        <w:rPr>
          <w:rFonts w:ascii="Verdana" w:hAnsi="Verdana"/>
          <w:sz w:val="16"/>
          <w:szCs w:val="16"/>
          <w:lang w:val="es-CR"/>
        </w:rPr>
        <w:t xml:space="preserve"> invadieron las tierras que estaban listas para sembrar </w:t>
      </w:r>
      <w:r>
        <w:rPr>
          <w:rFonts w:ascii="Verdana" w:hAnsi="Verdana"/>
          <w:sz w:val="16"/>
          <w:szCs w:val="16"/>
          <w:lang w:val="es-CR"/>
        </w:rPr>
        <w:t xml:space="preserve">[…].” </w:t>
      </w:r>
      <w:r w:rsidRPr="00514304">
        <w:rPr>
          <w:rFonts w:ascii="Verdana" w:hAnsi="Verdana"/>
          <w:sz w:val="16"/>
          <w:szCs w:val="16"/>
          <w:lang w:val="es-CR"/>
        </w:rPr>
        <w:t>[…] “[N]</w:t>
      </w:r>
      <w:proofErr w:type="spellStart"/>
      <w:r w:rsidRPr="00514304">
        <w:rPr>
          <w:rFonts w:ascii="Verdana" w:hAnsi="Verdana"/>
          <w:sz w:val="16"/>
          <w:szCs w:val="16"/>
          <w:lang w:val="es-CR"/>
        </w:rPr>
        <w:t>osotros</w:t>
      </w:r>
      <w:proofErr w:type="spellEnd"/>
      <w:r w:rsidRPr="00514304">
        <w:rPr>
          <w:rFonts w:ascii="Verdana" w:hAnsi="Verdana"/>
          <w:sz w:val="16"/>
          <w:szCs w:val="16"/>
          <w:lang w:val="es-CR"/>
        </w:rPr>
        <w:t xml:space="preserve"> teníamos varios tipos de trabajo</w:t>
      </w:r>
      <w:r>
        <w:rPr>
          <w:rFonts w:ascii="Verdana" w:hAnsi="Verdana"/>
          <w:sz w:val="16"/>
          <w:szCs w:val="16"/>
          <w:lang w:val="es-CR"/>
        </w:rPr>
        <w:t>, d</w:t>
      </w:r>
      <w:r w:rsidRPr="00514304">
        <w:rPr>
          <w:rFonts w:ascii="Verdana" w:hAnsi="Verdana"/>
          <w:sz w:val="16"/>
          <w:szCs w:val="16"/>
          <w:lang w:val="es-CR"/>
        </w:rPr>
        <w:t>onde sembrábamos las tierras había zonas exclusivamente para sembrar arroz</w:t>
      </w:r>
      <w:r>
        <w:rPr>
          <w:rFonts w:ascii="Verdana" w:hAnsi="Verdana"/>
          <w:sz w:val="16"/>
          <w:szCs w:val="16"/>
          <w:lang w:val="es-CR"/>
        </w:rPr>
        <w:t>; o</w:t>
      </w:r>
      <w:r w:rsidRPr="00514304">
        <w:rPr>
          <w:rFonts w:ascii="Verdana" w:hAnsi="Verdana"/>
          <w:sz w:val="16"/>
          <w:szCs w:val="16"/>
          <w:lang w:val="es-CR"/>
        </w:rPr>
        <w:t>tra parte que la teníamos para sembrar yuca, que es una de las siembras de las que vive la comunidad</w:t>
      </w:r>
      <w:r>
        <w:rPr>
          <w:rFonts w:ascii="Verdana" w:hAnsi="Verdana"/>
          <w:sz w:val="16"/>
          <w:szCs w:val="16"/>
          <w:lang w:val="es-CR"/>
        </w:rPr>
        <w:t xml:space="preserve">, y </w:t>
      </w:r>
      <w:r w:rsidRPr="00514304">
        <w:rPr>
          <w:rFonts w:ascii="Verdana" w:hAnsi="Verdana"/>
          <w:sz w:val="16"/>
          <w:szCs w:val="16"/>
          <w:lang w:val="es-CR"/>
        </w:rPr>
        <w:t xml:space="preserve">nosotros lo sembrábamos en grupos, como lo vuelvo a repetir, lo hacíamos como para no destruir los bosques o dejar descansar la tierra, lo hacíamos en forma de barbecho. </w:t>
      </w:r>
      <w:r>
        <w:rPr>
          <w:rFonts w:ascii="Verdana" w:hAnsi="Verdana"/>
          <w:sz w:val="16"/>
          <w:szCs w:val="16"/>
          <w:lang w:val="es-CR"/>
        </w:rPr>
        <w:t>[C]</w:t>
      </w:r>
      <w:proofErr w:type="spellStart"/>
      <w:r w:rsidRPr="00514304">
        <w:rPr>
          <w:rFonts w:ascii="Verdana" w:hAnsi="Verdana"/>
          <w:sz w:val="16"/>
          <w:szCs w:val="16"/>
          <w:lang w:val="es-CR"/>
        </w:rPr>
        <w:t>uando</w:t>
      </w:r>
      <w:proofErr w:type="spellEnd"/>
      <w:r w:rsidRPr="00514304">
        <w:rPr>
          <w:rFonts w:ascii="Verdana" w:hAnsi="Verdana"/>
          <w:sz w:val="16"/>
          <w:szCs w:val="16"/>
          <w:lang w:val="es-CR"/>
        </w:rPr>
        <w:t xml:space="preserve"> hablamos de forma de barbecho, dejamos descansar unos diez, doce años un terreno que se ha trabajado por cuatro años, para volver a regresar a ir dentro unos doce a trece años.”</w:t>
      </w:r>
    </w:p>
  </w:footnote>
  <w:footnote w:id="58">
    <w:p w14:paraId="0C704DA2" w14:textId="38AE3809" w:rsidR="006B2C5D" w:rsidRPr="00514304" w:rsidRDefault="006B2C5D" w:rsidP="00B15331">
      <w:pPr>
        <w:pStyle w:val="FootnoteText"/>
        <w:rPr>
          <w:i/>
        </w:rPr>
      </w:pPr>
      <w:r w:rsidRPr="00514304">
        <w:rPr>
          <w:rStyle w:val="FootnoteReference"/>
          <w:sz w:val="16"/>
        </w:rPr>
        <w:footnoteRef/>
      </w:r>
      <w:r w:rsidRPr="00514304">
        <w:t xml:space="preserve">  </w:t>
      </w:r>
      <w:r w:rsidRPr="00514304">
        <w:tab/>
      </w:r>
      <w:r w:rsidRPr="00514304">
        <w:rPr>
          <w:i/>
        </w:rPr>
        <w:t>Cfr.</w:t>
      </w:r>
      <w:r>
        <w:rPr>
          <w:i/>
        </w:rPr>
        <w:t xml:space="preserve"> Mutatis </w:t>
      </w:r>
      <w:proofErr w:type="spellStart"/>
      <w:r>
        <w:rPr>
          <w:i/>
        </w:rPr>
        <w:t>mutandi</w:t>
      </w:r>
      <w:proofErr w:type="spellEnd"/>
      <w:r>
        <w:t xml:space="preserve"> </w:t>
      </w:r>
      <w:r w:rsidRPr="00514304">
        <w:rPr>
          <w:i/>
        </w:rPr>
        <w:t>Caso López Álvarez, supra</w:t>
      </w:r>
      <w:r w:rsidRPr="00514304">
        <w:t>, párr. 54.1</w:t>
      </w:r>
      <w:r>
        <w:t xml:space="preserve">, y </w:t>
      </w:r>
      <w:r w:rsidRPr="00514304">
        <w:t xml:space="preserve">Panel de </w:t>
      </w:r>
      <w:r>
        <w:t>I</w:t>
      </w:r>
      <w:r w:rsidRPr="00514304">
        <w:t>nspección del Banco Mundial. Informe de Investigación sobre Programa de Administración de Tierras de Honduras</w:t>
      </w:r>
      <w:r>
        <w:t xml:space="preserve">, </w:t>
      </w:r>
      <w:r w:rsidRPr="00A0324F">
        <w:rPr>
          <w:i/>
        </w:rPr>
        <w:t>supra,</w:t>
      </w:r>
      <w:r>
        <w:t xml:space="preserve"> pp.</w:t>
      </w:r>
      <w:r w:rsidRPr="00514304">
        <w:t xml:space="preserve"> 21</w:t>
      </w:r>
      <w:r>
        <w:t xml:space="preserve"> a </w:t>
      </w:r>
      <w:r w:rsidRPr="00514304">
        <w:t>25</w:t>
      </w:r>
      <w:r>
        <w:t>.</w:t>
      </w:r>
      <w:r w:rsidRPr="00514304">
        <w:t xml:space="preserve"> </w:t>
      </w:r>
    </w:p>
  </w:footnote>
  <w:footnote w:id="59">
    <w:p w14:paraId="0C704DA4" w14:textId="7777777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Declaración rendida ante fedatario público </w:t>
      </w:r>
      <w:r w:rsidRPr="00514304">
        <w:rPr>
          <w:i/>
        </w:rPr>
        <w:t>(affidávit)</w:t>
      </w:r>
      <w:r w:rsidRPr="00514304">
        <w:t xml:space="preserve"> por el perito James Anaya el 11 de septiembre de 2014 (expediente de fondo, folio 531).</w:t>
      </w:r>
    </w:p>
  </w:footnote>
  <w:footnote w:id="60">
    <w:p w14:paraId="0C704DA5" w14:textId="0EA8844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Mapa de la ubicación geográfica de la Comunidad de Punta Piedra, elaborado por el INA el 12 de julio de 2007 (</w:t>
      </w:r>
      <w:r>
        <w:t xml:space="preserve">expediente de prueba, </w:t>
      </w:r>
      <w:r w:rsidRPr="00514304">
        <w:t>folio 11).</w:t>
      </w:r>
    </w:p>
  </w:footnote>
  <w:footnote w:id="61">
    <w:p w14:paraId="0C704DA6" w14:textId="7777777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Declaración rendida ante fedatario público </w:t>
      </w:r>
      <w:r w:rsidRPr="00514304">
        <w:rPr>
          <w:i/>
        </w:rPr>
        <w:t>(affidávit)</w:t>
      </w:r>
      <w:r w:rsidRPr="00514304">
        <w:t xml:space="preserve"> por el perito Christopher Loperena el 22 de agosto de 2014 (expediente de fondo, folios 433 a 434).</w:t>
      </w:r>
    </w:p>
  </w:footnote>
  <w:footnote w:id="62">
    <w:p w14:paraId="0C704DA7" w14:textId="77777777" w:rsidR="006B2C5D" w:rsidRDefault="006B2C5D" w:rsidP="00B15331">
      <w:pPr>
        <w:pStyle w:val="FootnoteText"/>
      </w:pPr>
      <w:r w:rsidRPr="00514304">
        <w:rPr>
          <w:rStyle w:val="FootnoteReference"/>
          <w:sz w:val="16"/>
        </w:rPr>
        <w:footnoteRef/>
      </w:r>
      <w:r w:rsidRPr="00514304">
        <w:t xml:space="preserve"> </w:t>
      </w:r>
      <w:r w:rsidRPr="00514304">
        <w:tab/>
        <w:t xml:space="preserve">El perito en estudios antropológicos en la cultura y territorialidad Garífuna, Christopher Loperena, señaló que Punta Piedra se fundó en 1799. </w:t>
      </w:r>
      <w:r w:rsidRPr="00514304">
        <w:rPr>
          <w:i/>
        </w:rPr>
        <w:t>Cfr.</w:t>
      </w:r>
      <w:r w:rsidRPr="00514304">
        <w:t xml:space="preserve"> Declaración rendida ante fedatario público </w:t>
      </w:r>
      <w:r w:rsidRPr="00514304">
        <w:rPr>
          <w:i/>
        </w:rPr>
        <w:t>(affidávit)</w:t>
      </w:r>
      <w:r w:rsidRPr="00514304">
        <w:t xml:space="preserve"> por el perito Christopher Loperena el 22 de agosto de 2014 (expediente de fondo, folio 433).</w:t>
      </w:r>
    </w:p>
  </w:footnote>
  <w:footnote w:id="63">
    <w:p w14:paraId="0C704DA8" w14:textId="71E7EE9C"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Declaración de Doroteo Thomas Rodríguez durante la audiencia pública celebrada ante la Corte Interamericana el 2 de septiembre de 2014.</w:t>
      </w:r>
    </w:p>
  </w:footnote>
  <w:footnote w:id="64">
    <w:p w14:paraId="0C704DA9" w14:textId="223B8571" w:rsidR="006B2C5D" w:rsidRDefault="006B2C5D" w:rsidP="00B15331">
      <w:pPr>
        <w:pStyle w:val="FootnoteText"/>
      </w:pPr>
      <w:r w:rsidRPr="00A0324F">
        <w:rPr>
          <w:rStyle w:val="FootnoteReference"/>
          <w:sz w:val="16"/>
        </w:rPr>
        <w:footnoteRef/>
      </w:r>
      <w:r w:rsidRPr="00A0324F">
        <w:t xml:space="preserve"> </w:t>
      </w:r>
      <w:r w:rsidRPr="00A0324F">
        <w:tab/>
        <w:t>Honduras ratificó el Convenio 169 de la OIT y votó a favor de la aprobación de la Declaración de las Naciones Unidas sobre los Derechos de los Pueblos indígenas (</w:t>
      </w:r>
      <w:r w:rsidRPr="00A0324F">
        <w:rPr>
          <w:i/>
        </w:rPr>
        <w:t>supra</w:t>
      </w:r>
      <w:r w:rsidRPr="00A0324F">
        <w:t xml:space="preserve"> párr. 84).</w:t>
      </w:r>
    </w:p>
  </w:footnote>
  <w:footnote w:id="65">
    <w:p w14:paraId="0C704DAA" w14:textId="35153216"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Comunicado público de OFRANEH de 12 de junio de 2007 donde se afirmó que la Comunidad de Punta Piedra contaba con un título ejidal que data de 1921 (</w:t>
      </w:r>
      <w:r>
        <w:t>expediente de prueba</w:t>
      </w:r>
      <w:r w:rsidRPr="00514304">
        <w:t xml:space="preserve">, folio 13). Por su parte, el Estado afirmó que “en fecha 26 de diciembre de 1922 [el Estado de Honduras] le otorgó a la Comunidad de Punta Piedra un derecho de uso y goce sobre su territorio mediante un título ejidal” (expediente de fondo, folio 570). </w:t>
      </w:r>
      <w:r w:rsidRPr="00514304">
        <w:rPr>
          <w:i/>
        </w:rPr>
        <w:t xml:space="preserve">Cfr. </w:t>
      </w:r>
      <w:r w:rsidRPr="00514304">
        <w:t>Testimonio de Doroteo Thomas: “[…] Los ancestros nos dejaron un documento por el terreno. […] Este documento ancestral que tenemos lo dio el gobierno en el año 1921 […]”. CIDH, Audiencia Pública de fecha 7 de marzo de 2006 sobre “Petición 1119/03-Comunidad Garífuna de Punta Piedra, Honduras”, 124° periodo ordinario de sesiones de la CIDH</w:t>
      </w:r>
      <w:r>
        <w:t xml:space="preserve"> (expediente de fondo, folio 15, nota al pie 21).</w:t>
      </w:r>
    </w:p>
  </w:footnote>
  <w:footnote w:id="66">
    <w:p w14:paraId="0C704DAB" w14:textId="73F2C0F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en dominio pleno otorgado por el INA el 16 de diciembre de 1993, identificado con el </w:t>
      </w:r>
      <w:r>
        <w:t>e</w:t>
      </w:r>
      <w:r w:rsidRPr="00514304">
        <w:t xml:space="preserve">xpediente No. 25239, y Título definitivo de propiedad en dominio pleno otorgado por el INA el 6 de diciembre de 1999, identificado con el </w:t>
      </w:r>
      <w:r>
        <w:t>e</w:t>
      </w:r>
      <w:r w:rsidRPr="00514304">
        <w:t>xpediente No. 52147-1077</w:t>
      </w:r>
      <w:r>
        <w:t>5</w:t>
      </w:r>
      <w:r w:rsidRPr="00514304">
        <w:t xml:space="preserve"> (</w:t>
      </w:r>
      <w:r>
        <w:t>expediente de prueba</w:t>
      </w:r>
      <w:r w:rsidRPr="00514304">
        <w:t>, folios 15 y 26, respectivamente).</w:t>
      </w:r>
    </w:p>
  </w:footnote>
  <w:footnote w:id="67">
    <w:p w14:paraId="0C704DAC" w14:textId="1CE09B76" w:rsidR="006B2C5D" w:rsidRDefault="006B2C5D" w:rsidP="00B15331">
      <w:pPr>
        <w:pStyle w:val="FootnoteText"/>
      </w:pPr>
      <w:r w:rsidRPr="00514304">
        <w:rPr>
          <w:rStyle w:val="FootnoteReference"/>
          <w:sz w:val="16"/>
        </w:rPr>
        <w:footnoteRef/>
      </w:r>
      <w:r w:rsidRPr="00514304">
        <w:rPr>
          <w:i/>
        </w:rPr>
        <w:t xml:space="preserve"> </w:t>
      </w:r>
      <w:r w:rsidRPr="00514304">
        <w:rPr>
          <w:i/>
        </w:rPr>
        <w:tab/>
        <w:t>Cfr</w:t>
      </w:r>
      <w:r w:rsidRPr="00514304">
        <w:t xml:space="preserve">.  Título definitivo de propiedad de 16 de diciembre de 1993, </w:t>
      </w:r>
      <w:r w:rsidRPr="00514304">
        <w:rPr>
          <w:i/>
        </w:rPr>
        <w:t>supra</w:t>
      </w:r>
      <w:r w:rsidRPr="00514304">
        <w:t>, el cual establece que: “[A]</w:t>
      </w:r>
      <w:proofErr w:type="spellStart"/>
      <w:r w:rsidRPr="00514304">
        <w:t>creditado</w:t>
      </w:r>
      <w:proofErr w:type="spellEnd"/>
      <w:r w:rsidRPr="00514304">
        <w:t xml:space="preserve"> en las diligencias contenidas en el </w:t>
      </w:r>
      <w:r>
        <w:t>[e]</w:t>
      </w:r>
      <w:proofErr w:type="spellStart"/>
      <w:r w:rsidRPr="00514304">
        <w:t>xpediente</w:t>
      </w:r>
      <w:proofErr w:type="spellEnd"/>
      <w:r w:rsidRPr="00514304">
        <w:t xml:space="preserve"> No. 25239 incoado con fecha octubre 13 de 1992 que la Comunidad Garífuna “Punta Piedra” reúne los requisitos de Ley para ser adjudicataria de tierra en la Reforma Agraria, por este acto otorga: Título </w:t>
      </w:r>
      <w:r>
        <w:t>D</w:t>
      </w:r>
      <w:r w:rsidRPr="00514304">
        <w:t xml:space="preserve">efinitivo de </w:t>
      </w:r>
      <w:r>
        <w:t>P</w:t>
      </w:r>
      <w:r w:rsidRPr="00514304">
        <w:t xml:space="preserve">ropiedad en </w:t>
      </w:r>
      <w:r>
        <w:t>D</w:t>
      </w:r>
      <w:r w:rsidRPr="00514304">
        <w:t xml:space="preserve">ominio </w:t>
      </w:r>
      <w:r>
        <w:t>P</w:t>
      </w:r>
      <w:r w:rsidRPr="00514304">
        <w:t>leno” (</w:t>
      </w:r>
      <w:r>
        <w:t>expediente de prueba</w:t>
      </w:r>
      <w:r w:rsidRPr="00514304">
        <w:t>, folio 15).</w:t>
      </w:r>
    </w:p>
  </w:footnote>
  <w:footnote w:id="68">
    <w:p w14:paraId="0C704DAD" w14:textId="6FB8C113"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de 16 de diciembre de 1993, </w:t>
      </w:r>
      <w:r w:rsidRPr="00514304">
        <w:rPr>
          <w:i/>
        </w:rPr>
        <w:t>supra</w:t>
      </w:r>
      <w:r w:rsidRPr="00514304">
        <w:t xml:space="preserve"> (</w:t>
      </w:r>
      <w:r>
        <w:t>expediente de prueba</w:t>
      </w:r>
      <w:r w:rsidRPr="00514304">
        <w:t>, folio 18).</w:t>
      </w:r>
    </w:p>
  </w:footnote>
  <w:footnote w:id="69">
    <w:p w14:paraId="0C704DAE" w14:textId="1DD3F37C" w:rsidR="006B2C5D" w:rsidRDefault="006B2C5D" w:rsidP="00B15331">
      <w:pPr>
        <w:pStyle w:val="FootnoteText"/>
        <w:rPr>
          <w:lang w:val="es-MX"/>
        </w:rPr>
      </w:pPr>
      <w:r w:rsidRPr="00514304">
        <w:rPr>
          <w:rStyle w:val="FootnoteReference"/>
          <w:sz w:val="16"/>
        </w:rPr>
        <w:footnoteRef/>
      </w:r>
      <w:r w:rsidRPr="00514304">
        <w:t xml:space="preserve"> </w:t>
      </w:r>
      <w:r w:rsidRPr="00514304">
        <w:tab/>
      </w:r>
      <w:r w:rsidRPr="00514304">
        <w:rPr>
          <w:i/>
        </w:rPr>
        <w:t>Cfr.</w:t>
      </w:r>
      <w:r w:rsidRPr="00514304">
        <w:t xml:space="preserve"> Ley de Reforma Agraria, Decreto Ley No.170-74 de 30 de diciembre de 1974 (</w:t>
      </w:r>
      <w:r>
        <w:t>expediente de prueba</w:t>
      </w:r>
      <w:r w:rsidRPr="00514304">
        <w:t>, folios 1853 a 1905).</w:t>
      </w:r>
    </w:p>
  </w:footnote>
  <w:footnote w:id="70">
    <w:p w14:paraId="0C704DAF" w14:textId="6730A001" w:rsidR="006B2C5D" w:rsidRDefault="006B2C5D" w:rsidP="00B15331">
      <w:pPr>
        <w:pStyle w:val="FootnoteText"/>
        <w:rPr>
          <w:lang w:val="es-MX"/>
        </w:rPr>
      </w:pPr>
      <w:r w:rsidRPr="00514304">
        <w:rPr>
          <w:rStyle w:val="FootnoteReference"/>
          <w:sz w:val="16"/>
        </w:rPr>
        <w:footnoteRef/>
      </w:r>
      <w:r w:rsidRPr="00514304">
        <w:t xml:space="preserve"> </w:t>
      </w:r>
      <w:r w:rsidRPr="00514304">
        <w:tab/>
      </w:r>
      <w:r w:rsidRPr="00514304">
        <w:rPr>
          <w:i/>
        </w:rPr>
        <w:t>Cfr.</w:t>
      </w:r>
      <w:r w:rsidRPr="00514304">
        <w:t xml:space="preserve"> Ley para la Modernización y el Desarrollo del Sector Agrícola, Decreto No.31-92 de 5 de marzo de 1992, la cual modificó algunos artículos de la Ley de Reforma Agraria (</w:t>
      </w:r>
      <w:r>
        <w:t>expediente de prueba</w:t>
      </w:r>
      <w:r w:rsidRPr="00514304">
        <w:t>, folios 2242 a 2279).</w:t>
      </w:r>
    </w:p>
  </w:footnote>
  <w:footnote w:id="71">
    <w:p w14:paraId="0C704DB0" w14:textId="2C682B08" w:rsidR="006B2C5D" w:rsidRDefault="006B2C5D" w:rsidP="00B15331">
      <w:pPr>
        <w:pStyle w:val="FootnoteText"/>
      </w:pPr>
      <w:r w:rsidRPr="00514304">
        <w:rPr>
          <w:rStyle w:val="FootnoteReference"/>
          <w:sz w:val="16"/>
        </w:rPr>
        <w:footnoteRef/>
      </w:r>
      <w:r w:rsidRPr="00514304">
        <w:t xml:space="preserve"> </w:t>
      </w:r>
      <w:r w:rsidRPr="00514304">
        <w:tab/>
        <w:t>El título de propiedad de 1993 también señaló como base normativa “</w:t>
      </w:r>
      <w:r>
        <w:t>[</w:t>
      </w:r>
      <w:r w:rsidRPr="00514304">
        <w:t>el artículo</w:t>
      </w:r>
      <w:r>
        <w:t>]</w:t>
      </w:r>
      <w:r w:rsidRPr="00514304">
        <w:t xml:space="preserve"> 346 de la Constitución; los artículos 1, 5, 6, literal b), 7, 8, 135 literales b) e i), 144 literales a) y g) de la Ley de Reforma Agraria, y 15, 79 y 92 del mismo cuerpo legal reformados mediante Decreto 31-92 [la Ley para la Modernización y el Desarrollo del Sector Agrícola]”.</w:t>
      </w:r>
      <w:r w:rsidRPr="00514304">
        <w:rPr>
          <w:i/>
        </w:rPr>
        <w:t xml:space="preserve"> Cfr</w:t>
      </w:r>
      <w:r w:rsidRPr="00514304">
        <w:t xml:space="preserve">. Título definitivo de propiedad de 16 de diciembre de 1993, </w:t>
      </w:r>
      <w:r w:rsidRPr="00514304">
        <w:rPr>
          <w:i/>
        </w:rPr>
        <w:t>supra</w:t>
      </w:r>
      <w:r w:rsidRPr="00514304">
        <w:t xml:space="preserve"> (</w:t>
      </w:r>
      <w:r>
        <w:t>expediente de prueba</w:t>
      </w:r>
      <w:r w:rsidRPr="00514304">
        <w:t>, folio 15). El artículo 346 de la Constitución establece que “Es deber del Estado dictar medidas de protección de los derechos e intereses de las comunidades indígenas existentes en el país, especialmente de las tierras y bosques donde estuvieren asentadas” (expediente de fondo, folio 181).</w:t>
      </w:r>
    </w:p>
  </w:footnote>
  <w:footnote w:id="72">
    <w:p w14:paraId="0C704DB1" w14:textId="1C4AEAD7" w:rsidR="006B2C5D" w:rsidRDefault="006B2C5D" w:rsidP="00B15331">
      <w:pPr>
        <w:pStyle w:val="FootnoteText"/>
      </w:pPr>
      <w:r w:rsidRPr="00514304">
        <w:rPr>
          <w:rStyle w:val="FootnoteReference"/>
          <w:sz w:val="16"/>
        </w:rPr>
        <w:footnoteRef/>
      </w:r>
      <w:r w:rsidRPr="00514304">
        <w:t xml:space="preserve"> </w:t>
      </w:r>
      <w:r w:rsidRPr="00514304">
        <w:tab/>
      </w:r>
      <w:r>
        <w:t xml:space="preserve">Éste </w:t>
      </w:r>
      <w:r w:rsidRPr="00514304">
        <w:t xml:space="preserve">establece que “El Instituto Nacional Agrario exigirá la devolución de todos los terrenos rurales, nacionales o ejidales que estén ilegalmente en poder de particulares. No obstante lo anterior, quien acredite debidamente ante el mencionado Instituto, haber ocupado, por sí mismo y en forma pacífica, tierras nacionales o ejidales que estén siendo o hayan sido objeto de explotación durante un período no menor a tres años, tendrá derecho a que se le venda la correspondiente superficie, siempre que no exceda de doscientas hectáreas y que no se encuentre entre las exclusiones que establece el </w:t>
      </w:r>
      <w:r>
        <w:t>[</w:t>
      </w:r>
      <w:proofErr w:type="spellStart"/>
      <w:r>
        <w:t>a</w:t>
      </w:r>
      <w:r w:rsidRPr="00514304">
        <w:t>r</w:t>
      </w:r>
      <w:proofErr w:type="spellEnd"/>
      <w:proofErr w:type="gramStart"/>
      <w:r>
        <w:t>]</w:t>
      </w:r>
      <w:proofErr w:type="spellStart"/>
      <w:r w:rsidRPr="00514304">
        <w:t>tículo</w:t>
      </w:r>
      <w:proofErr w:type="spellEnd"/>
      <w:proofErr w:type="gramEnd"/>
      <w:r w:rsidRPr="00514304">
        <w:t xml:space="preserve"> 13 de esta Ley. El precio y las condiciones de esta venta serán determinados por el Instituto Nacional Agrario, de acuerdo con lo prescrito en el </w:t>
      </w:r>
      <w:r>
        <w:t>[a]</w:t>
      </w:r>
      <w:proofErr w:type="spellStart"/>
      <w:r w:rsidRPr="00514304">
        <w:t>rtículo</w:t>
      </w:r>
      <w:proofErr w:type="spellEnd"/>
      <w:r w:rsidRPr="00514304">
        <w:t xml:space="preserve"> 92 de esta Ley; si el precio no se pagara al contado, el saldo se garantizará con la hipoteca constituida sobre el predio vendido. En todo caso, el título de dominio pleno se otorgará y se inscribirá en el Registro de la Propiedad correspondiente a más tardar dentro de los seis meses siguientes a la fecha en que se formalice la venta. Se excluye del derecho al beneficio contemplado en este </w:t>
      </w:r>
      <w:r>
        <w:t>[a]</w:t>
      </w:r>
      <w:proofErr w:type="spellStart"/>
      <w:r w:rsidRPr="00514304">
        <w:t>rtículo</w:t>
      </w:r>
      <w:proofErr w:type="spellEnd"/>
      <w:r w:rsidRPr="00514304">
        <w:t xml:space="preserve"> aquellas personas que sean propietarias de uno o más predios rurales cuando su extensión sea igual o mayor al área indicada en el párrafo segundo de este </w:t>
      </w:r>
      <w:r>
        <w:t>[a]</w:t>
      </w:r>
      <w:proofErr w:type="spellStart"/>
      <w:r w:rsidRPr="00514304">
        <w:t>rtículo</w:t>
      </w:r>
      <w:proofErr w:type="spellEnd"/>
      <w:r w:rsidRPr="00514304">
        <w:t>; si fuere menor, tendrán derecho a que se les adjudique y titule aquella porción de tierras nacionales o ejidales que estuvieren ocupando hasta completar la superficie indicada. Asimismo quedan excluid</w:t>
      </w:r>
      <w:r>
        <w:t>a</w:t>
      </w:r>
      <w:r w:rsidRPr="00514304">
        <w:t xml:space="preserve">s del beneficio contemplado en este </w:t>
      </w:r>
      <w:r>
        <w:t>[a]</w:t>
      </w:r>
      <w:proofErr w:type="spellStart"/>
      <w:r w:rsidRPr="00514304">
        <w:t>rtículo</w:t>
      </w:r>
      <w:proofErr w:type="spellEnd"/>
      <w:r w:rsidRPr="00514304">
        <w:t xml:space="preserve">, aquellas </w:t>
      </w:r>
      <w:r w:rsidRPr="007A3572">
        <w:t xml:space="preserve">personas a </w:t>
      </w:r>
      <w:r w:rsidRPr="003C5BB7">
        <w:t>quienes se les comprobare,</w:t>
      </w:r>
      <w:r w:rsidRPr="00514304">
        <w:t xml:space="preserve"> a partir de la vigencia de la Ley para la Modernización y el Desarrollo del Sector Agrícola que talen, descombren o rocen áreas de vocación forestal para convertirlas a usos agrícolas contrarios al uso racional, conservación y manejo de las áreas forestales. Lo establecido en esta norma será también aplicable a quienes estén ocupando un predio rústico nacional o ejidal con base en un título supletorio. El Instituto Nacional Agrario actuará de acuerdo con la Administración Forestal del Estado en los terrenos de vocación forestal con el fin de mantener su uso forestal”.</w:t>
      </w:r>
    </w:p>
  </w:footnote>
  <w:footnote w:id="73">
    <w:p w14:paraId="0C704DB2" w14:textId="011FFD65" w:rsidR="006B2C5D" w:rsidRDefault="006B2C5D" w:rsidP="00B15331">
      <w:pPr>
        <w:pStyle w:val="FootnoteText"/>
        <w:rPr>
          <w:lang w:val="es-MX"/>
        </w:rPr>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de 16 de diciembre de 1993, </w:t>
      </w:r>
      <w:r w:rsidRPr="00514304">
        <w:rPr>
          <w:i/>
        </w:rPr>
        <w:t>supra</w:t>
      </w:r>
      <w:r w:rsidRPr="00514304">
        <w:t xml:space="preserve"> (</w:t>
      </w:r>
      <w:r>
        <w:t>expediente de prueba</w:t>
      </w:r>
      <w:r w:rsidRPr="00514304">
        <w:t>, folio 16).</w:t>
      </w:r>
    </w:p>
  </w:footnote>
  <w:footnote w:id="74">
    <w:p w14:paraId="0C704DB3" w14:textId="4348C383"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de 6 de diciembre de 1999, </w:t>
      </w:r>
      <w:r w:rsidRPr="00514304">
        <w:rPr>
          <w:i/>
        </w:rPr>
        <w:t>supra</w:t>
      </w:r>
      <w:r w:rsidRPr="00514304">
        <w:t>, el cual establece que: “[A]</w:t>
      </w:r>
      <w:proofErr w:type="spellStart"/>
      <w:r w:rsidRPr="00514304">
        <w:t>creditado</w:t>
      </w:r>
      <w:proofErr w:type="spellEnd"/>
      <w:r w:rsidRPr="00514304">
        <w:t xml:space="preserve"> en las diligencias contenidas en el Expediente No.52147-10775 incoado con fecha 08/07/99 en que la Comunidad Garífuna de Punta Piedra reúne los requisitos de Ley para ser adjudicatario de tierra en la Reforma Agraria, por este acto otorga: “Título definitivo de propiedad en dominio pleno” (</w:t>
      </w:r>
      <w:r>
        <w:t>expediente de prueba</w:t>
      </w:r>
      <w:r w:rsidRPr="00514304">
        <w:t>, folio 26).</w:t>
      </w:r>
    </w:p>
  </w:footnote>
  <w:footnote w:id="75">
    <w:p w14:paraId="0C704DB4" w14:textId="59815EC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de 6 de diciembre de 1999, </w:t>
      </w:r>
      <w:r w:rsidRPr="00514304">
        <w:rPr>
          <w:i/>
        </w:rPr>
        <w:t>supra</w:t>
      </w:r>
      <w:r w:rsidRPr="00514304">
        <w:t xml:space="preserve"> (</w:t>
      </w:r>
      <w:r>
        <w:t>expediente de prueba</w:t>
      </w:r>
      <w:r w:rsidRPr="00514304">
        <w:t>, folio 28). Normativa adicional indicada en el título fue el artículo 346 de la Constitución de Honduras; los artículos 1, 5, 8, 135 literal b), 144 literales a) y g) de la Ley de Reforma Agraria, y 92 del mismo cuerpo legal reformado por ley para la modernización agrícola de 1992.</w:t>
      </w:r>
    </w:p>
  </w:footnote>
  <w:footnote w:id="76">
    <w:p w14:paraId="0C704DB5" w14:textId="531E6DC2"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Título definitivo de propiedad de 6 de diciembre de 1999, </w:t>
      </w:r>
      <w:r w:rsidRPr="00514304">
        <w:rPr>
          <w:i/>
        </w:rPr>
        <w:t>supra</w:t>
      </w:r>
      <w:r w:rsidRPr="00514304">
        <w:t xml:space="preserve"> (</w:t>
      </w:r>
      <w:r>
        <w:t>expediente de prueba</w:t>
      </w:r>
      <w:r w:rsidRPr="00514304">
        <w:t>, folio 26).</w:t>
      </w:r>
    </w:p>
  </w:footnote>
  <w:footnote w:id="77">
    <w:p w14:paraId="0C704DB6" w14:textId="5F7D2E5F" w:rsidR="006B2C5D" w:rsidRDefault="006B2C5D" w:rsidP="00B15331">
      <w:pPr>
        <w:pStyle w:val="FootnoteText"/>
      </w:pPr>
      <w:r w:rsidRPr="00514304">
        <w:rPr>
          <w:rStyle w:val="FootnoteReference"/>
          <w:sz w:val="16"/>
        </w:rPr>
        <w:footnoteRef/>
      </w:r>
      <w:r w:rsidRPr="00514304">
        <w:t xml:space="preserve"> </w:t>
      </w:r>
      <w:r w:rsidRPr="00514304">
        <w:tab/>
        <w:t xml:space="preserve">“Este </w:t>
      </w:r>
      <w:r>
        <w:t>[</w:t>
      </w:r>
      <w:r w:rsidRPr="00514304">
        <w:t>t</w:t>
      </w:r>
      <w:r>
        <w:t>]</w:t>
      </w:r>
      <w:proofErr w:type="spellStart"/>
      <w:r w:rsidRPr="00514304">
        <w:t>ítulo</w:t>
      </w:r>
      <w:proofErr w:type="spellEnd"/>
      <w:r w:rsidRPr="00514304">
        <w:t xml:space="preserve"> de propiedad constituye un patrimonio inalienable de la Comunidad Beneficiaria, excepto en los casos en que la transferencia del dominio se haga con el propósito de construir vivienda y obras públicas a favor de los miembros de dicha Comunidad que carezcan de ella, así mismo la transferencia de dominio que hagan los propietarios de viviendas tiene que ser a favor de miembros de la Comunidad. En ambos casos tiene que haber aprobación de la Junta Directiva del </w:t>
      </w:r>
      <w:proofErr w:type="gramStart"/>
      <w:r w:rsidRPr="00514304">
        <w:t>Patronato[</w:t>
      </w:r>
      <w:proofErr w:type="gramEnd"/>
      <w:r w:rsidRPr="00514304">
        <w:t xml:space="preserve">,] misma que debe constar en el Instrumento de Transferencia de Dominio. El Patronato tendrá derecho preferente para la adquisición del dominio de las viviendas que estén en venta, pero tampoco podrá vender a terceras personas naturales o jurídicas, solamente podrá hacerlo a los miembros de la </w:t>
      </w:r>
      <w:r>
        <w:t>[C]</w:t>
      </w:r>
      <w:proofErr w:type="spellStart"/>
      <w:r w:rsidRPr="00514304">
        <w:t>omunidad</w:t>
      </w:r>
      <w:proofErr w:type="spellEnd"/>
      <w:r w:rsidRPr="00514304">
        <w:t xml:space="preserve"> Garífuna beneficiaria”.</w:t>
      </w:r>
      <w:r>
        <w:t xml:space="preserve"> </w:t>
      </w:r>
      <w:r w:rsidRPr="00514304">
        <w:t xml:space="preserve">Título definitivo de propiedad de 6 de diciembre de 1999, </w:t>
      </w:r>
      <w:r w:rsidRPr="00514304">
        <w:rPr>
          <w:i/>
        </w:rPr>
        <w:t>supra</w:t>
      </w:r>
      <w:r w:rsidRPr="00514304">
        <w:t xml:space="preserve"> (</w:t>
      </w:r>
      <w:r>
        <w:t>expediente de prueba</w:t>
      </w:r>
      <w:r w:rsidRPr="00514304">
        <w:t>, folios 27 a 28).</w:t>
      </w:r>
    </w:p>
  </w:footnote>
  <w:footnote w:id="78">
    <w:p w14:paraId="0C704DB7" w14:textId="5288A858" w:rsidR="006B2C5D" w:rsidRDefault="006B2C5D" w:rsidP="00B15331">
      <w:pPr>
        <w:pStyle w:val="FootnoteText"/>
      </w:pPr>
      <w:r w:rsidRPr="00514304">
        <w:rPr>
          <w:rStyle w:val="FootnoteReference"/>
          <w:sz w:val="16"/>
        </w:rPr>
        <w:footnoteRef/>
      </w:r>
      <w:r w:rsidRPr="00514304">
        <w:t xml:space="preserve"> </w:t>
      </w:r>
      <w:r w:rsidRPr="00514304">
        <w:tab/>
        <w:t xml:space="preserve">El señor </w:t>
      </w:r>
      <w:proofErr w:type="spellStart"/>
      <w:r w:rsidRPr="00514304">
        <w:t>Ambrocio</w:t>
      </w:r>
      <w:proofErr w:type="spellEnd"/>
      <w:r>
        <w:t xml:space="preserve"> </w:t>
      </w:r>
      <w:r w:rsidRPr="00514304">
        <w:t xml:space="preserve">Thomas Castillo cuenta con un título de propiedad emitido el 3 de marzo de 1994, por un área de 22 </w:t>
      </w:r>
      <w:r>
        <w:t>hectáreas</w:t>
      </w:r>
      <w:r w:rsidRPr="00514304">
        <w:t xml:space="preserve">, 65 </w:t>
      </w:r>
      <w:r>
        <w:t>áreas</w:t>
      </w:r>
      <w:r w:rsidRPr="00514304">
        <w:t xml:space="preserve"> y 75.06 </w:t>
      </w:r>
      <w:r>
        <w:t>centiáreas</w:t>
      </w:r>
      <w:r w:rsidRPr="00514304">
        <w:t xml:space="preserve"> (22 </w:t>
      </w:r>
      <w:r>
        <w:t>ha</w:t>
      </w:r>
      <w:r w:rsidRPr="00514304">
        <w:t xml:space="preserve"> 65 </w:t>
      </w:r>
      <w:r>
        <w:t>a</w:t>
      </w:r>
      <w:r w:rsidRPr="00514304">
        <w:t xml:space="preserve"> Y 75.06 </w:t>
      </w:r>
      <w:proofErr w:type="spellStart"/>
      <w:r>
        <w:t>ca</w:t>
      </w:r>
      <w:proofErr w:type="spellEnd"/>
      <w:r w:rsidRPr="00514304">
        <w:t>).</w:t>
      </w:r>
      <w:r w:rsidRPr="00514304">
        <w:rPr>
          <w:i/>
        </w:rPr>
        <w:t xml:space="preserve"> Cfr</w:t>
      </w:r>
      <w:r w:rsidRPr="00514304">
        <w:t xml:space="preserve">. Título definitivo de propiedad en dominio pleno otorgado por el INA al señor </w:t>
      </w:r>
      <w:proofErr w:type="spellStart"/>
      <w:r w:rsidRPr="00514304">
        <w:t>Ambrocio</w:t>
      </w:r>
      <w:proofErr w:type="spellEnd"/>
      <w:r w:rsidRPr="00514304">
        <w:t xml:space="preserve"> Thomas Castillo el 3 de marzo de 1994 (expediente de fondo, folios 636 y 637). Asimismo, cuenta con un segundo título de dominio pleno emitido el 22 de julio de 1998, por un área de 3 </w:t>
      </w:r>
      <w:r>
        <w:t>hectáreas</w:t>
      </w:r>
      <w:r w:rsidRPr="00514304">
        <w:t xml:space="preserve"> 61 </w:t>
      </w:r>
      <w:r>
        <w:t>áreas</w:t>
      </w:r>
      <w:r w:rsidRPr="00514304">
        <w:t xml:space="preserve"> </w:t>
      </w:r>
      <w:r>
        <w:t xml:space="preserve">y </w:t>
      </w:r>
      <w:r w:rsidRPr="00514304">
        <w:t xml:space="preserve">97.99 </w:t>
      </w:r>
      <w:r>
        <w:t>centiáreas</w:t>
      </w:r>
      <w:r w:rsidRPr="00514304">
        <w:t xml:space="preserve"> (3 </w:t>
      </w:r>
      <w:r>
        <w:t>ha</w:t>
      </w:r>
      <w:r w:rsidRPr="00514304">
        <w:t xml:space="preserve"> 61 </w:t>
      </w:r>
      <w:r>
        <w:t>a</w:t>
      </w:r>
      <w:r w:rsidRPr="00514304">
        <w:t xml:space="preserve"> y 97.99 </w:t>
      </w:r>
      <w:proofErr w:type="spellStart"/>
      <w:r>
        <w:t>ca</w:t>
      </w:r>
      <w:proofErr w:type="spellEnd"/>
      <w:r w:rsidRPr="00514304">
        <w:t xml:space="preserve">). </w:t>
      </w:r>
      <w:r w:rsidRPr="00514304">
        <w:rPr>
          <w:i/>
        </w:rPr>
        <w:t>Cfr</w:t>
      </w:r>
      <w:r w:rsidRPr="00514304">
        <w:t xml:space="preserve">. Título definitivo de propiedad en dominio pleno otorgado por el INA al señor </w:t>
      </w:r>
      <w:proofErr w:type="spellStart"/>
      <w:r w:rsidRPr="00514304">
        <w:t>Ambrocio</w:t>
      </w:r>
      <w:proofErr w:type="spellEnd"/>
      <w:r w:rsidRPr="00514304">
        <w:t xml:space="preserve"> Thomas Castillo el 22 de julio de 1998 (expediente de fondo, folios 634 y 635). A pesar de esto, el informe catastral de 2007 concluyó que el terreno con dominio pleno a favor de </w:t>
      </w:r>
      <w:proofErr w:type="spellStart"/>
      <w:r w:rsidRPr="00514304">
        <w:t>Ambrocio</w:t>
      </w:r>
      <w:proofErr w:type="spellEnd"/>
      <w:r w:rsidRPr="00514304">
        <w:t xml:space="preserve"> Thomas era de 68.06 </w:t>
      </w:r>
      <w:r>
        <w:t>hectáreas</w:t>
      </w:r>
      <w:r w:rsidRPr="00514304">
        <w:t xml:space="preserve">. Sin embargo, dicha información no coincide con los títulos de propiedad emitidos en su favor y proporcionados por el Estado. </w:t>
      </w:r>
      <w:r w:rsidRPr="00514304">
        <w:rPr>
          <w:i/>
        </w:rPr>
        <w:t>Cfr.</w:t>
      </w:r>
      <w:r w:rsidRPr="00514304">
        <w:t xml:space="preserve"> Informe final del levantamiento catastral del área titulada en ampliación a favor de la Comunidad Garífuna de Punta Piedra del 12 de julio de 2007 </w:t>
      </w:r>
      <w:r w:rsidRPr="00514304">
        <w:rPr>
          <w:lang w:val="es-MX"/>
        </w:rPr>
        <w:t>(</w:t>
      </w:r>
      <w:r>
        <w:rPr>
          <w:lang w:val="es-MX"/>
        </w:rPr>
        <w:t xml:space="preserve">expediente </w:t>
      </w:r>
      <w:r w:rsidRPr="00514304">
        <w:t xml:space="preserve">de </w:t>
      </w:r>
      <w:r>
        <w:t>prueba</w:t>
      </w:r>
      <w:r w:rsidRPr="00514304">
        <w:t>, folio 38).</w:t>
      </w:r>
    </w:p>
    <w:p w14:paraId="0C704DB8" w14:textId="3C17CFE7" w:rsidR="006B2C5D" w:rsidRDefault="006B2C5D" w:rsidP="00B15331">
      <w:pPr>
        <w:pStyle w:val="FootnoteText"/>
      </w:pPr>
      <w:r w:rsidRPr="00514304">
        <w:t xml:space="preserve">Asimismo, si bien el título de ampliación de 1999 menciona dos predios titulados en favor de terceros, los representantes manifestaron que </w:t>
      </w:r>
      <w:proofErr w:type="spellStart"/>
      <w:r w:rsidRPr="00514304">
        <w:t>Ambrocio</w:t>
      </w:r>
      <w:proofErr w:type="spellEnd"/>
      <w:r w:rsidRPr="00514304">
        <w:t xml:space="preserve"> Thomas Castillo posee tres lotes adjudicados, un lote equivalente a un área de 22 </w:t>
      </w:r>
      <w:r>
        <w:t xml:space="preserve">hectáreas </w:t>
      </w:r>
      <w:r w:rsidRPr="00514304">
        <w:t xml:space="preserve">y fracción, otro lote de 75 </w:t>
      </w:r>
      <w:r>
        <w:t>hectáreas</w:t>
      </w:r>
      <w:r w:rsidRPr="00514304">
        <w:t xml:space="preserve"> y fracción y finalmente un lote de 3 </w:t>
      </w:r>
      <w:r>
        <w:t>hectáreas</w:t>
      </w:r>
      <w:r w:rsidRPr="00514304">
        <w:t xml:space="preserve"> y fracción. Respecto de </w:t>
      </w:r>
      <w:proofErr w:type="spellStart"/>
      <w:r w:rsidRPr="00514304">
        <w:t>Sergia</w:t>
      </w:r>
      <w:proofErr w:type="spellEnd"/>
      <w:r w:rsidRPr="00514304">
        <w:t xml:space="preserve"> Zapata Martínez, los representantes alegaron que posee un predio de 19 </w:t>
      </w:r>
      <w:r>
        <w:t xml:space="preserve">hectáreas </w:t>
      </w:r>
      <w:r w:rsidRPr="00514304">
        <w:t xml:space="preserve">y fracción. Por otra parte, los representantes explicaron que al no haberse anulado los títulos definitivos de propiedad, continúa vigente el derecho a favor de los terceros, y que el único medio con el que cuentan para </w:t>
      </w:r>
      <w:r>
        <w:t xml:space="preserve">anular </w:t>
      </w:r>
      <w:r w:rsidRPr="00514304">
        <w:t xml:space="preserve">las escrituras, son mecanismos de naturaleza civil que desconocen la dimensión colectiva y ancestral de los territorios indígenas. Si esta cantidad de </w:t>
      </w:r>
      <w:r>
        <w:t>hectáreas</w:t>
      </w:r>
      <w:r w:rsidRPr="00514304">
        <w:t xml:space="preserve"> se refiere a un área ocupada o en posesión de facto, pero no titulada, la Corte no cuenta con suficientes elementos probatorios para comprobar dichas afirmaciones.</w:t>
      </w:r>
    </w:p>
  </w:footnote>
  <w:footnote w:id="79">
    <w:p w14:paraId="0C704DB9" w14:textId="243DFC69" w:rsidR="006B2C5D" w:rsidRPr="00514304" w:rsidRDefault="006B2C5D" w:rsidP="00E04121">
      <w:pPr>
        <w:pStyle w:val="ListParagraph"/>
        <w:tabs>
          <w:tab w:val="left" w:pos="567"/>
        </w:tabs>
        <w:ind w:left="0"/>
        <w:jc w:val="both"/>
        <w:rPr>
          <w:rFonts w:ascii="Verdana" w:hAnsi="Verdana"/>
          <w:sz w:val="16"/>
          <w:szCs w:val="16"/>
          <w:lang w:val="es-CR"/>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sz w:val="16"/>
          <w:szCs w:val="16"/>
          <w:lang w:val="es-CR"/>
        </w:rPr>
        <w:t xml:space="preserve">Por otro lado, la señora </w:t>
      </w:r>
      <w:proofErr w:type="spellStart"/>
      <w:r w:rsidRPr="00514304">
        <w:rPr>
          <w:rFonts w:ascii="Verdana" w:hAnsi="Verdana"/>
          <w:sz w:val="16"/>
          <w:szCs w:val="16"/>
          <w:lang w:val="es-CR"/>
        </w:rPr>
        <w:t>Sergia</w:t>
      </w:r>
      <w:proofErr w:type="spellEnd"/>
      <w:r w:rsidRPr="00514304">
        <w:rPr>
          <w:rFonts w:ascii="Verdana" w:hAnsi="Verdana"/>
          <w:sz w:val="16"/>
          <w:szCs w:val="16"/>
          <w:lang w:val="es-CR"/>
        </w:rPr>
        <w:t xml:space="preserve"> Zapata Martínez adquirió en propiedad del señor Beato Gonzalo Castillo </w:t>
      </w:r>
      <w:proofErr w:type="spellStart"/>
      <w:r w:rsidRPr="00514304">
        <w:rPr>
          <w:rFonts w:ascii="Verdana" w:hAnsi="Verdana"/>
          <w:sz w:val="16"/>
          <w:szCs w:val="16"/>
          <w:lang w:val="es-CR"/>
        </w:rPr>
        <w:t>Guity</w:t>
      </w:r>
      <w:proofErr w:type="spellEnd"/>
      <w:r w:rsidRPr="00514304">
        <w:rPr>
          <w:rFonts w:ascii="Verdana" w:hAnsi="Verdana"/>
          <w:sz w:val="16"/>
          <w:szCs w:val="16"/>
          <w:lang w:val="es-CR"/>
        </w:rPr>
        <w:t xml:space="preserve">, mediante testimonio de compraventa, un predio de 19 </w:t>
      </w:r>
      <w:r>
        <w:rPr>
          <w:rFonts w:ascii="Verdana" w:hAnsi="Verdana"/>
          <w:sz w:val="16"/>
          <w:szCs w:val="16"/>
          <w:lang w:val="es-CR"/>
        </w:rPr>
        <w:t>hectáreas</w:t>
      </w:r>
      <w:r w:rsidRPr="00514304">
        <w:rPr>
          <w:rFonts w:ascii="Verdana" w:hAnsi="Verdana"/>
          <w:sz w:val="16"/>
          <w:szCs w:val="16"/>
          <w:lang w:val="es-CR"/>
        </w:rPr>
        <w:t xml:space="preserve"> 85 </w:t>
      </w:r>
      <w:r>
        <w:rPr>
          <w:rFonts w:ascii="Verdana" w:hAnsi="Verdana"/>
          <w:sz w:val="16"/>
          <w:szCs w:val="16"/>
          <w:lang w:val="es-CR"/>
        </w:rPr>
        <w:t>áreas</w:t>
      </w:r>
      <w:r w:rsidRPr="00514304">
        <w:rPr>
          <w:rFonts w:ascii="Verdana" w:hAnsi="Verdana"/>
          <w:sz w:val="16"/>
          <w:szCs w:val="16"/>
          <w:lang w:val="es-CR"/>
        </w:rPr>
        <w:t xml:space="preserve"> 23.61 </w:t>
      </w:r>
      <w:r>
        <w:rPr>
          <w:rFonts w:ascii="Verdana" w:hAnsi="Verdana"/>
          <w:sz w:val="16"/>
          <w:szCs w:val="16"/>
          <w:lang w:val="es-CR"/>
        </w:rPr>
        <w:t>centiáreas</w:t>
      </w:r>
      <w:r w:rsidRPr="00514304">
        <w:rPr>
          <w:rFonts w:ascii="Verdana" w:hAnsi="Verdana"/>
          <w:sz w:val="16"/>
          <w:szCs w:val="16"/>
          <w:lang w:val="es-CR"/>
        </w:rPr>
        <w:t xml:space="preserve"> (19 </w:t>
      </w:r>
      <w:r>
        <w:rPr>
          <w:rFonts w:ascii="Verdana" w:hAnsi="Verdana"/>
          <w:sz w:val="16"/>
          <w:szCs w:val="16"/>
          <w:lang w:val="es-CR"/>
        </w:rPr>
        <w:t>ha</w:t>
      </w:r>
      <w:r w:rsidRPr="00514304">
        <w:rPr>
          <w:rFonts w:ascii="Verdana" w:hAnsi="Verdana"/>
          <w:sz w:val="16"/>
          <w:szCs w:val="16"/>
          <w:lang w:val="es-CR"/>
        </w:rPr>
        <w:t xml:space="preserve"> 85 </w:t>
      </w:r>
      <w:r>
        <w:rPr>
          <w:rFonts w:ascii="Verdana" w:hAnsi="Verdana"/>
          <w:sz w:val="16"/>
          <w:szCs w:val="16"/>
          <w:lang w:val="es-CR"/>
        </w:rPr>
        <w:t>a</w:t>
      </w:r>
      <w:r w:rsidRPr="00514304">
        <w:rPr>
          <w:rFonts w:ascii="Verdana" w:hAnsi="Verdana"/>
          <w:sz w:val="16"/>
          <w:szCs w:val="16"/>
          <w:lang w:val="es-CR"/>
        </w:rPr>
        <w:t xml:space="preserve"> y 23.61 </w:t>
      </w:r>
      <w:proofErr w:type="spellStart"/>
      <w:r>
        <w:rPr>
          <w:rFonts w:ascii="Verdana" w:hAnsi="Verdana"/>
          <w:sz w:val="16"/>
          <w:szCs w:val="16"/>
          <w:lang w:val="es-CR"/>
        </w:rPr>
        <w:t>ca</w:t>
      </w:r>
      <w:proofErr w:type="spellEnd"/>
      <w:r w:rsidRPr="00514304">
        <w:rPr>
          <w:rFonts w:ascii="Verdana" w:hAnsi="Verdana"/>
          <w:sz w:val="16"/>
          <w:szCs w:val="16"/>
          <w:lang w:val="es-CR"/>
        </w:rPr>
        <w:t xml:space="preserve">). </w:t>
      </w:r>
      <w:r w:rsidRPr="00514304">
        <w:rPr>
          <w:rFonts w:ascii="Verdana" w:hAnsi="Verdana"/>
          <w:i/>
          <w:sz w:val="16"/>
          <w:szCs w:val="16"/>
        </w:rPr>
        <w:t>Cfr.</w:t>
      </w:r>
      <w:r w:rsidRPr="00514304">
        <w:rPr>
          <w:rFonts w:ascii="Verdana" w:hAnsi="Verdana"/>
          <w:sz w:val="16"/>
          <w:szCs w:val="16"/>
        </w:rPr>
        <w:t xml:space="preserve"> Testimonio de transferencia de propiedad de 23 de abril de 1997 a favor de </w:t>
      </w:r>
      <w:proofErr w:type="spellStart"/>
      <w:r w:rsidRPr="00514304">
        <w:rPr>
          <w:rFonts w:ascii="Verdana" w:hAnsi="Verdana"/>
          <w:sz w:val="16"/>
          <w:szCs w:val="16"/>
        </w:rPr>
        <w:t>Sergia</w:t>
      </w:r>
      <w:proofErr w:type="spellEnd"/>
      <w:r w:rsidRPr="00514304">
        <w:rPr>
          <w:rFonts w:ascii="Verdana" w:hAnsi="Verdana"/>
          <w:sz w:val="16"/>
          <w:szCs w:val="16"/>
        </w:rPr>
        <w:t xml:space="preserve"> Zapata Ramírez (expediente de fondo, folios 625 a 627). </w:t>
      </w:r>
      <w:r w:rsidRPr="00514304">
        <w:rPr>
          <w:rFonts w:ascii="Verdana" w:hAnsi="Verdana"/>
          <w:sz w:val="16"/>
          <w:szCs w:val="16"/>
          <w:lang w:val="es-CR"/>
        </w:rPr>
        <w:t xml:space="preserve">El título original de propiedad a favor del señor Castillo </w:t>
      </w:r>
      <w:proofErr w:type="spellStart"/>
      <w:r w:rsidRPr="00514304">
        <w:rPr>
          <w:rFonts w:ascii="Verdana" w:hAnsi="Verdana"/>
          <w:sz w:val="16"/>
          <w:szCs w:val="16"/>
          <w:lang w:val="es-CR"/>
        </w:rPr>
        <w:t>Guity</w:t>
      </w:r>
      <w:proofErr w:type="spellEnd"/>
      <w:r w:rsidRPr="00514304">
        <w:rPr>
          <w:rFonts w:ascii="Verdana" w:hAnsi="Verdana"/>
          <w:sz w:val="16"/>
          <w:szCs w:val="16"/>
          <w:lang w:val="es-CR"/>
        </w:rPr>
        <w:t xml:space="preserve"> data de 19 de junio de 1996.</w:t>
      </w:r>
      <w:r w:rsidRPr="00514304">
        <w:rPr>
          <w:rFonts w:ascii="Verdana" w:hAnsi="Verdana"/>
          <w:i/>
          <w:sz w:val="16"/>
          <w:szCs w:val="16"/>
        </w:rPr>
        <w:t xml:space="preserve"> Cfr</w:t>
      </w:r>
      <w:r w:rsidRPr="00514304">
        <w:rPr>
          <w:rFonts w:ascii="Verdana" w:hAnsi="Verdana"/>
          <w:sz w:val="16"/>
          <w:szCs w:val="16"/>
        </w:rPr>
        <w:t xml:space="preserve">. Título definitivo de propiedad en dominio pleno otorgado por el INA al señor Beato Gonzalo Castillo </w:t>
      </w:r>
      <w:proofErr w:type="spellStart"/>
      <w:r w:rsidRPr="00514304">
        <w:rPr>
          <w:rFonts w:ascii="Verdana" w:hAnsi="Verdana"/>
          <w:sz w:val="16"/>
          <w:szCs w:val="16"/>
        </w:rPr>
        <w:t>Guity</w:t>
      </w:r>
      <w:proofErr w:type="spellEnd"/>
      <w:r w:rsidRPr="00514304">
        <w:rPr>
          <w:rFonts w:ascii="Verdana" w:hAnsi="Verdana"/>
          <w:sz w:val="16"/>
          <w:szCs w:val="16"/>
        </w:rPr>
        <w:t xml:space="preserve"> el 19 de junio de 1996 (expediente de fondo, folio 630).</w:t>
      </w:r>
    </w:p>
  </w:footnote>
  <w:footnote w:id="80">
    <w:p w14:paraId="0C704DBA" w14:textId="5E5A51DF" w:rsidR="006B2C5D" w:rsidRPr="00514304" w:rsidRDefault="006B2C5D" w:rsidP="00B15331">
      <w:pPr>
        <w:pStyle w:val="FootnoteText"/>
      </w:pPr>
      <w:r w:rsidRPr="00514304">
        <w:rPr>
          <w:rStyle w:val="FootnoteReference"/>
          <w:sz w:val="16"/>
        </w:rPr>
        <w:footnoteRef/>
      </w:r>
      <w:r w:rsidRPr="00514304">
        <w:t xml:space="preserve"> </w:t>
      </w:r>
      <w:r w:rsidRPr="00514304">
        <w:tab/>
        <w:t xml:space="preserve">Título definitivo de propiedad de 6 de diciembre de 1999, </w:t>
      </w:r>
      <w:r w:rsidRPr="00514304">
        <w:rPr>
          <w:i/>
        </w:rPr>
        <w:t>supra</w:t>
      </w:r>
      <w:r w:rsidRPr="00514304">
        <w:t xml:space="preserve"> (</w:t>
      </w:r>
      <w:r>
        <w:t xml:space="preserve">expediente </w:t>
      </w:r>
      <w:r w:rsidRPr="00514304">
        <w:t xml:space="preserve">de </w:t>
      </w:r>
      <w:r>
        <w:t>prueba</w:t>
      </w:r>
      <w:r w:rsidRPr="00514304">
        <w:t xml:space="preserve">, folio 27). </w:t>
      </w:r>
    </w:p>
  </w:footnote>
  <w:footnote w:id="81">
    <w:p w14:paraId="0C704DBB" w14:textId="4DE2FDCA" w:rsidR="006B2C5D" w:rsidRPr="00514304" w:rsidRDefault="006B2C5D" w:rsidP="00B15331">
      <w:pPr>
        <w:pStyle w:val="FootnoteText"/>
      </w:pPr>
      <w:r w:rsidRPr="00514304">
        <w:rPr>
          <w:rStyle w:val="FootnoteReference"/>
          <w:sz w:val="16"/>
        </w:rPr>
        <w:footnoteRef/>
      </w:r>
      <w:r w:rsidRPr="00514304">
        <w:t xml:space="preserve"> </w:t>
      </w:r>
      <w:r w:rsidRPr="00514304">
        <w:tab/>
      </w:r>
      <w:r>
        <w:rPr>
          <w:i/>
        </w:rPr>
        <w:t xml:space="preserve">Cfr. </w:t>
      </w:r>
      <w:r w:rsidRPr="00514304">
        <w:t>Constancia emitida por el Jefe de Revisión General de Tierras del Instituto Nacional Agrario de 22 de diciembre de 1999 (expediente de fondo, folio 632).</w:t>
      </w:r>
    </w:p>
  </w:footnote>
  <w:footnote w:id="82">
    <w:p w14:paraId="0C704DBC" w14:textId="7A107698" w:rsidR="006B2C5D" w:rsidRPr="00514304" w:rsidRDefault="006B2C5D" w:rsidP="00B15331">
      <w:pPr>
        <w:pStyle w:val="FootnoteText"/>
      </w:pPr>
      <w:r w:rsidRPr="00514304">
        <w:rPr>
          <w:rStyle w:val="FootnoteReference"/>
          <w:sz w:val="16"/>
        </w:rPr>
        <w:footnoteRef/>
      </w:r>
      <w:r w:rsidRPr="00514304">
        <w:t xml:space="preserve"> </w:t>
      </w:r>
      <w:r w:rsidRPr="00514304">
        <w:tab/>
        <w:t xml:space="preserve">Título definitivo de propiedad de 6 de diciembre de 1999, </w:t>
      </w:r>
      <w:r w:rsidRPr="00514304">
        <w:rPr>
          <w:i/>
        </w:rPr>
        <w:t>supra</w:t>
      </w:r>
      <w:r w:rsidRPr="00514304">
        <w:t xml:space="preserve"> (</w:t>
      </w:r>
      <w:r>
        <w:t xml:space="preserve">expediente </w:t>
      </w:r>
      <w:r w:rsidRPr="00514304">
        <w:t xml:space="preserve">de </w:t>
      </w:r>
      <w:r>
        <w:t>prueba</w:t>
      </w:r>
      <w:r w:rsidRPr="00514304">
        <w:t>, folio 27). Los requisitos de ley se encuentran mencionados en la nota al pie de página 31.</w:t>
      </w:r>
    </w:p>
  </w:footnote>
  <w:footnote w:id="83">
    <w:p w14:paraId="0C704DBD" w14:textId="0B716520" w:rsidR="006B2C5D" w:rsidRDefault="006B2C5D" w:rsidP="00B15331">
      <w:pPr>
        <w:pStyle w:val="FootnoteText"/>
      </w:pPr>
      <w:r w:rsidRPr="00514304">
        <w:rPr>
          <w:rStyle w:val="FootnoteReference"/>
          <w:sz w:val="16"/>
        </w:rPr>
        <w:footnoteRef/>
      </w:r>
      <w:r w:rsidRPr="00514304">
        <w:t xml:space="preserve"> </w:t>
      </w:r>
      <w:r w:rsidRPr="00514304">
        <w:tab/>
        <w:t>Rectificación del título definitivo de propiedad en dominio pleno otorgado por el INA el 11 de enero de 2000 (</w:t>
      </w:r>
      <w:r>
        <w:t>expediente de</w:t>
      </w:r>
      <w:r w:rsidRPr="00514304">
        <w:t xml:space="preserve"> </w:t>
      </w:r>
      <w:r>
        <w:t>prueba</w:t>
      </w:r>
      <w:r w:rsidRPr="00514304">
        <w:t>, folio 23).</w:t>
      </w:r>
    </w:p>
  </w:footnote>
  <w:footnote w:id="84">
    <w:p w14:paraId="0C704DBE" w14:textId="6B02F020" w:rsidR="006B2C5D" w:rsidRDefault="006B2C5D" w:rsidP="00B15331">
      <w:pPr>
        <w:pStyle w:val="FootnoteText"/>
      </w:pPr>
      <w:r w:rsidRPr="00514304">
        <w:rPr>
          <w:rStyle w:val="FootnoteReference"/>
          <w:sz w:val="16"/>
        </w:rPr>
        <w:footnoteRef/>
      </w:r>
      <w:r w:rsidRPr="00514304">
        <w:t xml:space="preserve"> </w:t>
      </w:r>
      <w:r w:rsidRPr="00514304">
        <w:tab/>
        <w:t xml:space="preserve">La señora Lidia Palacios manifestó </w:t>
      </w:r>
      <w:r>
        <w:t xml:space="preserve">en </w:t>
      </w:r>
      <w:r w:rsidRPr="00514304">
        <w:t>audiencia pública que “cuando empezaron a llegar los invasores a nuestra comunidad, a nuestras tierras a invadirla fue en 1993”. Asimismo, el señor Doroteo Thomas señaló que “</w:t>
      </w:r>
      <w:r>
        <w:t>[</w:t>
      </w:r>
      <w:r w:rsidRPr="00514304">
        <w:t>e</w:t>
      </w:r>
      <w:r>
        <w:t>]</w:t>
      </w:r>
      <w:r w:rsidRPr="00514304">
        <w:t xml:space="preserve">l problema en Punta Piedra comienza desde el año 1993, por una invasión […] lo que era de la </w:t>
      </w:r>
      <w:r>
        <w:t>C</w:t>
      </w:r>
      <w:r w:rsidRPr="00514304">
        <w:t>omunidad de Punta Piedra, había sido invadido por unos foráneos”.</w:t>
      </w:r>
      <w:r w:rsidRPr="00514304">
        <w:rPr>
          <w:i/>
        </w:rPr>
        <w:t xml:space="preserve"> </w:t>
      </w:r>
      <w:r w:rsidRPr="00514304">
        <w:t>Declaración de Lidia Palacios durante la audiencia pública celebrada ante la Corte Interamericana el 2 de septiembre de 2014 y</w:t>
      </w:r>
      <w:r>
        <w:rPr>
          <w:i/>
        </w:rPr>
        <w:t xml:space="preserve"> </w:t>
      </w:r>
      <w:r w:rsidRPr="00514304">
        <w:t>declaración de Doroteo Thomas Rodríguez durante la audiencia pública celebrada ante la Corte Interamericana el 2 de septiembre de 2014</w:t>
      </w:r>
      <w:r>
        <w:t xml:space="preserve">; </w:t>
      </w:r>
      <w:r w:rsidRPr="00514304">
        <w:rPr>
          <w:i/>
        </w:rPr>
        <w:t>Cfr.</w:t>
      </w:r>
      <w:r w:rsidRPr="00514304">
        <w:t xml:space="preserve"> </w:t>
      </w:r>
      <w:r>
        <w:t>D</w:t>
      </w:r>
      <w:r w:rsidRPr="00514304">
        <w:t xml:space="preserve">eclaraciones rendidas ante fedatario público </w:t>
      </w:r>
      <w:r w:rsidRPr="00514304">
        <w:rPr>
          <w:i/>
        </w:rPr>
        <w:t>(affidávit)</w:t>
      </w:r>
      <w:r w:rsidRPr="00514304">
        <w:t xml:space="preserve"> por Dionisia Ávila Castillo y Edito Suazo Ávila el 20 de agosto de 2014 y el 21 de agosto de 2014, respectivamente (expediente de fondo, folios 464 y 488). Asimismo, el perito Christopher Loperena señaló que “la comunidad ladina de Río Miel se fundó en 1993”. Declaración rendida ante fedatario público </w:t>
      </w:r>
      <w:r w:rsidRPr="00514304">
        <w:rPr>
          <w:i/>
        </w:rPr>
        <w:t>(affidávit)</w:t>
      </w:r>
      <w:r w:rsidRPr="00514304">
        <w:t xml:space="preserve"> por el perito Christopher Loperena el 22 de agosto de 2014 (expediente de fondo, folio 440). </w:t>
      </w:r>
    </w:p>
  </w:footnote>
  <w:footnote w:id="85">
    <w:p w14:paraId="0C704DBF" w14:textId="5488EE18"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compromiso </w:t>
      </w:r>
      <w:r>
        <w:t xml:space="preserve">de las Comunidades de Punta Piedra y Río Miel </w:t>
      </w:r>
      <w:r w:rsidRPr="00514304">
        <w:t>de 13 de diciembre de 2001 (</w:t>
      </w:r>
      <w:r>
        <w:t>expediente de prueba</w:t>
      </w:r>
      <w:r w:rsidRPr="00514304">
        <w:t xml:space="preserve">, folio 30). </w:t>
      </w:r>
    </w:p>
  </w:footnote>
  <w:footnote w:id="86">
    <w:p w14:paraId="0C704DC0" w14:textId="527F83C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Resumen de la Encuesta Socio Económica de la Aldea de Río Miel elaborado por el INA en junio de 2007 (expediente de</w:t>
      </w:r>
      <w:r>
        <w:t xml:space="preserve"> prueba</w:t>
      </w:r>
      <w:r w:rsidRPr="00514304">
        <w:t>, folios 748 a 750).</w:t>
      </w:r>
    </w:p>
  </w:footnote>
  <w:footnote w:id="87">
    <w:p w14:paraId="0C704DC1" w14:textId="00EFCB5B" w:rsidR="006B2C5D" w:rsidRPr="009A430E" w:rsidRDefault="006B2C5D" w:rsidP="00B15331">
      <w:pPr>
        <w:pStyle w:val="FootnoteText"/>
      </w:pPr>
      <w:r w:rsidRPr="009A430E">
        <w:rPr>
          <w:rStyle w:val="FootnoteReference"/>
          <w:sz w:val="16"/>
        </w:rPr>
        <w:footnoteRef/>
      </w:r>
      <w:r w:rsidRPr="009A430E">
        <w:t xml:space="preserve"> </w:t>
      </w:r>
      <w:r w:rsidRPr="009A430E">
        <w:tab/>
        <w:t>Si bien el término “ladinos” ha sido utilizado por miembros de la Comunidad de Punta Piedra y en diversos escritos del Estado, este Tribunal se referirá a los mismos de manera indistinta como “terceros ocupantes”, “pobladores de Río Miel”, “pobladores de la Aldea de Río Miel” y “campesinos de Río Miel”.</w:t>
      </w:r>
    </w:p>
  </w:footnote>
  <w:footnote w:id="88">
    <w:p w14:paraId="0C704DC2" w14:textId="6E04E68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Escrito del Estado de 25 de marzo de 2004, recibido por la Comisión el 31 de marzo de 2004 (expediente de</w:t>
      </w:r>
      <w:r>
        <w:t xml:space="preserve"> prueba</w:t>
      </w:r>
      <w:r w:rsidRPr="00514304">
        <w:t>, folios 428 a 429</w:t>
      </w:r>
      <w:r>
        <w:t>)</w:t>
      </w:r>
      <w:r w:rsidRPr="00514304">
        <w:t>.</w:t>
      </w:r>
    </w:p>
  </w:footnote>
  <w:footnote w:id="89">
    <w:p w14:paraId="0C704DC3" w14:textId="4794C24D" w:rsidR="006B2C5D" w:rsidRDefault="006B2C5D" w:rsidP="00B15331">
      <w:pPr>
        <w:pStyle w:val="FootnoteText"/>
      </w:pPr>
      <w:r w:rsidRPr="00514304">
        <w:rPr>
          <w:rStyle w:val="FootnoteReference"/>
          <w:sz w:val="16"/>
        </w:rPr>
        <w:footnoteRef/>
      </w:r>
      <w:r w:rsidRPr="00514304">
        <w:t xml:space="preserve"> </w:t>
      </w:r>
      <w:r w:rsidRPr="00514304">
        <w:tab/>
        <w:t xml:space="preserve">El Estado en su escrito de alegatos finales, señaló que Río Miel estaba conformada por aproximadamente 355 habitantes, con un total de 71 cabezas de familia. Sin embargo, de acuerdo con el “Consolidado de la Encuesta Socio Económica-Avalúo de Mejoras y Levantamiento Catastral” de junio de 2007, a dicha fecha los habitantes de la </w:t>
      </w:r>
      <w:r>
        <w:t>Aldea de Río Miel</w:t>
      </w:r>
      <w:r w:rsidRPr="00514304">
        <w:t xml:space="preserve"> habrían sido aproximadamente 3</w:t>
      </w:r>
      <w:r>
        <w:t>7</w:t>
      </w:r>
      <w:r w:rsidRPr="00514304">
        <w:t xml:space="preserve">4 personas. </w:t>
      </w:r>
      <w:r w:rsidRPr="00514304">
        <w:rPr>
          <w:i/>
        </w:rPr>
        <w:t>Cfr</w:t>
      </w:r>
      <w:r w:rsidRPr="00514304">
        <w:t xml:space="preserve">. Consolidado de la Encuesta Socio Económica-Avalúo de Mejoras y Levantamiento Catastral elaborado por el INA en junio de 2007 (expediente de </w:t>
      </w:r>
      <w:r>
        <w:t xml:space="preserve">prueba, </w:t>
      </w:r>
      <w:r w:rsidRPr="00514304">
        <w:t>folios 756 a 758).</w:t>
      </w:r>
    </w:p>
  </w:footnote>
  <w:footnote w:id="90">
    <w:p w14:paraId="0C704DC4" w14:textId="30EED2F3"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Campo del INA de 9 de mayo de 2013 (expediente de prueba, folios 1453 a 1454).</w:t>
      </w:r>
    </w:p>
  </w:footnote>
  <w:footnote w:id="91">
    <w:p w14:paraId="0C704DC5" w14:textId="401D9B8D" w:rsidR="006B2C5D" w:rsidRPr="00514304" w:rsidRDefault="006B2C5D" w:rsidP="00E04121">
      <w:pPr>
        <w:tabs>
          <w:tab w:val="left" w:pos="567"/>
        </w:tabs>
        <w:jc w:val="both"/>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D04911">
        <w:rPr>
          <w:rFonts w:ascii="Verdana" w:hAnsi="Verdana"/>
          <w:i/>
          <w:sz w:val="16"/>
          <w:szCs w:val="16"/>
          <w:lang w:val="es-MX"/>
        </w:rPr>
        <w:t>Cfr.</w:t>
      </w:r>
      <w:r w:rsidRPr="00D04911">
        <w:rPr>
          <w:rFonts w:ascii="Verdana" w:hAnsi="Verdana"/>
          <w:sz w:val="16"/>
          <w:szCs w:val="16"/>
          <w:lang w:val="es-MX"/>
        </w:rPr>
        <w:t xml:space="preserve"> Memorándum presentado por la sección de Investigaciones Agronómicas y Avalúos al Ministro Director del INA el 5 de diciembre de 2006 (</w:t>
      </w:r>
      <w:r>
        <w:rPr>
          <w:rFonts w:ascii="Verdana" w:hAnsi="Verdana"/>
          <w:sz w:val="16"/>
          <w:szCs w:val="16"/>
          <w:lang w:val="es-MX"/>
        </w:rPr>
        <w:t xml:space="preserve">expediente </w:t>
      </w:r>
      <w:r w:rsidRPr="00D04911">
        <w:rPr>
          <w:rFonts w:ascii="Verdana" w:hAnsi="Verdana"/>
          <w:sz w:val="16"/>
          <w:szCs w:val="16"/>
          <w:lang w:val="es-MX"/>
        </w:rPr>
        <w:t xml:space="preserve">de </w:t>
      </w:r>
      <w:r>
        <w:rPr>
          <w:rFonts w:ascii="Verdana" w:hAnsi="Verdana"/>
          <w:sz w:val="16"/>
          <w:szCs w:val="16"/>
          <w:lang w:val="es-MX"/>
        </w:rPr>
        <w:t>prueba</w:t>
      </w:r>
      <w:r w:rsidRPr="00D04911">
        <w:rPr>
          <w:rFonts w:ascii="Verdana" w:hAnsi="Verdana"/>
          <w:sz w:val="16"/>
          <w:szCs w:val="16"/>
          <w:lang w:val="es-MX"/>
        </w:rPr>
        <w:t>, folios 63 a 65)</w:t>
      </w:r>
      <w:r w:rsidRPr="00CB26E3">
        <w:rPr>
          <w:rFonts w:ascii="Verdana" w:hAnsi="Verdana"/>
          <w:sz w:val="16"/>
          <w:szCs w:val="16"/>
        </w:rPr>
        <w:t>; Informe de Avalúo dirigido por el Investigador Agronómico al Ministro Director del INA el 23 de julio de 2007</w:t>
      </w:r>
      <w:r>
        <w:rPr>
          <w:rFonts w:ascii="Verdana" w:hAnsi="Verdana"/>
          <w:i/>
          <w:sz w:val="16"/>
          <w:szCs w:val="16"/>
        </w:rPr>
        <w:t xml:space="preserve"> </w:t>
      </w:r>
      <w:r w:rsidRPr="00CB26E3">
        <w:rPr>
          <w:rFonts w:ascii="Verdana" w:hAnsi="Verdana"/>
          <w:sz w:val="16"/>
          <w:szCs w:val="16"/>
        </w:rPr>
        <w:t>(</w:t>
      </w:r>
      <w:r>
        <w:rPr>
          <w:rFonts w:ascii="Verdana" w:hAnsi="Verdana"/>
          <w:sz w:val="16"/>
          <w:szCs w:val="16"/>
        </w:rPr>
        <w:t>expediente de prueba</w:t>
      </w:r>
      <w:r w:rsidRPr="00CB26E3">
        <w:rPr>
          <w:rFonts w:ascii="Verdana" w:hAnsi="Verdana"/>
          <w:sz w:val="16"/>
          <w:szCs w:val="16"/>
        </w:rPr>
        <w:t>, folios 93 a 94), e Informe de Campo del INA de 9 de mayo de 2013</w:t>
      </w:r>
      <w:r>
        <w:rPr>
          <w:rFonts w:ascii="Verdana" w:hAnsi="Verdana"/>
          <w:sz w:val="16"/>
          <w:szCs w:val="16"/>
        </w:rPr>
        <w:t xml:space="preserve">, </w:t>
      </w:r>
      <w:r>
        <w:rPr>
          <w:rFonts w:ascii="Verdana" w:hAnsi="Verdana"/>
          <w:i/>
          <w:sz w:val="16"/>
          <w:szCs w:val="16"/>
        </w:rPr>
        <w:t>supra</w:t>
      </w:r>
      <w:r w:rsidRPr="00CB26E3">
        <w:rPr>
          <w:rFonts w:ascii="Verdana" w:hAnsi="Verdana"/>
          <w:sz w:val="16"/>
          <w:szCs w:val="16"/>
        </w:rPr>
        <w:t xml:space="preserve"> (expediente de prueba, folios 1453 a 1454). Asimismo, existen fotografías de las diversas estructuras construidas en la </w:t>
      </w:r>
      <w:r>
        <w:rPr>
          <w:rFonts w:ascii="Verdana" w:hAnsi="Verdana"/>
          <w:sz w:val="16"/>
          <w:szCs w:val="16"/>
        </w:rPr>
        <w:t>Aldea de Río Miel</w:t>
      </w:r>
      <w:r w:rsidRPr="00CB26E3">
        <w:rPr>
          <w:rFonts w:ascii="Verdana" w:hAnsi="Verdana"/>
          <w:sz w:val="16"/>
          <w:szCs w:val="16"/>
        </w:rPr>
        <w:t>, que acompañan a algunos de dichos informes.</w:t>
      </w:r>
    </w:p>
  </w:footnote>
  <w:footnote w:id="92">
    <w:p w14:paraId="0C704DC6" w14:textId="247EA438"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Avalúo dirigido por el Investigador Agronómico al Ministro Director del INA el 23 de julio de 2007 (</w:t>
      </w:r>
      <w:r>
        <w:t>expediente de prueba</w:t>
      </w:r>
      <w:r w:rsidRPr="00514304">
        <w:t>, folios 93 a 100) e Informe de Campo del INA de 9 de mayo de 2013</w:t>
      </w:r>
      <w:r>
        <w:t xml:space="preserve">, </w:t>
      </w:r>
      <w:r>
        <w:rPr>
          <w:i/>
        </w:rPr>
        <w:t>supra</w:t>
      </w:r>
      <w:r w:rsidRPr="00514304">
        <w:t xml:space="preserve"> (expediente de prueba, folios 1453 a 1454).</w:t>
      </w:r>
    </w:p>
  </w:footnote>
  <w:footnote w:id="93">
    <w:p w14:paraId="0C704DC9" w14:textId="296EC05A" w:rsidR="006B2C5D" w:rsidRDefault="006B2C5D" w:rsidP="00B15331">
      <w:pPr>
        <w:pStyle w:val="FootnoteText"/>
      </w:pPr>
      <w:r w:rsidRPr="00514304">
        <w:rPr>
          <w:rStyle w:val="FootnoteReference"/>
          <w:sz w:val="16"/>
        </w:rPr>
        <w:footnoteRef/>
      </w:r>
      <w:r w:rsidRPr="00514304">
        <w:t xml:space="preserve"> </w:t>
      </w:r>
      <w:r w:rsidRPr="00514304">
        <w:tab/>
        <w:t>Informe de Campo del INA de 9 de mayo de 2013</w:t>
      </w:r>
      <w:r>
        <w:t xml:space="preserve">, </w:t>
      </w:r>
      <w:r>
        <w:rPr>
          <w:i/>
        </w:rPr>
        <w:t>supra</w:t>
      </w:r>
      <w:r w:rsidRPr="00514304">
        <w:t xml:space="preserve"> (expediente de prueba, folios 1453 a 1454).</w:t>
      </w:r>
    </w:p>
  </w:footnote>
  <w:footnote w:id="94">
    <w:p w14:paraId="0C704DCA" w14:textId="445AE11E" w:rsidR="006B2C5D" w:rsidRDefault="006B2C5D" w:rsidP="00B15331">
      <w:pPr>
        <w:pStyle w:val="FootnoteText"/>
      </w:pPr>
      <w:r w:rsidRPr="00D06233">
        <w:rPr>
          <w:rStyle w:val="FootnoteReference"/>
          <w:sz w:val="16"/>
        </w:rPr>
        <w:footnoteRef/>
      </w:r>
      <w:r w:rsidRPr="00D06233">
        <w:t xml:space="preserve"> </w:t>
      </w:r>
      <w:r w:rsidRPr="00D06233">
        <w:tab/>
        <w:t xml:space="preserve">Dichos títulos corresponden a: a) Testimonio del Instrumento Público 478, de fecha 22 de mayo de 1991, autorizado por el Notario Kenneth July Brooks, mediante el cual el señor Marcial Cacho Gutiérrez en su carácter de Alcalde Municipal de </w:t>
      </w:r>
      <w:proofErr w:type="spellStart"/>
      <w:r w:rsidRPr="00D06233">
        <w:t>Iriona</w:t>
      </w:r>
      <w:proofErr w:type="spellEnd"/>
      <w:r w:rsidRPr="00D06233">
        <w:t xml:space="preserve">, Departamento de Colon, da en venta al señor Alejandro del Cid Alemán 10.000 </w:t>
      </w:r>
      <w:r>
        <w:t>ha</w:t>
      </w:r>
      <w:r w:rsidRPr="00D06233">
        <w:t xml:space="preserve"> de tierra ubicadas en la Aldea de Río Miel, el que se encuentra inscrito bajo el número 99 del tomo LXXIX del Registro de la Propiedad Inmueble y Mercantil del Departamento de Colón</w:t>
      </w:r>
      <w:r>
        <w:t xml:space="preserve"> (expediente de fondo, folio 1157)</w:t>
      </w:r>
      <w:r w:rsidRPr="00D06233">
        <w:t xml:space="preserve">; b) Testimonio del Instrumento Público 324, de fecha 22 de octubre de 1992, autorizado por el Notario Kenneth July Brooks, mediante el cual el señor Marcial Cacho Gutiérrez en su carácter de Alcalde Municipal de </w:t>
      </w:r>
      <w:proofErr w:type="spellStart"/>
      <w:r w:rsidRPr="00D06233">
        <w:t>Iriona</w:t>
      </w:r>
      <w:proofErr w:type="spellEnd"/>
      <w:r w:rsidRPr="00D06233">
        <w:t xml:space="preserve">, Departamento de Colon, da en venta al señor José </w:t>
      </w:r>
      <w:proofErr w:type="spellStart"/>
      <w:r w:rsidRPr="00D06233">
        <w:t>Cupertino</w:t>
      </w:r>
      <w:proofErr w:type="spellEnd"/>
      <w:r w:rsidRPr="00D06233">
        <w:t xml:space="preserve"> Melgar 10.000 </w:t>
      </w:r>
      <w:r>
        <w:t>ha</w:t>
      </w:r>
      <w:r w:rsidRPr="00D06233">
        <w:t xml:space="preserve"> de tierra ubicadas en la Aldea de Río Miel, el que se encuentra inscrito bajo el número 5 del tomo XCVII del Registro de la Propiedad Inmueble y Mercantil del Departamento de Colón</w:t>
      </w:r>
      <w:r>
        <w:t xml:space="preserve"> (expediente de fondo, folio 1153)</w:t>
      </w:r>
      <w:r w:rsidRPr="00D06233">
        <w:t xml:space="preserve">; c) Testimonio del Instrumento Público 162, de fecha 1 de diciembre de 1993, autorizado por el Notario Público Rene Corea Cortes, mediante el cual el señor Bernardo Pastor en su carácter de Alcalde Municipal de Limón, Departamento de Colon, da en venta al señor José Abrahán Ramos Romero 97.61 </w:t>
      </w:r>
      <w:r>
        <w:t>ha</w:t>
      </w:r>
      <w:r w:rsidRPr="00D06233">
        <w:t xml:space="preserve"> de tierra ubicadas en la Aldea de Río Miel, el que se encuentra inscrito bajo el número 69 del tomo CXXVII del Registro de la Propiedad Inmueble y Mercantil del Departamento de Colon</w:t>
      </w:r>
      <w:r>
        <w:t xml:space="preserve"> (expediente de fondo, folio 1144)</w:t>
      </w:r>
      <w:r w:rsidRPr="00D06233">
        <w:t xml:space="preserve">; d) Testimonio de Título extendido por el señor Aníbal Delgado Fiallos en su carácter de Director Ejecutivo del Instituto Nacional Agrario en fecha 30 de junio de 1998, mediante el cual da en Dominio Pleno al señor José Antonio Santiago Lemus 45.96 </w:t>
      </w:r>
      <w:r>
        <w:t>ha</w:t>
      </w:r>
      <w:r w:rsidRPr="00D06233">
        <w:t xml:space="preserve"> de tierra ubicadas en la Aldea de Río Miel, el que se encuentra inscrito bajo el número 77 del tomo 316 del Registro de la Propiedad del Inmueble y Mercantil del Departamento de Colon</w:t>
      </w:r>
      <w:r>
        <w:t xml:space="preserve"> (expediente de fondo, folio 1163)</w:t>
      </w:r>
      <w:r w:rsidRPr="00D06233">
        <w:t xml:space="preserve">, y e) Testimonio del Instrumento Público 422, de fecha 1 de noviembre de 2006, autorizado por el Notario Isidoro Palma Florentino, mediante el cual el señor Juan Francisco Cruz da en venta al señor Dionisio Mejía Sánchez 60 </w:t>
      </w:r>
      <w:r>
        <w:t>ha</w:t>
      </w:r>
      <w:r w:rsidRPr="00D06233">
        <w:t xml:space="preserve"> de tierra ubicadas en la Aldea de Río Miel, el que se encuentra inscrito bajo el número 12 del tomo 656 del Registro de la Propiedad Inmueble y Mercantil del Departamento de Colon</w:t>
      </w:r>
      <w:r>
        <w:t xml:space="preserve"> (expediente de fondo, folio 1139).</w:t>
      </w:r>
    </w:p>
  </w:footnote>
  <w:footnote w:id="95">
    <w:p w14:paraId="0C704DCB" w14:textId="1E33BA97" w:rsidR="006B2C5D" w:rsidRPr="00514304" w:rsidRDefault="006B2C5D" w:rsidP="00E04121">
      <w:pPr>
        <w:pStyle w:val="ListParagraph"/>
        <w:tabs>
          <w:tab w:val="left" w:pos="567"/>
        </w:tabs>
        <w:ind w:left="0"/>
        <w:jc w:val="both"/>
        <w:rPr>
          <w:rFonts w:ascii="Verdana" w:hAnsi="Verdana"/>
          <w:sz w:val="16"/>
          <w:szCs w:val="16"/>
          <w:lang w:val="es-CR"/>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sz w:val="16"/>
          <w:szCs w:val="16"/>
          <w:lang w:val="es-CR"/>
        </w:rPr>
        <w:t xml:space="preserve">Al respecto, el Estado señaló durante el procedimiento ante la Comisión Interamericana, distintas cantidades de </w:t>
      </w:r>
      <w:r>
        <w:rPr>
          <w:rFonts w:ascii="Verdana" w:hAnsi="Verdana"/>
          <w:sz w:val="16"/>
          <w:szCs w:val="16"/>
          <w:lang w:val="es-CR"/>
        </w:rPr>
        <w:t>ha</w:t>
      </w:r>
      <w:r w:rsidRPr="00514304">
        <w:rPr>
          <w:rFonts w:ascii="Verdana" w:hAnsi="Verdana"/>
          <w:sz w:val="16"/>
          <w:szCs w:val="16"/>
          <w:lang w:val="es-CR"/>
        </w:rPr>
        <w:t xml:space="preserve"> ocupadas por terceros, a saber: </w:t>
      </w:r>
      <w:r>
        <w:rPr>
          <w:rFonts w:ascii="Verdana" w:hAnsi="Verdana"/>
          <w:sz w:val="16"/>
          <w:szCs w:val="16"/>
          <w:lang w:val="es-CR"/>
        </w:rPr>
        <w:t xml:space="preserve">a) en el </w:t>
      </w:r>
      <w:r>
        <w:rPr>
          <w:rFonts w:ascii="Verdana" w:hAnsi="Verdana"/>
          <w:sz w:val="16"/>
          <w:szCs w:val="16"/>
        </w:rPr>
        <w:t>e</w:t>
      </w:r>
      <w:r w:rsidRPr="00514304">
        <w:rPr>
          <w:rFonts w:ascii="Verdana" w:hAnsi="Verdana"/>
          <w:sz w:val="16"/>
          <w:szCs w:val="16"/>
        </w:rPr>
        <w:t xml:space="preserve">scrito presentado por el Estado ante la Comisión el 19 de julio de 2007, durante reunión de trabajo del 128° periodo ordinario de sesiones </w:t>
      </w:r>
      <w:r>
        <w:rPr>
          <w:rFonts w:ascii="Verdana" w:hAnsi="Verdana"/>
          <w:sz w:val="16"/>
          <w:szCs w:val="16"/>
        </w:rPr>
        <w:t xml:space="preserve">dijo, en primer lugar, que se trataba de 670 ha </w:t>
      </w:r>
      <w:r w:rsidRPr="00514304">
        <w:rPr>
          <w:rFonts w:ascii="Verdana" w:hAnsi="Verdana"/>
          <w:sz w:val="16"/>
          <w:szCs w:val="16"/>
        </w:rPr>
        <w:t>(</w:t>
      </w:r>
      <w:r>
        <w:rPr>
          <w:rFonts w:ascii="Verdana" w:hAnsi="Verdana"/>
          <w:sz w:val="16"/>
          <w:szCs w:val="16"/>
        </w:rPr>
        <w:t xml:space="preserve">expediente de fondo, </w:t>
      </w:r>
      <w:r w:rsidRPr="00514304">
        <w:rPr>
          <w:rFonts w:ascii="Verdana" w:hAnsi="Verdana"/>
          <w:sz w:val="16"/>
          <w:szCs w:val="16"/>
        </w:rPr>
        <w:t>,</w:t>
      </w:r>
      <w:r>
        <w:rPr>
          <w:rFonts w:ascii="Verdana" w:hAnsi="Verdana"/>
          <w:sz w:val="16"/>
          <w:szCs w:val="16"/>
        </w:rPr>
        <w:t>folio</w:t>
      </w:r>
      <w:r w:rsidRPr="00514304">
        <w:rPr>
          <w:rFonts w:ascii="Verdana" w:hAnsi="Verdana"/>
          <w:sz w:val="16"/>
          <w:szCs w:val="16"/>
        </w:rPr>
        <w:t xml:space="preserve"> 18, párr. 52)</w:t>
      </w:r>
      <w:r w:rsidRPr="00514304">
        <w:rPr>
          <w:rFonts w:ascii="Verdana" w:hAnsi="Verdana"/>
          <w:sz w:val="16"/>
          <w:szCs w:val="16"/>
          <w:lang w:val="es-CR"/>
        </w:rPr>
        <w:t xml:space="preserve">; </w:t>
      </w:r>
      <w:r>
        <w:rPr>
          <w:rFonts w:ascii="Verdana" w:hAnsi="Verdana"/>
          <w:sz w:val="16"/>
          <w:szCs w:val="16"/>
          <w:lang w:val="es-CR"/>
        </w:rPr>
        <w:t xml:space="preserve">b) en el mismo escrito, dijo que </w:t>
      </w:r>
      <w:r w:rsidRPr="00514304">
        <w:rPr>
          <w:rFonts w:ascii="Verdana" w:hAnsi="Verdana"/>
          <w:sz w:val="16"/>
          <w:szCs w:val="16"/>
          <w:lang w:val="es-MX"/>
        </w:rPr>
        <w:t xml:space="preserve">790.11 </w:t>
      </w:r>
      <w:r>
        <w:rPr>
          <w:rFonts w:ascii="Verdana" w:hAnsi="Verdana"/>
          <w:sz w:val="16"/>
          <w:szCs w:val="16"/>
          <w:lang w:val="es-MX"/>
        </w:rPr>
        <w:t>ha</w:t>
      </w:r>
      <w:r w:rsidRPr="00514304">
        <w:rPr>
          <w:rFonts w:ascii="Verdana" w:hAnsi="Verdana"/>
          <w:sz w:val="16"/>
          <w:szCs w:val="16"/>
          <w:lang w:val="es-MX"/>
        </w:rPr>
        <w:t xml:space="preserve"> </w:t>
      </w:r>
      <w:r>
        <w:rPr>
          <w:rFonts w:ascii="Verdana" w:hAnsi="Verdana"/>
          <w:sz w:val="16"/>
          <w:szCs w:val="16"/>
          <w:lang w:val="es-MX"/>
        </w:rPr>
        <w:t xml:space="preserve">eran </w:t>
      </w:r>
      <w:r w:rsidRPr="00514304">
        <w:rPr>
          <w:rFonts w:ascii="Verdana" w:hAnsi="Verdana"/>
          <w:sz w:val="16"/>
          <w:szCs w:val="16"/>
          <w:lang w:val="es-MX"/>
        </w:rPr>
        <w:t xml:space="preserve">ocupadas desde </w:t>
      </w:r>
      <w:proofErr w:type="spellStart"/>
      <w:r w:rsidRPr="00514304">
        <w:rPr>
          <w:rFonts w:ascii="Verdana" w:hAnsi="Verdana"/>
          <w:sz w:val="16"/>
          <w:szCs w:val="16"/>
          <w:lang w:val="es-MX"/>
        </w:rPr>
        <w:t>hac</w:t>
      </w:r>
      <w:proofErr w:type="spellEnd"/>
      <w:r w:rsidRPr="00514304">
        <w:rPr>
          <w:rFonts w:ascii="Verdana" w:hAnsi="Verdana"/>
          <w:sz w:val="16"/>
          <w:szCs w:val="16"/>
          <w:lang w:val="es-MX"/>
        </w:rPr>
        <w:t>[</w:t>
      </w:r>
      <w:proofErr w:type="spellStart"/>
      <w:r w:rsidRPr="00514304">
        <w:rPr>
          <w:rFonts w:ascii="Verdana" w:hAnsi="Verdana"/>
          <w:sz w:val="16"/>
          <w:szCs w:val="16"/>
          <w:lang w:val="es-MX"/>
        </w:rPr>
        <w:t>ía</w:t>
      </w:r>
      <w:proofErr w:type="spellEnd"/>
      <w:r w:rsidRPr="00514304">
        <w:rPr>
          <w:rFonts w:ascii="Verdana" w:hAnsi="Verdana"/>
          <w:sz w:val="16"/>
          <w:szCs w:val="16"/>
          <w:lang w:val="es-MX"/>
        </w:rPr>
        <w:t>] 25 años o más</w:t>
      </w:r>
      <w:r w:rsidRPr="00514304">
        <w:rPr>
          <w:rFonts w:ascii="Verdana" w:hAnsi="Verdana"/>
          <w:i/>
          <w:sz w:val="16"/>
          <w:szCs w:val="16"/>
        </w:rPr>
        <w:t xml:space="preserve"> </w:t>
      </w:r>
      <w:r w:rsidRPr="00514304">
        <w:rPr>
          <w:rFonts w:ascii="Verdana" w:hAnsi="Verdana"/>
          <w:sz w:val="16"/>
          <w:szCs w:val="16"/>
        </w:rPr>
        <w:t>(expediente de</w:t>
      </w:r>
      <w:r>
        <w:rPr>
          <w:rFonts w:ascii="Verdana" w:hAnsi="Verdana"/>
          <w:sz w:val="16"/>
          <w:szCs w:val="16"/>
        </w:rPr>
        <w:t xml:space="preserve"> prueba,</w:t>
      </w:r>
      <w:r w:rsidRPr="00514304">
        <w:rPr>
          <w:rFonts w:ascii="Verdana" w:hAnsi="Verdana"/>
          <w:sz w:val="16"/>
          <w:szCs w:val="16"/>
        </w:rPr>
        <w:t xml:space="preserve"> folios 717 a 718)</w:t>
      </w:r>
      <w:r w:rsidRPr="00514304">
        <w:rPr>
          <w:rFonts w:ascii="Verdana" w:hAnsi="Verdana"/>
          <w:sz w:val="16"/>
          <w:szCs w:val="16"/>
          <w:lang w:val="es-MX"/>
        </w:rPr>
        <w:t>, y</w:t>
      </w:r>
      <w:r>
        <w:rPr>
          <w:rFonts w:ascii="Verdana" w:hAnsi="Verdana"/>
          <w:sz w:val="16"/>
          <w:szCs w:val="16"/>
          <w:lang w:val="es-MX"/>
        </w:rPr>
        <w:t xml:space="preserve"> c) en el </w:t>
      </w:r>
      <w:r w:rsidRPr="00514304">
        <w:rPr>
          <w:rFonts w:ascii="Verdana" w:hAnsi="Verdana"/>
          <w:sz w:val="16"/>
          <w:szCs w:val="16"/>
        </w:rPr>
        <w:t>escrito presentado por el Estado ante la Comisión de 19 de agosto de 2011</w:t>
      </w:r>
      <w:r>
        <w:rPr>
          <w:rFonts w:ascii="Verdana" w:hAnsi="Verdana"/>
          <w:sz w:val="16"/>
          <w:szCs w:val="16"/>
        </w:rPr>
        <w:t xml:space="preserve"> indicó que la suma de hectáreas ocupadas era de </w:t>
      </w:r>
      <w:r w:rsidRPr="00514304">
        <w:rPr>
          <w:rFonts w:ascii="Verdana" w:hAnsi="Verdana"/>
          <w:sz w:val="16"/>
          <w:szCs w:val="16"/>
          <w:lang w:val="es-MX"/>
        </w:rPr>
        <w:t xml:space="preserve">278.40 </w:t>
      </w:r>
      <w:r>
        <w:rPr>
          <w:rFonts w:ascii="Verdana" w:hAnsi="Verdana"/>
          <w:sz w:val="16"/>
          <w:szCs w:val="16"/>
          <w:lang w:val="es-MX"/>
        </w:rPr>
        <w:t>ha</w:t>
      </w:r>
      <w:r w:rsidRPr="00514304">
        <w:rPr>
          <w:rFonts w:ascii="Verdana" w:hAnsi="Verdana"/>
          <w:sz w:val="16"/>
          <w:szCs w:val="16"/>
          <w:lang w:val="es-MX"/>
        </w:rPr>
        <w:t xml:space="preserve"> </w:t>
      </w:r>
      <w:r w:rsidRPr="00514304">
        <w:rPr>
          <w:rFonts w:ascii="Verdana" w:hAnsi="Verdana"/>
          <w:sz w:val="16"/>
          <w:szCs w:val="16"/>
        </w:rPr>
        <w:t xml:space="preserve">(expediente de </w:t>
      </w:r>
      <w:r>
        <w:rPr>
          <w:rFonts w:ascii="Verdana" w:hAnsi="Verdana"/>
          <w:sz w:val="16"/>
          <w:szCs w:val="16"/>
        </w:rPr>
        <w:t>prueba</w:t>
      </w:r>
      <w:r w:rsidRPr="00514304">
        <w:rPr>
          <w:rFonts w:ascii="Verdana" w:hAnsi="Verdana"/>
          <w:sz w:val="16"/>
          <w:szCs w:val="16"/>
        </w:rPr>
        <w:t>, folios 526 a 527)</w:t>
      </w:r>
      <w:r w:rsidRPr="00514304">
        <w:rPr>
          <w:rFonts w:ascii="Verdana" w:hAnsi="Verdana"/>
          <w:sz w:val="16"/>
          <w:szCs w:val="16"/>
          <w:lang w:val="es-MX"/>
        </w:rPr>
        <w:t xml:space="preserve">. Sin embargo, </w:t>
      </w:r>
      <w:r w:rsidRPr="00514304">
        <w:rPr>
          <w:rFonts w:ascii="Verdana" w:hAnsi="Verdana"/>
          <w:sz w:val="16"/>
          <w:szCs w:val="16"/>
          <w:lang w:val="es-CR"/>
        </w:rPr>
        <w:t xml:space="preserve">ante la Corte, el Estado alegó que los habitantes de la </w:t>
      </w:r>
      <w:r>
        <w:rPr>
          <w:rFonts w:ascii="Verdana" w:hAnsi="Verdana"/>
          <w:sz w:val="16"/>
          <w:szCs w:val="16"/>
          <w:lang w:val="es-CR"/>
        </w:rPr>
        <w:t>Aldea de Río Miel</w:t>
      </w:r>
      <w:r w:rsidRPr="00514304">
        <w:rPr>
          <w:rFonts w:ascii="Verdana" w:hAnsi="Verdana"/>
          <w:sz w:val="16"/>
          <w:szCs w:val="16"/>
          <w:lang w:val="es-CR"/>
        </w:rPr>
        <w:t xml:space="preserve">, al momento de otorgar el título de ampliación de 1999, se encontraban en posesión de 600 </w:t>
      </w:r>
      <w:r>
        <w:rPr>
          <w:rFonts w:ascii="Verdana" w:hAnsi="Verdana"/>
          <w:sz w:val="16"/>
          <w:szCs w:val="16"/>
          <w:lang w:val="es-CR"/>
        </w:rPr>
        <w:t>ha</w:t>
      </w:r>
      <w:r w:rsidRPr="00514304">
        <w:rPr>
          <w:rFonts w:ascii="Verdana" w:hAnsi="Verdana"/>
          <w:sz w:val="16"/>
          <w:szCs w:val="16"/>
          <w:lang w:val="es-CR"/>
        </w:rPr>
        <w:t xml:space="preserve"> </w:t>
      </w:r>
      <w:r>
        <w:rPr>
          <w:rFonts w:ascii="Verdana" w:hAnsi="Verdana"/>
          <w:sz w:val="16"/>
          <w:szCs w:val="16"/>
          <w:lang w:val="es-CR"/>
        </w:rPr>
        <w:t xml:space="preserve">(expediente de fondo, folio 169). </w:t>
      </w:r>
      <w:r w:rsidRPr="0010441D">
        <w:rPr>
          <w:rFonts w:ascii="Verdana" w:hAnsi="Verdana"/>
          <w:sz w:val="16"/>
          <w:szCs w:val="16"/>
          <w:lang w:val="es-CR"/>
        </w:rPr>
        <w:t xml:space="preserve">Por otro lado, conforme a lo concluido en el informe catastral de </w:t>
      </w:r>
      <w:r w:rsidRPr="00A0324F">
        <w:rPr>
          <w:rFonts w:ascii="Verdana" w:hAnsi="Verdana"/>
          <w:sz w:val="16"/>
          <w:szCs w:val="16"/>
          <w:lang w:val="es-CR"/>
        </w:rPr>
        <w:t>2007</w:t>
      </w:r>
      <w:r>
        <w:rPr>
          <w:rFonts w:ascii="Verdana" w:hAnsi="Verdana"/>
          <w:sz w:val="16"/>
          <w:szCs w:val="16"/>
          <w:lang w:val="es-CR"/>
        </w:rPr>
        <w:t>,</w:t>
      </w:r>
      <w:r w:rsidRPr="00A0324F">
        <w:rPr>
          <w:rFonts w:ascii="Verdana" w:hAnsi="Verdana"/>
          <w:sz w:val="16"/>
          <w:szCs w:val="16"/>
          <w:lang w:val="es-CR"/>
        </w:rPr>
        <w:t xml:space="preserve"> el Estado estableció que 612.13 ha era el área ocupada por terceros dentro de la ampliación</w:t>
      </w:r>
      <w:r w:rsidRPr="00A0324F">
        <w:rPr>
          <w:rFonts w:ascii="Verdana" w:hAnsi="Verdana"/>
          <w:i/>
          <w:sz w:val="16"/>
          <w:szCs w:val="16"/>
          <w:lang w:val="es-CR"/>
        </w:rPr>
        <w:t xml:space="preserve"> </w:t>
      </w:r>
      <w:r w:rsidRPr="00A0324F">
        <w:rPr>
          <w:rFonts w:ascii="Verdana" w:hAnsi="Verdana"/>
          <w:i/>
          <w:sz w:val="16"/>
          <w:szCs w:val="16"/>
          <w:lang w:val="es-MX"/>
        </w:rPr>
        <w:t>(</w:t>
      </w:r>
      <w:r w:rsidRPr="00686E05">
        <w:rPr>
          <w:rFonts w:ascii="Verdana" w:hAnsi="Verdana"/>
          <w:sz w:val="16"/>
          <w:szCs w:val="16"/>
          <w:lang w:val="es-MX"/>
        </w:rPr>
        <w:t>expediente</w:t>
      </w:r>
      <w:r w:rsidRPr="0010441D">
        <w:rPr>
          <w:rFonts w:ascii="Verdana" w:hAnsi="Verdana"/>
          <w:sz w:val="16"/>
          <w:szCs w:val="16"/>
        </w:rPr>
        <w:t xml:space="preserve"> de </w:t>
      </w:r>
      <w:r w:rsidRPr="00A0324F">
        <w:rPr>
          <w:rFonts w:ascii="Verdana" w:hAnsi="Verdana"/>
          <w:sz w:val="16"/>
          <w:szCs w:val="16"/>
        </w:rPr>
        <w:t>prueba</w:t>
      </w:r>
      <w:r w:rsidRPr="0010441D">
        <w:rPr>
          <w:rFonts w:ascii="Verdana" w:hAnsi="Verdana"/>
          <w:sz w:val="16"/>
          <w:szCs w:val="16"/>
        </w:rPr>
        <w:t>, folio 38)</w:t>
      </w:r>
      <w:r w:rsidRPr="0010441D">
        <w:rPr>
          <w:rFonts w:ascii="Verdana" w:hAnsi="Verdana"/>
          <w:sz w:val="16"/>
          <w:szCs w:val="16"/>
          <w:lang w:val="es-CR"/>
        </w:rPr>
        <w:t>.</w:t>
      </w:r>
      <w:r w:rsidRPr="00514304">
        <w:rPr>
          <w:rFonts w:ascii="Verdana" w:hAnsi="Verdana"/>
          <w:sz w:val="16"/>
          <w:szCs w:val="16"/>
          <w:lang w:val="es-CR"/>
        </w:rPr>
        <w:t xml:space="preserve"> Asimismo, en su escrito de alegatos finales, el Estado ratificó que en la actualidad, los pobladores de Río Miel ocupaban un total de 612.13 </w:t>
      </w:r>
      <w:r>
        <w:rPr>
          <w:rFonts w:ascii="Verdana" w:hAnsi="Verdana"/>
          <w:sz w:val="16"/>
          <w:szCs w:val="16"/>
          <w:lang w:val="es-CR"/>
        </w:rPr>
        <w:t>ha</w:t>
      </w:r>
      <w:r w:rsidRPr="00514304">
        <w:rPr>
          <w:rFonts w:ascii="Verdana" w:hAnsi="Verdana"/>
          <w:sz w:val="16"/>
          <w:szCs w:val="16"/>
          <w:lang w:val="es-CR"/>
        </w:rPr>
        <w:t xml:space="preserve"> </w:t>
      </w:r>
      <w:r>
        <w:rPr>
          <w:rFonts w:ascii="Verdana" w:hAnsi="Verdana"/>
          <w:sz w:val="16"/>
          <w:szCs w:val="16"/>
          <w:lang w:val="es-CR"/>
        </w:rPr>
        <w:t xml:space="preserve">(expediente de fondo, folio 581). </w:t>
      </w:r>
      <w:r w:rsidRPr="00514304">
        <w:rPr>
          <w:rFonts w:ascii="Verdana" w:hAnsi="Verdana"/>
          <w:sz w:val="16"/>
          <w:szCs w:val="16"/>
          <w:lang w:val="es-CR"/>
        </w:rPr>
        <w:t xml:space="preserve">Por su parte, los representantes sostuvieron inicialmente que los terceros habían invadido aproximadamente 670 </w:t>
      </w:r>
      <w:r>
        <w:rPr>
          <w:rFonts w:ascii="Verdana" w:hAnsi="Verdana"/>
          <w:sz w:val="16"/>
          <w:szCs w:val="16"/>
          <w:lang w:val="es-CR"/>
        </w:rPr>
        <w:t>ha</w:t>
      </w:r>
      <w:r w:rsidRPr="00514304">
        <w:rPr>
          <w:rFonts w:ascii="Verdana" w:hAnsi="Verdana"/>
          <w:sz w:val="16"/>
          <w:szCs w:val="16"/>
          <w:lang w:val="es-CR"/>
        </w:rPr>
        <w:t xml:space="preserve"> </w:t>
      </w:r>
      <w:r w:rsidRPr="00514304">
        <w:rPr>
          <w:rFonts w:ascii="Verdana" w:hAnsi="Verdana"/>
          <w:sz w:val="16"/>
          <w:szCs w:val="16"/>
        </w:rPr>
        <w:t>desde 1993, territorio que</w:t>
      </w:r>
      <w:r w:rsidRPr="00514304">
        <w:rPr>
          <w:rFonts w:ascii="Verdana" w:hAnsi="Verdana"/>
          <w:sz w:val="16"/>
          <w:szCs w:val="16"/>
          <w:lang w:val="es-MX"/>
        </w:rPr>
        <w:t xml:space="preserve"> abarcaba los “trabajaderos” y zonas de siembra de yuca de la comunidad</w:t>
      </w:r>
      <w:r>
        <w:rPr>
          <w:rFonts w:ascii="Verdana" w:hAnsi="Verdana"/>
          <w:sz w:val="16"/>
          <w:szCs w:val="16"/>
          <w:lang w:val="es-MX"/>
        </w:rPr>
        <w:t xml:space="preserve"> </w:t>
      </w:r>
      <w:r w:rsidRPr="00764395">
        <w:rPr>
          <w:rFonts w:ascii="Verdana" w:hAnsi="Verdana"/>
          <w:sz w:val="16"/>
          <w:szCs w:val="16"/>
        </w:rPr>
        <w:t>(</w:t>
      </w:r>
      <w:r>
        <w:rPr>
          <w:rFonts w:ascii="Verdana" w:hAnsi="Verdana"/>
          <w:sz w:val="16"/>
          <w:szCs w:val="16"/>
        </w:rPr>
        <w:t>expediente de fondo, folio</w:t>
      </w:r>
      <w:r w:rsidRPr="00764395">
        <w:rPr>
          <w:rFonts w:ascii="Verdana" w:hAnsi="Verdana"/>
          <w:sz w:val="16"/>
          <w:szCs w:val="16"/>
        </w:rPr>
        <w:t xml:space="preserve"> 103)</w:t>
      </w:r>
      <w:r w:rsidRPr="00514304">
        <w:rPr>
          <w:rFonts w:ascii="Verdana" w:hAnsi="Verdana"/>
          <w:sz w:val="16"/>
          <w:szCs w:val="16"/>
          <w:lang w:val="es-MX"/>
        </w:rPr>
        <w:t xml:space="preserve">. A pesar de lo anterior, en su escrito de alegatos finales indicaron que en la actualidad “el área total ocupada por los colonos de Río Miel </w:t>
      </w:r>
      <w:proofErr w:type="spellStart"/>
      <w:proofErr w:type="gramStart"/>
      <w:r w:rsidRPr="00514304">
        <w:rPr>
          <w:rFonts w:ascii="Verdana" w:hAnsi="Verdana"/>
          <w:sz w:val="16"/>
          <w:szCs w:val="16"/>
          <w:lang w:val="es-MX"/>
        </w:rPr>
        <w:t>correspond</w:t>
      </w:r>
      <w:proofErr w:type="spellEnd"/>
      <w:r w:rsidRPr="00514304">
        <w:rPr>
          <w:rFonts w:ascii="Verdana" w:hAnsi="Verdana"/>
          <w:sz w:val="16"/>
          <w:szCs w:val="16"/>
          <w:lang w:val="es-MX"/>
        </w:rPr>
        <w:t>[</w:t>
      </w:r>
      <w:proofErr w:type="spellStart"/>
      <w:proofErr w:type="gramEnd"/>
      <w:r w:rsidRPr="00514304">
        <w:rPr>
          <w:rFonts w:ascii="Verdana" w:hAnsi="Verdana"/>
          <w:sz w:val="16"/>
          <w:szCs w:val="16"/>
          <w:lang w:val="es-MX"/>
        </w:rPr>
        <w:t>ía</w:t>
      </w:r>
      <w:proofErr w:type="spellEnd"/>
      <w:r w:rsidRPr="00514304">
        <w:rPr>
          <w:rFonts w:ascii="Verdana" w:hAnsi="Verdana"/>
          <w:sz w:val="16"/>
          <w:szCs w:val="16"/>
          <w:lang w:val="es-MX"/>
        </w:rPr>
        <w:t>] a toda el área del título de ampliación de 1999 […], lo que en total suma[</w:t>
      </w:r>
      <w:proofErr w:type="spellStart"/>
      <w:r w:rsidRPr="00514304">
        <w:rPr>
          <w:rFonts w:ascii="Verdana" w:hAnsi="Verdana"/>
          <w:sz w:val="16"/>
          <w:szCs w:val="16"/>
          <w:lang w:val="es-MX"/>
        </w:rPr>
        <w:t>ba</w:t>
      </w:r>
      <w:proofErr w:type="spellEnd"/>
      <w:r w:rsidRPr="00514304">
        <w:rPr>
          <w:rFonts w:ascii="Verdana" w:hAnsi="Verdana"/>
          <w:sz w:val="16"/>
          <w:szCs w:val="16"/>
          <w:lang w:val="es-MX"/>
        </w:rPr>
        <w:t xml:space="preserve">] 1,500 </w:t>
      </w:r>
      <w:r>
        <w:rPr>
          <w:rFonts w:ascii="Verdana" w:hAnsi="Verdana"/>
          <w:sz w:val="16"/>
          <w:szCs w:val="16"/>
          <w:lang w:val="es-MX"/>
        </w:rPr>
        <w:t>ha</w:t>
      </w:r>
      <w:r w:rsidRPr="00514304">
        <w:rPr>
          <w:rFonts w:ascii="Verdana" w:hAnsi="Verdana"/>
          <w:sz w:val="16"/>
          <w:szCs w:val="16"/>
          <w:lang w:val="es-MX"/>
        </w:rPr>
        <w:t xml:space="preserve"> a la que los colonos han dado uso […]”</w:t>
      </w:r>
      <w:r>
        <w:rPr>
          <w:rFonts w:ascii="Verdana" w:hAnsi="Verdana"/>
          <w:sz w:val="16"/>
          <w:szCs w:val="16"/>
          <w:lang w:val="es-MX"/>
        </w:rPr>
        <w:t xml:space="preserve"> (expediente de fondo, folio</w:t>
      </w:r>
      <w:r w:rsidRPr="00A0324F">
        <w:rPr>
          <w:rFonts w:ascii="Verdana" w:hAnsi="Verdana"/>
          <w:sz w:val="16"/>
          <w:szCs w:val="16"/>
          <w:lang w:val="es-MX"/>
        </w:rPr>
        <w:t xml:space="preserve"> 545).</w:t>
      </w:r>
      <w:r w:rsidRPr="00514304">
        <w:rPr>
          <w:rFonts w:ascii="Verdana" w:hAnsi="Verdana"/>
          <w:sz w:val="16"/>
          <w:szCs w:val="16"/>
          <w:lang w:val="es-CR"/>
        </w:rPr>
        <w:t xml:space="preserve"> </w:t>
      </w:r>
    </w:p>
  </w:footnote>
  <w:footnote w:id="96">
    <w:p w14:paraId="0C704DCC" w14:textId="16337158" w:rsidR="006B2C5D" w:rsidRPr="00514304" w:rsidRDefault="006B2C5D" w:rsidP="00B15331">
      <w:pPr>
        <w:pStyle w:val="FootnoteText"/>
        <w:rPr>
          <w:lang w:val="es-MX"/>
        </w:rPr>
      </w:pPr>
      <w:r w:rsidRPr="00514304">
        <w:rPr>
          <w:rStyle w:val="FootnoteReference"/>
          <w:sz w:val="16"/>
        </w:rPr>
        <w:footnoteRef/>
      </w:r>
      <w:r w:rsidRPr="00514304">
        <w:t xml:space="preserve"> </w:t>
      </w:r>
      <w:r w:rsidRPr="00514304">
        <w:rPr>
          <w:lang w:val="es-MX"/>
        </w:rPr>
        <w:tab/>
      </w:r>
      <w:r w:rsidRPr="00514304">
        <w:rPr>
          <w:i/>
          <w:lang w:val="es-MX"/>
        </w:rPr>
        <w:t xml:space="preserve">Cfr. </w:t>
      </w:r>
      <w:r w:rsidRPr="00514304">
        <w:rPr>
          <w:lang w:val="es-MX"/>
        </w:rPr>
        <w:t xml:space="preserve">Acta de compromiso del 13 de diciembre de 2001, </w:t>
      </w:r>
      <w:r w:rsidRPr="00A0324F">
        <w:rPr>
          <w:i/>
          <w:lang w:val="es-MX"/>
        </w:rPr>
        <w:t>supra,</w:t>
      </w:r>
      <w:r>
        <w:rPr>
          <w:lang w:val="es-MX"/>
        </w:rPr>
        <w:t xml:space="preserve"> </w:t>
      </w:r>
      <w:r w:rsidRPr="00514304">
        <w:rPr>
          <w:lang w:val="es-MX"/>
        </w:rPr>
        <w:t>en la que se estableció que: “</w:t>
      </w:r>
      <w:r w:rsidRPr="00514304">
        <w:t xml:space="preserve">[…] encontramos la ocupación de tierras por parte de la </w:t>
      </w:r>
      <w:r>
        <w:t>C</w:t>
      </w:r>
      <w:r w:rsidRPr="00514304">
        <w:t xml:space="preserve">omunidad de Río Miel de un área de tierra de 605 </w:t>
      </w:r>
      <w:r>
        <w:t>ha</w:t>
      </w:r>
      <w:r w:rsidRPr="00514304">
        <w:t xml:space="preserve"> […]” (</w:t>
      </w:r>
      <w:r>
        <w:t>expediente de prueba</w:t>
      </w:r>
      <w:r w:rsidRPr="00514304">
        <w:t>, folio 30).</w:t>
      </w:r>
    </w:p>
  </w:footnote>
  <w:footnote w:id="97">
    <w:p w14:paraId="0C704DCD" w14:textId="52B088AC" w:rsidR="006B2C5D" w:rsidRPr="00514304" w:rsidRDefault="006B2C5D" w:rsidP="00B15331">
      <w:pPr>
        <w:pStyle w:val="FootnoteText"/>
      </w:pPr>
      <w:r w:rsidRPr="00514304">
        <w:rPr>
          <w:rStyle w:val="FootnoteReference"/>
          <w:sz w:val="16"/>
        </w:rPr>
        <w:footnoteRef/>
      </w:r>
      <w:r w:rsidRPr="00514304">
        <w:t xml:space="preserve"> </w:t>
      </w:r>
      <w:r w:rsidRPr="00514304">
        <w:tab/>
        <w:t xml:space="preserve">El Informe catastral </w:t>
      </w:r>
      <w:r>
        <w:t xml:space="preserve">de 12 de julio de 2007 </w:t>
      </w:r>
      <w:r w:rsidRPr="00514304">
        <w:t xml:space="preserve">fue elaborado “solamente con los aldeanos de Río Miel, sin la presencia alguna de los garífunas de Punta Piedra”, a efectos de evitar conflictos entre ambas comunidades. </w:t>
      </w:r>
      <w:r w:rsidRPr="00A0324F">
        <w:rPr>
          <w:i/>
        </w:rPr>
        <w:t>Cfr.</w:t>
      </w:r>
      <w:r>
        <w:t xml:space="preserve"> </w:t>
      </w:r>
      <w:r w:rsidRPr="00514304">
        <w:t xml:space="preserve">Informe </w:t>
      </w:r>
      <w:r>
        <w:t xml:space="preserve">final de levantamiento </w:t>
      </w:r>
      <w:r w:rsidRPr="00514304">
        <w:t xml:space="preserve">catastral </w:t>
      </w:r>
      <w:r>
        <w:t xml:space="preserve">del área titulada en ampliación a favor de la Comunidad Garífuna de Punta Piedra de </w:t>
      </w:r>
      <w:r w:rsidRPr="00514304">
        <w:t>12 de julio de 2007</w:t>
      </w:r>
      <w:r>
        <w:t xml:space="preserve"> (</w:t>
      </w:r>
      <w:r>
        <w:rPr>
          <w:lang w:val="es-MX"/>
        </w:rPr>
        <w:t>expediente de prueba</w:t>
      </w:r>
      <w:r w:rsidRPr="00514304">
        <w:t>, folios 36 y 37).</w:t>
      </w:r>
    </w:p>
  </w:footnote>
  <w:footnote w:id="98">
    <w:p w14:paraId="0C704DCE" w14:textId="03A90D6F" w:rsidR="006B2C5D" w:rsidRDefault="006B2C5D" w:rsidP="00B15331">
      <w:pPr>
        <w:pStyle w:val="FootnoteText"/>
        <w:rPr>
          <w:lang w:val="es-MX"/>
        </w:rPr>
      </w:pPr>
      <w:r w:rsidRPr="00514304">
        <w:rPr>
          <w:rStyle w:val="FootnoteReference"/>
          <w:sz w:val="16"/>
        </w:rPr>
        <w:footnoteRef/>
      </w:r>
      <w:r w:rsidRPr="00514304">
        <w:t xml:space="preserve"> </w:t>
      </w:r>
      <w:r w:rsidRPr="00514304">
        <w:rPr>
          <w:lang w:val="es-MX"/>
        </w:rPr>
        <w:tab/>
      </w:r>
      <w:r w:rsidRPr="00514304">
        <w:rPr>
          <w:i/>
          <w:lang w:val="es-MX"/>
        </w:rPr>
        <w:t>Cfr.</w:t>
      </w:r>
      <w:r w:rsidRPr="00514304">
        <w:t xml:space="preserve"> Informe catastral </w:t>
      </w:r>
      <w:r>
        <w:t xml:space="preserve">de 12 de </w:t>
      </w:r>
      <w:r w:rsidRPr="00514304">
        <w:t>julio de 2007</w:t>
      </w:r>
      <w:r>
        <w:t xml:space="preserve">, </w:t>
      </w:r>
      <w:r>
        <w:rPr>
          <w:i/>
        </w:rPr>
        <w:t>supra</w:t>
      </w:r>
      <w:r>
        <w:t xml:space="preserve"> </w:t>
      </w:r>
      <w:r w:rsidRPr="00514304">
        <w:rPr>
          <w:lang w:val="es-MX"/>
        </w:rPr>
        <w:t>(</w:t>
      </w:r>
      <w:r>
        <w:rPr>
          <w:lang w:val="es-MX"/>
        </w:rPr>
        <w:t>expediente de prueba</w:t>
      </w:r>
      <w:r w:rsidRPr="00514304">
        <w:t>, folio 38), y Mapa de la ubicación geográfica de la Comunidad de Punta Piedra, elaborado por el INA el 12 de julio de 2007 (</w:t>
      </w:r>
      <w:r>
        <w:t>expediente de prueba</w:t>
      </w:r>
      <w:r w:rsidRPr="00514304">
        <w:t>, folio 11).</w:t>
      </w:r>
    </w:p>
  </w:footnote>
  <w:footnote w:id="99">
    <w:p w14:paraId="0C704DCF" w14:textId="750E5E89" w:rsidR="006B2C5D" w:rsidRDefault="006B2C5D" w:rsidP="00B15331">
      <w:pPr>
        <w:pStyle w:val="FootnoteText"/>
      </w:pPr>
      <w:r w:rsidRPr="00514304">
        <w:rPr>
          <w:rStyle w:val="FootnoteReference"/>
          <w:sz w:val="16"/>
        </w:rPr>
        <w:footnoteRef/>
      </w:r>
      <w:r w:rsidRPr="00514304">
        <w:t xml:space="preserve"> </w:t>
      </w:r>
      <w:r w:rsidRPr="00514304">
        <w:tab/>
        <w:t xml:space="preserve">Las 790,11 </w:t>
      </w:r>
      <w:r>
        <w:t>ha</w:t>
      </w:r>
      <w:r w:rsidRPr="00514304">
        <w:t xml:space="preserve"> son calculadas sumando 612.13 </w:t>
      </w:r>
      <w:r>
        <w:t>ha</w:t>
      </w:r>
      <w:r w:rsidRPr="00514304">
        <w:t xml:space="preserve"> ocupadas por terceros más las 177.98 </w:t>
      </w:r>
      <w:r>
        <w:t>ha</w:t>
      </w:r>
      <w:r w:rsidRPr="00514304">
        <w:t xml:space="preserve"> de </w:t>
      </w:r>
      <w:r>
        <w:t>áreas</w:t>
      </w:r>
      <w:r w:rsidRPr="00514304">
        <w:t xml:space="preserve"> de bosque que también estarían ocupadas por los pobladores de Río Miel.</w:t>
      </w:r>
    </w:p>
  </w:footnote>
  <w:footnote w:id="100">
    <w:p w14:paraId="0C704DD1" w14:textId="06F45D19" w:rsidR="006B2C5D" w:rsidRPr="002C175C" w:rsidRDefault="006B2C5D" w:rsidP="00B15331">
      <w:pPr>
        <w:pStyle w:val="FootnoteText"/>
      </w:pPr>
      <w:r w:rsidRPr="002C175C">
        <w:rPr>
          <w:rStyle w:val="FootnoteReference"/>
          <w:sz w:val="16"/>
        </w:rPr>
        <w:footnoteRef/>
      </w:r>
      <w:r w:rsidRPr="002C175C">
        <w:t xml:space="preserve"> </w:t>
      </w:r>
      <w:r w:rsidRPr="002C175C">
        <w:tab/>
        <w:t>El informe catastral de julio de 200</w:t>
      </w:r>
      <w:r w:rsidRPr="00A0324F">
        <w:t>7</w:t>
      </w:r>
      <w:r w:rsidRPr="002C175C">
        <w:t xml:space="preserve"> por el contrario, consideró que el territorio ocupado y con dominio pleno de </w:t>
      </w:r>
      <w:proofErr w:type="spellStart"/>
      <w:r w:rsidRPr="002C175C">
        <w:t>Ambrocio</w:t>
      </w:r>
      <w:proofErr w:type="spellEnd"/>
      <w:r w:rsidRPr="002C175C">
        <w:t xml:space="preserve"> Thomas Castillo se encontraba dentro del territorio de ampliación de 1,513 ha y fracción titulado en favor de la Comunidad de Punta Piedra, e incluso calculó que el monto en hectáreas ascendía a 68.06 ha, es decir un monto mayor al reconocido en la primera cláusula de exclusión del título de 1999 y en los correspondientes títulos de propiedad. Sin embargo, conforme a la constancia aclaratoria de diciembre de 1999 </w:t>
      </w:r>
      <w:r w:rsidRPr="00A0324F">
        <w:t>(</w:t>
      </w:r>
      <w:r w:rsidRPr="00A0324F">
        <w:rPr>
          <w:i/>
        </w:rPr>
        <w:t>supra,</w:t>
      </w:r>
      <w:r w:rsidRPr="00A0324F">
        <w:t xml:space="preserve"> párr. 98</w:t>
      </w:r>
      <w:r w:rsidRPr="002C175C">
        <w:t xml:space="preserve">), el área titulada en favor de </w:t>
      </w:r>
      <w:proofErr w:type="spellStart"/>
      <w:r w:rsidRPr="002C175C">
        <w:t>Ambrocio</w:t>
      </w:r>
      <w:proofErr w:type="spellEnd"/>
      <w:r w:rsidRPr="002C175C">
        <w:t xml:space="preserve"> Thomas Castillo y de </w:t>
      </w:r>
      <w:proofErr w:type="spellStart"/>
      <w:r w:rsidRPr="002C175C">
        <w:t>Sergia</w:t>
      </w:r>
      <w:proofErr w:type="spellEnd"/>
      <w:r w:rsidRPr="002C175C">
        <w:t xml:space="preserve"> Zapata Martínez no formarían parte del total de 1,513 ha y fracción del título de 1999.</w:t>
      </w:r>
    </w:p>
  </w:footnote>
  <w:footnote w:id="101">
    <w:p w14:paraId="0C704DD2" w14:textId="5E1F4F8D" w:rsidR="006B2C5D" w:rsidRPr="002C175C" w:rsidRDefault="006B2C5D" w:rsidP="00B15331">
      <w:pPr>
        <w:pStyle w:val="FootnoteText"/>
      </w:pPr>
      <w:r w:rsidRPr="002C175C">
        <w:rPr>
          <w:rStyle w:val="FootnoteReference"/>
          <w:sz w:val="16"/>
        </w:rPr>
        <w:footnoteRef/>
      </w:r>
      <w:r w:rsidRPr="002C175C">
        <w:t xml:space="preserve"> </w:t>
      </w:r>
      <w:r w:rsidRPr="002C175C">
        <w:tab/>
      </w:r>
      <w:r w:rsidRPr="002C175C">
        <w:rPr>
          <w:i/>
        </w:rPr>
        <w:t>Cfr.</w:t>
      </w:r>
      <w:r w:rsidRPr="002C175C">
        <w:t xml:space="preserve"> Informe catastral de 12 de julio de 2007, </w:t>
      </w:r>
      <w:r w:rsidRPr="002C175C">
        <w:rPr>
          <w:i/>
        </w:rPr>
        <w:t>supra</w:t>
      </w:r>
      <w:r w:rsidRPr="002C175C">
        <w:t xml:space="preserve"> (expediente de prueba, folios 39 a 40).</w:t>
      </w:r>
    </w:p>
  </w:footnote>
  <w:footnote w:id="102">
    <w:p w14:paraId="0C704DD3" w14:textId="77777777" w:rsidR="006B2C5D" w:rsidRPr="002C175C" w:rsidRDefault="006B2C5D" w:rsidP="00B15331">
      <w:pPr>
        <w:pStyle w:val="FootnoteText"/>
      </w:pPr>
      <w:r w:rsidRPr="002C175C">
        <w:rPr>
          <w:rStyle w:val="FootnoteReference"/>
          <w:sz w:val="16"/>
        </w:rPr>
        <w:footnoteRef/>
      </w:r>
      <w:r w:rsidRPr="002C175C">
        <w:t xml:space="preserve"> </w:t>
      </w:r>
      <w:r w:rsidRPr="002C175C">
        <w:tab/>
      </w:r>
      <w:r w:rsidRPr="00A0324F">
        <w:rPr>
          <w:i/>
        </w:rPr>
        <w:t>Cfr.</w:t>
      </w:r>
      <w:r w:rsidRPr="002C175C">
        <w:t xml:space="preserve"> </w:t>
      </w:r>
      <w:r>
        <w:t xml:space="preserve">Informe de evaluación de imágenes satelitales respecto del cambio del uso de la tierra dentro y alrededor de las tierras garífunas en Honduras: 1993-2013. </w:t>
      </w:r>
      <w:r w:rsidRPr="00A0324F">
        <w:t>Informe elaborado por el Proyecto de “Tecnologías Geoespaciales y Derechos Humanos” de la Asociación Americana para el Avance de la Ciencia en enero de 2015 (expediente de fondo, folio</w:t>
      </w:r>
      <w:r>
        <w:t>s 776 a 777).</w:t>
      </w:r>
    </w:p>
  </w:footnote>
  <w:footnote w:id="103">
    <w:p w14:paraId="0C704DD4" w14:textId="723BC49D"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Avalúo dirigido por el Investigador Agronómico al Ministro Director del INA el 23 de julio de 2007 (</w:t>
      </w:r>
      <w:r>
        <w:t>expediente de prueba</w:t>
      </w:r>
      <w:r w:rsidRPr="00514304">
        <w:t>, folio 93).</w:t>
      </w:r>
    </w:p>
  </w:footnote>
  <w:footnote w:id="104">
    <w:p w14:paraId="0C704DD5" w14:textId="79F2A68E" w:rsidR="006B2C5D" w:rsidRDefault="006B2C5D" w:rsidP="00B15331">
      <w:pPr>
        <w:pStyle w:val="FootnoteText"/>
        <w:rPr>
          <w:u w:val="single"/>
        </w:rPr>
      </w:pPr>
      <w:r w:rsidRPr="00514304">
        <w:rPr>
          <w:rStyle w:val="FootnoteReference"/>
          <w:sz w:val="16"/>
        </w:rPr>
        <w:footnoteRef/>
      </w:r>
      <w:r w:rsidRPr="00514304">
        <w:t xml:space="preserve"> </w:t>
      </w:r>
      <w:r w:rsidRPr="00514304">
        <w:tab/>
      </w:r>
      <w:r w:rsidRPr="00514304">
        <w:rPr>
          <w:i/>
        </w:rPr>
        <w:t>Cfr.</w:t>
      </w:r>
      <w:r w:rsidRPr="00514304">
        <w:t xml:space="preserve"> Informe de Campo del INA de 9 de mayo de 2013 (expediente de prueba, folio 1454).</w:t>
      </w:r>
    </w:p>
  </w:footnote>
  <w:footnote w:id="105">
    <w:p w14:paraId="0C704DD6" w14:textId="6CEC8899"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Acta de compromiso de 13 de diciembre de 2001</w:t>
      </w:r>
      <w:r>
        <w:t xml:space="preserve">, </w:t>
      </w:r>
      <w:r w:rsidRPr="00A0324F">
        <w:rPr>
          <w:i/>
        </w:rPr>
        <w:t>supra</w:t>
      </w:r>
      <w:r w:rsidRPr="00514304">
        <w:t xml:space="preserve"> (</w:t>
      </w:r>
      <w:r>
        <w:t>expediente de prueba</w:t>
      </w:r>
      <w:r w:rsidRPr="00514304">
        <w:t xml:space="preserve">, folio 31). </w:t>
      </w:r>
    </w:p>
  </w:footnote>
  <w:footnote w:id="106">
    <w:p w14:paraId="7D27B6BE" w14:textId="7777777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Acta de compromiso de 13 de diciembre de 2001</w:t>
      </w:r>
      <w:r>
        <w:t xml:space="preserve">, </w:t>
      </w:r>
      <w:r w:rsidRPr="00A44D92">
        <w:rPr>
          <w:i/>
        </w:rPr>
        <w:t>supra</w:t>
      </w:r>
      <w:r w:rsidRPr="00514304">
        <w:t xml:space="preserve"> (</w:t>
      </w:r>
      <w:r>
        <w:t>expediente de prueba</w:t>
      </w:r>
      <w:r w:rsidRPr="00514304">
        <w:t>, folio</w:t>
      </w:r>
      <w:r>
        <w:t>s 30 y</w:t>
      </w:r>
      <w:r w:rsidRPr="00514304">
        <w:t xml:space="preserve"> 31).</w:t>
      </w:r>
    </w:p>
  </w:footnote>
  <w:footnote w:id="107">
    <w:p w14:paraId="779A8C35" w14:textId="77777777" w:rsidR="006B2C5D" w:rsidRDefault="006B2C5D" w:rsidP="00B15331">
      <w:pPr>
        <w:pStyle w:val="FootnoteText"/>
      </w:pPr>
      <w:r w:rsidRPr="00514304">
        <w:rPr>
          <w:rStyle w:val="FootnoteReference"/>
          <w:sz w:val="16"/>
        </w:rPr>
        <w:footnoteRef/>
      </w:r>
      <w:r w:rsidRPr="00514304">
        <w:t xml:space="preserve"> </w:t>
      </w:r>
      <w:r w:rsidRPr="00514304">
        <w:tab/>
        <w:t xml:space="preserve">Las conclusiones y acuerdos adoptados mediante el acta de compromiso de 13 de diciembre de 2001 fueron los siguientes: “a) </w:t>
      </w:r>
      <w:r>
        <w:t>L</w:t>
      </w:r>
      <w:r w:rsidRPr="00514304">
        <w:t>a representación de ambas comunidades, la Comisión Interinstitucional, ODECO y OFRANEH, reconocemos que la búsqueda de una solución pacífica y prejudicial al problema es una de las alternativas que todos nos debemos de comprometer a cumplir como medio efectivo de la solución del conflicto</w:t>
      </w:r>
      <w:r>
        <w:t>[</w:t>
      </w:r>
      <w:r w:rsidRPr="00514304">
        <w:t>;</w:t>
      </w:r>
      <w:r>
        <w:t>]</w:t>
      </w:r>
      <w:r w:rsidRPr="00514304">
        <w:t xml:space="preserve"> b) </w:t>
      </w:r>
      <w:r>
        <w:t>L</w:t>
      </w:r>
      <w:r w:rsidRPr="00514304">
        <w:t xml:space="preserve">as representaciones de las organizaciones y las instituciones antes indicadas reconocemos que el Estado está obligado a realizar el proceso de saneamiento a favor de la </w:t>
      </w:r>
      <w:r>
        <w:t>[C]</w:t>
      </w:r>
      <w:proofErr w:type="spellStart"/>
      <w:r w:rsidRPr="00514304">
        <w:t>omunidad</w:t>
      </w:r>
      <w:proofErr w:type="spellEnd"/>
      <w:r w:rsidRPr="00514304">
        <w:t xml:space="preserve"> de Punta Piedra, pagando las mejoras a los habitantes de Río Miel para que la </w:t>
      </w:r>
      <w:r>
        <w:t>[C]</w:t>
      </w:r>
      <w:proofErr w:type="spellStart"/>
      <w:r w:rsidRPr="00514304">
        <w:t>omunidad</w:t>
      </w:r>
      <w:proofErr w:type="spellEnd"/>
      <w:r w:rsidRPr="00514304">
        <w:t xml:space="preserve"> </w:t>
      </w:r>
      <w:r>
        <w:t>[G]</w:t>
      </w:r>
      <w:proofErr w:type="spellStart"/>
      <w:r w:rsidRPr="00514304">
        <w:t>arífuna</w:t>
      </w:r>
      <w:proofErr w:type="spellEnd"/>
      <w:r w:rsidRPr="00514304">
        <w:t xml:space="preserve"> pueda hacer uso del derecho pleno de propiedad que le da la documentación ancestral y la otorgada por el Instituto Nacional Agrario</w:t>
      </w:r>
      <w:r>
        <w:t>[</w:t>
      </w:r>
      <w:r w:rsidRPr="00514304">
        <w:t>;</w:t>
      </w:r>
      <w:r>
        <w:t>]</w:t>
      </w:r>
      <w:r w:rsidRPr="00514304">
        <w:t xml:space="preserve"> c) </w:t>
      </w:r>
      <w:r>
        <w:t>E</w:t>
      </w:r>
      <w:r w:rsidRPr="00514304">
        <w:t xml:space="preserve">l Estado a través del Instituto </w:t>
      </w:r>
      <w:r>
        <w:t>N</w:t>
      </w:r>
      <w:r w:rsidRPr="00514304">
        <w:t xml:space="preserve">acional Agrario debe de buscar de la manera más diligente un predio donde se puedan reubicar las familias indemnizadas, además, a través de las </w:t>
      </w:r>
      <w:r>
        <w:t>I</w:t>
      </w:r>
      <w:r w:rsidRPr="00514304">
        <w:t xml:space="preserve">nstituciones competentes se deben de realizar todas las acciones para apoyar el derecho de vivienda, de salud, de educación, de agua y otros beneficios que garanticen las condiciones apropiadas a la población reubicada y que de una vez por todas la </w:t>
      </w:r>
      <w:r>
        <w:t>[C]</w:t>
      </w:r>
      <w:proofErr w:type="spellStart"/>
      <w:r w:rsidRPr="00514304">
        <w:t>omunidad</w:t>
      </w:r>
      <w:proofErr w:type="spellEnd"/>
      <w:r w:rsidRPr="00514304">
        <w:t xml:space="preserve"> de Punta Piedra pueda ejercer el dominio en las tierras reivindicadas [, y] d) </w:t>
      </w:r>
      <w:r>
        <w:t>P</w:t>
      </w:r>
      <w:r w:rsidRPr="00514304">
        <w:t>ara el seguimiento a los acuerdos de esta Acta esta Comisión queda autorizada para formular el pliego de peticiones y hacer un calendario de trabajo que contenga las gestiones y las actividades de campo que garanticen la solución del conflicto, así como generar los mecanismos para la realización de las gestiones pertinentes”.</w:t>
      </w:r>
      <w:r>
        <w:t xml:space="preserve"> </w:t>
      </w:r>
      <w:r w:rsidRPr="00514304">
        <w:rPr>
          <w:i/>
        </w:rPr>
        <w:t>Cfr.</w:t>
      </w:r>
      <w:r w:rsidRPr="00514304">
        <w:t xml:space="preserve"> Acta de compromiso de 13 de diciembre de 2001</w:t>
      </w:r>
      <w:r>
        <w:t xml:space="preserve">, </w:t>
      </w:r>
      <w:r w:rsidRPr="00A44D92">
        <w:rPr>
          <w:i/>
        </w:rPr>
        <w:t>supra</w:t>
      </w:r>
      <w:r w:rsidRPr="00514304">
        <w:t xml:space="preserve"> (</w:t>
      </w:r>
      <w:r>
        <w:t>expediente de prueba</w:t>
      </w:r>
      <w:r w:rsidRPr="00514304">
        <w:t>, folio 32).</w:t>
      </w:r>
    </w:p>
  </w:footnote>
  <w:footnote w:id="108">
    <w:p w14:paraId="0C704DDA" w14:textId="31FB9976"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Moción suscrita por Diputados ante el Congreso Nacional, </w:t>
      </w:r>
      <w:r w:rsidRPr="00514304">
        <w:rPr>
          <w:i/>
        </w:rPr>
        <w:t>supra</w:t>
      </w:r>
      <w:r w:rsidRPr="00514304">
        <w:t xml:space="preserve"> (</w:t>
      </w:r>
      <w:r>
        <w:t>expediente de prueba</w:t>
      </w:r>
      <w:r w:rsidRPr="00514304">
        <w:t>, folio 7); Oficio No.DE-274 elaborado por el INA de 2 de octubre de 2002 (</w:t>
      </w:r>
      <w:r>
        <w:t>expediente de prueba</w:t>
      </w:r>
      <w:r w:rsidRPr="00514304">
        <w:t xml:space="preserve">, folio 52), y Cuadros de avalúo de mejoras y de gastos operativos para el saneamiento de la </w:t>
      </w:r>
      <w:r>
        <w:t>Aldea de Río Miel</w:t>
      </w:r>
      <w:r w:rsidRPr="00514304">
        <w:t xml:space="preserve"> s/f (</w:t>
      </w:r>
      <w:r>
        <w:t>expediente de prueba</w:t>
      </w:r>
      <w:r w:rsidRPr="00514304">
        <w:t>, folios 734 a 737). Equivalente a USD</w:t>
      </w:r>
      <w:r>
        <w:t xml:space="preserve"> </w:t>
      </w:r>
      <w:r w:rsidRPr="00514304">
        <w:t>$</w:t>
      </w:r>
      <w:r>
        <w:t xml:space="preserve">605,241.97 </w:t>
      </w:r>
      <w:r w:rsidRPr="00514304">
        <w:t xml:space="preserve">aproximadamente, conforme al cambio actualizado a </w:t>
      </w:r>
      <w:r>
        <w:t>noviembre</w:t>
      </w:r>
      <w:r w:rsidRPr="00514304">
        <w:t xml:space="preserve"> de 2015.</w:t>
      </w:r>
    </w:p>
  </w:footnote>
  <w:footnote w:id="109">
    <w:p w14:paraId="0C704DDB" w14:textId="1C3B14A4"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la OFRANEH al Ministro Director del INA de 21 de febrero de 2002 (</w:t>
      </w:r>
      <w:r>
        <w:t>expediente de prueba</w:t>
      </w:r>
      <w:r w:rsidRPr="00514304">
        <w:t>, folio 42).</w:t>
      </w:r>
    </w:p>
  </w:footnote>
  <w:footnote w:id="110">
    <w:p w14:paraId="0C704DDC" w14:textId="7BA74F99"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la OFRANEH al Congreso Nacional de fecha 1 de octubre de 2002 (</w:t>
      </w:r>
      <w:r>
        <w:t xml:space="preserve">expediente de prueba, folio </w:t>
      </w:r>
      <w:r w:rsidRPr="00514304">
        <w:t xml:space="preserve">56). De igual manera, el miembro de la Comunidad de Punta Piedra, Edito Suazo Ávila, declaró durante la audiencia ante la Comisión de la realización de dicha marcha de protesta pacífica. </w:t>
      </w:r>
      <w:r w:rsidRPr="00514304">
        <w:rPr>
          <w:i/>
        </w:rPr>
        <w:t>Cfr.</w:t>
      </w:r>
      <w:r w:rsidRPr="00514304">
        <w:t xml:space="preserve"> CIDH, Audiencia Pública de fecha 7 de marzo de 2006 sobre “Petición 1119/03-Comunidad Garífuna de Punta Piedra, Honduras”, 124° periodo ordinario de sesiones de la CIDH</w:t>
      </w:r>
      <w:r>
        <w:t xml:space="preserve"> (expediente de fondo, folio 21).</w:t>
      </w:r>
    </w:p>
  </w:footnote>
  <w:footnote w:id="111">
    <w:p w14:paraId="0C704DDD" w14:textId="5CA596D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Moción suscrita por Diputados ante el Congreso Nacional, </w:t>
      </w:r>
      <w:r w:rsidRPr="00514304">
        <w:rPr>
          <w:i/>
        </w:rPr>
        <w:t>supra</w:t>
      </w:r>
      <w:r w:rsidRPr="00514304">
        <w:t xml:space="preserve"> (</w:t>
      </w:r>
      <w:r>
        <w:t>expediente de prueba</w:t>
      </w:r>
      <w:r w:rsidRPr="00514304">
        <w:t>, folios 5 a 7).</w:t>
      </w:r>
    </w:p>
  </w:footnote>
  <w:footnote w:id="112">
    <w:p w14:paraId="0C704DDE" w14:textId="5797C1E4"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el Patronato Pro-Mejoramiento de la Comunidad Garífuna de Punta Piedra al Ministro Director del INA de 24 de agosto de 2002 (</w:t>
      </w:r>
      <w:r>
        <w:t xml:space="preserve">expediente de prueba, </w:t>
      </w:r>
      <w:r w:rsidRPr="00514304">
        <w:t>folio 54).</w:t>
      </w:r>
    </w:p>
  </w:footnote>
  <w:footnote w:id="113">
    <w:p w14:paraId="0C704DDF" w14:textId="73F62C3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el Patronato Pro-Mejoramiento de la Comunidad al Ministro Director del INA el 5 de septiembre de 2003 (</w:t>
      </w:r>
      <w:r>
        <w:t>expediente de prueba</w:t>
      </w:r>
      <w:r w:rsidRPr="00514304">
        <w:t>, folio 61).</w:t>
      </w:r>
    </w:p>
  </w:footnote>
  <w:footnote w:id="114">
    <w:p w14:paraId="0C704DE0" w14:textId="460BBC8F"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el Presidente de la Comisión de Presupuesto del Congreso Nacional al INA el 29 de agosto de 2002 (</w:t>
      </w:r>
      <w:r>
        <w:t>expediente de prueba</w:t>
      </w:r>
      <w:r w:rsidRPr="00514304">
        <w:t>, folio 44).</w:t>
      </w:r>
    </w:p>
  </w:footnote>
  <w:footnote w:id="115">
    <w:p w14:paraId="0C704DE1" w14:textId="4B4D8DC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Cartas elaboradas por el Ministro Director del INA de 4 de septiembre y 2 de octubre de 2002 (</w:t>
      </w:r>
      <w:r>
        <w:t>expediente de prueba</w:t>
      </w:r>
      <w:r w:rsidRPr="00514304">
        <w:t>, folios 50 y 52, respectivamente).</w:t>
      </w:r>
    </w:p>
  </w:footnote>
  <w:footnote w:id="116">
    <w:p w14:paraId="0C704DE2" w14:textId="7B8EA138"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la OFRANEH al Congreso Nacional de fecha 1 de octubre de 2002 (</w:t>
      </w:r>
      <w:r>
        <w:t xml:space="preserve">expediente de prueba, </w:t>
      </w:r>
      <w:r w:rsidRPr="00514304">
        <w:t>folios 56 y 57), y Carta enviada por el Ministro Director del INA a la OFRANEH el 26 de mayo 2003 (</w:t>
      </w:r>
      <w:r>
        <w:t>expediente de prueba</w:t>
      </w:r>
      <w:r w:rsidRPr="00514304">
        <w:t>, folio 59).</w:t>
      </w:r>
    </w:p>
  </w:footnote>
  <w:footnote w:id="117">
    <w:p w14:paraId="0C704DE3" w14:textId="29CBDE6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Carta enviada por el Ministro Director del INA a la OFRANEH el 26 de mayo 2003 (</w:t>
      </w:r>
      <w:r>
        <w:t>expediente de prueba</w:t>
      </w:r>
      <w:r w:rsidRPr="00514304">
        <w:t>, folio 59).</w:t>
      </w:r>
    </w:p>
  </w:footnote>
  <w:footnote w:id="118">
    <w:p w14:paraId="0C704DE4" w14:textId="0D1FCF0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enviada por el Ministro Director del INA al Presidente del Congreso Nacional el 29 de junio 2004 (</w:t>
      </w:r>
      <w:r>
        <w:t>expediente de prueba</w:t>
      </w:r>
      <w:r w:rsidRPr="00514304">
        <w:t>, folios 1344 y 1345).</w:t>
      </w:r>
    </w:p>
  </w:footnote>
  <w:footnote w:id="119">
    <w:p w14:paraId="0C704DE5" w14:textId="498344B5" w:rsidR="006B2C5D" w:rsidRDefault="006B2C5D" w:rsidP="00B15331">
      <w:pPr>
        <w:pStyle w:val="FootnoteText"/>
      </w:pPr>
      <w:r w:rsidRPr="00514304">
        <w:rPr>
          <w:rStyle w:val="FootnoteReference"/>
          <w:sz w:val="16"/>
        </w:rPr>
        <w:footnoteRef/>
      </w:r>
      <w:r w:rsidRPr="00514304">
        <w:t xml:space="preserve"> </w:t>
      </w:r>
      <w:r w:rsidRPr="00514304">
        <w:tab/>
        <w:t xml:space="preserve">El 28 de septiembre de 2006 se adoptó el Acta de Entendimiento de 2006 en donde participaron representantes de la OFRANEH, de diversas Comunidades Garífuna, entre ellas Punta Piedra, y representantes del gobierno. En dicha acta se llegaron a diversos acuerdos a efectos de que se adoptara la partida presupuestaria para el pago de las indemnizaciones y mejoras a los pobladores de Río Miel. </w:t>
      </w:r>
      <w:r w:rsidRPr="00514304">
        <w:rPr>
          <w:i/>
        </w:rPr>
        <w:t>Cfr</w:t>
      </w:r>
      <w:r w:rsidRPr="00514304">
        <w:t xml:space="preserve">. Acta de Entendimiento </w:t>
      </w:r>
      <w:r w:rsidRPr="00514304">
        <w:rPr>
          <w:lang w:val="es-MX"/>
        </w:rPr>
        <w:t>entre la Organización Fraternal Negra Hondureña (OFRANEH) y Autoridades del Gobierno de la República de 28 se septiembre de 2006 (</w:t>
      </w:r>
      <w:r>
        <w:t>expediente de prueba</w:t>
      </w:r>
      <w:r w:rsidRPr="00514304">
        <w:t>, folios 120, 123 y 124).</w:t>
      </w:r>
    </w:p>
  </w:footnote>
  <w:footnote w:id="120">
    <w:p w14:paraId="0C704DE6" w14:textId="4BEFC0B3" w:rsidR="006B2C5D" w:rsidRPr="00514304" w:rsidRDefault="006B2C5D" w:rsidP="00E04121">
      <w:pPr>
        <w:tabs>
          <w:tab w:val="left" w:pos="567"/>
        </w:tabs>
        <w:jc w:val="both"/>
        <w:rPr>
          <w:rFonts w:ascii="Verdana" w:hAnsi="Verdana"/>
          <w:sz w:val="16"/>
          <w:szCs w:val="16"/>
          <w:lang w:val="es-MX"/>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t xml:space="preserve">En este sentido los pobladores de Río Miel señalaron que </w:t>
      </w:r>
      <w:r w:rsidRPr="00514304">
        <w:rPr>
          <w:rFonts w:ascii="Verdana" w:hAnsi="Verdana"/>
          <w:sz w:val="16"/>
          <w:szCs w:val="16"/>
          <w:lang w:val="es-MX"/>
        </w:rPr>
        <w:t xml:space="preserve">“[se oponían] rotundamente a aceptarlo por considerarlo como un abuso de autoridad, ya que no [eran] invasores (…) en gobiernos anteriores se [les] violentaron [sus] derechos </w:t>
      </w:r>
      <w:proofErr w:type="spellStart"/>
      <w:proofErr w:type="gramStart"/>
      <w:r w:rsidRPr="00514304">
        <w:rPr>
          <w:rFonts w:ascii="Verdana" w:hAnsi="Verdana"/>
          <w:sz w:val="16"/>
          <w:szCs w:val="16"/>
          <w:lang w:val="es-MX"/>
        </w:rPr>
        <w:t>englobándo</w:t>
      </w:r>
      <w:proofErr w:type="spellEnd"/>
      <w:r w:rsidRPr="00514304">
        <w:rPr>
          <w:rFonts w:ascii="Verdana" w:hAnsi="Verdana"/>
          <w:sz w:val="16"/>
          <w:szCs w:val="16"/>
          <w:lang w:val="es-MX"/>
        </w:rPr>
        <w:t>[</w:t>
      </w:r>
      <w:proofErr w:type="gramEnd"/>
      <w:r w:rsidRPr="00514304">
        <w:rPr>
          <w:rFonts w:ascii="Verdana" w:hAnsi="Verdana"/>
          <w:sz w:val="16"/>
          <w:szCs w:val="16"/>
          <w:lang w:val="es-MX"/>
        </w:rPr>
        <w:t xml:space="preserve">los] en una ampliación otorgada en el año 1999 a favor de la comunidad de Punta Piedra cuando [su] comunidad ya estaba asentada en es[as] tierras y reconocida por la Corporación Municipal de </w:t>
      </w:r>
      <w:proofErr w:type="spellStart"/>
      <w:r w:rsidRPr="00514304">
        <w:rPr>
          <w:rFonts w:ascii="Verdana" w:hAnsi="Verdana"/>
          <w:sz w:val="16"/>
          <w:szCs w:val="16"/>
          <w:lang w:val="es-MX"/>
        </w:rPr>
        <w:t>Iriona</w:t>
      </w:r>
      <w:proofErr w:type="spellEnd"/>
      <w:r w:rsidRPr="00514304">
        <w:rPr>
          <w:rFonts w:ascii="Verdana" w:hAnsi="Verdana"/>
          <w:sz w:val="16"/>
          <w:szCs w:val="16"/>
          <w:lang w:val="es-MX"/>
        </w:rPr>
        <w:t xml:space="preserve"> desde mucho antes. Ellos otorgaron un título sin hacer el debido estudio de campo”. </w:t>
      </w:r>
      <w:r w:rsidRPr="00514304">
        <w:rPr>
          <w:rFonts w:ascii="Verdana" w:hAnsi="Verdana"/>
          <w:i/>
          <w:sz w:val="16"/>
          <w:szCs w:val="16"/>
          <w:lang w:val="es-MX"/>
        </w:rPr>
        <w:t>Cfr.</w:t>
      </w:r>
      <w:r w:rsidRPr="00514304">
        <w:rPr>
          <w:rFonts w:ascii="Verdana" w:hAnsi="Verdana"/>
          <w:sz w:val="16"/>
          <w:szCs w:val="16"/>
          <w:lang w:val="es-MX"/>
        </w:rPr>
        <w:t xml:space="preserve"> Memorándum presentado por la sección de Investigaciones Agronómicas y Avalúos al Ministro Director del INA el 5 de diciembre de 2006 (</w:t>
      </w:r>
      <w:r>
        <w:rPr>
          <w:rFonts w:ascii="Verdana" w:hAnsi="Verdana"/>
          <w:sz w:val="16"/>
          <w:szCs w:val="16"/>
          <w:lang w:val="es-MX"/>
        </w:rPr>
        <w:t>expediente de prueba</w:t>
      </w:r>
      <w:r w:rsidRPr="00514304">
        <w:rPr>
          <w:rFonts w:ascii="Verdana" w:hAnsi="Verdana"/>
          <w:sz w:val="16"/>
          <w:szCs w:val="16"/>
          <w:lang w:val="es-MX"/>
        </w:rPr>
        <w:t>, folios 63 a 65).</w:t>
      </w:r>
    </w:p>
  </w:footnote>
  <w:footnote w:id="121">
    <w:p w14:paraId="0C704DE7" w14:textId="47C070EA"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 xml:space="preserve">Cfr. </w:t>
      </w:r>
      <w:r w:rsidRPr="00514304">
        <w:t>Ayuda memoria de 22 de enero de 2007 sobre seguimiento de compromisos adoptados mediante acta de entendimiento de 28 de septiembre de 2006, y Acta especial de 8 de junio de 2007 sobre seguimiento de compromisos adoptados mediante acta de entendimiento de 28 de septiembre de 2006 (</w:t>
      </w:r>
      <w:r>
        <w:t>expediente de prueba</w:t>
      </w:r>
      <w:r w:rsidRPr="00514304">
        <w:t>, folios 74 a 83).</w:t>
      </w:r>
    </w:p>
  </w:footnote>
  <w:footnote w:id="122">
    <w:p w14:paraId="0C704DE8" w14:textId="0EC64347" w:rsidR="006B2C5D" w:rsidRPr="00514304" w:rsidRDefault="006B2C5D" w:rsidP="00B15331">
      <w:pPr>
        <w:pStyle w:val="FootnoteText"/>
      </w:pPr>
      <w:r w:rsidRPr="00514304">
        <w:rPr>
          <w:rStyle w:val="FootnoteReference"/>
          <w:sz w:val="16"/>
        </w:rPr>
        <w:footnoteRef/>
      </w:r>
      <w:r w:rsidRPr="00514304">
        <w:t xml:space="preserve"> </w:t>
      </w:r>
      <w:r w:rsidRPr="00514304">
        <w:tab/>
        <w:t>Dicha Comisión Interinstitucional estuvo compuesta por representantes del INA, de la Secretaría de Recursos Naturales y Ambiente (SERNA), de la Procuraduría General de la República, de la Secretaría de Gobernación, del Ministerio Público, y de la OFRANEH</w:t>
      </w:r>
      <w:r>
        <w:t xml:space="preserve"> (expediente de prueba, folios 67 a 69).</w:t>
      </w:r>
    </w:p>
  </w:footnote>
  <w:footnote w:id="123">
    <w:p w14:paraId="0C704DE9" w14:textId="60E7EFDD"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especial de 14 de marzo de 2007 (</w:t>
      </w:r>
      <w:r>
        <w:t>expediente de prueba</w:t>
      </w:r>
      <w:r w:rsidRPr="00514304">
        <w:t xml:space="preserve">, folio 71). A dicha reunión no asistieron representantes de la OFRANEH o de la Comunidad </w:t>
      </w:r>
      <w:r>
        <w:t xml:space="preserve">Garífuna </w:t>
      </w:r>
      <w:r w:rsidRPr="00514304">
        <w:t>de Punta Piedra.</w:t>
      </w:r>
    </w:p>
  </w:footnote>
  <w:footnote w:id="124">
    <w:p w14:paraId="0C704DEA" w14:textId="77777777" w:rsidR="006B2C5D" w:rsidRDefault="006B2C5D" w:rsidP="00B15331">
      <w:pPr>
        <w:pStyle w:val="FootnoteText"/>
      </w:pPr>
      <w:r w:rsidRPr="00514304">
        <w:rPr>
          <w:rStyle w:val="FootnoteReference"/>
          <w:sz w:val="16"/>
        </w:rPr>
        <w:footnoteRef/>
      </w:r>
      <w:r w:rsidRPr="00514304">
        <w:t xml:space="preserve"> </w:t>
      </w:r>
      <w:r w:rsidRPr="00514304">
        <w:tab/>
        <w:t xml:space="preserve">Entre ellos representantes de la Secretaría de Relaciones Exteriores, de la Secretaría de Seguridad, de la Alcaldía de </w:t>
      </w:r>
      <w:proofErr w:type="spellStart"/>
      <w:r w:rsidRPr="00514304">
        <w:t>Iriona</w:t>
      </w:r>
      <w:proofErr w:type="spellEnd"/>
      <w:r w:rsidRPr="00514304">
        <w:t xml:space="preserve"> Puerto, y de la Corte Suprema de Justicia.</w:t>
      </w:r>
    </w:p>
  </w:footnote>
  <w:footnote w:id="125">
    <w:p w14:paraId="0C704DEB" w14:textId="3CE9E37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especial de 20 de abril de 2007 (</w:t>
      </w:r>
      <w:r>
        <w:t>expediente de prueba</w:t>
      </w:r>
      <w:r w:rsidRPr="00514304">
        <w:t>, folio 87).</w:t>
      </w:r>
    </w:p>
  </w:footnote>
  <w:footnote w:id="126">
    <w:p w14:paraId="0C704DEC" w14:textId="73C89243"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DE-099-2007 de 7 de junio de 2007 (</w:t>
      </w:r>
      <w:r>
        <w:t>expediente de prueba</w:t>
      </w:r>
      <w:r w:rsidRPr="00514304">
        <w:t>, folio 90).</w:t>
      </w:r>
    </w:p>
  </w:footnote>
  <w:footnote w:id="127">
    <w:p w14:paraId="0C704DED" w14:textId="0C8E5219"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Avalúo dirigido por el Investigador Agronómico al Ministro Director del INA el 23 de julio de 2007</w:t>
      </w:r>
      <w:r>
        <w:t xml:space="preserve"> </w:t>
      </w:r>
      <w:r w:rsidRPr="00514304">
        <w:t>(</w:t>
      </w:r>
      <w:r>
        <w:t>expediente de prueba</w:t>
      </w:r>
      <w:r w:rsidRPr="00514304">
        <w:t>, folios 93 a 102).</w:t>
      </w:r>
    </w:p>
  </w:footnote>
  <w:footnote w:id="128">
    <w:p w14:paraId="0C704DEE" w14:textId="4D168F65" w:rsidR="006B2C5D" w:rsidRDefault="006B2C5D" w:rsidP="00B15331">
      <w:pPr>
        <w:pStyle w:val="FootnoteText"/>
      </w:pPr>
      <w:r w:rsidRPr="00514304">
        <w:rPr>
          <w:rStyle w:val="FootnoteReference"/>
          <w:sz w:val="16"/>
        </w:rPr>
        <w:footnoteRef/>
      </w:r>
      <w:r w:rsidRPr="00514304">
        <w:t xml:space="preserve"> </w:t>
      </w:r>
      <w:r w:rsidRPr="00514304">
        <w:tab/>
        <w:t>Equivalente a USD</w:t>
      </w:r>
      <w:r w:rsidRPr="00B32821">
        <w:t>$</w:t>
      </w:r>
      <w:r>
        <w:t xml:space="preserve"> </w:t>
      </w:r>
      <w:r w:rsidRPr="00A0324F">
        <w:t>786,316.86</w:t>
      </w:r>
      <w:r>
        <w:t xml:space="preserve"> </w:t>
      </w:r>
      <w:r w:rsidRPr="00514304">
        <w:t xml:space="preserve">aproximadamente, conforme al cambio actualizado a </w:t>
      </w:r>
      <w:r>
        <w:t>noviembre</w:t>
      </w:r>
      <w:r w:rsidRPr="00514304">
        <w:t xml:space="preserve"> de 2015.</w:t>
      </w:r>
    </w:p>
  </w:footnote>
  <w:footnote w:id="129">
    <w:p w14:paraId="0C704DEF" w14:textId="7587EED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Avalúo dirigido por el Investigador Agronómico al Ministro Director del INA el 23 de julio de 2007 (</w:t>
      </w:r>
      <w:r>
        <w:t>expediente de prueba</w:t>
      </w:r>
      <w:r w:rsidRPr="00514304">
        <w:t>, folios 93 y 94).</w:t>
      </w:r>
    </w:p>
  </w:footnote>
  <w:footnote w:id="130">
    <w:p w14:paraId="0C704DF0" w14:textId="7AE3273D"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DE-255-2007 dirigido por el Ministro Director del INA a la Secretaría de Estado en el Despacho de Finanzas de 19 de diciembre de 2007 (</w:t>
      </w:r>
      <w:r>
        <w:t>expediente de prueba</w:t>
      </w:r>
      <w:r w:rsidRPr="00514304">
        <w:t>, folio 1336).</w:t>
      </w:r>
    </w:p>
  </w:footnote>
  <w:footnote w:id="131">
    <w:p w14:paraId="0C704DF1" w14:textId="77654DB6"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DE-42-2013 dirigido por el Ministro Director del INA a la Secretaría de Estado en el Despacho de Finanzas de 16 de mayo de 2013 (</w:t>
      </w:r>
      <w:r>
        <w:t>expediente de prueba</w:t>
      </w:r>
      <w:r w:rsidRPr="00514304">
        <w:t>, folios 1342 y 1343).</w:t>
      </w:r>
    </w:p>
  </w:footnote>
  <w:footnote w:id="132">
    <w:p w14:paraId="0C704DF2" w14:textId="6D504C3E"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070-DGP-ID dirigido por el S</w:t>
      </w:r>
      <w:r>
        <w:t>ubs</w:t>
      </w:r>
      <w:r w:rsidRPr="00514304">
        <w:t xml:space="preserve">ecretario de Estado en el Despacho de Finanzas </w:t>
      </w:r>
      <w:r>
        <w:t>y Presupuesto</w:t>
      </w:r>
      <w:r w:rsidRPr="00514304">
        <w:t xml:space="preserve"> al Ministro Director del INA el 7 de junio de 2013 (</w:t>
      </w:r>
      <w:r>
        <w:t>expediente de prueba</w:t>
      </w:r>
      <w:r w:rsidRPr="00514304">
        <w:t>, folio 1339).</w:t>
      </w:r>
    </w:p>
  </w:footnote>
  <w:footnote w:id="133">
    <w:p w14:paraId="0C704DF3" w14:textId="3C89D5B8"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Oficios No. DE-058-2013 de 17 de junio de 2013 y </w:t>
      </w:r>
      <w:r>
        <w:t xml:space="preserve">No. </w:t>
      </w:r>
      <w:r w:rsidRPr="00514304">
        <w:t>DE-088-2013 de 9 de septiembre de 2013 dirigidos por el Ministro Director del INA a la Secretaría de Estado en el Despacho de Finanzas (</w:t>
      </w:r>
      <w:r>
        <w:t>expediente de prueba</w:t>
      </w:r>
      <w:r w:rsidRPr="00514304">
        <w:t>, folios 1337 y 1338, respectivamente).</w:t>
      </w:r>
    </w:p>
  </w:footnote>
  <w:footnote w:id="134">
    <w:p w14:paraId="0C704DF4" w14:textId="0ED8BC9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Oficios No. 097-DGP-ID de 12 de septiembre de 2013 y No. 158-DGP-ID de 10 de octubre de 2013 dirigidos por el Secretario de Estado en el Despacho de Finanzas al Ministro Director del INA (</w:t>
      </w:r>
      <w:r>
        <w:t>expediente de prueba</w:t>
      </w:r>
      <w:r w:rsidRPr="00514304">
        <w:t>, folios 1340 y 1341, respectivamente).</w:t>
      </w:r>
    </w:p>
  </w:footnote>
  <w:footnote w:id="135">
    <w:p w14:paraId="0C704DF5" w14:textId="7777777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w:t>
      </w:r>
      <w:r>
        <w:t>“</w:t>
      </w:r>
      <w:r w:rsidRPr="00514304">
        <w:t>Declaración Anual Consolidada DAC-2014”, elaborada por la Corporación Minera CAXINA S.A., de 27 de enero de 2015 (expediente de fondo, folio 756</w:t>
      </w:r>
      <w:r>
        <w:t xml:space="preserve"> y 757</w:t>
      </w:r>
      <w:r w:rsidRPr="00514304">
        <w:t>).</w:t>
      </w:r>
    </w:p>
  </w:footnote>
  <w:footnote w:id="136">
    <w:p w14:paraId="0C704DF6" w14:textId="25D89833" w:rsidR="006B2C5D" w:rsidRPr="00514304" w:rsidRDefault="006B2C5D" w:rsidP="00E04121">
      <w:pPr>
        <w:pStyle w:val="Default"/>
        <w:tabs>
          <w:tab w:val="left" w:pos="567"/>
        </w:tabs>
        <w:jc w:val="both"/>
        <w:rPr>
          <w:sz w:val="16"/>
          <w:szCs w:val="16"/>
          <w:lang w:val="es-CR"/>
        </w:rPr>
      </w:pPr>
      <w:r w:rsidRPr="00514304">
        <w:rPr>
          <w:rStyle w:val="FootnoteReference"/>
          <w:sz w:val="16"/>
          <w:szCs w:val="16"/>
        </w:rPr>
        <w:footnoteRef/>
      </w:r>
      <w:r w:rsidRPr="00514304">
        <w:rPr>
          <w:sz w:val="16"/>
          <w:szCs w:val="16"/>
          <w:lang w:val="es-CR"/>
        </w:rPr>
        <w:t xml:space="preserve"> </w:t>
      </w:r>
      <w:r w:rsidRPr="00514304">
        <w:rPr>
          <w:sz w:val="16"/>
          <w:szCs w:val="16"/>
          <w:lang w:val="es-CR"/>
        </w:rPr>
        <w:tab/>
      </w:r>
      <w:r w:rsidRPr="00514304">
        <w:rPr>
          <w:i/>
          <w:sz w:val="16"/>
          <w:szCs w:val="16"/>
          <w:lang w:val="es-CR"/>
        </w:rPr>
        <w:t>Cfr</w:t>
      </w:r>
      <w:r w:rsidRPr="00514304">
        <w:rPr>
          <w:sz w:val="16"/>
          <w:szCs w:val="16"/>
          <w:lang w:val="es-CR"/>
        </w:rPr>
        <w:t xml:space="preserve">. </w:t>
      </w:r>
      <w:r w:rsidRPr="00514304">
        <w:rPr>
          <w:bCs/>
          <w:iCs/>
          <w:color w:val="auto"/>
          <w:sz w:val="16"/>
          <w:szCs w:val="16"/>
          <w:lang w:val="es-CR"/>
        </w:rPr>
        <w:t xml:space="preserve">Mapa del territorio titulado a la </w:t>
      </w:r>
      <w:r w:rsidRPr="00B32821">
        <w:rPr>
          <w:bCs/>
          <w:iCs/>
          <w:color w:val="auto"/>
          <w:sz w:val="16"/>
          <w:szCs w:val="16"/>
          <w:lang w:val="es-CR"/>
        </w:rPr>
        <w:t xml:space="preserve">Comunidad Garífuna de Punta Piedra, entregado durante la diligencia </w:t>
      </w:r>
      <w:r w:rsidRPr="00B32821">
        <w:rPr>
          <w:bCs/>
          <w:i/>
          <w:iCs/>
          <w:color w:val="auto"/>
          <w:sz w:val="16"/>
          <w:szCs w:val="16"/>
          <w:lang w:val="es-CR"/>
        </w:rPr>
        <w:t>in situ</w:t>
      </w:r>
      <w:r w:rsidRPr="00B32821">
        <w:rPr>
          <w:bCs/>
          <w:iCs/>
          <w:color w:val="auto"/>
          <w:sz w:val="16"/>
          <w:szCs w:val="16"/>
          <w:lang w:val="es-CR"/>
        </w:rPr>
        <w:t xml:space="preserve"> de 25 de agosto de 2015 (expediente de fondo, folio </w:t>
      </w:r>
      <w:r w:rsidRPr="00A0324F">
        <w:rPr>
          <w:bCs/>
          <w:iCs/>
          <w:color w:val="auto"/>
          <w:sz w:val="16"/>
          <w:szCs w:val="16"/>
          <w:lang w:val="es-CR"/>
        </w:rPr>
        <w:t>1126</w:t>
      </w:r>
      <w:r w:rsidRPr="00B32821">
        <w:rPr>
          <w:bCs/>
          <w:iCs/>
          <w:color w:val="auto"/>
          <w:sz w:val="16"/>
          <w:szCs w:val="16"/>
          <w:lang w:val="es-CR"/>
        </w:rPr>
        <w:t>).</w:t>
      </w:r>
    </w:p>
  </w:footnote>
  <w:footnote w:id="137">
    <w:p w14:paraId="0C704DF7" w14:textId="77777777"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Anual Consolidada DAC-2014”, elaborada por la Corporación Minera CAXINA S.A., de 27 de enero de 2015 (expediente de fondo, folio 760).</w:t>
      </w:r>
    </w:p>
  </w:footnote>
  <w:footnote w:id="138">
    <w:p w14:paraId="0C704DF8" w14:textId="77777777" w:rsidR="006B2C5D" w:rsidRPr="00514304" w:rsidRDefault="006B2C5D" w:rsidP="00B15331">
      <w:pPr>
        <w:pStyle w:val="FootnoteText"/>
      </w:pPr>
      <w:r w:rsidRPr="00514304">
        <w:rPr>
          <w:rStyle w:val="FootnoteReference"/>
          <w:sz w:val="16"/>
        </w:rPr>
        <w:footnoteRef/>
      </w:r>
      <w:r w:rsidRPr="00514304">
        <w:t xml:space="preserve"> </w:t>
      </w:r>
      <w:r w:rsidRPr="00514304">
        <w:tab/>
      </w:r>
      <w:r w:rsidRPr="00A0324F">
        <w:rPr>
          <w:i/>
        </w:rPr>
        <w:t>Cfr.</w:t>
      </w:r>
      <w:r w:rsidRPr="00514304">
        <w:t xml:space="preserve"> Video de la diligencia </w:t>
      </w:r>
      <w:r w:rsidRPr="00514304">
        <w:rPr>
          <w:i/>
        </w:rPr>
        <w:t>in situ</w:t>
      </w:r>
      <w:r w:rsidRPr="00514304">
        <w:t xml:space="preserve"> de 25 de agosto de 2015, segmento 3ro, 14:00 min.</w:t>
      </w:r>
    </w:p>
  </w:footnote>
  <w:footnote w:id="139">
    <w:p w14:paraId="0C704DF9" w14:textId="77777777" w:rsidR="006B2C5D" w:rsidRDefault="006B2C5D" w:rsidP="00B15331">
      <w:pPr>
        <w:pStyle w:val="FootnoteText"/>
      </w:pPr>
      <w:r w:rsidRPr="00514304">
        <w:rPr>
          <w:rStyle w:val="FootnoteReference"/>
          <w:sz w:val="16"/>
        </w:rPr>
        <w:footnoteRef/>
      </w:r>
      <w:r w:rsidRPr="00514304">
        <w:t xml:space="preserve"> </w:t>
      </w:r>
      <w:r w:rsidRPr="00514304">
        <w:tab/>
      </w:r>
      <w:r w:rsidRPr="00A0324F">
        <w:rPr>
          <w:i/>
        </w:rPr>
        <w:t>Cfr.</w:t>
      </w:r>
      <w:r w:rsidRPr="00514304">
        <w:t xml:space="preserve"> Video de la diligencia </w:t>
      </w:r>
      <w:r w:rsidRPr="00514304">
        <w:rPr>
          <w:i/>
        </w:rPr>
        <w:t>in situ</w:t>
      </w:r>
      <w:r w:rsidRPr="00514304">
        <w:t xml:space="preserve"> de 25 de agosto de 2015, segmento 4to, 01:00 min.</w:t>
      </w:r>
    </w:p>
  </w:footnote>
  <w:footnote w:id="140">
    <w:p w14:paraId="0C704DFA" w14:textId="03B24D90" w:rsidR="006B2C5D" w:rsidRPr="00514304" w:rsidRDefault="006B2C5D" w:rsidP="00E04121">
      <w:pPr>
        <w:pStyle w:val="ListParagraph"/>
        <w:tabs>
          <w:tab w:val="left" w:pos="567"/>
        </w:tabs>
        <w:ind w:left="0"/>
        <w:jc w:val="both"/>
        <w:rPr>
          <w:rFonts w:ascii="Verdana" w:hAnsi="Verdana"/>
          <w:sz w:val="16"/>
          <w:szCs w:val="16"/>
          <w:highlight w:val="yellow"/>
          <w:lang w:val="es-CR"/>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sz w:val="16"/>
          <w:szCs w:val="16"/>
          <w:lang w:val="es-CR"/>
        </w:rPr>
        <w:t>Al respecto, durante la audiencia pública del caso, la señora Lidia Palacios, miembro de la Comunidad Garífuna de Punta Piedra, declaró que“[las amenazas</w:t>
      </w:r>
      <w:r w:rsidRPr="00514304">
        <w:rPr>
          <w:rFonts w:ascii="Verdana" w:hAnsi="Verdana"/>
          <w:sz w:val="16"/>
          <w:szCs w:val="16"/>
        </w:rPr>
        <w:t xml:space="preserve"> vinieron] de parte de los invasores, las amenazas de muerte y las amenazas constantes, es de parte de los invasores, los foráneos. Hay varios compañeros y personas que han sido amenazados en la comunidad. Nuestros hijos también, pues de parte de ellos mantienen armas, disparan y nos mantienen en zozobra […]” “hubieron varias [amenazas, las cuales eran] permanentes, porque pasaban disparando con armas en los lugares, en los predios para atemorizarnos, por eso, sentimos amenazas, porque eso no lo dicen con la boca, pero sí lo dicen con las armas y para nosotros eso es amenazas de muerte directa, por eso, lo decimos y también, por eso, sentimos el temor, por eso, ya no podíamos utilizar las tierras que antes utilizábamos”.</w:t>
      </w:r>
      <w:r w:rsidRPr="00514304">
        <w:rPr>
          <w:rFonts w:ascii="Verdana" w:hAnsi="Verdana"/>
          <w:i/>
          <w:sz w:val="16"/>
          <w:szCs w:val="16"/>
        </w:rPr>
        <w:t xml:space="preserve"> Cfr. </w:t>
      </w:r>
      <w:r w:rsidRPr="00514304">
        <w:rPr>
          <w:rFonts w:ascii="Verdana" w:hAnsi="Verdana"/>
          <w:sz w:val="16"/>
          <w:szCs w:val="16"/>
        </w:rPr>
        <w:t xml:space="preserve">Declaración de Lidia Palacios durante la audiencia pública celebrada ante la Corte Interamericana el 2 de septiembre de 2014. Asimismo, </w:t>
      </w:r>
      <w:r w:rsidRPr="00514304">
        <w:rPr>
          <w:rFonts w:ascii="Verdana" w:hAnsi="Verdana"/>
          <w:sz w:val="16"/>
          <w:szCs w:val="16"/>
          <w:lang w:val="es-CR"/>
        </w:rPr>
        <w:t>el señor Doroteo Thomas Rodríguez, miembro de la Comunidad Garífuna de Punta Piedra, declaró durante la audiencia pública, que “</w:t>
      </w:r>
      <w:r w:rsidRPr="00514304">
        <w:rPr>
          <w:rFonts w:ascii="Verdana" w:hAnsi="Verdana"/>
          <w:sz w:val="16"/>
          <w:szCs w:val="16"/>
        </w:rPr>
        <w:t xml:space="preserve">a raíz de esa invasión, se ha ido perdiendo la armonía que tenía la comunidad en aquel entonces, porque antes de la invasión vivíamos pacíficamente, no había ningún tipo de problema. Pero, a la llegada de esa invasión, ya la comunidad fue sintiendo como miedo porque hubo y hay amenazas, intimidaciones […]”. </w:t>
      </w:r>
      <w:r w:rsidRPr="00514304">
        <w:rPr>
          <w:rFonts w:ascii="Verdana" w:hAnsi="Verdana"/>
          <w:i/>
          <w:sz w:val="16"/>
          <w:szCs w:val="16"/>
        </w:rPr>
        <w:t>Cfr</w:t>
      </w:r>
      <w:r w:rsidRPr="00514304">
        <w:rPr>
          <w:rFonts w:ascii="Verdana" w:hAnsi="Verdana"/>
          <w:sz w:val="16"/>
          <w:szCs w:val="16"/>
        </w:rPr>
        <w:t>. Declaración de Doroteo Thomas Rodríguez durante la audiencia pública celebrada ante la Corte Interamericana el 2 de septiembre de 2014</w:t>
      </w:r>
      <w:r>
        <w:rPr>
          <w:rFonts w:ascii="Verdana" w:hAnsi="Verdana"/>
          <w:sz w:val="16"/>
          <w:szCs w:val="16"/>
        </w:rPr>
        <w:t>.</w:t>
      </w:r>
      <w:r w:rsidRPr="00514304">
        <w:rPr>
          <w:rFonts w:ascii="Verdana" w:hAnsi="Verdana"/>
          <w:sz w:val="16"/>
          <w:szCs w:val="16"/>
        </w:rPr>
        <w:t xml:space="preserve"> </w:t>
      </w:r>
      <w:r w:rsidRPr="00514304">
        <w:rPr>
          <w:rFonts w:ascii="Verdana" w:hAnsi="Verdana"/>
          <w:sz w:val="16"/>
          <w:szCs w:val="16"/>
          <w:lang w:val="es-CR"/>
        </w:rPr>
        <w:t xml:space="preserve">De igual manera, distintos </w:t>
      </w:r>
      <w:r w:rsidRPr="00514304">
        <w:rPr>
          <w:rFonts w:ascii="Verdana" w:hAnsi="Verdana"/>
          <w:sz w:val="16"/>
          <w:szCs w:val="16"/>
        </w:rPr>
        <w:t xml:space="preserve">miembros de la Comunidad Garífuna de Punta Piedra </w:t>
      </w:r>
      <w:r w:rsidRPr="00514304">
        <w:rPr>
          <w:rFonts w:ascii="Verdana" w:hAnsi="Verdana"/>
          <w:sz w:val="16"/>
          <w:szCs w:val="16"/>
          <w:lang w:val="es-CR"/>
        </w:rPr>
        <w:t xml:space="preserve">declararon mediante </w:t>
      </w:r>
      <w:r w:rsidRPr="00514304">
        <w:rPr>
          <w:rFonts w:ascii="Verdana" w:hAnsi="Verdana"/>
          <w:i/>
          <w:sz w:val="16"/>
          <w:szCs w:val="16"/>
          <w:lang w:val="es-CR"/>
        </w:rPr>
        <w:t>affidávit</w:t>
      </w:r>
      <w:r w:rsidRPr="00514304">
        <w:rPr>
          <w:rFonts w:ascii="Verdana" w:hAnsi="Verdana"/>
          <w:sz w:val="16"/>
          <w:szCs w:val="16"/>
          <w:lang w:val="es-CR"/>
        </w:rPr>
        <w:t xml:space="preserve"> que seguían recibiendo </w:t>
      </w:r>
      <w:r w:rsidRPr="00514304">
        <w:rPr>
          <w:rFonts w:ascii="Verdana" w:hAnsi="Verdana"/>
          <w:sz w:val="16"/>
          <w:szCs w:val="16"/>
        </w:rPr>
        <w:t xml:space="preserve">amenazas por parte de los terceros </w:t>
      </w:r>
      <w:r w:rsidRPr="00514304">
        <w:rPr>
          <w:rFonts w:ascii="Verdana" w:hAnsi="Verdana"/>
          <w:sz w:val="16"/>
          <w:szCs w:val="16"/>
          <w:lang w:val="es-CR"/>
        </w:rPr>
        <w:t xml:space="preserve">ocupantes, </w:t>
      </w:r>
      <w:r w:rsidRPr="00514304">
        <w:rPr>
          <w:rFonts w:ascii="Verdana" w:hAnsi="Verdana"/>
          <w:sz w:val="16"/>
          <w:szCs w:val="16"/>
        </w:rPr>
        <w:t xml:space="preserve">quienes </w:t>
      </w:r>
      <w:r w:rsidRPr="00514304">
        <w:rPr>
          <w:rFonts w:ascii="Verdana" w:hAnsi="Verdana"/>
          <w:sz w:val="16"/>
          <w:szCs w:val="16"/>
          <w:lang w:val="es-CR"/>
        </w:rPr>
        <w:t>los hostigaban y los mantenían en un estado constante de temor al estar siempre armados.</w:t>
      </w:r>
      <w:r w:rsidRPr="00514304">
        <w:rPr>
          <w:rFonts w:ascii="Verdana" w:hAnsi="Verdana"/>
          <w:sz w:val="16"/>
          <w:szCs w:val="16"/>
        </w:rPr>
        <w:t xml:space="preserve"> </w:t>
      </w:r>
      <w:r w:rsidRPr="00514304">
        <w:rPr>
          <w:rFonts w:ascii="Verdana" w:hAnsi="Verdana"/>
          <w:i/>
          <w:iCs/>
          <w:sz w:val="16"/>
          <w:szCs w:val="16"/>
        </w:rPr>
        <w:t xml:space="preserve">Cfr. </w:t>
      </w:r>
      <w:r w:rsidRPr="00514304">
        <w:rPr>
          <w:rFonts w:ascii="Verdana" w:hAnsi="Verdana"/>
          <w:sz w:val="16"/>
          <w:szCs w:val="16"/>
          <w:lang w:val="es-CR"/>
        </w:rPr>
        <w:t>Declaraciones rendidas</w:t>
      </w:r>
      <w:r w:rsidRPr="00514304">
        <w:rPr>
          <w:rFonts w:ascii="Verdana" w:hAnsi="Verdana"/>
          <w:sz w:val="16"/>
          <w:szCs w:val="16"/>
        </w:rPr>
        <w:t xml:space="preserve"> ante fedatario público </w:t>
      </w:r>
      <w:r w:rsidRPr="00514304">
        <w:rPr>
          <w:rFonts w:ascii="Verdana" w:hAnsi="Verdana"/>
          <w:sz w:val="16"/>
          <w:szCs w:val="16"/>
          <w:lang w:val="es-CR"/>
        </w:rPr>
        <w:t>(</w:t>
      </w:r>
      <w:r w:rsidRPr="00514304">
        <w:rPr>
          <w:rFonts w:ascii="Verdana" w:hAnsi="Verdana"/>
          <w:i/>
          <w:sz w:val="16"/>
          <w:szCs w:val="16"/>
          <w:lang w:val="es-CR"/>
        </w:rPr>
        <w:t>affidávit</w:t>
      </w:r>
      <w:r w:rsidRPr="00514304">
        <w:rPr>
          <w:rFonts w:ascii="Verdana" w:hAnsi="Verdana"/>
          <w:sz w:val="16"/>
          <w:szCs w:val="16"/>
          <w:lang w:val="es-CR"/>
        </w:rPr>
        <w:t xml:space="preserve">) </w:t>
      </w:r>
      <w:r w:rsidRPr="00514304">
        <w:rPr>
          <w:rFonts w:ascii="Verdana" w:hAnsi="Verdana"/>
          <w:sz w:val="16"/>
          <w:szCs w:val="16"/>
        </w:rPr>
        <w:t xml:space="preserve">por Dionisia </w:t>
      </w:r>
      <w:r w:rsidRPr="00514304">
        <w:rPr>
          <w:rFonts w:ascii="Verdana" w:hAnsi="Verdana"/>
          <w:sz w:val="16"/>
          <w:szCs w:val="16"/>
          <w:lang w:val="es-CR"/>
        </w:rPr>
        <w:t>Ávila</w:t>
      </w:r>
      <w:r w:rsidRPr="00514304">
        <w:rPr>
          <w:rFonts w:ascii="Verdana" w:hAnsi="Verdana"/>
          <w:sz w:val="16"/>
          <w:szCs w:val="16"/>
        </w:rPr>
        <w:t xml:space="preserve"> Castillo y Antonio Bernárdez Suazo el 20 de agosto de 2014</w:t>
      </w:r>
      <w:r w:rsidRPr="00514304">
        <w:rPr>
          <w:rFonts w:ascii="Verdana" w:hAnsi="Verdana"/>
          <w:sz w:val="16"/>
          <w:szCs w:val="16"/>
          <w:lang w:val="es-CR"/>
        </w:rPr>
        <w:t xml:space="preserve">; por </w:t>
      </w:r>
      <w:r w:rsidRPr="00514304">
        <w:rPr>
          <w:rFonts w:ascii="Verdana" w:hAnsi="Verdana"/>
          <w:sz w:val="16"/>
          <w:szCs w:val="16"/>
        </w:rPr>
        <w:t xml:space="preserve">Santos </w:t>
      </w:r>
      <w:r w:rsidRPr="00514304">
        <w:rPr>
          <w:rFonts w:ascii="Verdana" w:hAnsi="Verdana"/>
          <w:sz w:val="16"/>
          <w:szCs w:val="16"/>
          <w:lang w:val="es-CR"/>
        </w:rPr>
        <w:t>Ávila</w:t>
      </w:r>
      <w:r w:rsidRPr="00514304">
        <w:rPr>
          <w:rFonts w:ascii="Verdana" w:hAnsi="Verdana"/>
          <w:sz w:val="16"/>
          <w:szCs w:val="16"/>
        </w:rPr>
        <w:t xml:space="preserve"> Castillo</w:t>
      </w:r>
      <w:r w:rsidRPr="00514304">
        <w:rPr>
          <w:rFonts w:ascii="Verdana" w:hAnsi="Verdana"/>
          <w:sz w:val="16"/>
          <w:szCs w:val="16"/>
          <w:lang w:val="es-CR"/>
        </w:rPr>
        <w:t xml:space="preserve">, </w:t>
      </w:r>
      <w:r w:rsidRPr="00514304">
        <w:rPr>
          <w:rFonts w:ascii="Verdana" w:hAnsi="Verdana"/>
          <w:sz w:val="16"/>
          <w:szCs w:val="16"/>
        </w:rPr>
        <w:t>Santos Celi Suazo Castillo, Edito Suazo Ávila, y Paulino Mejía Castillo el 21 de agosto de 2014 (expediente de fondo, folio</w:t>
      </w:r>
      <w:r>
        <w:rPr>
          <w:rFonts w:ascii="Verdana" w:hAnsi="Verdana"/>
          <w:sz w:val="16"/>
          <w:szCs w:val="16"/>
        </w:rPr>
        <w:t>s</w:t>
      </w:r>
      <w:r w:rsidRPr="00514304">
        <w:rPr>
          <w:rFonts w:ascii="Verdana" w:hAnsi="Verdana"/>
          <w:sz w:val="16"/>
          <w:szCs w:val="16"/>
        </w:rPr>
        <w:t xml:space="preserve"> 465</w:t>
      </w:r>
      <w:r w:rsidRPr="00514304">
        <w:rPr>
          <w:rFonts w:ascii="Verdana" w:hAnsi="Verdana"/>
          <w:sz w:val="16"/>
          <w:szCs w:val="16"/>
          <w:lang w:val="es-CR"/>
        </w:rPr>
        <w:t xml:space="preserve">, 481, 476, </w:t>
      </w:r>
      <w:r w:rsidRPr="00514304">
        <w:rPr>
          <w:rFonts w:ascii="Verdana" w:hAnsi="Verdana"/>
          <w:sz w:val="16"/>
          <w:szCs w:val="16"/>
        </w:rPr>
        <w:t>478 a 479, 489, 494 a 495, respectivamente). Por otro lado, en un comunicado público la OFRANEH señaló que “</w:t>
      </w:r>
      <w:r>
        <w:rPr>
          <w:rFonts w:ascii="Verdana" w:hAnsi="Verdana"/>
          <w:sz w:val="16"/>
          <w:szCs w:val="16"/>
        </w:rPr>
        <w:t>[</w:t>
      </w:r>
      <w:r w:rsidRPr="00514304">
        <w:rPr>
          <w:rFonts w:ascii="Verdana" w:hAnsi="Verdana"/>
          <w:sz w:val="16"/>
          <w:szCs w:val="16"/>
        </w:rPr>
        <w:t>e</w:t>
      </w:r>
      <w:r>
        <w:rPr>
          <w:rFonts w:ascii="Verdana" w:hAnsi="Verdana"/>
          <w:sz w:val="16"/>
          <w:szCs w:val="16"/>
        </w:rPr>
        <w:t>]</w:t>
      </w:r>
      <w:proofErr w:type="spellStart"/>
      <w:r w:rsidRPr="00514304">
        <w:rPr>
          <w:rFonts w:ascii="Verdana" w:hAnsi="Verdana"/>
          <w:sz w:val="16"/>
          <w:szCs w:val="16"/>
        </w:rPr>
        <w:t>l“el</w:t>
      </w:r>
      <w:proofErr w:type="spellEnd"/>
      <w:r w:rsidRPr="00514304">
        <w:rPr>
          <w:rFonts w:ascii="Verdana" w:hAnsi="Verdana"/>
          <w:sz w:val="16"/>
          <w:szCs w:val="16"/>
        </w:rPr>
        <w:t xml:space="preserve"> conflicto se ha dilatado durante quince años, exacerbando las relaciones raciales y fomentando la violencia, sin que hasta la fecha el Estado de Honduras haya tomado las medidas pertinentes para solucionar la problemática territorial que aqueja a esa </w:t>
      </w:r>
      <w:r>
        <w:rPr>
          <w:rFonts w:ascii="Verdana" w:hAnsi="Verdana"/>
          <w:sz w:val="16"/>
          <w:szCs w:val="16"/>
        </w:rPr>
        <w:t>[C]</w:t>
      </w:r>
      <w:proofErr w:type="spellStart"/>
      <w:r w:rsidRPr="00514304">
        <w:rPr>
          <w:rFonts w:ascii="Verdana" w:hAnsi="Verdana"/>
          <w:sz w:val="16"/>
          <w:szCs w:val="16"/>
        </w:rPr>
        <w:t>omunidad</w:t>
      </w:r>
      <w:proofErr w:type="spellEnd"/>
      <w:r w:rsidRPr="00514304">
        <w:rPr>
          <w:rFonts w:ascii="Verdana" w:hAnsi="Verdana"/>
          <w:sz w:val="16"/>
          <w:szCs w:val="16"/>
        </w:rPr>
        <w:t xml:space="preserve"> </w:t>
      </w:r>
      <w:r>
        <w:rPr>
          <w:rFonts w:ascii="Verdana" w:hAnsi="Verdana"/>
          <w:sz w:val="16"/>
          <w:szCs w:val="16"/>
        </w:rPr>
        <w:t>[G]</w:t>
      </w:r>
      <w:proofErr w:type="spellStart"/>
      <w:r w:rsidRPr="00514304">
        <w:rPr>
          <w:rFonts w:ascii="Verdana" w:hAnsi="Verdana"/>
          <w:sz w:val="16"/>
          <w:szCs w:val="16"/>
        </w:rPr>
        <w:t>arífuna</w:t>
      </w:r>
      <w:proofErr w:type="spellEnd"/>
      <w:r w:rsidRPr="00514304">
        <w:rPr>
          <w:rFonts w:ascii="Verdana" w:hAnsi="Verdana"/>
          <w:sz w:val="16"/>
          <w:szCs w:val="16"/>
        </w:rPr>
        <w:t xml:space="preserve"> […]”. </w:t>
      </w:r>
      <w:r w:rsidRPr="00514304">
        <w:rPr>
          <w:rFonts w:ascii="Verdana" w:hAnsi="Verdana"/>
          <w:i/>
          <w:sz w:val="16"/>
          <w:szCs w:val="16"/>
        </w:rPr>
        <w:t>Cfr.</w:t>
      </w:r>
      <w:r w:rsidRPr="00514304">
        <w:rPr>
          <w:rFonts w:ascii="Verdana" w:hAnsi="Verdana"/>
          <w:sz w:val="16"/>
          <w:szCs w:val="16"/>
        </w:rPr>
        <w:t xml:space="preserve"> Comunicado público de OFRANEH del 12 de junio de 2007 (</w:t>
      </w:r>
      <w:r>
        <w:rPr>
          <w:rFonts w:ascii="Verdana" w:hAnsi="Verdana"/>
          <w:sz w:val="16"/>
          <w:szCs w:val="16"/>
        </w:rPr>
        <w:t>expediente de prueba</w:t>
      </w:r>
      <w:r w:rsidRPr="00514304">
        <w:rPr>
          <w:rFonts w:ascii="Verdana" w:hAnsi="Verdana"/>
          <w:sz w:val="16"/>
          <w:szCs w:val="16"/>
        </w:rPr>
        <w:t xml:space="preserve">, folio 13). </w:t>
      </w:r>
    </w:p>
  </w:footnote>
  <w:footnote w:id="141">
    <w:p w14:paraId="0C704DFB" w14:textId="04B21996"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Denuncia por usurpación No. 188-2003 interpuesta e</w:t>
      </w:r>
      <w:r>
        <w:t>l 22 de</w:t>
      </w:r>
      <w:r w:rsidRPr="00514304">
        <w:t xml:space="preserve"> mayo de 2003 (</w:t>
      </w:r>
      <w:r>
        <w:t>expediente de prueba</w:t>
      </w:r>
      <w:r w:rsidRPr="00514304">
        <w:t>, folio 2483).</w:t>
      </w:r>
    </w:p>
  </w:footnote>
  <w:footnote w:id="142">
    <w:p w14:paraId="0C704DFC" w14:textId="44A2AFB7"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Denuncia por usurpación No. 188-2003 interpuesta en mayo de 2003 (</w:t>
      </w:r>
      <w:r>
        <w:t>expediente de prueba</w:t>
      </w:r>
      <w:r w:rsidRPr="00514304">
        <w:t xml:space="preserve">, folio 2483). El Estado señaló que el área presuntamente usurpada se encontraba dentro de las 800 </w:t>
      </w:r>
      <w:r>
        <w:t>ha</w:t>
      </w:r>
      <w:r w:rsidRPr="00514304">
        <w:t xml:space="preserve"> y fracción tituladas en favor de la Comunidad de Punta Piedra en 1993 (</w:t>
      </w:r>
      <w:r>
        <w:t xml:space="preserve">expediente de prueba, </w:t>
      </w:r>
      <w:r w:rsidRPr="00514304">
        <w:t>folio 1434).</w:t>
      </w:r>
    </w:p>
  </w:footnote>
  <w:footnote w:id="143">
    <w:p w14:paraId="0C704DFD" w14:textId="303BD6EC"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Documento de la Fiscalía de Etnias de 11 de julio de 2003, y Auto de requerimiento de investigación policial de la Fiscalía Especial de Etnias de 11 de julio de 2003 (</w:t>
      </w:r>
      <w:r>
        <w:t>expediente de prueba</w:t>
      </w:r>
      <w:r w:rsidRPr="00514304">
        <w:t>, folios 2480 a 2481).</w:t>
      </w:r>
    </w:p>
  </w:footnote>
  <w:footnote w:id="144">
    <w:p w14:paraId="0C704DFE" w14:textId="02B0F49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Auto de requerimiento de investigación policial de la Fiscalía Especial de Etnias de 11 de julio de 2003 (</w:t>
      </w:r>
      <w:r>
        <w:t>expediente de prueba</w:t>
      </w:r>
      <w:r w:rsidRPr="00514304">
        <w:t>, folios 2481 a 2482).</w:t>
      </w:r>
    </w:p>
  </w:footnote>
  <w:footnote w:id="145">
    <w:p w14:paraId="0C704DFF" w14:textId="59A47BC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FEEPC-559-2014 de la Fiscalía de Etnias de 7 de junio de 2013 (</w:t>
      </w:r>
      <w:r>
        <w:t>expediente de prueba</w:t>
      </w:r>
      <w:r w:rsidRPr="00514304">
        <w:t>, folio 1622).</w:t>
      </w:r>
    </w:p>
  </w:footnote>
  <w:footnote w:id="146">
    <w:p w14:paraId="0C704E00" w14:textId="162C83B8"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levantamiento del cadáver de 11 de junio de 2007 (</w:t>
      </w:r>
      <w:r>
        <w:t>expediente de prueba</w:t>
      </w:r>
      <w:r w:rsidRPr="00514304">
        <w:t>, folio 1565).</w:t>
      </w:r>
    </w:p>
  </w:footnote>
  <w:footnote w:id="147">
    <w:p w14:paraId="0C704E01" w14:textId="1DB0D8BF" w:rsidR="006B2C5D" w:rsidRDefault="006B2C5D" w:rsidP="00B15331">
      <w:pPr>
        <w:pStyle w:val="FootnoteText"/>
      </w:pPr>
      <w:r w:rsidRPr="00514304">
        <w:rPr>
          <w:rStyle w:val="FootnoteReference"/>
          <w:sz w:val="16"/>
        </w:rPr>
        <w:footnoteRef/>
      </w:r>
      <w:r w:rsidRPr="00514304">
        <w:t xml:space="preserve"> </w:t>
      </w:r>
      <w:r w:rsidRPr="00514304">
        <w:tab/>
        <w:t xml:space="preserve">En el Acta del levantamiento del cadáver de 11 de junio de 2007 se indicó la presencia de las siguientes lesiones por proyectil de arma de fuego: un tiro en el costado derecho; un tiro en el pecho, con salida; y un tiro de “rema” en el oído derecho.  </w:t>
      </w:r>
      <w:r w:rsidRPr="00514304">
        <w:rPr>
          <w:i/>
        </w:rPr>
        <w:t>Cfr.</w:t>
      </w:r>
      <w:r w:rsidRPr="00514304">
        <w:t xml:space="preserve"> Acta del levantamiento del cadáver de 11 de junio de 2007 y Acta de defunción de 14 de julio de 2007 (</w:t>
      </w:r>
      <w:r>
        <w:t>expediente de prueba</w:t>
      </w:r>
      <w:r w:rsidRPr="00514304">
        <w:t xml:space="preserve">, folios 1559 y 1565). </w:t>
      </w:r>
      <w:r w:rsidRPr="00514304">
        <w:rPr>
          <w:i/>
        </w:rPr>
        <w:t>Cfr</w:t>
      </w:r>
      <w:r w:rsidRPr="00514304">
        <w:t>. Declaración de Marcos Bonifacio Castillo de 5 de julio de 2007 (</w:t>
      </w:r>
      <w:r>
        <w:t>expediente de prueba</w:t>
      </w:r>
      <w:r w:rsidRPr="00514304">
        <w:t xml:space="preserve">, folios 1542 a 1545). </w:t>
      </w:r>
    </w:p>
  </w:footnote>
  <w:footnote w:id="148">
    <w:p w14:paraId="0C704E02" w14:textId="2477DFD8"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Acta de defunción de 14 de julio de 2007 (</w:t>
      </w:r>
      <w:r>
        <w:t>expediente de prueba</w:t>
      </w:r>
      <w:r w:rsidRPr="00514304">
        <w:t>, folio 1559).</w:t>
      </w:r>
    </w:p>
  </w:footnote>
  <w:footnote w:id="149">
    <w:p w14:paraId="0C704E03" w14:textId="25D32DBF"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de Marcos Bonifacio Castillo de 5 de julio de 2007 (</w:t>
      </w:r>
      <w:r>
        <w:t>expediente de prueba</w:t>
      </w:r>
      <w:r w:rsidRPr="00514304">
        <w:t>, folio 1545).</w:t>
      </w:r>
    </w:p>
  </w:footnote>
  <w:footnote w:id="150">
    <w:p w14:paraId="0C704E04" w14:textId="318ECEC8"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de Marcos Bonifacio Castillo de 5 de julio de 2007 (</w:t>
      </w:r>
      <w:r>
        <w:t>expediente de prueba</w:t>
      </w:r>
      <w:r w:rsidRPr="00514304">
        <w:t>, folio 1546).</w:t>
      </w:r>
    </w:p>
  </w:footnote>
  <w:footnote w:id="151">
    <w:p w14:paraId="0C704E05" w14:textId="4E9F92B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de Doroteo Thomas Rodríguez de 3 de julio de 2007 (</w:t>
      </w:r>
      <w:r>
        <w:t>expediente de prueba</w:t>
      </w:r>
      <w:r w:rsidRPr="00514304">
        <w:t>, folios 1546 y 1547).</w:t>
      </w:r>
    </w:p>
  </w:footnote>
  <w:footnote w:id="152">
    <w:p w14:paraId="0C704E06" w14:textId="5ACB677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de Marcos Bonifacio Castillo de 5 de julio de 2007 (</w:t>
      </w:r>
      <w:r>
        <w:t>expediente de prueba</w:t>
      </w:r>
      <w:r w:rsidRPr="00514304">
        <w:t xml:space="preserve">, folios 1544 y 1545). </w:t>
      </w:r>
    </w:p>
  </w:footnote>
  <w:footnote w:id="153">
    <w:p w14:paraId="0C704E07" w14:textId="77777777" w:rsidR="006B2C5D" w:rsidRDefault="006B2C5D" w:rsidP="00B15331">
      <w:pPr>
        <w:pStyle w:val="FootnoteText"/>
      </w:pPr>
      <w:r w:rsidRPr="0075334A">
        <w:rPr>
          <w:rStyle w:val="FootnoteReference"/>
          <w:sz w:val="16"/>
        </w:rPr>
        <w:footnoteRef/>
      </w:r>
      <w:r w:rsidRPr="0075334A">
        <w:t xml:space="preserve"> </w:t>
      </w:r>
      <w:r w:rsidRPr="0075334A">
        <w:tab/>
      </w:r>
      <w:r w:rsidRPr="0075334A">
        <w:rPr>
          <w:i/>
        </w:rPr>
        <w:t>Cfr</w:t>
      </w:r>
      <w:r w:rsidRPr="0075334A">
        <w:t>. Declaraciones de Marcial Martínez Suazo de 14 de julio de 2007; Nieves Oswaldo Bonifacio Castillo de 3 de julio de 2007, y Marcos Bonifacio Castillo de 5 de julio de 2007 (</w:t>
      </w:r>
      <w:r>
        <w:t>expediente de prueba</w:t>
      </w:r>
      <w:r w:rsidRPr="0075334A">
        <w:t>, folios 1537, 1539 y 1545, respectivamente).</w:t>
      </w:r>
    </w:p>
  </w:footnote>
  <w:footnote w:id="154">
    <w:p w14:paraId="0C704E08" w14:textId="77777777" w:rsidR="006B2C5D" w:rsidRDefault="006B2C5D" w:rsidP="00B15331">
      <w:pPr>
        <w:pStyle w:val="FootnoteText"/>
      </w:pPr>
      <w:r w:rsidRPr="0075334A">
        <w:rPr>
          <w:rStyle w:val="FootnoteReference"/>
          <w:sz w:val="16"/>
        </w:rPr>
        <w:footnoteRef/>
      </w:r>
      <w:r w:rsidRPr="0075334A">
        <w:t xml:space="preserve"> </w:t>
      </w:r>
      <w:r w:rsidRPr="0075334A">
        <w:tab/>
      </w:r>
      <w:r w:rsidRPr="0075334A">
        <w:rPr>
          <w:i/>
        </w:rPr>
        <w:t>Cfr</w:t>
      </w:r>
      <w:r w:rsidRPr="0075334A">
        <w:t>. Declaraci</w:t>
      </w:r>
      <w:r>
        <w:t xml:space="preserve">ón </w:t>
      </w:r>
      <w:r w:rsidRPr="0075334A">
        <w:t>de Marcial Martíne</w:t>
      </w:r>
      <w:r>
        <w:t>z Suazo de 14 de julio de 2007</w:t>
      </w:r>
      <w:r w:rsidRPr="0075334A">
        <w:t xml:space="preserve"> (</w:t>
      </w:r>
      <w:r>
        <w:t>expediente de prueba</w:t>
      </w:r>
      <w:r w:rsidRPr="0075334A">
        <w:t>, folio 1537</w:t>
      </w:r>
      <w:r w:rsidRPr="00F167DB">
        <w:t>).</w:t>
      </w:r>
    </w:p>
  </w:footnote>
  <w:footnote w:id="155">
    <w:p w14:paraId="0C704E0A" w14:textId="2FDC9314"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Declaración de Marcos Bonifacio Castillo de 5 de julio de 2007 (</w:t>
      </w:r>
      <w:r>
        <w:t>expediente de prueba</w:t>
      </w:r>
      <w:r w:rsidRPr="00514304">
        <w:t>, folio 1543).</w:t>
      </w:r>
    </w:p>
  </w:footnote>
  <w:footnote w:id="156">
    <w:p w14:paraId="0C704E0B" w14:textId="3C03270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Solicitud de medidas cautelares de la OFRANEH de 15 de junio de 2007 (</w:t>
      </w:r>
      <w:r>
        <w:t>expediente de prueba</w:t>
      </w:r>
      <w:r w:rsidRPr="00514304">
        <w:t>, folio 1578).</w:t>
      </w:r>
    </w:p>
  </w:footnote>
  <w:footnote w:id="157">
    <w:p w14:paraId="0C704E0C" w14:textId="55B6A033"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CIDH, Resolución de adopción de medidas cautelares en favor de Marcos Bonifacio Castillo de 20 de agosto de 2007 (</w:t>
      </w:r>
      <w:r>
        <w:t>expediente de prueba</w:t>
      </w:r>
      <w:r w:rsidRPr="00514304">
        <w:t xml:space="preserve">, folios 1576 a 1577). </w:t>
      </w:r>
      <w:r w:rsidRPr="00514304">
        <w:rPr>
          <w:lang w:val="es-MX"/>
        </w:rPr>
        <w:t xml:space="preserve">El Estado señaló que “[se determinó] que no se [interpuso] denuncia por parte del ofendido, no pudiéndose iniciar una investigación de oficio [respecto de las amenazas contra </w:t>
      </w:r>
      <w:r>
        <w:rPr>
          <w:lang w:val="es-MX"/>
        </w:rPr>
        <w:t>Marcos Bonifacio Castillo</w:t>
      </w:r>
      <w:r w:rsidRPr="00514304">
        <w:rPr>
          <w:lang w:val="es-MX"/>
        </w:rPr>
        <w:t xml:space="preserve">] debido a que se </w:t>
      </w:r>
      <w:proofErr w:type="gramStart"/>
      <w:r w:rsidRPr="00514304">
        <w:rPr>
          <w:lang w:val="es-MX"/>
        </w:rPr>
        <w:t>trata[</w:t>
      </w:r>
      <w:proofErr w:type="spellStart"/>
      <w:proofErr w:type="gramEnd"/>
      <w:r w:rsidRPr="00514304">
        <w:rPr>
          <w:lang w:val="es-MX"/>
        </w:rPr>
        <w:t>ba</w:t>
      </w:r>
      <w:proofErr w:type="spellEnd"/>
      <w:r w:rsidRPr="00514304">
        <w:rPr>
          <w:lang w:val="es-MX"/>
        </w:rPr>
        <w:t xml:space="preserve">] de un delito perseguible por el Ministerio Público a instancia de la víctima”. </w:t>
      </w:r>
      <w:r w:rsidRPr="00514304">
        <w:rPr>
          <w:i/>
        </w:rPr>
        <w:t>Cfr.</w:t>
      </w:r>
      <w:r w:rsidRPr="00514304">
        <w:t xml:space="preserve"> Oficio No. FGR/LR-542-07 del Fiscal General de la República al Sub Procurador General de la República de 31 de agosto de 2007 (</w:t>
      </w:r>
      <w:r>
        <w:t>expediente de prueba</w:t>
      </w:r>
      <w:r w:rsidRPr="00514304">
        <w:t>, folio 1582).</w:t>
      </w:r>
    </w:p>
  </w:footnote>
  <w:footnote w:id="158">
    <w:p w14:paraId="0C704E0D" w14:textId="7EFA945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levantamiento del cadáver de 11 de junio de 2007 (</w:t>
      </w:r>
      <w:r>
        <w:t>expediente de prueba</w:t>
      </w:r>
      <w:r w:rsidRPr="00514304">
        <w:t>, folios 1564 y 1565).</w:t>
      </w:r>
    </w:p>
  </w:footnote>
  <w:footnote w:id="159">
    <w:p w14:paraId="0C704E0E" w14:textId="16FF2736"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levantamiento del cadáver de 11 de junio de 2007 (</w:t>
      </w:r>
      <w:r>
        <w:t>expediente de prueba</w:t>
      </w:r>
      <w:r w:rsidRPr="00514304">
        <w:t xml:space="preserve">, folios 1564 </w:t>
      </w:r>
      <w:r>
        <w:t>a</w:t>
      </w:r>
      <w:r w:rsidRPr="00514304">
        <w:t xml:space="preserve"> 156</w:t>
      </w:r>
      <w:r>
        <w:t>6</w:t>
      </w:r>
      <w:r w:rsidRPr="00514304">
        <w:t>).</w:t>
      </w:r>
    </w:p>
  </w:footnote>
  <w:footnote w:id="160">
    <w:p w14:paraId="0C704E10" w14:textId="558FF68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levantamiento del cadáver de 11 de junio de 2007 (</w:t>
      </w:r>
      <w:r>
        <w:t>expediente de prueba</w:t>
      </w:r>
      <w:r w:rsidRPr="00514304">
        <w:t>, folio 1566).</w:t>
      </w:r>
    </w:p>
  </w:footnote>
  <w:footnote w:id="161">
    <w:p w14:paraId="0C704E11" w14:textId="03D1AB4A" w:rsidR="006B2C5D" w:rsidRDefault="006B2C5D" w:rsidP="00B15331">
      <w:pPr>
        <w:pStyle w:val="FootnoteText"/>
      </w:pPr>
      <w:r w:rsidRPr="00514304">
        <w:rPr>
          <w:rStyle w:val="FootnoteReference"/>
          <w:sz w:val="16"/>
        </w:rPr>
        <w:footnoteRef/>
      </w:r>
      <w:r w:rsidRPr="00514304">
        <w:t xml:space="preserve"> </w:t>
      </w:r>
      <w:r w:rsidRPr="00514304">
        <w:tab/>
        <w:t>Conforme a la declaración de Nieves Oswaldo Bonifacio Castillo, luego de que est</w:t>
      </w:r>
      <w:r>
        <w:t>a</w:t>
      </w:r>
      <w:r w:rsidRPr="00514304">
        <w:t xml:space="preserve"> tuvo conocimiento de los hechos debido a que su hermano </w:t>
      </w:r>
      <w:r>
        <w:t>Marcos Bonifacio Castillo</w:t>
      </w:r>
      <w:r w:rsidRPr="00514304">
        <w:t xml:space="preserve"> le informó de lo ocurrido, se dirigió al lugar del crimen, donde fueron encontrados tres casquillos para escopeta. </w:t>
      </w:r>
      <w:r w:rsidRPr="00514304">
        <w:rPr>
          <w:i/>
        </w:rPr>
        <w:t>Cfr</w:t>
      </w:r>
      <w:r w:rsidRPr="00514304">
        <w:t>. Declaración de Nieves Oswaldo Bonifacio Castillo de 3 de julio de 2007 (</w:t>
      </w:r>
      <w:r>
        <w:t>expediente de prueba</w:t>
      </w:r>
      <w:r w:rsidRPr="00514304">
        <w:t>, folio 1539).</w:t>
      </w:r>
    </w:p>
    <w:p w14:paraId="0C704E12" w14:textId="1DA4EC82" w:rsidR="006B2C5D" w:rsidRDefault="006B2C5D" w:rsidP="00B15331">
      <w:pPr>
        <w:pStyle w:val="FootnoteText"/>
      </w:pPr>
      <w:r w:rsidRPr="00514304">
        <w:t xml:space="preserve"> de 3 de julio de 2007, y Marcos Bonifacio Castillo de 5 de julio de 2007 (</w:t>
      </w:r>
      <w:r>
        <w:t>expediente de prueba</w:t>
      </w:r>
      <w:r w:rsidRPr="00514304">
        <w:t>, folios 1537, 1539 y 1545, respectivamente).</w:t>
      </w:r>
    </w:p>
  </w:footnote>
  <w:footnote w:id="162">
    <w:p w14:paraId="0C704E13" w14:textId="7529EA2E"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Pr>
          <w:i/>
        </w:rPr>
        <w:t xml:space="preserve"> </w:t>
      </w:r>
      <w:r w:rsidRPr="00514304">
        <w:t>Acta de levantamiento del cadáver de 11 de junio de 2007 (</w:t>
      </w:r>
      <w:r>
        <w:t>expediente de prueba</w:t>
      </w:r>
      <w:r w:rsidRPr="00514304">
        <w:t>, folio 1566).</w:t>
      </w:r>
    </w:p>
  </w:footnote>
  <w:footnote w:id="163">
    <w:p w14:paraId="0C704E14" w14:textId="55537E9D" w:rsidR="006B2C5D" w:rsidRDefault="006B2C5D" w:rsidP="00B15331">
      <w:pPr>
        <w:pStyle w:val="FootnoteText"/>
      </w:pPr>
      <w:r w:rsidRPr="00514304">
        <w:rPr>
          <w:rStyle w:val="FootnoteReference"/>
          <w:sz w:val="16"/>
        </w:rPr>
        <w:footnoteRef/>
      </w:r>
      <w:r w:rsidRPr="00514304">
        <w:t xml:space="preserve"> </w:t>
      </w:r>
      <w:r w:rsidRPr="00514304">
        <w:tab/>
        <w:t xml:space="preserve">Acta de denuncia de la muerte de </w:t>
      </w:r>
      <w:r>
        <w:t>Félix Ordóñez Suazo</w:t>
      </w:r>
      <w:r w:rsidRPr="00514304">
        <w:t xml:space="preserve"> interpuesta por Marcial Martínez Suazo ante el Juzgado de Paz de 13 de junio de 2007 (</w:t>
      </w:r>
      <w:r>
        <w:t>expediente de prueba</w:t>
      </w:r>
      <w:r w:rsidRPr="00514304">
        <w:t>, folio 1549).</w:t>
      </w:r>
    </w:p>
  </w:footnote>
  <w:footnote w:id="164">
    <w:p w14:paraId="0C704E15" w14:textId="183C32D0"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denuncia de la muerte de </w:t>
      </w:r>
      <w:r>
        <w:t>Félix Ordóñez Suazo</w:t>
      </w:r>
      <w:r w:rsidRPr="00514304">
        <w:t xml:space="preserve"> interpuesta por Marcial Martínez Suazo ante el Juzgado de Paz de 13 de junio de 2007 (</w:t>
      </w:r>
      <w:r>
        <w:t>expediente de prueba</w:t>
      </w:r>
      <w:r w:rsidRPr="00514304">
        <w:t>, folio 1549).</w:t>
      </w:r>
      <w:r w:rsidRPr="00514304">
        <w:tab/>
      </w:r>
    </w:p>
  </w:footnote>
  <w:footnote w:id="165">
    <w:p w14:paraId="0C704E16" w14:textId="58761900"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Memorándum No. FEEPC-130-2007 de la Fiscalía de Etnias de 13 de junio de 2007 (</w:t>
      </w:r>
      <w:r>
        <w:t>expediente de prueba</w:t>
      </w:r>
      <w:r w:rsidRPr="00514304">
        <w:t>, folio 1517).</w:t>
      </w:r>
    </w:p>
  </w:footnote>
  <w:footnote w:id="166">
    <w:p w14:paraId="0C704E17" w14:textId="45A9F1C3"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Memorándum No. FLT-12-007 de la Fiscalía Local de Trujillo de 16 de julio de 2007 (</w:t>
      </w:r>
      <w:r>
        <w:t>expediente de prueba</w:t>
      </w:r>
      <w:r w:rsidRPr="00514304">
        <w:t>, folio 1558).</w:t>
      </w:r>
    </w:p>
  </w:footnote>
  <w:footnote w:id="167">
    <w:p w14:paraId="0C704E18" w14:textId="23AC9ABC"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Memorándum de la Fiscalía Local de Trujillo de 16 de julio de 2007 (</w:t>
      </w:r>
      <w:r>
        <w:t>expediente de prueba</w:t>
      </w:r>
      <w:r w:rsidRPr="00514304">
        <w:t>, folio 1570).</w:t>
      </w:r>
    </w:p>
  </w:footnote>
  <w:footnote w:id="168">
    <w:p w14:paraId="0C704E19" w14:textId="4B78760B" w:rsidR="006B2C5D" w:rsidRDefault="006B2C5D" w:rsidP="00B15331">
      <w:pPr>
        <w:pStyle w:val="FootnoteText"/>
        <w:rPr>
          <w:lang w:val="es-PE"/>
        </w:rPr>
      </w:pPr>
      <w:r w:rsidRPr="00514304">
        <w:rPr>
          <w:rStyle w:val="FootnoteReference"/>
          <w:sz w:val="16"/>
        </w:rPr>
        <w:footnoteRef/>
      </w:r>
      <w:r w:rsidRPr="00514304">
        <w:t xml:space="preserve"> </w:t>
      </w:r>
      <w:r w:rsidRPr="00514304">
        <w:tab/>
        <w:t xml:space="preserve">Entre ellas: identificar a los imputados, sus antecedentes policiales, recabar declaraciones de testigos e imputados, recolectar y embalar evidencias. </w:t>
      </w:r>
      <w:r w:rsidRPr="00514304">
        <w:rPr>
          <w:i/>
          <w:lang w:val="es-PE"/>
        </w:rPr>
        <w:t>Cfr.</w:t>
      </w:r>
      <w:r w:rsidRPr="00514304">
        <w:rPr>
          <w:lang w:val="es-PE"/>
        </w:rPr>
        <w:t xml:space="preserve"> Auto de requerimiento de investigación policial de la denuncia No.</w:t>
      </w:r>
      <w:r w:rsidRPr="00514304">
        <w:t>7277 de 13 de junio de 2007 (</w:t>
      </w:r>
      <w:r>
        <w:t>expediente de prueba</w:t>
      </w:r>
      <w:r w:rsidRPr="00514304">
        <w:t xml:space="preserve">, folio 1551). </w:t>
      </w:r>
    </w:p>
  </w:footnote>
  <w:footnote w:id="169">
    <w:p w14:paraId="0C704E1A" w14:textId="675563C1"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Memorándum No. FLT-03-007 de la Fiscalía Local de Trujillo de 26 de junio de 2007 (</w:t>
      </w:r>
      <w:r>
        <w:t>expediente de prueba</w:t>
      </w:r>
      <w:r w:rsidRPr="00514304">
        <w:t xml:space="preserve">, folios 1525 y 1526). Las diligencias fueron reprogramadas luego de haber </w:t>
      </w:r>
      <w:r w:rsidRPr="00514304">
        <w:rPr>
          <w:lang w:val="es-MX"/>
        </w:rPr>
        <w:t>conseguido el apoyo de la fuerza naval.</w:t>
      </w:r>
    </w:p>
  </w:footnote>
  <w:footnote w:id="170">
    <w:p w14:paraId="0C704E1B" w14:textId="1C769A3D" w:rsidR="006B2C5D"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Declaraciones de Doroteo Thomas Rodríguez de 3 de julio de 2007; Nieves Oswaldo Bonifacio Castillo de 3 de julio de 2007; Marcos Bonifacio Castillo de 5 de julio de 2007</w:t>
      </w:r>
      <w:r>
        <w:t xml:space="preserve">, </w:t>
      </w:r>
      <w:r w:rsidRPr="00514304">
        <w:t xml:space="preserve">y Marcial Martínez Suazo de 14 de julio de 2007 </w:t>
      </w:r>
      <w:r>
        <w:t xml:space="preserve">(expediente de prueba, folios </w:t>
      </w:r>
      <w:r w:rsidRPr="00514304">
        <w:t>1546 a 1547; 1538 a 1541; 1542 a 1545, y 1536 a 1537, respectivamente).</w:t>
      </w:r>
    </w:p>
  </w:footnote>
  <w:footnote w:id="171">
    <w:p w14:paraId="0C704E1C" w14:textId="032A91B6"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Informe de 5 de julio de 2007 e informe de 12 de julio de 2007 de la Dirección General de Investigación Criminal (DGIC) (</w:t>
      </w:r>
      <w:r>
        <w:t>expediente de prueba</w:t>
      </w:r>
      <w:r w:rsidRPr="00514304">
        <w:t>, folios 1552 a 1554 y 1528 a 1529, respectivamente).</w:t>
      </w:r>
    </w:p>
  </w:footnote>
  <w:footnote w:id="172">
    <w:p w14:paraId="0C704E1D" w14:textId="01DE1277"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Auto de requerimiento de ampliación de investigación policial del Ministerio Público de Trujillo de 16 de julio de 2007 (</w:t>
      </w:r>
      <w:r>
        <w:t>expediente de prueba</w:t>
      </w:r>
      <w:r w:rsidRPr="00514304">
        <w:t>, folio 1569).</w:t>
      </w:r>
    </w:p>
  </w:footnote>
  <w:footnote w:id="173">
    <w:p w14:paraId="0C704E1E" w14:textId="7A2DE453" w:rsidR="006B2C5D" w:rsidRDefault="006B2C5D" w:rsidP="00B15331">
      <w:pPr>
        <w:pStyle w:val="FootnoteText"/>
        <w:rPr>
          <w:lang w:val="es-CR"/>
        </w:rPr>
      </w:pPr>
      <w:r w:rsidRPr="00514304">
        <w:rPr>
          <w:rStyle w:val="FootnoteReference"/>
          <w:sz w:val="16"/>
        </w:rPr>
        <w:footnoteRef/>
      </w:r>
      <w:r w:rsidRPr="00514304">
        <w:t xml:space="preserve"> </w:t>
      </w:r>
      <w:r w:rsidRPr="00514304">
        <w:tab/>
        <w:t xml:space="preserve">La causa quedó </w:t>
      </w:r>
      <w:r w:rsidRPr="00514304">
        <w:rPr>
          <w:lang w:val="es-CR"/>
        </w:rPr>
        <w:t xml:space="preserve">registrada ante el Juzgado de Letras con el No. 057-2007. </w:t>
      </w:r>
      <w:r w:rsidRPr="00514304">
        <w:rPr>
          <w:i/>
          <w:lang w:val="es-CR"/>
        </w:rPr>
        <w:t>Cfr.</w:t>
      </w:r>
      <w:r w:rsidRPr="00514304">
        <w:rPr>
          <w:lang w:val="es-CR"/>
        </w:rPr>
        <w:t xml:space="preserve"> Requerimiento Fiscal de 26 de julio de 2007 </w:t>
      </w:r>
      <w:r w:rsidRPr="00514304">
        <w:t>(</w:t>
      </w:r>
      <w:r>
        <w:t>expediente de prueba</w:t>
      </w:r>
      <w:r w:rsidRPr="00514304">
        <w:t xml:space="preserve">, folios 1555 a 1557). Conforme al informe de la sub-inspectora </w:t>
      </w:r>
      <w:proofErr w:type="spellStart"/>
      <w:r w:rsidRPr="00514304">
        <w:t>Celma</w:t>
      </w:r>
      <w:proofErr w:type="spellEnd"/>
      <w:r w:rsidRPr="00514304">
        <w:t xml:space="preserve"> E. </w:t>
      </w:r>
      <w:proofErr w:type="spellStart"/>
      <w:r w:rsidRPr="00514304">
        <w:t>Trochez</w:t>
      </w:r>
      <w:proofErr w:type="spellEnd"/>
      <w:r w:rsidRPr="00514304">
        <w:t xml:space="preserve"> a la DNIC, durante la gira de trabajo del 8-12 de febrero de 2010 llevada a cabo en diferentes Comunidades Garífunas del Departamento de Colón, se informó </w:t>
      </w:r>
      <w:r>
        <w:t>de</w:t>
      </w:r>
      <w:r w:rsidRPr="00514304">
        <w:t xml:space="preserve"> que se dejó una copia de la orden de captura del señor </w:t>
      </w:r>
      <w:r>
        <w:t>David Portillo Chacón</w:t>
      </w:r>
      <w:r w:rsidRPr="00514304">
        <w:t xml:space="preserve"> por el delito de asesinato en perjuicio de </w:t>
      </w:r>
      <w:r>
        <w:t>Félix Ordóñez Suazo</w:t>
      </w:r>
      <w:r w:rsidRPr="00514304">
        <w:t xml:space="preserve"> en las oficinas de la DNIC de Trujillo, ya que no vivía en la dirección proporcionada. </w:t>
      </w:r>
      <w:r w:rsidRPr="00514304">
        <w:rPr>
          <w:i/>
        </w:rPr>
        <w:t>Cfr.</w:t>
      </w:r>
      <w:r w:rsidRPr="00514304">
        <w:t xml:space="preserve"> Informe a la Dirección Nacional de Investigación Criminal de 16 de febrero de </w:t>
      </w:r>
      <w:r w:rsidRPr="00514304">
        <w:rPr>
          <w:lang w:val="es-CR"/>
        </w:rPr>
        <w:t xml:space="preserve">2007 </w:t>
      </w:r>
      <w:r w:rsidRPr="00514304">
        <w:t>(</w:t>
      </w:r>
      <w:r>
        <w:t>expediente de prueba</w:t>
      </w:r>
      <w:r w:rsidRPr="00514304">
        <w:t>, folio 1617).</w:t>
      </w:r>
    </w:p>
  </w:footnote>
  <w:footnote w:id="174">
    <w:p w14:paraId="0C704E1F" w14:textId="4D9D33A5"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Orden de captura emitida por el Juzgado de Letras Seccional de Trujillo de 13 de agosto de 2007 (</w:t>
      </w:r>
      <w:r>
        <w:t>expediente de prueba</w:t>
      </w:r>
      <w:r w:rsidRPr="00514304">
        <w:t>, folio 1574).</w:t>
      </w:r>
    </w:p>
  </w:footnote>
  <w:footnote w:id="175">
    <w:p w14:paraId="0C704E20" w14:textId="22D32592"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Solicitud de la Fiscalía de Trujillo al Juzgado de Letras de citación de testigo como prueba anticipada de 24 de marzo de 2011 (</w:t>
      </w:r>
      <w:r>
        <w:t>expediente de prueba</w:t>
      </w:r>
      <w:r w:rsidRPr="00514304">
        <w:t>, folios 1592 a 1594).</w:t>
      </w:r>
      <w:r w:rsidRPr="00514304">
        <w:tab/>
      </w:r>
    </w:p>
  </w:footnote>
  <w:footnote w:id="176">
    <w:p w14:paraId="0C704E21" w14:textId="3EFE1EB5"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Memorándum No. FEEPC-206-2011 de la Fiscalía de Etnias de 2 de marzo de 2011 (</w:t>
      </w:r>
      <w:r>
        <w:t>expediente de prueba</w:t>
      </w:r>
      <w:r w:rsidRPr="00514304">
        <w:t xml:space="preserve">, folio 1590). Esta solicitud recibió respuesta por parte de la Fiscalía de Trujillo el 28 de marzo de 2011. </w:t>
      </w:r>
      <w:r w:rsidRPr="00514304">
        <w:rPr>
          <w:i/>
        </w:rPr>
        <w:t>Cfr.</w:t>
      </w:r>
      <w:r w:rsidRPr="00514304">
        <w:t xml:space="preserve"> Carta No. CFLT-17-2011 dirigida por la Fiscalía de Trujillo a la Fiscalía de Etnias el 28 de marzo de 2011 (</w:t>
      </w:r>
      <w:r>
        <w:t>expediente de prueba</w:t>
      </w:r>
      <w:r w:rsidRPr="00514304">
        <w:t>, folio 1588).</w:t>
      </w:r>
    </w:p>
  </w:footnote>
  <w:footnote w:id="177">
    <w:p w14:paraId="0C704E22" w14:textId="35ECC91E"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de la Fiscalía de Trujillo dirigida a la Fiscalía de Etnias de 12 de agosto de 2011 (</w:t>
      </w:r>
      <w:r>
        <w:t>expediente de prueba</w:t>
      </w:r>
      <w:r w:rsidRPr="00514304">
        <w:t>, folio 1596).</w:t>
      </w:r>
    </w:p>
  </w:footnote>
  <w:footnote w:id="178">
    <w:p w14:paraId="0C704E23" w14:textId="57EC42B0"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Memorándum No. FEEPC-206-2011 de la Fiscalía Especial de Etnias de 2 de marzo de 2011 (</w:t>
      </w:r>
      <w:r>
        <w:t xml:space="preserve">expediente de prueba, </w:t>
      </w:r>
      <w:r w:rsidRPr="00514304">
        <w:t xml:space="preserve">folio 1590). </w:t>
      </w:r>
    </w:p>
  </w:footnote>
  <w:footnote w:id="179">
    <w:p w14:paraId="0C704E24" w14:textId="7F565CBC"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Carta de la Fiscalía de Trujillo dirigida a la Fiscalía de Etnias de 12 de agosto de 2011 (</w:t>
      </w:r>
      <w:r>
        <w:t>expediente de prueba</w:t>
      </w:r>
      <w:r w:rsidRPr="00514304">
        <w:t>, folio 1596).</w:t>
      </w:r>
    </w:p>
  </w:footnote>
  <w:footnote w:id="180">
    <w:p w14:paraId="0C704E25" w14:textId="77542CDD"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FEEPC-371-2007 de la Fiscalía Especial de Etnias de 28 de agosto de 2007; Oficio No. FEEPC-110-09 de la Fiscalía Especial de Etnias de 25 de febrero de 2009; Oficio No. FEEPC-79-2010 de la Fiscalía Especial de Etnias de 5 de febrero de 2010, y Oficio No. FEEPC-220-2013 de la Fiscalía Especial de Etnias de 16 de abril de 2013 (</w:t>
      </w:r>
      <w:r>
        <w:t xml:space="preserve">expediente de prueba, </w:t>
      </w:r>
      <w:r w:rsidRPr="00514304">
        <w:t xml:space="preserve">folios 1575, 1586, 1587 y 1611). </w:t>
      </w:r>
    </w:p>
  </w:footnote>
  <w:footnote w:id="181">
    <w:p w14:paraId="0C704E26" w14:textId="7B4631D5"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FEEPC-556-2011 de la Fiscalía de Etnias de 19 de agosto de 2011 (</w:t>
      </w:r>
      <w:r>
        <w:t xml:space="preserve">expediente de prueba, </w:t>
      </w:r>
      <w:r w:rsidRPr="00514304">
        <w:t>folio 1604).</w:t>
      </w:r>
    </w:p>
  </w:footnote>
  <w:footnote w:id="182">
    <w:p w14:paraId="0C704E27" w14:textId="3684E68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No. FEEPC-551-2011 de la Fiscalía de Etnias de 10 de agosto de 2011</w:t>
      </w:r>
      <w:r>
        <w:t xml:space="preserve">(expediente de prueba, folio </w:t>
      </w:r>
      <w:r w:rsidRPr="00514304">
        <w:t>1595</w:t>
      </w:r>
      <w:r>
        <w:t>)</w:t>
      </w:r>
      <w:r w:rsidRPr="00514304">
        <w:t>; Oficio No. FEEPC-226-2013 de la Fiscalía de Etnias de 22 de abril de 2013</w:t>
      </w:r>
      <w:r>
        <w:t xml:space="preserve"> (expediente de prueba, folio </w:t>
      </w:r>
      <w:r w:rsidRPr="00514304">
        <w:t>1612</w:t>
      </w:r>
      <w:r>
        <w:t>)</w:t>
      </w:r>
      <w:r w:rsidRPr="00514304">
        <w:t>; Memorándum No. FEEPC-136-2013 de la Fiscalía de Etnias de 15 de mayo de 2013</w:t>
      </w:r>
      <w:r>
        <w:t xml:space="preserve"> (expediente de prueba, folio </w:t>
      </w:r>
      <w:r w:rsidRPr="00514304">
        <w:t>1619</w:t>
      </w:r>
      <w:r>
        <w:t xml:space="preserve">), </w:t>
      </w:r>
      <w:r w:rsidRPr="00514304">
        <w:t>y Oficio No. FEEPC-OF-558-2014 de la Fiscalía de Etnias de 9 de septiembre de 2014 (</w:t>
      </w:r>
      <w:r>
        <w:t xml:space="preserve">expediente de prueba, </w:t>
      </w:r>
      <w:r w:rsidRPr="00514304">
        <w:t xml:space="preserve">folio 1621). Sólo el primer oficio obtuvo respuesta el 12 de agosto de 2011. </w:t>
      </w:r>
      <w:r w:rsidRPr="00514304">
        <w:rPr>
          <w:i/>
        </w:rPr>
        <w:t>Cfr.</w:t>
      </w:r>
      <w:r w:rsidRPr="00514304">
        <w:t xml:space="preserve"> Carta de la Fiscalía de Trujillo dirigida a la Fiscalía de Etnias de 12 de agosto de 2011 (</w:t>
      </w:r>
      <w:r>
        <w:t xml:space="preserve">expediente de prueba, </w:t>
      </w:r>
      <w:r w:rsidRPr="00514304">
        <w:t>folio 1596).</w:t>
      </w:r>
    </w:p>
  </w:footnote>
  <w:footnote w:id="183">
    <w:p w14:paraId="0C704E29" w14:textId="238D3405"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Denuncia </w:t>
      </w:r>
      <w:r>
        <w:t>No. 0801-2010-122</w:t>
      </w:r>
      <w:r w:rsidRPr="00514304">
        <w:t>92 interpuesta el 13 de abril de 2010 (</w:t>
      </w:r>
      <w:r>
        <w:t xml:space="preserve">expediente de prueba, </w:t>
      </w:r>
      <w:r w:rsidRPr="00514304">
        <w:t>folio 109).</w:t>
      </w:r>
    </w:p>
  </w:footnote>
  <w:footnote w:id="184">
    <w:p w14:paraId="0C704E2A" w14:textId="7388F601"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 xml:space="preserve">Cfr. </w:t>
      </w:r>
      <w:r w:rsidRPr="00514304">
        <w:t>Denuncia</w:t>
      </w:r>
      <w:r>
        <w:t xml:space="preserve"> No. 0801-2010-12739 interpuesta el 16</w:t>
      </w:r>
      <w:r w:rsidRPr="00514304">
        <w:t xml:space="preserve"> de abril de 2010 (</w:t>
      </w:r>
      <w:r>
        <w:t>expediente de prueba, folios 111, 2443 a 2445).</w:t>
      </w:r>
    </w:p>
  </w:footnote>
  <w:footnote w:id="185">
    <w:p w14:paraId="0C704E2B" w14:textId="3F58AFFF" w:rsidR="006B2C5D" w:rsidRDefault="006B2C5D" w:rsidP="00B15331">
      <w:pPr>
        <w:pStyle w:val="FootnoteText"/>
        <w:rPr>
          <w:lang w:val="es-PE"/>
        </w:rPr>
      </w:pPr>
      <w:r w:rsidRPr="00514304">
        <w:rPr>
          <w:rStyle w:val="FootnoteReference"/>
          <w:sz w:val="16"/>
        </w:rPr>
        <w:footnoteRef/>
      </w:r>
      <w:r w:rsidRPr="00514304">
        <w:t xml:space="preserve"> </w:t>
      </w:r>
      <w:r w:rsidRPr="00514304">
        <w:tab/>
        <w:t xml:space="preserve">Entre las investigaciones a actuarse, se ordenó identificar a los imputados, recabar declaraciones de testigos, verificar los títulos de propiedad de la Comunidad, realizar la inspección ocular de los hechos, entre otros. </w:t>
      </w:r>
      <w:r w:rsidRPr="00514304">
        <w:rPr>
          <w:i/>
          <w:lang w:val="es-PE"/>
        </w:rPr>
        <w:t>Cfr.</w:t>
      </w:r>
      <w:r w:rsidRPr="00514304">
        <w:rPr>
          <w:lang w:val="es-PE"/>
        </w:rPr>
        <w:t xml:space="preserve"> Auto de requerimiento de investigación policial de la denuncia </w:t>
      </w:r>
      <w:r w:rsidRPr="00514304">
        <w:t>No. 0801-2010-122292 de 13 de abril de 2010 (</w:t>
      </w:r>
      <w:r>
        <w:t>expediente de prueba</w:t>
      </w:r>
      <w:r w:rsidRPr="00514304">
        <w:t>, folio 1671).</w:t>
      </w:r>
      <w:r w:rsidRPr="00514304">
        <w:tab/>
        <w:t xml:space="preserve"> </w:t>
      </w:r>
    </w:p>
  </w:footnote>
  <w:footnote w:id="186">
    <w:p w14:paraId="0C704E2C" w14:textId="57CC31E5" w:rsidR="006B2C5D" w:rsidRDefault="006B2C5D" w:rsidP="00B15331">
      <w:pPr>
        <w:pStyle w:val="FootnoteText"/>
      </w:pPr>
      <w:r w:rsidRPr="00514304">
        <w:rPr>
          <w:rStyle w:val="FootnoteReference"/>
          <w:sz w:val="16"/>
        </w:rPr>
        <w:footnoteRef/>
      </w:r>
      <w:r w:rsidRPr="00514304">
        <w:t xml:space="preserve"> </w:t>
      </w:r>
      <w:r w:rsidRPr="00514304">
        <w:tab/>
      </w:r>
      <w:r w:rsidRPr="00514304">
        <w:rPr>
          <w:i/>
          <w:lang w:val="es-PE"/>
        </w:rPr>
        <w:t>Cfr.</w:t>
      </w:r>
      <w:r w:rsidRPr="00514304">
        <w:rPr>
          <w:lang w:val="es-PE"/>
        </w:rPr>
        <w:t xml:space="preserve"> Auto de requerimiento de investigación policial de la denuncia </w:t>
      </w:r>
      <w:r w:rsidRPr="00514304">
        <w:t>No. 0801-2010-12739 de 17 de abril de 2010 (expediente de prueba, folios 2446 a 2447).</w:t>
      </w:r>
      <w:r w:rsidRPr="00514304">
        <w:tab/>
      </w:r>
    </w:p>
  </w:footnote>
  <w:footnote w:id="187">
    <w:p w14:paraId="0C704E2D" w14:textId="4FA3146D"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FEEPC 324/2013 y Oficio FEEPC 355/2013 de la Fiscalía de Etnias de 24 de mayo y 7 de junio de 2013 (</w:t>
      </w:r>
      <w:r>
        <w:t>expediente de prueba</w:t>
      </w:r>
      <w:r w:rsidRPr="00514304">
        <w:t>, folio 1641 y 1645).</w:t>
      </w:r>
    </w:p>
  </w:footnote>
  <w:footnote w:id="188">
    <w:p w14:paraId="0C704E2E" w14:textId="3E538B90" w:rsidR="006B2C5D" w:rsidRDefault="006B2C5D" w:rsidP="00B15331">
      <w:pPr>
        <w:pStyle w:val="FootnoteText"/>
      </w:pPr>
      <w:r w:rsidRPr="00514304">
        <w:rPr>
          <w:rStyle w:val="FootnoteReference"/>
          <w:sz w:val="16"/>
        </w:rPr>
        <w:footnoteRef/>
      </w:r>
      <w:r w:rsidRPr="00514304">
        <w:t xml:space="preserve"> </w:t>
      </w:r>
      <w:r w:rsidRPr="00514304">
        <w:tab/>
      </w:r>
      <w:r w:rsidRPr="00514304">
        <w:rPr>
          <w:i/>
          <w:lang w:val="es-PE"/>
        </w:rPr>
        <w:t>Cfr.</w:t>
      </w:r>
      <w:r w:rsidRPr="00514304">
        <w:rPr>
          <w:lang w:val="es-PE"/>
        </w:rPr>
        <w:t xml:space="preserve"> Declaración de </w:t>
      </w:r>
      <w:r w:rsidRPr="00514304">
        <w:t>Edito Suazo Ávila de 3 de junio de 2013; declaración de Antonio Bernárdez Suazo de 3 de junio de 2013; declaración de Andrés Álvarez Bernárdez de 3 de junio de 2013, y declaración de Isabel Bernárdez Martínez de 3 de junio de 2013 (</w:t>
      </w:r>
      <w:r>
        <w:t>expediente de prueba</w:t>
      </w:r>
      <w:r w:rsidRPr="00514304">
        <w:t>, folios 1648 a 1664).</w:t>
      </w:r>
    </w:p>
  </w:footnote>
  <w:footnote w:id="189">
    <w:p w14:paraId="0C704E2F" w14:textId="66B5109A"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diligencia policial de 3 de junio de 2013 (</w:t>
      </w:r>
      <w:r>
        <w:t xml:space="preserve">expediente de prueba, </w:t>
      </w:r>
      <w:r w:rsidRPr="00514304">
        <w:t>folios 1665 a 1666), y Acta de diligencia policial de 4 de junio de 2013 (</w:t>
      </w:r>
      <w:r>
        <w:t>expediente de prueba</w:t>
      </w:r>
      <w:r w:rsidRPr="00514304">
        <w:t>, folios 1667 a 1669).</w:t>
      </w:r>
    </w:p>
  </w:footnote>
  <w:footnote w:id="190">
    <w:p w14:paraId="0C704E30" w14:textId="123681F4"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Informe de la Dirección Nacional de Investigación Criminal de 14 de junio de 2013 presentado a solicitud de la Fiscalía de Etnias (</w:t>
      </w:r>
      <w:r>
        <w:t>expediente de prueba</w:t>
      </w:r>
      <w:r w:rsidRPr="00514304">
        <w:t xml:space="preserve">, folios 1644 y 1646 a 1647). Asimismo, la Fiscalía de Etnias solicitó a la DNIC se obtenga los padrones fotográficos de Efraín y Alejandro Ortiz. Dicha solicitud no fue respondida, con base en lo obrante en el expediente ante la Corte. </w:t>
      </w:r>
      <w:r w:rsidRPr="00514304">
        <w:rPr>
          <w:i/>
        </w:rPr>
        <w:t>Cfr.</w:t>
      </w:r>
      <w:r w:rsidRPr="00514304">
        <w:t xml:space="preserve"> Solicitud de actuación de diligencias de la Fiscalía de Etnias de 12 de junio de 2013 (</w:t>
      </w:r>
      <w:r>
        <w:t>expediente de prueba</w:t>
      </w:r>
      <w:r w:rsidRPr="00514304">
        <w:t>, folios 1642 a 1643).</w:t>
      </w:r>
    </w:p>
  </w:footnote>
  <w:footnote w:id="191">
    <w:p w14:paraId="0C704E31" w14:textId="491FB6D5"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Denuncia </w:t>
      </w:r>
      <w:r>
        <w:t>de</w:t>
      </w:r>
      <w:r w:rsidRPr="00514304">
        <w:t xml:space="preserve"> 13 de abril de 2010, interpuesta el 19 de octubre de 2010 (</w:t>
      </w:r>
      <w:r>
        <w:t xml:space="preserve">expediente de prueba, </w:t>
      </w:r>
      <w:r w:rsidRPr="00514304">
        <w:t>folio 1482).</w:t>
      </w:r>
    </w:p>
  </w:footnote>
  <w:footnote w:id="192">
    <w:p w14:paraId="0C704E32" w14:textId="0C86E7C1" w:rsidR="006B2C5D" w:rsidRDefault="006B2C5D" w:rsidP="00B15331">
      <w:pPr>
        <w:pStyle w:val="FootnoteText"/>
        <w:rPr>
          <w:lang w:val="es-PE"/>
        </w:rPr>
      </w:pPr>
      <w:r w:rsidRPr="00514304">
        <w:rPr>
          <w:rStyle w:val="FootnoteReference"/>
          <w:sz w:val="16"/>
        </w:rPr>
        <w:footnoteRef/>
      </w:r>
      <w:r w:rsidRPr="00514304">
        <w:t xml:space="preserve"> </w:t>
      </w:r>
      <w:r w:rsidRPr="00514304">
        <w:tab/>
      </w:r>
      <w:r w:rsidRPr="00514304">
        <w:rPr>
          <w:i/>
          <w:lang w:val="es-PE"/>
        </w:rPr>
        <w:t>Cfr.</w:t>
      </w:r>
      <w:r w:rsidRPr="00514304">
        <w:rPr>
          <w:lang w:val="es-PE"/>
        </w:rPr>
        <w:t xml:space="preserve"> Auto de requerimiento de investigación policial de la denuncia No. </w:t>
      </w:r>
      <w:r w:rsidRPr="00514304">
        <w:t>0801-2010-34463 de 3 de noviembre de 2010 (</w:t>
      </w:r>
      <w:r>
        <w:t>expediente de prueba,</w:t>
      </w:r>
      <w:r w:rsidRPr="00514304">
        <w:t xml:space="preserve"> folios 1484 a 1485).</w:t>
      </w:r>
      <w:r w:rsidRPr="00514304">
        <w:tab/>
        <w:t xml:space="preserve"> </w:t>
      </w:r>
    </w:p>
  </w:footnote>
  <w:footnote w:id="193">
    <w:p w14:paraId="0C704E33" w14:textId="3082154F" w:rsidR="006B2C5D" w:rsidRDefault="006B2C5D" w:rsidP="00B15331">
      <w:pPr>
        <w:pStyle w:val="FootnoteText"/>
        <w:rPr>
          <w:u w:val="single"/>
        </w:rPr>
      </w:pPr>
      <w:r w:rsidRPr="00514304">
        <w:rPr>
          <w:rStyle w:val="FootnoteReference"/>
          <w:sz w:val="16"/>
        </w:rPr>
        <w:footnoteRef/>
      </w:r>
      <w:r w:rsidRPr="00514304">
        <w:t xml:space="preserve"> </w:t>
      </w:r>
      <w:r w:rsidRPr="00514304">
        <w:tab/>
      </w:r>
      <w:r w:rsidRPr="00514304">
        <w:rPr>
          <w:i/>
        </w:rPr>
        <w:t>Cfr.</w:t>
      </w:r>
      <w:r w:rsidRPr="00514304">
        <w:t xml:space="preserve"> Escrito del Estado presentado ante la Comisión de 18 de febrero de </w:t>
      </w:r>
      <w:r w:rsidRPr="00D06233">
        <w:t xml:space="preserve">2011 (expediente de </w:t>
      </w:r>
      <w:r>
        <w:t xml:space="preserve">prueba, </w:t>
      </w:r>
      <w:r w:rsidRPr="00D06233">
        <w:t>folio 551</w:t>
      </w:r>
      <w:r>
        <w:t xml:space="preserve"> a 552</w:t>
      </w:r>
      <w:r w:rsidRPr="00D06233">
        <w:t xml:space="preserve">). </w:t>
      </w:r>
    </w:p>
  </w:footnote>
  <w:footnote w:id="194">
    <w:p w14:paraId="0C704E34" w14:textId="1C2AAB64" w:rsidR="006B2C5D" w:rsidRDefault="006B2C5D" w:rsidP="00B15331">
      <w:pPr>
        <w:pStyle w:val="FootnoteText"/>
      </w:pPr>
      <w:r w:rsidRPr="00514304">
        <w:rPr>
          <w:rStyle w:val="FootnoteReference"/>
          <w:sz w:val="16"/>
        </w:rPr>
        <w:footnoteRef/>
      </w:r>
      <w:r w:rsidRPr="00514304">
        <w:t xml:space="preserve"> </w:t>
      </w:r>
      <w:r w:rsidRPr="00514304">
        <w:tab/>
      </w:r>
      <w:r w:rsidRPr="00514304">
        <w:rPr>
          <w:i/>
          <w:lang w:val="es-PE"/>
        </w:rPr>
        <w:t>Cfr.</w:t>
      </w:r>
      <w:r w:rsidRPr="00514304">
        <w:rPr>
          <w:lang w:val="es-PE"/>
        </w:rPr>
        <w:t xml:space="preserve"> Auto de requerimiento de investigación policial de la denuncia No. </w:t>
      </w:r>
      <w:r w:rsidRPr="00514304">
        <w:t>0801-2010-34463 de 14 de mayo de 2013 de 2010</w:t>
      </w:r>
      <w:r>
        <w:t xml:space="preserve">, </w:t>
      </w:r>
      <w:r>
        <w:rPr>
          <w:i/>
        </w:rPr>
        <w:t>supra</w:t>
      </w:r>
      <w:proofErr w:type="gramStart"/>
      <w:r>
        <w:rPr>
          <w:i/>
        </w:rPr>
        <w:t>,</w:t>
      </w:r>
      <w:r w:rsidRPr="00514304">
        <w:t>(</w:t>
      </w:r>
      <w:proofErr w:type="gramEnd"/>
      <w:r>
        <w:t xml:space="preserve">expediente de prueba, </w:t>
      </w:r>
      <w:r w:rsidRPr="00514304">
        <w:t>folios 1484 a 1485 y 1487).</w:t>
      </w:r>
      <w:r>
        <w:t xml:space="preserve"> </w:t>
      </w:r>
    </w:p>
  </w:footnote>
  <w:footnote w:id="195">
    <w:p w14:paraId="0C704E35" w14:textId="1D1D940B"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FEEPC-OF 65-2013 de la Fiscalía de Etnias de 15 de mayo de 2013</w:t>
      </w:r>
      <w:r>
        <w:t xml:space="preserve"> </w:t>
      </w:r>
      <w:r w:rsidRPr="00514304">
        <w:t>(</w:t>
      </w:r>
      <w:r>
        <w:t xml:space="preserve">expediente de prueba, </w:t>
      </w:r>
      <w:r w:rsidRPr="00514304">
        <w:t>folio 1486).</w:t>
      </w:r>
      <w:r>
        <w:t xml:space="preserve"> </w:t>
      </w:r>
    </w:p>
  </w:footnote>
  <w:footnote w:id="196">
    <w:p w14:paraId="0C704E36" w14:textId="33BFC650" w:rsidR="006B2C5D" w:rsidRDefault="006B2C5D" w:rsidP="00B15331">
      <w:pPr>
        <w:pStyle w:val="FootnoteText"/>
      </w:pPr>
      <w:r w:rsidRPr="00514304">
        <w:rPr>
          <w:rStyle w:val="FootnoteReference"/>
          <w:sz w:val="16"/>
        </w:rPr>
        <w:footnoteRef/>
      </w:r>
      <w:r w:rsidRPr="00514304">
        <w:t xml:space="preserve"> </w:t>
      </w:r>
      <w:r>
        <w:tab/>
      </w:r>
      <w:r w:rsidRPr="00A0324F">
        <w:rPr>
          <w:i/>
        </w:rPr>
        <w:t>Cfr.</w:t>
      </w:r>
      <w:r w:rsidRPr="00514304">
        <w:t xml:space="preserve"> Oficio No. DGC 0861-2013 del SOPTRAVI de 16 de mayo de 2013</w:t>
      </w:r>
      <w:r>
        <w:t xml:space="preserve"> </w:t>
      </w:r>
      <w:r w:rsidRPr="00514304">
        <w:t>(</w:t>
      </w:r>
      <w:r>
        <w:t xml:space="preserve">expediente de prueba, </w:t>
      </w:r>
      <w:r w:rsidRPr="00514304">
        <w:t>folio 1488).</w:t>
      </w:r>
    </w:p>
  </w:footnote>
  <w:footnote w:id="197">
    <w:p w14:paraId="0C704E37" w14:textId="52ED79EF"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Oficio FEEPC-OF 319-2013 de la Fiscalía de Etnias de 23 de mayo de 2013 recibido el 3 de junio de 2013 (</w:t>
      </w:r>
      <w:r>
        <w:t xml:space="preserve">expediente de prueba, </w:t>
      </w:r>
      <w:r w:rsidRPr="00514304">
        <w:t>folio 1495)</w:t>
      </w:r>
      <w:r>
        <w:t>.</w:t>
      </w:r>
    </w:p>
  </w:footnote>
  <w:footnote w:id="198">
    <w:p w14:paraId="0C704E38" w14:textId="7B6BA308" w:rsidR="006B2C5D" w:rsidRDefault="006B2C5D" w:rsidP="00B15331">
      <w:pPr>
        <w:pStyle w:val="FootnoteText"/>
        <w:rPr>
          <w:lang w:val="es-PE"/>
        </w:rPr>
      </w:pPr>
      <w:r w:rsidRPr="00514304">
        <w:rPr>
          <w:rStyle w:val="FootnoteReference"/>
          <w:sz w:val="16"/>
        </w:rPr>
        <w:footnoteRef/>
      </w:r>
      <w:r w:rsidRPr="00514304">
        <w:t xml:space="preserve">  </w:t>
      </w:r>
      <w:r w:rsidRPr="00514304">
        <w:tab/>
      </w:r>
      <w:r w:rsidRPr="00514304">
        <w:rPr>
          <w:i/>
        </w:rPr>
        <w:t>Cfr</w:t>
      </w:r>
      <w:r w:rsidRPr="00514304">
        <w:t xml:space="preserve">. Carta de la Municipalidad de </w:t>
      </w:r>
      <w:proofErr w:type="spellStart"/>
      <w:r w:rsidRPr="00514304">
        <w:t>Iriona</w:t>
      </w:r>
      <w:proofErr w:type="spellEnd"/>
      <w:r w:rsidRPr="00514304">
        <w:t xml:space="preserve"> de 3 de junio de 2013 (</w:t>
      </w:r>
      <w:r>
        <w:t>expediente de prueba</w:t>
      </w:r>
      <w:r w:rsidRPr="00514304">
        <w:t xml:space="preserve">, folio 1496). </w:t>
      </w:r>
    </w:p>
  </w:footnote>
  <w:footnote w:id="199">
    <w:p w14:paraId="0C704E39" w14:textId="6409DB5F" w:rsidR="006B2C5D" w:rsidRDefault="006B2C5D" w:rsidP="00B15331">
      <w:pPr>
        <w:pStyle w:val="FootnoteText"/>
      </w:pPr>
      <w:r w:rsidRPr="00514304">
        <w:rPr>
          <w:rStyle w:val="FootnoteReference"/>
          <w:sz w:val="16"/>
        </w:rPr>
        <w:footnoteRef/>
      </w:r>
      <w:r w:rsidRPr="00514304">
        <w:t xml:space="preserve"> </w:t>
      </w:r>
      <w:r w:rsidRPr="00514304">
        <w:tab/>
      </w:r>
      <w:r w:rsidRPr="00514304">
        <w:rPr>
          <w:i/>
        </w:rPr>
        <w:t>Cfr.</w:t>
      </w:r>
      <w:r w:rsidRPr="00514304">
        <w:t xml:space="preserve"> Acta de diligencia policial de inspección ocular de 3 de junio de 2013 (</w:t>
      </w:r>
      <w:r>
        <w:t xml:space="preserve">expediente de prueba, 1497 a </w:t>
      </w:r>
      <w:r w:rsidRPr="00514304">
        <w:t>1498)</w:t>
      </w:r>
      <w:r>
        <w:rPr>
          <w:i/>
        </w:rPr>
        <w:t>;</w:t>
      </w:r>
      <w:r w:rsidRPr="00514304">
        <w:t xml:space="preserve"> Solicitud de información de la Fiscalía de Etnias de 19 de junio de 2013 (</w:t>
      </w:r>
      <w:r>
        <w:t>expediente de prueba</w:t>
      </w:r>
      <w:r w:rsidRPr="00514304">
        <w:t>, folio 1489), e Informe de la Dirección Nacional de Investigación Criminal de 1 de agosto de 2013 presentado a solicitud de la Fiscalía de Etnias (</w:t>
      </w:r>
      <w:r>
        <w:t>expediente de prueba</w:t>
      </w:r>
      <w:r w:rsidRPr="00514304">
        <w:t>, folios 1490 a 1491).</w:t>
      </w:r>
    </w:p>
  </w:footnote>
  <w:footnote w:id="200">
    <w:p w14:paraId="0C704E3A" w14:textId="365B92F2" w:rsidR="006B2C5D" w:rsidRDefault="006B2C5D" w:rsidP="00B15331">
      <w:pPr>
        <w:pStyle w:val="Footnotes"/>
      </w:pPr>
      <w:r w:rsidRPr="00514304">
        <w:rPr>
          <w:rStyle w:val="FootnoteReference"/>
          <w:sz w:val="16"/>
        </w:rPr>
        <w:footnoteRef/>
      </w:r>
      <w:r w:rsidRPr="00514304">
        <w:t xml:space="preserve"> </w:t>
      </w:r>
      <w:r w:rsidRPr="00514304">
        <w:tab/>
      </w:r>
      <w:r w:rsidRPr="00B17301">
        <w:rPr>
          <w:i/>
        </w:rPr>
        <w:t xml:space="preserve">Cfr. Caso de la Comunidad </w:t>
      </w:r>
      <w:proofErr w:type="spellStart"/>
      <w:r w:rsidRPr="00B17301">
        <w:rPr>
          <w:i/>
        </w:rPr>
        <w:t>Mayagna</w:t>
      </w:r>
      <w:proofErr w:type="spellEnd"/>
      <w:r w:rsidRPr="00B17301">
        <w:rPr>
          <w:i/>
        </w:rPr>
        <w:t xml:space="preserve"> (Sumo) </w:t>
      </w:r>
      <w:proofErr w:type="spellStart"/>
      <w:r w:rsidRPr="00B17301">
        <w:rPr>
          <w:i/>
        </w:rPr>
        <w:t>Awas</w:t>
      </w:r>
      <w:proofErr w:type="spellEnd"/>
      <w:r w:rsidRPr="00B17301">
        <w:rPr>
          <w:i/>
        </w:rPr>
        <w:t xml:space="preserve"> </w:t>
      </w:r>
      <w:proofErr w:type="spellStart"/>
      <w:r w:rsidRPr="00B17301">
        <w:rPr>
          <w:i/>
        </w:rPr>
        <w:t>Tingni</w:t>
      </w:r>
      <w:proofErr w:type="spellEnd"/>
      <w:r w:rsidRPr="00B17301">
        <w:rPr>
          <w:i/>
        </w:rPr>
        <w:t xml:space="preserve"> Vs Nicaragua. Fondo Reparaciones y Costas.</w:t>
      </w:r>
      <w:r w:rsidRPr="00514304">
        <w:t xml:space="preserve"> Sentencia de 31 de agosto de 2001. Serie C 79, párr. 148 y </w:t>
      </w:r>
      <w:r w:rsidRPr="00B17301">
        <w:rPr>
          <w:i/>
          <w:lang w:val="es-CR"/>
        </w:rPr>
        <w:t xml:space="preserve">Caso de los Pueblos Indígenas Kuna de </w:t>
      </w:r>
      <w:proofErr w:type="spellStart"/>
      <w:r w:rsidRPr="00B17301">
        <w:rPr>
          <w:i/>
          <w:lang w:val="es-CR"/>
        </w:rPr>
        <w:t>Madungandí</w:t>
      </w:r>
      <w:proofErr w:type="spellEnd"/>
      <w:r w:rsidRPr="00B17301">
        <w:rPr>
          <w:i/>
          <w:lang w:val="es-CR"/>
        </w:rPr>
        <w:t xml:space="preserve"> y </w:t>
      </w:r>
      <w:proofErr w:type="spellStart"/>
      <w:r w:rsidRPr="00B17301">
        <w:rPr>
          <w:i/>
          <w:lang w:val="es-CR"/>
        </w:rPr>
        <w:t>Emberá</w:t>
      </w:r>
      <w:proofErr w:type="spellEnd"/>
      <w:r w:rsidRPr="00B17301">
        <w:rPr>
          <w:i/>
          <w:lang w:val="es-CR"/>
        </w:rPr>
        <w:t xml:space="preserve"> de Bayano y sus Miembros Vs. Panamá. Excepciones Preliminares, Fondo, Reparaciones y Costas.</w:t>
      </w:r>
      <w:r w:rsidRPr="00514304">
        <w:rPr>
          <w:lang w:val="es-CR"/>
        </w:rPr>
        <w:t xml:space="preserve"> Sentencia de 14 de octubre de 2014. Serie C No. 284</w:t>
      </w:r>
      <w:r w:rsidRPr="00514304">
        <w:t>, párr. 111.</w:t>
      </w:r>
    </w:p>
  </w:footnote>
  <w:footnote w:id="201">
    <w:p w14:paraId="0C704E3B" w14:textId="01B46EF9" w:rsidR="006B2C5D" w:rsidRDefault="006B2C5D" w:rsidP="00B15331">
      <w:pPr>
        <w:pStyle w:val="Footnotes"/>
      </w:pPr>
      <w:r w:rsidRPr="00514304">
        <w:rPr>
          <w:rStyle w:val="FootnoteReference"/>
          <w:sz w:val="16"/>
        </w:rPr>
        <w:footnoteRef/>
      </w:r>
      <w:r w:rsidRPr="00514304">
        <w:t xml:space="preserve"> </w:t>
      </w:r>
      <w:r w:rsidRPr="00514304">
        <w:tab/>
      </w:r>
      <w:r w:rsidRPr="00B17301">
        <w:rPr>
          <w:i/>
        </w:rPr>
        <w:t xml:space="preserve">Cfr. Caso Comunidad Indígena </w:t>
      </w:r>
      <w:proofErr w:type="spellStart"/>
      <w:r w:rsidRPr="00B17301">
        <w:rPr>
          <w:i/>
        </w:rPr>
        <w:t>Sawhoyamaxa</w:t>
      </w:r>
      <w:proofErr w:type="spellEnd"/>
      <w:r w:rsidRPr="00B17301">
        <w:rPr>
          <w:i/>
        </w:rPr>
        <w:t xml:space="preserve"> Vs. Paraguay. Fondo, Reparaciones y Costas.</w:t>
      </w:r>
      <w:r w:rsidRPr="00514304">
        <w:t xml:space="preserve"> Sentencia de 29 de marzo de 2006. Serie C 146, párr. 120 y </w:t>
      </w:r>
      <w:r w:rsidRPr="00B17301">
        <w:rPr>
          <w:i/>
          <w:lang w:val="es-CR"/>
        </w:rPr>
        <w:t xml:space="preserve">Caso de los Pueblos Indígenas Kuna de </w:t>
      </w:r>
      <w:proofErr w:type="spellStart"/>
      <w:r w:rsidRPr="00B17301">
        <w:rPr>
          <w:i/>
          <w:lang w:val="es-CR"/>
        </w:rPr>
        <w:t>Madungandí</w:t>
      </w:r>
      <w:proofErr w:type="spellEnd"/>
      <w:r w:rsidRPr="00B17301">
        <w:rPr>
          <w:i/>
          <w:lang w:val="es-CR"/>
        </w:rPr>
        <w:t xml:space="preserve"> y </w:t>
      </w:r>
      <w:proofErr w:type="spellStart"/>
      <w:r w:rsidRPr="00B17301">
        <w:rPr>
          <w:i/>
          <w:lang w:val="es-CR"/>
        </w:rPr>
        <w:t>Emberá</w:t>
      </w:r>
      <w:proofErr w:type="spellEnd"/>
      <w:r w:rsidRPr="00B17301">
        <w:rPr>
          <w:i/>
          <w:lang w:val="es-CR"/>
        </w:rPr>
        <w:t xml:space="preserve"> de Bayano y sus Miembros</w:t>
      </w:r>
      <w:r w:rsidRPr="00B17301">
        <w:rPr>
          <w:i/>
        </w:rPr>
        <w:t>, supra,</w:t>
      </w:r>
      <w:r w:rsidRPr="00514304">
        <w:t xml:space="preserve"> párr. 111.</w:t>
      </w:r>
    </w:p>
  </w:footnote>
  <w:footnote w:id="202">
    <w:p w14:paraId="0C704E3C" w14:textId="014FB9D2" w:rsidR="006B2C5D" w:rsidRDefault="006B2C5D" w:rsidP="00B15331">
      <w:pPr>
        <w:pStyle w:val="FootnoteText"/>
      </w:pPr>
      <w:r w:rsidRPr="00514304">
        <w:rPr>
          <w:rStyle w:val="FootnoteReference"/>
          <w:sz w:val="16"/>
        </w:rPr>
        <w:footnoteRef/>
      </w:r>
      <w:r w:rsidRPr="00514304">
        <w:t xml:space="preserve"> </w:t>
      </w:r>
      <w:r w:rsidRPr="00514304">
        <w:tab/>
      </w:r>
      <w:r w:rsidRPr="00B17301">
        <w:rPr>
          <w:i/>
          <w:lang w:val="es-CL"/>
        </w:rPr>
        <w:t xml:space="preserve">Cfr. Caso Comunidad </w:t>
      </w:r>
      <w:proofErr w:type="spellStart"/>
      <w:r w:rsidRPr="00B17301">
        <w:rPr>
          <w:i/>
          <w:lang w:val="es-CL"/>
        </w:rPr>
        <w:t>Mayagna</w:t>
      </w:r>
      <w:proofErr w:type="spellEnd"/>
      <w:r w:rsidRPr="00B17301">
        <w:rPr>
          <w:i/>
          <w:lang w:val="es-CL"/>
        </w:rPr>
        <w:t xml:space="preserve"> (Sumo) </w:t>
      </w:r>
      <w:proofErr w:type="spellStart"/>
      <w:r w:rsidRPr="00B17301">
        <w:rPr>
          <w:i/>
          <w:lang w:val="es-CL"/>
        </w:rPr>
        <w:t>Awas</w:t>
      </w:r>
      <w:proofErr w:type="spellEnd"/>
      <w:r w:rsidRPr="00B17301">
        <w:rPr>
          <w:i/>
          <w:lang w:val="es-CL"/>
        </w:rPr>
        <w:t xml:space="preserve"> </w:t>
      </w:r>
      <w:proofErr w:type="spellStart"/>
      <w:r w:rsidRPr="00B17301">
        <w:rPr>
          <w:i/>
          <w:lang w:val="es-CL"/>
        </w:rPr>
        <w:t>Tingni</w:t>
      </w:r>
      <w:proofErr w:type="spellEnd"/>
      <w:r w:rsidRPr="00B17301">
        <w:rPr>
          <w:i/>
          <w:lang w:val="es-CL"/>
        </w:rPr>
        <w:t>, supra,</w:t>
      </w:r>
      <w:r w:rsidRPr="00514304">
        <w:t xml:space="preserve"> </w:t>
      </w:r>
      <w:r w:rsidRPr="00514304">
        <w:rPr>
          <w:lang w:val="es-CL"/>
        </w:rPr>
        <w:t>párr. 149</w:t>
      </w:r>
      <w:r>
        <w:t xml:space="preserve"> </w:t>
      </w:r>
      <w:r w:rsidRPr="006A0E8F">
        <w:t>y</w:t>
      </w:r>
      <w:r w:rsidRPr="006A0E8F">
        <w:rPr>
          <w:lang w:val="es-CR"/>
        </w:rPr>
        <w:t xml:space="preserve"> </w:t>
      </w:r>
      <w:r w:rsidRPr="00A0324F">
        <w:rPr>
          <w:rStyle w:val="Strong"/>
          <w:b w:val="0"/>
          <w:i/>
          <w:color w:val="000000"/>
        </w:rPr>
        <w:t xml:space="preserve">Caso Comunidad Indígena </w:t>
      </w:r>
      <w:proofErr w:type="spellStart"/>
      <w:r w:rsidRPr="00A0324F">
        <w:rPr>
          <w:rStyle w:val="Strong"/>
          <w:b w:val="0"/>
          <w:i/>
          <w:color w:val="000000"/>
        </w:rPr>
        <w:t>Xákmok</w:t>
      </w:r>
      <w:proofErr w:type="spellEnd"/>
      <w:r w:rsidRPr="00A0324F">
        <w:rPr>
          <w:rStyle w:val="Strong"/>
          <w:b w:val="0"/>
          <w:i/>
          <w:color w:val="000000"/>
        </w:rPr>
        <w:t xml:space="preserve"> </w:t>
      </w:r>
      <w:proofErr w:type="spellStart"/>
      <w:r w:rsidRPr="00A0324F">
        <w:rPr>
          <w:rStyle w:val="Strong"/>
          <w:b w:val="0"/>
          <w:i/>
          <w:color w:val="000000"/>
        </w:rPr>
        <w:t>Kásek</w:t>
      </w:r>
      <w:proofErr w:type="spellEnd"/>
      <w:r w:rsidRPr="00A0324F">
        <w:rPr>
          <w:rStyle w:val="Strong"/>
          <w:b w:val="0"/>
          <w:i/>
          <w:color w:val="000000"/>
        </w:rPr>
        <w:t xml:space="preserve">. Vs. Paraguay. Fondo, Reparaciones y Costas. </w:t>
      </w:r>
      <w:r w:rsidRPr="00A0324F">
        <w:rPr>
          <w:rStyle w:val="Strong"/>
          <w:b w:val="0"/>
          <w:color w:val="000000"/>
        </w:rPr>
        <w:t>Sentencia de 24 de agosto de 2010 Serie C No. 214</w:t>
      </w:r>
      <w:r w:rsidRPr="00A0324F">
        <w:rPr>
          <w:lang w:val="es-ES_tradnl"/>
        </w:rPr>
        <w:t xml:space="preserve">, párr. </w:t>
      </w:r>
      <w:r>
        <w:rPr>
          <w:lang w:val="es-ES_tradnl"/>
        </w:rPr>
        <w:t>86.</w:t>
      </w:r>
    </w:p>
  </w:footnote>
  <w:footnote w:id="203">
    <w:p w14:paraId="0C704E3D" w14:textId="16432B6B" w:rsidR="006B2C5D" w:rsidRDefault="006B2C5D" w:rsidP="00B15331">
      <w:pPr>
        <w:pStyle w:val="FootnoteText"/>
      </w:pPr>
      <w:r w:rsidRPr="00514304">
        <w:rPr>
          <w:rStyle w:val="FootnoteReference"/>
          <w:sz w:val="16"/>
        </w:rPr>
        <w:footnoteRef/>
      </w:r>
      <w:r w:rsidRPr="00514304">
        <w:tab/>
      </w:r>
      <w:r w:rsidRPr="00B17301">
        <w:rPr>
          <w:i/>
        </w:rPr>
        <w:t xml:space="preserve">Caso Comunidad Indígena </w:t>
      </w:r>
      <w:proofErr w:type="spellStart"/>
      <w:r w:rsidRPr="00B17301">
        <w:rPr>
          <w:i/>
        </w:rPr>
        <w:t>Yakye</w:t>
      </w:r>
      <w:proofErr w:type="spellEnd"/>
      <w:r w:rsidRPr="00B17301">
        <w:rPr>
          <w:i/>
        </w:rPr>
        <w:t xml:space="preserve"> Axa, supra, </w:t>
      </w:r>
      <w:r w:rsidRPr="00514304">
        <w:t xml:space="preserve">párr. 135 </w:t>
      </w:r>
      <w:r w:rsidRPr="00A0324F">
        <w:t xml:space="preserve">y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w:t>
      </w:r>
      <w:r w:rsidRPr="00A0324F">
        <w:t xml:space="preserve"> párr. 112.</w:t>
      </w:r>
    </w:p>
  </w:footnote>
  <w:footnote w:id="204">
    <w:p w14:paraId="0C704E3E" w14:textId="18381E6F" w:rsidR="006B2C5D" w:rsidRDefault="006B2C5D" w:rsidP="00B15331">
      <w:pPr>
        <w:pStyle w:val="FootnoteText"/>
      </w:pPr>
      <w:r w:rsidRPr="00514304">
        <w:rPr>
          <w:rStyle w:val="FootnoteReference"/>
          <w:sz w:val="16"/>
        </w:rPr>
        <w:footnoteRef/>
      </w:r>
      <w:r w:rsidRPr="00514304">
        <w:t xml:space="preserve"> </w:t>
      </w:r>
      <w:r w:rsidRPr="00514304">
        <w:tab/>
      </w:r>
      <w:r w:rsidRPr="00B17301">
        <w:rPr>
          <w:i/>
        </w:rPr>
        <w:t xml:space="preserve">Cfr. Caso de la Comunidad Indígena </w:t>
      </w:r>
      <w:proofErr w:type="spellStart"/>
      <w:r w:rsidRPr="00B17301">
        <w:rPr>
          <w:i/>
        </w:rPr>
        <w:t>Yakye</w:t>
      </w:r>
      <w:proofErr w:type="spellEnd"/>
      <w:r w:rsidRPr="00B17301">
        <w:rPr>
          <w:i/>
        </w:rPr>
        <w:t xml:space="preserve"> Axa, supra, </w:t>
      </w:r>
      <w:proofErr w:type="spellStart"/>
      <w:r w:rsidRPr="00514304">
        <w:t>párrs</w:t>
      </w:r>
      <w:proofErr w:type="spellEnd"/>
      <w:r w:rsidRPr="00514304">
        <w:t xml:space="preserve">. 124, 135 y 137 y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w:t>
      </w:r>
      <w:r w:rsidRPr="00514304">
        <w:t xml:space="preserve"> párr. 112.</w:t>
      </w:r>
    </w:p>
  </w:footnote>
  <w:footnote w:id="205">
    <w:p w14:paraId="0C704E3F" w14:textId="492D1445" w:rsidR="006B2C5D" w:rsidRPr="0001111C" w:rsidRDefault="006B2C5D" w:rsidP="00B15331">
      <w:pPr>
        <w:pStyle w:val="FootnoteText"/>
      </w:pPr>
      <w:r w:rsidRPr="0001111C">
        <w:rPr>
          <w:rStyle w:val="FootnoteReference"/>
          <w:sz w:val="16"/>
        </w:rPr>
        <w:footnoteRef/>
      </w:r>
      <w:r w:rsidRPr="0001111C">
        <w:t xml:space="preserve"> </w:t>
      </w:r>
      <w:r w:rsidRPr="0001111C">
        <w:tab/>
      </w:r>
      <w:r w:rsidRPr="00B17301">
        <w:rPr>
          <w:i/>
        </w:rPr>
        <w:t xml:space="preserve">Cfr. Caso de la Comunidad Indígena </w:t>
      </w:r>
      <w:proofErr w:type="spellStart"/>
      <w:r w:rsidRPr="00B17301">
        <w:rPr>
          <w:i/>
        </w:rPr>
        <w:t>Yakye</w:t>
      </w:r>
      <w:proofErr w:type="spellEnd"/>
      <w:r w:rsidRPr="00B17301">
        <w:rPr>
          <w:i/>
        </w:rPr>
        <w:t xml:space="preserve"> Axa, supra,</w:t>
      </w:r>
      <w:r w:rsidRPr="0001111C">
        <w:t xml:space="preserve"> </w:t>
      </w:r>
      <w:proofErr w:type="spellStart"/>
      <w:r w:rsidRPr="0001111C">
        <w:t>párrs</w:t>
      </w:r>
      <w:proofErr w:type="spellEnd"/>
      <w:r w:rsidRPr="0001111C">
        <w:t xml:space="preserve">. 124, 135 y 137 y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w:t>
      </w:r>
      <w:r w:rsidRPr="0001111C">
        <w:t xml:space="preserve"> párr. 112.</w:t>
      </w:r>
    </w:p>
  </w:footnote>
  <w:footnote w:id="206">
    <w:p w14:paraId="0C704E40" w14:textId="5EDD5499" w:rsidR="006B2C5D" w:rsidRPr="0001111C" w:rsidRDefault="006B2C5D" w:rsidP="00B15331">
      <w:pPr>
        <w:pStyle w:val="FootnoteText"/>
      </w:pPr>
      <w:r w:rsidRPr="0001111C">
        <w:rPr>
          <w:rStyle w:val="FootnoteReference"/>
          <w:sz w:val="16"/>
        </w:rPr>
        <w:footnoteRef/>
      </w:r>
      <w:r w:rsidRPr="0001111C">
        <w:t xml:space="preserve"> </w:t>
      </w:r>
      <w:r w:rsidRPr="0001111C">
        <w:rPr>
          <w:lang w:val="es-ES_tradnl"/>
        </w:rPr>
        <w:tab/>
      </w:r>
      <w:r w:rsidRPr="0001111C">
        <w:rPr>
          <w:i/>
          <w:lang w:val="es-ES_tradnl"/>
        </w:rPr>
        <w:t>Cfr.</w:t>
      </w:r>
      <w:r w:rsidRPr="0001111C">
        <w:rPr>
          <w:lang w:val="es-ES_tradnl"/>
        </w:rPr>
        <w:t xml:space="preserve"> </w:t>
      </w:r>
      <w:r w:rsidRPr="0001111C">
        <w:t xml:space="preserve">OIT, Convenio 169 sobre pueblos indígenas y tribales, </w:t>
      </w:r>
      <w:r w:rsidRPr="0001111C">
        <w:rPr>
          <w:i/>
        </w:rPr>
        <w:t>supra,</w:t>
      </w:r>
      <w:r w:rsidRPr="0001111C">
        <w:t xml:space="preserve"> artículo 18.</w:t>
      </w:r>
    </w:p>
  </w:footnote>
  <w:footnote w:id="207">
    <w:p w14:paraId="0C704E41" w14:textId="6C035A7B" w:rsidR="006B2C5D" w:rsidRPr="00514304" w:rsidRDefault="006B2C5D" w:rsidP="00B15331">
      <w:pPr>
        <w:pStyle w:val="FootnoteText"/>
      </w:pPr>
      <w:r w:rsidRPr="0001111C">
        <w:rPr>
          <w:rStyle w:val="FootnoteReference"/>
          <w:sz w:val="16"/>
        </w:rPr>
        <w:footnoteRef/>
      </w:r>
      <w:r w:rsidRPr="0001111C">
        <w:t xml:space="preserve"> </w:t>
      </w:r>
      <w:r w:rsidRPr="0001111C">
        <w:tab/>
      </w:r>
      <w:r w:rsidRPr="0001111C">
        <w:rPr>
          <w:i/>
        </w:rPr>
        <w:t xml:space="preserve">Inter alia, </w:t>
      </w:r>
      <w:r w:rsidRPr="0001111C">
        <w:t>ONU. Foro Permanente para las Cuestiones Indígenas de las Naciones Unidas; ONU. Comité de Derechos Humanos; ONU, Comité para la Eliminación de la Discriminación Racial</w:t>
      </w:r>
      <w:r w:rsidRPr="00514304">
        <w:t>;</w:t>
      </w:r>
      <w:r>
        <w:t xml:space="preserve"> ONU,</w:t>
      </w:r>
      <w:r w:rsidRPr="00514304">
        <w:rPr>
          <w:rFonts w:eastAsiaTheme="minorHAnsi"/>
          <w:bCs/>
        </w:rPr>
        <w:t xml:space="preserve"> </w:t>
      </w:r>
      <w:r w:rsidRPr="00514304">
        <w:rPr>
          <w:rFonts w:eastAsiaTheme="minorHAnsi" w:cs="Arial"/>
          <w:bCs/>
        </w:rPr>
        <w:t>Relator</w:t>
      </w:r>
      <w:r>
        <w:rPr>
          <w:rFonts w:eastAsiaTheme="minorHAnsi" w:cs="Arial"/>
          <w:bCs/>
        </w:rPr>
        <w:t>a</w:t>
      </w:r>
      <w:r w:rsidRPr="00514304">
        <w:rPr>
          <w:rFonts w:eastAsiaTheme="minorHAnsi" w:cs="Arial"/>
          <w:bCs/>
        </w:rPr>
        <w:t xml:space="preserve"> Especial sobre </w:t>
      </w:r>
      <w:r w:rsidRPr="00514304">
        <w:rPr>
          <w:rFonts w:eastAsiaTheme="minorHAnsi"/>
          <w:bCs/>
        </w:rPr>
        <w:t xml:space="preserve">los derechos de los pueblos indígenas; </w:t>
      </w:r>
      <w:r w:rsidRPr="00514304">
        <w:t xml:space="preserve">ONU, Oficina del Alto Comisionado de las Naciones Unidas; </w:t>
      </w:r>
      <w:r>
        <w:t xml:space="preserve">CIDH, </w:t>
      </w:r>
      <w:r w:rsidRPr="00514304">
        <w:t xml:space="preserve">Relatoría sobre los Derechos de los Pueblos Indígenas de la CIDH; Declaración Americana de los Derechos y Deberes del Hombre. </w:t>
      </w:r>
    </w:p>
  </w:footnote>
  <w:footnote w:id="208">
    <w:p w14:paraId="0C704E42" w14:textId="73A1DDA5"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rStyle w:val="apple-style-span"/>
          <w:i/>
          <w:color w:val="000000"/>
        </w:rPr>
        <w:t xml:space="preserve">Cfr. Caso de la Comunidad </w:t>
      </w:r>
      <w:proofErr w:type="spellStart"/>
      <w:r w:rsidRPr="00514304">
        <w:rPr>
          <w:rStyle w:val="apple-style-span"/>
          <w:i/>
          <w:color w:val="000000"/>
        </w:rPr>
        <w:t>Mayagna</w:t>
      </w:r>
      <w:proofErr w:type="spellEnd"/>
      <w:r w:rsidRPr="00514304">
        <w:rPr>
          <w:rStyle w:val="apple-style-span"/>
          <w:i/>
          <w:color w:val="000000"/>
        </w:rPr>
        <w:t xml:space="preserve"> (Sumo) </w:t>
      </w:r>
      <w:proofErr w:type="spellStart"/>
      <w:r w:rsidRPr="00514304">
        <w:rPr>
          <w:rStyle w:val="apple-style-span"/>
          <w:i/>
          <w:color w:val="000000"/>
        </w:rPr>
        <w:t>Awas</w:t>
      </w:r>
      <w:proofErr w:type="spellEnd"/>
      <w:r w:rsidRPr="00514304">
        <w:rPr>
          <w:rStyle w:val="apple-style-span"/>
          <w:i/>
          <w:color w:val="000000"/>
        </w:rPr>
        <w:t xml:space="preserve"> </w:t>
      </w:r>
      <w:proofErr w:type="spellStart"/>
      <w:r w:rsidRPr="00514304">
        <w:rPr>
          <w:rStyle w:val="apple-style-span"/>
          <w:i/>
          <w:color w:val="000000"/>
        </w:rPr>
        <w:t>Tingni</w:t>
      </w:r>
      <w:proofErr w:type="spellEnd"/>
      <w:r w:rsidRPr="00514304">
        <w:rPr>
          <w:rStyle w:val="apple-style-span"/>
          <w:i/>
          <w:color w:val="000000"/>
        </w:rPr>
        <w:t xml:space="preserve">, supra, </w:t>
      </w:r>
      <w:r>
        <w:rPr>
          <w:rStyle w:val="apple-style-span"/>
          <w:color w:val="000000"/>
        </w:rPr>
        <w:t>párr. 148 y</w:t>
      </w:r>
      <w:r w:rsidRPr="00C70DD4">
        <w:t xml:space="preserve">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 </w:t>
      </w:r>
      <w:r w:rsidRPr="00514304">
        <w:t xml:space="preserve">párr. </w:t>
      </w:r>
      <w:r>
        <w:t>113.</w:t>
      </w:r>
    </w:p>
  </w:footnote>
  <w:footnote w:id="209">
    <w:p w14:paraId="0C704E43" w14:textId="2DC980F8" w:rsidR="006B2C5D" w:rsidRDefault="006B2C5D" w:rsidP="00B15331">
      <w:pPr>
        <w:pStyle w:val="FootnoteText"/>
        <w:rPr>
          <w:lang w:val="es-MX"/>
        </w:rPr>
      </w:pPr>
      <w:r w:rsidRPr="00514304">
        <w:rPr>
          <w:rStyle w:val="FootnoteReference"/>
          <w:sz w:val="16"/>
        </w:rPr>
        <w:footnoteRef/>
      </w:r>
      <w:r w:rsidRPr="00514304">
        <w:t xml:space="preserve"> </w:t>
      </w:r>
      <w:r w:rsidRPr="00514304">
        <w:rPr>
          <w:lang w:val="es-MX"/>
        </w:rPr>
        <w:tab/>
      </w:r>
      <w:r w:rsidRPr="00B17301">
        <w:rPr>
          <w:i/>
          <w:lang w:val="es-MX"/>
        </w:rPr>
        <w:t xml:space="preserve">Cfr. </w:t>
      </w:r>
      <w:r w:rsidRPr="00B17301">
        <w:rPr>
          <w:i/>
        </w:rPr>
        <w:t xml:space="preserve">Caso Comunidad Indígena </w:t>
      </w:r>
      <w:proofErr w:type="spellStart"/>
      <w:r w:rsidRPr="00B17301">
        <w:rPr>
          <w:i/>
        </w:rPr>
        <w:t>Yakye</w:t>
      </w:r>
      <w:proofErr w:type="spellEnd"/>
      <w:r w:rsidRPr="00B17301">
        <w:rPr>
          <w:i/>
        </w:rPr>
        <w:t xml:space="preserve"> Axa</w:t>
      </w:r>
      <w:r w:rsidRPr="00B17301">
        <w:rPr>
          <w:rStyle w:val="Strong"/>
          <w:b w:val="0"/>
          <w:i/>
        </w:rPr>
        <w:t>, supra</w:t>
      </w:r>
      <w:r w:rsidRPr="00B17301">
        <w:rPr>
          <w:i/>
        </w:rPr>
        <w:t>,</w:t>
      </w:r>
      <w:r w:rsidRPr="00514304">
        <w:t xml:space="preserve"> párr. </w:t>
      </w:r>
      <w:r>
        <w:t xml:space="preserve">124 </w:t>
      </w:r>
      <w:r w:rsidRPr="00514304">
        <w:t>y</w:t>
      </w:r>
      <w:r w:rsidRPr="00514304">
        <w:rPr>
          <w:rStyle w:val="Strong"/>
        </w:rPr>
        <w:t xml:space="preserve">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w:t>
      </w:r>
      <w:r w:rsidRPr="00514304">
        <w:t>, párr. 113.</w:t>
      </w:r>
    </w:p>
  </w:footnote>
  <w:footnote w:id="210">
    <w:p w14:paraId="0C704E44" w14:textId="3DED7BDC" w:rsidR="006B2C5D" w:rsidRPr="00514304" w:rsidRDefault="006B2C5D" w:rsidP="00F02DDD">
      <w:pPr>
        <w:tabs>
          <w:tab w:val="left" w:pos="567"/>
        </w:tabs>
        <w:jc w:val="both"/>
        <w:rPr>
          <w:rFonts w:ascii="Verdana" w:hAnsi="Verdana"/>
          <w:color w:val="000000"/>
          <w:sz w:val="16"/>
          <w:szCs w:val="16"/>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Style w:val="apple-style-span"/>
          <w:rFonts w:ascii="Verdana" w:hAnsi="Verdana"/>
          <w:i/>
          <w:color w:val="000000"/>
          <w:sz w:val="16"/>
          <w:szCs w:val="16"/>
        </w:rPr>
        <w:t xml:space="preserve">Cfr. Caso de la Comunidad </w:t>
      </w:r>
      <w:proofErr w:type="spellStart"/>
      <w:r w:rsidRPr="00514304">
        <w:rPr>
          <w:rStyle w:val="apple-style-span"/>
          <w:rFonts w:ascii="Verdana" w:hAnsi="Verdana"/>
          <w:i/>
          <w:color w:val="000000"/>
          <w:sz w:val="16"/>
          <w:szCs w:val="16"/>
        </w:rPr>
        <w:t>Ma</w:t>
      </w:r>
      <w:r>
        <w:rPr>
          <w:rStyle w:val="apple-style-span"/>
          <w:rFonts w:ascii="Verdana" w:hAnsi="Verdana"/>
          <w:i/>
          <w:color w:val="000000"/>
          <w:sz w:val="16"/>
          <w:szCs w:val="16"/>
        </w:rPr>
        <w:t>yagna</w:t>
      </w:r>
      <w:proofErr w:type="spellEnd"/>
      <w:r>
        <w:rPr>
          <w:rStyle w:val="apple-style-span"/>
          <w:rFonts w:ascii="Verdana" w:hAnsi="Verdana"/>
          <w:i/>
          <w:color w:val="000000"/>
          <w:sz w:val="16"/>
          <w:szCs w:val="16"/>
        </w:rPr>
        <w:t xml:space="preserve"> (Sumo) </w:t>
      </w:r>
      <w:proofErr w:type="spellStart"/>
      <w:r>
        <w:rPr>
          <w:rStyle w:val="apple-style-span"/>
          <w:rFonts w:ascii="Verdana" w:hAnsi="Verdana"/>
          <w:i/>
          <w:color w:val="000000"/>
          <w:sz w:val="16"/>
          <w:szCs w:val="16"/>
        </w:rPr>
        <w:t>Awas</w:t>
      </w:r>
      <w:proofErr w:type="spellEnd"/>
      <w:r>
        <w:rPr>
          <w:rStyle w:val="apple-style-span"/>
          <w:rFonts w:ascii="Verdana" w:hAnsi="Verdana"/>
          <w:i/>
          <w:color w:val="000000"/>
          <w:sz w:val="16"/>
          <w:szCs w:val="16"/>
        </w:rPr>
        <w:t xml:space="preserve"> </w:t>
      </w:r>
      <w:proofErr w:type="spellStart"/>
      <w:r>
        <w:rPr>
          <w:rStyle w:val="apple-style-span"/>
          <w:rFonts w:ascii="Verdana" w:hAnsi="Verdana"/>
          <w:i/>
          <w:color w:val="000000"/>
          <w:sz w:val="16"/>
          <w:szCs w:val="16"/>
        </w:rPr>
        <w:t>Tingni</w:t>
      </w:r>
      <w:proofErr w:type="spellEnd"/>
      <w:r>
        <w:rPr>
          <w:rStyle w:val="apple-style-span"/>
          <w:rFonts w:ascii="Verdana" w:hAnsi="Verdana"/>
          <w:i/>
          <w:color w:val="000000"/>
          <w:sz w:val="16"/>
          <w:szCs w:val="16"/>
        </w:rPr>
        <w:t xml:space="preserve">, supra, </w:t>
      </w:r>
      <w:r>
        <w:rPr>
          <w:rStyle w:val="apple-style-span"/>
          <w:rFonts w:ascii="Verdana" w:hAnsi="Verdana"/>
          <w:color w:val="000000"/>
          <w:sz w:val="16"/>
          <w:szCs w:val="16"/>
        </w:rPr>
        <w:t>párr. 153 y 164 y</w:t>
      </w:r>
      <w:r w:rsidRPr="00514304">
        <w:rPr>
          <w:rStyle w:val="apple-style-span"/>
          <w:rFonts w:ascii="Verdana" w:hAnsi="Verdana"/>
          <w:color w:val="000000"/>
          <w:sz w:val="16"/>
          <w:szCs w:val="16"/>
        </w:rPr>
        <w:t xml:space="preserve"> </w:t>
      </w:r>
      <w:r>
        <w:rPr>
          <w:rStyle w:val="apple-style-span"/>
          <w:rFonts w:ascii="Verdana" w:hAnsi="Verdana"/>
          <w:i/>
          <w:color w:val="000000"/>
          <w:sz w:val="16"/>
          <w:szCs w:val="16"/>
        </w:rPr>
        <w:t xml:space="preserve">Caso de los Pueblos Indígenas Kuna de </w:t>
      </w:r>
      <w:proofErr w:type="spellStart"/>
      <w:r>
        <w:rPr>
          <w:rStyle w:val="apple-style-span"/>
          <w:rFonts w:ascii="Verdana" w:hAnsi="Verdana"/>
          <w:i/>
          <w:color w:val="000000"/>
          <w:sz w:val="16"/>
          <w:szCs w:val="16"/>
        </w:rPr>
        <w:t>Madungandí</w:t>
      </w:r>
      <w:proofErr w:type="spellEnd"/>
      <w:r>
        <w:rPr>
          <w:rStyle w:val="apple-style-span"/>
          <w:rFonts w:ascii="Verdana" w:hAnsi="Verdana"/>
          <w:i/>
          <w:color w:val="000000"/>
          <w:sz w:val="16"/>
          <w:szCs w:val="16"/>
        </w:rPr>
        <w:t xml:space="preserve"> y </w:t>
      </w:r>
      <w:proofErr w:type="spellStart"/>
      <w:r>
        <w:rPr>
          <w:rStyle w:val="apple-style-span"/>
          <w:rFonts w:ascii="Verdana" w:hAnsi="Verdana"/>
          <w:i/>
          <w:color w:val="000000"/>
          <w:sz w:val="16"/>
          <w:szCs w:val="16"/>
        </w:rPr>
        <w:t>Emberá</w:t>
      </w:r>
      <w:proofErr w:type="spellEnd"/>
      <w:r>
        <w:rPr>
          <w:rStyle w:val="apple-style-span"/>
          <w:rFonts w:ascii="Verdana" w:hAnsi="Verdana"/>
          <w:i/>
          <w:color w:val="000000"/>
          <w:sz w:val="16"/>
          <w:szCs w:val="16"/>
        </w:rPr>
        <w:t xml:space="preserve"> de Bayano y sus Miembros, supra, </w:t>
      </w:r>
      <w:r>
        <w:rPr>
          <w:rStyle w:val="apple-style-span"/>
          <w:rFonts w:ascii="Verdana" w:hAnsi="Verdana"/>
          <w:color w:val="000000"/>
          <w:sz w:val="16"/>
          <w:szCs w:val="16"/>
        </w:rPr>
        <w:t xml:space="preserve">párr. </w:t>
      </w:r>
      <w:r w:rsidRPr="00514304">
        <w:rPr>
          <w:rStyle w:val="apple-style-span"/>
          <w:rFonts w:ascii="Verdana" w:hAnsi="Verdana"/>
          <w:color w:val="000000"/>
          <w:sz w:val="16"/>
          <w:szCs w:val="16"/>
        </w:rPr>
        <w:t>1</w:t>
      </w:r>
      <w:r>
        <w:rPr>
          <w:rStyle w:val="apple-style-span"/>
          <w:rFonts w:ascii="Verdana" w:hAnsi="Verdana"/>
          <w:color w:val="000000"/>
          <w:sz w:val="16"/>
          <w:szCs w:val="16"/>
        </w:rPr>
        <w:t>19</w:t>
      </w:r>
      <w:r w:rsidRPr="00514304">
        <w:rPr>
          <w:rStyle w:val="apple-style-span"/>
          <w:rFonts w:ascii="Verdana" w:hAnsi="Verdana"/>
          <w:color w:val="000000"/>
          <w:sz w:val="16"/>
          <w:szCs w:val="16"/>
        </w:rPr>
        <w:t>.</w:t>
      </w:r>
      <w:r w:rsidRPr="00514304">
        <w:rPr>
          <w:rFonts w:ascii="Verdana" w:hAnsi="Verdana"/>
          <w:bCs/>
          <w:iCs/>
          <w:sz w:val="16"/>
          <w:szCs w:val="16"/>
        </w:rPr>
        <w:t xml:space="preserve"> </w:t>
      </w:r>
    </w:p>
  </w:footnote>
  <w:footnote w:id="211">
    <w:p w14:paraId="0C704E45" w14:textId="414B0247" w:rsidR="006B2C5D" w:rsidRPr="0001111C" w:rsidRDefault="006B2C5D" w:rsidP="00B15331">
      <w:pPr>
        <w:pStyle w:val="FootnoteText"/>
      </w:pPr>
      <w:r w:rsidRPr="0001111C">
        <w:rPr>
          <w:rStyle w:val="FootnoteReference"/>
          <w:sz w:val="16"/>
        </w:rPr>
        <w:footnoteRef/>
      </w:r>
      <w:r w:rsidRPr="0001111C">
        <w:t xml:space="preserve"> </w:t>
      </w:r>
      <w:r w:rsidRPr="0001111C">
        <w:tab/>
      </w:r>
      <w:r w:rsidRPr="00B17301">
        <w:rPr>
          <w:i/>
        </w:rPr>
        <w:t xml:space="preserve">Cfr. Caso Comunidad Indígena </w:t>
      </w:r>
      <w:proofErr w:type="spellStart"/>
      <w:r w:rsidRPr="00B17301">
        <w:rPr>
          <w:i/>
        </w:rPr>
        <w:t>Yakye</w:t>
      </w:r>
      <w:proofErr w:type="spellEnd"/>
      <w:r w:rsidRPr="00B17301">
        <w:rPr>
          <w:i/>
        </w:rPr>
        <w:t xml:space="preserve"> Axa, supra,</w:t>
      </w:r>
      <w:r w:rsidRPr="0001111C">
        <w:t xml:space="preserve"> párr. 143 y </w:t>
      </w:r>
      <w:r w:rsidRPr="00B17301">
        <w:rPr>
          <w:i/>
        </w:rPr>
        <w:t xml:space="preserve">Caso de los Pueblos Indígenas Kuna de </w:t>
      </w:r>
      <w:proofErr w:type="spellStart"/>
      <w:r w:rsidRPr="00B17301">
        <w:rPr>
          <w:i/>
        </w:rPr>
        <w:t>Madungandí</w:t>
      </w:r>
      <w:proofErr w:type="spellEnd"/>
      <w:r w:rsidRPr="00B17301">
        <w:rPr>
          <w:i/>
        </w:rPr>
        <w:t xml:space="preserve"> y </w:t>
      </w:r>
      <w:proofErr w:type="spellStart"/>
      <w:r w:rsidRPr="00B17301">
        <w:rPr>
          <w:i/>
        </w:rPr>
        <w:t>Emberá</w:t>
      </w:r>
      <w:proofErr w:type="spellEnd"/>
      <w:r w:rsidRPr="00B17301">
        <w:rPr>
          <w:i/>
        </w:rPr>
        <w:t xml:space="preserve"> de Bayano y sus Miembros, supra,</w:t>
      </w:r>
      <w:r w:rsidRPr="0001111C">
        <w:t xml:space="preserve"> párr. 135. </w:t>
      </w:r>
    </w:p>
  </w:footnote>
  <w:footnote w:id="212">
    <w:p w14:paraId="0C704E46" w14:textId="75A33D66" w:rsidR="006B2C5D" w:rsidRPr="0001111C" w:rsidRDefault="006B2C5D" w:rsidP="00780CDD">
      <w:pPr>
        <w:tabs>
          <w:tab w:val="left" w:pos="567"/>
        </w:tabs>
        <w:jc w:val="both"/>
        <w:rPr>
          <w:rFonts w:ascii="Verdana" w:eastAsiaTheme="minorEastAsia" w:hAnsi="Verdana"/>
          <w:sz w:val="16"/>
          <w:szCs w:val="16"/>
          <w:lang w:val="es-MX"/>
        </w:rPr>
      </w:pPr>
      <w:r w:rsidRPr="0001111C">
        <w:rPr>
          <w:rStyle w:val="FootnoteReference"/>
          <w:sz w:val="16"/>
          <w:szCs w:val="16"/>
        </w:rPr>
        <w:footnoteRef/>
      </w:r>
      <w:r w:rsidRPr="0001111C">
        <w:rPr>
          <w:rFonts w:ascii="Verdana" w:hAnsi="Verdana"/>
          <w:sz w:val="16"/>
          <w:szCs w:val="16"/>
          <w:lang w:val="es-CR"/>
        </w:rPr>
        <w:t xml:space="preserve"> </w:t>
      </w:r>
      <w:r w:rsidRPr="0001111C">
        <w:rPr>
          <w:rFonts w:ascii="Verdana" w:hAnsi="Verdana"/>
          <w:sz w:val="16"/>
          <w:szCs w:val="16"/>
          <w:lang w:val="es-CR"/>
        </w:rPr>
        <w:tab/>
      </w:r>
      <w:r w:rsidRPr="0001111C">
        <w:rPr>
          <w:rFonts w:ascii="Verdana" w:hAnsi="Verdana"/>
          <w:i/>
          <w:sz w:val="16"/>
          <w:szCs w:val="16"/>
          <w:lang w:val="es-CR"/>
        </w:rPr>
        <w:t xml:space="preserve">Cfr. </w:t>
      </w:r>
      <w:r w:rsidRPr="0001111C">
        <w:rPr>
          <w:rFonts w:ascii="Verdana" w:hAnsi="Verdana"/>
          <w:i/>
          <w:sz w:val="16"/>
          <w:szCs w:val="16"/>
        </w:rPr>
        <w:t xml:space="preserve">Caso Comunidad Indígena </w:t>
      </w:r>
      <w:proofErr w:type="spellStart"/>
      <w:r w:rsidRPr="0001111C">
        <w:rPr>
          <w:rFonts w:ascii="Verdana" w:hAnsi="Verdana"/>
          <w:i/>
          <w:sz w:val="16"/>
          <w:szCs w:val="16"/>
        </w:rPr>
        <w:t>Sawhoyamaxa</w:t>
      </w:r>
      <w:proofErr w:type="spellEnd"/>
      <w:r w:rsidRPr="0001111C">
        <w:rPr>
          <w:rFonts w:ascii="Verdana" w:hAnsi="Verdana"/>
          <w:i/>
          <w:sz w:val="16"/>
          <w:szCs w:val="16"/>
        </w:rPr>
        <w:t xml:space="preserve">, supra, </w:t>
      </w:r>
      <w:r w:rsidRPr="0001111C">
        <w:rPr>
          <w:rFonts w:ascii="Verdana" w:hAnsi="Verdana"/>
          <w:sz w:val="16"/>
          <w:szCs w:val="16"/>
        </w:rPr>
        <w:t>párr. 128 y</w:t>
      </w:r>
      <w:r w:rsidRPr="0001111C">
        <w:rPr>
          <w:rFonts w:ascii="Verdana" w:eastAsiaTheme="minorEastAsia" w:hAnsi="Verdana"/>
          <w:i/>
          <w:sz w:val="16"/>
          <w:szCs w:val="16"/>
          <w:lang w:val="es-MX"/>
        </w:rPr>
        <w:t xml:space="preserve"> Caso Comunidad Indígena </w:t>
      </w:r>
      <w:proofErr w:type="spellStart"/>
      <w:r w:rsidRPr="0001111C">
        <w:rPr>
          <w:rFonts w:ascii="Verdana" w:eastAsiaTheme="minorEastAsia" w:hAnsi="Verdana"/>
          <w:i/>
          <w:sz w:val="16"/>
          <w:szCs w:val="16"/>
          <w:lang w:val="es-MX"/>
        </w:rPr>
        <w:t>Xákmok</w:t>
      </w:r>
      <w:proofErr w:type="spellEnd"/>
      <w:r w:rsidRPr="0001111C">
        <w:rPr>
          <w:rFonts w:ascii="Verdana" w:eastAsiaTheme="minorEastAsia" w:hAnsi="Verdana"/>
          <w:i/>
          <w:sz w:val="16"/>
          <w:szCs w:val="16"/>
          <w:lang w:val="es-MX"/>
        </w:rPr>
        <w:t xml:space="preserve"> </w:t>
      </w:r>
      <w:proofErr w:type="spellStart"/>
      <w:r w:rsidRPr="0001111C">
        <w:rPr>
          <w:rFonts w:ascii="Verdana" w:eastAsiaTheme="minorEastAsia" w:hAnsi="Verdana"/>
          <w:i/>
          <w:sz w:val="16"/>
          <w:szCs w:val="16"/>
          <w:lang w:val="es-MX"/>
        </w:rPr>
        <w:t>Kásek</w:t>
      </w:r>
      <w:proofErr w:type="spellEnd"/>
      <w:r w:rsidRPr="0001111C">
        <w:rPr>
          <w:rFonts w:ascii="Verdana" w:eastAsiaTheme="minorEastAsia" w:hAnsi="Verdana"/>
          <w:i/>
          <w:sz w:val="16"/>
          <w:szCs w:val="16"/>
          <w:lang w:val="es-MX"/>
        </w:rPr>
        <w:t xml:space="preserve">, supra, </w:t>
      </w:r>
      <w:r w:rsidRPr="0001111C">
        <w:rPr>
          <w:rFonts w:ascii="Verdana" w:eastAsiaTheme="minorEastAsia" w:hAnsi="Verdana"/>
          <w:sz w:val="16"/>
          <w:szCs w:val="16"/>
          <w:lang w:val="es-MX"/>
        </w:rPr>
        <w:t>párr. 109</w:t>
      </w:r>
      <w:r w:rsidRPr="0001111C">
        <w:rPr>
          <w:rFonts w:ascii="Verdana" w:eastAsiaTheme="minorEastAsia" w:hAnsi="Verdana"/>
          <w:i/>
          <w:sz w:val="16"/>
          <w:szCs w:val="16"/>
          <w:lang w:val="es-MX"/>
        </w:rPr>
        <w:t>.</w:t>
      </w:r>
      <w:r w:rsidRPr="0001111C">
        <w:rPr>
          <w:rFonts w:ascii="Verdana" w:eastAsiaTheme="minorEastAsia" w:hAnsi="Verdana"/>
          <w:sz w:val="16"/>
          <w:szCs w:val="16"/>
          <w:lang w:val="es-MX"/>
        </w:rPr>
        <w:t>.</w:t>
      </w:r>
    </w:p>
  </w:footnote>
  <w:footnote w:id="213">
    <w:p w14:paraId="0C704E47" w14:textId="1E1C966E" w:rsidR="006B2C5D" w:rsidRPr="0001111C" w:rsidRDefault="006B2C5D" w:rsidP="00B15331">
      <w:pPr>
        <w:pStyle w:val="FootnoteText"/>
      </w:pPr>
      <w:r w:rsidRPr="0001111C">
        <w:rPr>
          <w:rStyle w:val="FootnoteReference"/>
          <w:sz w:val="16"/>
        </w:rPr>
        <w:footnoteRef/>
      </w:r>
      <w:r w:rsidRPr="0001111C">
        <w:t xml:space="preserve"> </w:t>
      </w:r>
      <w:r w:rsidRPr="0001111C">
        <w:tab/>
      </w:r>
      <w:r w:rsidRPr="00B742B4">
        <w:rPr>
          <w:i/>
        </w:rPr>
        <w:t xml:space="preserve">Cfr. Comunidad </w:t>
      </w:r>
      <w:proofErr w:type="spellStart"/>
      <w:r w:rsidRPr="00B742B4">
        <w:rPr>
          <w:i/>
        </w:rPr>
        <w:t>Mayagna</w:t>
      </w:r>
      <w:proofErr w:type="spellEnd"/>
      <w:r w:rsidRPr="00B742B4">
        <w:rPr>
          <w:i/>
        </w:rPr>
        <w:t xml:space="preserve"> (Sumo) </w:t>
      </w:r>
      <w:proofErr w:type="spellStart"/>
      <w:r w:rsidRPr="00B742B4">
        <w:rPr>
          <w:i/>
        </w:rPr>
        <w:t>Awas</w:t>
      </w:r>
      <w:proofErr w:type="spellEnd"/>
      <w:r w:rsidRPr="00B742B4">
        <w:rPr>
          <w:i/>
        </w:rPr>
        <w:t xml:space="preserve"> </w:t>
      </w:r>
      <w:proofErr w:type="spellStart"/>
      <w:r w:rsidRPr="00B742B4">
        <w:rPr>
          <w:i/>
        </w:rPr>
        <w:t>Tingni</w:t>
      </w:r>
      <w:proofErr w:type="spellEnd"/>
      <w:r w:rsidRPr="00B742B4">
        <w:rPr>
          <w:i/>
        </w:rPr>
        <w:t>, supra,</w:t>
      </w:r>
      <w:r w:rsidRPr="0001111C">
        <w:t xml:space="preserve"> párr. 164 y </w:t>
      </w:r>
      <w:r w:rsidRPr="00B742B4">
        <w:rPr>
          <w:i/>
        </w:rPr>
        <w:t xml:space="preserve">Caso de los Pueblos Indígenas Kuna de </w:t>
      </w:r>
      <w:proofErr w:type="spellStart"/>
      <w:r w:rsidRPr="00B742B4">
        <w:rPr>
          <w:i/>
        </w:rPr>
        <w:t>Madungandí</w:t>
      </w:r>
      <w:proofErr w:type="spellEnd"/>
      <w:r w:rsidRPr="00B742B4">
        <w:rPr>
          <w:i/>
        </w:rPr>
        <w:t xml:space="preserve"> y </w:t>
      </w:r>
      <w:proofErr w:type="spellStart"/>
      <w:r w:rsidRPr="00B742B4">
        <w:rPr>
          <w:i/>
        </w:rPr>
        <w:t>Emberá</w:t>
      </w:r>
      <w:proofErr w:type="spellEnd"/>
      <w:r w:rsidRPr="00B742B4">
        <w:rPr>
          <w:i/>
        </w:rPr>
        <w:t xml:space="preserve"> de Bayano y sus Miembros, supra,</w:t>
      </w:r>
      <w:r w:rsidRPr="0001111C">
        <w:t xml:space="preserve"> párr.232.</w:t>
      </w:r>
    </w:p>
  </w:footnote>
  <w:footnote w:id="214">
    <w:p w14:paraId="0C704E48" w14:textId="12776992" w:rsidR="006B2C5D" w:rsidRPr="0001111C" w:rsidRDefault="006B2C5D" w:rsidP="00B15331">
      <w:pPr>
        <w:pStyle w:val="FootnoteText"/>
      </w:pPr>
      <w:r w:rsidRPr="0001111C">
        <w:rPr>
          <w:rStyle w:val="FootnoteReference"/>
          <w:sz w:val="16"/>
        </w:rPr>
        <w:footnoteRef/>
      </w:r>
      <w:r w:rsidRPr="0001111C">
        <w:t xml:space="preserve"> </w:t>
      </w:r>
      <w:r w:rsidRPr="0001111C">
        <w:tab/>
      </w:r>
      <w:r w:rsidRPr="0001111C">
        <w:rPr>
          <w:rStyle w:val="Strong"/>
          <w:b w:val="0"/>
          <w:i/>
          <w:color w:val="000000"/>
          <w:shd w:val="clear" w:color="auto" w:fill="FFFFFF"/>
        </w:rPr>
        <w:t xml:space="preserve">Caso del Pueblo </w:t>
      </w:r>
      <w:proofErr w:type="spellStart"/>
      <w:r w:rsidRPr="0001111C">
        <w:rPr>
          <w:rStyle w:val="Strong"/>
          <w:b w:val="0"/>
          <w:i/>
          <w:color w:val="000000"/>
          <w:shd w:val="clear" w:color="auto" w:fill="FFFFFF"/>
        </w:rPr>
        <w:t>Saramaka</w:t>
      </w:r>
      <w:proofErr w:type="spellEnd"/>
      <w:r w:rsidRPr="0001111C">
        <w:rPr>
          <w:rStyle w:val="Strong"/>
          <w:b w:val="0"/>
          <w:i/>
          <w:color w:val="000000"/>
          <w:shd w:val="clear" w:color="auto" w:fill="FFFFFF"/>
        </w:rPr>
        <w:t>. Vs. Surinam. Excepciones Preliminares, Fondo, Reparaciones y Costas</w:t>
      </w:r>
      <w:r w:rsidRPr="0001111C">
        <w:rPr>
          <w:rStyle w:val="Strong"/>
          <w:b w:val="0"/>
          <w:color w:val="000000"/>
          <w:shd w:val="clear" w:color="auto" w:fill="FFFFFF"/>
        </w:rPr>
        <w:t>. Sentencia de 28 de noviembre de 2007. Serie C No. 172, párr. 115.</w:t>
      </w:r>
    </w:p>
  </w:footnote>
  <w:footnote w:id="215">
    <w:p w14:paraId="0C704E49" w14:textId="7FCC0026" w:rsidR="006B2C5D" w:rsidRPr="0001111C" w:rsidRDefault="006B2C5D" w:rsidP="00B15331">
      <w:pPr>
        <w:pStyle w:val="FootnoteText"/>
      </w:pPr>
      <w:r w:rsidRPr="0001111C">
        <w:rPr>
          <w:rStyle w:val="FootnoteReference"/>
          <w:sz w:val="16"/>
        </w:rPr>
        <w:footnoteRef/>
      </w:r>
      <w:r w:rsidRPr="0001111C">
        <w:t xml:space="preserve"> </w:t>
      </w:r>
      <w:r w:rsidRPr="0001111C">
        <w:tab/>
      </w:r>
      <w:r w:rsidRPr="0001111C">
        <w:rPr>
          <w:rStyle w:val="Strong"/>
          <w:b w:val="0"/>
          <w:i/>
          <w:color w:val="000000"/>
          <w:shd w:val="clear" w:color="auto" w:fill="FFFFFF"/>
        </w:rPr>
        <w:t xml:space="preserve">Caso Pueblo Indígena </w:t>
      </w:r>
      <w:proofErr w:type="spellStart"/>
      <w:r w:rsidRPr="0001111C">
        <w:rPr>
          <w:rStyle w:val="Strong"/>
          <w:b w:val="0"/>
          <w:i/>
          <w:color w:val="000000"/>
          <w:shd w:val="clear" w:color="auto" w:fill="FFFFFF"/>
        </w:rPr>
        <w:t>Kichwa</w:t>
      </w:r>
      <w:proofErr w:type="spellEnd"/>
      <w:r w:rsidRPr="0001111C">
        <w:rPr>
          <w:rStyle w:val="Strong"/>
          <w:b w:val="0"/>
          <w:i/>
          <w:color w:val="000000"/>
          <w:shd w:val="clear" w:color="auto" w:fill="FFFFFF"/>
        </w:rPr>
        <w:t xml:space="preserve"> de </w:t>
      </w:r>
      <w:proofErr w:type="spellStart"/>
      <w:r w:rsidRPr="0001111C">
        <w:rPr>
          <w:rStyle w:val="Strong"/>
          <w:b w:val="0"/>
          <w:i/>
          <w:color w:val="000000"/>
          <w:shd w:val="clear" w:color="auto" w:fill="FFFFFF"/>
        </w:rPr>
        <w:t>Sarayaku</w:t>
      </w:r>
      <w:proofErr w:type="spellEnd"/>
      <w:r w:rsidRPr="0001111C">
        <w:rPr>
          <w:rStyle w:val="Strong"/>
          <w:b w:val="0"/>
          <w:i/>
          <w:color w:val="000000"/>
          <w:shd w:val="clear" w:color="auto" w:fill="FFFFFF"/>
        </w:rPr>
        <w:t xml:space="preserve"> Vs. Ecuador. Fondo y reparaciones.</w:t>
      </w:r>
      <w:r w:rsidRPr="0001111C">
        <w:rPr>
          <w:rStyle w:val="Strong"/>
          <w:b w:val="0"/>
          <w:color w:val="000000"/>
          <w:shd w:val="clear" w:color="auto" w:fill="FFFFFF"/>
        </w:rPr>
        <w:t xml:space="preserve"> Sentencia de 27 de junio de 2012. Serie C No. 245, párr</w:t>
      </w:r>
      <w:r w:rsidRPr="0001111C">
        <w:rPr>
          <w:rStyle w:val="Strong"/>
          <w:b w:val="0"/>
          <w:i/>
          <w:color w:val="000000"/>
          <w:shd w:val="clear" w:color="auto" w:fill="FFFFFF"/>
        </w:rPr>
        <w:t>.</w:t>
      </w:r>
      <w:r w:rsidRPr="0001111C">
        <w:rPr>
          <w:rStyle w:val="Strong"/>
          <w:color w:val="000000"/>
          <w:shd w:val="clear" w:color="auto" w:fill="FFFFFF"/>
        </w:rPr>
        <w:t xml:space="preserve"> </w:t>
      </w:r>
      <w:r w:rsidRPr="0001111C">
        <w:rPr>
          <w:lang w:val="es-ES_tradnl"/>
        </w:rPr>
        <w:t>146</w:t>
      </w:r>
      <w:r w:rsidRPr="0001111C">
        <w:t>.</w:t>
      </w:r>
    </w:p>
  </w:footnote>
  <w:footnote w:id="216">
    <w:p w14:paraId="0C704E4A" w14:textId="3205E2BF" w:rsidR="006B2C5D" w:rsidRPr="0001111C" w:rsidRDefault="006B2C5D" w:rsidP="00B15331">
      <w:pPr>
        <w:pStyle w:val="FootnoteText"/>
        <w:rPr>
          <w:lang w:val="es-CR"/>
        </w:rPr>
      </w:pPr>
      <w:r w:rsidRPr="0001111C">
        <w:rPr>
          <w:rStyle w:val="FootnoteReference"/>
          <w:sz w:val="16"/>
        </w:rPr>
        <w:footnoteRef/>
      </w:r>
      <w:r w:rsidRPr="0001111C">
        <w:t xml:space="preserve"> </w:t>
      </w:r>
      <w:r w:rsidRPr="0001111C">
        <w:tab/>
        <w:t xml:space="preserve">La Comisión Interamericana en su Informe Derechos de los Pueblos Indígenas y Tribales sobre sus Tierras Ancestrales y Recursos Naturales, sistematizó algunos criterios que se deben tener en cuenta cuando existen conflictos de la propiedad con terceros. La Comisión, señaló que “los pueblos indígenas o tribales y sus miembros tienen derecho a que su territorio sea reservado para ellos, sin que existan dentro de sus tierras asentamientos o presencia de terceros o colonos no indígenas”. Señaló que como consecuencia de este derecho “el Estado tiene una obligación correlativa de prevenir la invasión o colonización del territorio indígena o tribal por parte de otras personas”. En consecuencia, estableció que el Estado tiene “el deber de realizar las gestiones y actuaciones necesarias para reubicar a aquellos habitantes no indígenas del territorio que se encuentren asentados allí”. CIDH, Derechos de los Pueblos Indígenas y Tribales sobre sus Tierras Ancestrales y Recursos Naturales. Normas y jurisprudencia del Sistema Interamericano de Derechos Humanos, </w:t>
      </w:r>
      <w:r w:rsidRPr="0001111C">
        <w:rPr>
          <w:i/>
        </w:rPr>
        <w:t>supra</w:t>
      </w:r>
      <w:r w:rsidRPr="0001111C">
        <w:t>, párr. 114.</w:t>
      </w:r>
    </w:p>
  </w:footnote>
  <w:footnote w:id="217">
    <w:p w14:paraId="0C704E4C" w14:textId="72F4934F" w:rsidR="006B2C5D" w:rsidRPr="0001111C" w:rsidRDefault="006B2C5D" w:rsidP="00B15331">
      <w:pPr>
        <w:pStyle w:val="FootnoteText"/>
      </w:pPr>
      <w:r w:rsidRPr="0001111C">
        <w:rPr>
          <w:rStyle w:val="FootnoteReference"/>
          <w:sz w:val="16"/>
        </w:rPr>
        <w:footnoteRef/>
      </w:r>
      <w:r w:rsidRPr="0001111C">
        <w:t xml:space="preserve"> </w:t>
      </w:r>
      <w:r w:rsidRPr="0001111C">
        <w:tab/>
      </w:r>
      <w:r w:rsidRPr="0001111C">
        <w:rPr>
          <w:i/>
        </w:rPr>
        <w:t xml:space="preserve">Cfr. </w:t>
      </w:r>
      <w:r w:rsidRPr="0001111C">
        <w:t xml:space="preserve">ONU, Declaración de las Naciones Unidas sobre Derechos de los Pueblos Indígenas, Resolución 61/295, 107ª.sesión plenaria de la Asamblea General, 13 de septiembre de 2007, art. 26. Disponible en: </w:t>
      </w:r>
      <w:hyperlink r:id="rId17" w:history="1">
        <w:r w:rsidRPr="0001111C">
          <w:rPr>
            <w:rStyle w:val="Hyperlink"/>
          </w:rPr>
          <w:t>http://www.un.org/esa/socdev/unpfii/documents/DRIPS_es.pdf</w:t>
        </w:r>
      </w:hyperlink>
      <w:r w:rsidRPr="0001111C">
        <w:t>. En este sentido, el Foro Permanente para las Cuestiones Indígenas de las Naciones Unidas ha hecho énfasis en la obligación de los Estados de proteger dichas tierras de toda injerencia de cualquier institución, empresa o persona.</w:t>
      </w:r>
      <w:r w:rsidRPr="0001111C">
        <w:rPr>
          <w:i/>
        </w:rPr>
        <w:t xml:space="preserve"> Cfr. </w:t>
      </w:r>
      <w:r w:rsidRPr="0001111C">
        <w:t>ONU, Foro Permanente. Informe de seguimiento sobre los pueblos indígenas y el derecho a participar en la adopción de decisiones, con especial atención a las industrias extractivas.</w:t>
      </w:r>
    </w:p>
  </w:footnote>
  <w:footnote w:id="218">
    <w:p w14:paraId="0C704E4E" w14:textId="318691C3" w:rsidR="006B2C5D" w:rsidRPr="0001111C" w:rsidRDefault="006B2C5D" w:rsidP="00B15331">
      <w:pPr>
        <w:pStyle w:val="FootnoteText"/>
      </w:pPr>
      <w:r w:rsidRPr="0001111C">
        <w:rPr>
          <w:rStyle w:val="FootnoteReference"/>
          <w:sz w:val="16"/>
        </w:rPr>
        <w:footnoteRef/>
      </w:r>
      <w:r w:rsidRPr="0001111C">
        <w:t xml:space="preserve"> </w:t>
      </w:r>
      <w:r w:rsidRPr="0001111C">
        <w:tab/>
        <w:t xml:space="preserve">ONU, Comité para la Discriminación Racial, Observación General No. 23 relativa a los derechos de los pueblos indígenas, 51 periodo de Sesiones, A/52/18 ANEXO v, 1997, Recomendación 5. Disponible en: </w:t>
      </w:r>
      <w:hyperlink r:id="rId18" w:anchor="GEN23" w:history="1">
        <w:r w:rsidRPr="0001111C">
          <w:rPr>
            <w:rStyle w:val="Hyperlink"/>
          </w:rPr>
          <w:t>http://confdts1.unog.ch/1%20SPA/Tradutek/Derechos_hum_Base/CERD/00_3_obs_grales_CERD.html#GEN23</w:t>
        </w:r>
      </w:hyperlink>
      <w:r w:rsidRPr="0001111C">
        <w:t xml:space="preserve"> </w:t>
      </w:r>
    </w:p>
  </w:footnote>
  <w:footnote w:id="219">
    <w:p w14:paraId="0C704E4F" w14:textId="1292B1AC" w:rsidR="006B2C5D" w:rsidRPr="0001111C" w:rsidRDefault="006B2C5D" w:rsidP="00F02DDD">
      <w:pPr>
        <w:tabs>
          <w:tab w:val="left" w:pos="567"/>
        </w:tabs>
        <w:autoSpaceDE w:val="0"/>
        <w:autoSpaceDN w:val="0"/>
        <w:adjustRightInd w:val="0"/>
        <w:jc w:val="both"/>
        <w:rPr>
          <w:rFonts w:ascii="Verdana" w:eastAsiaTheme="minorHAnsi" w:hAnsi="Verdana"/>
          <w:b/>
          <w:bCs/>
          <w:sz w:val="16"/>
          <w:szCs w:val="16"/>
        </w:rPr>
      </w:pPr>
      <w:r w:rsidRPr="0001111C">
        <w:rPr>
          <w:rStyle w:val="FootnoteReference"/>
          <w:sz w:val="16"/>
          <w:szCs w:val="16"/>
        </w:rPr>
        <w:footnoteRef/>
      </w:r>
      <w:r w:rsidRPr="0001111C">
        <w:rPr>
          <w:rFonts w:ascii="Verdana" w:hAnsi="Verdana"/>
          <w:sz w:val="16"/>
          <w:szCs w:val="16"/>
        </w:rPr>
        <w:t xml:space="preserve"> </w:t>
      </w:r>
      <w:r w:rsidRPr="0001111C">
        <w:rPr>
          <w:rFonts w:ascii="Verdana" w:hAnsi="Verdana"/>
          <w:sz w:val="16"/>
          <w:szCs w:val="16"/>
        </w:rPr>
        <w:tab/>
      </w:r>
      <w:r w:rsidRPr="0001111C">
        <w:rPr>
          <w:rFonts w:ascii="Verdana" w:hAnsi="Verdana"/>
          <w:i/>
          <w:sz w:val="16"/>
          <w:szCs w:val="16"/>
        </w:rPr>
        <w:t xml:space="preserve">Cfr. </w:t>
      </w:r>
      <w:r w:rsidRPr="0001111C">
        <w:rPr>
          <w:rFonts w:ascii="Verdana" w:eastAsiaTheme="minorHAnsi" w:hAnsi="Verdana"/>
          <w:bCs/>
          <w:sz w:val="16"/>
          <w:szCs w:val="16"/>
        </w:rPr>
        <w:t xml:space="preserve">ONU, Mandato del </w:t>
      </w:r>
      <w:r w:rsidRPr="0001111C">
        <w:rPr>
          <w:rFonts w:ascii="Verdana" w:eastAsiaTheme="minorHAnsi" w:hAnsi="Verdana" w:cs="Arial"/>
          <w:bCs/>
          <w:sz w:val="16"/>
          <w:szCs w:val="16"/>
        </w:rPr>
        <w:t xml:space="preserve">Relator Especial sobre </w:t>
      </w:r>
      <w:r w:rsidRPr="0001111C">
        <w:rPr>
          <w:rFonts w:ascii="Verdana" w:eastAsiaTheme="minorHAnsi" w:hAnsi="Verdana"/>
          <w:bCs/>
          <w:sz w:val="16"/>
          <w:szCs w:val="16"/>
        </w:rPr>
        <w:t xml:space="preserve">los derechos de los pueblos indígenas, </w:t>
      </w:r>
      <w:r w:rsidRPr="0001111C">
        <w:rPr>
          <w:rFonts w:ascii="Verdana" w:eastAsiaTheme="minorHAnsi" w:hAnsi="Verdana" w:cs="Arial"/>
          <w:bCs/>
          <w:sz w:val="16"/>
          <w:szCs w:val="16"/>
        </w:rPr>
        <w:t xml:space="preserve">Comunicación </w:t>
      </w:r>
      <w:r w:rsidRPr="0001111C">
        <w:rPr>
          <w:rFonts w:ascii="Verdana" w:eastAsiaTheme="minorHAnsi" w:hAnsi="Verdana"/>
          <w:bCs/>
          <w:sz w:val="16"/>
          <w:szCs w:val="16"/>
        </w:rPr>
        <w:t xml:space="preserve">de 10 de mayo de 2013. </w:t>
      </w:r>
      <w:r w:rsidRPr="0001111C">
        <w:rPr>
          <w:rFonts w:ascii="Verdana" w:eastAsiaTheme="minorHAnsi" w:hAnsi="Verdana"/>
          <w:sz w:val="16"/>
          <w:szCs w:val="16"/>
        </w:rPr>
        <w:t xml:space="preserve">Disponible en: </w:t>
      </w:r>
      <w:hyperlink r:id="rId19" w:history="1">
        <w:r w:rsidRPr="0001111C">
          <w:rPr>
            <w:rStyle w:val="Hyperlink"/>
            <w:rFonts w:ascii="Verdana" w:eastAsiaTheme="minorHAnsi" w:hAnsi="Verdana"/>
            <w:i/>
            <w:iCs/>
            <w:sz w:val="16"/>
            <w:szCs w:val="16"/>
          </w:rPr>
          <w:t>https://spdb.ohchr.org/hrdb/24th/public_-_UA_Nicaragua_10.05.13_(1.2013).pdf</w:t>
        </w:r>
      </w:hyperlink>
      <w:r w:rsidRPr="0001111C">
        <w:rPr>
          <w:rFonts w:ascii="Verdana" w:eastAsiaTheme="minorHAnsi" w:hAnsi="Verdana"/>
          <w:i/>
          <w:iCs/>
          <w:sz w:val="16"/>
          <w:szCs w:val="16"/>
        </w:rPr>
        <w:t xml:space="preserve"> </w:t>
      </w:r>
    </w:p>
  </w:footnote>
  <w:footnote w:id="220">
    <w:p w14:paraId="0C704E50" w14:textId="678C5196" w:rsidR="006B2C5D" w:rsidRPr="0001111C" w:rsidRDefault="006B2C5D" w:rsidP="00B15331">
      <w:pPr>
        <w:pStyle w:val="FootnoteText"/>
      </w:pPr>
      <w:r w:rsidRPr="0001111C">
        <w:rPr>
          <w:rStyle w:val="FootnoteReference"/>
          <w:sz w:val="16"/>
        </w:rPr>
        <w:footnoteRef/>
      </w:r>
      <w:r w:rsidRPr="0001111C">
        <w:t xml:space="preserve"> </w:t>
      </w:r>
      <w:r w:rsidRPr="0001111C">
        <w:tab/>
        <w:t>Peritaje de Jame Anaya, rendido ante la Corte (expediente de fondo, folio 527).</w:t>
      </w:r>
    </w:p>
  </w:footnote>
  <w:footnote w:id="221">
    <w:p w14:paraId="0C704E52" w14:textId="0DD1DB5C" w:rsidR="006B2C5D" w:rsidRPr="0001111C" w:rsidRDefault="006B2C5D" w:rsidP="00B15331">
      <w:pPr>
        <w:pStyle w:val="FootnoteText"/>
      </w:pPr>
      <w:r w:rsidRPr="0001111C">
        <w:rPr>
          <w:rStyle w:val="FootnoteReference"/>
          <w:sz w:val="16"/>
        </w:rPr>
        <w:footnoteRef/>
      </w:r>
      <w:r w:rsidRPr="0001111C">
        <w:t xml:space="preserve"> </w:t>
      </w:r>
      <w:r w:rsidRPr="0001111C">
        <w:tab/>
        <w:t xml:space="preserve">La Corte Constitucional de Colombia en su Sentencia T-387/13, de conformidad con los precedentes citados de la Corte Interamericana, y según la interpretación autorizada de la Comisión Interamericana de Derechos Humanos y el Comité para la Eliminación de la Discriminación Racial sostuvo </w:t>
      </w:r>
      <w:r>
        <w:t>que</w:t>
      </w:r>
      <w:r w:rsidRPr="0001111C">
        <w:t>: ”(i) no es necesaria la posesión para que los pueblos indígenas reclamen la delimitación y protección de su territorio;  (ii) los  pueblos indígenas tienen derecho a la restitución de sus territorios una vez han pasado a manos de terceros; (iii) el derecho a la restitución subsiste hasta que permanezca el vínculo que los une con su territorio y/o hasta que desaparezcan los obstáculos de hecho como la violencia que les han impedido usar sus territorios; (iv) es necesario considerar si con la limitación del derecho a la propiedad, se afecta a otro tipo de derechos. De acuerdo con los estándares de la Corte Interamericana  para establecer si una limitación del derecho a la propiedad se encuentra conforme con la Convención Americana es necesario que reúna los requisitos de legalidad, necesidad, proporcionalidad y el logro de un objetivo legítimo en una sociedad democrática”. Disponible en: http://corteconstitucional.gov.co/relatoria/2013/T-387-13.</w:t>
      </w:r>
    </w:p>
  </w:footnote>
  <w:footnote w:id="222">
    <w:p w14:paraId="0C704E55" w14:textId="09C941EC" w:rsidR="006B2C5D" w:rsidRPr="0001111C" w:rsidRDefault="006B2C5D" w:rsidP="00B15331">
      <w:pPr>
        <w:pStyle w:val="FootnoteText"/>
      </w:pPr>
      <w:r w:rsidRPr="0001111C">
        <w:rPr>
          <w:rStyle w:val="FootnoteReference"/>
          <w:sz w:val="16"/>
        </w:rPr>
        <w:footnoteRef/>
      </w:r>
      <w:r w:rsidRPr="0001111C">
        <w:t xml:space="preserve"> </w:t>
      </w:r>
      <w:r w:rsidRPr="0001111C">
        <w:tab/>
      </w:r>
      <w:r w:rsidRPr="0001111C">
        <w:rPr>
          <w:i/>
        </w:rPr>
        <w:t xml:space="preserve">Cfr. </w:t>
      </w:r>
      <w:r w:rsidRPr="0001111C">
        <w:t>Corte Constitucional de Colombia, Sentencia T-38713, párrs. 9, 10 y 11.</w:t>
      </w:r>
    </w:p>
  </w:footnote>
  <w:footnote w:id="223">
    <w:p w14:paraId="0C704E56" w14:textId="6F5C8586" w:rsidR="006B2C5D" w:rsidRPr="0001111C" w:rsidRDefault="006B2C5D" w:rsidP="00F02DDD">
      <w:pPr>
        <w:tabs>
          <w:tab w:val="left" w:pos="567"/>
        </w:tabs>
        <w:autoSpaceDE w:val="0"/>
        <w:autoSpaceDN w:val="0"/>
        <w:adjustRightInd w:val="0"/>
        <w:jc w:val="both"/>
        <w:rPr>
          <w:rFonts w:ascii="Verdana" w:hAnsi="Verdana"/>
          <w:sz w:val="16"/>
          <w:szCs w:val="16"/>
        </w:rPr>
      </w:pPr>
      <w:r w:rsidRPr="0001111C">
        <w:rPr>
          <w:rStyle w:val="FootnoteReference"/>
          <w:sz w:val="16"/>
          <w:szCs w:val="16"/>
        </w:rPr>
        <w:footnoteRef/>
      </w:r>
      <w:r w:rsidRPr="0001111C">
        <w:rPr>
          <w:rFonts w:ascii="Verdana" w:hAnsi="Verdana"/>
          <w:sz w:val="16"/>
          <w:szCs w:val="16"/>
        </w:rPr>
        <w:t xml:space="preserve"> </w:t>
      </w:r>
      <w:r w:rsidRPr="0001111C">
        <w:rPr>
          <w:rFonts w:ascii="Verdana" w:hAnsi="Verdana"/>
          <w:sz w:val="16"/>
          <w:szCs w:val="16"/>
        </w:rPr>
        <w:tab/>
      </w:r>
      <w:r w:rsidRPr="0001111C">
        <w:rPr>
          <w:rFonts w:ascii="Verdana" w:hAnsi="Verdana"/>
          <w:i/>
          <w:sz w:val="16"/>
          <w:szCs w:val="16"/>
        </w:rPr>
        <w:t xml:space="preserve">Cfr. </w:t>
      </w:r>
      <w:r w:rsidRPr="0001111C">
        <w:rPr>
          <w:rFonts w:ascii="Verdana" w:hAnsi="Verdana"/>
          <w:sz w:val="16"/>
          <w:szCs w:val="16"/>
        </w:rPr>
        <w:t>Honduras: Decreto N</w:t>
      </w:r>
      <w:r w:rsidRPr="0001111C">
        <w:rPr>
          <w:rFonts w:ascii="Verdana" w:hAnsi="Verdana"/>
          <w:sz w:val="16"/>
          <w:szCs w:val="16"/>
          <w:vertAlign w:val="superscript"/>
        </w:rPr>
        <w:t>o</w:t>
      </w:r>
      <w:r w:rsidRPr="0001111C">
        <w:rPr>
          <w:rFonts w:ascii="Verdana" w:hAnsi="Verdana"/>
          <w:sz w:val="16"/>
          <w:szCs w:val="16"/>
        </w:rPr>
        <w:t xml:space="preserve">. 82-2004, “Ley de propiedad” de 2004., disponible en: </w:t>
      </w:r>
      <w:hyperlink r:id="rId20" w:history="1">
        <w:r w:rsidRPr="0001111C">
          <w:rPr>
            <w:rStyle w:val="Hyperlink"/>
            <w:rFonts w:ascii="Verdana" w:hAnsi="Verdana"/>
            <w:sz w:val="16"/>
            <w:szCs w:val="16"/>
          </w:rPr>
          <w:t>https://www.ccit.hn/wp-content/uploads/2013/12/LEY-DE-PROPIEDAD.pdf</w:t>
        </w:r>
      </w:hyperlink>
      <w:r w:rsidRPr="0001111C">
        <w:rPr>
          <w:rFonts w:ascii="Verdana" w:hAnsi="Verdana"/>
          <w:sz w:val="16"/>
          <w:szCs w:val="16"/>
        </w:rPr>
        <w:t xml:space="preserve">; Argentina: Constitución de la Nación Argentina de 1853, artículo 75.17, disponible en: </w:t>
      </w:r>
      <w:hyperlink r:id="rId21" w:history="1">
        <w:r w:rsidRPr="0001111C">
          <w:rPr>
            <w:rStyle w:val="Hyperlink"/>
            <w:rFonts w:ascii="Verdana" w:hAnsi="Verdana"/>
            <w:sz w:val="16"/>
            <w:szCs w:val="16"/>
          </w:rPr>
          <w:t>http://www.senado.gov.ar/deInteres</w:t>
        </w:r>
      </w:hyperlink>
      <w:r w:rsidRPr="0001111C">
        <w:rPr>
          <w:rFonts w:ascii="Verdana" w:hAnsi="Verdana"/>
          <w:sz w:val="16"/>
          <w:szCs w:val="16"/>
        </w:rPr>
        <w:t xml:space="preserve">; Constitución de la Provincia del Chaco de 1994, artículo 37, disponible en: </w:t>
      </w:r>
      <w:hyperlink r:id="rId22" w:history="1">
        <w:r w:rsidRPr="0001111C">
          <w:rPr>
            <w:rStyle w:val="Hyperlink"/>
            <w:rFonts w:ascii="Verdana" w:hAnsi="Verdana"/>
            <w:sz w:val="16"/>
            <w:szCs w:val="16"/>
          </w:rPr>
          <w:t>http://www.intertournet.com.ar/argentina/constitucion_chaco.htm</w:t>
        </w:r>
      </w:hyperlink>
      <w:r w:rsidRPr="0001111C">
        <w:rPr>
          <w:rFonts w:ascii="Verdana" w:hAnsi="Verdana"/>
          <w:sz w:val="16"/>
          <w:szCs w:val="16"/>
        </w:rPr>
        <w:t xml:space="preserve">; Constitución de la Provincia del Chubut de 1994, artículo 34;, disponible en: </w:t>
      </w:r>
      <w:hyperlink r:id="rId23" w:history="1">
        <w:r w:rsidRPr="0001111C">
          <w:rPr>
            <w:rStyle w:val="Hyperlink"/>
            <w:rFonts w:ascii="Verdana" w:hAnsi="Verdana"/>
            <w:sz w:val="16"/>
            <w:szCs w:val="16"/>
          </w:rPr>
          <w:t>http://www.legischubut2.gov.ar/documentos/Constitucion_provincial.pdf</w:t>
        </w:r>
      </w:hyperlink>
      <w:r w:rsidRPr="0001111C">
        <w:rPr>
          <w:rFonts w:ascii="Verdana" w:hAnsi="Verdana"/>
          <w:sz w:val="16"/>
          <w:szCs w:val="16"/>
        </w:rPr>
        <w:t xml:space="preserve">; Constitución de la Provincia de Salta de 1986, artículo 15.I, disponible en: </w:t>
      </w:r>
      <w:hyperlink r:id="rId24" w:history="1">
        <w:r w:rsidRPr="0001111C">
          <w:rPr>
            <w:rStyle w:val="Hyperlink"/>
            <w:rFonts w:ascii="Verdana" w:hAnsi="Verdana"/>
            <w:sz w:val="16"/>
            <w:szCs w:val="16"/>
          </w:rPr>
          <w:t>http://www.cmagistraturasalta.gov.ar/images/uploads/constitucion-provincial.pdf</w:t>
        </w:r>
      </w:hyperlink>
      <w:r w:rsidRPr="0001111C">
        <w:rPr>
          <w:rFonts w:ascii="Verdana" w:hAnsi="Verdana"/>
          <w:sz w:val="16"/>
          <w:szCs w:val="16"/>
        </w:rPr>
        <w:t>; Provincia de Salta, Ley N</w:t>
      </w:r>
      <w:r w:rsidRPr="0001111C">
        <w:rPr>
          <w:rFonts w:ascii="Verdana" w:hAnsi="Verdana"/>
          <w:sz w:val="16"/>
          <w:szCs w:val="16"/>
          <w:vertAlign w:val="superscript"/>
        </w:rPr>
        <w:t>o</w:t>
      </w:r>
      <w:r w:rsidRPr="0001111C">
        <w:rPr>
          <w:rFonts w:ascii="Verdana" w:hAnsi="Verdana"/>
          <w:sz w:val="16"/>
          <w:szCs w:val="16"/>
        </w:rPr>
        <w:t xml:space="preserve">. 4086 de 1966, disponible en: </w:t>
      </w:r>
      <w:hyperlink r:id="rId25" w:history="1">
        <w:r w:rsidRPr="0001111C">
          <w:rPr>
            <w:rStyle w:val="Hyperlink"/>
            <w:rFonts w:ascii="Verdana" w:hAnsi="Verdana"/>
            <w:sz w:val="16"/>
            <w:szCs w:val="16"/>
          </w:rPr>
          <w:t>http://digesto.diputadosalta.gob.ar/leyes/4086.pdf</w:t>
        </w:r>
      </w:hyperlink>
      <w:r w:rsidRPr="0001111C">
        <w:rPr>
          <w:rFonts w:ascii="Verdana" w:hAnsi="Verdana"/>
          <w:sz w:val="16"/>
          <w:szCs w:val="16"/>
        </w:rPr>
        <w:t xml:space="preserve">; Constitución de la Provincia de Formosa de 1957, artículo 79, disponible en: </w:t>
      </w:r>
      <w:hyperlink r:id="rId26" w:history="1">
        <w:r w:rsidRPr="0001111C">
          <w:rPr>
            <w:rStyle w:val="Hyperlink"/>
            <w:rFonts w:ascii="Verdana" w:hAnsi="Verdana"/>
            <w:sz w:val="16"/>
            <w:szCs w:val="16"/>
          </w:rPr>
          <w:t>http://mininterior.gov.ar/provincias/formosa/cp-formosa.pdf</w:t>
        </w:r>
      </w:hyperlink>
      <w:r w:rsidRPr="0001111C">
        <w:rPr>
          <w:rFonts w:ascii="Verdana" w:hAnsi="Verdana"/>
          <w:sz w:val="16"/>
          <w:szCs w:val="16"/>
        </w:rPr>
        <w:t xml:space="preserve">; Ley 2727 de 1989, Provincia de Misiones, disponible en: </w:t>
      </w:r>
      <w:hyperlink r:id="rId27" w:history="1">
        <w:r w:rsidRPr="0001111C">
          <w:rPr>
            <w:rStyle w:val="Hyperlink"/>
            <w:rFonts w:ascii="Verdana" w:hAnsi="Verdana"/>
            <w:sz w:val="16"/>
            <w:szCs w:val="16"/>
          </w:rPr>
          <w:t>http://www.diputadosmisiones.gov.ar/digesto_juridico/documentos/218.pdf</w:t>
        </w:r>
      </w:hyperlink>
      <w:r w:rsidRPr="0001111C">
        <w:rPr>
          <w:rFonts w:ascii="Verdana" w:hAnsi="Verdana"/>
          <w:sz w:val="16"/>
          <w:szCs w:val="16"/>
        </w:rPr>
        <w:t xml:space="preserve">; Bolivia: Nueva Constitución Política del Estado Plurinacional de Bolivia de 2008, artículo 394.III,, disponible en: </w:t>
      </w:r>
      <w:hyperlink r:id="rId28" w:history="1">
        <w:r w:rsidRPr="0001111C">
          <w:rPr>
            <w:rStyle w:val="Hyperlink"/>
            <w:rFonts w:ascii="Verdana" w:hAnsi="Verdana"/>
            <w:sz w:val="16"/>
            <w:szCs w:val="16"/>
          </w:rPr>
          <w:t>http://www.harmonywithnatureun.org/content/documents/159Bolivia%20Consitucion.pdf</w:t>
        </w:r>
      </w:hyperlink>
      <w:r w:rsidRPr="0001111C">
        <w:rPr>
          <w:rFonts w:ascii="Verdana" w:hAnsi="Verdana"/>
          <w:sz w:val="16"/>
          <w:szCs w:val="16"/>
        </w:rPr>
        <w:t>; Ley N</w:t>
      </w:r>
      <w:r w:rsidRPr="0001111C">
        <w:rPr>
          <w:rFonts w:ascii="Verdana" w:hAnsi="Verdana"/>
          <w:sz w:val="16"/>
          <w:szCs w:val="16"/>
          <w:vertAlign w:val="superscript"/>
        </w:rPr>
        <w:t>o</w:t>
      </w:r>
      <w:r w:rsidRPr="0001111C">
        <w:rPr>
          <w:rFonts w:ascii="Verdana" w:hAnsi="Verdana"/>
          <w:sz w:val="16"/>
          <w:szCs w:val="16"/>
        </w:rPr>
        <w:t xml:space="preserve">. 1715 de 1996, Ley del Servicio Nacional de Reforma Agraria”,, disponible en: </w:t>
      </w:r>
      <w:hyperlink r:id="rId29" w:history="1">
        <w:r w:rsidRPr="0001111C">
          <w:rPr>
            <w:rStyle w:val="Hyperlink"/>
            <w:rFonts w:ascii="Verdana" w:hAnsi="Verdana"/>
            <w:sz w:val="16"/>
            <w:szCs w:val="16"/>
          </w:rPr>
          <w:t>http://bolivia.infoleyes.com/shownorm.php?id=1274</w:t>
        </w:r>
      </w:hyperlink>
      <w:r w:rsidRPr="0001111C">
        <w:rPr>
          <w:rFonts w:ascii="Verdana" w:hAnsi="Verdana"/>
          <w:sz w:val="16"/>
          <w:szCs w:val="16"/>
        </w:rPr>
        <w:t xml:space="preserve">; Brasil: Constitución Política de la República Federativa de Brasil de 1988, artículo 231.4, disponible en: </w:t>
      </w:r>
      <w:hyperlink r:id="rId30" w:history="1">
        <w:r w:rsidRPr="0001111C">
          <w:rPr>
            <w:rStyle w:val="Hyperlink"/>
            <w:rFonts w:ascii="Verdana" w:hAnsi="Verdana"/>
            <w:sz w:val="16"/>
            <w:szCs w:val="16"/>
          </w:rPr>
          <w:t>http://www.acnur.org/t3/fileadmin/scripts/doc.php?file=Pdf/0507</w:t>
        </w:r>
      </w:hyperlink>
      <w:r w:rsidRPr="0001111C">
        <w:rPr>
          <w:rFonts w:ascii="Verdana" w:hAnsi="Verdana"/>
          <w:sz w:val="16"/>
          <w:szCs w:val="16"/>
        </w:rPr>
        <w:t>; Chile: Ley 19.253 de 1993, que “[e]</w:t>
      </w:r>
      <w:proofErr w:type="spellStart"/>
      <w:r w:rsidRPr="0001111C">
        <w:rPr>
          <w:rFonts w:ascii="Verdana" w:hAnsi="Verdana"/>
          <w:sz w:val="16"/>
          <w:szCs w:val="16"/>
        </w:rPr>
        <w:t>stablece</w:t>
      </w:r>
      <w:proofErr w:type="spellEnd"/>
      <w:r w:rsidRPr="0001111C">
        <w:rPr>
          <w:rFonts w:ascii="Verdana" w:hAnsi="Verdana"/>
          <w:sz w:val="16"/>
          <w:szCs w:val="16"/>
        </w:rPr>
        <w:t xml:space="preserve"> normas sobre protección, fomento y desarrollo de los indígenas, y crea la corporación nacional de desarrollo indígena” (reformada 25 de marzo de 2014), disponible en: </w:t>
      </w:r>
      <w:hyperlink r:id="rId31" w:history="1">
        <w:r w:rsidRPr="0001111C">
          <w:rPr>
            <w:rStyle w:val="Hyperlink"/>
            <w:rFonts w:ascii="Verdana" w:hAnsi="Verdana"/>
            <w:sz w:val="16"/>
            <w:szCs w:val="16"/>
          </w:rPr>
          <w:t>http://www.leychile.cl/Navegar?idNorma=30620</w:t>
        </w:r>
      </w:hyperlink>
      <w:r w:rsidRPr="0001111C">
        <w:rPr>
          <w:rFonts w:ascii="Verdana" w:hAnsi="Verdana"/>
          <w:sz w:val="16"/>
          <w:szCs w:val="16"/>
        </w:rPr>
        <w:t xml:space="preserve">; Colombia: Constitución Política de Colombia de 1991, artículos 63 y 329, disponible en: </w:t>
      </w:r>
      <w:hyperlink r:id="rId32" w:history="1">
        <w:r w:rsidRPr="0001111C">
          <w:rPr>
            <w:rStyle w:val="Hyperlink"/>
            <w:rFonts w:ascii="Verdana" w:hAnsi="Verdana"/>
            <w:sz w:val="16"/>
            <w:szCs w:val="16"/>
          </w:rPr>
          <w:t>http://www.constitucioncolombia.com/indice.php</w:t>
        </w:r>
      </w:hyperlink>
      <w:r w:rsidRPr="0001111C">
        <w:rPr>
          <w:rFonts w:ascii="Verdana" w:hAnsi="Verdana"/>
          <w:sz w:val="16"/>
          <w:szCs w:val="16"/>
        </w:rPr>
        <w:t xml:space="preserve">; Decreto 2164 de 1995, disponible en: </w:t>
      </w:r>
      <w:hyperlink r:id="rId33" w:history="1">
        <w:r w:rsidRPr="0001111C">
          <w:rPr>
            <w:rStyle w:val="Hyperlink"/>
            <w:rFonts w:ascii="Verdana" w:hAnsi="Verdana"/>
            <w:sz w:val="16"/>
            <w:szCs w:val="16"/>
          </w:rPr>
          <w:t>http://www.incoder.gov.co/documentos/A%C3%91O_2015/MODIFICACION%20WEB%202015/NORMOGRAMA/Decreto%202164%20de%201995%20-%20Reglamento%20de%20Tierras%20para%20Ind%C3%ADgenas.pdf</w:t>
        </w:r>
      </w:hyperlink>
      <w:r w:rsidRPr="0001111C">
        <w:rPr>
          <w:rFonts w:ascii="Verdana" w:hAnsi="Verdana"/>
          <w:sz w:val="16"/>
          <w:szCs w:val="16"/>
        </w:rPr>
        <w:t xml:space="preserve">; Costa Rica: Ley 6172 de 1977, Ley indígena, disponible en: </w:t>
      </w:r>
      <w:hyperlink r:id="rId34" w:history="1">
        <w:r w:rsidRPr="0001111C">
          <w:rPr>
            <w:rStyle w:val="Hyperlink"/>
            <w:rFonts w:ascii="Verdana" w:hAnsi="Verdana"/>
            <w:sz w:val="16"/>
            <w:szCs w:val="16"/>
          </w:rPr>
          <w:t>http://www.wipo.int/wipolex/es/text.jsp?file_id=221055</w:t>
        </w:r>
      </w:hyperlink>
      <w:r w:rsidRPr="0001111C">
        <w:rPr>
          <w:rFonts w:ascii="Verdana" w:hAnsi="Verdana"/>
          <w:sz w:val="16"/>
          <w:szCs w:val="16"/>
        </w:rPr>
        <w:t xml:space="preserve">; Ecuador: Constitución del Ecuador de 2008, artículo 57.4, disponible en: </w:t>
      </w:r>
      <w:hyperlink r:id="rId35" w:history="1">
        <w:r w:rsidRPr="0001111C">
          <w:rPr>
            <w:rStyle w:val="Hyperlink"/>
            <w:rFonts w:ascii="Verdana" w:hAnsi="Verdana"/>
            <w:sz w:val="16"/>
            <w:szCs w:val="16"/>
          </w:rPr>
          <w:t>http://www.asambleanacional.gov.ec/documentos/constitucion_de_bolsillo.pdf</w:t>
        </w:r>
      </w:hyperlink>
      <w:r w:rsidRPr="0001111C">
        <w:rPr>
          <w:rFonts w:ascii="Verdana" w:hAnsi="Verdana"/>
          <w:sz w:val="16"/>
          <w:szCs w:val="16"/>
        </w:rPr>
        <w:t xml:space="preserve">; Paraguay: Constitución Nacional del Paraguay de 1992, artículo 64, disponible en: </w:t>
      </w:r>
      <w:hyperlink r:id="rId36" w:history="1">
        <w:r w:rsidRPr="0001111C">
          <w:rPr>
            <w:rStyle w:val="Hyperlink"/>
            <w:rFonts w:ascii="Verdana" w:hAnsi="Verdana"/>
            <w:sz w:val="16"/>
            <w:szCs w:val="16"/>
          </w:rPr>
          <w:t>http://www.oas.org/juridico/spanish/par_res3.htm</w:t>
        </w:r>
      </w:hyperlink>
      <w:r w:rsidRPr="0001111C">
        <w:rPr>
          <w:rFonts w:ascii="Verdana" w:hAnsi="Verdana"/>
          <w:sz w:val="16"/>
          <w:szCs w:val="16"/>
        </w:rPr>
        <w:t>; Perú: Decreto Legislativo N</w:t>
      </w:r>
      <w:r w:rsidRPr="0001111C">
        <w:rPr>
          <w:rFonts w:ascii="Verdana" w:hAnsi="Verdana"/>
          <w:sz w:val="16"/>
          <w:szCs w:val="16"/>
          <w:vertAlign w:val="superscript"/>
        </w:rPr>
        <w:t>o</w:t>
      </w:r>
      <w:r w:rsidRPr="0001111C">
        <w:rPr>
          <w:rFonts w:ascii="Verdana" w:hAnsi="Verdana"/>
          <w:sz w:val="16"/>
          <w:szCs w:val="16"/>
        </w:rPr>
        <w:t xml:space="preserve">. 295 de 1984, Código Civil, disponible en: </w:t>
      </w:r>
      <w:hyperlink r:id="rId37" w:anchor="JD_ccsctu" w:history="1">
        <w:r w:rsidRPr="0001111C">
          <w:rPr>
            <w:rStyle w:val="Hyperlink"/>
            <w:rFonts w:ascii="Verdana" w:hAnsi="Verdana"/>
            <w:sz w:val="16"/>
            <w:szCs w:val="16"/>
          </w:rPr>
          <w:t>http://spij.minjus.gob.pe/CLP/contenidos.dll/demo/coleccion00000.htm/tomo00006.htm/sumilla00008.htm?f=templates$fn=document-frame.htm$3.0#JD_ccsctu</w:t>
        </w:r>
      </w:hyperlink>
      <w:r w:rsidRPr="0001111C">
        <w:rPr>
          <w:rFonts w:ascii="Verdana" w:hAnsi="Verdana"/>
          <w:sz w:val="16"/>
          <w:szCs w:val="16"/>
        </w:rPr>
        <w:t>; Decreto Ley N</w:t>
      </w:r>
      <w:r w:rsidRPr="0001111C">
        <w:rPr>
          <w:rFonts w:ascii="Verdana" w:hAnsi="Verdana"/>
          <w:sz w:val="16"/>
          <w:szCs w:val="16"/>
          <w:vertAlign w:val="superscript"/>
        </w:rPr>
        <w:t>o</w:t>
      </w:r>
      <w:r w:rsidRPr="0001111C">
        <w:rPr>
          <w:rFonts w:ascii="Verdana" w:hAnsi="Verdana"/>
          <w:sz w:val="16"/>
          <w:szCs w:val="16"/>
        </w:rPr>
        <w:t xml:space="preserve">. 22175 de 1978, Ley de Comunidades Nativas y de Desarrollo Agrario de la Selva y Ceja de Selva, disponible en: </w:t>
      </w:r>
      <w:hyperlink r:id="rId38" w:history="1">
        <w:r w:rsidRPr="0001111C">
          <w:rPr>
            <w:rStyle w:val="Hyperlink"/>
            <w:rFonts w:ascii="Verdana" w:hAnsi="Verdana"/>
            <w:sz w:val="16"/>
            <w:szCs w:val="16"/>
          </w:rPr>
          <w:t>http://www.iadb.org/Research/legislacionindigena/leyn/docs/PERU-Decreto-Ley-22175-78-ley-Comunidades-Nativas-.pdf</w:t>
        </w:r>
      </w:hyperlink>
      <w:r w:rsidRPr="0001111C">
        <w:rPr>
          <w:rFonts w:ascii="Verdana" w:hAnsi="Verdana"/>
          <w:sz w:val="16"/>
          <w:szCs w:val="16"/>
        </w:rPr>
        <w:t xml:space="preserve">; Venezuela: Constitución de la República Bolivariana de Venezuela de 1999, artículo 119, disponible en: </w:t>
      </w:r>
      <w:hyperlink r:id="rId39" w:anchor="art119" w:history="1">
        <w:r w:rsidRPr="0001111C">
          <w:rPr>
            <w:rStyle w:val="Hyperlink"/>
            <w:rFonts w:ascii="Verdana" w:hAnsi="Verdana"/>
            <w:sz w:val="16"/>
            <w:szCs w:val="16"/>
          </w:rPr>
          <w:t>http://www.cne.gob.ve/web/normativa_electoral/constitucion/titulo3.php#art119</w:t>
        </w:r>
      </w:hyperlink>
      <w:r w:rsidRPr="0001111C">
        <w:rPr>
          <w:rFonts w:ascii="Verdana" w:hAnsi="Verdana"/>
          <w:sz w:val="16"/>
          <w:szCs w:val="16"/>
        </w:rPr>
        <w:t xml:space="preserve">, y “Ley orgánica de pueblos y comunidades indígenas de 2005”, disponible en: </w:t>
      </w:r>
      <w:hyperlink r:id="rId40" w:history="1">
        <w:r w:rsidRPr="0001111C">
          <w:rPr>
            <w:rStyle w:val="Hyperlink"/>
            <w:rFonts w:ascii="Verdana" w:hAnsi="Verdana"/>
            <w:sz w:val="16"/>
            <w:szCs w:val="16"/>
          </w:rPr>
          <w:t>http://www.unes.edu.ve/bibliotecaunes/custodia/leyes/ley34.pdf</w:t>
        </w:r>
      </w:hyperlink>
      <w:r w:rsidRPr="0001111C">
        <w:rPr>
          <w:rFonts w:ascii="Verdana" w:hAnsi="Verdana"/>
          <w:sz w:val="16"/>
          <w:szCs w:val="16"/>
        </w:rPr>
        <w:t xml:space="preserve">. </w:t>
      </w:r>
      <w:r w:rsidRPr="0001111C">
        <w:rPr>
          <w:rFonts w:ascii="Verdana" w:hAnsi="Verdana"/>
          <w:i/>
          <w:sz w:val="16"/>
          <w:szCs w:val="16"/>
        </w:rPr>
        <w:t>Cfr.</w:t>
      </w:r>
      <w:r w:rsidRPr="0001111C">
        <w:rPr>
          <w:rFonts w:ascii="Verdana" w:hAnsi="Verdana"/>
          <w:sz w:val="16"/>
          <w:szCs w:val="16"/>
        </w:rPr>
        <w:t xml:space="preserve"> </w:t>
      </w:r>
      <w:r w:rsidRPr="0001111C">
        <w:rPr>
          <w:rFonts w:ascii="Verdana" w:hAnsi="Verdana"/>
          <w:i/>
          <w:sz w:val="16"/>
          <w:szCs w:val="16"/>
        </w:rPr>
        <w:t xml:space="preserve">Caso de los Pueblos Indígenas Kuna de </w:t>
      </w:r>
      <w:proofErr w:type="spellStart"/>
      <w:r w:rsidRPr="0001111C">
        <w:rPr>
          <w:rFonts w:ascii="Verdana" w:hAnsi="Verdana"/>
          <w:i/>
          <w:sz w:val="16"/>
          <w:szCs w:val="16"/>
        </w:rPr>
        <w:t>Madungandí</w:t>
      </w:r>
      <w:proofErr w:type="spellEnd"/>
      <w:r w:rsidRPr="0001111C">
        <w:rPr>
          <w:rFonts w:ascii="Verdana" w:hAnsi="Verdana"/>
          <w:i/>
          <w:sz w:val="16"/>
          <w:szCs w:val="16"/>
        </w:rPr>
        <w:t xml:space="preserve"> y </w:t>
      </w:r>
      <w:proofErr w:type="spellStart"/>
      <w:r w:rsidRPr="0001111C">
        <w:rPr>
          <w:rFonts w:ascii="Verdana" w:hAnsi="Verdana"/>
          <w:i/>
          <w:sz w:val="16"/>
          <w:szCs w:val="16"/>
        </w:rPr>
        <w:t>Emberá</w:t>
      </w:r>
      <w:proofErr w:type="spellEnd"/>
      <w:r w:rsidRPr="0001111C">
        <w:rPr>
          <w:rFonts w:ascii="Verdana" w:hAnsi="Verdana"/>
          <w:i/>
          <w:sz w:val="16"/>
          <w:szCs w:val="16"/>
        </w:rPr>
        <w:t xml:space="preserve"> de Bayano y sus Miembros</w:t>
      </w:r>
      <w:r w:rsidRPr="0001111C">
        <w:rPr>
          <w:rFonts w:ascii="Verdana" w:hAnsi="Verdana"/>
          <w:sz w:val="16"/>
          <w:szCs w:val="16"/>
        </w:rPr>
        <w:t>,</w:t>
      </w:r>
      <w:r w:rsidRPr="0001111C">
        <w:rPr>
          <w:rFonts w:ascii="Verdana" w:hAnsi="Verdana"/>
          <w:i/>
          <w:sz w:val="16"/>
          <w:szCs w:val="16"/>
        </w:rPr>
        <w:t xml:space="preserve"> supra</w:t>
      </w:r>
      <w:r w:rsidRPr="0001111C">
        <w:rPr>
          <w:rFonts w:ascii="Verdana" w:hAnsi="Verdana"/>
          <w:sz w:val="16"/>
          <w:szCs w:val="16"/>
        </w:rPr>
        <w:t>, párr. 142.</w:t>
      </w:r>
    </w:p>
  </w:footnote>
  <w:footnote w:id="224">
    <w:p w14:paraId="0C704E57" w14:textId="50CF7C28" w:rsidR="006B2C5D" w:rsidRPr="00514304" w:rsidRDefault="006B2C5D" w:rsidP="00B15331">
      <w:pPr>
        <w:pStyle w:val="FootnoteText"/>
      </w:pPr>
      <w:r w:rsidRPr="0001111C">
        <w:rPr>
          <w:rStyle w:val="FootnoteReference"/>
          <w:sz w:val="16"/>
        </w:rPr>
        <w:footnoteRef/>
      </w:r>
      <w:r w:rsidRPr="0001111C">
        <w:t xml:space="preserve"> </w:t>
      </w:r>
      <w:r w:rsidRPr="0001111C">
        <w:tab/>
        <w:t>De conformidad con el Código Civil de Honduras se define el saneamiento para casos de compraventa en el siguiente sentido: a) el artículo 1620 establece que el vendedor está obligado a la entrega y saneamiento de la cosa objeto de la venta; b) el artículo 1631 establece que, en virtud del saneamiento a que se refiere el artículo 1620, el vendedor responderá al comprador de la posesión</w:t>
      </w:r>
      <w:r w:rsidRPr="00514304">
        <w:t xml:space="preserve"> legal y pacífica de la cosa vendida</w:t>
      </w:r>
      <w:r>
        <w:t xml:space="preserve"> y </w:t>
      </w:r>
      <w:r w:rsidRPr="00514304">
        <w:t>de los vicios o defectos ocultos que tuviere.</w:t>
      </w:r>
      <w:r>
        <w:t xml:space="preserve"> Pero esta figura se encuentra </w:t>
      </w:r>
      <w:r w:rsidRPr="00514304">
        <w:t xml:space="preserve">regulada en el Código Civil de Honduras </w:t>
      </w:r>
      <w:r>
        <w:t xml:space="preserve">solo </w:t>
      </w:r>
      <w:r w:rsidRPr="00514304">
        <w:t xml:space="preserve">en relación con: </w:t>
      </w:r>
      <w:r>
        <w:t>a</w:t>
      </w:r>
      <w:r w:rsidRPr="00514304">
        <w:t xml:space="preserve">) la acción reivindicatoria o de dominio (art. 879); </w:t>
      </w:r>
      <w:r>
        <w:t>b</w:t>
      </w:r>
      <w:r w:rsidRPr="00514304">
        <w:t xml:space="preserve">) la partición de bienes (arts. 1257.2 y 1258); </w:t>
      </w:r>
      <w:r>
        <w:t>c</w:t>
      </w:r>
      <w:r w:rsidRPr="00514304">
        <w:t xml:space="preserve">) la donación (arts. 1329 y 1330); </w:t>
      </w:r>
      <w:r>
        <w:t>d</w:t>
      </w:r>
      <w:r w:rsidRPr="00514304">
        <w:t xml:space="preserve">) la compraventa, tanto en casos de evicción como de defectos o gravámenes ocultos (arts. 1620, 1631-1633, 1635, 1637, 1638, 1641, 1643, 1644 y 1652); </w:t>
      </w:r>
      <w:r>
        <w:t>e</w:t>
      </w:r>
      <w:r w:rsidRPr="00514304">
        <w:t xml:space="preserve">) transmisión de créditos y demás derechos incorporales (art. 1672), y </w:t>
      </w:r>
      <w:r>
        <w:t>f</w:t>
      </w:r>
      <w:r w:rsidRPr="00514304">
        <w:t>) arrendamiento de cosas (arts. 1683, 1696 y 1700)</w:t>
      </w:r>
      <w:r>
        <w:t xml:space="preserve">, sin hacer referencia a saneamiento de las tierras indígenas.  </w:t>
      </w:r>
    </w:p>
  </w:footnote>
  <w:footnote w:id="225">
    <w:p w14:paraId="0C704E58" w14:textId="38F227E0" w:rsidR="006B2C5D" w:rsidRPr="00514304" w:rsidRDefault="006B2C5D" w:rsidP="00B15331">
      <w:pPr>
        <w:pStyle w:val="FootnoteText"/>
        <w:rPr>
          <w:lang w:val="es-ES_tradnl"/>
        </w:rPr>
      </w:pPr>
      <w:r w:rsidRPr="00514304">
        <w:rPr>
          <w:rStyle w:val="FootnoteReference"/>
          <w:sz w:val="16"/>
        </w:rPr>
        <w:footnoteRef/>
      </w:r>
      <w:r w:rsidRPr="00514304">
        <w:t xml:space="preserve"> </w:t>
      </w:r>
      <w:r w:rsidRPr="00514304">
        <w:tab/>
      </w:r>
      <w:r>
        <w:t>En este sentido, v</w:t>
      </w:r>
      <w:r w:rsidRPr="00514304">
        <w:t>er también</w:t>
      </w:r>
      <w:r>
        <w:t xml:space="preserve"> el</w:t>
      </w:r>
      <w:r w:rsidRPr="00514304">
        <w:t xml:space="preserve"> Acuerdo Ejecutivo número 035-2001</w:t>
      </w:r>
      <w:r>
        <w:t xml:space="preserve"> </w:t>
      </w:r>
      <w:r w:rsidRPr="00514304">
        <w:t>de 28 de Agosto de 2001.</w:t>
      </w:r>
    </w:p>
  </w:footnote>
  <w:footnote w:id="226">
    <w:p w14:paraId="0C704E59" w14:textId="3CF0813C" w:rsidR="006B2C5D" w:rsidRDefault="006B2C5D" w:rsidP="00B15331">
      <w:pPr>
        <w:pStyle w:val="FootnoteText"/>
      </w:pPr>
      <w:r w:rsidRPr="00514304">
        <w:rPr>
          <w:rStyle w:val="FootnoteReference"/>
          <w:sz w:val="16"/>
        </w:rPr>
        <w:footnoteRef/>
      </w:r>
      <w:r w:rsidRPr="00514304">
        <w:t xml:space="preserve"> </w:t>
      </w:r>
      <w:r w:rsidRPr="00514304">
        <w:tab/>
      </w:r>
      <w:r>
        <w:rPr>
          <w:i/>
        </w:rPr>
        <w:t xml:space="preserve">Cfr. </w:t>
      </w:r>
      <w:r w:rsidRPr="00514304">
        <w:t>Constancia del INA de 22 de diciembre de 1999 (</w:t>
      </w:r>
      <w:r>
        <w:t xml:space="preserve">expediente de fondo, </w:t>
      </w:r>
      <w:r w:rsidRPr="00514304">
        <w:t>folio 632)</w:t>
      </w:r>
      <w:r>
        <w:t>.</w:t>
      </w:r>
    </w:p>
  </w:footnote>
  <w:footnote w:id="227">
    <w:p w14:paraId="0C704E5A" w14:textId="5C8B88A5" w:rsidR="006B2C5D" w:rsidRDefault="006B2C5D" w:rsidP="00B15331">
      <w:pPr>
        <w:pStyle w:val="FootnoteText"/>
      </w:pPr>
      <w:r w:rsidRPr="00514304">
        <w:rPr>
          <w:rStyle w:val="FootnoteReference"/>
          <w:sz w:val="16"/>
        </w:rPr>
        <w:footnoteRef/>
      </w:r>
      <w:r w:rsidRPr="00514304">
        <w:t xml:space="preserve"> </w:t>
      </w:r>
      <w:r w:rsidRPr="00514304">
        <w:tab/>
      </w:r>
      <w:r>
        <w:t>Las medidas que se solicitaron para sanear el territorio fueron la s</w:t>
      </w:r>
      <w:r w:rsidRPr="00514304">
        <w:t>uscripción de</w:t>
      </w:r>
      <w:r>
        <w:t xml:space="preserve">l </w:t>
      </w:r>
      <w:r w:rsidRPr="00514304">
        <w:t xml:space="preserve">acta de compromiso en el 2001, </w:t>
      </w:r>
      <w:r>
        <w:t xml:space="preserve">las </w:t>
      </w:r>
      <w:r w:rsidRPr="00514304">
        <w:t>solicitudes al Congreso Nacional para la adopción de partidas presupuestales,</w:t>
      </w:r>
      <w:r>
        <w:t xml:space="preserve"> las </w:t>
      </w:r>
      <w:r w:rsidRPr="00514304">
        <w:t xml:space="preserve">peticiones de información al INA, </w:t>
      </w:r>
      <w:r>
        <w:t xml:space="preserve">la </w:t>
      </w:r>
      <w:r w:rsidRPr="00514304">
        <w:t>adopción de</w:t>
      </w:r>
      <w:r>
        <w:t xml:space="preserve">l </w:t>
      </w:r>
      <w:r w:rsidRPr="00514304">
        <w:t xml:space="preserve">acta de entendimiento en el 2006 y </w:t>
      </w:r>
      <w:r>
        <w:t xml:space="preserve">la </w:t>
      </w:r>
      <w:r w:rsidRPr="00514304">
        <w:t>participación en reuniones de trabajo a efectos de concretar el saneamiento de su territorio.</w:t>
      </w:r>
    </w:p>
  </w:footnote>
  <w:footnote w:id="228">
    <w:p w14:paraId="0C704E5B" w14:textId="30BD0DF5" w:rsidR="006B2C5D" w:rsidRDefault="006B2C5D" w:rsidP="00B15331">
      <w:pPr>
        <w:pStyle w:val="FootnoteText"/>
        <w:rPr>
          <w:lang w:val="es-MX"/>
        </w:rPr>
      </w:pPr>
      <w:r w:rsidRPr="00514304">
        <w:rPr>
          <w:rStyle w:val="FootnoteReference"/>
          <w:sz w:val="16"/>
        </w:rPr>
        <w:footnoteRef/>
      </w:r>
      <w:r w:rsidRPr="00514304">
        <w:t xml:space="preserve"> </w:t>
      </w:r>
      <w:r w:rsidRPr="00514304">
        <w:tab/>
      </w:r>
      <w:r>
        <w:t>Al respecto,</w:t>
      </w:r>
      <w:r w:rsidRPr="00514304">
        <w:t xml:space="preserve"> </w:t>
      </w:r>
      <w:r>
        <w:t>e</w:t>
      </w:r>
      <w:r w:rsidRPr="00514304">
        <w:t xml:space="preserve">l Comité de </w:t>
      </w:r>
      <w:r>
        <w:t>D</w:t>
      </w:r>
      <w:r w:rsidRPr="00514304">
        <w:t xml:space="preserve">erechos </w:t>
      </w:r>
      <w:r>
        <w:t>E</w:t>
      </w:r>
      <w:r w:rsidRPr="00514304">
        <w:t xml:space="preserve">conómicos, </w:t>
      </w:r>
      <w:r>
        <w:t>S</w:t>
      </w:r>
      <w:r w:rsidRPr="00514304">
        <w:t xml:space="preserve">ociales y </w:t>
      </w:r>
      <w:r>
        <w:t>C</w:t>
      </w:r>
      <w:r w:rsidRPr="00514304">
        <w:t xml:space="preserve">ulturales de las Naciones Unidas </w:t>
      </w:r>
      <w:r>
        <w:t xml:space="preserve">señala la necesidad de </w:t>
      </w:r>
      <w:r w:rsidRPr="00514304">
        <w:t xml:space="preserve">un marco legal que sea acorde al artículo 11 del Pacto. El Comité considera que entre las garantías procesales que se deberían aplicar en el contexto de los desalojos forzosos figuran: a) una auténtica oportunidad de consultar a las personas afectadas; b) un plazo suficiente y razonable de notificación a todas las personas afectadas con antelación a la fecha prevista para el desalojo; c) facilitar a todos los interesados, en un plazo razonable, información relativa a los desalojos previstos y, en su caso, a los fines a que se destinan las tierras o las viviendas; d) la presencia de funcionarios del gobierno o sus representantes en el desalojo, especialmente cuando éste afecte a grupos de personas; e) identificación exacta de todas las personas que efectúen el desalojo; f) no efectuar desalojos cuando haga muy mal tiempo o de noche, salvo que las personas afectadas den su consentimiento; g) ofrecer recursos jurídicos; y h) ofrecer asistencia jurídica siempre que sea posible a las personas que necesiten pedir reparación a los tribunales. </w:t>
      </w:r>
      <w:r w:rsidRPr="00514304">
        <w:rPr>
          <w:i/>
        </w:rPr>
        <w:t>Cfr.</w:t>
      </w:r>
      <w:r w:rsidRPr="00514304">
        <w:t xml:space="preserve"> El Comité de </w:t>
      </w:r>
      <w:r>
        <w:t>D</w:t>
      </w:r>
      <w:r w:rsidRPr="00514304">
        <w:t xml:space="preserve">erechos </w:t>
      </w:r>
      <w:r>
        <w:t>E</w:t>
      </w:r>
      <w:r w:rsidRPr="00514304">
        <w:t xml:space="preserve">conómicos, </w:t>
      </w:r>
      <w:r>
        <w:t>S</w:t>
      </w:r>
      <w:r w:rsidRPr="00514304">
        <w:t xml:space="preserve">ociales y </w:t>
      </w:r>
      <w:r>
        <w:t>C</w:t>
      </w:r>
      <w:r w:rsidRPr="00514304">
        <w:t>ulturale</w:t>
      </w:r>
      <w:r>
        <w:t xml:space="preserve">s de las Naciones Unidas, </w:t>
      </w:r>
      <w:r w:rsidRPr="00514304">
        <w:t>Observación General No. 7 (1997), párrafo 15</w:t>
      </w:r>
      <w:r>
        <w:t>.</w:t>
      </w:r>
    </w:p>
  </w:footnote>
  <w:footnote w:id="229">
    <w:p w14:paraId="0C704E60" w14:textId="697E95DD" w:rsidR="006B2C5D" w:rsidRDefault="006B2C5D" w:rsidP="00B15331">
      <w:pPr>
        <w:pStyle w:val="FootnoteText"/>
      </w:pPr>
      <w:r w:rsidRPr="00514304">
        <w:rPr>
          <w:rStyle w:val="FootnoteReference"/>
          <w:sz w:val="16"/>
        </w:rPr>
        <w:footnoteRef/>
      </w:r>
      <w:r>
        <w:rPr>
          <w:lang w:val="pt-BR"/>
        </w:rPr>
        <w:tab/>
      </w:r>
      <w:r w:rsidRPr="00B742B4">
        <w:rPr>
          <w:i/>
          <w:lang w:val="pt-BR"/>
        </w:rPr>
        <w:t xml:space="preserve">Cfr. Caso Genie Lacayo Vs. Nicaragua. </w:t>
      </w:r>
      <w:r w:rsidRPr="00B742B4">
        <w:rPr>
          <w:i/>
        </w:rPr>
        <w:t>Fondo, Reparaciones y Costas.</w:t>
      </w:r>
      <w:r w:rsidRPr="00514304">
        <w:t xml:space="preserve"> Sentencia de 29 de enero de 1997. Serie C No. 30, párr. 51, y Kuna, párr. 192.</w:t>
      </w:r>
      <w:r>
        <w:t xml:space="preserve"> y</w:t>
      </w:r>
      <w:r w:rsidRPr="00514304">
        <w:t xml:space="preserve"> </w:t>
      </w:r>
      <w:r w:rsidRPr="008E11C9">
        <w:rPr>
          <w:rStyle w:val="Strong"/>
          <w:b w:val="0"/>
          <w:i/>
          <w:color w:val="000000"/>
          <w:shd w:val="clear" w:color="auto" w:fill="FFFFFF"/>
        </w:rPr>
        <w:t>Caso Tarazona Arrieta y Otros Vs. Perú. Excepción Preliminar, Fondo, Reparaciones y Costas.</w:t>
      </w:r>
      <w:r w:rsidRPr="008E11C9">
        <w:rPr>
          <w:rStyle w:val="Strong"/>
          <w:b w:val="0"/>
          <w:color w:val="000000"/>
          <w:shd w:val="clear" w:color="auto" w:fill="FFFFFF"/>
        </w:rPr>
        <w:t xml:space="preserve"> Sentencia de 15 de octubre de 2014. Serie C No. 286, párr. </w:t>
      </w:r>
      <w:r w:rsidRPr="008E11C9">
        <w:rPr>
          <w:lang w:val="es-ES_tradnl"/>
        </w:rPr>
        <w:t>153</w:t>
      </w:r>
      <w:r>
        <w:rPr>
          <w:lang w:val="es-ES_tradnl"/>
        </w:rPr>
        <w:t>.</w:t>
      </w:r>
    </w:p>
  </w:footnote>
  <w:footnote w:id="230">
    <w:p w14:paraId="0C704E61" w14:textId="5FAE0B20" w:rsidR="006B2C5D" w:rsidRDefault="006B2C5D" w:rsidP="00B15331">
      <w:pPr>
        <w:pStyle w:val="FootnoteText"/>
      </w:pPr>
      <w:r w:rsidRPr="00514304">
        <w:rPr>
          <w:rStyle w:val="FootnoteReference"/>
          <w:sz w:val="16"/>
        </w:rPr>
        <w:footnoteRef/>
      </w:r>
      <w:r w:rsidRPr="00514304">
        <w:t xml:space="preserve"> </w:t>
      </w:r>
      <w:r w:rsidRPr="00514304">
        <w:tab/>
      </w:r>
      <w:r w:rsidRPr="00B742B4">
        <w:rPr>
          <w:i/>
        </w:rPr>
        <w:t xml:space="preserve">Cfr. Caso Castillo </w:t>
      </w:r>
      <w:proofErr w:type="spellStart"/>
      <w:r w:rsidRPr="00B742B4">
        <w:rPr>
          <w:i/>
        </w:rPr>
        <w:t>Petruzzi</w:t>
      </w:r>
      <w:proofErr w:type="spellEnd"/>
      <w:r w:rsidRPr="00B742B4">
        <w:rPr>
          <w:i/>
        </w:rPr>
        <w:t xml:space="preserve"> y otros Vs. Perú. Fondo, Reparaciones y Costas.</w:t>
      </w:r>
      <w:r w:rsidRPr="00514304">
        <w:t xml:space="preserve"> Sentencia de 30 de mayo de 1999. Serie C No. 52, párr. 207, </w:t>
      </w:r>
      <w:r>
        <w:t>y</w:t>
      </w:r>
      <w:r w:rsidRPr="00B048F4">
        <w:rPr>
          <w:rStyle w:val="Heading3Char"/>
          <w:rFonts w:ascii="Verdana" w:hAnsi="Verdana"/>
          <w:b w:val="0"/>
          <w:i/>
          <w:color w:val="000000"/>
          <w:sz w:val="16"/>
          <w:szCs w:val="16"/>
          <w:shd w:val="clear" w:color="auto" w:fill="FFFFFF"/>
        </w:rPr>
        <w:t xml:space="preserve"> </w:t>
      </w:r>
      <w:r w:rsidRPr="008E11C9">
        <w:rPr>
          <w:rStyle w:val="Strong"/>
          <w:b w:val="0"/>
          <w:i/>
          <w:color w:val="000000"/>
          <w:shd w:val="clear" w:color="auto" w:fill="FFFFFF"/>
        </w:rPr>
        <w:t>Caso Tarazona Arrieta y Otros, supra,</w:t>
      </w:r>
      <w:r>
        <w:rPr>
          <w:rStyle w:val="Strong"/>
          <w:b w:val="0"/>
          <w:i/>
          <w:color w:val="000000"/>
          <w:shd w:val="clear" w:color="auto" w:fill="FFFFFF"/>
        </w:rPr>
        <w:t xml:space="preserve"> </w:t>
      </w:r>
      <w:r w:rsidRPr="008E11C9">
        <w:rPr>
          <w:rStyle w:val="Strong"/>
          <w:b w:val="0"/>
          <w:color w:val="000000"/>
          <w:shd w:val="clear" w:color="auto" w:fill="FFFFFF"/>
        </w:rPr>
        <w:t>párr.</w:t>
      </w:r>
      <w:r w:rsidRPr="008E11C9">
        <w:rPr>
          <w:lang w:val="es-ES_tradnl"/>
        </w:rPr>
        <w:t xml:space="preserve"> 153</w:t>
      </w:r>
      <w:r>
        <w:t>.</w:t>
      </w:r>
    </w:p>
  </w:footnote>
  <w:footnote w:id="231">
    <w:p w14:paraId="0C704E62" w14:textId="77777777" w:rsidR="006B2C5D" w:rsidRDefault="006B2C5D" w:rsidP="00B15331">
      <w:pPr>
        <w:pStyle w:val="FootnoteText"/>
        <w:rPr>
          <w:lang w:val="es-ES_tradnl"/>
        </w:rPr>
      </w:pPr>
      <w:r w:rsidRPr="00514304">
        <w:rPr>
          <w:rStyle w:val="FootnoteReference"/>
          <w:sz w:val="16"/>
        </w:rPr>
        <w:footnoteRef/>
      </w:r>
      <w:r w:rsidRPr="00514304">
        <w:t xml:space="preserve"> </w:t>
      </w:r>
      <w:r w:rsidRPr="00514304">
        <w:tab/>
        <w:t>El artículo 346 de la Constitución Política de Honduras de 1982 señala que: “[e]s deber del Estado dictar medidas de protección de los derechos e intereses de las comunidades indígenas existentes en el país, especialmente de las tierras y bosques donde estuvieren asentadas”.</w:t>
      </w:r>
      <w:r>
        <w:t xml:space="preserve"> Disponible en: </w:t>
      </w:r>
      <w:r w:rsidRPr="00633700">
        <w:t>http://www.oas.org/dil/esp/Constitucion_de_Honduras.pdf</w:t>
      </w:r>
    </w:p>
  </w:footnote>
  <w:footnote w:id="232">
    <w:p w14:paraId="0C704E63" w14:textId="11A28335" w:rsidR="006B2C5D" w:rsidRPr="00BB2BDA" w:rsidRDefault="006B2C5D" w:rsidP="00B15331">
      <w:pPr>
        <w:pStyle w:val="FootnoteText"/>
        <w:rPr>
          <w:lang w:val="es-ES_tradnl"/>
        </w:rPr>
      </w:pPr>
      <w:r w:rsidRPr="00514304">
        <w:rPr>
          <w:rStyle w:val="FootnoteReference"/>
          <w:sz w:val="16"/>
        </w:rPr>
        <w:footnoteRef/>
      </w:r>
      <w:r w:rsidRPr="00514304">
        <w:t xml:space="preserve"> </w:t>
      </w:r>
      <w:r w:rsidRPr="00514304">
        <w:tab/>
      </w:r>
      <w:r>
        <w:t>E</w:t>
      </w:r>
      <w:r w:rsidRPr="00514304">
        <w:t xml:space="preserve">l artículo 92 de esta Ley reconoce el derecho de las comunidades “étnicas” a recibir títulos de propiedad en forma gratuita de las tierras donde estén asentadas, </w:t>
      </w:r>
      <w:r>
        <w:t xml:space="preserve">si las solicitan en un plazo de </w:t>
      </w:r>
      <w:r w:rsidRPr="00514304">
        <w:t>tres años. Sin embargo, no establece disposición alguna en relación con medidas de protección para dichas tierras.</w:t>
      </w:r>
      <w:r>
        <w:t xml:space="preserve"> </w:t>
      </w:r>
      <w:r>
        <w:rPr>
          <w:i/>
        </w:rPr>
        <w:t>Cfr.</w:t>
      </w:r>
      <w:r w:rsidRPr="00BB2BDA">
        <w:t xml:space="preserve"> </w:t>
      </w:r>
      <w:r w:rsidRPr="00514304">
        <w:t>Ley para la Modernización y el Desarrollo del Sector Agrícola</w:t>
      </w:r>
      <w:r>
        <w:t xml:space="preserve">, </w:t>
      </w:r>
      <w:r>
        <w:rPr>
          <w:i/>
        </w:rPr>
        <w:t>supra.</w:t>
      </w:r>
    </w:p>
  </w:footnote>
  <w:footnote w:id="233">
    <w:p w14:paraId="0C704E67" w14:textId="77777777" w:rsidR="006B2C5D" w:rsidRDefault="006B2C5D" w:rsidP="00B15331">
      <w:pPr>
        <w:pStyle w:val="FootnoteText"/>
      </w:pPr>
      <w:r w:rsidRPr="00514304">
        <w:rPr>
          <w:rStyle w:val="FootnoteReference"/>
          <w:sz w:val="16"/>
        </w:rPr>
        <w:footnoteRef/>
      </w:r>
      <w:r w:rsidRPr="00514304">
        <w:t xml:space="preserve"> </w:t>
      </w:r>
      <w:r w:rsidRPr="00514304">
        <w:tab/>
        <w:t>Aprobada por Decreto No. 82-2004 de 29 de junio de 2004.</w:t>
      </w:r>
      <w:r>
        <w:t xml:space="preserve"> Disponible en: </w:t>
      </w:r>
      <w:r w:rsidRPr="00BB2BDA">
        <w:t>https://www.ccit.hn/wp-content/uploads/2013/12/LEY-DE-PROPIEDAD.pdf</w:t>
      </w:r>
      <w:r>
        <w:t>.</w:t>
      </w:r>
    </w:p>
  </w:footnote>
  <w:footnote w:id="234">
    <w:p w14:paraId="0C704E68" w14:textId="0E8DEC6A" w:rsidR="006B2C5D" w:rsidRDefault="006B2C5D" w:rsidP="00B15331">
      <w:pPr>
        <w:pStyle w:val="FootnoteText"/>
      </w:pPr>
      <w:r w:rsidRPr="00514304">
        <w:rPr>
          <w:rStyle w:val="FootnoteReference"/>
          <w:sz w:val="16"/>
        </w:rPr>
        <w:footnoteRef/>
      </w:r>
      <w:r w:rsidRPr="00514304">
        <w:t xml:space="preserve"> </w:t>
      </w:r>
      <w:r w:rsidRPr="00514304">
        <w:tab/>
      </w:r>
      <w:r w:rsidRPr="00A0324F">
        <w:t>Reglamento de la Ley de Propiedad (Resolución C.D.IP No. 003-2010)</w:t>
      </w:r>
      <w:r w:rsidRPr="00514304">
        <w:rPr>
          <w:i/>
        </w:rPr>
        <w:t>.</w:t>
      </w:r>
      <w:r>
        <w:rPr>
          <w:i/>
        </w:rPr>
        <w:t xml:space="preserve"> </w:t>
      </w:r>
      <w:r>
        <w:t xml:space="preserve">Disponible en: </w:t>
      </w:r>
      <w:r w:rsidRPr="00CF35C8">
        <w:t>http://www.poderjudicial.gob.hn/CEDIJ/Documents/Reglamento%20Ley%20de%20Propiedad.pdf</w:t>
      </w:r>
    </w:p>
  </w:footnote>
  <w:footnote w:id="235">
    <w:p w14:paraId="0C704E69" w14:textId="7E7C58FD" w:rsidR="006B2C5D" w:rsidRDefault="006B2C5D" w:rsidP="00B15331">
      <w:pPr>
        <w:pStyle w:val="FootnoteText"/>
      </w:pPr>
      <w:r w:rsidRPr="00ED7CCB">
        <w:rPr>
          <w:rStyle w:val="FootnoteReference"/>
          <w:sz w:val="16"/>
        </w:rPr>
        <w:footnoteRef/>
      </w:r>
      <w:r w:rsidRPr="00ED7CCB">
        <w:t xml:space="preserve"> </w:t>
      </w:r>
      <w:r w:rsidRPr="00ED7CCB">
        <w:tab/>
        <w:t>Apro</w:t>
      </w:r>
      <w:r>
        <w:t>b</w:t>
      </w:r>
      <w:r w:rsidRPr="00ED7CCB">
        <w:t>ado por Decreto No. 26-94</w:t>
      </w:r>
      <w:r>
        <w:t xml:space="preserve"> del Congreso Nacional de 10 de mayo de 1994, publicado en el Diario Oficial “La Gaceta” el 30 de julio de 1994. El Convenio 169 entró en vigencia para Honduras el 28 de marzo de 1995 </w:t>
      </w:r>
      <w:r w:rsidRPr="008A224A">
        <w:t>(</w:t>
      </w:r>
      <w:r w:rsidRPr="00A0324F">
        <w:rPr>
          <w:i/>
        </w:rPr>
        <w:t>supra</w:t>
      </w:r>
      <w:r w:rsidRPr="008A224A">
        <w:t xml:space="preserve"> </w:t>
      </w:r>
      <w:r w:rsidRPr="00A0324F">
        <w:t>párr.</w:t>
      </w:r>
      <w:r w:rsidRPr="008A224A">
        <w:t xml:space="preserve"> </w:t>
      </w:r>
      <w:r w:rsidRPr="00A0324F">
        <w:t>84</w:t>
      </w:r>
      <w:r w:rsidRPr="008A224A">
        <w:t>).</w:t>
      </w:r>
    </w:p>
  </w:footnote>
  <w:footnote w:id="236">
    <w:p w14:paraId="0C704E6C" w14:textId="036EEB42"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Video </w:t>
      </w:r>
      <w:r w:rsidRPr="00A0324F">
        <w:t xml:space="preserve">que contiene las imágenes recabadas por el Estado durante la diligencia </w:t>
      </w:r>
      <w:r w:rsidRPr="00A0324F">
        <w:rPr>
          <w:i/>
        </w:rPr>
        <w:t>in situ</w:t>
      </w:r>
      <w:r w:rsidRPr="00A0324F">
        <w:t xml:space="preserve"> realizada el 25 de agosto de 2015 (expediente de fondo, folio 1127).</w:t>
      </w:r>
    </w:p>
  </w:footnote>
  <w:footnote w:id="237">
    <w:p w14:paraId="0C704E6D" w14:textId="267868C0" w:rsidR="006B2C5D" w:rsidRDefault="006B2C5D" w:rsidP="00B15331">
      <w:pPr>
        <w:pStyle w:val="Footnotes"/>
        <w:rPr>
          <w:rFonts w:eastAsia="Times New Roman"/>
        </w:rPr>
      </w:pPr>
      <w:r w:rsidRPr="00ED79DB">
        <w:rPr>
          <w:rStyle w:val="FootnoteReference"/>
          <w:sz w:val="16"/>
        </w:rPr>
        <w:footnoteRef/>
      </w:r>
      <w:r w:rsidRPr="00ED79DB">
        <w:t xml:space="preserve"> </w:t>
      </w:r>
      <w:r w:rsidRPr="00ED79DB">
        <w:tab/>
      </w:r>
      <w:r w:rsidRPr="00B742B4">
        <w:rPr>
          <w:i/>
        </w:rPr>
        <w:t xml:space="preserve">Cfr. Caso Pueblo </w:t>
      </w:r>
      <w:proofErr w:type="spellStart"/>
      <w:r w:rsidRPr="00B742B4">
        <w:rPr>
          <w:i/>
        </w:rPr>
        <w:t>Saramaka</w:t>
      </w:r>
      <w:proofErr w:type="spellEnd"/>
      <w:r w:rsidRPr="00B742B4">
        <w:rPr>
          <w:i/>
        </w:rPr>
        <w:t xml:space="preserve"> Vs. Surinam, supra,</w:t>
      </w:r>
      <w:r>
        <w:t xml:space="preserve"> </w:t>
      </w:r>
      <w:r w:rsidRPr="00ED79DB">
        <w:t>párr. 129</w:t>
      </w:r>
      <w:r>
        <w:t>,</w:t>
      </w:r>
      <w:r w:rsidRPr="00ED79DB">
        <w:t xml:space="preserve"> y </w:t>
      </w:r>
      <w:r w:rsidRPr="00B742B4">
        <w:rPr>
          <w:i/>
        </w:rPr>
        <w:t xml:space="preserve">Caso del </w:t>
      </w:r>
      <w:r w:rsidRPr="00B742B4">
        <w:rPr>
          <w:rFonts w:cs="Verdana"/>
          <w:bCs/>
          <w:i/>
          <w:snapToGrid w:val="0"/>
          <w:lang w:eastAsia="es-ES"/>
        </w:rPr>
        <w:t xml:space="preserve">Pueblo Indígena </w:t>
      </w:r>
      <w:proofErr w:type="spellStart"/>
      <w:r w:rsidRPr="00B742B4">
        <w:rPr>
          <w:rFonts w:cs="Verdana"/>
          <w:bCs/>
          <w:i/>
          <w:snapToGrid w:val="0"/>
          <w:lang w:eastAsia="es-ES"/>
        </w:rPr>
        <w:t>Kichwa</w:t>
      </w:r>
      <w:proofErr w:type="spellEnd"/>
      <w:r w:rsidRPr="00B742B4">
        <w:rPr>
          <w:rFonts w:cs="Verdana"/>
          <w:bCs/>
          <w:i/>
          <w:snapToGrid w:val="0"/>
          <w:lang w:eastAsia="es-ES"/>
        </w:rPr>
        <w:t xml:space="preserve"> de </w:t>
      </w:r>
      <w:proofErr w:type="spellStart"/>
      <w:r w:rsidRPr="00B742B4">
        <w:rPr>
          <w:rFonts w:cs="Verdana"/>
          <w:bCs/>
          <w:i/>
          <w:snapToGrid w:val="0"/>
          <w:lang w:eastAsia="es-ES"/>
        </w:rPr>
        <w:t>Sarayaku</w:t>
      </w:r>
      <w:proofErr w:type="spellEnd"/>
      <w:r w:rsidRPr="00B742B4">
        <w:rPr>
          <w:rFonts w:cs="Verdana"/>
          <w:bCs/>
          <w:i/>
          <w:snapToGrid w:val="0"/>
          <w:lang w:eastAsia="es-ES"/>
        </w:rPr>
        <w:t xml:space="preserve"> Vs. Ecuador,</w:t>
      </w:r>
      <w:r>
        <w:rPr>
          <w:rFonts w:cs="Verdana"/>
          <w:bCs/>
          <w:snapToGrid w:val="0"/>
          <w:lang w:eastAsia="es-ES"/>
        </w:rPr>
        <w:t xml:space="preserve"> </w:t>
      </w:r>
      <w:r w:rsidRPr="00B742B4">
        <w:rPr>
          <w:rFonts w:cs="Verdana"/>
          <w:bCs/>
          <w:i/>
          <w:snapToGrid w:val="0"/>
          <w:lang w:eastAsia="es-ES"/>
        </w:rPr>
        <w:t>supra,</w:t>
      </w:r>
      <w:r w:rsidRPr="00B742B4">
        <w:rPr>
          <w:rFonts w:cs="Verdana"/>
          <w:bCs/>
          <w:snapToGrid w:val="0"/>
          <w:lang w:eastAsia="es-ES"/>
        </w:rPr>
        <w:t xml:space="preserve">  </w:t>
      </w:r>
      <w:r w:rsidRPr="00ED79DB">
        <w:rPr>
          <w:rFonts w:cs="Verdana"/>
          <w:bCs/>
          <w:snapToGrid w:val="0"/>
          <w:lang w:eastAsia="es-ES"/>
        </w:rPr>
        <w:t>párrs. 157 y 177</w:t>
      </w:r>
      <w:r w:rsidRPr="00ED79DB">
        <w:t>.</w:t>
      </w:r>
    </w:p>
  </w:footnote>
  <w:footnote w:id="238">
    <w:p w14:paraId="0C704E6E" w14:textId="0D234FCF" w:rsidR="006B2C5D" w:rsidRPr="00ED79DB" w:rsidRDefault="006B2C5D" w:rsidP="00B15331">
      <w:pPr>
        <w:pStyle w:val="FootnoteText"/>
      </w:pPr>
      <w:r w:rsidRPr="00ED79DB">
        <w:rPr>
          <w:rStyle w:val="FootnoteReference"/>
          <w:sz w:val="16"/>
        </w:rPr>
        <w:footnoteRef/>
      </w:r>
      <w:r w:rsidRPr="00ED79DB">
        <w:t xml:space="preserve"> </w:t>
      </w:r>
      <w:r w:rsidRPr="00ED79DB">
        <w:tab/>
      </w:r>
      <w:r w:rsidRPr="00B742B4">
        <w:rPr>
          <w:i/>
        </w:rPr>
        <w:t xml:space="preserve">Cfr. Caso del </w:t>
      </w:r>
      <w:r w:rsidRPr="00B742B4">
        <w:rPr>
          <w:i/>
          <w:snapToGrid w:val="0"/>
        </w:rPr>
        <w:t xml:space="preserve">Pueblo Indígena </w:t>
      </w:r>
      <w:proofErr w:type="spellStart"/>
      <w:r w:rsidRPr="00B742B4">
        <w:rPr>
          <w:i/>
          <w:snapToGrid w:val="0"/>
        </w:rPr>
        <w:t>Kichwa</w:t>
      </w:r>
      <w:proofErr w:type="spellEnd"/>
      <w:r w:rsidRPr="00B742B4">
        <w:rPr>
          <w:i/>
          <w:snapToGrid w:val="0"/>
        </w:rPr>
        <w:t xml:space="preserve"> de </w:t>
      </w:r>
      <w:proofErr w:type="spellStart"/>
      <w:r w:rsidRPr="00B742B4">
        <w:rPr>
          <w:i/>
          <w:snapToGrid w:val="0"/>
        </w:rPr>
        <w:t>Sarayaku</w:t>
      </w:r>
      <w:proofErr w:type="spellEnd"/>
      <w:r w:rsidRPr="00B742B4">
        <w:rPr>
          <w:i/>
          <w:snapToGrid w:val="0"/>
        </w:rPr>
        <w:t xml:space="preserve">, </w:t>
      </w:r>
      <w:r w:rsidRPr="00B742B4">
        <w:rPr>
          <w:i/>
        </w:rPr>
        <w:t>supra,</w:t>
      </w:r>
      <w:r>
        <w:t xml:space="preserve"> </w:t>
      </w:r>
      <w:r w:rsidRPr="00ED79DB">
        <w:rPr>
          <w:snapToGrid w:val="0"/>
        </w:rPr>
        <w:t>párr. 167.</w:t>
      </w:r>
    </w:p>
  </w:footnote>
  <w:footnote w:id="239">
    <w:p w14:paraId="0C704E6F" w14:textId="4DDCD58F" w:rsidR="006B2C5D" w:rsidRPr="00ED79DB" w:rsidRDefault="006B2C5D" w:rsidP="00B15331">
      <w:pPr>
        <w:pStyle w:val="FootnoteText"/>
      </w:pPr>
      <w:r w:rsidRPr="00ED79DB">
        <w:rPr>
          <w:rStyle w:val="FootnoteReference"/>
          <w:sz w:val="16"/>
        </w:rPr>
        <w:footnoteRef/>
      </w:r>
      <w:r w:rsidRPr="00ED79DB">
        <w:t xml:space="preserve"> </w:t>
      </w:r>
      <w:r w:rsidRPr="00ED79DB">
        <w:tab/>
      </w:r>
      <w:r w:rsidRPr="00B742B4">
        <w:rPr>
          <w:i/>
        </w:rPr>
        <w:t xml:space="preserve">Cfr. Caso del </w:t>
      </w:r>
      <w:r w:rsidRPr="00B742B4">
        <w:rPr>
          <w:i/>
          <w:snapToGrid w:val="0"/>
        </w:rPr>
        <w:t xml:space="preserve">Pueblo Indígena </w:t>
      </w:r>
      <w:proofErr w:type="spellStart"/>
      <w:r w:rsidRPr="00B742B4">
        <w:rPr>
          <w:i/>
          <w:snapToGrid w:val="0"/>
        </w:rPr>
        <w:t>Kichwa</w:t>
      </w:r>
      <w:proofErr w:type="spellEnd"/>
      <w:r w:rsidRPr="00B742B4">
        <w:rPr>
          <w:i/>
          <w:snapToGrid w:val="0"/>
        </w:rPr>
        <w:t xml:space="preserve"> de </w:t>
      </w:r>
      <w:proofErr w:type="spellStart"/>
      <w:r w:rsidRPr="00B742B4">
        <w:rPr>
          <w:i/>
          <w:snapToGrid w:val="0"/>
        </w:rPr>
        <w:t>Sarayaku</w:t>
      </w:r>
      <w:proofErr w:type="spellEnd"/>
      <w:r w:rsidRPr="00B742B4">
        <w:rPr>
          <w:i/>
          <w:snapToGrid w:val="0"/>
        </w:rPr>
        <w:t xml:space="preserve">, </w:t>
      </w:r>
      <w:r w:rsidRPr="00B742B4">
        <w:rPr>
          <w:i/>
        </w:rPr>
        <w:t>supra,</w:t>
      </w:r>
      <w:r w:rsidRPr="00ED79DB">
        <w:t xml:space="preserve"> párr. 178. </w:t>
      </w:r>
    </w:p>
  </w:footnote>
  <w:footnote w:id="240">
    <w:p w14:paraId="0C704E70" w14:textId="2BF9A0EC" w:rsidR="006B2C5D" w:rsidRPr="00ED79DB" w:rsidRDefault="006B2C5D" w:rsidP="00B15331">
      <w:pPr>
        <w:pStyle w:val="FootnoteText"/>
      </w:pPr>
      <w:r w:rsidRPr="00ED79DB">
        <w:rPr>
          <w:rStyle w:val="FootnoteReference"/>
          <w:sz w:val="16"/>
        </w:rPr>
        <w:footnoteRef/>
      </w:r>
      <w:r w:rsidRPr="00ED79DB">
        <w:t xml:space="preserve"> </w:t>
      </w:r>
      <w:r w:rsidRPr="00ED79DB">
        <w:tab/>
      </w:r>
      <w:r w:rsidRPr="00B742B4">
        <w:rPr>
          <w:i/>
        </w:rPr>
        <w:t xml:space="preserve">Cfr. Caso del </w:t>
      </w:r>
      <w:r w:rsidRPr="00B742B4">
        <w:rPr>
          <w:i/>
          <w:snapToGrid w:val="0"/>
        </w:rPr>
        <w:t xml:space="preserve">Pueblo Indígena </w:t>
      </w:r>
      <w:proofErr w:type="spellStart"/>
      <w:r w:rsidRPr="00B742B4">
        <w:rPr>
          <w:i/>
          <w:snapToGrid w:val="0"/>
        </w:rPr>
        <w:t>Kichwa</w:t>
      </w:r>
      <w:proofErr w:type="spellEnd"/>
      <w:r w:rsidRPr="00B742B4">
        <w:rPr>
          <w:i/>
          <w:snapToGrid w:val="0"/>
        </w:rPr>
        <w:t xml:space="preserve"> de </w:t>
      </w:r>
      <w:proofErr w:type="spellStart"/>
      <w:r w:rsidRPr="00B742B4">
        <w:rPr>
          <w:i/>
          <w:snapToGrid w:val="0"/>
        </w:rPr>
        <w:t>Sarayaku</w:t>
      </w:r>
      <w:proofErr w:type="spellEnd"/>
      <w:r w:rsidRPr="00B742B4">
        <w:rPr>
          <w:i/>
          <w:snapToGrid w:val="0"/>
        </w:rPr>
        <w:t>,</w:t>
      </w:r>
      <w:r w:rsidRPr="00B742B4">
        <w:rPr>
          <w:i/>
        </w:rPr>
        <w:t xml:space="preserve"> supra,</w:t>
      </w:r>
      <w:r w:rsidRPr="00A0324F">
        <w:rPr>
          <w:snapToGrid w:val="0"/>
        </w:rPr>
        <w:t xml:space="preserve"> párrs. 211 y 232.</w:t>
      </w:r>
    </w:p>
  </w:footnote>
  <w:footnote w:id="241">
    <w:p w14:paraId="0C704E72" w14:textId="77777777"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Declaración Anual Consolidada DAC-2014”, elaborada por la Corporación Minera </w:t>
      </w:r>
      <w:proofErr w:type="spellStart"/>
      <w:r w:rsidRPr="00ED79DB">
        <w:t>Caxina</w:t>
      </w:r>
      <w:proofErr w:type="spellEnd"/>
      <w:r w:rsidRPr="00ED79DB">
        <w:t xml:space="preserve"> S.A., de 27 de enero de 2015 (expediente de fondo, folio 757 - 759).</w:t>
      </w:r>
    </w:p>
  </w:footnote>
  <w:footnote w:id="242">
    <w:p w14:paraId="0C704E73" w14:textId="77777777" w:rsidR="006B2C5D" w:rsidRDefault="006B2C5D" w:rsidP="00B15331">
      <w:pPr>
        <w:pStyle w:val="FootnoteText"/>
      </w:pPr>
      <w:r w:rsidRPr="00ED79DB">
        <w:rPr>
          <w:rStyle w:val="FootnoteReference"/>
          <w:sz w:val="16"/>
        </w:rPr>
        <w:footnoteRef/>
      </w:r>
      <w:r w:rsidRPr="00ED79DB">
        <w:t xml:space="preserve"> </w:t>
      </w:r>
      <w:r w:rsidRPr="00ED79DB">
        <w:tab/>
        <w:t>Artículo 95 de la Ley de Propiedad de Honduras (expediente de prueba, folio 2312).</w:t>
      </w:r>
    </w:p>
  </w:footnote>
  <w:footnote w:id="243">
    <w:p w14:paraId="0C704E74" w14:textId="62981AC4" w:rsidR="006B2C5D" w:rsidRPr="00ED79DB" w:rsidRDefault="006B2C5D">
      <w:pPr>
        <w:tabs>
          <w:tab w:val="left" w:pos="567"/>
        </w:tabs>
        <w:autoSpaceDE w:val="0"/>
        <w:autoSpaceDN w:val="0"/>
        <w:adjustRightInd w:val="0"/>
        <w:jc w:val="both"/>
        <w:rPr>
          <w:rFonts w:ascii="Verdana" w:hAnsi="Verdana"/>
          <w:sz w:val="16"/>
          <w:szCs w:val="16"/>
        </w:rPr>
      </w:pPr>
      <w:r w:rsidRPr="00ED79DB">
        <w:rPr>
          <w:rStyle w:val="FootnoteReference"/>
          <w:sz w:val="16"/>
          <w:szCs w:val="16"/>
        </w:rPr>
        <w:footnoteRef/>
      </w:r>
      <w:r w:rsidRPr="00ED79DB">
        <w:rPr>
          <w:rFonts w:ascii="Verdana" w:hAnsi="Verdana"/>
          <w:sz w:val="16"/>
          <w:szCs w:val="16"/>
        </w:rPr>
        <w:t xml:space="preserve"> </w:t>
      </w:r>
      <w:r w:rsidRPr="00ED79DB">
        <w:rPr>
          <w:rFonts w:ascii="Verdana" w:hAnsi="Verdana"/>
          <w:sz w:val="16"/>
          <w:szCs w:val="16"/>
        </w:rPr>
        <w:tab/>
        <w:t xml:space="preserve">Al respecto, el artículo 264 establece lo siguiente: “En caso que el Estado autorice cualquier tipo de explotación por la cual los </w:t>
      </w:r>
      <w:r w:rsidRPr="00ED79DB">
        <w:rPr>
          <w:rFonts w:ascii="Verdana" w:eastAsia="HiddenHorzOCR" w:hAnsi="Verdana" w:cs="HiddenHorzOCR"/>
          <w:sz w:val="16"/>
          <w:szCs w:val="16"/>
        </w:rPr>
        <w:t xml:space="preserve">pueblos indígenas nativos </w:t>
      </w:r>
      <w:r w:rsidRPr="00ED79DB">
        <w:rPr>
          <w:rFonts w:ascii="Verdana" w:hAnsi="Verdana"/>
          <w:sz w:val="16"/>
          <w:szCs w:val="16"/>
        </w:rPr>
        <w:t xml:space="preserve">y </w:t>
      </w:r>
      <w:proofErr w:type="spellStart"/>
      <w:r w:rsidRPr="00ED79DB">
        <w:rPr>
          <w:rFonts w:ascii="Verdana" w:hAnsi="Verdana"/>
          <w:sz w:val="16"/>
          <w:szCs w:val="16"/>
        </w:rPr>
        <w:t>afrohondureños</w:t>
      </w:r>
      <w:proofErr w:type="spellEnd"/>
      <w:r w:rsidRPr="00ED79DB">
        <w:rPr>
          <w:rFonts w:ascii="Verdana" w:hAnsi="Verdana"/>
          <w:sz w:val="16"/>
          <w:szCs w:val="16"/>
        </w:rPr>
        <w:t xml:space="preserve"> sufrieran daños como resultado de la misma, deberán ser indemnizados equitativamente” (expediente de prueba, folio 2551). Asimismo, el artículo 267 establece lo siguiente: “[…] Toda actividad susceptible de afectar directa o indirectamente a los miembros de la comunidad étnica deberá ser objeto de socialización y consulta” (expediente de prueba, folio 2552). Finalmente,  el artículo 268 establece lo siguiente: “Para el otorgamiento de todo contrato de cualquier naturaleza por parte del pueblo indígena nativo o </w:t>
      </w:r>
      <w:proofErr w:type="spellStart"/>
      <w:r w:rsidRPr="00ED79DB">
        <w:rPr>
          <w:rFonts w:ascii="Verdana" w:hAnsi="Verdana"/>
          <w:sz w:val="16"/>
          <w:szCs w:val="16"/>
        </w:rPr>
        <w:t>afrohondureño</w:t>
      </w:r>
      <w:proofErr w:type="spellEnd"/>
      <w:r w:rsidRPr="00ED79DB">
        <w:rPr>
          <w:rFonts w:ascii="Verdana" w:hAnsi="Verdana"/>
          <w:sz w:val="16"/>
          <w:szCs w:val="16"/>
        </w:rPr>
        <w:t xml:space="preserve">, el tercero deberá presentar a la autoridad máxima y legítima que representa al grupo étnico, un proyecto de desarrollo que contenga la información necesaria sobre la naturaleza, objetivos y alcance de las actividades, así como los beneficios que percibirían los pueblos y comunidades involucrados, los posibles daños ambientales, sociales, culturales y de cualquier otra índole y sus condiciones de reparación a los fines de que puedan ser evaluados y analizados previamente por el pueblo o comunidad respectiva para su posterior ratificación, a solicitud de la autoridad máxima, por parte del Instituto de la Propiedad” (expediente de prueba, folio 2552). </w:t>
      </w:r>
    </w:p>
  </w:footnote>
  <w:footnote w:id="244">
    <w:p w14:paraId="0C704E75" w14:textId="77777777" w:rsidR="006B2C5D" w:rsidRPr="00ED79DB" w:rsidRDefault="006B2C5D" w:rsidP="00B15331">
      <w:pPr>
        <w:pStyle w:val="FootnoteText"/>
      </w:pPr>
      <w:r w:rsidRPr="00ED79DB">
        <w:rPr>
          <w:rStyle w:val="FootnoteReference"/>
          <w:sz w:val="16"/>
        </w:rPr>
        <w:footnoteRef/>
      </w:r>
      <w:r w:rsidRPr="00ED79DB">
        <w:t xml:space="preserve"> </w:t>
      </w:r>
      <w:r w:rsidRPr="00ED79DB">
        <w:tab/>
        <w:t>Artículo 50 de la Ley General de Minería de Honduras (expediente de fondo, folio 1017).</w:t>
      </w:r>
    </w:p>
  </w:footnote>
  <w:footnote w:id="245">
    <w:p w14:paraId="0C704E76" w14:textId="77777777" w:rsidR="006B2C5D" w:rsidRPr="00ED79DB" w:rsidRDefault="006B2C5D" w:rsidP="00B15331">
      <w:pPr>
        <w:pStyle w:val="FootnoteText"/>
      </w:pPr>
      <w:r w:rsidRPr="00ED79DB">
        <w:rPr>
          <w:rStyle w:val="FootnoteReference"/>
          <w:sz w:val="16"/>
        </w:rPr>
        <w:footnoteRef/>
      </w:r>
      <w:r w:rsidRPr="00ED79DB">
        <w:t xml:space="preserve"> </w:t>
      </w:r>
      <w:r w:rsidRPr="00ED79DB">
        <w:tab/>
        <w:t>Artículo 82 del Reglamento de la Ley General de Minería de Honduras (expediente de fondo, folio 1004).</w:t>
      </w:r>
    </w:p>
  </w:footnote>
  <w:footnote w:id="246">
    <w:p w14:paraId="0C704E77" w14:textId="7AB0B653" w:rsidR="006B2C5D" w:rsidRPr="00ED79DB"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r>
      <w:r w:rsidRPr="00B742B4">
        <w:rPr>
          <w:i/>
          <w:lang w:val="es-CR"/>
        </w:rPr>
        <w:t xml:space="preserve">Cfr. </w:t>
      </w:r>
      <w:r w:rsidRPr="00B742B4">
        <w:rPr>
          <w:i/>
        </w:rPr>
        <w:t xml:space="preserve">Caso del </w:t>
      </w:r>
      <w:r w:rsidRPr="00B742B4">
        <w:rPr>
          <w:i/>
          <w:snapToGrid w:val="0"/>
        </w:rPr>
        <w:t xml:space="preserve">Pueblo Indígena </w:t>
      </w:r>
      <w:proofErr w:type="spellStart"/>
      <w:r w:rsidRPr="00B742B4">
        <w:rPr>
          <w:i/>
          <w:snapToGrid w:val="0"/>
        </w:rPr>
        <w:t>Kichwa</w:t>
      </w:r>
      <w:proofErr w:type="spellEnd"/>
      <w:r w:rsidRPr="00B742B4">
        <w:rPr>
          <w:i/>
          <w:snapToGrid w:val="0"/>
        </w:rPr>
        <w:t xml:space="preserve"> de </w:t>
      </w:r>
      <w:proofErr w:type="spellStart"/>
      <w:r w:rsidRPr="00B742B4">
        <w:rPr>
          <w:i/>
          <w:snapToGrid w:val="0"/>
        </w:rPr>
        <w:t>Sarayaku</w:t>
      </w:r>
      <w:proofErr w:type="spellEnd"/>
      <w:r w:rsidRPr="00B742B4">
        <w:rPr>
          <w:i/>
          <w:snapToGrid w:val="0"/>
        </w:rPr>
        <w:t xml:space="preserve">, </w:t>
      </w:r>
      <w:r w:rsidRPr="00B742B4">
        <w:rPr>
          <w:i/>
        </w:rPr>
        <w:t>supra,</w:t>
      </w:r>
      <w:r>
        <w:t xml:space="preserve"> </w:t>
      </w:r>
      <w:r w:rsidRPr="00ED79DB">
        <w:rPr>
          <w:snapToGrid w:val="0"/>
        </w:rPr>
        <w:t>párr. 164.</w:t>
      </w:r>
    </w:p>
  </w:footnote>
  <w:footnote w:id="247">
    <w:p w14:paraId="0C704E79" w14:textId="6A8DE039" w:rsidR="006B2C5D" w:rsidRPr="00ED79DB"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r>
      <w:r w:rsidRPr="00B742B4">
        <w:rPr>
          <w:i/>
          <w:lang w:val="es-CR"/>
        </w:rPr>
        <w:t xml:space="preserve">Cfr. </w:t>
      </w:r>
      <w:r w:rsidRPr="00B742B4">
        <w:rPr>
          <w:i/>
        </w:rPr>
        <w:t xml:space="preserve">Caso del </w:t>
      </w:r>
      <w:r w:rsidRPr="00B742B4">
        <w:rPr>
          <w:i/>
          <w:snapToGrid w:val="0"/>
        </w:rPr>
        <w:t xml:space="preserve">Pueblo Indígena </w:t>
      </w:r>
      <w:proofErr w:type="spellStart"/>
      <w:r w:rsidRPr="00B742B4">
        <w:rPr>
          <w:i/>
          <w:snapToGrid w:val="0"/>
        </w:rPr>
        <w:t>Kichwa</w:t>
      </w:r>
      <w:proofErr w:type="spellEnd"/>
      <w:r w:rsidRPr="00B742B4">
        <w:rPr>
          <w:i/>
          <w:snapToGrid w:val="0"/>
        </w:rPr>
        <w:t xml:space="preserve"> de </w:t>
      </w:r>
      <w:proofErr w:type="spellStart"/>
      <w:r w:rsidRPr="00B742B4">
        <w:rPr>
          <w:i/>
          <w:snapToGrid w:val="0"/>
        </w:rPr>
        <w:t>Sarayaku</w:t>
      </w:r>
      <w:proofErr w:type="spellEnd"/>
      <w:r w:rsidRPr="00B742B4">
        <w:rPr>
          <w:i/>
          <w:snapToGrid w:val="0"/>
        </w:rPr>
        <w:t xml:space="preserve">, </w:t>
      </w:r>
      <w:r w:rsidRPr="00B742B4">
        <w:rPr>
          <w:i/>
        </w:rPr>
        <w:t>supra,</w:t>
      </w:r>
      <w:r>
        <w:t xml:space="preserve"> </w:t>
      </w:r>
      <w:r w:rsidRPr="00ED79DB">
        <w:rPr>
          <w:snapToGrid w:val="0"/>
        </w:rPr>
        <w:t>párr. 164.</w:t>
      </w:r>
    </w:p>
  </w:footnote>
  <w:footnote w:id="248">
    <w:p w14:paraId="0C704E7A" w14:textId="071396A4" w:rsidR="006B2C5D" w:rsidRPr="00ED79DB" w:rsidRDefault="006B2C5D">
      <w:pPr>
        <w:tabs>
          <w:tab w:val="left" w:pos="567"/>
        </w:tabs>
        <w:jc w:val="both"/>
        <w:rPr>
          <w:rFonts w:ascii="Verdana" w:hAnsi="Verdana"/>
          <w:sz w:val="16"/>
          <w:szCs w:val="16"/>
        </w:rPr>
      </w:pPr>
      <w:r w:rsidRPr="00ED79DB">
        <w:rPr>
          <w:rStyle w:val="FootnoteReference"/>
          <w:sz w:val="16"/>
          <w:szCs w:val="16"/>
        </w:rPr>
        <w:footnoteRef/>
      </w:r>
      <w:r w:rsidRPr="00ED79DB">
        <w:rPr>
          <w:rFonts w:ascii="Verdana" w:hAnsi="Verdana"/>
          <w:sz w:val="16"/>
          <w:szCs w:val="16"/>
        </w:rPr>
        <w:t xml:space="preserve"> </w:t>
      </w:r>
      <w:r w:rsidRPr="00ED79DB">
        <w:rPr>
          <w:rFonts w:ascii="Verdana" w:hAnsi="Verdana"/>
          <w:sz w:val="16"/>
          <w:szCs w:val="16"/>
        </w:rPr>
        <w:tab/>
      </w:r>
      <w:r w:rsidRPr="00A0324F">
        <w:rPr>
          <w:rFonts w:ascii="Verdana" w:hAnsi="Verdana"/>
          <w:i/>
          <w:sz w:val="16"/>
          <w:szCs w:val="16"/>
          <w:lang w:val="es-CR"/>
        </w:rPr>
        <w:t xml:space="preserve">Cfr. </w:t>
      </w:r>
      <w:r w:rsidRPr="00A0324F">
        <w:rPr>
          <w:rFonts w:ascii="Verdana" w:hAnsi="Verdana"/>
          <w:i/>
          <w:sz w:val="16"/>
          <w:szCs w:val="16"/>
        </w:rPr>
        <w:t xml:space="preserve">Caso del </w:t>
      </w:r>
      <w:r w:rsidRPr="00A0324F">
        <w:rPr>
          <w:rFonts w:ascii="Verdana" w:hAnsi="Verdana"/>
          <w:i/>
          <w:snapToGrid w:val="0"/>
          <w:sz w:val="16"/>
          <w:szCs w:val="16"/>
        </w:rPr>
        <w:t xml:space="preserve">Pueblo Indígena </w:t>
      </w:r>
      <w:proofErr w:type="spellStart"/>
      <w:r w:rsidRPr="00A0324F">
        <w:rPr>
          <w:rFonts w:ascii="Verdana" w:hAnsi="Verdana"/>
          <w:i/>
          <w:snapToGrid w:val="0"/>
          <w:sz w:val="16"/>
          <w:szCs w:val="16"/>
        </w:rPr>
        <w:t>Kichwa</w:t>
      </w:r>
      <w:proofErr w:type="spellEnd"/>
      <w:r w:rsidRPr="00A0324F">
        <w:rPr>
          <w:rFonts w:ascii="Verdana" w:hAnsi="Verdana"/>
          <w:i/>
          <w:snapToGrid w:val="0"/>
          <w:sz w:val="16"/>
          <w:szCs w:val="16"/>
        </w:rPr>
        <w:t xml:space="preserve"> de </w:t>
      </w:r>
      <w:proofErr w:type="spellStart"/>
      <w:r w:rsidRPr="00A0324F">
        <w:rPr>
          <w:rFonts w:ascii="Verdana" w:hAnsi="Verdana"/>
          <w:i/>
          <w:snapToGrid w:val="0"/>
          <w:sz w:val="16"/>
          <w:szCs w:val="16"/>
        </w:rPr>
        <w:t>Sarayaku</w:t>
      </w:r>
      <w:proofErr w:type="spellEnd"/>
      <w:r w:rsidRPr="00D547D3">
        <w:rPr>
          <w:rFonts w:ascii="Verdana" w:hAnsi="Verdana"/>
          <w:i/>
          <w:snapToGrid w:val="0"/>
          <w:sz w:val="16"/>
          <w:szCs w:val="16"/>
        </w:rPr>
        <w:t xml:space="preserve">, supra, </w:t>
      </w:r>
      <w:r w:rsidRPr="00A0324F">
        <w:rPr>
          <w:rFonts w:ascii="Verdana" w:hAnsi="Verdana"/>
          <w:snapToGrid w:val="0"/>
          <w:sz w:val="16"/>
          <w:szCs w:val="16"/>
        </w:rPr>
        <w:t>párr</w:t>
      </w:r>
      <w:r w:rsidRPr="00ED79DB">
        <w:rPr>
          <w:rFonts w:ascii="Verdana" w:hAnsi="Verdana"/>
          <w:snapToGrid w:val="0"/>
          <w:sz w:val="16"/>
          <w:szCs w:val="16"/>
        </w:rPr>
        <w:t>s</w:t>
      </w:r>
      <w:r w:rsidRPr="00A0324F">
        <w:rPr>
          <w:rFonts w:ascii="Verdana" w:hAnsi="Verdana"/>
          <w:snapToGrid w:val="0"/>
          <w:sz w:val="16"/>
          <w:szCs w:val="16"/>
        </w:rPr>
        <w:t>.</w:t>
      </w:r>
      <w:r w:rsidRPr="00ED79DB">
        <w:rPr>
          <w:rFonts w:ascii="Verdana" w:hAnsi="Verdana"/>
          <w:sz w:val="16"/>
          <w:szCs w:val="16"/>
        </w:rPr>
        <w:t xml:space="preserve"> 217 y 220. </w:t>
      </w:r>
    </w:p>
  </w:footnote>
  <w:footnote w:id="249">
    <w:p w14:paraId="0C704E7B" w14:textId="701CD4C9" w:rsidR="006B2C5D" w:rsidRPr="007C2555" w:rsidRDefault="006B2C5D" w:rsidP="00F02DDD">
      <w:pPr>
        <w:tabs>
          <w:tab w:val="left" w:pos="567"/>
        </w:tabs>
        <w:jc w:val="both"/>
        <w:rPr>
          <w:rFonts w:ascii="Verdana" w:hAnsi="Verdana"/>
          <w:sz w:val="16"/>
          <w:szCs w:val="16"/>
        </w:rPr>
      </w:pPr>
      <w:r w:rsidRPr="00514304">
        <w:rPr>
          <w:rStyle w:val="FootnoteReference"/>
          <w:sz w:val="16"/>
          <w:szCs w:val="16"/>
        </w:rPr>
        <w:footnoteRef/>
      </w:r>
      <w:r w:rsidRPr="00514304">
        <w:rPr>
          <w:rFonts w:ascii="Verdana" w:hAnsi="Verdana"/>
          <w:sz w:val="16"/>
          <w:szCs w:val="16"/>
          <w:lang w:val="es-CR"/>
        </w:rPr>
        <w:t xml:space="preserve"> </w:t>
      </w:r>
      <w:r w:rsidRPr="00514304">
        <w:rPr>
          <w:rFonts w:ascii="Verdana" w:hAnsi="Verdana"/>
          <w:sz w:val="16"/>
          <w:szCs w:val="16"/>
          <w:lang w:val="es-CR"/>
        </w:rPr>
        <w:tab/>
      </w:r>
      <w:r w:rsidRPr="00514304">
        <w:rPr>
          <w:rFonts w:ascii="Verdana" w:hAnsi="Verdana"/>
          <w:i/>
          <w:sz w:val="16"/>
          <w:szCs w:val="16"/>
          <w:lang w:val="es-CR"/>
        </w:rPr>
        <w:t xml:space="preserve">Cfr. </w:t>
      </w:r>
      <w:r w:rsidRPr="00514304">
        <w:rPr>
          <w:rFonts w:ascii="Verdana" w:hAnsi="Verdana"/>
          <w:i/>
          <w:sz w:val="16"/>
          <w:szCs w:val="16"/>
        </w:rPr>
        <w:t>Caso</w:t>
      </w:r>
      <w:r>
        <w:rPr>
          <w:rFonts w:ascii="Verdana" w:hAnsi="Verdana"/>
          <w:i/>
          <w:sz w:val="16"/>
          <w:szCs w:val="16"/>
        </w:rPr>
        <w:t xml:space="preserve"> Velásquez Rodríguez,</w:t>
      </w:r>
      <w:r w:rsidRPr="00131486">
        <w:rPr>
          <w:rFonts w:ascii="Verdana" w:hAnsi="Verdana"/>
          <w:i/>
          <w:spacing w:val="-6"/>
          <w:sz w:val="16"/>
          <w:szCs w:val="16"/>
          <w:lang w:val="es-CR"/>
        </w:rPr>
        <w:t xml:space="preserve"> </w:t>
      </w:r>
      <w:r w:rsidRPr="00ED79DB">
        <w:rPr>
          <w:rFonts w:ascii="Verdana" w:hAnsi="Verdana"/>
          <w:i/>
          <w:spacing w:val="-6"/>
          <w:sz w:val="16"/>
          <w:szCs w:val="16"/>
          <w:lang w:val="es-CR"/>
        </w:rPr>
        <w:t>Excepciones Preliminares</w:t>
      </w:r>
      <w:r>
        <w:rPr>
          <w:rFonts w:ascii="Verdana" w:hAnsi="Verdana"/>
          <w:i/>
          <w:spacing w:val="-6"/>
          <w:sz w:val="16"/>
          <w:szCs w:val="16"/>
          <w:lang w:val="es-CR"/>
        </w:rPr>
        <w:t>,</w:t>
      </w:r>
      <w:r>
        <w:rPr>
          <w:rFonts w:ascii="Verdana" w:hAnsi="Verdana"/>
          <w:i/>
          <w:sz w:val="16"/>
          <w:szCs w:val="16"/>
        </w:rPr>
        <w:t xml:space="preserve"> </w:t>
      </w:r>
      <w:r w:rsidRPr="00131486">
        <w:rPr>
          <w:rFonts w:ascii="Verdana" w:hAnsi="Verdana"/>
          <w:i/>
          <w:sz w:val="16"/>
          <w:szCs w:val="16"/>
        </w:rPr>
        <w:t>supra</w:t>
      </w:r>
      <w:r>
        <w:rPr>
          <w:rFonts w:ascii="Verdana" w:hAnsi="Verdana"/>
          <w:i/>
          <w:sz w:val="16"/>
          <w:szCs w:val="16"/>
        </w:rPr>
        <w:t xml:space="preserve">, </w:t>
      </w:r>
      <w:r>
        <w:rPr>
          <w:rFonts w:ascii="Verdana" w:hAnsi="Verdana"/>
          <w:sz w:val="16"/>
          <w:szCs w:val="16"/>
        </w:rPr>
        <w:t xml:space="preserve">párr. 91, y </w:t>
      </w:r>
      <w:r w:rsidRPr="00514304">
        <w:rPr>
          <w:rStyle w:val="Strong"/>
          <w:rFonts w:ascii="Verdana" w:hAnsi="Verdana"/>
          <w:b w:val="0"/>
          <w:sz w:val="16"/>
          <w:szCs w:val="16"/>
        </w:rPr>
        <w:t>.</w:t>
      </w:r>
      <w:r>
        <w:rPr>
          <w:rStyle w:val="Strong"/>
          <w:rFonts w:ascii="Verdana" w:hAnsi="Verdana"/>
          <w:b w:val="0"/>
          <w:i/>
          <w:sz w:val="16"/>
          <w:szCs w:val="16"/>
        </w:rPr>
        <w:t xml:space="preserve">Caso López </w:t>
      </w:r>
      <w:proofErr w:type="spellStart"/>
      <w:r>
        <w:rPr>
          <w:rStyle w:val="Strong"/>
          <w:rFonts w:ascii="Verdana" w:hAnsi="Verdana"/>
          <w:b w:val="0"/>
          <w:i/>
          <w:sz w:val="16"/>
          <w:szCs w:val="16"/>
        </w:rPr>
        <w:t>Lone</w:t>
      </w:r>
      <w:proofErr w:type="spellEnd"/>
      <w:r>
        <w:rPr>
          <w:rStyle w:val="Strong"/>
          <w:rFonts w:ascii="Verdana" w:hAnsi="Verdana"/>
          <w:b w:val="0"/>
          <w:i/>
          <w:sz w:val="16"/>
          <w:szCs w:val="16"/>
        </w:rPr>
        <w:t xml:space="preserve"> y otros Vs. Honduras. Excepción Preliminar, Fondo, Reparaciones y Costas. </w:t>
      </w:r>
      <w:r>
        <w:rPr>
          <w:rStyle w:val="Strong"/>
          <w:rFonts w:ascii="Verdana" w:hAnsi="Verdana"/>
          <w:b w:val="0"/>
          <w:sz w:val="16"/>
          <w:szCs w:val="16"/>
        </w:rPr>
        <w:t xml:space="preserve">Sentencia de 5 de octubre de 2015, Serie No. 302, párr. 245. </w:t>
      </w:r>
    </w:p>
  </w:footnote>
  <w:footnote w:id="250">
    <w:p w14:paraId="0C704E7C" w14:textId="55DEBA8B" w:rsidR="006B2C5D" w:rsidRPr="00514304" w:rsidRDefault="006B2C5D" w:rsidP="00B15331">
      <w:pPr>
        <w:pStyle w:val="FootnoteText"/>
      </w:pPr>
      <w:r w:rsidRPr="00514304">
        <w:rPr>
          <w:rStyle w:val="FootnoteReference"/>
          <w:sz w:val="16"/>
        </w:rPr>
        <w:footnoteRef/>
      </w:r>
      <w:r w:rsidRPr="00514304">
        <w:t xml:space="preserve"> </w:t>
      </w:r>
      <w:r w:rsidRPr="00514304">
        <w:tab/>
      </w:r>
      <w:r w:rsidRPr="00B742B4">
        <w:rPr>
          <w:i/>
        </w:rPr>
        <w:t xml:space="preserve">Cfr. Caso de la Comunidad </w:t>
      </w:r>
      <w:proofErr w:type="spellStart"/>
      <w:r w:rsidRPr="00B742B4">
        <w:rPr>
          <w:i/>
        </w:rPr>
        <w:t>Mayagna</w:t>
      </w:r>
      <w:proofErr w:type="spellEnd"/>
      <w:r w:rsidRPr="00B742B4">
        <w:rPr>
          <w:i/>
        </w:rPr>
        <w:t xml:space="preserve"> (Sumo) </w:t>
      </w:r>
      <w:proofErr w:type="spellStart"/>
      <w:r w:rsidRPr="00B742B4">
        <w:rPr>
          <w:i/>
        </w:rPr>
        <w:t>Awas</w:t>
      </w:r>
      <w:proofErr w:type="spellEnd"/>
      <w:r w:rsidRPr="00B742B4">
        <w:rPr>
          <w:i/>
        </w:rPr>
        <w:t xml:space="preserve"> </w:t>
      </w:r>
      <w:proofErr w:type="spellStart"/>
      <w:r w:rsidRPr="00B742B4">
        <w:rPr>
          <w:i/>
        </w:rPr>
        <w:t>Tingni</w:t>
      </w:r>
      <w:proofErr w:type="spellEnd"/>
      <w:r w:rsidRPr="00B742B4">
        <w:rPr>
          <w:i/>
        </w:rPr>
        <w:t xml:space="preserve">, supra, </w:t>
      </w:r>
      <w:r>
        <w:t xml:space="preserve">párr. 113, y </w:t>
      </w:r>
      <w:r w:rsidRPr="00B742B4">
        <w:rPr>
          <w:i/>
        </w:rPr>
        <w:t xml:space="preserve">Caso de los Pueblos Indígenas Kuna de </w:t>
      </w:r>
      <w:proofErr w:type="spellStart"/>
      <w:r w:rsidRPr="00B742B4">
        <w:rPr>
          <w:i/>
        </w:rPr>
        <w:t>Madungandí</w:t>
      </w:r>
      <w:proofErr w:type="spellEnd"/>
      <w:r w:rsidRPr="00B742B4">
        <w:rPr>
          <w:i/>
        </w:rPr>
        <w:t xml:space="preserve"> y </w:t>
      </w:r>
      <w:proofErr w:type="spellStart"/>
      <w:r w:rsidRPr="00B742B4">
        <w:rPr>
          <w:i/>
        </w:rPr>
        <w:t>Embera</w:t>
      </w:r>
      <w:proofErr w:type="spellEnd"/>
      <w:r w:rsidRPr="00B742B4">
        <w:rPr>
          <w:i/>
        </w:rPr>
        <w:t xml:space="preserve"> de Bayano y sus miembros, supra,</w:t>
      </w:r>
      <w:r>
        <w:t xml:space="preserve"> párrs. 193 y 198.</w:t>
      </w:r>
      <w:r w:rsidRPr="00514304">
        <w:t xml:space="preserve"> </w:t>
      </w:r>
    </w:p>
  </w:footnote>
  <w:footnote w:id="251">
    <w:p w14:paraId="0C704E7D" w14:textId="7005CC62" w:rsidR="006B2C5D" w:rsidRPr="00514304" w:rsidRDefault="006B2C5D" w:rsidP="00B15331">
      <w:pPr>
        <w:pStyle w:val="FootnoteText"/>
        <w:rPr>
          <w:lang w:val="es-ES_tradnl"/>
        </w:rPr>
      </w:pPr>
      <w:r w:rsidRPr="00514304">
        <w:rPr>
          <w:rStyle w:val="FootnoteReference"/>
          <w:sz w:val="16"/>
        </w:rPr>
        <w:footnoteRef/>
      </w:r>
      <w:r w:rsidRPr="00514304">
        <w:t xml:space="preserve"> </w:t>
      </w:r>
      <w:r w:rsidRPr="00514304">
        <w:tab/>
      </w:r>
      <w:r w:rsidRPr="00B742B4">
        <w:rPr>
          <w:i/>
        </w:rPr>
        <w:t>Cfr. Caso Velásquez Rodríguez, Fondo, supra</w:t>
      </w:r>
      <w:r w:rsidRPr="00B742B4">
        <w:rPr>
          <w:b/>
          <w:i/>
        </w:rPr>
        <w:t>,</w:t>
      </w:r>
      <w:r w:rsidRPr="00514304">
        <w:t xml:space="preserve"> párrs. 63, 68 y 81 y </w:t>
      </w:r>
      <w:r w:rsidRPr="00E86D69">
        <w:rPr>
          <w:rStyle w:val="Strong"/>
          <w:b w:val="0"/>
          <w:i/>
        </w:rPr>
        <w:t xml:space="preserve">Caso de los Pueblos Indígenas Kuna de </w:t>
      </w:r>
      <w:proofErr w:type="spellStart"/>
      <w:r w:rsidRPr="00E86D69">
        <w:rPr>
          <w:rStyle w:val="Strong"/>
          <w:b w:val="0"/>
          <w:i/>
        </w:rPr>
        <w:t>Madungandí</w:t>
      </w:r>
      <w:proofErr w:type="spellEnd"/>
      <w:r w:rsidRPr="00E86D69">
        <w:rPr>
          <w:rStyle w:val="Strong"/>
          <w:b w:val="0"/>
          <w:i/>
        </w:rPr>
        <w:t xml:space="preserve"> y </w:t>
      </w:r>
      <w:proofErr w:type="spellStart"/>
      <w:r w:rsidRPr="00E86D69">
        <w:rPr>
          <w:rStyle w:val="Strong"/>
          <w:b w:val="0"/>
          <w:i/>
        </w:rPr>
        <w:t>Emberá</w:t>
      </w:r>
      <w:proofErr w:type="spellEnd"/>
      <w:r w:rsidRPr="00E86D69">
        <w:rPr>
          <w:rStyle w:val="Strong"/>
          <w:b w:val="0"/>
          <w:i/>
        </w:rPr>
        <w:t xml:space="preserve"> de Bayano y sus Miembros</w:t>
      </w:r>
      <w:r w:rsidRPr="00514304">
        <w:t xml:space="preserve">, </w:t>
      </w:r>
      <w:r w:rsidRPr="00B742B4">
        <w:rPr>
          <w:i/>
        </w:rPr>
        <w:t>supra</w:t>
      </w:r>
      <w:r w:rsidRPr="00514304">
        <w:t xml:space="preserve">, párr. 165. </w:t>
      </w:r>
    </w:p>
  </w:footnote>
  <w:footnote w:id="252">
    <w:p w14:paraId="0C704E7E" w14:textId="297EB853" w:rsidR="006B2C5D" w:rsidRPr="00083494" w:rsidRDefault="006B2C5D" w:rsidP="00B15331">
      <w:pPr>
        <w:pStyle w:val="FootnoteText"/>
      </w:pPr>
      <w:r w:rsidRPr="007E1B86">
        <w:rPr>
          <w:rStyle w:val="FootnoteReference"/>
          <w:sz w:val="16"/>
        </w:rPr>
        <w:footnoteRef/>
      </w:r>
      <w:r w:rsidRPr="00DF734B">
        <w:t xml:space="preserve"> </w:t>
      </w:r>
      <w:r w:rsidRPr="00DF734B">
        <w:tab/>
      </w:r>
      <w:r w:rsidRPr="00B742B4">
        <w:rPr>
          <w:i/>
        </w:rPr>
        <w:t xml:space="preserve">Cfr. Caso de los “Niños de la Calle” (Villagrán Morales y otros) Vs. Guatemala. Fondo. </w:t>
      </w:r>
      <w:r w:rsidRPr="007E1B86">
        <w:t>Sentencia de 19 de noviembre de 1999. Serie C No. 63, párr. 23</w:t>
      </w:r>
      <w:r w:rsidRPr="00DF734B">
        <w:t xml:space="preserve">7, y </w:t>
      </w:r>
      <w:r w:rsidRPr="00DF734B">
        <w:rPr>
          <w:rStyle w:val="Strong"/>
          <w:b w:val="0"/>
          <w:i/>
        </w:rPr>
        <w:t xml:space="preserve">Caso Wong Ho </w:t>
      </w:r>
      <w:proofErr w:type="spellStart"/>
      <w:r w:rsidRPr="00DF734B">
        <w:rPr>
          <w:rStyle w:val="Strong"/>
          <w:b w:val="0"/>
          <w:i/>
        </w:rPr>
        <w:t>Wing</w:t>
      </w:r>
      <w:proofErr w:type="spellEnd"/>
      <w:r w:rsidRPr="00DF734B">
        <w:rPr>
          <w:rStyle w:val="Strong"/>
          <w:b w:val="0"/>
          <w:i/>
        </w:rPr>
        <w:t xml:space="preserve"> </w:t>
      </w:r>
      <w:r w:rsidRPr="00083494">
        <w:rPr>
          <w:rStyle w:val="Strong"/>
          <w:b w:val="0"/>
          <w:i/>
        </w:rPr>
        <w:t xml:space="preserve">Vs. Perú. Excepción Preliminar, Fondo, Reparaciones y Costas. </w:t>
      </w:r>
      <w:r w:rsidRPr="00083494">
        <w:rPr>
          <w:rStyle w:val="Strong"/>
          <w:b w:val="0"/>
        </w:rPr>
        <w:t>Sentencia</w:t>
      </w:r>
      <w:r w:rsidRPr="00083494">
        <w:rPr>
          <w:rStyle w:val="Strong"/>
          <w:b w:val="0"/>
          <w:i/>
        </w:rPr>
        <w:t xml:space="preserve"> </w:t>
      </w:r>
      <w:r w:rsidRPr="00083494">
        <w:rPr>
          <w:rStyle w:val="Strong"/>
          <w:b w:val="0"/>
        </w:rPr>
        <w:t>de 30 de junio de 2015. Serie C No. 297,</w:t>
      </w:r>
      <w:r w:rsidRPr="00083494">
        <w:rPr>
          <w:rStyle w:val="Strong"/>
          <w:b w:val="0"/>
          <w:i/>
        </w:rPr>
        <w:t xml:space="preserve"> </w:t>
      </w:r>
      <w:r w:rsidRPr="00083494">
        <w:rPr>
          <w:rStyle w:val="Strong"/>
          <w:b w:val="0"/>
        </w:rPr>
        <w:t>párr. 196.</w:t>
      </w:r>
    </w:p>
  </w:footnote>
  <w:footnote w:id="253">
    <w:p w14:paraId="0C704E80" w14:textId="7D8A2823" w:rsidR="006B2C5D" w:rsidRPr="007E1B86" w:rsidRDefault="006B2C5D" w:rsidP="00B15331">
      <w:pPr>
        <w:pStyle w:val="FootnoteText"/>
      </w:pPr>
      <w:r w:rsidRPr="00083494">
        <w:rPr>
          <w:rStyle w:val="FootnoteReference"/>
          <w:sz w:val="16"/>
        </w:rPr>
        <w:footnoteRef/>
      </w:r>
      <w:r w:rsidRPr="00083494">
        <w:t xml:space="preserve"> </w:t>
      </w:r>
      <w:r w:rsidRPr="00083494">
        <w:tab/>
      </w:r>
      <w:r w:rsidRPr="00B742B4">
        <w:rPr>
          <w:i/>
        </w:rPr>
        <w:t>Cfr. Caso de los “Niños de la Calle” (Villagrán Morales y otros), supra,</w:t>
      </w:r>
      <w:r w:rsidRPr="007E1B86">
        <w:t xml:space="preserve"> párr. 237, y</w:t>
      </w:r>
      <w:r w:rsidRPr="00DF734B">
        <w:rPr>
          <w:rStyle w:val="Strong"/>
          <w:b w:val="0"/>
        </w:rPr>
        <w:t xml:space="preserve"> </w:t>
      </w:r>
      <w:r w:rsidRPr="00B742B4">
        <w:rPr>
          <w:i/>
          <w:lang w:val="es-MX"/>
        </w:rPr>
        <w:t xml:space="preserve">Caso Wong Ho </w:t>
      </w:r>
      <w:proofErr w:type="spellStart"/>
      <w:r w:rsidRPr="00B742B4">
        <w:rPr>
          <w:i/>
          <w:lang w:val="es-MX"/>
        </w:rPr>
        <w:t>Wing</w:t>
      </w:r>
      <w:proofErr w:type="spellEnd"/>
      <w:r w:rsidRPr="00B742B4">
        <w:rPr>
          <w:i/>
          <w:lang w:val="es-MX"/>
        </w:rPr>
        <w:t>, supra,</w:t>
      </w:r>
      <w:r w:rsidRPr="00A0324F">
        <w:rPr>
          <w:lang w:val="es-MX"/>
        </w:rPr>
        <w:t xml:space="preserve"> párr. 196.</w:t>
      </w:r>
    </w:p>
  </w:footnote>
  <w:footnote w:id="254">
    <w:p w14:paraId="0C704E81" w14:textId="07315027" w:rsidR="006B2C5D" w:rsidRPr="00083494" w:rsidRDefault="006B2C5D" w:rsidP="00F02DDD">
      <w:pPr>
        <w:tabs>
          <w:tab w:val="left" w:pos="567"/>
        </w:tabs>
        <w:jc w:val="both"/>
        <w:rPr>
          <w:rFonts w:ascii="Verdana" w:hAnsi="Verdana"/>
          <w:sz w:val="16"/>
          <w:szCs w:val="16"/>
          <w:lang w:val="es-ES"/>
        </w:rPr>
      </w:pPr>
      <w:r w:rsidRPr="007E1B86">
        <w:rPr>
          <w:rStyle w:val="FootnoteReference"/>
          <w:sz w:val="16"/>
          <w:szCs w:val="16"/>
        </w:rPr>
        <w:footnoteRef/>
      </w:r>
      <w:r w:rsidRPr="007E1B86">
        <w:rPr>
          <w:rFonts w:ascii="Verdana" w:hAnsi="Verdana"/>
          <w:sz w:val="16"/>
          <w:szCs w:val="16"/>
        </w:rPr>
        <w:t xml:space="preserve"> </w:t>
      </w:r>
      <w:r w:rsidRPr="007E1B86">
        <w:rPr>
          <w:rFonts w:ascii="Verdana" w:hAnsi="Verdana"/>
          <w:sz w:val="16"/>
          <w:szCs w:val="16"/>
        </w:rPr>
        <w:tab/>
      </w:r>
      <w:r w:rsidRPr="00DF734B">
        <w:rPr>
          <w:rFonts w:ascii="Verdana" w:hAnsi="Verdana"/>
          <w:i/>
          <w:sz w:val="16"/>
          <w:szCs w:val="16"/>
        </w:rPr>
        <w:t>Cfr.</w:t>
      </w:r>
      <w:r w:rsidRPr="00DF734B">
        <w:rPr>
          <w:rFonts w:ascii="Verdana" w:hAnsi="Verdana"/>
          <w:sz w:val="16"/>
          <w:szCs w:val="16"/>
        </w:rPr>
        <w:t xml:space="preserve"> </w:t>
      </w:r>
      <w:r w:rsidRPr="00DF734B">
        <w:rPr>
          <w:rFonts w:ascii="Verdana" w:hAnsi="Verdana"/>
          <w:i/>
          <w:sz w:val="16"/>
          <w:szCs w:val="16"/>
        </w:rPr>
        <w:t xml:space="preserve">Caso Comunidad Indígena </w:t>
      </w:r>
      <w:proofErr w:type="spellStart"/>
      <w:r w:rsidRPr="00DF734B">
        <w:rPr>
          <w:rFonts w:ascii="Verdana" w:hAnsi="Verdana"/>
          <w:i/>
          <w:sz w:val="16"/>
          <w:szCs w:val="16"/>
        </w:rPr>
        <w:t>Yakye</w:t>
      </w:r>
      <w:proofErr w:type="spellEnd"/>
      <w:r w:rsidRPr="00DF734B">
        <w:rPr>
          <w:rFonts w:ascii="Verdana" w:hAnsi="Verdana"/>
          <w:i/>
          <w:sz w:val="16"/>
          <w:szCs w:val="16"/>
        </w:rPr>
        <w:t xml:space="preserve"> Axa</w:t>
      </w:r>
      <w:r>
        <w:rPr>
          <w:rFonts w:ascii="Verdana" w:hAnsi="Verdana"/>
          <w:i/>
          <w:sz w:val="16"/>
          <w:szCs w:val="16"/>
        </w:rPr>
        <w:t>, supra,</w:t>
      </w:r>
      <w:r w:rsidRPr="00083494">
        <w:rPr>
          <w:rStyle w:val="Strong"/>
          <w:rFonts w:ascii="Verdana" w:hAnsi="Verdana"/>
          <w:sz w:val="16"/>
          <w:szCs w:val="16"/>
          <w:lang w:val="es-ES"/>
        </w:rPr>
        <w:t xml:space="preserve"> </w:t>
      </w:r>
      <w:r w:rsidRPr="00083494">
        <w:rPr>
          <w:rFonts w:ascii="Verdana" w:hAnsi="Verdana"/>
          <w:sz w:val="16"/>
          <w:szCs w:val="16"/>
        </w:rPr>
        <w:t xml:space="preserve">párr. 102, y </w:t>
      </w:r>
      <w:r w:rsidRPr="00083494">
        <w:rPr>
          <w:rFonts w:ascii="Verdana" w:hAnsi="Verdana" w:cs="Arial"/>
          <w:bCs/>
          <w:i/>
          <w:sz w:val="16"/>
          <w:szCs w:val="16"/>
        </w:rPr>
        <w:t xml:space="preserve">Caso Comunidad Indígena </w:t>
      </w:r>
      <w:proofErr w:type="spellStart"/>
      <w:r w:rsidRPr="00083494">
        <w:rPr>
          <w:rFonts w:ascii="Verdana" w:hAnsi="Verdana" w:cs="Arial"/>
          <w:bCs/>
          <w:i/>
          <w:sz w:val="16"/>
          <w:szCs w:val="16"/>
        </w:rPr>
        <w:t>Sawhoyamaxa</w:t>
      </w:r>
      <w:proofErr w:type="spellEnd"/>
      <w:r>
        <w:rPr>
          <w:rFonts w:ascii="Verdana" w:hAnsi="Verdana" w:cs="Arial"/>
          <w:bCs/>
          <w:i/>
          <w:sz w:val="16"/>
          <w:szCs w:val="16"/>
        </w:rPr>
        <w:t>,</w:t>
      </w:r>
      <w:r w:rsidRPr="00083494">
        <w:rPr>
          <w:rFonts w:ascii="Verdana" w:hAnsi="Verdana" w:cs="Arial"/>
          <w:bCs/>
          <w:i/>
          <w:sz w:val="16"/>
          <w:szCs w:val="16"/>
        </w:rPr>
        <w:t xml:space="preserve"> </w:t>
      </w:r>
      <w:r>
        <w:rPr>
          <w:rFonts w:ascii="Verdana" w:hAnsi="Verdana" w:cs="Arial"/>
          <w:bCs/>
          <w:i/>
          <w:sz w:val="16"/>
          <w:szCs w:val="16"/>
        </w:rPr>
        <w:t>supra</w:t>
      </w:r>
      <w:r w:rsidRPr="00083494">
        <w:rPr>
          <w:rFonts w:ascii="Verdana" w:hAnsi="Verdana" w:cs="Arial"/>
          <w:sz w:val="16"/>
          <w:szCs w:val="16"/>
        </w:rPr>
        <w:t>, párr. 109.</w:t>
      </w:r>
    </w:p>
  </w:footnote>
  <w:footnote w:id="255">
    <w:p w14:paraId="0C704E82" w14:textId="3A71136D" w:rsidR="006B2C5D" w:rsidRPr="00083494" w:rsidRDefault="006B2C5D" w:rsidP="00B15331">
      <w:pPr>
        <w:pStyle w:val="FootnoteText"/>
      </w:pPr>
      <w:r w:rsidRPr="00083494">
        <w:rPr>
          <w:rStyle w:val="FootnoteReference"/>
          <w:sz w:val="16"/>
        </w:rPr>
        <w:footnoteRef/>
      </w:r>
      <w:r w:rsidRPr="00083494">
        <w:t xml:space="preserve"> </w:t>
      </w:r>
      <w:r w:rsidRPr="00083494">
        <w:tab/>
      </w:r>
      <w:r w:rsidRPr="00B742B4">
        <w:rPr>
          <w:i/>
        </w:rPr>
        <w:t>Cfr.</w:t>
      </w:r>
      <w:r w:rsidRPr="00B742B4">
        <w:rPr>
          <w:bCs/>
          <w:i/>
        </w:rPr>
        <w:t xml:space="preserve"> </w:t>
      </w:r>
      <w:r w:rsidRPr="00B742B4">
        <w:rPr>
          <w:i/>
        </w:rPr>
        <w:t>Caso del Tribunal Constitucional Vs. Perú. Competencia.</w:t>
      </w:r>
      <w:r w:rsidRPr="007E1B86">
        <w:t xml:space="preserve"> Sentencia de 24 de septiembre de 1999. Serie C No. 55, párr. 90</w:t>
      </w:r>
      <w:r w:rsidRPr="00DF734B">
        <w:t xml:space="preserve"> y </w:t>
      </w:r>
      <w:r w:rsidRPr="00B742B4">
        <w:rPr>
          <w:i/>
        </w:rPr>
        <w:t xml:space="preserve">Caso Comunidad Indígena </w:t>
      </w:r>
      <w:proofErr w:type="spellStart"/>
      <w:r w:rsidRPr="00B742B4">
        <w:rPr>
          <w:i/>
        </w:rPr>
        <w:t>Xákmok</w:t>
      </w:r>
      <w:proofErr w:type="spellEnd"/>
      <w:r w:rsidRPr="00B742B4">
        <w:rPr>
          <w:i/>
        </w:rPr>
        <w:t xml:space="preserve"> </w:t>
      </w:r>
      <w:proofErr w:type="spellStart"/>
      <w:r w:rsidRPr="00B742B4">
        <w:rPr>
          <w:i/>
        </w:rPr>
        <w:t>Kásek</w:t>
      </w:r>
      <w:proofErr w:type="spellEnd"/>
      <w:r w:rsidRPr="00B742B4">
        <w:rPr>
          <w:i/>
        </w:rPr>
        <w:t>, supra,</w:t>
      </w:r>
      <w:r w:rsidRPr="007E1B86">
        <w:t xml:space="preserve"> </w:t>
      </w:r>
      <w:r w:rsidRPr="00DF734B">
        <w:t>párr. 144.</w:t>
      </w:r>
    </w:p>
  </w:footnote>
  <w:footnote w:id="256">
    <w:p w14:paraId="0C704E83" w14:textId="3D9BB04B" w:rsidR="006B2C5D" w:rsidRPr="00A0324F" w:rsidRDefault="006B2C5D" w:rsidP="00F02DDD">
      <w:pPr>
        <w:tabs>
          <w:tab w:val="left" w:pos="567"/>
        </w:tabs>
        <w:jc w:val="both"/>
        <w:rPr>
          <w:rFonts w:ascii="Verdana" w:hAnsi="Verdana"/>
          <w:i/>
          <w:sz w:val="16"/>
          <w:szCs w:val="16"/>
        </w:rPr>
      </w:pPr>
      <w:r w:rsidRPr="007E1B86">
        <w:rPr>
          <w:rStyle w:val="FootnoteReference"/>
          <w:sz w:val="16"/>
          <w:szCs w:val="16"/>
        </w:rPr>
        <w:footnoteRef/>
      </w:r>
      <w:r w:rsidRPr="007E1B86">
        <w:rPr>
          <w:rFonts w:ascii="Verdana" w:hAnsi="Verdana"/>
          <w:sz w:val="16"/>
          <w:szCs w:val="16"/>
        </w:rPr>
        <w:t xml:space="preserve"> </w:t>
      </w:r>
      <w:r w:rsidRPr="007E1B86">
        <w:rPr>
          <w:rFonts w:ascii="Verdana" w:hAnsi="Verdana"/>
          <w:sz w:val="16"/>
          <w:szCs w:val="16"/>
        </w:rPr>
        <w:tab/>
      </w:r>
      <w:r w:rsidRPr="00DF734B">
        <w:rPr>
          <w:rFonts w:ascii="Verdana" w:hAnsi="Verdana" w:cs="Arial"/>
          <w:i/>
          <w:sz w:val="16"/>
          <w:szCs w:val="16"/>
        </w:rPr>
        <w:t>Cfr.</w:t>
      </w:r>
      <w:r w:rsidRPr="00DF734B">
        <w:rPr>
          <w:rFonts w:ascii="Verdana" w:hAnsi="Verdana" w:cs="Arial"/>
          <w:sz w:val="16"/>
          <w:szCs w:val="16"/>
        </w:rPr>
        <w:t xml:space="preserve"> </w:t>
      </w:r>
      <w:r w:rsidRPr="00DF734B">
        <w:rPr>
          <w:rFonts w:ascii="Verdana" w:hAnsi="Verdana" w:cs="Arial"/>
          <w:bCs/>
          <w:i/>
          <w:sz w:val="16"/>
          <w:szCs w:val="16"/>
        </w:rPr>
        <w:t xml:space="preserve">Caso de la Comunidad </w:t>
      </w:r>
      <w:proofErr w:type="spellStart"/>
      <w:r w:rsidRPr="00DF734B">
        <w:rPr>
          <w:rFonts w:ascii="Verdana" w:hAnsi="Verdana" w:cs="Arial"/>
          <w:bCs/>
          <w:i/>
          <w:sz w:val="16"/>
          <w:szCs w:val="16"/>
        </w:rPr>
        <w:t>Mayagna</w:t>
      </w:r>
      <w:proofErr w:type="spellEnd"/>
      <w:r w:rsidRPr="00DF734B">
        <w:rPr>
          <w:rFonts w:ascii="Verdana" w:hAnsi="Verdana" w:cs="Arial"/>
          <w:bCs/>
          <w:i/>
          <w:sz w:val="16"/>
          <w:szCs w:val="16"/>
        </w:rPr>
        <w:t xml:space="preserve"> (Sumo) </w:t>
      </w:r>
      <w:proofErr w:type="spellStart"/>
      <w:r w:rsidRPr="00DF734B">
        <w:rPr>
          <w:rFonts w:ascii="Verdana" w:hAnsi="Verdana" w:cs="Arial"/>
          <w:bCs/>
          <w:i/>
          <w:sz w:val="16"/>
          <w:szCs w:val="16"/>
        </w:rPr>
        <w:t>Awas</w:t>
      </w:r>
      <w:proofErr w:type="spellEnd"/>
      <w:r w:rsidRPr="00DF734B">
        <w:rPr>
          <w:rFonts w:ascii="Verdana" w:hAnsi="Verdana" w:cs="Arial"/>
          <w:bCs/>
          <w:i/>
          <w:sz w:val="16"/>
          <w:szCs w:val="16"/>
        </w:rPr>
        <w:t xml:space="preserve"> </w:t>
      </w:r>
      <w:proofErr w:type="spellStart"/>
      <w:r w:rsidRPr="00DF734B">
        <w:rPr>
          <w:rFonts w:ascii="Verdana" w:hAnsi="Verdana" w:cs="Arial"/>
          <w:bCs/>
          <w:i/>
          <w:sz w:val="16"/>
          <w:szCs w:val="16"/>
        </w:rPr>
        <w:t>Tingni</w:t>
      </w:r>
      <w:proofErr w:type="spellEnd"/>
      <w:r w:rsidRPr="00DF734B">
        <w:rPr>
          <w:rFonts w:ascii="Verdana" w:hAnsi="Verdana" w:cs="Arial"/>
          <w:bCs/>
          <w:i/>
          <w:sz w:val="16"/>
          <w:szCs w:val="16"/>
        </w:rPr>
        <w:t xml:space="preserve">, supra, </w:t>
      </w:r>
      <w:r w:rsidRPr="00083494">
        <w:rPr>
          <w:rFonts w:ascii="Verdana" w:hAnsi="Verdana" w:cs="Arial"/>
          <w:bCs/>
          <w:sz w:val="16"/>
          <w:szCs w:val="16"/>
        </w:rPr>
        <w:t xml:space="preserve">párrs. 148 a 153 y </w:t>
      </w:r>
      <w:r w:rsidRPr="007E1B86">
        <w:rPr>
          <w:rFonts w:ascii="Verdana" w:hAnsi="Verdana" w:cs="Arial"/>
          <w:bCs/>
          <w:i/>
          <w:sz w:val="16"/>
          <w:szCs w:val="16"/>
        </w:rPr>
        <w:t xml:space="preserve">Caso de los Pueblos Indígenas Kuna de </w:t>
      </w:r>
      <w:proofErr w:type="spellStart"/>
      <w:r w:rsidRPr="007E1B86">
        <w:rPr>
          <w:rFonts w:ascii="Verdana" w:hAnsi="Verdana" w:cs="Arial"/>
          <w:bCs/>
          <w:i/>
          <w:sz w:val="16"/>
          <w:szCs w:val="16"/>
        </w:rPr>
        <w:t>Madungandí</w:t>
      </w:r>
      <w:proofErr w:type="spellEnd"/>
      <w:r w:rsidRPr="007E1B86">
        <w:rPr>
          <w:rFonts w:ascii="Verdana" w:hAnsi="Verdana" w:cs="Arial"/>
          <w:bCs/>
          <w:i/>
          <w:sz w:val="16"/>
          <w:szCs w:val="16"/>
        </w:rPr>
        <w:t xml:space="preserve"> y </w:t>
      </w:r>
      <w:proofErr w:type="spellStart"/>
      <w:r w:rsidRPr="007E1B86">
        <w:rPr>
          <w:rFonts w:ascii="Verdana" w:hAnsi="Verdana" w:cs="Arial"/>
          <w:bCs/>
          <w:i/>
          <w:sz w:val="16"/>
          <w:szCs w:val="16"/>
        </w:rPr>
        <w:t>Embera</w:t>
      </w:r>
      <w:proofErr w:type="spellEnd"/>
      <w:r w:rsidRPr="007E1B86">
        <w:rPr>
          <w:rFonts w:ascii="Verdana" w:hAnsi="Verdana" w:cs="Arial"/>
          <w:bCs/>
          <w:i/>
          <w:sz w:val="16"/>
          <w:szCs w:val="16"/>
        </w:rPr>
        <w:t xml:space="preserve"> de Bayano y sus miembros</w:t>
      </w:r>
      <w:r w:rsidRPr="00DF734B">
        <w:rPr>
          <w:rFonts w:ascii="Verdana" w:hAnsi="Verdana" w:cs="Arial"/>
          <w:bCs/>
          <w:i/>
          <w:sz w:val="16"/>
          <w:szCs w:val="16"/>
        </w:rPr>
        <w:t xml:space="preserve">, supra, </w:t>
      </w:r>
      <w:r w:rsidRPr="00DF734B">
        <w:rPr>
          <w:rFonts w:ascii="Verdana" w:hAnsi="Verdana" w:cs="Arial"/>
          <w:bCs/>
          <w:sz w:val="16"/>
          <w:szCs w:val="16"/>
        </w:rPr>
        <w:t>párr.</w:t>
      </w:r>
      <w:r w:rsidRPr="00083494">
        <w:rPr>
          <w:rFonts w:ascii="Verdana" w:hAnsi="Verdana" w:cs="Arial"/>
          <w:bCs/>
          <w:sz w:val="16"/>
          <w:szCs w:val="16"/>
        </w:rPr>
        <w:t xml:space="preserve"> 112.</w:t>
      </w:r>
    </w:p>
  </w:footnote>
  <w:footnote w:id="257">
    <w:p w14:paraId="0C704E84" w14:textId="25A71155" w:rsidR="006B2C5D" w:rsidRPr="00374130" w:rsidRDefault="006B2C5D" w:rsidP="00B15331">
      <w:pPr>
        <w:pStyle w:val="FootnoteText"/>
      </w:pPr>
      <w:r w:rsidRPr="00374130">
        <w:rPr>
          <w:rStyle w:val="FootnoteReference"/>
          <w:sz w:val="16"/>
        </w:rPr>
        <w:footnoteRef/>
      </w:r>
      <w:r w:rsidRPr="00374130">
        <w:t xml:space="preserve"> </w:t>
      </w:r>
      <w:r>
        <w:tab/>
      </w:r>
      <w:r w:rsidRPr="00374130">
        <w:rPr>
          <w:i/>
        </w:rPr>
        <w:t>Cfr.</w:t>
      </w:r>
      <w:r w:rsidRPr="00374130">
        <w:t xml:space="preserve"> Acta de compromiso de 13 de diciembre de </w:t>
      </w:r>
      <w:r w:rsidRPr="00514304">
        <w:t>2001</w:t>
      </w:r>
      <w:r>
        <w:t xml:space="preserve">, </w:t>
      </w:r>
      <w:r w:rsidRPr="00A44D92">
        <w:rPr>
          <w:i/>
        </w:rPr>
        <w:t>supra</w:t>
      </w:r>
      <w:r w:rsidRPr="00374130">
        <w:t xml:space="preserve"> (</w:t>
      </w:r>
      <w:r>
        <w:t>expediente de prueba</w:t>
      </w:r>
      <w:r w:rsidRPr="00374130">
        <w:t>, folio 32).</w:t>
      </w:r>
    </w:p>
  </w:footnote>
  <w:footnote w:id="258">
    <w:p w14:paraId="0C704E85" w14:textId="27788FA5" w:rsidR="006B2C5D" w:rsidRPr="00A0324F" w:rsidRDefault="006B2C5D" w:rsidP="00F02DDD">
      <w:pPr>
        <w:pStyle w:val="NoSpacing"/>
        <w:tabs>
          <w:tab w:val="left" w:pos="567"/>
        </w:tabs>
        <w:jc w:val="both"/>
        <w:rPr>
          <w:rFonts w:ascii="Verdana" w:hAnsi="Verdana"/>
          <w:b/>
          <w:sz w:val="16"/>
          <w:szCs w:val="16"/>
          <w:lang w:val="es-CR"/>
        </w:rPr>
      </w:pPr>
      <w:r w:rsidRPr="00514304">
        <w:rPr>
          <w:rStyle w:val="FootnoteReference"/>
          <w:sz w:val="16"/>
          <w:szCs w:val="16"/>
        </w:rPr>
        <w:footnoteRef/>
      </w:r>
      <w:r w:rsidRPr="00514304">
        <w:rPr>
          <w:rFonts w:ascii="Verdana" w:hAnsi="Verdana"/>
          <w:sz w:val="16"/>
          <w:szCs w:val="16"/>
          <w:lang w:val="es-CR"/>
        </w:rPr>
        <w:t xml:space="preserve"> </w:t>
      </w:r>
      <w:r w:rsidRPr="00514304">
        <w:rPr>
          <w:rFonts w:ascii="Verdana" w:hAnsi="Verdana"/>
          <w:sz w:val="16"/>
          <w:szCs w:val="16"/>
          <w:lang w:val="es-CR"/>
        </w:rPr>
        <w:tab/>
      </w:r>
      <w:r w:rsidRPr="00514304">
        <w:rPr>
          <w:rFonts w:ascii="Verdana" w:hAnsi="Verdana"/>
          <w:i/>
          <w:sz w:val="16"/>
          <w:szCs w:val="16"/>
          <w:lang w:val="es-MX"/>
        </w:rPr>
        <w:t>Caso Velásquez Rodríguez</w:t>
      </w:r>
      <w:r>
        <w:rPr>
          <w:rFonts w:ascii="Verdana" w:hAnsi="Verdana"/>
          <w:i/>
          <w:sz w:val="16"/>
          <w:szCs w:val="16"/>
          <w:lang w:val="es-MX"/>
        </w:rPr>
        <w:t xml:space="preserve">, Fondo. Supra, </w:t>
      </w:r>
      <w:r w:rsidRPr="00514304">
        <w:rPr>
          <w:rFonts w:ascii="Verdana" w:hAnsi="Verdana"/>
          <w:sz w:val="16"/>
          <w:szCs w:val="16"/>
          <w:lang w:val="es-MX"/>
        </w:rPr>
        <w:t xml:space="preserve">párr. </w:t>
      </w:r>
      <w:r w:rsidRPr="00A0324F">
        <w:rPr>
          <w:rFonts w:ascii="Verdana" w:hAnsi="Verdana"/>
          <w:sz w:val="16"/>
          <w:lang w:val="es-ES_tradnl"/>
        </w:rPr>
        <w:t xml:space="preserve">64, y </w:t>
      </w:r>
      <w:r w:rsidRPr="00A0324F">
        <w:rPr>
          <w:rFonts w:ascii="Verdana" w:hAnsi="Verdana"/>
          <w:i/>
          <w:sz w:val="16"/>
          <w:lang w:val="es-ES_tradnl"/>
        </w:rPr>
        <w:t>C</w:t>
      </w:r>
      <w:r w:rsidRPr="00A0324F">
        <w:rPr>
          <w:rStyle w:val="Strong"/>
          <w:rFonts w:ascii="Verdana" w:hAnsi="Verdana"/>
          <w:b w:val="0"/>
          <w:i/>
          <w:sz w:val="16"/>
          <w:shd w:val="clear" w:color="auto" w:fill="FFFFFF"/>
          <w:lang w:val="es-ES_tradnl"/>
        </w:rPr>
        <w:t>aso</w:t>
      </w:r>
      <w:r w:rsidRPr="00A0324F">
        <w:rPr>
          <w:rStyle w:val="Strong"/>
          <w:rFonts w:ascii="Verdana" w:hAnsi="Verdana"/>
          <w:b w:val="0"/>
          <w:sz w:val="16"/>
          <w:shd w:val="clear" w:color="auto" w:fill="FFFFFF"/>
          <w:lang w:val="es-ES_tradnl"/>
        </w:rPr>
        <w:t xml:space="preserve"> </w:t>
      </w:r>
      <w:proofErr w:type="spellStart"/>
      <w:r w:rsidRPr="00A0324F">
        <w:rPr>
          <w:rStyle w:val="Strong"/>
          <w:rFonts w:ascii="Verdana" w:hAnsi="Verdana"/>
          <w:b w:val="0"/>
          <w:i/>
          <w:sz w:val="16"/>
          <w:szCs w:val="16"/>
          <w:shd w:val="clear" w:color="auto" w:fill="FFFFFF"/>
          <w:lang w:val="es-MX"/>
        </w:rPr>
        <w:t>Brewer</w:t>
      </w:r>
      <w:proofErr w:type="spellEnd"/>
      <w:r w:rsidRPr="00A0324F">
        <w:rPr>
          <w:rStyle w:val="Strong"/>
          <w:rFonts w:ascii="Verdana" w:hAnsi="Verdana"/>
          <w:b w:val="0"/>
          <w:i/>
          <w:sz w:val="16"/>
          <w:szCs w:val="16"/>
          <w:shd w:val="clear" w:color="auto" w:fill="FFFFFF"/>
          <w:lang w:val="es-MX"/>
        </w:rPr>
        <w:t xml:space="preserve"> Car</w:t>
      </w:r>
      <w:r>
        <w:rPr>
          <w:rStyle w:val="Strong"/>
          <w:rFonts w:ascii="Verdana" w:hAnsi="Verdana"/>
          <w:b w:val="0"/>
          <w:i/>
          <w:sz w:val="16"/>
          <w:szCs w:val="16"/>
          <w:shd w:val="clear" w:color="auto" w:fill="FFFFFF"/>
          <w:lang w:val="es-MX"/>
        </w:rPr>
        <w:t>í</w:t>
      </w:r>
      <w:r w:rsidRPr="00A0324F">
        <w:rPr>
          <w:rStyle w:val="Strong"/>
          <w:rFonts w:ascii="Verdana" w:hAnsi="Verdana"/>
          <w:b w:val="0"/>
          <w:i/>
          <w:sz w:val="16"/>
          <w:szCs w:val="16"/>
          <w:shd w:val="clear" w:color="auto" w:fill="FFFFFF"/>
          <w:lang w:val="es-MX"/>
        </w:rPr>
        <w:t xml:space="preserve">as </w:t>
      </w:r>
      <w:r>
        <w:rPr>
          <w:rStyle w:val="Strong"/>
          <w:rFonts w:ascii="Verdana" w:hAnsi="Verdana"/>
          <w:b w:val="0"/>
          <w:i/>
          <w:sz w:val="16"/>
          <w:szCs w:val="16"/>
          <w:shd w:val="clear" w:color="auto" w:fill="FFFFFF"/>
          <w:lang w:val="es-MX"/>
        </w:rPr>
        <w:t>V</w:t>
      </w:r>
      <w:r w:rsidRPr="00A0324F">
        <w:rPr>
          <w:rStyle w:val="Strong"/>
          <w:rFonts w:ascii="Verdana" w:hAnsi="Verdana"/>
          <w:b w:val="0"/>
          <w:i/>
          <w:sz w:val="16"/>
          <w:szCs w:val="16"/>
          <w:shd w:val="clear" w:color="auto" w:fill="FFFFFF"/>
          <w:lang w:val="es-MX"/>
        </w:rPr>
        <w:t xml:space="preserve">s. Venezuela. </w:t>
      </w:r>
      <w:r w:rsidRPr="00A0324F">
        <w:rPr>
          <w:rStyle w:val="Strong"/>
          <w:rFonts w:ascii="Verdana" w:hAnsi="Verdana"/>
          <w:b w:val="0"/>
          <w:i/>
          <w:sz w:val="16"/>
          <w:shd w:val="clear" w:color="auto" w:fill="FFFFFF"/>
          <w:lang w:val="es-ES_tradnl"/>
        </w:rPr>
        <w:t xml:space="preserve">Excepciones Preliminares. </w:t>
      </w:r>
      <w:r w:rsidRPr="00A0324F">
        <w:rPr>
          <w:rStyle w:val="Strong"/>
          <w:rFonts w:ascii="Verdana" w:hAnsi="Verdana"/>
          <w:b w:val="0"/>
          <w:sz w:val="16"/>
          <w:shd w:val="clear" w:color="auto" w:fill="FFFFFF"/>
          <w:lang w:val="es-ES_tradnl"/>
        </w:rPr>
        <w:t xml:space="preserve">Sentencia de 26 de mayo de 2014. </w:t>
      </w:r>
      <w:r w:rsidRPr="00A0324F">
        <w:rPr>
          <w:rStyle w:val="Strong"/>
          <w:rFonts w:ascii="Verdana" w:hAnsi="Verdana"/>
          <w:b w:val="0"/>
          <w:sz w:val="16"/>
          <w:szCs w:val="16"/>
          <w:shd w:val="clear" w:color="auto" w:fill="FFFFFF"/>
          <w:lang w:val="es-CR"/>
        </w:rPr>
        <w:t>Serie C. No. 278, párr. 86.</w:t>
      </w:r>
    </w:p>
  </w:footnote>
  <w:footnote w:id="259">
    <w:p w14:paraId="0C704E86" w14:textId="4133EDFE" w:rsidR="006B2C5D" w:rsidRPr="00A0324F" w:rsidRDefault="006B2C5D" w:rsidP="00B15331">
      <w:pPr>
        <w:pStyle w:val="FootnoteText"/>
        <w:rPr>
          <w:i/>
          <w:lang w:val="es-CR"/>
        </w:rPr>
      </w:pPr>
      <w:r w:rsidRPr="00514304">
        <w:rPr>
          <w:rStyle w:val="FootnoteReference"/>
          <w:sz w:val="16"/>
        </w:rPr>
        <w:footnoteRef/>
      </w:r>
      <w:r w:rsidRPr="00A0324F">
        <w:t xml:space="preserve"> </w:t>
      </w:r>
      <w:r w:rsidRPr="00A0324F">
        <w:tab/>
        <w:t xml:space="preserve">El </w:t>
      </w:r>
      <w:r w:rsidRPr="0027132E">
        <w:t xml:space="preserve">Programa </w:t>
      </w:r>
      <w:r>
        <w:t xml:space="preserve">de las Naciones Unidas para el </w:t>
      </w:r>
      <w:r w:rsidRPr="001654A9">
        <w:t xml:space="preserve">Desarrollo </w:t>
      </w:r>
      <w:r w:rsidRPr="00A0324F">
        <w:t xml:space="preserve">ha indicado que el acceso a la justicia no debe estar limitado a </w:t>
      </w:r>
      <w:r>
        <w:t xml:space="preserve">la existencia de </w:t>
      </w:r>
      <w:r w:rsidRPr="00A0324F">
        <w:t xml:space="preserve">un recurso </w:t>
      </w:r>
      <w:r>
        <w:t xml:space="preserve">ante </w:t>
      </w:r>
      <w:r w:rsidRPr="00A0324F">
        <w:t>los sistemas judiciales formales, sino que</w:t>
      </w:r>
      <w:r>
        <w:t xml:space="preserve"> el acceso a la justicia debe ser un proceso que se adapte </w:t>
      </w:r>
      <w:r w:rsidRPr="00A0324F">
        <w:t>a los contextos particulares de cada caso, con el fin de que todas las personas puedan interponer reclamos y obtener una solución justa</w:t>
      </w:r>
      <w:r>
        <w:t xml:space="preserve">. </w:t>
      </w:r>
      <w:r w:rsidRPr="00A0324F">
        <w:t xml:space="preserve">Asimismo, es de gran importancia que los recursos existentes, incluidos los mecanismos de conciliación, sean efectivos y se encuentren en conformidad con estándares de derechos humanos [incluidos los estándares de los artículos 8 y 25 de la Convención Americana]. </w:t>
      </w:r>
      <w:proofErr w:type="spellStart"/>
      <w:r w:rsidRPr="00A0324F">
        <w:rPr>
          <w:i/>
          <w:lang w:val="en-US"/>
        </w:rPr>
        <w:t>Cfr</w:t>
      </w:r>
      <w:proofErr w:type="spellEnd"/>
      <w:r w:rsidRPr="00A0324F">
        <w:rPr>
          <w:i/>
          <w:lang w:val="en-US"/>
        </w:rPr>
        <w:t>.</w:t>
      </w:r>
      <w:r w:rsidRPr="00A0324F">
        <w:rPr>
          <w:lang w:val="en-US"/>
        </w:rPr>
        <w:t xml:space="preserve"> UNDP: Programming for Justice</w:t>
      </w:r>
      <w:r w:rsidRPr="0003206F">
        <w:rPr>
          <w:lang w:val="en-US"/>
        </w:rPr>
        <w:t xml:space="preserve">: </w:t>
      </w:r>
      <w:r w:rsidRPr="007F7D49">
        <w:rPr>
          <w:lang w:val="en-US"/>
        </w:rPr>
        <w:t xml:space="preserve">Access for All. </w:t>
      </w:r>
      <w:proofErr w:type="gramStart"/>
      <w:r w:rsidRPr="00A0324F">
        <w:rPr>
          <w:i/>
          <w:lang w:val="en-US"/>
        </w:rPr>
        <w:t>A Practitioner’s Guide to a Human Rights-Based Approach to Access to Justice, 2005.</w:t>
      </w:r>
      <w:proofErr w:type="gramEnd"/>
      <w:r>
        <w:rPr>
          <w:i/>
          <w:lang w:val="en-US"/>
        </w:rPr>
        <w:t xml:space="preserve"> </w:t>
      </w:r>
      <w:r>
        <w:t>Disponible en:</w:t>
      </w:r>
      <w:r w:rsidRPr="0027132E">
        <w:t xml:space="preserve"> </w:t>
      </w:r>
      <w:r w:rsidRPr="007E1B86">
        <w:t>http://www.unrol.org/files/Justice_Guides_ProgrammingForJustice-AccessForAll.pdf</w:t>
      </w:r>
      <w:r>
        <w:t>.</w:t>
      </w:r>
    </w:p>
  </w:footnote>
  <w:footnote w:id="260">
    <w:p w14:paraId="0C704E87" w14:textId="6E803605" w:rsidR="006B2C5D" w:rsidRPr="00514304" w:rsidRDefault="006B2C5D" w:rsidP="00B15331">
      <w:pPr>
        <w:pStyle w:val="FootnoteText"/>
        <w:rPr>
          <w:lang w:val="es-CR"/>
        </w:rPr>
      </w:pPr>
      <w:r w:rsidRPr="00514304">
        <w:rPr>
          <w:rStyle w:val="FootnoteReference"/>
          <w:sz w:val="16"/>
        </w:rPr>
        <w:footnoteRef/>
      </w:r>
      <w:r w:rsidRPr="00514304">
        <w:rPr>
          <w:lang w:val="es-CR"/>
        </w:rPr>
        <w:t xml:space="preserve"> </w:t>
      </w:r>
      <w:r w:rsidRPr="00514304">
        <w:rPr>
          <w:lang w:val="es-CR"/>
        </w:rPr>
        <w:tab/>
      </w:r>
      <w:r w:rsidRPr="00B742B4">
        <w:rPr>
          <w:i/>
          <w:lang w:val="es-MX"/>
        </w:rPr>
        <w:t>Caso Velásquez Rodríguez, Fondo, supra,</w:t>
      </w:r>
      <w:r w:rsidRPr="00514304">
        <w:rPr>
          <w:lang w:val="es-MX"/>
        </w:rPr>
        <w:t xml:space="preserve"> párr. 66, y </w:t>
      </w:r>
      <w:r w:rsidRPr="00B742B4">
        <w:rPr>
          <w:i/>
        </w:rPr>
        <w:t xml:space="preserve">Caso Defensor de Derechos Humanos y otros, supra, </w:t>
      </w:r>
      <w:r>
        <w:t>párr. 157.</w:t>
      </w:r>
    </w:p>
  </w:footnote>
  <w:footnote w:id="261">
    <w:p w14:paraId="0C704E88" w14:textId="2C544BBD" w:rsidR="006B2C5D" w:rsidRPr="0051198F" w:rsidRDefault="006B2C5D" w:rsidP="00B15331">
      <w:pPr>
        <w:pStyle w:val="FootnoteText"/>
      </w:pPr>
      <w:r w:rsidRPr="003C103F">
        <w:rPr>
          <w:rStyle w:val="FootnoteReference"/>
          <w:sz w:val="16"/>
        </w:rPr>
        <w:footnoteRef/>
      </w:r>
      <w:r w:rsidRPr="003C103F">
        <w:t xml:space="preserve"> </w:t>
      </w:r>
      <w:r w:rsidRPr="003C103F">
        <w:tab/>
      </w:r>
      <w:r w:rsidRPr="00B742B4">
        <w:rPr>
          <w:i/>
        </w:rPr>
        <w:t>Cfr. Caso Velásquez Rodríguez, Fondo, supra,</w:t>
      </w:r>
      <w:r>
        <w:t xml:space="preserve"> párr. 66, y </w:t>
      </w:r>
      <w:r w:rsidRPr="00A0324F">
        <w:rPr>
          <w:lang w:val="es-ES_tradnl"/>
        </w:rPr>
        <w:t>C</w:t>
      </w:r>
      <w:r w:rsidRPr="00A0324F">
        <w:rPr>
          <w:rStyle w:val="Strong"/>
          <w:b w:val="0"/>
          <w:i/>
          <w:shd w:val="clear" w:color="auto" w:fill="FFFFFF"/>
          <w:lang w:val="es-ES_tradnl"/>
        </w:rPr>
        <w:t>aso</w:t>
      </w:r>
      <w:r>
        <w:rPr>
          <w:rStyle w:val="Strong"/>
          <w:b w:val="0"/>
          <w:shd w:val="clear" w:color="auto" w:fill="FFFFFF"/>
        </w:rPr>
        <w:t xml:space="preserve"> </w:t>
      </w:r>
      <w:proofErr w:type="spellStart"/>
      <w:r w:rsidRPr="0095299A">
        <w:rPr>
          <w:rStyle w:val="Strong"/>
          <w:b w:val="0"/>
          <w:i/>
          <w:shd w:val="clear" w:color="auto" w:fill="FFFFFF"/>
          <w:lang w:val="es-MX"/>
        </w:rPr>
        <w:t>Brewer</w:t>
      </w:r>
      <w:proofErr w:type="spellEnd"/>
      <w:r w:rsidRPr="0095299A">
        <w:rPr>
          <w:rStyle w:val="Strong"/>
          <w:b w:val="0"/>
          <w:i/>
          <w:shd w:val="clear" w:color="auto" w:fill="FFFFFF"/>
          <w:lang w:val="es-MX"/>
        </w:rPr>
        <w:t xml:space="preserve"> Car</w:t>
      </w:r>
      <w:r>
        <w:rPr>
          <w:rStyle w:val="Strong"/>
          <w:b w:val="0"/>
          <w:i/>
          <w:shd w:val="clear" w:color="auto" w:fill="FFFFFF"/>
          <w:lang w:val="es-MX"/>
        </w:rPr>
        <w:t>í</w:t>
      </w:r>
      <w:r w:rsidRPr="0095299A">
        <w:rPr>
          <w:rStyle w:val="Strong"/>
          <w:b w:val="0"/>
          <w:i/>
          <w:shd w:val="clear" w:color="auto" w:fill="FFFFFF"/>
          <w:lang w:val="es-MX"/>
        </w:rPr>
        <w:t>as</w:t>
      </w:r>
      <w:r>
        <w:rPr>
          <w:rStyle w:val="Strong"/>
          <w:b w:val="0"/>
          <w:i/>
          <w:shd w:val="clear" w:color="auto" w:fill="FFFFFF"/>
          <w:lang w:val="es-MX"/>
        </w:rPr>
        <w:t xml:space="preserve">, </w:t>
      </w:r>
      <w:r w:rsidRPr="00A0324F">
        <w:rPr>
          <w:rStyle w:val="Strong"/>
          <w:b w:val="0"/>
          <w:i/>
          <w:shd w:val="clear" w:color="auto" w:fill="FFFFFF"/>
          <w:lang w:val="es-MX"/>
        </w:rPr>
        <w:t>supra</w:t>
      </w:r>
      <w:r>
        <w:rPr>
          <w:rStyle w:val="Strong"/>
          <w:b w:val="0"/>
          <w:shd w:val="clear" w:color="auto" w:fill="FFFFFF"/>
          <w:lang w:val="es-MX"/>
        </w:rPr>
        <w:t>, párr. 87.</w:t>
      </w:r>
    </w:p>
  </w:footnote>
  <w:footnote w:id="262">
    <w:p w14:paraId="0C704E8A" w14:textId="5B93266B" w:rsidR="006B2C5D" w:rsidRPr="003C103F" w:rsidRDefault="006B2C5D" w:rsidP="00B15331">
      <w:pPr>
        <w:pStyle w:val="FootnoteText"/>
      </w:pPr>
      <w:r w:rsidRPr="005C0E78">
        <w:rPr>
          <w:rStyle w:val="FootnoteReference"/>
          <w:sz w:val="16"/>
        </w:rPr>
        <w:footnoteRef/>
      </w:r>
      <w:r w:rsidRPr="003C103F">
        <w:t xml:space="preserve"> </w:t>
      </w:r>
      <w:r w:rsidRPr="003C103F">
        <w:tab/>
      </w:r>
      <w:r w:rsidRPr="003C103F">
        <w:rPr>
          <w:i/>
        </w:rPr>
        <w:t>Cfr.</w:t>
      </w:r>
      <w:r w:rsidRPr="003C103F">
        <w:t xml:space="preserve"> Escritos del Estado ante la Comisión recibidos el 31 de marzo, 19 de agosto  y 28 de octubre  de  2004 (</w:t>
      </w:r>
      <w:r>
        <w:t>expediente de prueba</w:t>
      </w:r>
      <w:r w:rsidRPr="003C103F">
        <w:t xml:space="preserve">, folios </w:t>
      </w:r>
      <w:r>
        <w:t xml:space="preserve">428 a </w:t>
      </w:r>
      <w:r w:rsidRPr="003C103F">
        <w:t>430, 355 a 358, y 324 a 326, respectivamente). En el escrito de 19 de agosto de 2004 el Estado cit</w:t>
      </w:r>
      <w:r>
        <w:t>ó</w:t>
      </w:r>
      <w:r w:rsidRPr="003C103F">
        <w:t xml:space="preserve"> el artículo 4 de la Ley de Conciliación Y Arbitraje, el cual señala que “</w:t>
      </w:r>
      <w:r>
        <w:t>[e]</w:t>
      </w:r>
      <w:r w:rsidRPr="003C103F">
        <w:t>l acuerdo a que lleguen las partes por medio de la conciliación tendrá los efectos de cosa juzgada y fuerza ejecutiva en igualdad de condiciones a la de una sentencia judicial firme”.</w:t>
      </w:r>
    </w:p>
  </w:footnote>
  <w:footnote w:id="263">
    <w:p w14:paraId="0C704E8D" w14:textId="77777777" w:rsidR="006B2C5D" w:rsidRDefault="006B2C5D" w:rsidP="00B15331">
      <w:pPr>
        <w:pStyle w:val="FootnoteText"/>
      </w:pPr>
      <w:r w:rsidRPr="002B52BF">
        <w:rPr>
          <w:rStyle w:val="FootnoteReference"/>
          <w:sz w:val="16"/>
        </w:rPr>
        <w:footnoteRef/>
      </w:r>
      <w:r w:rsidRPr="003C103F">
        <w:t xml:space="preserve"> </w:t>
      </w:r>
      <w:r w:rsidRPr="003C103F">
        <w:rPr>
          <w:i/>
        </w:rPr>
        <w:tab/>
      </w:r>
      <w:r w:rsidRPr="003C103F">
        <w:rPr>
          <w:rFonts w:eastAsia="Times New Roman"/>
        </w:rPr>
        <w:t xml:space="preserve">La jurisprudencia de la Corte respecto </w:t>
      </w:r>
      <w:r w:rsidRPr="003C103F">
        <w:t xml:space="preserve">del artículo 25 también se ha referido a la aplicación del derecho a la protección judicial en el marco de procedimientos de carácter distinto al judicial, por lo que este Tribunal ha interpretado que “el derecho a un recurso sencillo y rápido o a cualquier otro recurso efectivo”, así como el artículo 25 en su conjunto, debe ser entendido de manera amplia. </w:t>
      </w:r>
      <w:r w:rsidRPr="003C103F">
        <w:rPr>
          <w:i/>
        </w:rPr>
        <w:t>Cfr.</w:t>
      </w:r>
      <w:r w:rsidRPr="003C103F">
        <w:t xml:space="preserve"> </w:t>
      </w:r>
      <w:r w:rsidRPr="00A0324F">
        <w:rPr>
          <w:i/>
        </w:rPr>
        <w:t xml:space="preserve">Caso Comunidad Indígena </w:t>
      </w:r>
      <w:proofErr w:type="spellStart"/>
      <w:r w:rsidRPr="00A0324F">
        <w:rPr>
          <w:i/>
        </w:rPr>
        <w:t>Yakye</w:t>
      </w:r>
      <w:proofErr w:type="spellEnd"/>
      <w:r w:rsidRPr="00A0324F">
        <w:rPr>
          <w:i/>
        </w:rPr>
        <w:t xml:space="preserve"> Axa, supra</w:t>
      </w:r>
      <w:r w:rsidRPr="003C103F">
        <w:t xml:space="preserve">, </w:t>
      </w:r>
      <w:proofErr w:type="spellStart"/>
      <w:r w:rsidRPr="003C103F">
        <w:t>párrs</w:t>
      </w:r>
      <w:proofErr w:type="spellEnd"/>
      <w:r w:rsidRPr="003C103F">
        <w:t xml:space="preserve">. 65 y 98, y </w:t>
      </w:r>
      <w:r w:rsidRPr="00A0324F">
        <w:rPr>
          <w:i/>
        </w:rPr>
        <w:t xml:space="preserve">Caso Comunidad Indígena </w:t>
      </w:r>
      <w:proofErr w:type="spellStart"/>
      <w:r w:rsidRPr="00A0324F">
        <w:rPr>
          <w:i/>
        </w:rPr>
        <w:t>Xákmok</w:t>
      </w:r>
      <w:proofErr w:type="spellEnd"/>
      <w:r w:rsidRPr="00A0324F">
        <w:rPr>
          <w:i/>
        </w:rPr>
        <w:t xml:space="preserve"> </w:t>
      </w:r>
      <w:proofErr w:type="spellStart"/>
      <w:r w:rsidRPr="00A0324F">
        <w:rPr>
          <w:i/>
        </w:rPr>
        <w:t>Kásek</w:t>
      </w:r>
      <w:proofErr w:type="spellEnd"/>
      <w:r w:rsidRPr="00A0324F">
        <w:rPr>
          <w:i/>
        </w:rPr>
        <w:t>, supra,</w:t>
      </w:r>
      <w:r w:rsidRPr="003C103F">
        <w:t xml:space="preserve"> </w:t>
      </w:r>
      <w:proofErr w:type="spellStart"/>
      <w:r w:rsidRPr="003C103F">
        <w:t>párrs</w:t>
      </w:r>
      <w:proofErr w:type="spellEnd"/>
      <w:r w:rsidRPr="003C103F">
        <w:t>. 144 a 145, y 154.</w:t>
      </w:r>
    </w:p>
  </w:footnote>
  <w:footnote w:id="264">
    <w:p w14:paraId="0C704E8E" w14:textId="4F8BCEF7" w:rsidR="006B2C5D" w:rsidRDefault="006B2C5D" w:rsidP="00B15331">
      <w:pPr>
        <w:pStyle w:val="Footnotes"/>
      </w:pPr>
      <w:r w:rsidRPr="003C103F">
        <w:rPr>
          <w:rStyle w:val="FootnoteReference"/>
          <w:sz w:val="16"/>
        </w:rPr>
        <w:footnoteRef/>
      </w:r>
      <w:r w:rsidRPr="003C103F">
        <w:t xml:space="preserve"> </w:t>
      </w:r>
      <w:r w:rsidRPr="003C103F">
        <w:tab/>
      </w:r>
      <w:r w:rsidRPr="00A0324F">
        <w:rPr>
          <w:i/>
        </w:rPr>
        <w:t>Cfr. Caso Baena Ricardo y otros Vs. Panamá. Competencia</w:t>
      </w:r>
      <w:r w:rsidRPr="003C103F">
        <w:t>. Sentencia de 28 de noviembre de 2003. Serie C No. 104, párrs. 73</w:t>
      </w:r>
      <w:r>
        <w:t>, 74</w:t>
      </w:r>
      <w:r w:rsidRPr="003C103F">
        <w:t xml:space="preserve"> y 82, y </w:t>
      </w:r>
      <w:r w:rsidRPr="00A0324F">
        <w:rPr>
          <w:i/>
        </w:rPr>
        <w:t xml:space="preserve">Caso Wong Ho </w:t>
      </w:r>
      <w:proofErr w:type="spellStart"/>
      <w:r w:rsidRPr="00A0324F">
        <w:rPr>
          <w:i/>
        </w:rPr>
        <w:t>Wing</w:t>
      </w:r>
      <w:proofErr w:type="spellEnd"/>
      <w:r w:rsidRPr="00A0324F">
        <w:rPr>
          <w:i/>
        </w:rPr>
        <w:t>, supra</w:t>
      </w:r>
      <w:r>
        <w:t>, párr. 198.</w:t>
      </w:r>
    </w:p>
  </w:footnote>
  <w:footnote w:id="265">
    <w:p w14:paraId="0C704E8F" w14:textId="42410F50" w:rsidR="006B2C5D" w:rsidRDefault="006B2C5D" w:rsidP="00B15331">
      <w:pPr>
        <w:pStyle w:val="Footnotes"/>
      </w:pPr>
      <w:r w:rsidRPr="003C103F">
        <w:rPr>
          <w:rStyle w:val="FootnoteReference"/>
          <w:sz w:val="16"/>
        </w:rPr>
        <w:footnoteRef/>
      </w:r>
      <w:r w:rsidRPr="003C103F">
        <w:t xml:space="preserve"> </w:t>
      </w:r>
      <w:r w:rsidRPr="003C103F">
        <w:tab/>
      </w:r>
      <w:r w:rsidRPr="00B742B4">
        <w:rPr>
          <w:i/>
        </w:rPr>
        <w:t xml:space="preserve">Cfr. Mutatis </w:t>
      </w:r>
      <w:proofErr w:type="spellStart"/>
      <w:r w:rsidRPr="00B742B4">
        <w:rPr>
          <w:i/>
        </w:rPr>
        <w:t>Mutandi</w:t>
      </w:r>
      <w:proofErr w:type="spellEnd"/>
      <w:r w:rsidRPr="00B742B4">
        <w:rPr>
          <w:i/>
        </w:rPr>
        <w:t xml:space="preserve">, Caso Baena Ricardo y otros, Competencia, supra, </w:t>
      </w:r>
      <w:r w:rsidRPr="003C103F">
        <w:t xml:space="preserve">párr. </w:t>
      </w:r>
      <w:r w:rsidRPr="00270242">
        <w:rPr>
          <w:lang w:val="es-ES_tradnl"/>
        </w:rPr>
        <w:t>82</w:t>
      </w:r>
      <w:r>
        <w:rPr>
          <w:lang w:val="es-ES_tradnl"/>
        </w:rPr>
        <w:t>,</w:t>
      </w:r>
      <w:r w:rsidRPr="00270242">
        <w:rPr>
          <w:lang w:val="es-ES_tradnl"/>
        </w:rPr>
        <w:t xml:space="preserve"> y </w:t>
      </w:r>
      <w:r w:rsidRPr="00B742B4">
        <w:rPr>
          <w:i/>
          <w:lang w:val="es-ES_tradnl"/>
        </w:rPr>
        <w:t xml:space="preserve">Caso Wong Ho </w:t>
      </w:r>
      <w:proofErr w:type="spellStart"/>
      <w:r w:rsidRPr="00B742B4">
        <w:rPr>
          <w:i/>
          <w:lang w:val="es-ES_tradnl"/>
        </w:rPr>
        <w:t>Wing</w:t>
      </w:r>
      <w:proofErr w:type="spellEnd"/>
      <w:r w:rsidRPr="00B742B4">
        <w:rPr>
          <w:i/>
          <w:lang w:val="es-ES_tradnl"/>
        </w:rPr>
        <w:t xml:space="preserve">, supra, </w:t>
      </w:r>
      <w:r w:rsidRPr="00270242">
        <w:rPr>
          <w:lang w:val="es-ES_tradnl"/>
        </w:rPr>
        <w:t xml:space="preserve">párr. </w:t>
      </w:r>
      <w:r>
        <w:t>198.</w:t>
      </w:r>
    </w:p>
  </w:footnote>
  <w:footnote w:id="266">
    <w:p w14:paraId="0C704E90" w14:textId="31722093" w:rsidR="006B2C5D" w:rsidRPr="005C0E78" w:rsidRDefault="006B2C5D" w:rsidP="003D0FFF">
      <w:pPr>
        <w:tabs>
          <w:tab w:val="left" w:pos="567"/>
        </w:tabs>
        <w:jc w:val="both"/>
        <w:rPr>
          <w:rFonts w:ascii="Verdana" w:hAnsi="Verdana"/>
          <w:sz w:val="16"/>
          <w:szCs w:val="16"/>
        </w:rPr>
      </w:pPr>
      <w:r w:rsidRPr="003C103F">
        <w:rPr>
          <w:rStyle w:val="FootnoteReference"/>
          <w:sz w:val="16"/>
          <w:szCs w:val="16"/>
        </w:rPr>
        <w:footnoteRef/>
      </w:r>
      <w:r w:rsidRPr="003C103F">
        <w:rPr>
          <w:rFonts w:ascii="Verdana" w:hAnsi="Verdana"/>
          <w:sz w:val="16"/>
          <w:szCs w:val="16"/>
        </w:rPr>
        <w:t xml:space="preserve">  </w:t>
      </w:r>
      <w:r w:rsidRPr="003C103F">
        <w:rPr>
          <w:rFonts w:ascii="Verdana" w:hAnsi="Verdana"/>
          <w:sz w:val="16"/>
          <w:szCs w:val="16"/>
        </w:rPr>
        <w:tab/>
      </w:r>
      <w:r w:rsidRPr="00A0324F">
        <w:rPr>
          <w:rFonts w:ascii="Verdana" w:hAnsi="Verdana"/>
          <w:i/>
          <w:sz w:val="16"/>
        </w:rPr>
        <w:t>Cfr</w:t>
      </w:r>
      <w:r w:rsidRPr="00A0324F">
        <w:rPr>
          <w:rFonts w:ascii="Verdana" w:hAnsi="Verdana"/>
          <w:sz w:val="16"/>
          <w:szCs w:val="16"/>
        </w:rPr>
        <w:t xml:space="preserve">. </w:t>
      </w:r>
      <w:r w:rsidRPr="00A0324F">
        <w:rPr>
          <w:rFonts w:ascii="Verdana" w:hAnsi="Verdana"/>
          <w:i/>
          <w:sz w:val="16"/>
          <w:szCs w:val="16"/>
        </w:rPr>
        <w:t xml:space="preserve">Mutatis </w:t>
      </w:r>
      <w:proofErr w:type="spellStart"/>
      <w:r w:rsidRPr="00A0324F">
        <w:rPr>
          <w:rFonts w:ascii="Verdana" w:hAnsi="Verdana"/>
          <w:i/>
          <w:sz w:val="16"/>
          <w:szCs w:val="16"/>
        </w:rPr>
        <w:t>Mutandi</w:t>
      </w:r>
      <w:proofErr w:type="spellEnd"/>
      <w:r w:rsidRPr="00A0324F">
        <w:rPr>
          <w:rFonts w:ascii="Verdana" w:hAnsi="Verdana"/>
          <w:sz w:val="16"/>
          <w:szCs w:val="16"/>
        </w:rPr>
        <w:t xml:space="preserve">, </w:t>
      </w:r>
      <w:r w:rsidRPr="00A0324F">
        <w:rPr>
          <w:rFonts w:ascii="Verdana" w:hAnsi="Verdana"/>
          <w:i/>
          <w:sz w:val="16"/>
        </w:rPr>
        <w:t>Caso Baena Ricardo y otros</w:t>
      </w:r>
      <w:r>
        <w:rPr>
          <w:rFonts w:ascii="Verdana" w:hAnsi="Verdana"/>
          <w:i/>
          <w:sz w:val="16"/>
        </w:rPr>
        <w:t>,</w:t>
      </w:r>
      <w:r w:rsidRPr="00A0324F">
        <w:rPr>
          <w:rFonts w:ascii="Verdana" w:hAnsi="Verdana"/>
          <w:i/>
          <w:sz w:val="16"/>
        </w:rPr>
        <w:t xml:space="preserve"> Competencia, supra</w:t>
      </w:r>
      <w:r w:rsidRPr="00A0324F">
        <w:rPr>
          <w:rFonts w:ascii="Verdana" w:hAnsi="Verdana"/>
          <w:sz w:val="16"/>
          <w:szCs w:val="16"/>
        </w:rPr>
        <w:t xml:space="preserve">, párr. </w:t>
      </w:r>
      <w:r w:rsidRPr="00A0324F">
        <w:rPr>
          <w:rFonts w:ascii="Verdana" w:hAnsi="Verdana"/>
          <w:sz w:val="16"/>
          <w:szCs w:val="16"/>
          <w:lang w:val="es-MX"/>
        </w:rPr>
        <w:t>82</w:t>
      </w:r>
      <w:r>
        <w:rPr>
          <w:rFonts w:ascii="Verdana" w:hAnsi="Verdana"/>
          <w:sz w:val="16"/>
          <w:szCs w:val="16"/>
          <w:lang w:val="es-MX"/>
        </w:rPr>
        <w:t xml:space="preserve">, </w:t>
      </w:r>
      <w:r w:rsidRPr="00A0324F">
        <w:rPr>
          <w:rFonts w:ascii="Verdana" w:hAnsi="Verdana"/>
          <w:sz w:val="16"/>
          <w:szCs w:val="16"/>
          <w:lang w:val="es-MX"/>
        </w:rPr>
        <w:t xml:space="preserve">y </w:t>
      </w:r>
      <w:r w:rsidRPr="00A0324F">
        <w:rPr>
          <w:rFonts w:ascii="Verdana" w:hAnsi="Verdana"/>
          <w:i/>
          <w:sz w:val="16"/>
          <w:lang w:val="es-MX"/>
        </w:rPr>
        <w:t>Caso</w:t>
      </w:r>
      <w:r w:rsidRPr="00A0324F">
        <w:rPr>
          <w:rFonts w:ascii="Verdana" w:hAnsi="Verdana"/>
          <w:sz w:val="16"/>
          <w:szCs w:val="16"/>
          <w:lang w:val="es-MX"/>
        </w:rPr>
        <w:t xml:space="preserve"> </w:t>
      </w:r>
      <w:r w:rsidRPr="00A0324F">
        <w:rPr>
          <w:rFonts w:ascii="Verdana" w:hAnsi="Verdana"/>
          <w:i/>
          <w:sz w:val="16"/>
          <w:szCs w:val="16"/>
          <w:lang w:val="es-MX"/>
        </w:rPr>
        <w:t xml:space="preserve">Wong Ho </w:t>
      </w:r>
      <w:proofErr w:type="spellStart"/>
      <w:r w:rsidRPr="00A0324F">
        <w:rPr>
          <w:rFonts w:ascii="Verdana" w:hAnsi="Verdana"/>
          <w:i/>
          <w:sz w:val="16"/>
          <w:szCs w:val="16"/>
          <w:lang w:val="es-MX"/>
        </w:rPr>
        <w:t>Wing</w:t>
      </w:r>
      <w:proofErr w:type="spellEnd"/>
      <w:r w:rsidRPr="00A0324F">
        <w:rPr>
          <w:rFonts w:ascii="Verdana" w:hAnsi="Verdana"/>
          <w:sz w:val="16"/>
          <w:szCs w:val="16"/>
          <w:lang w:val="es-MX"/>
        </w:rPr>
        <w:t xml:space="preserve">, </w:t>
      </w:r>
      <w:r w:rsidRPr="00A0324F">
        <w:rPr>
          <w:rFonts w:ascii="Verdana" w:hAnsi="Verdana"/>
          <w:i/>
          <w:sz w:val="16"/>
          <w:lang w:val="es-MX"/>
        </w:rPr>
        <w:t>supra</w:t>
      </w:r>
      <w:r w:rsidRPr="00A0324F">
        <w:rPr>
          <w:rFonts w:ascii="Verdana" w:hAnsi="Verdana"/>
          <w:sz w:val="16"/>
          <w:szCs w:val="16"/>
          <w:lang w:val="es-MX"/>
        </w:rPr>
        <w:t xml:space="preserve">, párr. </w:t>
      </w:r>
      <w:r w:rsidRPr="00A0324F">
        <w:rPr>
          <w:rFonts w:ascii="Verdana" w:hAnsi="Verdana"/>
          <w:sz w:val="16"/>
          <w:szCs w:val="16"/>
        </w:rPr>
        <w:t>198</w:t>
      </w:r>
      <w:r w:rsidRPr="007551D9">
        <w:rPr>
          <w:rStyle w:val="Strong"/>
          <w:rFonts w:ascii="Verdana" w:hAnsi="Verdana"/>
          <w:b w:val="0"/>
          <w:sz w:val="16"/>
          <w:szCs w:val="16"/>
        </w:rPr>
        <w:t>.</w:t>
      </w:r>
    </w:p>
  </w:footnote>
  <w:footnote w:id="267">
    <w:p w14:paraId="0C704E91" w14:textId="4E7AB6C1" w:rsidR="006B2C5D" w:rsidRPr="00A0324F" w:rsidRDefault="006B2C5D" w:rsidP="00B15331">
      <w:pPr>
        <w:pStyle w:val="Footnotes"/>
        <w:rPr>
          <w:lang w:val="es-MX"/>
        </w:rPr>
      </w:pPr>
      <w:r w:rsidRPr="003C103F">
        <w:rPr>
          <w:rStyle w:val="FootnoteReference"/>
          <w:sz w:val="16"/>
        </w:rPr>
        <w:footnoteRef/>
      </w:r>
      <w:r w:rsidRPr="003C103F">
        <w:t xml:space="preserve"> </w:t>
      </w:r>
      <w:r w:rsidRPr="003C103F">
        <w:tab/>
      </w:r>
      <w:r w:rsidRPr="00B742B4">
        <w:rPr>
          <w:i/>
        </w:rPr>
        <w:t xml:space="preserve">Cfr. Caso Baena Ricardo y </w:t>
      </w:r>
      <w:r w:rsidRPr="00B742B4">
        <w:rPr>
          <w:i/>
          <w:szCs w:val="24"/>
        </w:rPr>
        <w:t>otros</w:t>
      </w:r>
      <w:r w:rsidRPr="00B742B4">
        <w:rPr>
          <w:i/>
        </w:rPr>
        <w:t>,</w:t>
      </w:r>
      <w:r w:rsidRPr="00B742B4">
        <w:rPr>
          <w:i/>
          <w:szCs w:val="24"/>
        </w:rPr>
        <w:t xml:space="preserve"> Competencia, </w:t>
      </w:r>
      <w:r w:rsidRPr="00B742B4">
        <w:rPr>
          <w:i/>
        </w:rPr>
        <w:t xml:space="preserve">supra, </w:t>
      </w:r>
      <w:r w:rsidRPr="003C103F">
        <w:t xml:space="preserve">párr. </w:t>
      </w:r>
      <w:proofErr w:type="gramStart"/>
      <w:r w:rsidRPr="00A0324F">
        <w:rPr>
          <w:lang w:val="en-US"/>
        </w:rPr>
        <w:t xml:space="preserve">82, y </w:t>
      </w:r>
      <w:proofErr w:type="spellStart"/>
      <w:r w:rsidRPr="00B742B4">
        <w:rPr>
          <w:i/>
          <w:lang w:val="en-US"/>
        </w:rPr>
        <w:t>Caso</w:t>
      </w:r>
      <w:proofErr w:type="spellEnd"/>
      <w:r w:rsidRPr="00B742B4">
        <w:rPr>
          <w:i/>
          <w:lang w:val="en-US"/>
        </w:rPr>
        <w:t xml:space="preserve"> Wong Ho Wing, supra,</w:t>
      </w:r>
      <w:r w:rsidRPr="00A0324F">
        <w:rPr>
          <w:lang w:val="en-US"/>
        </w:rPr>
        <w:t xml:space="preserve"> </w:t>
      </w:r>
      <w:proofErr w:type="spellStart"/>
      <w:r w:rsidRPr="00A0324F">
        <w:rPr>
          <w:lang w:val="en-US"/>
        </w:rPr>
        <w:t>párr</w:t>
      </w:r>
      <w:proofErr w:type="spellEnd"/>
      <w:r w:rsidRPr="00A0324F">
        <w:rPr>
          <w:lang w:val="en-US"/>
        </w:rPr>
        <w:t>.</w:t>
      </w:r>
      <w:proofErr w:type="gramEnd"/>
      <w:r w:rsidRPr="00A0324F">
        <w:rPr>
          <w:lang w:val="en-US"/>
        </w:rPr>
        <w:t xml:space="preserve"> </w:t>
      </w:r>
      <w:r w:rsidRPr="00400CF6">
        <w:rPr>
          <w:lang w:val="es-MX"/>
        </w:rPr>
        <w:t>19</w:t>
      </w:r>
      <w:r w:rsidRPr="00A0324F">
        <w:rPr>
          <w:lang w:val="es-MX"/>
        </w:rPr>
        <w:t>6.</w:t>
      </w:r>
    </w:p>
  </w:footnote>
  <w:footnote w:id="268">
    <w:p w14:paraId="0C704E92" w14:textId="21C3535A" w:rsidR="006B2C5D" w:rsidRPr="003C103F" w:rsidRDefault="006B2C5D" w:rsidP="00B15331">
      <w:pPr>
        <w:pStyle w:val="FootnoteText"/>
      </w:pPr>
      <w:r w:rsidRPr="003C103F">
        <w:rPr>
          <w:rStyle w:val="FootnoteReference"/>
          <w:rFonts w:cs="Times"/>
          <w:spacing w:val="-4"/>
          <w:sz w:val="16"/>
        </w:rPr>
        <w:footnoteRef/>
      </w:r>
      <w:r w:rsidRPr="003C103F">
        <w:t xml:space="preserve"> </w:t>
      </w:r>
      <w:r w:rsidRPr="003C103F">
        <w:tab/>
      </w:r>
      <w:r w:rsidRPr="00B742B4">
        <w:rPr>
          <w:i/>
        </w:rPr>
        <w:t xml:space="preserve">Cfr. Caso Mejía </w:t>
      </w:r>
      <w:proofErr w:type="spellStart"/>
      <w:r w:rsidRPr="00B742B4">
        <w:rPr>
          <w:i/>
        </w:rPr>
        <w:t>Idrovo</w:t>
      </w:r>
      <w:proofErr w:type="spellEnd"/>
      <w:r w:rsidRPr="00B742B4">
        <w:rPr>
          <w:i/>
        </w:rPr>
        <w:t xml:space="preserve"> Vs. Ecuador. Excepciones Preliminares, Fondo, Reparaciones y Costas. </w:t>
      </w:r>
      <w:r w:rsidRPr="00A0324F">
        <w:rPr>
          <w:lang w:val="es-CR"/>
        </w:rPr>
        <w:t xml:space="preserve">Sentencia de 5 de julio de 2011. Serie C No. 228, </w:t>
      </w:r>
      <w:r w:rsidRPr="002B52BF">
        <w:rPr>
          <w:rStyle w:val="Strong"/>
          <w:b w:val="0"/>
          <w:color w:val="000000"/>
          <w:spacing w:val="-4"/>
          <w:shd w:val="clear" w:color="auto" w:fill="FFFFFF"/>
        </w:rPr>
        <w:t xml:space="preserve">párr. 105, y </w:t>
      </w:r>
      <w:r w:rsidRPr="002B52BF">
        <w:rPr>
          <w:rStyle w:val="Strong"/>
          <w:b w:val="0"/>
          <w:i/>
          <w:color w:val="000000"/>
          <w:spacing w:val="-4"/>
          <w:shd w:val="clear" w:color="auto" w:fill="FFFFFF"/>
        </w:rPr>
        <w:t xml:space="preserve">Caso </w:t>
      </w:r>
      <w:proofErr w:type="spellStart"/>
      <w:r w:rsidRPr="002B52BF">
        <w:rPr>
          <w:rStyle w:val="Strong"/>
          <w:b w:val="0"/>
          <w:i/>
          <w:color w:val="000000"/>
          <w:spacing w:val="-4"/>
          <w:shd w:val="clear" w:color="auto" w:fill="FFFFFF"/>
        </w:rPr>
        <w:t>Furlan</w:t>
      </w:r>
      <w:proofErr w:type="spellEnd"/>
      <w:r w:rsidRPr="002B52BF">
        <w:rPr>
          <w:rStyle w:val="Strong"/>
          <w:b w:val="0"/>
          <w:i/>
          <w:color w:val="000000"/>
          <w:spacing w:val="-4"/>
          <w:shd w:val="clear" w:color="auto" w:fill="FFFFFF"/>
        </w:rPr>
        <w:t xml:space="preserve"> y Familiares Vs. Argentina. Excepciones Preliminares, Fondo, Reparaciones y Costas. </w:t>
      </w:r>
      <w:r w:rsidRPr="003C103F">
        <w:rPr>
          <w:rStyle w:val="Strong"/>
          <w:b w:val="0"/>
          <w:color w:val="000000"/>
          <w:spacing w:val="-4"/>
          <w:shd w:val="clear" w:color="auto" w:fill="FFFFFF"/>
        </w:rPr>
        <w:t xml:space="preserve">Sentencia de 31 de agosto de 2012. Serie C No. 246, párr. 210. </w:t>
      </w:r>
    </w:p>
  </w:footnote>
  <w:footnote w:id="269">
    <w:p w14:paraId="0C704E93" w14:textId="0DE04EF5" w:rsidR="006B2C5D" w:rsidRPr="00012F57" w:rsidRDefault="006B2C5D" w:rsidP="00B15331">
      <w:pPr>
        <w:pStyle w:val="FootnoteText"/>
        <w:rPr>
          <w:b/>
        </w:rPr>
      </w:pPr>
      <w:r w:rsidRPr="00514304">
        <w:rPr>
          <w:rStyle w:val="FootnoteReference"/>
          <w:sz w:val="16"/>
        </w:rPr>
        <w:footnoteRef/>
      </w:r>
      <w:r w:rsidRPr="00514304">
        <w:t xml:space="preserve"> </w:t>
      </w:r>
      <w:r w:rsidRPr="00514304">
        <w:tab/>
      </w:r>
      <w:r w:rsidRPr="00B742B4">
        <w:rPr>
          <w:i/>
        </w:rPr>
        <w:t xml:space="preserve">Cfr. Caso de los “Niños de la Calle” (Villagrán Morales y otros), supra, </w:t>
      </w:r>
      <w:r w:rsidRPr="00514304">
        <w:t>párr. 237, y</w:t>
      </w:r>
      <w:r>
        <w:rPr>
          <w:rStyle w:val="Strong"/>
          <w:b w:val="0"/>
        </w:rPr>
        <w:t xml:space="preserve"> </w:t>
      </w:r>
      <w:r w:rsidRPr="00B742B4">
        <w:rPr>
          <w:i/>
          <w:lang w:val="es-MX"/>
        </w:rPr>
        <w:t xml:space="preserve">Caso Wong Ho </w:t>
      </w:r>
      <w:proofErr w:type="spellStart"/>
      <w:r w:rsidRPr="00B742B4">
        <w:rPr>
          <w:i/>
          <w:lang w:val="es-MX"/>
        </w:rPr>
        <w:t>Wing</w:t>
      </w:r>
      <w:proofErr w:type="spellEnd"/>
      <w:r w:rsidRPr="00B742B4">
        <w:rPr>
          <w:i/>
          <w:lang w:val="es-MX"/>
        </w:rPr>
        <w:t>, supra,</w:t>
      </w:r>
      <w:r w:rsidRPr="00A0324F">
        <w:rPr>
          <w:lang w:val="es-MX"/>
        </w:rPr>
        <w:t xml:space="preserve"> párr. 196.</w:t>
      </w:r>
    </w:p>
  </w:footnote>
  <w:footnote w:id="270">
    <w:p w14:paraId="0C704E94" w14:textId="19EEA982" w:rsidR="006B2C5D" w:rsidRPr="009A430E" w:rsidRDefault="006B2C5D" w:rsidP="00B15331">
      <w:pPr>
        <w:pStyle w:val="FootnoteText"/>
      </w:pPr>
      <w:r w:rsidRPr="00514304">
        <w:rPr>
          <w:rStyle w:val="FootnoteReference"/>
          <w:sz w:val="16"/>
        </w:rPr>
        <w:footnoteRef/>
      </w:r>
      <w:r w:rsidRPr="00514304">
        <w:t xml:space="preserve"> </w:t>
      </w:r>
      <w:r w:rsidRPr="00514304">
        <w:tab/>
      </w:r>
      <w:r w:rsidRPr="00B742B4">
        <w:rPr>
          <w:i/>
        </w:rPr>
        <w:t>Cfr. Caso Acevedo Jaramillo y otros, supra,</w:t>
      </w:r>
      <w:r>
        <w:t xml:space="preserve"> párr. </w:t>
      </w:r>
      <w:proofErr w:type="gramStart"/>
      <w:r w:rsidRPr="00A0324F">
        <w:rPr>
          <w:lang w:val="en-US"/>
        </w:rPr>
        <w:t>167</w:t>
      </w:r>
      <w:r>
        <w:rPr>
          <w:lang w:val="en-US"/>
        </w:rPr>
        <w:t xml:space="preserve">, </w:t>
      </w:r>
      <w:r w:rsidRPr="00A0324F">
        <w:rPr>
          <w:lang w:val="en-US"/>
        </w:rPr>
        <w:t xml:space="preserve">y </w:t>
      </w:r>
      <w:proofErr w:type="spellStart"/>
      <w:r w:rsidRPr="00B742B4">
        <w:rPr>
          <w:i/>
          <w:lang w:val="en-US"/>
        </w:rPr>
        <w:t>Caso</w:t>
      </w:r>
      <w:proofErr w:type="spellEnd"/>
      <w:r w:rsidRPr="00B742B4">
        <w:rPr>
          <w:i/>
          <w:lang w:val="en-US"/>
        </w:rPr>
        <w:t xml:space="preserve"> Wong Ho Wing, supra, </w:t>
      </w:r>
      <w:proofErr w:type="spellStart"/>
      <w:r w:rsidRPr="00B742B4">
        <w:rPr>
          <w:i/>
          <w:lang w:val="en-US"/>
        </w:rPr>
        <w:t>párr</w:t>
      </w:r>
      <w:proofErr w:type="spellEnd"/>
      <w:r w:rsidRPr="00B742B4">
        <w:rPr>
          <w:i/>
          <w:lang w:val="en-US"/>
        </w:rPr>
        <w:t>.</w:t>
      </w:r>
      <w:proofErr w:type="gramEnd"/>
      <w:r>
        <w:rPr>
          <w:lang w:val="en-US"/>
        </w:rPr>
        <w:t xml:space="preserve"> </w:t>
      </w:r>
      <w:r w:rsidRPr="00A0324F">
        <w:t>196.</w:t>
      </w:r>
    </w:p>
  </w:footnote>
  <w:footnote w:id="271">
    <w:p w14:paraId="0C704E95" w14:textId="64A5DD1C" w:rsidR="006B2C5D" w:rsidRDefault="006B2C5D" w:rsidP="00B15331">
      <w:pPr>
        <w:pStyle w:val="FootnoteText"/>
      </w:pPr>
      <w:r w:rsidRPr="00514304">
        <w:rPr>
          <w:rStyle w:val="FootnoteReference"/>
          <w:sz w:val="16"/>
        </w:rPr>
        <w:footnoteRef/>
      </w:r>
      <w:r w:rsidRPr="00514304">
        <w:t xml:space="preserve"> </w:t>
      </w:r>
      <w:r w:rsidRPr="00514304">
        <w:tab/>
      </w:r>
      <w:r w:rsidRPr="00CB26E3">
        <w:t>Ni el acta de compromiso de 2001 ni reuniones posteriores establecieron de manera clara las competencias ni las funciones y mecanismos que la Comisión Interinstitucional u otras autoridades tendrían para ejecutar los compromisos a los cuales el Estado se obligó (</w:t>
      </w:r>
      <w:r w:rsidRPr="00CB26E3">
        <w:rPr>
          <w:i/>
        </w:rPr>
        <w:t>supra</w:t>
      </w:r>
      <w:r w:rsidRPr="00CB26E3">
        <w:t xml:space="preserve"> párrs. </w:t>
      </w:r>
      <w:r>
        <w:t>114</w:t>
      </w:r>
      <w:r w:rsidRPr="00CB26E3">
        <w:t>).</w:t>
      </w:r>
      <w:r w:rsidRPr="00CB26E3">
        <w:rPr>
          <w:sz w:val="20"/>
          <w:szCs w:val="20"/>
        </w:rPr>
        <w:t xml:space="preserve"> </w:t>
      </w:r>
      <w:r w:rsidRPr="00CB26E3">
        <w:t>El acta de compromiso de 2001 s</w:t>
      </w:r>
      <w:r>
        <w:t>o</w:t>
      </w:r>
      <w:r w:rsidRPr="00CB26E3">
        <w:t>lo estableció que la Comisión Interinstitucional estaba autorizada para formular un pliego de peticiones y hacer un calendario de trabajo para solucionar el conflicto.</w:t>
      </w:r>
    </w:p>
  </w:footnote>
  <w:footnote w:id="272">
    <w:p w14:paraId="0C704E96" w14:textId="5BB1B895" w:rsidR="006B2C5D" w:rsidRDefault="006B2C5D" w:rsidP="00B15331">
      <w:pPr>
        <w:pStyle w:val="FootnoteText"/>
      </w:pPr>
      <w:r w:rsidRPr="00514304">
        <w:rPr>
          <w:rStyle w:val="FootnoteReference"/>
          <w:sz w:val="16"/>
        </w:rPr>
        <w:footnoteRef/>
      </w:r>
      <w:r w:rsidRPr="00514304">
        <w:t xml:space="preserve"> </w:t>
      </w:r>
      <w:r w:rsidRPr="00514304">
        <w:tab/>
      </w:r>
      <w:r w:rsidRPr="00514304">
        <w:rPr>
          <w:i/>
          <w:iCs/>
        </w:rPr>
        <w:t>Cfr.</w:t>
      </w:r>
      <w:r>
        <w:rPr>
          <w:i/>
          <w:iCs/>
        </w:rPr>
        <w:t xml:space="preserve"> Mutatis Mutandis,</w:t>
      </w:r>
      <w:r w:rsidRPr="00514304">
        <w:rPr>
          <w:i/>
          <w:iCs/>
        </w:rPr>
        <w:t xml:space="preserve"> Caso Mejía </w:t>
      </w:r>
      <w:proofErr w:type="spellStart"/>
      <w:r w:rsidRPr="00514304">
        <w:rPr>
          <w:i/>
          <w:iCs/>
        </w:rPr>
        <w:t>Idrovo</w:t>
      </w:r>
      <w:proofErr w:type="spellEnd"/>
      <w:r w:rsidRPr="00514304">
        <w:t xml:space="preserve">, </w:t>
      </w:r>
      <w:r w:rsidRPr="00514304">
        <w:rPr>
          <w:i/>
        </w:rPr>
        <w:t>supra</w:t>
      </w:r>
      <w:r w:rsidRPr="00514304">
        <w:t xml:space="preserve">, párr. 106. </w:t>
      </w:r>
      <w:r>
        <w:t xml:space="preserve">Ver también: </w:t>
      </w:r>
      <w:r w:rsidRPr="00514304">
        <w:t xml:space="preserve">El T.E.D.H. ha establecido en el </w:t>
      </w:r>
      <w:r w:rsidRPr="00514304">
        <w:rPr>
          <w:i/>
          <w:iCs/>
        </w:rPr>
        <w:t>Caso</w:t>
      </w:r>
      <w:r w:rsidRPr="00514304">
        <w:t xml:space="preserve"> </w:t>
      </w:r>
      <w:proofErr w:type="spellStart"/>
      <w:r w:rsidRPr="00514304">
        <w:rPr>
          <w:i/>
          <w:iCs/>
        </w:rPr>
        <w:t>Inmobiliare</w:t>
      </w:r>
      <w:proofErr w:type="spellEnd"/>
      <w:r w:rsidRPr="00514304">
        <w:rPr>
          <w:i/>
          <w:iCs/>
        </w:rPr>
        <w:t xml:space="preserve"> </w:t>
      </w:r>
      <w:proofErr w:type="spellStart"/>
      <w:r w:rsidRPr="00514304">
        <w:rPr>
          <w:i/>
          <w:iCs/>
        </w:rPr>
        <w:t>Saffi</w:t>
      </w:r>
      <w:proofErr w:type="spellEnd"/>
      <w:r w:rsidRPr="00514304">
        <w:rPr>
          <w:i/>
          <w:iCs/>
        </w:rPr>
        <w:t xml:space="preserve"> Vs. Italia</w:t>
      </w:r>
      <w:r w:rsidRPr="00514304">
        <w:t>, que</w:t>
      </w:r>
      <w:r>
        <w:t xml:space="preserve"> s</w:t>
      </w:r>
      <w:r w:rsidRPr="00514304">
        <w:t xml:space="preserve">i se puede admitir en principio que los Estados intervengan en un procedimiento de ejecución de una decisión de justicia, tal intervención no puede tener como consecuencia práctica que se impida, invalide o retrase de manera excesiva la ejecución en cuestión y menos aún que se cuestione el fondo de la decisión. </w:t>
      </w:r>
      <w:r w:rsidRPr="00514304">
        <w:rPr>
          <w:i/>
          <w:iCs/>
        </w:rPr>
        <w:t>Cfr.</w:t>
      </w:r>
      <w:r w:rsidRPr="00112C0B">
        <w:t xml:space="preserve"> T.E.D.H., </w:t>
      </w:r>
      <w:r w:rsidRPr="00112C0B">
        <w:rPr>
          <w:i/>
        </w:rPr>
        <w:t>Caso</w:t>
      </w:r>
      <w:r w:rsidRPr="00112C0B">
        <w:t xml:space="preserve"> </w:t>
      </w:r>
      <w:proofErr w:type="spellStart"/>
      <w:r w:rsidRPr="00112C0B">
        <w:rPr>
          <w:rFonts w:cs="TimesNewRomanPSMT"/>
          <w:i/>
        </w:rPr>
        <w:t>Immobiliare</w:t>
      </w:r>
      <w:proofErr w:type="spellEnd"/>
      <w:r w:rsidRPr="00112C0B">
        <w:rPr>
          <w:rFonts w:cs="TimesNewRomanPSMT"/>
          <w:i/>
        </w:rPr>
        <w:t xml:space="preserve"> </w:t>
      </w:r>
      <w:proofErr w:type="spellStart"/>
      <w:r w:rsidRPr="00112C0B">
        <w:rPr>
          <w:rFonts w:cs="TimesNewRomanPSMT"/>
          <w:i/>
        </w:rPr>
        <w:t>Saffi</w:t>
      </w:r>
      <w:proofErr w:type="spellEnd"/>
      <w:r w:rsidRPr="00112C0B">
        <w:rPr>
          <w:rFonts w:cs="TimesNewRomanPSMT"/>
          <w:i/>
        </w:rPr>
        <w:t xml:space="preserve"> Vs. Italia, </w:t>
      </w:r>
      <w:r>
        <w:rPr>
          <w:rFonts w:cs="TimesNewRomanPSMT"/>
          <w:i/>
        </w:rPr>
        <w:t xml:space="preserve"> </w:t>
      </w:r>
      <w:r w:rsidRPr="00112C0B">
        <w:rPr>
          <w:rFonts w:cs="TimesNewRomanPSMT"/>
        </w:rPr>
        <w:t>(No.</w:t>
      </w:r>
      <w:r w:rsidRPr="00112C0B">
        <w:t xml:space="preserve"> </w:t>
      </w:r>
      <w:r w:rsidRPr="00112C0B">
        <w:rPr>
          <w:rFonts w:cs="TimesNewRomanPSMT"/>
        </w:rPr>
        <w:t xml:space="preserve">22774/93), G.C., Sentencia de 28 de Julio de 1999, párr. </w:t>
      </w:r>
      <w:r>
        <w:rPr>
          <w:rFonts w:cs="TimesNewRomanPSMT"/>
        </w:rPr>
        <w:t>74.</w:t>
      </w:r>
    </w:p>
  </w:footnote>
  <w:footnote w:id="273">
    <w:p w14:paraId="0C704E98" w14:textId="4A6425EB" w:rsidR="006B2C5D" w:rsidRDefault="006B2C5D" w:rsidP="00B15331">
      <w:pPr>
        <w:pStyle w:val="FootnoteText"/>
      </w:pPr>
      <w:r w:rsidRPr="00514304">
        <w:rPr>
          <w:rStyle w:val="FootnoteReference"/>
          <w:sz w:val="16"/>
        </w:rPr>
        <w:footnoteRef/>
      </w:r>
      <w:r w:rsidRPr="00514304">
        <w:t xml:space="preserve"> </w:t>
      </w:r>
      <w:r w:rsidRPr="00514304">
        <w:tab/>
      </w:r>
      <w:r w:rsidRPr="00A0324F">
        <w:t>E</w:t>
      </w:r>
      <w:r w:rsidRPr="00C77120">
        <w:t>n su escrito de alegatos finales ante la Corte, el Estado señaló que la vía previa administrativa debía utilizarse a fin de que el Estado cumpliera con “el acuerdo” al cual se sometió. El Estado no estableció cuál sería el recurso judicial idóneo y efectivo que debería utilizarse luego de haber agotado la vía administrativa. Por otro lado, el Estado argumentó en sus alegatos finales que los representantes no hicieron uso de los recursos existentes dentro de la legislación interna, correspondientes a cualquier hondureño, y se limitaron a señalar de manera genérica la existencia de recursos tales como la “reivindicación de dominio ante los tribunales civiles”; “la garantía del amparo”; “el juicio declarativo”, y “otras garantías y recursos que pueden ser invocados”, sin especificar de qué forma serían adecuados y efectivos para el caso concreto. Dicha argumentación tampoco fue invocada en la etapa de admisibilidad ante la Comisión.</w:t>
      </w:r>
    </w:p>
  </w:footnote>
  <w:footnote w:id="274">
    <w:p w14:paraId="0C704E99" w14:textId="28446205" w:rsidR="006B2C5D" w:rsidRPr="008514EB" w:rsidRDefault="006B2C5D" w:rsidP="00F02DDD">
      <w:pPr>
        <w:tabs>
          <w:tab w:val="left" w:pos="567"/>
        </w:tabs>
        <w:autoSpaceDE w:val="0"/>
        <w:autoSpaceDN w:val="0"/>
        <w:adjustRightInd w:val="0"/>
        <w:jc w:val="both"/>
        <w:rPr>
          <w:rFonts w:ascii="Verdana" w:hAnsi="Verdana"/>
          <w:b/>
          <w:sz w:val="16"/>
          <w:szCs w:val="16"/>
        </w:rPr>
      </w:pPr>
      <w:r w:rsidRPr="00514304">
        <w:rPr>
          <w:rStyle w:val="FootnoteReference"/>
          <w:sz w:val="16"/>
          <w:szCs w:val="16"/>
        </w:rPr>
        <w:footnoteRef/>
      </w:r>
      <w:r w:rsidRPr="00514304">
        <w:rPr>
          <w:rFonts w:ascii="Verdana" w:hAnsi="Verdana"/>
          <w:sz w:val="16"/>
          <w:szCs w:val="16"/>
          <w:lang w:val="de-DE"/>
        </w:rPr>
        <w:t xml:space="preserve"> </w:t>
      </w:r>
      <w:r w:rsidRPr="00514304">
        <w:rPr>
          <w:rFonts w:ascii="Verdana" w:hAnsi="Verdana"/>
          <w:sz w:val="16"/>
          <w:szCs w:val="16"/>
          <w:lang w:val="de-DE"/>
        </w:rPr>
        <w:tab/>
      </w:r>
      <w:r w:rsidRPr="00012F57">
        <w:rPr>
          <w:rFonts w:ascii="Verdana" w:hAnsi="Verdana"/>
          <w:i/>
          <w:sz w:val="16"/>
          <w:szCs w:val="16"/>
        </w:rPr>
        <w:t>Cfr.</w:t>
      </w:r>
      <w:r w:rsidRPr="00012F57">
        <w:rPr>
          <w:rFonts w:ascii="Verdana" w:hAnsi="Verdana"/>
          <w:bCs/>
          <w:i/>
          <w:sz w:val="16"/>
          <w:szCs w:val="16"/>
        </w:rPr>
        <w:t xml:space="preserve"> </w:t>
      </w:r>
      <w:r w:rsidRPr="00012F57">
        <w:rPr>
          <w:rFonts w:ascii="Verdana" w:hAnsi="Verdana" w:cs="Verdana"/>
          <w:i/>
          <w:iCs/>
          <w:sz w:val="16"/>
          <w:szCs w:val="16"/>
        </w:rPr>
        <w:t xml:space="preserve">Caso </w:t>
      </w:r>
      <w:r>
        <w:rPr>
          <w:rFonts w:ascii="Verdana" w:hAnsi="Verdana" w:cs="Verdana"/>
          <w:i/>
          <w:iCs/>
          <w:sz w:val="16"/>
          <w:szCs w:val="16"/>
        </w:rPr>
        <w:t>del Tribunal Constitucional</w:t>
      </w:r>
      <w:r>
        <w:rPr>
          <w:rFonts w:ascii="Verdana" w:hAnsi="Verdana" w:cs="Verdana"/>
          <w:iCs/>
          <w:sz w:val="16"/>
          <w:szCs w:val="16"/>
        </w:rPr>
        <w:t xml:space="preserve">, </w:t>
      </w:r>
      <w:r w:rsidRPr="00A0324F">
        <w:rPr>
          <w:rFonts w:ascii="Verdana" w:hAnsi="Verdana" w:cs="Verdana"/>
          <w:i/>
          <w:iCs/>
          <w:sz w:val="16"/>
          <w:szCs w:val="16"/>
        </w:rPr>
        <w:t>Competencia,</w:t>
      </w:r>
      <w:r>
        <w:rPr>
          <w:rFonts w:ascii="Verdana" w:hAnsi="Verdana" w:cs="Verdana"/>
          <w:iCs/>
          <w:sz w:val="16"/>
          <w:szCs w:val="16"/>
        </w:rPr>
        <w:t xml:space="preserve"> </w:t>
      </w:r>
      <w:r>
        <w:rPr>
          <w:rFonts w:ascii="Verdana" w:hAnsi="Verdana" w:cs="Verdana"/>
          <w:i/>
          <w:iCs/>
          <w:sz w:val="16"/>
          <w:szCs w:val="16"/>
        </w:rPr>
        <w:t>supra,</w:t>
      </w:r>
      <w:r>
        <w:rPr>
          <w:rFonts w:ascii="Verdana" w:hAnsi="Verdana" w:cs="Verdana"/>
          <w:iCs/>
          <w:sz w:val="16"/>
          <w:szCs w:val="16"/>
        </w:rPr>
        <w:t xml:space="preserve"> párr. 36 y </w:t>
      </w:r>
      <w:r>
        <w:rPr>
          <w:rFonts w:ascii="Verdana" w:hAnsi="Verdana" w:cs="Verdana"/>
          <w:i/>
          <w:iCs/>
          <w:sz w:val="16"/>
          <w:szCs w:val="16"/>
        </w:rPr>
        <w:t xml:space="preserve">Caso </w:t>
      </w:r>
      <w:proofErr w:type="spellStart"/>
      <w:r>
        <w:rPr>
          <w:rFonts w:ascii="Verdana" w:hAnsi="Verdana" w:cs="Verdana"/>
          <w:i/>
          <w:iCs/>
          <w:sz w:val="16"/>
          <w:szCs w:val="16"/>
        </w:rPr>
        <w:t>Rochac</w:t>
      </w:r>
      <w:proofErr w:type="spellEnd"/>
      <w:r>
        <w:rPr>
          <w:rFonts w:ascii="Verdana" w:hAnsi="Verdana" w:cs="Verdana"/>
          <w:i/>
          <w:iCs/>
          <w:sz w:val="16"/>
          <w:szCs w:val="16"/>
        </w:rPr>
        <w:t xml:space="preserve"> Hernández y otros Vs. El Salvador. Fondo, Reparaciones y Costas. </w:t>
      </w:r>
      <w:r>
        <w:rPr>
          <w:rFonts w:ascii="Verdana" w:hAnsi="Verdana" w:cs="Verdana"/>
          <w:iCs/>
          <w:sz w:val="16"/>
          <w:szCs w:val="16"/>
        </w:rPr>
        <w:t xml:space="preserve">Sentencia de 14 de octubre de 2014. Serie C No. 285, párr. 162. </w:t>
      </w:r>
    </w:p>
  </w:footnote>
  <w:footnote w:id="275">
    <w:p w14:paraId="0C704E9A" w14:textId="3B055242" w:rsidR="006B2C5D" w:rsidRPr="00A0324F" w:rsidRDefault="006B2C5D" w:rsidP="00B15331">
      <w:pPr>
        <w:pStyle w:val="FootnoteText"/>
        <w:rPr>
          <w:lang w:val="es-MX"/>
        </w:rPr>
      </w:pPr>
      <w:r w:rsidRPr="00514304">
        <w:rPr>
          <w:rStyle w:val="FootnoteReference"/>
          <w:sz w:val="16"/>
        </w:rPr>
        <w:footnoteRef/>
      </w:r>
      <w:r w:rsidRPr="00514304">
        <w:t xml:space="preserve"> </w:t>
      </w:r>
      <w:r w:rsidRPr="00514304">
        <w:tab/>
      </w:r>
      <w:r w:rsidRPr="007361E0">
        <w:rPr>
          <w:i/>
        </w:rPr>
        <w:t>Cfr.</w:t>
      </w:r>
      <w:r w:rsidRPr="007361E0">
        <w:t xml:space="preserve"> </w:t>
      </w:r>
      <w:r w:rsidRPr="007361E0">
        <w:rPr>
          <w:i/>
        </w:rPr>
        <w:t xml:space="preserve">Caso Mejía </w:t>
      </w:r>
      <w:proofErr w:type="spellStart"/>
      <w:r w:rsidRPr="007361E0">
        <w:rPr>
          <w:i/>
        </w:rPr>
        <w:t>Idrovo</w:t>
      </w:r>
      <w:proofErr w:type="spellEnd"/>
      <w:r>
        <w:rPr>
          <w:i/>
        </w:rPr>
        <w:t>, supra</w:t>
      </w:r>
      <w:r w:rsidRPr="007361E0">
        <w:t xml:space="preserve">, párr. 105, citando </w:t>
      </w:r>
      <w:r w:rsidRPr="007361E0">
        <w:rPr>
          <w:rFonts w:cs="TimesNewRomanPS-ItalicMT"/>
          <w:iCs/>
          <w:lang w:val="es-CR"/>
        </w:rPr>
        <w:t xml:space="preserve">T.E.D.H., </w:t>
      </w:r>
      <w:r w:rsidRPr="007361E0">
        <w:rPr>
          <w:i/>
        </w:rPr>
        <w:t xml:space="preserve">Caso </w:t>
      </w:r>
      <w:proofErr w:type="spellStart"/>
      <w:r w:rsidRPr="007361E0">
        <w:rPr>
          <w:i/>
          <w:iCs/>
        </w:rPr>
        <w:t>Matheus</w:t>
      </w:r>
      <w:proofErr w:type="spellEnd"/>
      <w:r w:rsidRPr="007361E0">
        <w:rPr>
          <w:i/>
          <w:iCs/>
        </w:rPr>
        <w:t xml:space="preserve"> Vs. Francia</w:t>
      </w:r>
      <w:r w:rsidRPr="007361E0">
        <w:t xml:space="preserve">, (No. </w:t>
      </w:r>
      <w:r w:rsidRPr="007361E0">
        <w:rPr>
          <w:iCs/>
        </w:rPr>
        <w:t>62740/01),</w:t>
      </w:r>
      <w:r w:rsidRPr="007361E0">
        <w:t xml:space="preserve"> Sentencia de 31 de marzo de 2005, párr. 58. Según los estándares elaborados por el Comité Consultivo de Jueces Europeos (CCJE), un órgano consultivo del Comité de Ministros del Consejo de Europa en las materias relativas a la independencia, la imparcialidad y la competencia profesional de los jueces, “la ejecución de las decisiones de justicia debe ser equitativa, rápida, efectiva y proporcionada” (</w:t>
      </w:r>
      <w:r w:rsidRPr="007361E0">
        <w:rPr>
          <w:i/>
        </w:rPr>
        <w:t xml:space="preserve">Cfr. </w:t>
      </w:r>
      <w:proofErr w:type="spellStart"/>
      <w:r w:rsidRPr="007361E0">
        <w:rPr>
          <w:bCs/>
        </w:rPr>
        <w:t>Opini</w:t>
      </w:r>
      <w:r w:rsidRPr="007361E0">
        <w:rPr>
          <w:bCs/>
          <w:lang w:val="es-CR"/>
        </w:rPr>
        <w:t>ó</w:t>
      </w:r>
      <w:proofErr w:type="spellEnd"/>
      <w:r w:rsidRPr="007361E0">
        <w:rPr>
          <w:bCs/>
        </w:rPr>
        <w:t xml:space="preserve">n No. 13 (2010), </w:t>
      </w:r>
      <w:proofErr w:type="spellStart"/>
      <w:r w:rsidRPr="007361E0">
        <w:rPr>
          <w:bCs/>
          <w:i/>
        </w:rPr>
        <w:t>On</w:t>
      </w:r>
      <w:proofErr w:type="spellEnd"/>
      <w:r w:rsidRPr="007361E0">
        <w:rPr>
          <w:bCs/>
          <w:i/>
        </w:rPr>
        <w:t xml:space="preserve"> </w:t>
      </w:r>
      <w:proofErr w:type="spellStart"/>
      <w:r w:rsidRPr="007361E0">
        <w:rPr>
          <w:bCs/>
          <w:i/>
        </w:rPr>
        <w:t>the</w:t>
      </w:r>
      <w:proofErr w:type="spellEnd"/>
      <w:r w:rsidRPr="007361E0">
        <w:rPr>
          <w:bCs/>
          <w:i/>
        </w:rPr>
        <w:t xml:space="preserve"> role of </w:t>
      </w:r>
      <w:proofErr w:type="spellStart"/>
      <w:r w:rsidRPr="007361E0">
        <w:rPr>
          <w:bCs/>
          <w:i/>
        </w:rPr>
        <w:t>judges</w:t>
      </w:r>
      <w:proofErr w:type="spellEnd"/>
      <w:r w:rsidRPr="007361E0">
        <w:rPr>
          <w:bCs/>
          <w:i/>
        </w:rPr>
        <w:t xml:space="preserve"> in </w:t>
      </w:r>
      <w:proofErr w:type="spellStart"/>
      <w:r w:rsidRPr="007361E0">
        <w:rPr>
          <w:bCs/>
          <w:i/>
        </w:rPr>
        <w:t>the</w:t>
      </w:r>
      <w:proofErr w:type="spellEnd"/>
      <w:r w:rsidRPr="007361E0">
        <w:rPr>
          <w:bCs/>
          <w:i/>
        </w:rPr>
        <w:t xml:space="preserve"> </w:t>
      </w:r>
      <w:proofErr w:type="spellStart"/>
      <w:r w:rsidRPr="007361E0">
        <w:rPr>
          <w:bCs/>
          <w:i/>
        </w:rPr>
        <w:t>enforcement</w:t>
      </w:r>
      <w:proofErr w:type="spellEnd"/>
      <w:r w:rsidRPr="007361E0">
        <w:rPr>
          <w:bCs/>
          <w:i/>
        </w:rPr>
        <w:t xml:space="preserve"> of judicial </w:t>
      </w:r>
      <w:proofErr w:type="spellStart"/>
      <w:r w:rsidRPr="007361E0">
        <w:rPr>
          <w:bCs/>
          <w:i/>
        </w:rPr>
        <w:t>decisions</w:t>
      </w:r>
      <w:proofErr w:type="spellEnd"/>
      <w:r w:rsidRPr="007361E0">
        <w:rPr>
          <w:bCs/>
        </w:rPr>
        <w:t xml:space="preserve">. </w:t>
      </w:r>
      <w:r w:rsidRPr="007361E0">
        <w:t xml:space="preserve">Disponible en: </w:t>
      </w:r>
      <w:hyperlink r:id="rId41" w:history="1">
        <w:r w:rsidRPr="007361E0">
          <w:t>https://wcd.coe.int/wcd/ViewDoc.jsp?Ref=CCJE(2010)2&amp;Language=lanEnglish&amp;Ver=original&amp;BackColorInternet=DBDCF2&amp;BackColorIntranet=FDC864&amp;BackColorLogged=FDC864</w:t>
        </w:r>
      </w:hyperlink>
      <w:r w:rsidRPr="007361E0">
        <w:t>.</w:t>
      </w:r>
    </w:p>
  </w:footnote>
  <w:footnote w:id="276">
    <w:p w14:paraId="0C704E9B" w14:textId="7A1EEF2B" w:rsidR="006B2C5D" w:rsidRPr="00E86D69" w:rsidRDefault="006B2C5D" w:rsidP="00E86D69">
      <w:pPr>
        <w:tabs>
          <w:tab w:val="left" w:pos="142"/>
        </w:tabs>
        <w:jc w:val="both"/>
        <w:rPr>
          <w:rFonts w:ascii="Verdana" w:eastAsia="Times New Roman" w:hAnsi="Verdana"/>
          <w:spacing w:val="-2"/>
          <w:sz w:val="16"/>
          <w:szCs w:val="16"/>
          <w:lang w:val="es-CR" w:eastAsia="es-ES"/>
        </w:rPr>
      </w:pPr>
      <w:r w:rsidRPr="00E86D69">
        <w:rPr>
          <w:rStyle w:val="FootnoteReference"/>
          <w:sz w:val="16"/>
          <w:szCs w:val="16"/>
        </w:rPr>
        <w:footnoteRef/>
      </w:r>
      <w:r w:rsidRPr="00E86D69">
        <w:rPr>
          <w:rFonts w:ascii="Verdana" w:hAnsi="Verdana"/>
          <w:sz w:val="16"/>
          <w:szCs w:val="16"/>
        </w:rPr>
        <w:t xml:space="preserve"> </w:t>
      </w:r>
      <w:r>
        <w:rPr>
          <w:rFonts w:ascii="Verdana" w:hAnsi="Verdana"/>
          <w:sz w:val="16"/>
          <w:szCs w:val="16"/>
        </w:rPr>
        <w:tab/>
      </w:r>
      <w:r w:rsidRPr="00E86D69">
        <w:rPr>
          <w:rFonts w:ascii="Verdana" w:hAnsi="Verdana"/>
          <w:sz w:val="16"/>
          <w:szCs w:val="16"/>
        </w:rPr>
        <w:t xml:space="preserve">Los Estados deben </w:t>
      </w:r>
      <w:r w:rsidRPr="00E86D69">
        <w:rPr>
          <w:rFonts w:ascii="Verdana" w:eastAsia="Times New Roman" w:hAnsi="Verdana"/>
          <w:sz w:val="16"/>
          <w:szCs w:val="16"/>
        </w:rPr>
        <w:t xml:space="preserve">garantizar </w:t>
      </w:r>
      <w:r>
        <w:rPr>
          <w:rFonts w:ascii="Verdana" w:eastAsia="Times New Roman" w:hAnsi="Verdana"/>
          <w:sz w:val="16"/>
          <w:szCs w:val="16"/>
        </w:rPr>
        <w:t xml:space="preserve">a los pueblos indígenas y tribales </w:t>
      </w:r>
      <w:r w:rsidRPr="00E86D69">
        <w:rPr>
          <w:rFonts w:ascii="Verdana" w:eastAsia="Times New Roman" w:hAnsi="Verdana"/>
          <w:sz w:val="16"/>
          <w:szCs w:val="16"/>
        </w:rPr>
        <w:t xml:space="preserve">el acceso físico a </w:t>
      </w:r>
      <w:r w:rsidRPr="00E86D69">
        <w:rPr>
          <w:rFonts w:ascii="Verdana" w:hAnsi="Verdana"/>
          <w:sz w:val="16"/>
          <w:szCs w:val="16"/>
        </w:rPr>
        <w:t>las instituciones administrativas y judiciales, o a</w:t>
      </w:r>
      <w:r w:rsidRPr="00E86D69">
        <w:rPr>
          <w:rFonts w:ascii="Verdana" w:eastAsia="Times New Roman" w:hAnsi="Verdana"/>
          <w:sz w:val="16"/>
          <w:szCs w:val="16"/>
        </w:rPr>
        <w:t xml:space="preserve"> los centros de administración de justicia encargados de las investigaciones, así como</w:t>
      </w:r>
      <w:r w:rsidRPr="00E86D69">
        <w:rPr>
          <w:rFonts w:ascii="Verdana" w:eastAsia="Times New Roman" w:hAnsi="Verdana"/>
          <w:sz w:val="16"/>
          <w:szCs w:val="16"/>
          <w:lang w:val="es-CR"/>
        </w:rPr>
        <w:t xml:space="preserve"> </w:t>
      </w:r>
      <w:r>
        <w:rPr>
          <w:rFonts w:ascii="Verdana" w:eastAsia="Times New Roman" w:hAnsi="Verdana"/>
          <w:sz w:val="16"/>
          <w:szCs w:val="16"/>
          <w:lang w:val="es-CR"/>
        </w:rPr>
        <w:t>garantizar su participación</w:t>
      </w:r>
      <w:r w:rsidRPr="00E86D69">
        <w:rPr>
          <w:rFonts w:ascii="Verdana" w:eastAsia="Times New Roman" w:hAnsi="Verdana"/>
          <w:sz w:val="16"/>
          <w:szCs w:val="16"/>
          <w:lang w:val="es-CR"/>
        </w:rPr>
        <w:t xml:space="preserve"> en </w:t>
      </w:r>
      <w:r w:rsidRPr="00E86D69">
        <w:rPr>
          <w:rFonts w:ascii="Verdana" w:hAnsi="Verdana"/>
          <w:sz w:val="16"/>
          <w:szCs w:val="16"/>
        </w:rPr>
        <w:t>la tramitación de los procesos judiciales, administrativos o de cualquier otra índole,</w:t>
      </w:r>
      <w:r w:rsidRPr="00E86D69">
        <w:rPr>
          <w:rFonts w:ascii="Verdana" w:eastAsia="Times New Roman" w:hAnsi="Verdana"/>
          <w:sz w:val="16"/>
          <w:szCs w:val="16"/>
        </w:rPr>
        <w:t xml:space="preserve"> </w:t>
      </w:r>
      <w:r w:rsidRPr="00E86D69">
        <w:rPr>
          <w:rFonts w:ascii="Verdana" w:eastAsia="Times New Roman" w:hAnsi="Verdana"/>
          <w:sz w:val="16"/>
          <w:szCs w:val="16"/>
          <w:lang w:val="es-CR"/>
        </w:rPr>
        <w:t xml:space="preserve">sin que ello </w:t>
      </w:r>
      <w:r>
        <w:rPr>
          <w:rFonts w:ascii="Verdana" w:eastAsia="Times New Roman" w:hAnsi="Verdana"/>
          <w:sz w:val="16"/>
          <w:szCs w:val="16"/>
          <w:lang w:val="es-CR"/>
        </w:rPr>
        <w:t>les genere a dichos pueblos</w:t>
      </w:r>
      <w:r w:rsidRPr="00E86D69">
        <w:rPr>
          <w:rFonts w:ascii="Verdana" w:eastAsia="Times New Roman" w:hAnsi="Verdana"/>
          <w:sz w:val="16"/>
          <w:szCs w:val="16"/>
          <w:lang w:val="es-CR"/>
        </w:rPr>
        <w:t xml:space="preserve"> </w:t>
      </w:r>
      <w:r w:rsidRPr="00E86D69">
        <w:rPr>
          <w:rFonts w:ascii="Verdana" w:eastAsia="Times New Roman" w:hAnsi="Verdana"/>
          <w:sz w:val="16"/>
          <w:szCs w:val="16"/>
        </w:rPr>
        <w:t>hacer esfuerzos desmedidos o exagerados, ya sea debido a las distancias</w:t>
      </w:r>
      <w:r>
        <w:rPr>
          <w:rFonts w:ascii="Verdana" w:eastAsia="Times New Roman" w:hAnsi="Verdana"/>
          <w:sz w:val="16"/>
          <w:szCs w:val="16"/>
        </w:rPr>
        <w:t>,</w:t>
      </w:r>
      <w:r w:rsidRPr="00E86D69">
        <w:rPr>
          <w:rFonts w:ascii="Verdana" w:eastAsia="Times New Roman" w:hAnsi="Verdana"/>
          <w:sz w:val="16"/>
          <w:szCs w:val="16"/>
        </w:rPr>
        <w:t xml:space="preserve"> a las vías de acceso a dichas instituciones, o a</w:t>
      </w:r>
      <w:r w:rsidRPr="00E86D69">
        <w:rPr>
          <w:rFonts w:ascii="Verdana" w:hAnsi="Verdana"/>
          <w:sz w:val="16"/>
          <w:szCs w:val="16"/>
        </w:rPr>
        <w:t xml:space="preserve"> los altos costos en virtud de los procedimientos</w:t>
      </w:r>
      <w:r>
        <w:rPr>
          <w:rFonts w:ascii="Verdana" w:hAnsi="Verdana"/>
          <w:sz w:val="16"/>
          <w:szCs w:val="16"/>
        </w:rPr>
        <w:t xml:space="preserve">. </w:t>
      </w:r>
      <w:r w:rsidRPr="00E86D69">
        <w:rPr>
          <w:rStyle w:val="Strong"/>
          <w:rFonts w:ascii="Verdana" w:hAnsi="Verdana"/>
          <w:b w:val="0"/>
          <w:i/>
          <w:sz w:val="16"/>
          <w:szCs w:val="16"/>
        </w:rPr>
        <w:t xml:space="preserve">Cfr. Mutatis </w:t>
      </w:r>
      <w:proofErr w:type="spellStart"/>
      <w:r>
        <w:rPr>
          <w:rStyle w:val="Strong"/>
          <w:rFonts w:ascii="Verdana" w:hAnsi="Verdana"/>
          <w:b w:val="0"/>
          <w:i/>
          <w:sz w:val="16"/>
          <w:szCs w:val="16"/>
        </w:rPr>
        <w:t>M</w:t>
      </w:r>
      <w:r w:rsidRPr="00E86D69">
        <w:rPr>
          <w:rStyle w:val="Strong"/>
          <w:rFonts w:ascii="Verdana" w:hAnsi="Verdana"/>
          <w:b w:val="0"/>
          <w:i/>
          <w:sz w:val="16"/>
          <w:szCs w:val="16"/>
        </w:rPr>
        <w:t>utandi</w:t>
      </w:r>
      <w:proofErr w:type="spellEnd"/>
      <w:r>
        <w:rPr>
          <w:rStyle w:val="Strong"/>
          <w:rFonts w:ascii="Verdana" w:hAnsi="Verdana"/>
          <w:b w:val="0"/>
          <w:i/>
          <w:sz w:val="16"/>
          <w:szCs w:val="16"/>
        </w:rPr>
        <w:t>,</w:t>
      </w:r>
      <w:r w:rsidRPr="00E86D69">
        <w:rPr>
          <w:rStyle w:val="Strong"/>
          <w:rFonts w:ascii="Verdana" w:hAnsi="Verdana"/>
          <w:b w:val="0"/>
          <w:i/>
          <w:sz w:val="16"/>
          <w:szCs w:val="16"/>
        </w:rPr>
        <w:t xml:space="preserve"> </w:t>
      </w:r>
      <w:r w:rsidRPr="00286EBD">
        <w:rPr>
          <w:rStyle w:val="Strong"/>
          <w:rFonts w:ascii="Verdana" w:hAnsi="Verdana"/>
          <w:b w:val="0"/>
          <w:i/>
          <w:sz w:val="16"/>
          <w:szCs w:val="16"/>
          <w:lang w:val="es-ES"/>
        </w:rPr>
        <w:t xml:space="preserve">Caso </w:t>
      </w:r>
      <w:proofErr w:type="spellStart"/>
      <w:r w:rsidRPr="00286EBD">
        <w:rPr>
          <w:rStyle w:val="Strong"/>
          <w:rFonts w:ascii="Verdana" w:hAnsi="Verdana"/>
          <w:b w:val="0"/>
          <w:i/>
          <w:sz w:val="16"/>
          <w:szCs w:val="16"/>
          <w:lang w:val="es-ES"/>
        </w:rPr>
        <w:t>Tiu</w:t>
      </w:r>
      <w:proofErr w:type="spellEnd"/>
      <w:r w:rsidRPr="00286EBD">
        <w:rPr>
          <w:rStyle w:val="Strong"/>
          <w:rFonts w:ascii="Verdana" w:hAnsi="Verdana"/>
          <w:b w:val="0"/>
          <w:i/>
          <w:sz w:val="16"/>
          <w:szCs w:val="16"/>
          <w:lang w:val="es-ES"/>
        </w:rPr>
        <w:t xml:space="preserve"> </w:t>
      </w:r>
      <w:proofErr w:type="spellStart"/>
      <w:r w:rsidRPr="00286EBD">
        <w:rPr>
          <w:rStyle w:val="Strong"/>
          <w:rFonts w:ascii="Verdana" w:hAnsi="Verdana"/>
          <w:b w:val="0"/>
          <w:i/>
          <w:sz w:val="16"/>
          <w:szCs w:val="16"/>
          <w:lang w:val="es-ES"/>
        </w:rPr>
        <w:t>Tojín</w:t>
      </w:r>
      <w:proofErr w:type="spellEnd"/>
      <w:r w:rsidRPr="00286EBD">
        <w:rPr>
          <w:rStyle w:val="Strong"/>
          <w:rFonts w:ascii="Verdana" w:hAnsi="Verdana"/>
          <w:b w:val="0"/>
          <w:i/>
          <w:sz w:val="16"/>
          <w:szCs w:val="16"/>
          <w:lang w:val="es-ES"/>
        </w:rPr>
        <w:t xml:space="preserve"> Vs. Guatemala. Fondo, Reparaciones y Costas.</w:t>
      </w:r>
      <w:r w:rsidRPr="00286EBD">
        <w:rPr>
          <w:rStyle w:val="Strong"/>
          <w:rFonts w:ascii="Verdana" w:hAnsi="Verdana"/>
          <w:b w:val="0"/>
          <w:sz w:val="16"/>
          <w:szCs w:val="16"/>
          <w:lang w:val="es-ES"/>
        </w:rPr>
        <w:t xml:space="preserve"> Sentencia de 26 de nov</w:t>
      </w:r>
      <w:r>
        <w:rPr>
          <w:rStyle w:val="Strong"/>
          <w:rFonts w:ascii="Verdana" w:hAnsi="Verdana"/>
          <w:b w:val="0"/>
          <w:sz w:val="16"/>
          <w:szCs w:val="16"/>
          <w:lang w:val="es-ES"/>
        </w:rPr>
        <w:t xml:space="preserve">iembre de 2008. Serie C No. 190, </w:t>
      </w:r>
      <w:r w:rsidRPr="00E86D69">
        <w:rPr>
          <w:rStyle w:val="Strong"/>
          <w:rFonts w:ascii="Verdana" w:hAnsi="Verdana"/>
          <w:b w:val="0"/>
          <w:sz w:val="16"/>
          <w:szCs w:val="16"/>
        </w:rPr>
        <w:t>párr. 100.</w:t>
      </w:r>
    </w:p>
  </w:footnote>
  <w:footnote w:id="277">
    <w:p w14:paraId="0C704E9C" w14:textId="37B08E89" w:rsidR="006B2C5D" w:rsidRPr="00286EBD" w:rsidRDefault="006B2C5D" w:rsidP="00286EBD">
      <w:pPr>
        <w:tabs>
          <w:tab w:val="left" w:pos="142"/>
        </w:tabs>
        <w:jc w:val="both"/>
        <w:rPr>
          <w:rFonts w:ascii="Verdana" w:hAnsi="Verdana"/>
          <w:bCs/>
          <w:sz w:val="16"/>
          <w:szCs w:val="16"/>
          <w:lang w:val="es-CR"/>
        </w:rPr>
      </w:pPr>
      <w:r w:rsidRPr="00514304">
        <w:rPr>
          <w:rStyle w:val="FootnoteReference"/>
          <w:sz w:val="16"/>
          <w:szCs w:val="16"/>
        </w:rPr>
        <w:footnoteRef/>
      </w:r>
      <w:r w:rsidRPr="00E86D69">
        <w:rPr>
          <w:rFonts w:ascii="Verdana" w:hAnsi="Verdana"/>
          <w:sz w:val="16"/>
          <w:szCs w:val="16"/>
        </w:rPr>
        <w:t xml:space="preserve"> </w:t>
      </w:r>
      <w:r w:rsidRPr="00E86D69">
        <w:rPr>
          <w:rFonts w:ascii="Verdana" w:hAnsi="Verdana"/>
          <w:sz w:val="16"/>
          <w:szCs w:val="16"/>
        </w:rPr>
        <w:tab/>
      </w:r>
      <w:r w:rsidRPr="00286EBD">
        <w:rPr>
          <w:rFonts w:ascii="Verdana" w:hAnsi="Verdana"/>
          <w:sz w:val="16"/>
          <w:szCs w:val="16"/>
        </w:rPr>
        <w:t xml:space="preserve">Los Estados deben </w:t>
      </w:r>
      <w:r w:rsidRPr="00286EBD">
        <w:rPr>
          <w:rFonts w:ascii="Verdana" w:eastAsia="Times New Roman" w:hAnsi="Verdana"/>
          <w:sz w:val="16"/>
          <w:szCs w:val="16"/>
        </w:rPr>
        <w:t xml:space="preserve">asegurar que </w:t>
      </w:r>
      <w:r w:rsidRPr="00286EBD">
        <w:rPr>
          <w:rFonts w:ascii="Verdana" w:hAnsi="Verdana"/>
          <w:sz w:val="16"/>
          <w:szCs w:val="16"/>
        </w:rPr>
        <w:t>los miembros de la comunidad</w:t>
      </w:r>
      <w:r w:rsidRPr="00286EBD">
        <w:rPr>
          <w:rFonts w:ascii="Verdana" w:eastAsia="Times New Roman" w:hAnsi="Verdana"/>
          <w:sz w:val="16"/>
          <w:szCs w:val="16"/>
        </w:rPr>
        <w:t xml:space="preserve"> puedan comprender y hacerse comprender en los procedimientos legales iniciados, facilitándoles intérpretes u otros medios eficaces para tal fin.</w:t>
      </w:r>
      <w:r w:rsidRPr="00286EBD">
        <w:rPr>
          <w:rFonts w:ascii="Verdana" w:eastAsia="Times New Roman" w:hAnsi="Verdana"/>
          <w:spacing w:val="-2"/>
          <w:sz w:val="16"/>
          <w:szCs w:val="16"/>
          <w:lang w:val="es-CR" w:eastAsia="es-ES"/>
        </w:rPr>
        <w:t xml:space="preserve"> </w:t>
      </w:r>
      <w:r w:rsidRPr="00286EBD">
        <w:rPr>
          <w:rFonts w:ascii="Verdana" w:hAnsi="Verdana"/>
          <w:i/>
          <w:sz w:val="16"/>
          <w:szCs w:val="16"/>
        </w:rPr>
        <w:t>Cfr.</w:t>
      </w:r>
      <w:r w:rsidRPr="00286EBD">
        <w:rPr>
          <w:rFonts w:ascii="Verdana" w:hAnsi="Verdana"/>
          <w:b/>
          <w:sz w:val="16"/>
          <w:szCs w:val="16"/>
        </w:rPr>
        <w:t xml:space="preserve"> </w:t>
      </w:r>
      <w:r w:rsidRPr="00286EBD">
        <w:rPr>
          <w:rStyle w:val="Strong"/>
          <w:rFonts w:ascii="Verdana" w:hAnsi="Verdana"/>
          <w:b w:val="0"/>
          <w:i/>
          <w:sz w:val="16"/>
          <w:szCs w:val="16"/>
          <w:lang w:val="es-ES"/>
        </w:rPr>
        <w:t xml:space="preserve">Caso </w:t>
      </w:r>
      <w:proofErr w:type="spellStart"/>
      <w:r w:rsidRPr="00286EBD">
        <w:rPr>
          <w:rStyle w:val="Strong"/>
          <w:rFonts w:ascii="Verdana" w:hAnsi="Verdana"/>
          <w:b w:val="0"/>
          <w:i/>
          <w:sz w:val="16"/>
          <w:szCs w:val="16"/>
          <w:lang w:val="es-ES"/>
        </w:rPr>
        <w:t>Tiu</w:t>
      </w:r>
      <w:proofErr w:type="spellEnd"/>
      <w:r w:rsidRPr="00286EBD">
        <w:rPr>
          <w:rStyle w:val="Strong"/>
          <w:rFonts w:ascii="Verdana" w:hAnsi="Verdana"/>
          <w:b w:val="0"/>
          <w:i/>
          <w:sz w:val="16"/>
          <w:szCs w:val="16"/>
          <w:lang w:val="es-ES"/>
        </w:rPr>
        <w:t xml:space="preserve"> </w:t>
      </w:r>
      <w:proofErr w:type="spellStart"/>
      <w:r w:rsidRPr="00286EBD">
        <w:rPr>
          <w:rStyle w:val="Strong"/>
          <w:rFonts w:ascii="Verdana" w:hAnsi="Verdana"/>
          <w:b w:val="0"/>
          <w:i/>
          <w:sz w:val="16"/>
          <w:szCs w:val="16"/>
          <w:lang w:val="es-ES"/>
        </w:rPr>
        <w:t>Tojín</w:t>
      </w:r>
      <w:proofErr w:type="spellEnd"/>
      <w:r>
        <w:rPr>
          <w:rStyle w:val="Strong"/>
          <w:rFonts w:ascii="Verdana" w:hAnsi="Verdana"/>
          <w:b w:val="0"/>
          <w:i/>
          <w:sz w:val="16"/>
          <w:szCs w:val="16"/>
          <w:lang w:val="es-ES"/>
        </w:rPr>
        <w:t>, supra</w:t>
      </w:r>
      <w:proofErr w:type="gramStart"/>
      <w:r>
        <w:rPr>
          <w:rStyle w:val="Strong"/>
          <w:rFonts w:ascii="Verdana" w:hAnsi="Verdana"/>
          <w:b w:val="0"/>
          <w:i/>
          <w:sz w:val="16"/>
          <w:szCs w:val="16"/>
          <w:lang w:val="es-ES"/>
        </w:rPr>
        <w:t>,</w:t>
      </w:r>
      <w:r w:rsidRPr="00286EBD">
        <w:rPr>
          <w:rStyle w:val="Strong"/>
          <w:rFonts w:ascii="Verdana" w:hAnsi="Verdana"/>
          <w:b w:val="0"/>
          <w:sz w:val="16"/>
          <w:szCs w:val="16"/>
          <w:lang w:val="es-ES"/>
        </w:rPr>
        <w:t>,</w:t>
      </w:r>
      <w:proofErr w:type="gramEnd"/>
      <w:r w:rsidRPr="00286EBD">
        <w:rPr>
          <w:rStyle w:val="Strong"/>
          <w:rFonts w:ascii="Verdana" w:hAnsi="Verdana"/>
          <w:b w:val="0"/>
          <w:sz w:val="16"/>
          <w:szCs w:val="16"/>
          <w:lang w:val="es-ES"/>
        </w:rPr>
        <w:t xml:space="preserve"> </w:t>
      </w:r>
      <w:proofErr w:type="spellStart"/>
      <w:r w:rsidRPr="00286EBD">
        <w:rPr>
          <w:rStyle w:val="Strong"/>
          <w:rFonts w:ascii="Verdana" w:hAnsi="Verdana"/>
          <w:b w:val="0"/>
          <w:sz w:val="16"/>
          <w:szCs w:val="16"/>
          <w:lang w:val="es-ES"/>
        </w:rPr>
        <w:t>párrs</w:t>
      </w:r>
      <w:proofErr w:type="spellEnd"/>
      <w:r w:rsidRPr="00286EBD">
        <w:rPr>
          <w:rStyle w:val="Strong"/>
          <w:rFonts w:ascii="Verdana" w:hAnsi="Verdana"/>
          <w:b w:val="0"/>
          <w:sz w:val="16"/>
          <w:szCs w:val="16"/>
          <w:lang w:val="es-ES"/>
        </w:rPr>
        <w:t>. 92 y 100</w:t>
      </w:r>
      <w:r>
        <w:rPr>
          <w:rStyle w:val="Strong"/>
          <w:rFonts w:ascii="Verdana" w:hAnsi="Verdana"/>
          <w:b w:val="0"/>
          <w:sz w:val="16"/>
          <w:szCs w:val="16"/>
          <w:lang w:val="es-ES"/>
        </w:rPr>
        <w:t>;</w:t>
      </w:r>
      <w:r w:rsidRPr="00286EBD">
        <w:rPr>
          <w:rStyle w:val="Strong"/>
          <w:rFonts w:ascii="Verdana" w:hAnsi="Verdana"/>
          <w:b w:val="0"/>
          <w:sz w:val="16"/>
          <w:szCs w:val="16"/>
          <w:lang w:val="es-ES"/>
        </w:rPr>
        <w:t xml:space="preserve"> </w:t>
      </w:r>
      <w:r w:rsidRPr="00286EBD">
        <w:rPr>
          <w:rStyle w:val="Strong"/>
          <w:rFonts w:ascii="Verdana" w:hAnsi="Verdana"/>
          <w:b w:val="0"/>
          <w:i/>
          <w:sz w:val="16"/>
          <w:szCs w:val="16"/>
          <w:lang w:val="es-ES"/>
        </w:rPr>
        <w:t>Caso Fernández Ortega y otros Vs. México. Excepción Preliminar, Fondo, Reparaciones y Costas.</w:t>
      </w:r>
      <w:r w:rsidRPr="00286EBD">
        <w:rPr>
          <w:rStyle w:val="Strong"/>
          <w:rFonts w:ascii="Verdana" w:hAnsi="Verdana"/>
          <w:b w:val="0"/>
          <w:sz w:val="16"/>
          <w:szCs w:val="16"/>
          <w:lang w:val="es-ES"/>
        </w:rPr>
        <w:t xml:space="preserve"> </w:t>
      </w:r>
      <w:r w:rsidRPr="00286EBD">
        <w:rPr>
          <w:rStyle w:val="Strong"/>
          <w:rFonts w:ascii="Verdana" w:hAnsi="Verdana"/>
          <w:b w:val="0"/>
          <w:sz w:val="16"/>
          <w:szCs w:val="16"/>
          <w:lang w:val="es-CR"/>
        </w:rPr>
        <w:t xml:space="preserve">Sentencia de 30 de agosto de 2010 Serie C No. 215, párrs. 200 a 201, y </w:t>
      </w:r>
      <w:r w:rsidRPr="00286EBD">
        <w:rPr>
          <w:rStyle w:val="Strong"/>
          <w:rFonts w:ascii="Verdana" w:hAnsi="Verdana"/>
          <w:b w:val="0"/>
          <w:i/>
          <w:sz w:val="16"/>
          <w:szCs w:val="16"/>
          <w:lang w:val="es-ES"/>
        </w:rPr>
        <w:t xml:space="preserve">Caso Rosendo Cantú y otra Vs. México. Excepción Preliminar, Fondo, Reparaciones y Costas. </w:t>
      </w:r>
      <w:r w:rsidRPr="00286EBD">
        <w:rPr>
          <w:rStyle w:val="Strong"/>
          <w:rFonts w:ascii="Verdana" w:hAnsi="Verdana"/>
          <w:b w:val="0"/>
          <w:sz w:val="16"/>
          <w:szCs w:val="16"/>
          <w:lang w:val="es-CR"/>
        </w:rPr>
        <w:t xml:space="preserve">Sentencia de 31 de agosto de 2010 Serie C No. 216, párrs. 184 a 185. Asimismo, </w:t>
      </w:r>
      <w:r w:rsidRPr="00286EBD">
        <w:rPr>
          <w:rStyle w:val="Strong"/>
          <w:rFonts w:ascii="Verdana" w:hAnsi="Verdana"/>
          <w:b w:val="0"/>
          <w:sz w:val="16"/>
          <w:szCs w:val="16"/>
        </w:rPr>
        <w:t>el artículo 12 del</w:t>
      </w:r>
      <w:r w:rsidRPr="00286EBD">
        <w:rPr>
          <w:rStyle w:val="Strong"/>
          <w:rFonts w:ascii="Verdana" w:hAnsi="Verdana"/>
          <w:sz w:val="16"/>
          <w:szCs w:val="16"/>
        </w:rPr>
        <w:t xml:space="preserve"> </w:t>
      </w:r>
      <w:r w:rsidRPr="00286EBD">
        <w:rPr>
          <w:rFonts w:ascii="Verdana" w:hAnsi="Verdana"/>
          <w:sz w:val="16"/>
          <w:szCs w:val="16"/>
        </w:rPr>
        <w:t>Convenio 169 de la OIT señala que “</w:t>
      </w:r>
      <w:r w:rsidRPr="00286EBD">
        <w:rPr>
          <w:rFonts w:ascii="Verdana" w:hAnsi="Verdana" w:cs="Verdana"/>
          <w:sz w:val="16"/>
          <w:szCs w:val="16"/>
          <w:lang w:val="es-MX"/>
        </w:rPr>
        <w:t>[l]os pueblos interesados deberán tener protección contra la violación de sus derechos, y poder iniciar procedimientos legales, sea personalmente o bien por conducto de sus organismos representativos, para asegurar el respeto efectivo de tales derechos. Deberán tomarse medidas para garantizar que los miembros de dichos pueblos puedan comprender y hacerse comprender en procedimientos legales, facilitándoles si fuere necesario, intérpretes u otros medios eficaces”.</w:t>
      </w:r>
    </w:p>
  </w:footnote>
  <w:footnote w:id="278">
    <w:p w14:paraId="0C704E9E" w14:textId="6CA1CA0D" w:rsidR="006B2C5D" w:rsidRDefault="006B2C5D" w:rsidP="00B15331">
      <w:pPr>
        <w:pStyle w:val="FootnoteText"/>
      </w:pPr>
      <w:r w:rsidRPr="00514304">
        <w:rPr>
          <w:rStyle w:val="FootnoteReference"/>
          <w:sz w:val="16"/>
        </w:rPr>
        <w:footnoteRef/>
      </w:r>
      <w:r w:rsidRPr="00514304">
        <w:t xml:space="preserve"> </w:t>
      </w:r>
      <w:r w:rsidRPr="00514304">
        <w:tab/>
        <w:t>El artículo 110 de la Ley de Propiedad de 2004 señala que “[e]l conocimiento de los asuntos atribuidos por esta Ley a órganos jurisdiccionales corresponderá a los Juzgados de Letras de lo Civil y se sujetará al procedimiento especial siguiente: 1. Presentada la demanda por escrito se resolverá su admisión en el término de dos (2) días o se ordenará que la misma se subsane en el término de tres (3) días hábiles; 2. Admitida la demanda, se citará y emplazará al demandado para que la conteste en el término de tres (3) días hábiles. 3. Contestada la demanda señalará audiencia, la cual se realizará dentro de los cinco (5) días hábiles siguientes de la contestación. 4. En dicha audiencia las partes podrán imponer los incidentes y oponer las defensas y excepciones que estimen pertinentes, acto seguido se procederá a la proposición y evacuación de pruebas; 5. De no ser posible evacuar en el mismo acto toda la prueba propuesta por las partes, se suspenderá la audiencia cuantas veces sea necesario hasta concluir con la evacuación de toda la prueba propuesta sin que la misma pueda exceder de un plazo de treinta (30) días hábiles; y, 6. Cerrada la audiencia, al Juez señalará dentro del término de cinco (5) días hábiles audiencia de juzgamiento en la cual podrá pronunciarse sobre la cuestión principal e incidentes o excepciones propuestos. Las actuaciones posteriores a la contestación de la demanda se notificarán a las partes por estrados, debiendo el Juzgado impulsar de oficio la sustanciación del proceso.</w:t>
      </w:r>
      <w:r>
        <w:t xml:space="preserve"> Por su parte, e</w:t>
      </w:r>
      <w:r w:rsidRPr="00514304">
        <w:t>l artículo 111 de la Ley de Propiedad de 2004 señala que “[c]</w:t>
      </w:r>
      <w:proofErr w:type="spellStart"/>
      <w:r w:rsidRPr="00514304">
        <w:t>ontra</w:t>
      </w:r>
      <w:proofErr w:type="spellEnd"/>
      <w:r w:rsidRPr="00514304">
        <w:t xml:space="preserve"> la sentencia referida solamente procederá el Recurso de Casación </w:t>
      </w:r>
      <w:r w:rsidRPr="00565486">
        <w:rPr>
          <w:i/>
        </w:rPr>
        <w:t xml:space="preserve">per </w:t>
      </w:r>
      <w:proofErr w:type="spellStart"/>
      <w:r w:rsidRPr="00565486">
        <w:rPr>
          <w:i/>
        </w:rPr>
        <w:t>saltum</w:t>
      </w:r>
      <w:proofErr w:type="spellEnd"/>
      <w:r w:rsidRPr="00514304">
        <w:t xml:space="preserve"> ante la Corte Suprema de Justicia”</w:t>
      </w:r>
      <w:r>
        <w:t xml:space="preserve"> (expediente de prueba, folios 2315 a 2316).</w:t>
      </w:r>
    </w:p>
  </w:footnote>
  <w:footnote w:id="279">
    <w:p w14:paraId="0C704E9F" w14:textId="519E5503" w:rsidR="006B2C5D" w:rsidRDefault="006B2C5D" w:rsidP="00B15331">
      <w:pPr>
        <w:pStyle w:val="FootnoteText"/>
      </w:pPr>
      <w:r w:rsidRPr="00ED79DB">
        <w:rPr>
          <w:rStyle w:val="FootnoteReference"/>
          <w:sz w:val="16"/>
        </w:rPr>
        <w:footnoteRef/>
      </w:r>
      <w:r w:rsidRPr="00ED79DB">
        <w:t xml:space="preserve"> </w:t>
      </w:r>
      <w:r w:rsidRPr="00ED79DB">
        <w:tab/>
        <w:t xml:space="preserve">La Corte constató que los hechos relacionados con dichas violaciones </w:t>
      </w:r>
      <w:r w:rsidRPr="00ED79DB">
        <w:rPr>
          <w:lang w:val="es-MX"/>
        </w:rPr>
        <w:t xml:space="preserve">fueron puestos en conocimiento de la Comisión y trasladados al Estado para las respectivas observaciones. </w:t>
      </w:r>
      <w:r w:rsidRPr="00ED79DB">
        <w:rPr>
          <w:i/>
        </w:rPr>
        <w:t>Cfr</w:t>
      </w:r>
      <w:r w:rsidRPr="00ED79DB">
        <w:t>. Escrito de los peticionarios presentado ante la Comisión el 14 de junio de 2007 (expediente de prueba, folios 788 y 789); comunicación de la Comisión solicitando información al Estado de 15 de junio de 2007 (expediente de prueba, folio 787), y escrito del Estado presentado ante la Comisión el 3 de julio de 2007 (expediente de prueba, folios 697 y 698).</w:t>
      </w:r>
    </w:p>
  </w:footnote>
  <w:footnote w:id="280">
    <w:p w14:paraId="0C704EA0" w14:textId="12DEB052" w:rsidR="006B2C5D" w:rsidRDefault="006B2C5D" w:rsidP="00B15331">
      <w:pPr>
        <w:pStyle w:val="FootnoteText"/>
      </w:pPr>
      <w:r w:rsidRPr="00ED79DB">
        <w:rPr>
          <w:rStyle w:val="FootnoteReference"/>
          <w:sz w:val="16"/>
        </w:rPr>
        <w:footnoteRef/>
      </w:r>
      <w:r w:rsidRPr="00ED79DB">
        <w:t xml:space="preserve">  </w:t>
      </w:r>
      <w:r w:rsidRPr="00ED79DB">
        <w:tab/>
      </w:r>
      <w:r w:rsidRPr="00565486">
        <w:rPr>
          <w:i/>
        </w:rPr>
        <w:t>Cfr. Caso “Cinco Pensionistas”, supra,</w:t>
      </w:r>
      <w:r w:rsidRPr="00ED79DB">
        <w:t xml:space="preserve"> párr. 155, y </w:t>
      </w:r>
      <w:r w:rsidRPr="00ED79DB">
        <w:rPr>
          <w:rStyle w:val="Strong"/>
          <w:b w:val="0"/>
          <w:i/>
          <w:color w:val="000000"/>
          <w:shd w:val="clear" w:color="auto" w:fill="FFFFFF"/>
        </w:rPr>
        <w:t xml:space="preserve">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Style w:val="Strong"/>
          <w:b w:val="0"/>
          <w:color w:val="000000"/>
          <w:shd w:val="clear" w:color="auto" w:fill="FFFFFF"/>
        </w:rPr>
        <w:t>, párr. 37.</w:t>
      </w:r>
    </w:p>
  </w:footnote>
  <w:footnote w:id="281">
    <w:p w14:paraId="0C704EA1" w14:textId="7FD25F04" w:rsidR="006B2C5D" w:rsidRDefault="006B2C5D" w:rsidP="00B15331">
      <w:pPr>
        <w:pStyle w:val="FootnoteText"/>
      </w:pPr>
      <w:r w:rsidRPr="00ED79DB">
        <w:rPr>
          <w:rStyle w:val="FootnoteReference"/>
          <w:sz w:val="16"/>
        </w:rPr>
        <w:footnoteRef/>
      </w:r>
      <w:r w:rsidRPr="00ED79DB">
        <w:t xml:space="preserve"> </w:t>
      </w:r>
      <w:r w:rsidRPr="00ED79DB">
        <w:tab/>
        <w:t xml:space="preserve">En dicha Acta se dejó constancia que “se han venido presentando problemas que no solamente significan la disputa por la tierra, sino que ponen en peligro la integridad física y algunos bienes de los habitantes de las comunidades”. </w:t>
      </w:r>
      <w:r w:rsidRPr="00ED79DB">
        <w:rPr>
          <w:i/>
        </w:rPr>
        <w:t>Cfr</w:t>
      </w:r>
      <w:r w:rsidRPr="00ED79DB">
        <w:t xml:space="preserve">. Acta de compromiso de 13 de diciembre de </w:t>
      </w:r>
      <w:r w:rsidRPr="00514304">
        <w:t>2001</w:t>
      </w:r>
      <w:r>
        <w:t xml:space="preserve">, </w:t>
      </w:r>
      <w:r w:rsidRPr="00A44D92">
        <w:rPr>
          <w:i/>
        </w:rPr>
        <w:t>supra</w:t>
      </w:r>
      <w:r w:rsidRPr="00ED79DB">
        <w:t xml:space="preserve"> (expediente de prueba, folio 26).</w:t>
      </w:r>
    </w:p>
  </w:footnote>
  <w:footnote w:id="282">
    <w:p w14:paraId="0C704EA2" w14:textId="7FE8988A" w:rsidR="006B2C5D" w:rsidRDefault="006B2C5D" w:rsidP="00B15331">
      <w:pPr>
        <w:pStyle w:val="FootnoteText"/>
      </w:pPr>
      <w:r w:rsidRPr="00ED79DB">
        <w:rPr>
          <w:rStyle w:val="FootnoteReference"/>
          <w:sz w:val="16"/>
        </w:rPr>
        <w:footnoteRef/>
      </w:r>
      <w:r w:rsidRPr="00ED79DB">
        <w:t xml:space="preserve"> </w:t>
      </w:r>
      <w:r w:rsidRPr="00ED79DB">
        <w:tab/>
        <w:t>En dicha declaración señaló que “[t]</w:t>
      </w:r>
      <w:proofErr w:type="spellStart"/>
      <w:r w:rsidRPr="00ED79DB">
        <w:t>odos</w:t>
      </w:r>
      <w:proofErr w:type="spellEnd"/>
      <w:r w:rsidRPr="00ED79DB">
        <w:t xml:space="preserve"> los días los hijos de la comunidad son perseguidos por los </w:t>
      </w:r>
      <w:proofErr w:type="gramStart"/>
      <w:r w:rsidRPr="00ED79DB">
        <w:t>invasores[</w:t>
      </w:r>
      <w:proofErr w:type="gramEnd"/>
      <w:r w:rsidRPr="00ED79DB">
        <w:t>.] Persiguieron a [su] papá para matarlo con armas de alto calibre” (expediente de fondo, folio 26).</w:t>
      </w:r>
    </w:p>
  </w:footnote>
  <w:footnote w:id="283">
    <w:p w14:paraId="0C704EA3" w14:textId="01078531" w:rsidR="006B2C5D" w:rsidRDefault="006B2C5D" w:rsidP="00B15331">
      <w:pPr>
        <w:pStyle w:val="FootnoteText"/>
      </w:pPr>
      <w:r w:rsidRPr="00ED79DB">
        <w:rPr>
          <w:rStyle w:val="FootnoteReference"/>
          <w:sz w:val="16"/>
        </w:rPr>
        <w:footnoteRef/>
      </w:r>
      <w:r w:rsidRPr="00ED79DB">
        <w:t xml:space="preserve"> </w:t>
      </w:r>
      <w:r w:rsidRPr="00ED79DB">
        <w:tab/>
        <w:t>En dicha declaración señaló que “[c]</w:t>
      </w:r>
      <w:proofErr w:type="spellStart"/>
      <w:r w:rsidRPr="00ED79DB">
        <w:t>uando</w:t>
      </w:r>
      <w:proofErr w:type="spellEnd"/>
      <w:r w:rsidRPr="00ED79DB">
        <w:t xml:space="preserve"> </w:t>
      </w:r>
      <w:proofErr w:type="spellStart"/>
      <w:proofErr w:type="gramStart"/>
      <w:r w:rsidRPr="00ED79DB">
        <w:t>recibi</w:t>
      </w:r>
      <w:proofErr w:type="spellEnd"/>
      <w:r w:rsidRPr="00ED79DB">
        <w:t>[</w:t>
      </w:r>
      <w:proofErr w:type="spellStart"/>
      <w:proofErr w:type="gramEnd"/>
      <w:r w:rsidRPr="00ED79DB">
        <w:t>eron</w:t>
      </w:r>
      <w:proofErr w:type="spellEnd"/>
      <w:r w:rsidRPr="00ED79DB">
        <w:t>] la noticia que allí estaban los invasores [fueron] a conversar con ellos de buena manera, [pero] ellos dijeron que [los] iban a matar” (expediente de fondo, folio 18).</w:t>
      </w:r>
    </w:p>
  </w:footnote>
  <w:footnote w:id="284">
    <w:p w14:paraId="0C704EA4" w14:textId="7EF7E58B" w:rsidR="006B2C5D" w:rsidRDefault="006B2C5D" w:rsidP="00B15331">
      <w:pPr>
        <w:pStyle w:val="FootnoteText"/>
      </w:pPr>
      <w:r w:rsidRPr="00ED79DB">
        <w:rPr>
          <w:rStyle w:val="FootnoteReference"/>
          <w:sz w:val="16"/>
        </w:rPr>
        <w:footnoteRef/>
      </w:r>
      <w:r w:rsidRPr="00ED79DB">
        <w:t xml:space="preserve"> </w:t>
      </w:r>
      <w:r w:rsidRPr="00ED79DB">
        <w:tab/>
        <w:t>Al respecto la Comisión indicó que “dentro de este contexto de conflictividad, se denunció el asesinato del miembro de la Comunidad Garífuna de Punta Piedra Félix Ordóñez Suazo, en junio de 2007, hecho que fue puesto en conocimiento de la autoridad, tanto ante Dirección General de Investigación Criminal, como la Fiscalía Especial de Etnias y Patrimonio, entidades ante las cuales estaría pendiente la investigación” (expediente de fondo, folio 26).</w:t>
      </w:r>
    </w:p>
  </w:footnote>
  <w:footnote w:id="285">
    <w:p w14:paraId="0C704EA5" w14:textId="072E0FA1" w:rsidR="006B2C5D" w:rsidRDefault="006B2C5D" w:rsidP="00B15331">
      <w:pPr>
        <w:pStyle w:val="FootnoteText"/>
        <w:rPr>
          <w:iCs/>
        </w:rPr>
      </w:pPr>
      <w:r w:rsidRPr="00ED79DB">
        <w:rPr>
          <w:rStyle w:val="FootnoteReference"/>
          <w:rFonts w:eastAsia="MS Gothic"/>
          <w:spacing w:val="-4"/>
          <w:sz w:val="16"/>
        </w:rPr>
        <w:footnoteRef/>
      </w:r>
      <w:r w:rsidRPr="00ED79DB">
        <w:t xml:space="preserve"> </w:t>
      </w:r>
      <w:r w:rsidRPr="00ED79DB">
        <w:tab/>
      </w:r>
      <w:r w:rsidRPr="00A0324F">
        <w:rPr>
          <w:i/>
        </w:rPr>
        <w:t xml:space="preserve">Cfr. Caso de la "Masacre de </w:t>
      </w:r>
      <w:proofErr w:type="spellStart"/>
      <w:r w:rsidRPr="00A0324F">
        <w:rPr>
          <w:i/>
        </w:rPr>
        <w:t>Mapiripán</w:t>
      </w:r>
      <w:proofErr w:type="spellEnd"/>
      <w:r w:rsidRPr="00A0324F">
        <w:rPr>
          <w:i/>
        </w:rPr>
        <w:t xml:space="preserve">" Vs. Colombia. </w:t>
      </w:r>
      <w:r w:rsidRPr="00ED79DB">
        <w:t xml:space="preserve">Sentencia de 15 de septiembre de 2005. Serie C No. 134,  párr. 111, y </w:t>
      </w:r>
      <w:r w:rsidRPr="00ED79DB">
        <w:rPr>
          <w:rStyle w:val="Strong"/>
          <w:b w:val="0"/>
          <w:i/>
          <w:color w:val="000000"/>
          <w:shd w:val="clear" w:color="auto" w:fill="FFFFFF"/>
        </w:rPr>
        <w:t xml:space="preserve">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Style w:val="Strong"/>
          <w:b w:val="0"/>
          <w:color w:val="000000"/>
          <w:shd w:val="clear" w:color="auto" w:fill="FFFFFF"/>
        </w:rPr>
        <w:t>, párr. 170.</w:t>
      </w:r>
    </w:p>
  </w:footnote>
  <w:footnote w:id="286">
    <w:p w14:paraId="0C704EA6" w14:textId="0D1A549B" w:rsidR="006B2C5D" w:rsidRDefault="006B2C5D" w:rsidP="00B15331">
      <w:pPr>
        <w:pStyle w:val="FootnoteText"/>
      </w:pPr>
      <w:r w:rsidRPr="00ED79DB">
        <w:rPr>
          <w:rStyle w:val="FootnoteReference"/>
          <w:rFonts w:eastAsia="MS Gothic"/>
          <w:spacing w:val="-4"/>
          <w:sz w:val="16"/>
        </w:rPr>
        <w:footnoteRef/>
      </w:r>
      <w:r w:rsidRPr="00ED79DB">
        <w:t xml:space="preserve"> </w:t>
      </w:r>
      <w:r w:rsidRPr="00ED79DB">
        <w:tab/>
      </w:r>
      <w:r w:rsidRPr="00565486">
        <w:rPr>
          <w:i/>
        </w:rPr>
        <w:t>Cfr. Caso de la Masacre de Pueblo Bello Vs. Colombia. Fondo, Reparaciones y Costas.</w:t>
      </w:r>
      <w:r w:rsidRPr="00ED79DB">
        <w:t xml:space="preserve"> Sentencia de 31 de enero de 2006. Serie C No. 140, párr. 123, y </w:t>
      </w:r>
      <w:r w:rsidRPr="00ED79DB">
        <w:rPr>
          <w:rStyle w:val="Strong"/>
          <w:b w:val="0"/>
          <w:i/>
          <w:color w:val="000000"/>
          <w:shd w:val="clear" w:color="auto" w:fill="FFFFFF"/>
        </w:rPr>
        <w:t xml:space="preserve">Gonzales </w:t>
      </w:r>
      <w:proofErr w:type="spellStart"/>
      <w:r w:rsidRPr="00ED79DB">
        <w:rPr>
          <w:rStyle w:val="Strong"/>
          <w:b w:val="0"/>
          <w:i/>
          <w:color w:val="000000"/>
          <w:shd w:val="clear" w:color="auto" w:fill="FFFFFF"/>
        </w:rPr>
        <w:t>Lluy</w:t>
      </w:r>
      <w:proofErr w:type="spellEnd"/>
      <w:r w:rsidRPr="00ED79DB">
        <w:rPr>
          <w:rStyle w:val="Strong"/>
          <w:b w:val="0"/>
          <w:i/>
          <w:color w:val="000000"/>
          <w:shd w:val="clear" w:color="auto" w:fill="FFFFFF"/>
        </w:rPr>
        <w:t xml:space="preserve"> y otros</w:t>
      </w:r>
      <w:r>
        <w:rPr>
          <w:rStyle w:val="Strong"/>
          <w:b w:val="0"/>
          <w:i/>
          <w:color w:val="000000"/>
          <w:shd w:val="clear" w:color="auto" w:fill="FFFFFF"/>
        </w:rPr>
        <w:t>, supra</w:t>
      </w:r>
      <w:r w:rsidRPr="00ED79DB">
        <w:rPr>
          <w:rStyle w:val="Strong"/>
          <w:b w:val="0"/>
          <w:color w:val="000000"/>
          <w:shd w:val="clear" w:color="auto" w:fill="FFFFFF"/>
        </w:rPr>
        <w:t>, párr. 170.</w:t>
      </w:r>
    </w:p>
  </w:footnote>
  <w:footnote w:id="287">
    <w:p w14:paraId="0C704EA7" w14:textId="08F79B55" w:rsidR="006B2C5D" w:rsidRDefault="006B2C5D" w:rsidP="00B15331">
      <w:pPr>
        <w:pStyle w:val="FootnoteText"/>
        <w:rPr>
          <w:rFonts w:eastAsia="Times New Roman"/>
        </w:rPr>
      </w:pPr>
      <w:r w:rsidRPr="00ED79DB">
        <w:rPr>
          <w:rStyle w:val="FootnoteReference"/>
          <w:sz w:val="16"/>
        </w:rPr>
        <w:footnoteRef/>
      </w:r>
      <w:r w:rsidRPr="00ED79DB">
        <w:t xml:space="preserve"> </w:t>
      </w:r>
      <w:r w:rsidRPr="00ED79DB">
        <w:tab/>
      </w:r>
      <w:r w:rsidRPr="00565486">
        <w:rPr>
          <w:i/>
        </w:rPr>
        <w:t>Cfr. Caso de los “Niños de la Calle” (Villagrán Morales y otros), supra,</w:t>
      </w:r>
      <w:r>
        <w:t xml:space="preserve"> </w:t>
      </w:r>
      <w:r w:rsidRPr="00ED79DB">
        <w:t xml:space="preserve">párr. 144, y </w:t>
      </w:r>
      <w:r w:rsidRPr="00565486">
        <w:rPr>
          <w:i/>
        </w:rPr>
        <w:t xml:space="preserve">Caso </w:t>
      </w:r>
      <w:proofErr w:type="spellStart"/>
      <w:r w:rsidRPr="00565486">
        <w:rPr>
          <w:i/>
        </w:rPr>
        <w:t>Artavia</w:t>
      </w:r>
      <w:proofErr w:type="spellEnd"/>
      <w:r w:rsidRPr="00565486">
        <w:rPr>
          <w:i/>
        </w:rPr>
        <w:t xml:space="preserve"> Murillo y otros (Fecundación in vitro) Vs. Costa Rica. Excepciones Preliminares, Fondo, Reparaciones y Costas.</w:t>
      </w:r>
      <w:r w:rsidRPr="00ED79DB">
        <w:t xml:space="preserve"> Sentencia de 28 noviembre de 2012 Serie C No. 257, párr. 172.</w:t>
      </w:r>
    </w:p>
  </w:footnote>
  <w:footnote w:id="288">
    <w:p w14:paraId="0C704EA9" w14:textId="2A664786" w:rsidR="006B2C5D" w:rsidRDefault="006B2C5D" w:rsidP="00B15331">
      <w:pPr>
        <w:pStyle w:val="FootnoteText"/>
      </w:pPr>
      <w:r w:rsidRPr="00ED79DB">
        <w:rPr>
          <w:rStyle w:val="FootnoteReference"/>
          <w:sz w:val="16"/>
        </w:rPr>
        <w:footnoteRef/>
      </w:r>
      <w:r w:rsidRPr="00ED79DB">
        <w:t xml:space="preserve"> </w:t>
      </w:r>
      <w:r w:rsidRPr="00ED79DB">
        <w:tab/>
      </w:r>
      <w:r w:rsidRPr="00565486">
        <w:rPr>
          <w:i/>
        </w:rPr>
        <w:t xml:space="preserve">Cfr. Caso Velásquez Rodríguez, Fondo, supra, </w:t>
      </w:r>
      <w:r w:rsidRPr="00ED79DB">
        <w:t xml:space="preserve">párrs. 134, 172 y 173, y </w:t>
      </w:r>
      <w:r w:rsidRPr="00ED79DB">
        <w:rPr>
          <w:rStyle w:val="Strong"/>
          <w:b w:val="0"/>
          <w:i/>
          <w:color w:val="000000"/>
          <w:shd w:val="clear" w:color="auto" w:fill="FFFFFF"/>
        </w:rPr>
        <w:t xml:space="preserve">Caso Cruz Sánchez y otros Vs. Perú. Excepciones Preliminares, Fondo, Reparaciones y Costas. </w:t>
      </w:r>
      <w:r w:rsidRPr="00ED79DB">
        <w:rPr>
          <w:rStyle w:val="Strong"/>
          <w:b w:val="0"/>
          <w:color w:val="000000"/>
          <w:shd w:val="clear" w:color="auto" w:fill="FFFFFF"/>
        </w:rPr>
        <w:t>Sentencia de 17 de abril de 20</w:t>
      </w:r>
      <w:r>
        <w:rPr>
          <w:rStyle w:val="Strong"/>
          <w:b w:val="0"/>
          <w:color w:val="000000"/>
          <w:shd w:val="clear" w:color="auto" w:fill="FFFFFF"/>
        </w:rPr>
        <w:t>15. Serie C No. 292, párr. 280.</w:t>
      </w:r>
    </w:p>
  </w:footnote>
  <w:footnote w:id="289">
    <w:p w14:paraId="0C704EAA" w14:textId="3C792186" w:rsidR="006B2C5D" w:rsidRDefault="006B2C5D" w:rsidP="00B15331">
      <w:pPr>
        <w:pStyle w:val="FootnoteText"/>
      </w:pPr>
      <w:r w:rsidRPr="00ED79DB">
        <w:rPr>
          <w:rStyle w:val="FootnoteReference"/>
          <w:sz w:val="16"/>
        </w:rPr>
        <w:footnoteRef/>
      </w:r>
      <w:r w:rsidRPr="00ED79DB">
        <w:t xml:space="preserve"> </w:t>
      </w:r>
      <w:r w:rsidRPr="00ED79DB">
        <w:tab/>
      </w:r>
      <w:r w:rsidRPr="00565486">
        <w:rPr>
          <w:i/>
        </w:rPr>
        <w:t>Cfr. Caso de la Masacre de Pueblo Bello, supra,</w:t>
      </w:r>
      <w:r w:rsidRPr="00ED79DB">
        <w:t xml:space="preserve"> párr. 123, y </w:t>
      </w:r>
      <w:r w:rsidRPr="00ED79DB">
        <w:rPr>
          <w:rStyle w:val="Strong"/>
          <w:b w:val="0"/>
          <w:i/>
          <w:color w:val="000000"/>
          <w:shd w:val="clear" w:color="auto" w:fill="FFFFFF"/>
        </w:rPr>
        <w:t>Caso Rodríguez Vera y otros (Desaparecidos del Palacio de Justicia</w:t>
      </w:r>
      <w:r>
        <w:rPr>
          <w:rStyle w:val="Strong"/>
          <w:b w:val="0"/>
          <w:i/>
          <w:color w:val="000000"/>
          <w:shd w:val="clear" w:color="auto" w:fill="FFFFFF"/>
        </w:rPr>
        <w:t>), supra</w:t>
      </w:r>
      <w:r w:rsidRPr="00ED79DB">
        <w:rPr>
          <w:rStyle w:val="Strong"/>
          <w:b w:val="0"/>
          <w:i/>
          <w:color w:val="000000"/>
          <w:shd w:val="clear" w:color="auto" w:fill="FFFFFF"/>
        </w:rPr>
        <w:t xml:space="preserve">, </w:t>
      </w:r>
      <w:r w:rsidRPr="00ED79DB">
        <w:rPr>
          <w:rStyle w:val="Strong"/>
          <w:b w:val="0"/>
          <w:color w:val="000000"/>
          <w:shd w:val="clear" w:color="auto" w:fill="FFFFFF"/>
        </w:rPr>
        <w:t>párr. 523.</w:t>
      </w:r>
    </w:p>
  </w:footnote>
  <w:footnote w:id="290">
    <w:p w14:paraId="0C704EAB" w14:textId="0E07DD10" w:rsidR="006B2C5D" w:rsidRDefault="006B2C5D" w:rsidP="00B15331">
      <w:pPr>
        <w:pStyle w:val="FootnoteText"/>
        <w:rPr>
          <w:lang w:val="es-CR"/>
        </w:rPr>
      </w:pPr>
      <w:r w:rsidRPr="00ED79DB">
        <w:rPr>
          <w:rStyle w:val="FootnoteReference"/>
          <w:sz w:val="16"/>
        </w:rPr>
        <w:footnoteRef/>
      </w:r>
      <w:r w:rsidRPr="00ED79DB">
        <w:t xml:space="preserve"> </w:t>
      </w:r>
      <w:r w:rsidRPr="00ED79DB">
        <w:rPr>
          <w:lang w:val="es-CR"/>
        </w:rPr>
        <w:tab/>
      </w:r>
      <w:r w:rsidRPr="00565486">
        <w:rPr>
          <w:i/>
          <w:lang w:val="es-CR"/>
        </w:rPr>
        <w:t xml:space="preserve">Cfr. </w:t>
      </w:r>
      <w:r w:rsidRPr="00565486">
        <w:rPr>
          <w:i/>
        </w:rPr>
        <w:t xml:space="preserve">Caso Comunidad Indígena </w:t>
      </w:r>
      <w:proofErr w:type="spellStart"/>
      <w:r w:rsidRPr="00565486">
        <w:rPr>
          <w:i/>
        </w:rPr>
        <w:t>Xákmok</w:t>
      </w:r>
      <w:proofErr w:type="spellEnd"/>
      <w:r w:rsidRPr="00565486">
        <w:rPr>
          <w:i/>
        </w:rPr>
        <w:t xml:space="preserve"> </w:t>
      </w:r>
      <w:proofErr w:type="spellStart"/>
      <w:r w:rsidRPr="00565486">
        <w:rPr>
          <w:i/>
        </w:rPr>
        <w:t>Kásek</w:t>
      </w:r>
      <w:proofErr w:type="spellEnd"/>
      <w:r w:rsidRPr="00565486">
        <w:rPr>
          <w:i/>
        </w:rPr>
        <w:t>, supra,</w:t>
      </w:r>
      <w:r w:rsidRPr="00ED79DB">
        <w:t xml:space="preserve"> párr. 227.</w:t>
      </w:r>
    </w:p>
  </w:footnote>
  <w:footnote w:id="291">
    <w:p w14:paraId="0C704EAC" w14:textId="405AFD99"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xml:space="preserve">. Declaración de Nieves Oswaldo Bonifacio Castillo de 3 de julio de 2007 (expediente de prueba, folio 1539); declaración de Marcos Bonifacio Castillo de 5 de julio de 2007 (expediente de prueba, folio 1545); declaración de Marcial Martínez Suazo de 14 de julio de 2007 (expediente de prueba, folio 1537); declaración de Armando Castillo Núñez de 21 de agosto de 2014 (expediente de fondo, folio 462); declaración de Dionisia Ávila Castillo de 20 de agosto de 2014 (expediente de fondo, folio 465); declaración de </w:t>
      </w:r>
      <w:proofErr w:type="spellStart"/>
      <w:r w:rsidRPr="00ED79DB">
        <w:t>Edelberta</w:t>
      </w:r>
      <w:proofErr w:type="spellEnd"/>
      <w:r w:rsidRPr="00ED79DB">
        <w:t xml:space="preserve"> Ávila Castillo de 21 de agosto de 2014 (expediente de fondo, folio 466); declaración de Edito Suazo Ávila de 21 de agosto de 2014 (expediente de fondo, folio 469); declaración de Joaquín Thomas Rodríguez de 21 agosto de 2014 (expediente de fondo, folio 472); declaración de Santos Ávila Castillo de 21 de agosto de 2014 (expediente de fondo, folio 476); declaración de Santos Celi Suazo Castillo de 21 de agosto de 2014 (expediente de fondo, folio 478); declaración de Antonio Bernárdez Suazo de 20 de agosto de 2014 (expediente de fondo, folio 481); declaración de Paulino Mejía Castillo de 21 de agosto de 2014 (expediente de fondo, folio 494); declaración de Lidia Palacios rendida durante la audiencia pública celebrada ante la Corte Interamericana el 2 de septiembre de 2014; declaración de Doroteo Thomas Rodríguez rendida durante la audiencia pública celebrada ante la Corte Interamericana el 2 de septiembre de 2014, y declaraciones de Dionisia Castillo Ávila, Edito Suazo, Benito Bernárdez, Eduarda Ávila, y Joaquín Thomas durante la diligencia </w:t>
      </w:r>
      <w:r w:rsidRPr="00ED79DB">
        <w:rPr>
          <w:i/>
        </w:rPr>
        <w:t>in situ</w:t>
      </w:r>
      <w:r w:rsidRPr="00ED79DB">
        <w:t xml:space="preserve"> celebrada el 25 de agosto de 2015 (expediente de fondo, folio 1127). </w:t>
      </w:r>
    </w:p>
  </w:footnote>
  <w:footnote w:id="292">
    <w:p w14:paraId="0C704EAD" w14:textId="77777777" w:rsidR="006B2C5D" w:rsidRDefault="006B2C5D" w:rsidP="00B15331">
      <w:pPr>
        <w:pStyle w:val="FootnoteText"/>
      </w:pPr>
      <w:r w:rsidRPr="00ED79DB">
        <w:rPr>
          <w:rStyle w:val="FootnoteReference"/>
          <w:sz w:val="16"/>
        </w:rPr>
        <w:footnoteRef/>
      </w:r>
      <w:r w:rsidRPr="00ED79DB">
        <w:t xml:space="preserve"> </w:t>
      </w:r>
      <w:r w:rsidRPr="00ED79DB">
        <w:tab/>
        <w:t>Declaración de Armando Castillo Núñez de 21 de agosto de 2014 (expediente de fondo, folio 462).</w:t>
      </w:r>
    </w:p>
  </w:footnote>
  <w:footnote w:id="293">
    <w:p w14:paraId="0C704EAE" w14:textId="77777777" w:rsidR="006B2C5D" w:rsidRDefault="006B2C5D" w:rsidP="00B15331">
      <w:pPr>
        <w:pStyle w:val="FootnoteText"/>
      </w:pPr>
      <w:r w:rsidRPr="00ED79DB">
        <w:rPr>
          <w:rStyle w:val="FootnoteReference"/>
          <w:sz w:val="16"/>
        </w:rPr>
        <w:footnoteRef/>
      </w:r>
      <w:r w:rsidRPr="00ED79DB">
        <w:t xml:space="preserve"> </w:t>
      </w:r>
      <w:r w:rsidRPr="00ED79DB">
        <w:tab/>
        <w:t>Declaración de Paulino Mejía Castillo de 21 de agosto de 2014 (expediente de fondo, folios 494 y 495).</w:t>
      </w:r>
    </w:p>
  </w:footnote>
  <w:footnote w:id="294">
    <w:p w14:paraId="0C704EAF" w14:textId="77777777" w:rsidR="006B2C5D" w:rsidRDefault="006B2C5D" w:rsidP="00B15331">
      <w:pPr>
        <w:pStyle w:val="FootnoteText"/>
      </w:pPr>
      <w:r w:rsidRPr="00ED79DB">
        <w:rPr>
          <w:rStyle w:val="FootnoteReference"/>
          <w:sz w:val="16"/>
        </w:rPr>
        <w:footnoteRef/>
      </w:r>
      <w:r w:rsidRPr="00ED79DB">
        <w:t xml:space="preserve"> </w:t>
      </w:r>
      <w:r w:rsidRPr="00ED79DB">
        <w:tab/>
        <w:t>Conformada por representantes del Instituto Nacional Agrario, el Comisionado Nacional de Derechos Humanos y la Pastoral Social de la Diócesis de Trujillo (</w:t>
      </w:r>
      <w:r w:rsidRPr="00A0324F">
        <w:rPr>
          <w:i/>
        </w:rPr>
        <w:t>supra</w:t>
      </w:r>
      <w:r w:rsidRPr="00ED79DB">
        <w:t xml:space="preserve"> párr. 113).</w:t>
      </w:r>
    </w:p>
  </w:footnote>
  <w:footnote w:id="295">
    <w:p w14:paraId="0C704EB0" w14:textId="7DBFAF85" w:rsidR="006B2C5D" w:rsidRDefault="006B2C5D" w:rsidP="00B15331">
      <w:pPr>
        <w:pStyle w:val="FootnoteText"/>
      </w:pPr>
      <w:r w:rsidRPr="00ED79DB">
        <w:rPr>
          <w:rStyle w:val="FootnoteReference"/>
          <w:sz w:val="16"/>
        </w:rPr>
        <w:footnoteRef/>
      </w:r>
      <w:r w:rsidRPr="00ED79DB">
        <w:t xml:space="preserve"> </w:t>
      </w:r>
      <w:r w:rsidRPr="00ED79DB">
        <w:tab/>
        <w:t xml:space="preserve">La Corte verificó que el delito de usurpación contemplado en el Código Penal de Honduras establece lo siguiente: “Artículo 227. Quien usurpe un bien inmueble o un derecho real será sancionado con reclusión de dos (2) a cuatro (4) años, sin perjuicio de que tan pronto como se acredite en autos el derecho correspondiente, el juez que conoce de la causa ordene el desalojo del bien de que se trate o el reintegro del derecho usurpado”. Disponible en: </w:t>
      </w:r>
      <w:hyperlink r:id="rId42" w:history="1">
        <w:r w:rsidRPr="00ED79DB">
          <w:rPr>
            <w:rStyle w:val="Hyperlink"/>
            <w:lang w:val="es-CR"/>
          </w:rPr>
          <w:t>http://www.ccit.hn/wp-content/uploads/2013/12/Codigo-Pena-Honduras.pdf</w:t>
        </w:r>
      </w:hyperlink>
      <w:r w:rsidRPr="00ED79DB">
        <w:rPr>
          <w:rStyle w:val="Hyperlink"/>
          <w:lang w:val="es-CR"/>
        </w:rPr>
        <w:t>.</w:t>
      </w:r>
      <w:r w:rsidRPr="00ED79DB">
        <w:t xml:space="preserve"> </w:t>
      </w:r>
    </w:p>
  </w:footnote>
  <w:footnote w:id="296">
    <w:p w14:paraId="0C704EB1" w14:textId="77777777" w:rsidR="006B2C5D" w:rsidRDefault="006B2C5D" w:rsidP="00B15331">
      <w:pPr>
        <w:pStyle w:val="FootnoteText"/>
      </w:pPr>
      <w:r w:rsidRPr="00ED79DB">
        <w:rPr>
          <w:rStyle w:val="FootnoteReference"/>
          <w:sz w:val="16"/>
        </w:rPr>
        <w:footnoteRef/>
      </w:r>
      <w:r w:rsidRPr="00ED79DB">
        <w:t xml:space="preserve"> </w:t>
      </w:r>
      <w:r w:rsidRPr="00ED79DB">
        <w:tab/>
      </w:r>
      <w:r w:rsidRPr="00ED79DB">
        <w:rPr>
          <w:i/>
        </w:rPr>
        <w:t>Cfr</w:t>
      </w:r>
      <w:r w:rsidRPr="00ED79DB">
        <w:t>. Petición ante la Comisión de 29 de octubre de 2003 (expediente de prueba, folio 500).</w:t>
      </w:r>
    </w:p>
  </w:footnote>
  <w:footnote w:id="297">
    <w:p w14:paraId="0C704EB2" w14:textId="27DCD6FC" w:rsidR="006B2C5D" w:rsidRDefault="006B2C5D" w:rsidP="00B15331">
      <w:pPr>
        <w:pStyle w:val="FootnoteText"/>
      </w:pPr>
      <w:r w:rsidRPr="00ED79DB">
        <w:rPr>
          <w:rStyle w:val="FootnoteReference"/>
          <w:sz w:val="16"/>
        </w:rPr>
        <w:footnoteRef/>
      </w:r>
      <w:r w:rsidRPr="00ED79DB">
        <w:t xml:space="preserve"> </w:t>
      </w:r>
      <w:r w:rsidRPr="00ED79DB">
        <w:tab/>
        <w:t xml:space="preserve">A saber: 1) la Secretaria de Estado en el Despacho de Recursos Naturales y Ambiente; 2) el Secretario de Seguridad; 3) el Secretario de Relaciones Exteriores; 4) el Sub Procurador General de la República; 4) el Director del Fondo Hondureño de Inversión Social; 5) el Secretario de Turismo; 6) el Secretario de Estado de Obras Públicas, Transporte y Vivienda; 7) la Asistente de la Presidencia en Asuntos Sociales; 8) la Directora de Fiscales del Ministerio Público; 9) la Fiscalía de Etnias del Ministerio Público; 10) la Dirección General del Registro de la Propiedad; 11) el Director del Instituto Nacional Agrario, y 12) Sub Secretario de Gobernación y Justicia. </w:t>
      </w:r>
      <w:r w:rsidRPr="00A0324F">
        <w:rPr>
          <w:i/>
        </w:rPr>
        <w:t>Cfr</w:t>
      </w:r>
      <w:r w:rsidRPr="00ED79DB">
        <w:t>. Acta de entendimiento entre la OFRANEH y autoridades del Gobierno de la República, de 28 de septiembre de 2006 (expediente de prueba, folio 121).</w:t>
      </w:r>
    </w:p>
  </w:footnote>
  <w:footnote w:id="298">
    <w:p w14:paraId="0C704EB3" w14:textId="7DC4B270" w:rsidR="006B2C5D" w:rsidRDefault="006B2C5D" w:rsidP="00B15331">
      <w:pPr>
        <w:pStyle w:val="FootnoteText"/>
      </w:pPr>
      <w:r w:rsidRPr="00ED79DB">
        <w:rPr>
          <w:rStyle w:val="FootnoteReference"/>
          <w:sz w:val="16"/>
        </w:rPr>
        <w:footnoteRef/>
      </w:r>
      <w:r w:rsidRPr="00ED79DB">
        <w:t xml:space="preserve"> </w:t>
      </w:r>
      <w:r w:rsidRPr="00ED79DB">
        <w:tab/>
        <w:t xml:space="preserve">Respecto de Punta Piedra, la temática abordaba fue el cumplimiento de la aprobación de la partida presupuestaria para el saneamiento de Punta Piedra </w:t>
      </w:r>
      <w:r w:rsidRPr="00ED79DB">
        <w:rPr>
          <w:i/>
        </w:rPr>
        <w:t>Cfr</w:t>
      </w:r>
      <w:r w:rsidRPr="00ED79DB">
        <w:t>. Acta de entendimiento entre la OFRANEH y autoridades del Gobierno de la República, de 28 de septiembre de 2006 (expediente de prueba, folio 123).</w:t>
      </w:r>
    </w:p>
  </w:footnote>
  <w:footnote w:id="299">
    <w:p w14:paraId="0C704EB4" w14:textId="7DFE761C" w:rsidR="006B2C5D" w:rsidRDefault="006B2C5D" w:rsidP="00B15331">
      <w:pPr>
        <w:pStyle w:val="FootnoteText"/>
      </w:pPr>
      <w:r w:rsidRPr="00ED79DB">
        <w:rPr>
          <w:rStyle w:val="FootnoteReference"/>
          <w:sz w:val="16"/>
        </w:rPr>
        <w:footnoteRef/>
      </w:r>
      <w:r w:rsidRPr="00ED79DB">
        <w:t xml:space="preserve"> </w:t>
      </w:r>
      <w:r w:rsidRPr="00ED79DB">
        <w:tab/>
        <w:t xml:space="preserve">A saber: 1) el Instituto Nacional Agrario; 2) el Ministerio de Relaciones Exteriores; 3) la Secretaría de Seguridad, 4) la Corte Suprema de Justicia, y 5) la Alcaldía de </w:t>
      </w:r>
      <w:proofErr w:type="spellStart"/>
      <w:r w:rsidRPr="00ED79DB">
        <w:t>Iriona</w:t>
      </w:r>
      <w:proofErr w:type="spellEnd"/>
      <w:r w:rsidRPr="00ED79DB">
        <w:t xml:space="preserve"> Puerto. </w:t>
      </w:r>
      <w:r w:rsidRPr="00ED79DB">
        <w:rPr>
          <w:i/>
        </w:rPr>
        <w:t>Cfr</w:t>
      </w:r>
      <w:r w:rsidRPr="00ED79DB">
        <w:t xml:space="preserve">. Acta especial de 20 de abril de 2007 (expediente de prueba, folio 87). </w:t>
      </w:r>
    </w:p>
  </w:footnote>
  <w:footnote w:id="300">
    <w:p w14:paraId="0C704EB5" w14:textId="77777777" w:rsidR="006B2C5D" w:rsidRDefault="006B2C5D" w:rsidP="00B15331">
      <w:pPr>
        <w:pStyle w:val="FootnoteText"/>
      </w:pPr>
      <w:r w:rsidRPr="00ED79DB">
        <w:rPr>
          <w:rStyle w:val="FootnoteReference"/>
          <w:sz w:val="16"/>
        </w:rPr>
        <w:footnoteRef/>
      </w:r>
      <w:r w:rsidRPr="00ED79DB">
        <w:t xml:space="preserve"> </w:t>
      </w:r>
      <w:r w:rsidRPr="00ED79DB">
        <w:tab/>
      </w:r>
      <w:r w:rsidRPr="00A0324F">
        <w:rPr>
          <w:i/>
        </w:rPr>
        <w:t>Cfr</w:t>
      </w:r>
      <w:r w:rsidRPr="00ED79DB">
        <w:t>. Acta especial de 20 de abril de 2007 (expediente de prueba, folio 87).</w:t>
      </w:r>
    </w:p>
  </w:footnote>
  <w:footnote w:id="301">
    <w:p w14:paraId="0C704EB7" w14:textId="60B3025A" w:rsidR="006B2C5D" w:rsidRDefault="006B2C5D" w:rsidP="00B15331">
      <w:pPr>
        <w:pStyle w:val="FootnoteText"/>
      </w:pPr>
      <w:r w:rsidRPr="00ED79DB">
        <w:rPr>
          <w:rStyle w:val="FootnoteReference"/>
          <w:sz w:val="16"/>
        </w:rPr>
        <w:footnoteRef/>
      </w:r>
      <w:r w:rsidRPr="00ED79DB">
        <w:t xml:space="preserve"> </w:t>
      </w:r>
      <w:r w:rsidRPr="00ED79DB">
        <w:tab/>
        <w:t xml:space="preserve">A saber: 1) la Secretaría de Seguridad; 2) la Procuraduría General de la República; 3) la Dirección de Fiscales del Ministerio Público; 4) la Fiscalía de Etnias del Ministerio Público; 5) la Alcaldía de </w:t>
      </w:r>
      <w:proofErr w:type="spellStart"/>
      <w:r w:rsidRPr="00ED79DB">
        <w:t>Iriona</w:t>
      </w:r>
      <w:proofErr w:type="spellEnd"/>
      <w:r w:rsidRPr="00ED79DB">
        <w:t xml:space="preserve"> Puerto; 6) el Instituto Nacional Agrario; 7) la Secretaría de Relaciones Exteriores; 8) la Secretaria de Estado en el Despacho de Recursos Naturales y Ambiente; 9) el Fondo Hondureño de Inversión Social; 10) la Secretaría de Turismo; 11) la Secretaría de Obras Públicas, Transporte y Vivienda; 12) la Dirección General del Registro de la Propiedad, y 13) Sub Secretario de Gobernación y Justicia.</w:t>
      </w:r>
    </w:p>
  </w:footnote>
  <w:footnote w:id="302">
    <w:p w14:paraId="0C704EB9" w14:textId="4F2C87EF" w:rsidR="006B2C5D" w:rsidRPr="00A0324F" w:rsidRDefault="006B2C5D">
      <w:pPr>
        <w:tabs>
          <w:tab w:val="left" w:pos="567"/>
        </w:tabs>
        <w:jc w:val="both"/>
        <w:rPr>
          <w:rFonts w:ascii="Verdana" w:hAnsi="Verdana"/>
          <w:bCs/>
          <w:i/>
          <w:color w:val="000000"/>
          <w:sz w:val="16"/>
          <w:szCs w:val="16"/>
          <w:shd w:val="clear" w:color="auto" w:fill="FFFFFF"/>
        </w:rPr>
      </w:pPr>
      <w:r w:rsidRPr="00ED79DB">
        <w:rPr>
          <w:rFonts w:ascii="Verdana" w:hAnsi="Verdana"/>
          <w:sz w:val="16"/>
          <w:szCs w:val="16"/>
          <w:vertAlign w:val="superscript"/>
        </w:rPr>
        <w:footnoteRef/>
      </w:r>
      <w:r w:rsidRPr="00ED79DB">
        <w:rPr>
          <w:rFonts w:ascii="Verdana" w:hAnsi="Verdana"/>
          <w:sz w:val="16"/>
          <w:szCs w:val="16"/>
        </w:rPr>
        <w:t xml:space="preserve"> </w:t>
      </w:r>
      <w:r w:rsidRPr="00ED79DB">
        <w:rPr>
          <w:rFonts w:ascii="Verdana" w:hAnsi="Verdana"/>
          <w:sz w:val="16"/>
          <w:szCs w:val="16"/>
        </w:rPr>
        <w:tab/>
      </w:r>
      <w:r w:rsidRPr="00ED79DB">
        <w:rPr>
          <w:rFonts w:ascii="Verdana" w:hAnsi="Verdana"/>
          <w:i/>
          <w:sz w:val="16"/>
          <w:szCs w:val="16"/>
        </w:rPr>
        <w:t xml:space="preserve">Cfr. Caso Velásquez Rodríguez </w:t>
      </w:r>
      <w:r>
        <w:rPr>
          <w:rFonts w:ascii="Verdana" w:hAnsi="Verdana"/>
          <w:i/>
          <w:sz w:val="16"/>
          <w:szCs w:val="16"/>
        </w:rPr>
        <w:t>V</w:t>
      </w:r>
      <w:r w:rsidRPr="00ED79DB">
        <w:rPr>
          <w:rFonts w:ascii="Verdana" w:hAnsi="Verdana"/>
          <w:i/>
          <w:sz w:val="16"/>
          <w:szCs w:val="16"/>
        </w:rPr>
        <w:t>s</w:t>
      </w:r>
      <w:r>
        <w:rPr>
          <w:rFonts w:ascii="Verdana" w:hAnsi="Verdana"/>
          <w:i/>
          <w:sz w:val="16"/>
          <w:szCs w:val="16"/>
        </w:rPr>
        <w:t>.</w:t>
      </w:r>
      <w:r w:rsidRPr="00ED79DB">
        <w:rPr>
          <w:rFonts w:ascii="Verdana" w:hAnsi="Verdana"/>
          <w:i/>
          <w:sz w:val="16"/>
          <w:szCs w:val="16"/>
        </w:rPr>
        <w:t xml:space="preserve"> Honduras.</w:t>
      </w:r>
      <w:r w:rsidRPr="00ED79DB">
        <w:rPr>
          <w:rFonts w:ascii="Verdana" w:hAnsi="Verdana"/>
          <w:sz w:val="16"/>
          <w:szCs w:val="16"/>
        </w:rPr>
        <w:t xml:space="preserve"> Resolución de la Corte de 15 de enero de 1988, Considerando 3, y </w:t>
      </w:r>
      <w:r w:rsidRPr="00ED79DB">
        <w:rPr>
          <w:rStyle w:val="Strong"/>
          <w:rFonts w:ascii="Verdana" w:hAnsi="Verdana"/>
          <w:b w:val="0"/>
          <w:i/>
          <w:color w:val="000000"/>
          <w:sz w:val="16"/>
          <w:szCs w:val="16"/>
          <w:shd w:val="clear" w:color="auto" w:fill="FFFFFF"/>
        </w:rPr>
        <w:t xml:space="preserve">Caso Gonzales </w:t>
      </w:r>
      <w:proofErr w:type="spellStart"/>
      <w:r w:rsidRPr="00ED79DB">
        <w:rPr>
          <w:rStyle w:val="Strong"/>
          <w:rFonts w:ascii="Verdana" w:hAnsi="Verdana"/>
          <w:b w:val="0"/>
          <w:i/>
          <w:color w:val="000000"/>
          <w:sz w:val="16"/>
          <w:szCs w:val="16"/>
          <w:shd w:val="clear" w:color="auto" w:fill="FFFFFF"/>
        </w:rPr>
        <w:t>Lluy</w:t>
      </w:r>
      <w:proofErr w:type="spellEnd"/>
      <w:r w:rsidRPr="00ED79DB">
        <w:rPr>
          <w:rStyle w:val="Strong"/>
          <w:rFonts w:ascii="Verdana" w:hAnsi="Verdana"/>
          <w:b w:val="0"/>
          <w:i/>
          <w:color w:val="000000"/>
          <w:sz w:val="16"/>
          <w:szCs w:val="16"/>
          <w:shd w:val="clear" w:color="auto" w:fill="FFFFFF"/>
        </w:rPr>
        <w:t xml:space="preserve"> y otros respecto de Ecuador. </w:t>
      </w:r>
      <w:r w:rsidRPr="00ED79DB">
        <w:rPr>
          <w:rStyle w:val="Strong"/>
          <w:rFonts w:ascii="Verdana" w:hAnsi="Verdana"/>
          <w:b w:val="0"/>
          <w:color w:val="000000"/>
          <w:sz w:val="16"/>
          <w:szCs w:val="16"/>
          <w:shd w:val="clear" w:color="auto" w:fill="FFFFFF"/>
        </w:rPr>
        <w:t>Resolución de la Corte Interamericana de Derechos Humanos de 02 de septiembre de 2015, Considerando 27.</w:t>
      </w:r>
    </w:p>
  </w:footnote>
  <w:footnote w:id="303">
    <w:p w14:paraId="0C704EBA" w14:textId="7BF4BF46" w:rsidR="006B2C5D" w:rsidRPr="00ED79DB" w:rsidRDefault="006B2C5D" w:rsidP="00ED79DB">
      <w:pPr>
        <w:tabs>
          <w:tab w:val="left" w:pos="567"/>
        </w:tabs>
        <w:jc w:val="both"/>
        <w:rPr>
          <w:rFonts w:ascii="Verdana" w:hAnsi="Verdana"/>
          <w:sz w:val="16"/>
          <w:szCs w:val="16"/>
        </w:rPr>
      </w:pPr>
      <w:r w:rsidRPr="00ED79DB">
        <w:rPr>
          <w:rFonts w:ascii="Verdana" w:hAnsi="Verdana"/>
          <w:sz w:val="16"/>
          <w:szCs w:val="16"/>
          <w:vertAlign w:val="superscript"/>
        </w:rPr>
        <w:footnoteRef/>
      </w:r>
      <w:r w:rsidRPr="00ED79DB">
        <w:rPr>
          <w:rFonts w:ascii="Verdana" w:hAnsi="Verdana"/>
          <w:sz w:val="16"/>
          <w:szCs w:val="16"/>
          <w:vertAlign w:val="superscript"/>
        </w:rPr>
        <w:t xml:space="preserve"> </w:t>
      </w:r>
      <w:r w:rsidRPr="00ED79DB">
        <w:rPr>
          <w:rFonts w:ascii="Verdana" w:hAnsi="Verdana"/>
          <w:sz w:val="16"/>
          <w:szCs w:val="16"/>
        </w:rPr>
        <w:tab/>
      </w:r>
      <w:r w:rsidRPr="00C77120">
        <w:rPr>
          <w:rFonts w:ascii="Verdana" w:hAnsi="Verdana"/>
          <w:i/>
          <w:sz w:val="16"/>
          <w:szCs w:val="16"/>
        </w:rPr>
        <w:t>Cfr. Caso Velásquez Rodríguez,</w:t>
      </w:r>
      <w:r w:rsidRPr="00C77120">
        <w:rPr>
          <w:rFonts w:ascii="Verdana" w:hAnsi="Verdana"/>
          <w:sz w:val="16"/>
          <w:szCs w:val="16"/>
        </w:rPr>
        <w:t xml:space="preserve"> </w:t>
      </w:r>
      <w:r w:rsidRPr="00A0324F">
        <w:rPr>
          <w:rFonts w:ascii="Verdana" w:hAnsi="Verdana"/>
          <w:i/>
          <w:sz w:val="16"/>
          <w:szCs w:val="16"/>
        </w:rPr>
        <w:t>Resolución de 15 de enero de 1988. supra</w:t>
      </w:r>
      <w:r w:rsidRPr="00C77120">
        <w:rPr>
          <w:rFonts w:ascii="Verdana" w:hAnsi="Verdana"/>
          <w:sz w:val="16"/>
          <w:szCs w:val="16"/>
        </w:rPr>
        <w:t>, Considerando 3, y</w:t>
      </w:r>
      <w:r w:rsidRPr="00ED79DB">
        <w:rPr>
          <w:rFonts w:ascii="Verdana" w:hAnsi="Verdana"/>
          <w:sz w:val="16"/>
          <w:szCs w:val="16"/>
        </w:rPr>
        <w:t xml:space="preserve"> </w:t>
      </w:r>
      <w:r w:rsidRPr="00ED79DB">
        <w:rPr>
          <w:rFonts w:ascii="Verdana" w:hAnsi="Verdana"/>
          <w:i/>
          <w:sz w:val="16"/>
          <w:szCs w:val="16"/>
        </w:rPr>
        <w:t xml:space="preserve">Asunto Giraldo Cardona y otros respecto de Colombia. </w:t>
      </w:r>
      <w:r w:rsidRPr="00ED79DB">
        <w:rPr>
          <w:rFonts w:ascii="Verdana" w:hAnsi="Verdana"/>
          <w:sz w:val="16"/>
          <w:szCs w:val="16"/>
        </w:rPr>
        <w:t>Resolución de la Corte Interamericana de Derechos Humanos de 28 de enero de 2015, Considerando 40.</w:t>
      </w:r>
    </w:p>
  </w:footnote>
  <w:footnote w:id="304">
    <w:p w14:paraId="0C704EBB" w14:textId="16B4F960" w:rsidR="006B2C5D" w:rsidRPr="00514304" w:rsidRDefault="006B2C5D" w:rsidP="002E1DD3">
      <w:pPr>
        <w:tabs>
          <w:tab w:val="left" w:pos="567"/>
        </w:tabs>
        <w:jc w:val="both"/>
        <w:rPr>
          <w:rFonts w:ascii="Verdana" w:hAnsi="Verdana"/>
          <w:b/>
          <w:sz w:val="16"/>
          <w:szCs w:val="16"/>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i/>
          <w:sz w:val="16"/>
          <w:szCs w:val="16"/>
        </w:rPr>
        <w:t>Cfr.</w:t>
      </w:r>
      <w:r w:rsidRPr="00514304">
        <w:rPr>
          <w:rFonts w:ascii="Verdana" w:hAnsi="Verdana"/>
          <w:b/>
          <w:sz w:val="16"/>
          <w:szCs w:val="16"/>
        </w:rPr>
        <w:t xml:space="preserve"> </w:t>
      </w:r>
      <w:r w:rsidRPr="00514304">
        <w:rPr>
          <w:rFonts w:ascii="Verdana" w:hAnsi="Verdana"/>
          <w:i/>
          <w:sz w:val="16"/>
          <w:szCs w:val="16"/>
        </w:rPr>
        <w:t>Caso Cinco Pensionistas</w:t>
      </w:r>
      <w:r>
        <w:rPr>
          <w:rFonts w:ascii="Verdana" w:hAnsi="Verdana"/>
          <w:i/>
          <w:sz w:val="16"/>
          <w:szCs w:val="16"/>
        </w:rPr>
        <w:t>, supra,</w:t>
      </w:r>
      <w:r w:rsidRPr="00514304">
        <w:rPr>
          <w:rFonts w:ascii="Verdana" w:hAnsi="Verdana"/>
          <w:i/>
          <w:sz w:val="16"/>
          <w:szCs w:val="16"/>
        </w:rPr>
        <w:t xml:space="preserve"> </w:t>
      </w:r>
      <w:r w:rsidRPr="00514304">
        <w:rPr>
          <w:rFonts w:ascii="Verdana" w:hAnsi="Verdana"/>
          <w:sz w:val="16"/>
          <w:szCs w:val="16"/>
        </w:rPr>
        <w:t>párr. 155</w:t>
      </w:r>
      <w:r>
        <w:rPr>
          <w:rFonts w:ascii="Verdana" w:hAnsi="Verdana"/>
          <w:sz w:val="16"/>
          <w:szCs w:val="16"/>
        </w:rPr>
        <w:t xml:space="preserve"> y </w:t>
      </w:r>
      <w:r>
        <w:rPr>
          <w:rFonts w:ascii="Verdana" w:hAnsi="Verdana"/>
          <w:i/>
          <w:sz w:val="16"/>
          <w:szCs w:val="16"/>
        </w:rPr>
        <w:t xml:space="preserve">Caso González </w:t>
      </w:r>
      <w:proofErr w:type="spellStart"/>
      <w:r>
        <w:rPr>
          <w:rFonts w:ascii="Verdana" w:hAnsi="Verdana"/>
          <w:i/>
          <w:sz w:val="16"/>
          <w:szCs w:val="16"/>
        </w:rPr>
        <w:t>Lluy</w:t>
      </w:r>
      <w:proofErr w:type="spellEnd"/>
      <w:r>
        <w:rPr>
          <w:rFonts w:ascii="Verdana" w:hAnsi="Verdana"/>
          <w:i/>
          <w:sz w:val="16"/>
          <w:szCs w:val="16"/>
        </w:rPr>
        <w:t xml:space="preserve"> y otros, supra, </w:t>
      </w:r>
      <w:r>
        <w:rPr>
          <w:rFonts w:ascii="Verdana" w:hAnsi="Verdana"/>
          <w:sz w:val="16"/>
          <w:szCs w:val="16"/>
        </w:rPr>
        <w:t>párr. 37.</w:t>
      </w:r>
    </w:p>
  </w:footnote>
  <w:footnote w:id="305">
    <w:p w14:paraId="0C704EBC" w14:textId="7C693EA8" w:rsidR="006B2C5D" w:rsidRPr="00565486" w:rsidRDefault="006B2C5D" w:rsidP="00B15331">
      <w:pPr>
        <w:pStyle w:val="Footnotes"/>
        <w:rPr>
          <w:i/>
        </w:rPr>
      </w:pPr>
      <w:r w:rsidRPr="00514304">
        <w:rPr>
          <w:rStyle w:val="FootnoteReference"/>
          <w:sz w:val="16"/>
        </w:rPr>
        <w:footnoteRef/>
      </w:r>
      <w:r w:rsidRPr="00514304">
        <w:rPr>
          <w:rStyle w:val="FootnoteReference"/>
          <w:sz w:val="16"/>
          <w:lang w:val="es-CO"/>
        </w:rPr>
        <w:tab/>
      </w:r>
      <w:r w:rsidRPr="00565486">
        <w:rPr>
          <w:i/>
        </w:rPr>
        <w:t>Cfr. Caso Velásquez Rodríguez, Fondo, supra,</w:t>
      </w:r>
      <w:r w:rsidRPr="00514304">
        <w:t xml:space="preserve"> párrs. 166 y 167, y </w:t>
      </w:r>
      <w:r w:rsidRPr="00565486">
        <w:rPr>
          <w:i/>
        </w:rPr>
        <w:t xml:space="preserve">Caso González </w:t>
      </w:r>
      <w:proofErr w:type="spellStart"/>
      <w:r w:rsidRPr="00565486">
        <w:rPr>
          <w:i/>
        </w:rPr>
        <w:t>Lluy</w:t>
      </w:r>
      <w:proofErr w:type="spellEnd"/>
      <w:r w:rsidRPr="00565486">
        <w:rPr>
          <w:i/>
        </w:rPr>
        <w:t xml:space="preserve"> y otros, supra, párr. 168.</w:t>
      </w:r>
    </w:p>
  </w:footnote>
  <w:footnote w:id="306">
    <w:p w14:paraId="0C704EBD" w14:textId="2DA36CA4" w:rsidR="006B2C5D" w:rsidRDefault="006B2C5D" w:rsidP="00B15331">
      <w:pPr>
        <w:pStyle w:val="Footnotes"/>
      </w:pPr>
      <w:r w:rsidRPr="00514304">
        <w:rPr>
          <w:rStyle w:val="FootnoteReference"/>
          <w:sz w:val="16"/>
        </w:rPr>
        <w:footnoteRef/>
      </w:r>
      <w:r w:rsidRPr="00514304">
        <w:rPr>
          <w:rStyle w:val="FootnoteReference"/>
          <w:sz w:val="16"/>
          <w:lang w:val="es-CO"/>
        </w:rPr>
        <w:tab/>
      </w:r>
      <w:r w:rsidRPr="00565486">
        <w:rPr>
          <w:i/>
        </w:rPr>
        <w:t>Cfr. Caso Velásquez Rodríguez, Fondo, supra,</w:t>
      </w:r>
      <w:r w:rsidRPr="00514304">
        <w:t xml:space="preserve"> párr. 177, y </w:t>
      </w:r>
      <w:r w:rsidRPr="00565486">
        <w:rPr>
          <w:i/>
        </w:rPr>
        <w:t xml:space="preserve">Caso González </w:t>
      </w:r>
      <w:proofErr w:type="spellStart"/>
      <w:r w:rsidRPr="00565486">
        <w:rPr>
          <w:i/>
        </w:rPr>
        <w:t>Lluy</w:t>
      </w:r>
      <w:proofErr w:type="spellEnd"/>
      <w:r w:rsidRPr="00565486">
        <w:rPr>
          <w:i/>
        </w:rPr>
        <w:t xml:space="preserve"> y otros, supra</w:t>
      </w:r>
      <w:r w:rsidRPr="00A0324F">
        <w:t>,</w:t>
      </w:r>
      <w:r>
        <w:t xml:space="preserve"> párr.168.</w:t>
      </w:r>
    </w:p>
  </w:footnote>
  <w:footnote w:id="307">
    <w:p w14:paraId="0C704EBE" w14:textId="078790F5" w:rsidR="006B2C5D" w:rsidRPr="00514304" w:rsidRDefault="006B2C5D" w:rsidP="002E1DD3">
      <w:pPr>
        <w:tabs>
          <w:tab w:val="left" w:pos="567"/>
        </w:tabs>
        <w:jc w:val="both"/>
        <w:rPr>
          <w:rFonts w:ascii="Verdana" w:eastAsia="Times New Roman" w:hAnsi="Verdana" w:cs="Arial"/>
          <w:sz w:val="16"/>
          <w:szCs w:val="16"/>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i/>
          <w:sz w:val="16"/>
          <w:szCs w:val="16"/>
        </w:rPr>
        <w:t xml:space="preserve">Cfr. </w:t>
      </w:r>
      <w:r w:rsidRPr="00514304">
        <w:rPr>
          <w:rFonts w:ascii="Verdana" w:eastAsia="Times New Roman" w:hAnsi="Verdana"/>
          <w:i/>
          <w:sz w:val="16"/>
          <w:szCs w:val="16"/>
        </w:rPr>
        <w:t>Caso Velásquez Rodríguez</w:t>
      </w:r>
      <w:r>
        <w:rPr>
          <w:rFonts w:ascii="Verdana" w:eastAsia="Times New Roman" w:hAnsi="Verdana"/>
          <w:i/>
          <w:sz w:val="16"/>
          <w:szCs w:val="16"/>
        </w:rPr>
        <w:t xml:space="preserve">, </w:t>
      </w:r>
      <w:r w:rsidRPr="00514304">
        <w:rPr>
          <w:rFonts w:ascii="Verdana" w:eastAsia="Times New Roman" w:hAnsi="Verdana"/>
          <w:i/>
          <w:sz w:val="16"/>
          <w:szCs w:val="16"/>
        </w:rPr>
        <w:t>Fondo, supra,</w:t>
      </w:r>
      <w:r w:rsidRPr="00514304">
        <w:rPr>
          <w:rFonts w:ascii="Verdana" w:eastAsia="Times New Roman" w:hAnsi="Verdana"/>
          <w:sz w:val="16"/>
          <w:szCs w:val="16"/>
        </w:rPr>
        <w:t xml:space="preserve"> párr. 177, y</w:t>
      </w:r>
      <w:r>
        <w:rPr>
          <w:rFonts w:ascii="Verdana" w:eastAsia="Times New Roman" w:hAnsi="Verdana"/>
          <w:sz w:val="16"/>
          <w:szCs w:val="16"/>
        </w:rPr>
        <w:t xml:space="preserve"> </w:t>
      </w:r>
      <w:r>
        <w:rPr>
          <w:rFonts w:ascii="Verdana" w:eastAsia="Times New Roman" w:hAnsi="Verdana"/>
          <w:i/>
          <w:sz w:val="16"/>
          <w:szCs w:val="16"/>
        </w:rPr>
        <w:t xml:space="preserve">Caso Espinoza Gonzáles Vs. Perú. Excepciones Preliminares, Fondo, Reparaciones y Costas. </w:t>
      </w:r>
      <w:r>
        <w:rPr>
          <w:rFonts w:ascii="Verdana" w:eastAsia="Times New Roman" w:hAnsi="Verdana"/>
          <w:sz w:val="16"/>
          <w:szCs w:val="16"/>
        </w:rPr>
        <w:t>Sentencia de 20 de noviembre de 2014. Serie C No. 289, párr. 238.</w:t>
      </w:r>
      <w:r w:rsidRPr="00514304">
        <w:rPr>
          <w:rFonts w:ascii="Verdana" w:eastAsia="Times New Roman" w:hAnsi="Verdana"/>
          <w:sz w:val="16"/>
          <w:szCs w:val="16"/>
        </w:rPr>
        <w:t xml:space="preserve"> </w:t>
      </w:r>
    </w:p>
  </w:footnote>
  <w:footnote w:id="308">
    <w:p w14:paraId="0C704EBF" w14:textId="14F4EBB3" w:rsidR="006B2C5D" w:rsidRPr="00286EBD" w:rsidRDefault="006B2C5D" w:rsidP="00B15331">
      <w:pPr>
        <w:pStyle w:val="FootnoteText"/>
      </w:pPr>
      <w:r w:rsidRPr="00514304">
        <w:rPr>
          <w:rStyle w:val="FootnoteReference"/>
          <w:sz w:val="16"/>
        </w:rPr>
        <w:footnoteRef/>
      </w:r>
      <w:r w:rsidRPr="00514304">
        <w:t xml:space="preserve"> </w:t>
      </w:r>
      <w:r w:rsidRPr="00514304">
        <w:tab/>
      </w:r>
      <w:r w:rsidRPr="00565486">
        <w:rPr>
          <w:i/>
        </w:rPr>
        <w:t xml:space="preserve">Cfr. Caso de las Hermanas Serrano Cruz Vs. El Salvador. Fondo, Reparaciones y Costas. </w:t>
      </w:r>
      <w:r w:rsidRPr="00514304">
        <w:t>Sentencia de 1 de marzo de 2005. Serie C No. 120, párr</w:t>
      </w:r>
      <w:r>
        <w:t>s</w:t>
      </w:r>
      <w:r w:rsidRPr="00514304">
        <w:t>.</w:t>
      </w:r>
      <w:r>
        <w:t xml:space="preserve"> 65 y</w:t>
      </w:r>
      <w:r w:rsidRPr="00514304">
        <w:t xml:space="preserve"> 83, y </w:t>
      </w:r>
      <w:r w:rsidRPr="00286EBD">
        <w:rPr>
          <w:rStyle w:val="Strong"/>
          <w:b w:val="0"/>
          <w:i/>
          <w:lang w:val="es-ES_tradnl"/>
        </w:rPr>
        <w:t>Caso Espinoza Gonzáles</w:t>
      </w:r>
      <w:r>
        <w:rPr>
          <w:rStyle w:val="Strong"/>
          <w:b w:val="0"/>
          <w:i/>
          <w:lang w:val="es-ES_tradnl"/>
        </w:rPr>
        <w:t xml:space="preserve">, supra, </w:t>
      </w:r>
      <w:r w:rsidRPr="00286EBD">
        <w:rPr>
          <w:rStyle w:val="Strong"/>
          <w:b w:val="0"/>
          <w:lang w:val="es-ES_tradnl"/>
        </w:rPr>
        <w:t>párr. 238.</w:t>
      </w:r>
    </w:p>
  </w:footnote>
  <w:footnote w:id="309">
    <w:p w14:paraId="0C704EC0" w14:textId="727BA867" w:rsidR="006B2C5D" w:rsidRDefault="006B2C5D" w:rsidP="00B15331">
      <w:pPr>
        <w:pStyle w:val="FootnoteText"/>
      </w:pPr>
      <w:r w:rsidRPr="00286EBD">
        <w:rPr>
          <w:rStyle w:val="FootnoteReference"/>
          <w:sz w:val="16"/>
          <w:lang w:val="es-ES_tradnl"/>
        </w:rPr>
        <w:footnoteRef/>
      </w:r>
      <w:r w:rsidRPr="00286EBD">
        <w:t xml:space="preserve"> </w:t>
      </w:r>
      <w:r w:rsidRPr="00286EBD">
        <w:tab/>
      </w:r>
      <w:r w:rsidRPr="00286EBD">
        <w:rPr>
          <w:rStyle w:val="Strong"/>
          <w:b w:val="0"/>
          <w:i/>
          <w:lang w:val="es-ES_tradnl"/>
        </w:rPr>
        <w:t>Caso de las Hermanas Serrano Cruz, supra</w:t>
      </w:r>
      <w:r w:rsidRPr="00286EBD">
        <w:rPr>
          <w:rStyle w:val="Strong"/>
          <w:b w:val="0"/>
          <w:lang w:val="es-ES_tradnl"/>
        </w:rPr>
        <w:t>, párr</w:t>
      </w:r>
      <w:r>
        <w:rPr>
          <w:rStyle w:val="Strong"/>
          <w:b w:val="0"/>
          <w:lang w:val="es-ES_tradnl"/>
        </w:rPr>
        <w:t>s</w:t>
      </w:r>
      <w:r w:rsidRPr="00286EBD">
        <w:rPr>
          <w:rStyle w:val="Strong"/>
          <w:b w:val="0"/>
          <w:lang w:val="es-ES_tradnl"/>
        </w:rPr>
        <w:t>. 65</w:t>
      </w:r>
      <w:r>
        <w:rPr>
          <w:rStyle w:val="Strong"/>
          <w:b w:val="0"/>
          <w:lang w:val="es-ES_tradnl"/>
        </w:rPr>
        <w:t xml:space="preserve"> y 83 y </w:t>
      </w:r>
      <w:r w:rsidRPr="00286EBD">
        <w:rPr>
          <w:rStyle w:val="Strong"/>
          <w:b w:val="0"/>
          <w:i/>
          <w:lang w:val="es-ES_tradnl"/>
        </w:rPr>
        <w:t>Caso Espinoza Gonzáles</w:t>
      </w:r>
      <w:r>
        <w:rPr>
          <w:rStyle w:val="Strong"/>
          <w:b w:val="0"/>
          <w:i/>
          <w:lang w:val="es-ES_tradnl"/>
        </w:rPr>
        <w:t xml:space="preserve">, supra, </w:t>
      </w:r>
      <w:r>
        <w:rPr>
          <w:rStyle w:val="Strong"/>
          <w:b w:val="0"/>
          <w:lang w:val="es-ES_tradnl"/>
        </w:rPr>
        <w:t>párr. 290.</w:t>
      </w:r>
    </w:p>
  </w:footnote>
  <w:footnote w:id="310">
    <w:p w14:paraId="0C704EC1" w14:textId="77777777" w:rsidR="006B2C5D" w:rsidRDefault="006B2C5D" w:rsidP="00B15331">
      <w:pPr>
        <w:pStyle w:val="FootnoteText"/>
      </w:pPr>
      <w:r w:rsidRPr="00514304">
        <w:rPr>
          <w:rStyle w:val="FootnoteReference"/>
          <w:sz w:val="16"/>
        </w:rPr>
        <w:footnoteRef/>
      </w:r>
      <w:r w:rsidRPr="00514304">
        <w:t xml:space="preserve"> </w:t>
      </w:r>
      <w:r w:rsidRPr="00514304">
        <w:tab/>
        <w:t xml:space="preserve">El delito de usurpación contemplado en el Código Penal de Honduras establece lo siguiente: “ARTICULO 227. Quien usurpe un bien inmueble o un derecho real será sancionado con reclusión de dos (2) a cuatro (4) años, sin perjuicio de que tan pronto como se acredite en autos el derecho correspondiente, el juez que conoce de la causa ordene el desalojo del bien de que se trate o el reintegro del derecho usurpado”. Disponible en: </w:t>
      </w:r>
      <w:hyperlink r:id="rId43" w:history="1">
        <w:r w:rsidRPr="00514304">
          <w:rPr>
            <w:rStyle w:val="Hyperlink"/>
            <w:lang w:val="es-CR"/>
          </w:rPr>
          <w:t>http://www.ccit.hn/wp-content/uploads/2013/12/Codigo-Pena-Honduras.pdf</w:t>
        </w:r>
      </w:hyperlink>
      <w:r w:rsidRPr="00514304">
        <w:t xml:space="preserve"> </w:t>
      </w:r>
    </w:p>
  </w:footnote>
  <w:footnote w:id="311">
    <w:p w14:paraId="0C704EC3" w14:textId="602B022F" w:rsidR="006B2C5D" w:rsidRDefault="006B2C5D" w:rsidP="00B15331">
      <w:pPr>
        <w:pStyle w:val="FootnoteText"/>
      </w:pPr>
      <w:r w:rsidRPr="00514304">
        <w:rPr>
          <w:rStyle w:val="FootnoteReference"/>
          <w:sz w:val="16"/>
          <w:lang w:val="es-ES_tradnl"/>
        </w:rPr>
        <w:footnoteRef/>
      </w:r>
      <w:r w:rsidRPr="00514304">
        <w:t xml:space="preserve"> </w:t>
      </w:r>
      <w:r w:rsidRPr="00514304">
        <w:tab/>
      </w:r>
      <w:r w:rsidRPr="00565486">
        <w:rPr>
          <w:i/>
        </w:rPr>
        <w:t xml:space="preserve">Cfr. </w:t>
      </w:r>
      <w:r w:rsidRPr="00565486">
        <w:rPr>
          <w:rStyle w:val="Strong"/>
          <w:b w:val="0"/>
          <w:i/>
          <w:lang w:val="es-ES_tradnl"/>
        </w:rPr>
        <w:t>Caso</w:t>
      </w:r>
      <w:r w:rsidRPr="00286EBD">
        <w:rPr>
          <w:rStyle w:val="Strong"/>
          <w:b w:val="0"/>
          <w:i/>
          <w:lang w:val="es-ES_tradnl"/>
        </w:rPr>
        <w:t xml:space="preserve"> de las Hermanas Serrano Cruz, supra</w:t>
      </w:r>
      <w:r w:rsidRPr="00286EBD">
        <w:rPr>
          <w:rStyle w:val="Strong"/>
          <w:b w:val="0"/>
          <w:lang w:val="es-ES_tradnl"/>
        </w:rPr>
        <w:t>, párr</w:t>
      </w:r>
      <w:r>
        <w:rPr>
          <w:rStyle w:val="Strong"/>
          <w:b w:val="0"/>
          <w:lang w:val="es-ES_tradnl"/>
        </w:rPr>
        <w:t>s</w:t>
      </w:r>
      <w:r w:rsidRPr="00286EBD">
        <w:rPr>
          <w:rStyle w:val="Strong"/>
          <w:b w:val="0"/>
          <w:lang w:val="es-ES_tradnl"/>
        </w:rPr>
        <w:t>. 65</w:t>
      </w:r>
      <w:r>
        <w:rPr>
          <w:rStyle w:val="Strong"/>
          <w:b w:val="0"/>
          <w:lang w:val="es-ES_tradnl"/>
        </w:rPr>
        <w:t xml:space="preserve"> y 83, y </w:t>
      </w:r>
      <w:r w:rsidRPr="00286EBD">
        <w:rPr>
          <w:rStyle w:val="Strong"/>
          <w:b w:val="0"/>
          <w:i/>
          <w:lang w:val="es-ES_tradnl"/>
        </w:rPr>
        <w:t>Caso Espinoza Gonzáles</w:t>
      </w:r>
      <w:r>
        <w:rPr>
          <w:rStyle w:val="Strong"/>
          <w:b w:val="0"/>
          <w:i/>
          <w:lang w:val="es-ES_tradnl"/>
        </w:rPr>
        <w:t xml:space="preserve">, supra, </w:t>
      </w:r>
      <w:r>
        <w:rPr>
          <w:rStyle w:val="Strong"/>
          <w:b w:val="0"/>
          <w:lang w:val="es-ES_tradnl"/>
        </w:rPr>
        <w:t>párrs. 238 y 290.</w:t>
      </w:r>
    </w:p>
  </w:footnote>
  <w:footnote w:id="312">
    <w:p w14:paraId="0C704EC4" w14:textId="77777777" w:rsidR="006B2C5D" w:rsidRPr="00514304" w:rsidRDefault="006B2C5D" w:rsidP="00930C8B">
      <w:pPr>
        <w:tabs>
          <w:tab w:val="left" w:pos="567"/>
        </w:tabs>
        <w:jc w:val="both"/>
        <w:rPr>
          <w:rFonts w:ascii="Verdana" w:hAnsi="Verdana"/>
          <w:sz w:val="16"/>
          <w:szCs w:val="16"/>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sz w:val="16"/>
          <w:szCs w:val="16"/>
          <w:lang w:val="es-ES"/>
        </w:rPr>
        <w:t xml:space="preserve">Consta en el expediente que el 10 de septiembre de 2014, en el marco de las investigaciones por su muerte, la Fiscalía de Trujillo recibió un oficio de la Fiscalía de Etnias a través del cual esta solicitó información en torno a los avances y estado actual de la denuncia de usurpación. Del expediente ante la Corte no se deriva que se haya dado respuesta a dicha solicitud. </w:t>
      </w:r>
    </w:p>
  </w:footnote>
  <w:footnote w:id="313">
    <w:p w14:paraId="1E9F15ED" w14:textId="5818D7E6" w:rsidR="006B2C5D" w:rsidRPr="00A0324F" w:rsidRDefault="006B2C5D" w:rsidP="00B15331">
      <w:pPr>
        <w:pStyle w:val="FootnoteText"/>
      </w:pPr>
      <w:r w:rsidRPr="00514304">
        <w:rPr>
          <w:rStyle w:val="FootnoteReference"/>
          <w:sz w:val="16"/>
        </w:rPr>
        <w:footnoteRef/>
      </w:r>
      <w:r w:rsidRPr="00514304">
        <w:rPr>
          <w:lang w:val="es-CR"/>
        </w:rPr>
        <w:t xml:space="preserve"> </w:t>
      </w:r>
      <w:r w:rsidRPr="00514304">
        <w:rPr>
          <w:lang w:val="es-CR"/>
        </w:rPr>
        <w:tab/>
      </w:r>
      <w:r w:rsidRPr="00565486">
        <w:rPr>
          <w:i/>
          <w:iCs/>
          <w:lang w:val="es-CR"/>
        </w:rPr>
        <w:t>Cfr.</w:t>
      </w:r>
      <w:r w:rsidRPr="00565486">
        <w:rPr>
          <w:i/>
          <w:lang w:val="es-CR"/>
        </w:rPr>
        <w:t xml:space="preserve"> </w:t>
      </w:r>
      <w:r w:rsidRPr="00565486">
        <w:rPr>
          <w:i/>
          <w:iCs/>
          <w:lang w:val="es-CR"/>
        </w:rPr>
        <w:t>Ca</w:t>
      </w:r>
      <w:r w:rsidRPr="00565486">
        <w:rPr>
          <w:i/>
          <w:lang w:val="es-CR"/>
        </w:rPr>
        <w:t>so</w:t>
      </w:r>
      <w:r w:rsidRPr="00565486">
        <w:rPr>
          <w:rFonts w:cs="Arial"/>
          <w:i/>
          <w:lang w:val="es-CR"/>
        </w:rPr>
        <w:t xml:space="preserve"> Juan Humberto Sánchez </w:t>
      </w:r>
      <w:r w:rsidRPr="00565486">
        <w:rPr>
          <w:rStyle w:val="Strong"/>
          <w:b w:val="0"/>
          <w:i/>
          <w:lang w:val="es-CR"/>
        </w:rPr>
        <w:t xml:space="preserve">Vs. </w:t>
      </w:r>
      <w:r w:rsidRPr="00565486">
        <w:rPr>
          <w:rStyle w:val="Strong"/>
          <w:b w:val="0"/>
          <w:i/>
        </w:rPr>
        <w:t>Honduras.</w:t>
      </w:r>
      <w:r w:rsidRPr="002B52BF">
        <w:rPr>
          <w:rStyle w:val="Strong"/>
          <w:b w:val="0"/>
          <w:i/>
        </w:rPr>
        <w:t xml:space="preserve"> Excepción Preliminar, Fondo, Reparaciones y Costas</w:t>
      </w:r>
      <w:r w:rsidRPr="002B52BF">
        <w:rPr>
          <w:rStyle w:val="Strong"/>
          <w:b w:val="0"/>
        </w:rPr>
        <w:t>. Sentencia de 7 de junio de 2003. Serie C No. 99</w:t>
      </w:r>
      <w:r w:rsidRPr="00514304">
        <w:rPr>
          <w:rFonts w:cs="Arial"/>
        </w:rPr>
        <w:t xml:space="preserve">, párr. 127, y </w:t>
      </w:r>
      <w:r w:rsidRPr="00565486">
        <w:rPr>
          <w:i/>
        </w:rPr>
        <w:t xml:space="preserve">Caso Defensor de Derechos Humanos y otros, supra, </w:t>
      </w:r>
      <w:r w:rsidRPr="00514304">
        <w:t>párr. 2</w:t>
      </w:r>
      <w:r>
        <w:t>04</w:t>
      </w:r>
      <w:r w:rsidRPr="00514304">
        <w:t xml:space="preserve">. Al respecto, la Corte ha especificado los principios rectores que son precisos observar en una investigación cuando se está frente a una muerte violenta. Las autoridades estatales que conducen una investigación de este tipo deben intentar como mínimo, </w:t>
      </w:r>
      <w:r w:rsidRPr="00EE7979">
        <w:rPr>
          <w:iCs/>
        </w:rPr>
        <w:t>inter alia</w:t>
      </w:r>
      <w:r w:rsidRPr="00514304">
        <w:t>: i) identificar a la víctima; ii) recuperar y preservar el material probatorio relacionado con la muerte, con el fin de ayudar en cualquier potencial investigación penal de los responsables; iii) identificar posibles testigos y obtener sus declaraciones en relación con la muerte que se investiga; iv) determinar la causa, forma, lugar y momento de la muerte, así como cualquier patrón o práctica que pueda haber causado la muerte</w:t>
      </w:r>
      <w:r>
        <w:t>;</w:t>
      </w:r>
      <w:r w:rsidRPr="00514304">
        <w:t xml:space="preserve"> v) distinguir entre muerte natural, muerte accidental, suicidio y homicidio</w:t>
      </w:r>
      <w:r>
        <w:t>, y vi) la distinción y aprehensión de la o las personas involucradas en la muerte y la presentación de los presuntos perpetradores ante un tribunal competente establecido por ley</w:t>
      </w:r>
      <w:r w:rsidRPr="00514304">
        <w:t xml:space="preserve">. Además, es necesario investigar exhaustivamente la escena del crimen, se deben realizar autopsias y análisis de restos humanos, en forma rigurosa, por profesionales competentes y empleando los procedimientos más apropiados. </w:t>
      </w:r>
      <w:r w:rsidRPr="00C124BF">
        <w:t>Cfr.</w:t>
      </w:r>
      <w:r w:rsidRPr="00514304">
        <w:t xml:space="preserve"> Manual sobre la Prevención e Investigación Efectiva de Ejecuciones Extrajudiciales, Arbitrarias y Sumarias de Naciones Unidas (Protocolo de Minnesota), </w:t>
      </w:r>
      <w:proofErr w:type="spellStart"/>
      <w:r w:rsidRPr="00514304">
        <w:t>Doc.E</w:t>
      </w:r>
      <w:proofErr w:type="spellEnd"/>
      <w:r w:rsidRPr="00514304">
        <w:t>/ST/CSDHA/.12 (1991)</w:t>
      </w:r>
      <w:r>
        <w:t>. Disponible en:</w:t>
      </w:r>
      <w:r w:rsidRPr="0021703C">
        <w:t>http://www.ohchr.org/EN/Issues/Executions/Pages/RevisionoftheUNManualPreventionExtraLegalArbitrary.aspx</w:t>
      </w:r>
    </w:p>
  </w:footnote>
  <w:footnote w:id="314">
    <w:p w14:paraId="0C704EC6" w14:textId="77777777"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65486">
        <w:rPr>
          <w:i/>
        </w:rPr>
        <w:t>Cfr. Caso Juan Humberto Sánchez, supra,</w:t>
      </w:r>
      <w:r w:rsidRPr="00514304">
        <w:t xml:space="preserve"> párr. 127 y </w:t>
      </w:r>
      <w:r w:rsidRPr="00565486">
        <w:rPr>
          <w:i/>
        </w:rPr>
        <w:t>Caso Hermanos Landaeta Mejías y otros, supra,</w:t>
      </w:r>
      <w:r w:rsidRPr="00514304">
        <w:t xml:space="preserve"> párr. 228.</w:t>
      </w:r>
    </w:p>
  </w:footnote>
  <w:footnote w:id="315">
    <w:p w14:paraId="0C704EC7" w14:textId="3CEE053A" w:rsidR="006B2C5D" w:rsidRPr="00514304" w:rsidRDefault="006B2C5D" w:rsidP="00930C8B">
      <w:pPr>
        <w:tabs>
          <w:tab w:val="left" w:pos="567"/>
        </w:tabs>
        <w:jc w:val="both"/>
        <w:rPr>
          <w:rFonts w:ascii="Verdana" w:hAnsi="Verdana"/>
          <w:i/>
          <w:sz w:val="16"/>
          <w:szCs w:val="16"/>
        </w:rPr>
      </w:pPr>
      <w:r w:rsidRPr="00514304">
        <w:rPr>
          <w:rStyle w:val="FootnoteReference"/>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spacing w:val="-2"/>
          <w:sz w:val="16"/>
          <w:szCs w:val="16"/>
          <w:lang w:val="es-CR"/>
        </w:rPr>
        <w:t xml:space="preserve">En este sentido, los estándares internacionales señalan que, en relación con la escena del crimen, los investigadores deben, como mínimo: fotografiar </w:t>
      </w:r>
      <w:r w:rsidRPr="00514304">
        <w:rPr>
          <w:rFonts w:ascii="Verdana" w:hAnsi="Verdana"/>
          <w:bCs/>
          <w:spacing w:val="-2"/>
          <w:sz w:val="16"/>
          <w:szCs w:val="16"/>
          <w:lang w:val="es-CR"/>
        </w:rPr>
        <w:t xml:space="preserve">dicha escena, cualquier otra evidencia física y </w:t>
      </w:r>
      <w:r w:rsidRPr="00514304">
        <w:rPr>
          <w:rFonts w:ascii="Verdana" w:hAnsi="Verdana"/>
          <w:spacing w:val="-2"/>
          <w:sz w:val="16"/>
          <w:szCs w:val="16"/>
          <w:lang w:val="es-CR"/>
        </w:rPr>
        <w:t xml:space="preserve">el cuerpo como se encontró y después de moverlo; recoger y conservar </w:t>
      </w:r>
      <w:r w:rsidRPr="00514304">
        <w:rPr>
          <w:rFonts w:ascii="Verdana" w:hAnsi="Verdana"/>
          <w:bCs/>
          <w:spacing w:val="-2"/>
          <w:sz w:val="16"/>
          <w:szCs w:val="16"/>
          <w:lang w:val="es-CR"/>
        </w:rPr>
        <w:t xml:space="preserve">todas las muestras de sangre, cabello, fibras, hilos u otras pistas; examinar el área en busca de huellas de zapatos o cualquier otra que tenga naturaleza de evidencia, y hacer un informe detallando cualquier observación de la escena, las acciones de los investigadores y la disposición de toda la evidencia coleccionada. El </w:t>
      </w:r>
      <w:r w:rsidRPr="00514304">
        <w:rPr>
          <w:rFonts w:ascii="Verdana" w:hAnsi="Verdana"/>
          <w:spacing w:val="-2"/>
          <w:sz w:val="16"/>
          <w:szCs w:val="16"/>
          <w:lang w:val="es-CR"/>
        </w:rPr>
        <w:t xml:space="preserve">Protocolo de Minnesota </w:t>
      </w:r>
      <w:r w:rsidRPr="00514304">
        <w:rPr>
          <w:rFonts w:ascii="Verdana" w:hAnsi="Verdana"/>
          <w:bCs/>
          <w:spacing w:val="-2"/>
          <w:sz w:val="16"/>
          <w:szCs w:val="16"/>
          <w:lang w:val="es-CR"/>
        </w:rPr>
        <w:t>establece, entre otras obligaciones, que al investigar una escena del crimen se debe cerrar la zona contigua al cadáver, y prohibir, salvo para el investigador y su equipo, el ingreso a la misma.</w:t>
      </w:r>
      <w:r w:rsidRPr="00514304">
        <w:rPr>
          <w:rFonts w:ascii="Verdana" w:hAnsi="Verdana"/>
          <w:spacing w:val="-2"/>
          <w:sz w:val="16"/>
          <w:szCs w:val="16"/>
          <w:lang w:val="es-CR"/>
        </w:rPr>
        <w:t xml:space="preserve"> </w:t>
      </w:r>
      <w:r w:rsidRPr="00514304">
        <w:rPr>
          <w:rFonts w:ascii="Verdana" w:hAnsi="Verdana"/>
          <w:i/>
          <w:sz w:val="16"/>
          <w:szCs w:val="16"/>
        </w:rPr>
        <w:t xml:space="preserve">Cfr. Caso González y otras (“Campo Algodonero”) Vs. México. Excepción Preliminar, Fondo, Reparaciones y Costas. </w:t>
      </w:r>
      <w:r w:rsidRPr="00514304">
        <w:rPr>
          <w:rFonts w:ascii="Verdana" w:hAnsi="Verdana"/>
          <w:sz w:val="16"/>
          <w:szCs w:val="16"/>
        </w:rPr>
        <w:t xml:space="preserve">Sentencia de 16 de noviembre de 2009. Serie C No. 205., párr. 301, y </w:t>
      </w:r>
      <w:r w:rsidRPr="00514304">
        <w:rPr>
          <w:rFonts w:ascii="Verdana" w:hAnsi="Verdana"/>
          <w:i/>
          <w:sz w:val="16"/>
          <w:szCs w:val="16"/>
        </w:rPr>
        <w:t xml:space="preserve">Caso Hermanos Landaeta </w:t>
      </w:r>
      <w:r>
        <w:rPr>
          <w:rFonts w:ascii="Verdana" w:hAnsi="Verdana"/>
          <w:i/>
          <w:sz w:val="16"/>
          <w:szCs w:val="16"/>
        </w:rPr>
        <w:t xml:space="preserve">Mejías </w:t>
      </w:r>
      <w:r w:rsidRPr="00514304">
        <w:rPr>
          <w:rFonts w:ascii="Verdana" w:hAnsi="Verdana"/>
          <w:i/>
          <w:sz w:val="16"/>
          <w:szCs w:val="16"/>
        </w:rPr>
        <w:t>y otros, supra,</w:t>
      </w:r>
      <w:r w:rsidRPr="00514304">
        <w:rPr>
          <w:rFonts w:ascii="Verdana" w:hAnsi="Verdana"/>
          <w:sz w:val="16"/>
          <w:szCs w:val="16"/>
        </w:rPr>
        <w:t xml:space="preserve"> párr. 228. </w:t>
      </w:r>
      <w:r w:rsidRPr="00514304">
        <w:rPr>
          <w:rFonts w:ascii="Verdana" w:hAnsi="Verdana"/>
          <w:i/>
          <w:sz w:val="16"/>
          <w:szCs w:val="16"/>
        </w:rPr>
        <w:t>Cfr.</w:t>
      </w:r>
      <w:r w:rsidRPr="00514304">
        <w:rPr>
          <w:rFonts w:ascii="Verdana" w:hAnsi="Verdana"/>
          <w:sz w:val="16"/>
          <w:szCs w:val="16"/>
        </w:rPr>
        <w:t xml:space="preserve"> Protocolo de Minnesota, </w:t>
      </w:r>
      <w:r w:rsidRPr="00514304">
        <w:rPr>
          <w:rFonts w:ascii="Verdana" w:hAnsi="Verdana"/>
          <w:i/>
          <w:sz w:val="16"/>
          <w:szCs w:val="16"/>
        </w:rPr>
        <w:t>supra</w:t>
      </w:r>
      <w:r w:rsidRPr="00514304">
        <w:rPr>
          <w:rFonts w:ascii="Verdana" w:hAnsi="Verdana"/>
          <w:sz w:val="16"/>
          <w:szCs w:val="16"/>
        </w:rPr>
        <w:t>.</w:t>
      </w:r>
    </w:p>
  </w:footnote>
  <w:footnote w:id="316">
    <w:p w14:paraId="0C704EC9" w14:textId="46FDB108" w:rsidR="006B2C5D" w:rsidRPr="00514304" w:rsidRDefault="006B2C5D" w:rsidP="00930C8B">
      <w:pPr>
        <w:tabs>
          <w:tab w:val="left" w:pos="567"/>
        </w:tabs>
        <w:jc w:val="both"/>
        <w:rPr>
          <w:rFonts w:ascii="Verdana" w:hAnsi="Verdana"/>
          <w:spacing w:val="-6"/>
          <w:sz w:val="16"/>
          <w:szCs w:val="16"/>
          <w:lang w:val="es-CR"/>
        </w:rPr>
      </w:pPr>
      <w:r w:rsidRPr="00514304">
        <w:rPr>
          <w:rStyle w:val="FootnoteReference"/>
          <w:rFonts w:eastAsia="Times New Roman"/>
          <w:sz w:val="16"/>
          <w:szCs w:val="16"/>
        </w:rPr>
        <w:footnoteRef/>
      </w:r>
      <w:r w:rsidRPr="00514304">
        <w:rPr>
          <w:rFonts w:ascii="Verdana" w:hAnsi="Verdana"/>
          <w:sz w:val="16"/>
          <w:szCs w:val="16"/>
        </w:rPr>
        <w:t xml:space="preserve"> </w:t>
      </w:r>
      <w:r w:rsidRPr="00514304">
        <w:rPr>
          <w:rFonts w:ascii="Verdana" w:hAnsi="Verdana"/>
          <w:sz w:val="16"/>
          <w:szCs w:val="16"/>
        </w:rPr>
        <w:tab/>
      </w:r>
      <w:r w:rsidRPr="00A0324F">
        <w:rPr>
          <w:rFonts w:ascii="Verdana" w:hAnsi="Verdana"/>
          <w:sz w:val="16"/>
          <w:szCs w:val="16"/>
        </w:rPr>
        <w:t xml:space="preserve">Las formalidades básicas que debe cumplir la autopsia implican indicar la fecha, hora de inicio y finalización, así como el lugar donde se realiza y el nombre del funcionario que la ejecuta. Asimismo, se debe, </w:t>
      </w:r>
      <w:r w:rsidRPr="00A0324F">
        <w:rPr>
          <w:rFonts w:ascii="Verdana" w:hAnsi="Verdana"/>
          <w:i/>
          <w:sz w:val="16"/>
          <w:szCs w:val="16"/>
        </w:rPr>
        <w:t>inter alia</w:t>
      </w:r>
      <w:r w:rsidRPr="00A0324F">
        <w:rPr>
          <w:rFonts w:ascii="Verdana" w:hAnsi="Verdana"/>
          <w:sz w:val="16"/>
          <w:szCs w:val="16"/>
        </w:rPr>
        <w:t xml:space="preserve">, fotografiar adecuadamente el cuerpo; tomar radiografías del cadáver, de su bolsa o envoltorio y después de desvestirlo [si fuera el caso], documentar toda lesión. </w:t>
      </w:r>
      <w:r w:rsidRPr="00A0324F">
        <w:rPr>
          <w:rFonts w:ascii="Verdana" w:hAnsi="Verdana"/>
          <w:i/>
          <w:sz w:val="16"/>
          <w:szCs w:val="16"/>
        </w:rPr>
        <w:t>Cfr.</w:t>
      </w:r>
      <w:r w:rsidRPr="00A0324F">
        <w:rPr>
          <w:rFonts w:ascii="Verdana" w:hAnsi="Verdana"/>
          <w:sz w:val="16"/>
          <w:szCs w:val="16"/>
        </w:rPr>
        <w:t xml:space="preserve"> </w:t>
      </w:r>
      <w:r w:rsidRPr="00A0324F">
        <w:rPr>
          <w:rFonts w:ascii="Verdana" w:hAnsi="Verdana"/>
          <w:i/>
          <w:sz w:val="16"/>
          <w:szCs w:val="16"/>
        </w:rPr>
        <w:t>Caso González y otras (“Campo Algodonero”), supra,</w:t>
      </w:r>
      <w:r w:rsidRPr="00A0324F">
        <w:rPr>
          <w:rFonts w:ascii="Verdana" w:hAnsi="Verdana"/>
          <w:sz w:val="16"/>
          <w:szCs w:val="16"/>
        </w:rPr>
        <w:t xml:space="preserve"> párr. 310, y </w:t>
      </w:r>
      <w:r w:rsidRPr="00A0324F">
        <w:rPr>
          <w:rFonts w:ascii="Verdana" w:hAnsi="Verdana"/>
          <w:i/>
          <w:sz w:val="16"/>
          <w:szCs w:val="16"/>
        </w:rPr>
        <w:t>Caso Defensor de Derechos Humanos y otros, supra</w:t>
      </w:r>
      <w:r w:rsidRPr="00A0324F">
        <w:rPr>
          <w:rFonts w:ascii="Verdana" w:hAnsi="Verdana"/>
          <w:sz w:val="16"/>
          <w:szCs w:val="16"/>
        </w:rPr>
        <w:t xml:space="preserve">, párr. 204. </w:t>
      </w:r>
    </w:p>
  </w:footnote>
  <w:footnote w:id="317">
    <w:p w14:paraId="0C704ECA" w14:textId="2FE83B49" w:rsidR="006B2C5D" w:rsidRPr="00514304" w:rsidRDefault="006B2C5D" w:rsidP="00930C8B">
      <w:pPr>
        <w:tabs>
          <w:tab w:val="left" w:pos="567"/>
        </w:tabs>
        <w:jc w:val="both"/>
        <w:rPr>
          <w:rFonts w:ascii="Verdana" w:hAnsi="Verdana"/>
          <w:sz w:val="16"/>
          <w:szCs w:val="16"/>
        </w:rPr>
      </w:pPr>
      <w:r w:rsidRPr="00514304">
        <w:rPr>
          <w:rStyle w:val="FootnoteReference"/>
          <w:rFonts w:eastAsia="Times New Roman"/>
          <w:sz w:val="16"/>
          <w:szCs w:val="16"/>
        </w:rPr>
        <w:footnoteRef/>
      </w:r>
      <w:r w:rsidRPr="00514304">
        <w:rPr>
          <w:rFonts w:ascii="Verdana" w:hAnsi="Verdana"/>
          <w:sz w:val="16"/>
          <w:szCs w:val="16"/>
        </w:rPr>
        <w:t xml:space="preserve">  </w:t>
      </w:r>
      <w:r w:rsidRPr="00514304">
        <w:rPr>
          <w:rFonts w:ascii="Verdana" w:hAnsi="Verdana"/>
          <w:sz w:val="16"/>
          <w:szCs w:val="16"/>
        </w:rPr>
        <w:tab/>
      </w:r>
      <w:r w:rsidRPr="00514304">
        <w:rPr>
          <w:rFonts w:ascii="Verdana" w:hAnsi="Verdana"/>
          <w:i/>
          <w:sz w:val="16"/>
          <w:szCs w:val="16"/>
        </w:rPr>
        <w:t xml:space="preserve">Cfr. </w:t>
      </w:r>
      <w:r w:rsidRPr="00514304">
        <w:rPr>
          <w:rFonts w:ascii="Verdana" w:hAnsi="Verdana"/>
          <w:bCs/>
          <w:i/>
          <w:sz w:val="16"/>
          <w:szCs w:val="16"/>
        </w:rPr>
        <w:t xml:space="preserve">Caso de la "Masacre de </w:t>
      </w:r>
      <w:proofErr w:type="spellStart"/>
      <w:r w:rsidRPr="00514304">
        <w:rPr>
          <w:rFonts w:ascii="Verdana" w:hAnsi="Verdana"/>
          <w:bCs/>
          <w:i/>
          <w:sz w:val="16"/>
          <w:szCs w:val="16"/>
        </w:rPr>
        <w:t>Mapiripán</w:t>
      </w:r>
      <w:proofErr w:type="spellEnd"/>
      <w:r w:rsidRPr="00514304">
        <w:rPr>
          <w:rFonts w:ascii="Verdana" w:hAnsi="Verdana"/>
          <w:bCs/>
          <w:i/>
          <w:sz w:val="16"/>
          <w:szCs w:val="16"/>
        </w:rPr>
        <w:t>" Vs. Colombia</w:t>
      </w:r>
      <w:r>
        <w:rPr>
          <w:rFonts w:ascii="Verdana" w:hAnsi="Verdana"/>
          <w:bCs/>
          <w:i/>
          <w:sz w:val="16"/>
          <w:szCs w:val="16"/>
        </w:rPr>
        <w:t>, supra,</w:t>
      </w:r>
      <w:r w:rsidRPr="00514304">
        <w:rPr>
          <w:rFonts w:ascii="Verdana" w:hAnsi="Verdana"/>
          <w:sz w:val="16"/>
          <w:szCs w:val="16"/>
        </w:rPr>
        <w:t xml:space="preserve"> párr. 228, y </w:t>
      </w:r>
      <w:r w:rsidRPr="00514304">
        <w:rPr>
          <w:rFonts w:ascii="Verdana" w:hAnsi="Verdana"/>
          <w:i/>
          <w:sz w:val="16"/>
          <w:szCs w:val="16"/>
        </w:rPr>
        <w:t>Caso Hermanos Landaeta</w:t>
      </w:r>
      <w:r>
        <w:rPr>
          <w:rFonts w:ascii="Verdana" w:hAnsi="Verdana"/>
          <w:i/>
          <w:sz w:val="16"/>
          <w:szCs w:val="16"/>
        </w:rPr>
        <w:t xml:space="preserve"> Mejías</w:t>
      </w:r>
      <w:r w:rsidRPr="00514304">
        <w:rPr>
          <w:rFonts w:ascii="Verdana" w:hAnsi="Verdana"/>
          <w:i/>
          <w:sz w:val="16"/>
          <w:szCs w:val="16"/>
        </w:rPr>
        <w:t xml:space="preserve"> y otros, supra,</w:t>
      </w:r>
      <w:r w:rsidRPr="00514304">
        <w:rPr>
          <w:rFonts w:ascii="Verdana" w:hAnsi="Verdana"/>
          <w:sz w:val="16"/>
          <w:szCs w:val="16"/>
        </w:rPr>
        <w:t xml:space="preserve"> párr. 261.</w:t>
      </w:r>
    </w:p>
  </w:footnote>
  <w:footnote w:id="318">
    <w:p w14:paraId="0C704ECB" w14:textId="7B371ADC" w:rsidR="006B2C5D" w:rsidRPr="00514304" w:rsidRDefault="006B2C5D" w:rsidP="00B15331">
      <w:pPr>
        <w:pStyle w:val="FootnoteText"/>
        <w:rPr>
          <w:lang w:val="es-CR"/>
        </w:rPr>
      </w:pPr>
      <w:r w:rsidRPr="00514304">
        <w:rPr>
          <w:rStyle w:val="FootnoteReference"/>
          <w:sz w:val="16"/>
        </w:rPr>
        <w:footnoteRef/>
      </w:r>
      <w:r w:rsidRPr="00514304">
        <w:t xml:space="preserve"> </w:t>
      </w:r>
      <w:r w:rsidRPr="00514304">
        <w:tab/>
      </w:r>
      <w:r w:rsidRPr="00565486">
        <w:rPr>
          <w:i/>
        </w:rPr>
        <w:t>Cfr. Caso Familia Barrios, supra,</w:t>
      </w:r>
      <w:r w:rsidRPr="00514304">
        <w:t xml:space="preserve"> párr. 253</w:t>
      </w:r>
      <w:r>
        <w:t xml:space="preserve"> y </w:t>
      </w:r>
      <w:r w:rsidRPr="00565486">
        <w:rPr>
          <w:i/>
        </w:rPr>
        <w:t>Caso Hermanos Landaeta Mejías y otros, supra,</w:t>
      </w:r>
      <w:r w:rsidRPr="00514304">
        <w:t xml:space="preserve"> párr. </w:t>
      </w:r>
      <w:r>
        <w:t>224.</w:t>
      </w:r>
    </w:p>
  </w:footnote>
  <w:footnote w:id="319">
    <w:p w14:paraId="0C704ECC" w14:textId="4E8E2984"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65486">
        <w:rPr>
          <w:i/>
        </w:rPr>
        <w:t xml:space="preserve">Cfr. Caso González y otras (“Campo Algodonero”), supra, </w:t>
      </w:r>
      <w:r w:rsidRPr="00514304">
        <w:t xml:space="preserve">párr. 368; </w:t>
      </w:r>
      <w:r w:rsidRPr="00A0324F">
        <w:t>i</w:t>
      </w:r>
      <w:r w:rsidRPr="00565486">
        <w:rPr>
          <w:i/>
        </w:rPr>
        <w:t xml:space="preserve">nter alia Caso Familia Barrios, supra, </w:t>
      </w:r>
      <w:r w:rsidRPr="00514304">
        <w:t xml:space="preserve">párr. 253, y </w:t>
      </w:r>
      <w:r w:rsidRPr="00565486">
        <w:rPr>
          <w:i/>
        </w:rPr>
        <w:t>Caso Hermanos Landaeta Mejías y otros, supra,</w:t>
      </w:r>
      <w:r w:rsidRPr="00514304">
        <w:t xml:space="preserve"> párr. 224. </w:t>
      </w:r>
    </w:p>
  </w:footnote>
  <w:footnote w:id="320">
    <w:p w14:paraId="0C704ECD" w14:textId="0841BABD" w:rsidR="006B2C5D" w:rsidRDefault="006B2C5D" w:rsidP="00B15331">
      <w:pPr>
        <w:pStyle w:val="FootnoteText"/>
      </w:pPr>
      <w:r w:rsidRPr="00514304">
        <w:rPr>
          <w:rStyle w:val="FootnoteReference"/>
          <w:sz w:val="16"/>
        </w:rPr>
        <w:footnoteRef/>
      </w:r>
      <w:r w:rsidRPr="00514304">
        <w:t xml:space="preserve"> </w:t>
      </w:r>
      <w:r w:rsidRPr="00514304">
        <w:tab/>
      </w:r>
      <w:r w:rsidRPr="00565486">
        <w:rPr>
          <w:i/>
        </w:rPr>
        <w:t>Cfr. Caso González y otras (“Campo Algodonero”), supra,</w:t>
      </w:r>
      <w:r w:rsidRPr="00514304">
        <w:t xml:space="preserve"> párr. 368; </w:t>
      </w:r>
      <w:r w:rsidRPr="00A0324F">
        <w:t>i</w:t>
      </w:r>
      <w:r w:rsidRPr="00565486">
        <w:rPr>
          <w:i/>
        </w:rPr>
        <w:t>nter alia, Caso Familia Barrios, supra,</w:t>
      </w:r>
      <w:r w:rsidRPr="00514304">
        <w:t xml:space="preserve"> párr. 253, y </w:t>
      </w:r>
      <w:r w:rsidRPr="00565486">
        <w:rPr>
          <w:i/>
        </w:rPr>
        <w:t xml:space="preserve">Caso Hermanos Landaeta Mejías y otros, supra, </w:t>
      </w:r>
      <w:r w:rsidRPr="00514304">
        <w:t>párrs. 224 a 225.</w:t>
      </w:r>
    </w:p>
  </w:footnote>
  <w:footnote w:id="321">
    <w:p w14:paraId="4635E9DC" w14:textId="1502B2C3" w:rsidR="006B2C5D" w:rsidRPr="00B15331" w:rsidRDefault="006B2C5D" w:rsidP="00B15331">
      <w:pPr>
        <w:pStyle w:val="FootnoteText"/>
      </w:pPr>
      <w:r w:rsidRPr="00B15331">
        <w:rPr>
          <w:rStyle w:val="FootnoteReference"/>
          <w:sz w:val="16"/>
        </w:rPr>
        <w:footnoteRef/>
      </w:r>
      <w:r w:rsidRPr="00B15331">
        <w:t xml:space="preserve"> </w:t>
      </w:r>
      <w:r>
        <w:tab/>
      </w:r>
      <w:r w:rsidRPr="00B15331">
        <w:rPr>
          <w:i/>
        </w:rPr>
        <w:t>Cfr.</w:t>
      </w:r>
      <w:r>
        <w:t xml:space="preserve"> </w:t>
      </w:r>
      <w:r w:rsidRPr="00B15331">
        <w:rPr>
          <w:i/>
        </w:rPr>
        <w:t xml:space="preserve">Caso </w:t>
      </w:r>
      <w:proofErr w:type="spellStart"/>
      <w:r w:rsidRPr="00B15331">
        <w:rPr>
          <w:i/>
        </w:rPr>
        <w:t>Hilaire</w:t>
      </w:r>
      <w:proofErr w:type="spellEnd"/>
      <w:r w:rsidRPr="00B15331">
        <w:rPr>
          <w:i/>
        </w:rPr>
        <w:t xml:space="preserve">, </w:t>
      </w:r>
      <w:proofErr w:type="spellStart"/>
      <w:r w:rsidRPr="00B15331">
        <w:rPr>
          <w:i/>
        </w:rPr>
        <w:t>Constantine</w:t>
      </w:r>
      <w:proofErr w:type="spellEnd"/>
      <w:r w:rsidRPr="00B15331">
        <w:rPr>
          <w:i/>
        </w:rPr>
        <w:t xml:space="preserve"> y </w:t>
      </w:r>
      <w:proofErr w:type="spellStart"/>
      <w:r w:rsidRPr="00B15331">
        <w:rPr>
          <w:i/>
        </w:rPr>
        <w:t>Benjamin</w:t>
      </w:r>
      <w:proofErr w:type="spellEnd"/>
      <w:r w:rsidRPr="00B15331">
        <w:rPr>
          <w:i/>
        </w:rPr>
        <w:t xml:space="preserve"> y otros Vs. Trinidad y Tobago</w:t>
      </w:r>
      <w:r w:rsidRPr="00B15331">
        <w:t xml:space="preserve">. </w:t>
      </w:r>
      <w:r w:rsidRPr="00B15331">
        <w:rPr>
          <w:i/>
        </w:rPr>
        <w:t>Fondo, Reparaciones y Costas</w:t>
      </w:r>
      <w:r w:rsidRPr="00B15331">
        <w:t xml:space="preserve">. Sentencia de 21 de junio de 2002. Serie C No. 94, párr. 145, y </w:t>
      </w:r>
      <w:r w:rsidRPr="00B15331">
        <w:rPr>
          <w:i/>
        </w:rPr>
        <w:t>Caso Veliz Franco y otros Vs. Guatemala. Excepciones Preliminares, Fondo, Reparaciones y Costas</w:t>
      </w:r>
      <w:r w:rsidRPr="00B15331">
        <w:t>. Sentencia de 19 de mayo de 2014. Serie C No. 277, párr. 217.</w:t>
      </w:r>
    </w:p>
  </w:footnote>
  <w:footnote w:id="322">
    <w:p w14:paraId="0C704ECE" w14:textId="77777777" w:rsidR="006B2C5D" w:rsidRDefault="006B2C5D" w:rsidP="00B15331">
      <w:pPr>
        <w:pStyle w:val="FootnoteText"/>
      </w:pPr>
      <w:r w:rsidRPr="00514304">
        <w:rPr>
          <w:rStyle w:val="FootnoteReference"/>
          <w:sz w:val="16"/>
        </w:rPr>
        <w:footnoteRef/>
      </w:r>
      <w:r w:rsidRPr="00514304">
        <w:t xml:space="preserve"> </w:t>
      </w:r>
      <w:r w:rsidRPr="00514304">
        <w:tab/>
        <w:t xml:space="preserve">Entre las más importantes: a) identificación y toma de declaración de los imputados (Alejandro Ortiz, Efraín Ortiz y </w:t>
      </w:r>
      <w:proofErr w:type="spellStart"/>
      <w:r w:rsidRPr="00514304">
        <w:t>Calín</w:t>
      </w:r>
      <w:proofErr w:type="spellEnd"/>
      <w:r w:rsidRPr="00514304">
        <w:t xml:space="preserve"> Ortiz); b) toma de declaración de testigos; c) establecimiento e inspección de la ubicación de las parcelas trabajadas por Paulino Mejía, en qué calidad fueron entregadas por la Comunidad de Punta Piedra, posesión actual de las mismas, y d) obtención de los títulos de propiedad de la comunidad.</w:t>
      </w:r>
    </w:p>
  </w:footnote>
  <w:footnote w:id="323">
    <w:p w14:paraId="0C704ECF" w14:textId="588ADFB8" w:rsidR="006B2C5D" w:rsidRPr="004D62BB" w:rsidRDefault="006B2C5D" w:rsidP="00B15331">
      <w:pPr>
        <w:pStyle w:val="FootnoteText"/>
        <w:rPr>
          <w:lang w:val="es-PE"/>
        </w:rPr>
      </w:pPr>
      <w:r w:rsidRPr="00514304">
        <w:rPr>
          <w:rStyle w:val="FootnoteReference"/>
          <w:sz w:val="16"/>
        </w:rPr>
        <w:footnoteRef/>
      </w:r>
      <w:r w:rsidRPr="00514304">
        <w:t xml:space="preserve"> </w:t>
      </w:r>
      <w:r w:rsidRPr="00514304">
        <w:tab/>
      </w:r>
      <w:r w:rsidRPr="00514304">
        <w:rPr>
          <w:i/>
          <w:lang w:val="es-PE"/>
        </w:rPr>
        <w:t>Cfr.</w:t>
      </w:r>
      <w:r w:rsidRPr="00514304">
        <w:rPr>
          <w:lang w:val="es-PE"/>
        </w:rPr>
        <w:t xml:space="preserve"> Declaración de </w:t>
      </w:r>
      <w:r w:rsidRPr="00514304">
        <w:t xml:space="preserve">Antonio Bernárdez Suazo de 3 de junio de 2013, y declaración de Andrés Álvarez </w:t>
      </w:r>
      <w:r w:rsidRPr="004D62BB">
        <w:t>Bernárdez de 3 de junio de 2013 (expediente de prueba, folios 1655 y 1659 a 1660).</w:t>
      </w:r>
    </w:p>
  </w:footnote>
  <w:footnote w:id="324">
    <w:p w14:paraId="0C704ED0" w14:textId="62B58E07" w:rsidR="006B2C5D" w:rsidRPr="004D62BB" w:rsidRDefault="006B2C5D" w:rsidP="00B15331">
      <w:pPr>
        <w:pStyle w:val="FootnoteText"/>
        <w:rPr>
          <w:lang w:val="es-PE"/>
        </w:rPr>
      </w:pPr>
      <w:r w:rsidRPr="004D62BB">
        <w:rPr>
          <w:rStyle w:val="FootnoteReference"/>
          <w:sz w:val="16"/>
        </w:rPr>
        <w:footnoteRef/>
      </w:r>
      <w:r w:rsidRPr="004D62BB">
        <w:t xml:space="preserve"> </w:t>
      </w:r>
      <w:r w:rsidRPr="004D62BB">
        <w:tab/>
      </w:r>
      <w:r w:rsidRPr="004D62BB">
        <w:rPr>
          <w:i/>
          <w:lang w:val="es-PE"/>
        </w:rPr>
        <w:t>Cfr.</w:t>
      </w:r>
      <w:r w:rsidRPr="004D62BB">
        <w:rPr>
          <w:lang w:val="es-PE"/>
        </w:rPr>
        <w:t xml:space="preserve"> Declaración</w:t>
      </w:r>
      <w:r w:rsidRPr="004D62BB">
        <w:t xml:space="preserve"> de Andrés Álvarez Bernárdez de 3 de junio de 2013 (expediente de prueba, folios 1659 a 1660).</w:t>
      </w:r>
    </w:p>
  </w:footnote>
  <w:footnote w:id="325">
    <w:p w14:paraId="0C704ED1" w14:textId="5F159712" w:rsidR="006B2C5D" w:rsidRPr="00514304" w:rsidRDefault="006B2C5D" w:rsidP="00930C8B">
      <w:pPr>
        <w:tabs>
          <w:tab w:val="left" w:pos="567"/>
        </w:tabs>
        <w:jc w:val="both"/>
        <w:rPr>
          <w:rFonts w:ascii="Verdana" w:hAnsi="Verdana"/>
          <w:sz w:val="16"/>
          <w:szCs w:val="16"/>
          <w:lang w:val="es-CR"/>
        </w:rPr>
      </w:pPr>
      <w:r w:rsidRPr="004D62BB">
        <w:rPr>
          <w:rStyle w:val="FootnoteReference"/>
          <w:sz w:val="16"/>
          <w:szCs w:val="16"/>
        </w:rPr>
        <w:footnoteRef/>
      </w:r>
      <w:r w:rsidRPr="004D62BB">
        <w:rPr>
          <w:rFonts w:ascii="Verdana" w:hAnsi="Verdana"/>
          <w:sz w:val="16"/>
          <w:szCs w:val="16"/>
        </w:rPr>
        <w:t xml:space="preserve"> </w:t>
      </w:r>
      <w:r w:rsidRPr="004D62BB">
        <w:rPr>
          <w:rFonts w:ascii="Verdana" w:hAnsi="Verdana"/>
          <w:sz w:val="16"/>
          <w:szCs w:val="16"/>
        </w:rPr>
        <w:tab/>
      </w:r>
      <w:r w:rsidRPr="004D62BB">
        <w:rPr>
          <w:rFonts w:ascii="Verdana" w:hAnsi="Verdana"/>
          <w:sz w:val="16"/>
          <w:szCs w:val="16"/>
          <w:lang w:val="es-CR"/>
        </w:rPr>
        <w:t xml:space="preserve">Adicionalmente, refiriéndose exclusivamente a la usurpación de tierras en perjuicio de toda la Comunidad de Punta Piedra, el Estado informó que conforme a la opinión de la Fiscal de Etnias “el territorio [materia de la denuncia de usurpación] también [estaba] ocupado por una comunidad campesina de Río Miel, que también [era] vulnerable, y que igualmente </w:t>
      </w:r>
      <w:proofErr w:type="spellStart"/>
      <w:proofErr w:type="gramStart"/>
      <w:r w:rsidRPr="004D62BB">
        <w:rPr>
          <w:rFonts w:ascii="Verdana" w:hAnsi="Verdana"/>
          <w:sz w:val="16"/>
          <w:szCs w:val="16"/>
          <w:lang w:val="es-CR"/>
        </w:rPr>
        <w:t>merec</w:t>
      </w:r>
      <w:proofErr w:type="spellEnd"/>
      <w:r w:rsidRPr="004D62BB">
        <w:rPr>
          <w:rFonts w:ascii="Verdana" w:hAnsi="Verdana"/>
          <w:sz w:val="16"/>
          <w:szCs w:val="16"/>
          <w:lang w:val="es-CR"/>
        </w:rPr>
        <w:t>[</w:t>
      </w:r>
      <w:proofErr w:type="spellStart"/>
      <w:proofErr w:type="gramEnd"/>
      <w:r w:rsidRPr="004D62BB">
        <w:rPr>
          <w:rFonts w:ascii="Verdana" w:hAnsi="Verdana"/>
          <w:sz w:val="16"/>
          <w:szCs w:val="16"/>
          <w:lang w:val="es-CR"/>
        </w:rPr>
        <w:t>ía</w:t>
      </w:r>
      <w:proofErr w:type="spellEnd"/>
      <w:r w:rsidRPr="004D62BB">
        <w:rPr>
          <w:rFonts w:ascii="Verdana" w:hAnsi="Verdana"/>
          <w:sz w:val="16"/>
          <w:szCs w:val="16"/>
          <w:lang w:val="es-CR"/>
        </w:rPr>
        <w:t xml:space="preserve">] protección por parte del Estado […]. En ese </w:t>
      </w:r>
      <w:proofErr w:type="gramStart"/>
      <w:r w:rsidRPr="004D62BB">
        <w:rPr>
          <w:rFonts w:ascii="Verdana" w:hAnsi="Verdana"/>
          <w:sz w:val="16"/>
          <w:szCs w:val="16"/>
          <w:lang w:val="es-CR"/>
        </w:rPr>
        <w:t>sentido[</w:t>
      </w:r>
      <w:proofErr w:type="gramEnd"/>
      <w:r w:rsidRPr="004D62BB">
        <w:rPr>
          <w:rFonts w:ascii="Verdana" w:hAnsi="Verdana"/>
          <w:sz w:val="16"/>
          <w:szCs w:val="16"/>
          <w:lang w:val="es-CR"/>
        </w:rPr>
        <w:t xml:space="preserve">,] </w:t>
      </w:r>
      <w:proofErr w:type="spellStart"/>
      <w:r w:rsidRPr="004D62BB">
        <w:rPr>
          <w:rFonts w:ascii="Verdana" w:hAnsi="Verdana"/>
          <w:sz w:val="16"/>
          <w:szCs w:val="16"/>
          <w:lang w:val="es-CR"/>
        </w:rPr>
        <w:t>coincid</w:t>
      </w:r>
      <w:proofErr w:type="spellEnd"/>
      <w:r w:rsidRPr="004D62BB">
        <w:rPr>
          <w:rFonts w:ascii="Verdana" w:hAnsi="Verdana"/>
          <w:sz w:val="16"/>
          <w:szCs w:val="16"/>
          <w:lang w:val="es-CR"/>
        </w:rPr>
        <w:t>[</w:t>
      </w:r>
      <w:proofErr w:type="spellStart"/>
      <w:r w:rsidRPr="004D62BB">
        <w:rPr>
          <w:rFonts w:ascii="Verdana" w:hAnsi="Verdana"/>
          <w:sz w:val="16"/>
          <w:szCs w:val="16"/>
          <w:lang w:val="es-CR"/>
        </w:rPr>
        <w:t>ieron</w:t>
      </w:r>
      <w:proofErr w:type="spellEnd"/>
      <w:r w:rsidRPr="004D62BB">
        <w:rPr>
          <w:rFonts w:ascii="Verdana" w:hAnsi="Verdana"/>
          <w:sz w:val="16"/>
          <w:szCs w:val="16"/>
          <w:lang w:val="es-CR"/>
        </w:rPr>
        <w:t xml:space="preserve">] en que la solución a este problema no [era] el ejercicio de la acción penal pública, puesto que los ocupantes, […] podrían aducir una prescripción adquisitiva […]”.Cabe hacer notar que esta opinión fue emitida mediante un memorándum interno, mas no constituye una decisión formal respecto a la denuncia interpuesta. </w:t>
      </w:r>
      <w:r w:rsidRPr="004D62BB">
        <w:rPr>
          <w:rFonts w:ascii="Verdana" w:hAnsi="Verdana"/>
          <w:i/>
          <w:sz w:val="16"/>
          <w:szCs w:val="16"/>
        </w:rPr>
        <w:t>Cfr.</w:t>
      </w:r>
      <w:r w:rsidRPr="004D62BB">
        <w:rPr>
          <w:rFonts w:ascii="Verdana" w:hAnsi="Verdana"/>
          <w:sz w:val="16"/>
          <w:szCs w:val="16"/>
        </w:rPr>
        <w:t xml:space="preserve"> Memorándum </w:t>
      </w:r>
      <w:r w:rsidRPr="004D62BB">
        <w:rPr>
          <w:rFonts w:ascii="Verdana" w:hAnsi="Verdana"/>
          <w:sz w:val="16"/>
          <w:szCs w:val="16"/>
          <w:lang w:val="es-CR"/>
        </w:rPr>
        <w:t xml:space="preserve">No. FEEPC-108-2014 </w:t>
      </w:r>
      <w:r w:rsidRPr="004D62BB">
        <w:rPr>
          <w:rFonts w:ascii="Verdana" w:hAnsi="Verdana"/>
          <w:sz w:val="16"/>
          <w:szCs w:val="16"/>
        </w:rPr>
        <w:t>de la Fiscalía Especial de Etnias y Patrimonio Cultural dirigido a la Coordinadora de la Unidad de Asuntos Internacionales, para informarle del estado actual de las denuncias a nivel interno, de fecha 2 de octubre de 2014 (expediente de prueba, folios 2327 a 2329).</w:t>
      </w:r>
    </w:p>
  </w:footnote>
  <w:footnote w:id="326">
    <w:p w14:paraId="0C704ED2" w14:textId="5A5168A7" w:rsidR="006B2C5D" w:rsidRPr="00514304" w:rsidRDefault="006B2C5D" w:rsidP="00930C8B">
      <w:pPr>
        <w:tabs>
          <w:tab w:val="left" w:pos="567"/>
        </w:tabs>
        <w:jc w:val="both"/>
        <w:rPr>
          <w:rFonts w:ascii="Verdana" w:hAnsi="Verdana"/>
          <w:spacing w:val="-6"/>
          <w:sz w:val="16"/>
          <w:szCs w:val="16"/>
          <w:lang w:val="es-CR"/>
        </w:rPr>
      </w:pPr>
      <w:r w:rsidRPr="00514304">
        <w:rPr>
          <w:rStyle w:val="FootnoteReference"/>
          <w:spacing w:val="-6"/>
          <w:sz w:val="16"/>
          <w:szCs w:val="16"/>
        </w:rPr>
        <w:footnoteRef/>
      </w:r>
      <w:r w:rsidRPr="00514304">
        <w:rPr>
          <w:rFonts w:ascii="Verdana" w:hAnsi="Verdana"/>
          <w:spacing w:val="-6"/>
          <w:sz w:val="16"/>
          <w:szCs w:val="16"/>
          <w:lang w:val="es-CR"/>
        </w:rPr>
        <w:t xml:space="preserve"> </w:t>
      </w:r>
      <w:r w:rsidRPr="00514304">
        <w:rPr>
          <w:rFonts w:ascii="Verdana" w:hAnsi="Verdana"/>
          <w:spacing w:val="-6"/>
          <w:sz w:val="16"/>
          <w:szCs w:val="16"/>
          <w:lang w:val="es-CR"/>
        </w:rPr>
        <w:tab/>
      </w:r>
      <w:r w:rsidRPr="00A0324F">
        <w:rPr>
          <w:rFonts w:ascii="Verdana" w:eastAsia="Batang" w:hAnsi="Verdana"/>
          <w:i/>
          <w:sz w:val="16"/>
          <w:szCs w:val="16"/>
          <w:lang w:val="es-ES" w:eastAsia="es-ES"/>
        </w:rPr>
        <w:t xml:space="preserve">Cfr. Caso de las Masacres de </w:t>
      </w:r>
      <w:proofErr w:type="spellStart"/>
      <w:r w:rsidRPr="00A0324F">
        <w:rPr>
          <w:rFonts w:ascii="Verdana" w:eastAsia="Batang" w:hAnsi="Verdana"/>
          <w:i/>
          <w:sz w:val="16"/>
          <w:szCs w:val="16"/>
          <w:lang w:val="es-ES" w:eastAsia="es-ES"/>
        </w:rPr>
        <w:t>Ituango</w:t>
      </w:r>
      <w:proofErr w:type="spellEnd"/>
      <w:r w:rsidRPr="00A0324F">
        <w:rPr>
          <w:rFonts w:ascii="Verdana" w:eastAsia="Batang" w:hAnsi="Verdana"/>
          <w:i/>
          <w:sz w:val="16"/>
          <w:szCs w:val="16"/>
          <w:lang w:val="es-ES" w:eastAsia="es-ES"/>
        </w:rPr>
        <w:t xml:space="preserve"> Vs. Colombia. Excepción Preliminar, Fondo, Reparaciones y Costas. Sentencia de 1 de julio de 2006. Serie C No. 148, párr. 3</w:t>
      </w:r>
      <w:r>
        <w:rPr>
          <w:rFonts w:ascii="Verdana" w:eastAsia="Batang" w:hAnsi="Verdana"/>
          <w:i/>
          <w:sz w:val="16"/>
          <w:szCs w:val="16"/>
          <w:lang w:val="es-ES" w:eastAsia="es-ES"/>
        </w:rPr>
        <w:t>00</w:t>
      </w:r>
      <w:r w:rsidRPr="00A0324F">
        <w:rPr>
          <w:rFonts w:ascii="Verdana" w:eastAsia="Batang" w:hAnsi="Verdana"/>
          <w:i/>
          <w:sz w:val="16"/>
          <w:szCs w:val="16"/>
          <w:lang w:val="es-ES" w:eastAsia="es-ES"/>
        </w:rPr>
        <w:t xml:space="preserve"> y Caso Hermanos</w:t>
      </w:r>
      <w:r w:rsidRPr="00514304">
        <w:rPr>
          <w:rFonts w:ascii="Verdana" w:hAnsi="Verdana"/>
          <w:i/>
          <w:sz w:val="16"/>
          <w:szCs w:val="16"/>
        </w:rPr>
        <w:t xml:space="preserve"> Landaeta</w:t>
      </w:r>
      <w:r>
        <w:rPr>
          <w:rFonts w:ascii="Verdana" w:hAnsi="Verdana"/>
          <w:i/>
          <w:sz w:val="16"/>
          <w:szCs w:val="16"/>
        </w:rPr>
        <w:t xml:space="preserve"> Mejías</w:t>
      </w:r>
      <w:r w:rsidRPr="00514304">
        <w:rPr>
          <w:rFonts w:ascii="Verdana" w:hAnsi="Verdana"/>
          <w:i/>
          <w:sz w:val="16"/>
          <w:szCs w:val="16"/>
        </w:rPr>
        <w:t xml:space="preserve"> y otros, supra,</w:t>
      </w:r>
      <w:r w:rsidRPr="00514304">
        <w:rPr>
          <w:rFonts w:ascii="Verdana" w:hAnsi="Verdana"/>
          <w:sz w:val="16"/>
          <w:szCs w:val="16"/>
        </w:rPr>
        <w:t xml:space="preserve"> párr. 216.</w:t>
      </w:r>
    </w:p>
  </w:footnote>
  <w:footnote w:id="327">
    <w:p w14:paraId="0C704ED3" w14:textId="42B0178C" w:rsidR="006B2C5D" w:rsidRPr="00514304" w:rsidRDefault="006B2C5D" w:rsidP="00B15331">
      <w:pPr>
        <w:pStyle w:val="FootnoteText"/>
      </w:pPr>
      <w:r w:rsidRPr="00514304">
        <w:rPr>
          <w:rStyle w:val="FootnoteReference"/>
          <w:sz w:val="16"/>
        </w:rPr>
        <w:footnoteRef/>
      </w:r>
      <w:r w:rsidRPr="00514304">
        <w:t xml:space="preserve"> </w:t>
      </w:r>
      <w:r w:rsidRPr="00514304">
        <w:tab/>
      </w:r>
      <w:r w:rsidRPr="00514304">
        <w:rPr>
          <w:i/>
        </w:rPr>
        <w:t xml:space="preserve">Cfr. Caso Velásquez Rodríguez </w:t>
      </w:r>
      <w:r>
        <w:rPr>
          <w:i/>
        </w:rPr>
        <w:t>V</w:t>
      </w:r>
      <w:r w:rsidRPr="00514304">
        <w:rPr>
          <w:i/>
        </w:rPr>
        <w:t>s</w:t>
      </w:r>
      <w:r>
        <w:rPr>
          <w:i/>
        </w:rPr>
        <w:t>.</w:t>
      </w:r>
      <w:r w:rsidRPr="00514304">
        <w:rPr>
          <w:i/>
        </w:rPr>
        <w:t xml:space="preserve"> Honduras</w:t>
      </w:r>
      <w:r w:rsidRPr="00514304">
        <w:t xml:space="preserve">. Resolución de la Corte de 15 de enero de 1988, </w:t>
      </w:r>
      <w:r w:rsidRPr="009D6B93">
        <w:t xml:space="preserve">Considerando 3, y </w:t>
      </w:r>
      <w:r w:rsidRPr="009D6B93">
        <w:rPr>
          <w:rStyle w:val="Strong"/>
          <w:b w:val="0"/>
          <w:i/>
          <w:color w:val="000000"/>
          <w:shd w:val="clear" w:color="auto" w:fill="FFFFFF"/>
          <w:lang w:val="es-CR"/>
        </w:rPr>
        <w:t>Asunto</w:t>
      </w:r>
      <w:r w:rsidRPr="00B24029">
        <w:rPr>
          <w:rStyle w:val="Strong"/>
          <w:b w:val="0"/>
          <w:i/>
          <w:color w:val="000000"/>
          <w:shd w:val="clear" w:color="auto" w:fill="FFFFFF"/>
          <w:lang w:val="es-CR"/>
        </w:rPr>
        <w:t xml:space="preserve"> Giraldo Cardona y otros</w:t>
      </w:r>
      <w:r w:rsidRPr="00B24029">
        <w:rPr>
          <w:rStyle w:val="Strong"/>
          <w:b w:val="0"/>
          <w:color w:val="000000"/>
          <w:shd w:val="clear" w:color="auto" w:fill="FFFFFF"/>
          <w:lang w:val="es-CR"/>
        </w:rPr>
        <w:t>. Resolución de la Corte Interamericana de Derechos Humanos de 28 de enero de 2015</w:t>
      </w:r>
      <w:r w:rsidRPr="00B24029">
        <w:t>,</w:t>
      </w:r>
      <w:r w:rsidRPr="00514304">
        <w:t xml:space="preserve"> Considerando 40.</w:t>
      </w:r>
    </w:p>
  </w:footnote>
  <w:footnote w:id="328">
    <w:p w14:paraId="0C704ED4" w14:textId="78843E62" w:rsidR="006B2C5D" w:rsidRPr="00514304" w:rsidRDefault="006B2C5D" w:rsidP="00B15331">
      <w:pPr>
        <w:pStyle w:val="FootnoteText"/>
        <w:rPr>
          <w:rFonts w:cs="Times-Roman"/>
        </w:rPr>
      </w:pPr>
      <w:r w:rsidRPr="00514304">
        <w:rPr>
          <w:rStyle w:val="FootnoteReference"/>
          <w:sz w:val="16"/>
        </w:rPr>
        <w:footnoteRef/>
      </w:r>
      <w:r w:rsidRPr="00514304">
        <w:t xml:space="preserve"> </w:t>
      </w:r>
      <w:r w:rsidRPr="00514304">
        <w:tab/>
      </w:r>
      <w:r w:rsidRPr="00415612">
        <w:rPr>
          <w:i/>
        </w:rPr>
        <w:t>Cfr. Caso Velásquez Rodríguez. Resolución, supra,</w:t>
      </w:r>
      <w:r w:rsidRPr="00514304">
        <w:t xml:space="preserve"> Considerando 3, y </w:t>
      </w:r>
      <w:r w:rsidRPr="00286EBD">
        <w:rPr>
          <w:rStyle w:val="Strong"/>
          <w:b w:val="0"/>
          <w:i/>
          <w:color w:val="000000"/>
          <w:shd w:val="clear" w:color="auto" w:fill="FFFFFF"/>
          <w:lang w:val="es-CR"/>
        </w:rPr>
        <w:t>Asunto Giraldo Cardona y otros</w:t>
      </w:r>
      <w:r w:rsidRPr="00286EBD">
        <w:rPr>
          <w:bCs/>
        </w:rPr>
        <w:t>,</w:t>
      </w:r>
      <w:r>
        <w:rPr>
          <w:bCs/>
        </w:rPr>
        <w:t xml:space="preserve"> </w:t>
      </w:r>
      <w:r w:rsidRPr="00415612">
        <w:rPr>
          <w:bCs/>
          <w:i/>
        </w:rPr>
        <w:t>supra</w:t>
      </w:r>
      <w:r w:rsidRPr="009A430E">
        <w:rPr>
          <w:bCs/>
        </w:rPr>
        <w:t>,</w:t>
      </w:r>
      <w:r w:rsidRPr="00286EBD">
        <w:rPr>
          <w:bCs/>
        </w:rPr>
        <w:t xml:space="preserve"> </w:t>
      </w:r>
      <w:r w:rsidRPr="00514304">
        <w:rPr>
          <w:bCs/>
        </w:rPr>
        <w:t>Considerando 40</w:t>
      </w:r>
      <w:r w:rsidRPr="00514304">
        <w:rPr>
          <w:rFonts w:cs="Times-Roman"/>
        </w:rPr>
        <w:t>.</w:t>
      </w:r>
    </w:p>
  </w:footnote>
  <w:footnote w:id="329">
    <w:p w14:paraId="0C704ED5" w14:textId="1F030FB2" w:rsidR="006B2C5D" w:rsidRPr="00514304" w:rsidRDefault="006B2C5D" w:rsidP="00930C8B">
      <w:pPr>
        <w:tabs>
          <w:tab w:val="left" w:pos="567"/>
        </w:tabs>
        <w:jc w:val="both"/>
        <w:rPr>
          <w:rFonts w:ascii="Verdana" w:hAnsi="Verdana"/>
          <w:strike/>
          <w:sz w:val="16"/>
          <w:szCs w:val="16"/>
        </w:rPr>
      </w:pPr>
      <w:r w:rsidRPr="00514304">
        <w:rPr>
          <w:rStyle w:val="FootnoteReference"/>
          <w:sz w:val="16"/>
          <w:szCs w:val="16"/>
        </w:rPr>
        <w:footnoteRef/>
      </w:r>
      <w:r w:rsidRPr="00514304">
        <w:rPr>
          <w:rFonts w:ascii="Verdana" w:hAnsi="Verdana"/>
          <w:sz w:val="16"/>
          <w:szCs w:val="16"/>
        </w:rPr>
        <w:t xml:space="preserve">  </w:t>
      </w:r>
      <w:r>
        <w:rPr>
          <w:rFonts w:ascii="Verdana" w:hAnsi="Verdana"/>
          <w:sz w:val="16"/>
          <w:szCs w:val="16"/>
        </w:rPr>
        <w:tab/>
      </w:r>
      <w:r>
        <w:rPr>
          <w:rFonts w:ascii="Verdana" w:hAnsi="Verdana"/>
          <w:sz w:val="16"/>
          <w:szCs w:val="16"/>
          <w:lang w:val="es-CR"/>
        </w:rPr>
        <w:t>E</w:t>
      </w:r>
      <w:r w:rsidRPr="00514304">
        <w:rPr>
          <w:rFonts w:ascii="Verdana" w:hAnsi="Verdana"/>
          <w:sz w:val="16"/>
          <w:szCs w:val="16"/>
          <w:lang w:val="es-CR"/>
        </w:rPr>
        <w:t xml:space="preserve">l artículo específico de </w:t>
      </w:r>
      <w:r w:rsidRPr="00012F57">
        <w:rPr>
          <w:rFonts w:ascii="Verdana" w:hAnsi="Verdana"/>
          <w:sz w:val="16"/>
          <w:szCs w:val="16"/>
          <w:lang w:val="es-CR"/>
        </w:rPr>
        <w:t>abuso a la autoridad</w:t>
      </w:r>
      <w:r w:rsidRPr="00514304">
        <w:rPr>
          <w:rFonts w:ascii="Verdana" w:hAnsi="Verdana"/>
          <w:sz w:val="16"/>
          <w:szCs w:val="16"/>
          <w:lang w:val="es-CR"/>
        </w:rPr>
        <w:t xml:space="preserve"> por el cual se interpuso la denuncia por la construcción de la brecha de la carretera no está mencionado en la denuncia. Sin embargo, el Cap. III “ABUSO DE AUTORIDAD Y VIOLACION DE LOS DEBERES DE LOS FUNCIONARIOS” del Código Penal de Honduras regula dichos tipos penales del art. 349-357. El artículo que aplicaría de manera general al presenta caso es el siguiente: “ARTICULO 349. Será castigado con reclusión de tres (3) a seis (6) años e inhabilitación especial por el doble del tiempo que dure la reclusión, el funcionario o empleado público que: 1) Se niegue a dar el debido cumplimiento a órdenes, sentencias, providencias, resoluciones, acuerdos o decretos dictados por las autoridades judiciales o administrativas dentro de los límites de sus respectivas competencias y con las formalidades legales; 2) Dicte o ejecute órdenes, sentencias, providencias, resoluciones, acuerdos o decretos contrarios a la Constitución de la República o a las leyes o se abstenga de cumplir lo dispuesto por cualquiera de dichos ordenamientos jurídicos; 3) Omita, rehúse o retarde algún acto que deba ejecutar de conformidad con los deberes de su cargo; […]</w:t>
      </w:r>
    </w:p>
  </w:footnote>
  <w:footnote w:id="330">
    <w:p w14:paraId="0C704ED6" w14:textId="5E752928" w:rsidR="006B2C5D" w:rsidRPr="00514304" w:rsidRDefault="006B2C5D" w:rsidP="00B15331">
      <w:pPr>
        <w:pStyle w:val="FootnoteText"/>
        <w:rPr>
          <w:lang w:val="es-CR"/>
        </w:rPr>
      </w:pPr>
      <w:r w:rsidRPr="00514304">
        <w:rPr>
          <w:rStyle w:val="FootnoteReference"/>
          <w:sz w:val="16"/>
        </w:rPr>
        <w:footnoteRef/>
      </w:r>
      <w:r w:rsidRPr="00514304">
        <w:t xml:space="preserve"> </w:t>
      </w:r>
      <w:r w:rsidRPr="00514304">
        <w:tab/>
      </w:r>
      <w:r w:rsidRPr="00514304">
        <w:rPr>
          <w:i/>
        </w:rPr>
        <w:t>Cfr.</w:t>
      </w:r>
      <w:r w:rsidRPr="00514304">
        <w:t xml:space="preserve"> Memorándum </w:t>
      </w:r>
      <w:r w:rsidRPr="00514304">
        <w:rPr>
          <w:lang w:val="es-CR"/>
        </w:rPr>
        <w:t xml:space="preserve">No. FEEPC-108-2014 </w:t>
      </w:r>
      <w:r w:rsidRPr="00514304">
        <w:t>de la Fiscalía de Etnias dirigido a la Coordinadora de la Unidad de Asuntos Internacionales, para informarle del estado actual de las denuncias a nivel interno, de fecha 2 de octubre de 2014 (</w:t>
      </w:r>
      <w:r>
        <w:t>expediente de prueba</w:t>
      </w:r>
      <w:r w:rsidRPr="00514304">
        <w:t>, folios 2327 a 2328).</w:t>
      </w:r>
    </w:p>
  </w:footnote>
  <w:footnote w:id="331">
    <w:p w14:paraId="0C704ED7" w14:textId="77777777" w:rsidR="006B2C5D" w:rsidRPr="008E65BF" w:rsidRDefault="006B2C5D" w:rsidP="008E65BF">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t>El artículo 63.1 de la Convención Americana establece que “[c]</w:t>
      </w:r>
      <w:proofErr w:type="spellStart"/>
      <w:r w:rsidRPr="008E65BF">
        <w:rPr>
          <w:rFonts w:ascii="Verdana" w:hAnsi="Verdana"/>
          <w:sz w:val="16"/>
          <w:szCs w:val="16"/>
        </w:rPr>
        <w:t>uando</w:t>
      </w:r>
      <w:proofErr w:type="spellEnd"/>
      <w:r w:rsidRPr="008E65BF">
        <w:rPr>
          <w:rFonts w:ascii="Verdana" w:hAnsi="Verdana"/>
          <w:sz w:val="16"/>
          <w:szCs w:val="16"/>
        </w:rPr>
        <w:t xml:space="preserve"> decida que hubo violación de un derecho o libertad protegidos en [la]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footnote>
  <w:footnote w:id="332">
    <w:p w14:paraId="0C704ED8" w14:textId="7F5F3EFF" w:rsidR="006B2C5D" w:rsidRPr="008E65BF" w:rsidRDefault="006B2C5D" w:rsidP="008E65BF">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r>
      <w:r w:rsidRPr="008E65BF">
        <w:rPr>
          <w:rFonts w:ascii="Verdana" w:hAnsi="Verdana"/>
          <w:i/>
          <w:sz w:val="16"/>
          <w:szCs w:val="16"/>
        </w:rPr>
        <w:t>Cfr. Caso Velásquez Rodríguez Vs. Honduras. Reparaciones y Costas.</w:t>
      </w:r>
      <w:r w:rsidRPr="008E65BF">
        <w:rPr>
          <w:rFonts w:ascii="Verdana" w:hAnsi="Verdana"/>
          <w:sz w:val="16"/>
          <w:szCs w:val="16"/>
        </w:rPr>
        <w:t xml:space="preserve"> Sentencia de 21 de julio de 1989. Serie C No. 7, párr. 25, y </w:t>
      </w:r>
      <w:r w:rsidRPr="008E65BF">
        <w:rPr>
          <w:rStyle w:val="Strong"/>
          <w:rFonts w:ascii="Verdana" w:hAnsi="Verdana"/>
          <w:b w:val="0"/>
          <w:i/>
          <w:color w:val="000000"/>
          <w:sz w:val="16"/>
          <w:szCs w:val="16"/>
          <w:shd w:val="clear" w:color="auto" w:fill="FFFFFF"/>
        </w:rPr>
        <w:t>Caso Omar Humberto Maldonado Vargas y otros</w:t>
      </w:r>
      <w:r>
        <w:rPr>
          <w:rStyle w:val="Strong"/>
          <w:rFonts w:ascii="Verdana" w:hAnsi="Verdana"/>
          <w:b w:val="0"/>
          <w:i/>
          <w:color w:val="000000"/>
          <w:sz w:val="16"/>
          <w:szCs w:val="16"/>
          <w:shd w:val="clear" w:color="auto" w:fill="FFFFFF"/>
        </w:rPr>
        <w:t>, supra</w:t>
      </w:r>
      <w:r w:rsidRPr="008E65BF">
        <w:rPr>
          <w:rStyle w:val="Strong"/>
          <w:rFonts w:ascii="Verdana" w:hAnsi="Verdana"/>
          <w:b w:val="0"/>
          <w:color w:val="000000"/>
          <w:sz w:val="16"/>
          <w:szCs w:val="16"/>
          <w:shd w:val="clear" w:color="auto" w:fill="FFFFFF"/>
        </w:rPr>
        <w:t>, párr. 149.</w:t>
      </w:r>
    </w:p>
  </w:footnote>
  <w:footnote w:id="333">
    <w:p w14:paraId="0C704ED9" w14:textId="2AC6BC60" w:rsidR="006B2C5D" w:rsidRPr="008E65BF" w:rsidRDefault="006B2C5D" w:rsidP="008E65BF">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r>
      <w:r w:rsidRPr="008E65BF">
        <w:rPr>
          <w:rFonts w:ascii="Verdana" w:hAnsi="Verdana"/>
          <w:i/>
          <w:sz w:val="16"/>
          <w:szCs w:val="16"/>
        </w:rPr>
        <w:t xml:space="preserve">Cfr. Caso </w:t>
      </w:r>
      <w:proofErr w:type="spellStart"/>
      <w:r w:rsidRPr="008E65BF">
        <w:rPr>
          <w:rFonts w:ascii="Verdana" w:hAnsi="Verdana"/>
          <w:i/>
          <w:sz w:val="16"/>
          <w:szCs w:val="16"/>
        </w:rPr>
        <w:t>Ticona</w:t>
      </w:r>
      <w:proofErr w:type="spellEnd"/>
      <w:r w:rsidRPr="008E65BF">
        <w:rPr>
          <w:rFonts w:ascii="Verdana" w:hAnsi="Verdana"/>
          <w:i/>
          <w:sz w:val="16"/>
          <w:szCs w:val="16"/>
        </w:rPr>
        <w:t xml:space="preserve"> Estrada y otros Vs. Bolivia. Fondo, Reparaciones y Costas. </w:t>
      </w:r>
      <w:r w:rsidRPr="008E65BF">
        <w:rPr>
          <w:rFonts w:ascii="Verdana" w:hAnsi="Verdana"/>
          <w:sz w:val="16"/>
          <w:szCs w:val="16"/>
        </w:rPr>
        <w:t xml:space="preserve">Sentencia de 27 de noviembre de 2008. Serie C No. 191, párr. 110, </w:t>
      </w:r>
      <w:r w:rsidRPr="008E65BF">
        <w:rPr>
          <w:rFonts w:ascii="Verdana" w:hAnsi="Verdana"/>
          <w:i/>
          <w:sz w:val="16"/>
          <w:szCs w:val="16"/>
        </w:rPr>
        <w:t xml:space="preserve">y </w:t>
      </w:r>
      <w:r w:rsidRPr="008E65BF">
        <w:rPr>
          <w:rStyle w:val="Strong"/>
          <w:rFonts w:ascii="Verdana" w:hAnsi="Verdana"/>
          <w:b w:val="0"/>
          <w:i/>
          <w:color w:val="000000"/>
          <w:sz w:val="16"/>
          <w:szCs w:val="16"/>
          <w:shd w:val="clear" w:color="auto" w:fill="FFFFFF"/>
        </w:rPr>
        <w:t>Caso Omar Humberto Maldonado Vargas y otros</w:t>
      </w:r>
      <w:r>
        <w:rPr>
          <w:rStyle w:val="Strong"/>
          <w:rFonts w:ascii="Verdana" w:hAnsi="Verdana"/>
          <w:b w:val="0"/>
          <w:i/>
          <w:color w:val="000000"/>
          <w:sz w:val="16"/>
          <w:szCs w:val="16"/>
          <w:shd w:val="clear" w:color="auto" w:fill="FFFFFF"/>
        </w:rPr>
        <w:t>, supra</w:t>
      </w:r>
      <w:r w:rsidRPr="008E65BF">
        <w:rPr>
          <w:rStyle w:val="Strong"/>
          <w:rFonts w:ascii="Verdana" w:hAnsi="Verdana"/>
          <w:b w:val="0"/>
          <w:color w:val="000000"/>
          <w:sz w:val="16"/>
          <w:szCs w:val="16"/>
          <w:shd w:val="clear" w:color="auto" w:fill="FFFFFF"/>
        </w:rPr>
        <w:t>, párr. 149</w:t>
      </w:r>
      <w:r w:rsidRPr="008E65BF">
        <w:rPr>
          <w:rFonts w:ascii="Verdana" w:hAnsi="Verdana"/>
          <w:sz w:val="16"/>
          <w:szCs w:val="16"/>
        </w:rPr>
        <w:t>.</w:t>
      </w:r>
    </w:p>
  </w:footnote>
  <w:footnote w:id="334">
    <w:p w14:paraId="0C704EDA" w14:textId="217B57D2" w:rsidR="006B2C5D" w:rsidRPr="008E65BF" w:rsidRDefault="006B2C5D" w:rsidP="008E65BF">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r>
      <w:r w:rsidRPr="008E65BF">
        <w:rPr>
          <w:rFonts w:ascii="Verdana" w:hAnsi="Verdana"/>
          <w:i/>
          <w:sz w:val="16"/>
          <w:szCs w:val="16"/>
        </w:rPr>
        <w:t xml:space="preserve">Cfr. Caso Velásquez Rodríguez. Reparaciones y Costas, </w:t>
      </w:r>
      <w:r>
        <w:rPr>
          <w:rFonts w:ascii="Verdana" w:hAnsi="Verdana"/>
          <w:i/>
          <w:sz w:val="16"/>
          <w:szCs w:val="16"/>
        </w:rPr>
        <w:t xml:space="preserve">supra, </w:t>
      </w:r>
      <w:r w:rsidRPr="008E65BF">
        <w:rPr>
          <w:rFonts w:ascii="Verdana" w:hAnsi="Verdana"/>
          <w:sz w:val="16"/>
          <w:szCs w:val="16"/>
        </w:rPr>
        <w:t xml:space="preserve">párr. 25 y 26, y </w:t>
      </w:r>
      <w:r w:rsidRPr="008E65BF">
        <w:rPr>
          <w:rStyle w:val="Strong"/>
          <w:rFonts w:ascii="Verdana" w:hAnsi="Verdana"/>
          <w:b w:val="0"/>
          <w:i/>
          <w:color w:val="000000"/>
          <w:sz w:val="16"/>
          <w:szCs w:val="16"/>
          <w:shd w:val="clear" w:color="auto" w:fill="FFFFFF"/>
        </w:rPr>
        <w:t xml:space="preserve">Caso Gonzales </w:t>
      </w:r>
      <w:proofErr w:type="spellStart"/>
      <w:r w:rsidRPr="008E65BF">
        <w:rPr>
          <w:rStyle w:val="Strong"/>
          <w:rFonts w:ascii="Verdana" w:hAnsi="Verdana"/>
          <w:b w:val="0"/>
          <w:i/>
          <w:color w:val="000000"/>
          <w:sz w:val="16"/>
          <w:szCs w:val="16"/>
          <w:shd w:val="clear" w:color="auto" w:fill="FFFFFF"/>
        </w:rPr>
        <w:t>Lluy</w:t>
      </w:r>
      <w:proofErr w:type="spellEnd"/>
      <w:r w:rsidRPr="008E65BF">
        <w:rPr>
          <w:rStyle w:val="Strong"/>
          <w:rFonts w:ascii="Verdana" w:hAnsi="Verdana"/>
          <w:b w:val="0"/>
          <w:i/>
          <w:color w:val="000000"/>
          <w:sz w:val="16"/>
          <w:szCs w:val="16"/>
          <w:shd w:val="clear" w:color="auto" w:fill="FFFFFF"/>
        </w:rPr>
        <w:t xml:space="preserve"> y otros</w:t>
      </w:r>
      <w:r>
        <w:rPr>
          <w:rStyle w:val="Strong"/>
          <w:rFonts w:ascii="Verdana" w:hAnsi="Verdana"/>
          <w:b w:val="0"/>
          <w:i/>
          <w:color w:val="000000"/>
          <w:sz w:val="16"/>
          <w:szCs w:val="16"/>
          <w:shd w:val="clear" w:color="auto" w:fill="FFFFFF"/>
        </w:rPr>
        <w:t>, supra</w:t>
      </w:r>
      <w:r w:rsidRPr="008E65BF">
        <w:rPr>
          <w:rStyle w:val="Strong"/>
          <w:rFonts w:ascii="Verdana" w:hAnsi="Verdana"/>
          <w:b w:val="0"/>
          <w:color w:val="000000"/>
          <w:sz w:val="16"/>
          <w:szCs w:val="16"/>
          <w:shd w:val="clear" w:color="auto" w:fill="FFFFFF"/>
        </w:rPr>
        <w:t>, párr. 344</w:t>
      </w:r>
      <w:r w:rsidRPr="008E65BF">
        <w:rPr>
          <w:rFonts w:ascii="Verdana" w:hAnsi="Verdana"/>
          <w:sz w:val="16"/>
          <w:szCs w:val="16"/>
        </w:rPr>
        <w:t>.</w:t>
      </w:r>
    </w:p>
  </w:footnote>
  <w:footnote w:id="335">
    <w:p w14:paraId="0C704EDC" w14:textId="671427F3" w:rsidR="006B2C5D" w:rsidRPr="008E65BF" w:rsidRDefault="006B2C5D">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r>
      <w:r w:rsidRPr="008E65BF">
        <w:rPr>
          <w:rFonts w:ascii="Verdana" w:hAnsi="Verdana"/>
          <w:i/>
          <w:sz w:val="16"/>
          <w:szCs w:val="16"/>
        </w:rPr>
        <w:t xml:space="preserve">Cfr. Caso Comunidad Indígena </w:t>
      </w:r>
      <w:proofErr w:type="spellStart"/>
      <w:r w:rsidRPr="008E65BF">
        <w:rPr>
          <w:rFonts w:ascii="Verdana" w:hAnsi="Verdana"/>
          <w:i/>
          <w:sz w:val="16"/>
          <w:szCs w:val="16"/>
        </w:rPr>
        <w:t>Sawhoyamaxa</w:t>
      </w:r>
      <w:proofErr w:type="spellEnd"/>
      <w:r>
        <w:rPr>
          <w:rFonts w:ascii="Verdana" w:hAnsi="Verdana"/>
          <w:i/>
          <w:sz w:val="16"/>
          <w:szCs w:val="16"/>
        </w:rPr>
        <w:t>, supra,</w:t>
      </w:r>
      <w:r w:rsidRPr="008E65BF">
        <w:rPr>
          <w:rFonts w:ascii="Verdana" w:hAnsi="Verdana"/>
          <w:sz w:val="16"/>
          <w:szCs w:val="16"/>
        </w:rPr>
        <w:t xml:space="preserve"> párr. 210, y </w:t>
      </w:r>
      <w:r w:rsidRPr="008E65BF">
        <w:rPr>
          <w:rFonts w:ascii="Verdana" w:hAnsi="Verdana"/>
          <w:i/>
          <w:sz w:val="16"/>
          <w:szCs w:val="16"/>
        </w:rPr>
        <w:t xml:space="preserve">Caso Comunidad Indígena </w:t>
      </w:r>
      <w:proofErr w:type="spellStart"/>
      <w:r w:rsidRPr="008E65BF">
        <w:rPr>
          <w:rFonts w:ascii="Verdana" w:hAnsi="Verdana"/>
          <w:i/>
          <w:sz w:val="16"/>
          <w:szCs w:val="16"/>
        </w:rPr>
        <w:t>Xákmok</w:t>
      </w:r>
      <w:proofErr w:type="spellEnd"/>
      <w:r w:rsidRPr="008E65BF">
        <w:rPr>
          <w:rFonts w:ascii="Verdana" w:hAnsi="Verdana"/>
          <w:i/>
          <w:sz w:val="16"/>
          <w:szCs w:val="16"/>
        </w:rPr>
        <w:t xml:space="preserve"> </w:t>
      </w:r>
      <w:proofErr w:type="spellStart"/>
      <w:r w:rsidRPr="008E65BF">
        <w:rPr>
          <w:rFonts w:ascii="Verdana" w:hAnsi="Verdana"/>
          <w:i/>
          <w:sz w:val="16"/>
          <w:szCs w:val="16"/>
        </w:rPr>
        <w:t>Kásek</w:t>
      </w:r>
      <w:proofErr w:type="spellEnd"/>
      <w:r>
        <w:rPr>
          <w:rFonts w:ascii="Verdana" w:hAnsi="Verdana"/>
          <w:i/>
          <w:sz w:val="16"/>
          <w:szCs w:val="16"/>
        </w:rPr>
        <w:t>, supra</w:t>
      </w:r>
      <w:r w:rsidRPr="008E65BF">
        <w:rPr>
          <w:rFonts w:ascii="Verdana" w:hAnsi="Verdana"/>
          <w:i/>
          <w:sz w:val="16"/>
          <w:szCs w:val="16"/>
        </w:rPr>
        <w:t>,</w:t>
      </w:r>
      <w:r w:rsidRPr="008E65BF">
        <w:rPr>
          <w:rFonts w:ascii="Verdana" w:hAnsi="Verdana"/>
          <w:sz w:val="16"/>
          <w:szCs w:val="16"/>
        </w:rPr>
        <w:t xml:space="preserve"> párr. 281</w:t>
      </w:r>
    </w:p>
  </w:footnote>
  <w:footnote w:id="336">
    <w:p w14:paraId="0C704EDD" w14:textId="1797CFEC" w:rsidR="006B2C5D" w:rsidRPr="008E65BF" w:rsidRDefault="006B2C5D" w:rsidP="00B15331">
      <w:pPr>
        <w:pStyle w:val="FootnoteText"/>
      </w:pPr>
      <w:r w:rsidRPr="008E65BF">
        <w:rPr>
          <w:rStyle w:val="FootnoteReference"/>
          <w:sz w:val="16"/>
        </w:rPr>
        <w:footnoteRef/>
      </w:r>
      <w:r w:rsidRPr="00ED79DB">
        <w:t xml:space="preserve">  </w:t>
      </w:r>
      <w:r w:rsidRPr="00ED79DB">
        <w:tab/>
      </w:r>
      <w:r w:rsidRPr="00415612">
        <w:rPr>
          <w:i/>
        </w:rPr>
        <w:t xml:space="preserve">Cfr. Caso de la Comunidad </w:t>
      </w:r>
      <w:proofErr w:type="spellStart"/>
      <w:r w:rsidRPr="00415612">
        <w:rPr>
          <w:i/>
        </w:rPr>
        <w:t>Mayagna</w:t>
      </w:r>
      <w:proofErr w:type="spellEnd"/>
      <w:r w:rsidRPr="00415612">
        <w:rPr>
          <w:i/>
        </w:rPr>
        <w:t xml:space="preserve"> (Sumo) </w:t>
      </w:r>
      <w:proofErr w:type="spellStart"/>
      <w:r w:rsidRPr="00415612">
        <w:rPr>
          <w:i/>
        </w:rPr>
        <w:t>Awas</w:t>
      </w:r>
      <w:proofErr w:type="spellEnd"/>
      <w:r w:rsidRPr="00415612">
        <w:rPr>
          <w:i/>
        </w:rPr>
        <w:t xml:space="preserve"> </w:t>
      </w:r>
      <w:proofErr w:type="spellStart"/>
      <w:r w:rsidRPr="00415612">
        <w:rPr>
          <w:i/>
        </w:rPr>
        <w:t>Tingni</w:t>
      </w:r>
      <w:proofErr w:type="spellEnd"/>
      <w:r w:rsidRPr="00415612">
        <w:rPr>
          <w:i/>
        </w:rPr>
        <w:t>, supra,</w:t>
      </w:r>
      <w:r>
        <w:t xml:space="preserve"> </w:t>
      </w:r>
      <w:r w:rsidRPr="008E65BF">
        <w:t xml:space="preserve">párr. 164. </w:t>
      </w:r>
    </w:p>
  </w:footnote>
  <w:footnote w:id="337">
    <w:p w14:paraId="0C704EDE" w14:textId="2AB94A69" w:rsidR="006B2C5D" w:rsidRPr="00A0324F" w:rsidRDefault="006B2C5D" w:rsidP="00B15331">
      <w:pPr>
        <w:pStyle w:val="FootnoteText"/>
        <w:rPr>
          <w:lang w:val="es-ES_tradnl"/>
        </w:rPr>
      </w:pPr>
      <w:r w:rsidRPr="008E65BF">
        <w:rPr>
          <w:rStyle w:val="FootnoteReference"/>
          <w:sz w:val="16"/>
        </w:rPr>
        <w:footnoteRef/>
      </w:r>
      <w:r w:rsidRPr="008E65BF">
        <w:t xml:space="preserve"> </w:t>
      </w:r>
      <w:r w:rsidRPr="008E65BF">
        <w:tab/>
      </w:r>
      <w:r w:rsidRPr="00415612">
        <w:rPr>
          <w:i/>
        </w:rPr>
        <w:t xml:space="preserve">Cfr. </w:t>
      </w:r>
      <w:r w:rsidRPr="00415612">
        <w:rPr>
          <w:rStyle w:val="Strong"/>
          <w:b w:val="0"/>
          <w:i/>
          <w:color w:val="000000"/>
          <w:shd w:val="clear" w:color="auto" w:fill="FFFFFF"/>
        </w:rPr>
        <w:t>Caso</w:t>
      </w:r>
      <w:r w:rsidRPr="008E65BF">
        <w:rPr>
          <w:rStyle w:val="Strong"/>
          <w:b w:val="0"/>
          <w:i/>
          <w:color w:val="000000"/>
          <w:shd w:val="clear" w:color="auto" w:fill="FFFFFF"/>
        </w:rPr>
        <w:t xml:space="preserve"> Comunidad Indígena </w:t>
      </w:r>
      <w:proofErr w:type="spellStart"/>
      <w:r w:rsidRPr="008E65BF">
        <w:rPr>
          <w:rStyle w:val="Strong"/>
          <w:b w:val="0"/>
          <w:i/>
          <w:color w:val="000000"/>
          <w:shd w:val="clear" w:color="auto" w:fill="FFFFFF"/>
        </w:rPr>
        <w:t>Yakye</w:t>
      </w:r>
      <w:proofErr w:type="spellEnd"/>
      <w:r w:rsidRPr="008E65BF">
        <w:rPr>
          <w:rStyle w:val="Strong"/>
          <w:b w:val="0"/>
          <w:i/>
          <w:color w:val="000000"/>
          <w:shd w:val="clear" w:color="auto" w:fill="FFFFFF"/>
        </w:rPr>
        <w:t xml:space="preserve"> Axa</w:t>
      </w:r>
      <w:r>
        <w:rPr>
          <w:rStyle w:val="Strong"/>
          <w:b w:val="0"/>
          <w:i/>
          <w:color w:val="000000"/>
          <w:shd w:val="clear" w:color="auto" w:fill="FFFFFF"/>
        </w:rPr>
        <w:t>, supra</w:t>
      </w:r>
      <w:r w:rsidRPr="008E65BF">
        <w:rPr>
          <w:rStyle w:val="Strong"/>
          <w:b w:val="0"/>
          <w:color w:val="000000"/>
          <w:shd w:val="clear" w:color="auto" w:fill="FFFFFF"/>
        </w:rPr>
        <w:t xml:space="preserve">, párr. 217, y </w:t>
      </w:r>
      <w:r w:rsidRPr="008E65BF">
        <w:rPr>
          <w:rStyle w:val="Strong"/>
          <w:b w:val="0"/>
          <w:i/>
          <w:color w:val="000000"/>
          <w:shd w:val="clear" w:color="auto" w:fill="FFFFFF"/>
        </w:rPr>
        <w:t xml:space="preserve">Caso Comunidad Indígena </w:t>
      </w:r>
      <w:proofErr w:type="spellStart"/>
      <w:r w:rsidRPr="008E65BF">
        <w:rPr>
          <w:rStyle w:val="Strong"/>
          <w:b w:val="0"/>
          <w:i/>
          <w:color w:val="000000"/>
          <w:shd w:val="clear" w:color="auto" w:fill="FFFFFF"/>
        </w:rPr>
        <w:t>Xákmok</w:t>
      </w:r>
      <w:proofErr w:type="spellEnd"/>
      <w:r w:rsidRPr="008E65BF">
        <w:rPr>
          <w:rStyle w:val="Strong"/>
          <w:b w:val="0"/>
          <w:i/>
          <w:color w:val="000000"/>
          <w:shd w:val="clear" w:color="auto" w:fill="FFFFFF"/>
        </w:rPr>
        <w:t xml:space="preserve"> </w:t>
      </w:r>
      <w:proofErr w:type="spellStart"/>
      <w:r w:rsidRPr="008E65BF">
        <w:rPr>
          <w:rStyle w:val="Strong"/>
          <w:b w:val="0"/>
          <w:i/>
          <w:color w:val="000000"/>
          <w:shd w:val="clear" w:color="auto" w:fill="FFFFFF"/>
        </w:rPr>
        <w:t>Kásek</w:t>
      </w:r>
      <w:proofErr w:type="spellEnd"/>
      <w:r>
        <w:rPr>
          <w:rStyle w:val="Strong"/>
          <w:b w:val="0"/>
          <w:i/>
          <w:color w:val="000000"/>
          <w:shd w:val="clear" w:color="auto" w:fill="FFFFFF"/>
        </w:rPr>
        <w:t>, supra</w:t>
      </w:r>
      <w:r w:rsidRPr="008E65BF">
        <w:rPr>
          <w:rStyle w:val="Strong"/>
          <w:b w:val="0"/>
          <w:color w:val="000000"/>
          <w:shd w:val="clear" w:color="auto" w:fill="FFFFFF"/>
        </w:rPr>
        <w:t>, párr. 286.</w:t>
      </w:r>
    </w:p>
  </w:footnote>
  <w:footnote w:id="338">
    <w:p w14:paraId="0C704EDF" w14:textId="4CBC5074" w:rsidR="006B2C5D" w:rsidRDefault="006B2C5D" w:rsidP="00B15331">
      <w:pPr>
        <w:pStyle w:val="FootnoteText"/>
      </w:pPr>
      <w:r w:rsidRPr="008E65BF">
        <w:rPr>
          <w:rStyle w:val="FootnoteReference"/>
          <w:sz w:val="16"/>
        </w:rPr>
        <w:footnoteRef/>
      </w:r>
      <w:r w:rsidRPr="008E65BF">
        <w:rPr>
          <w:lang w:val="es-CR"/>
        </w:rPr>
        <w:t xml:space="preserve"> </w:t>
      </w:r>
      <w:r w:rsidRPr="008E65BF">
        <w:rPr>
          <w:lang w:val="es-CR"/>
        </w:rPr>
        <w:tab/>
      </w:r>
      <w:r w:rsidRPr="00415612">
        <w:rPr>
          <w:i/>
        </w:rPr>
        <w:t xml:space="preserve">Cfr. </w:t>
      </w:r>
      <w:r w:rsidRPr="00415612">
        <w:rPr>
          <w:rStyle w:val="Strong"/>
          <w:b w:val="0"/>
          <w:i/>
          <w:color w:val="000000"/>
          <w:shd w:val="clear" w:color="auto" w:fill="FFFFFF"/>
        </w:rPr>
        <w:t>Caso</w:t>
      </w:r>
      <w:r w:rsidRPr="008E65BF">
        <w:rPr>
          <w:rStyle w:val="Strong"/>
          <w:b w:val="0"/>
          <w:i/>
          <w:color w:val="000000"/>
          <w:shd w:val="clear" w:color="auto" w:fill="FFFFFF"/>
        </w:rPr>
        <w:t xml:space="preserve"> Comunidad Indígena </w:t>
      </w:r>
      <w:proofErr w:type="spellStart"/>
      <w:r w:rsidRPr="008E65BF">
        <w:rPr>
          <w:rStyle w:val="Strong"/>
          <w:b w:val="0"/>
          <w:i/>
          <w:color w:val="000000"/>
          <w:shd w:val="clear" w:color="auto" w:fill="FFFFFF"/>
        </w:rPr>
        <w:t>Yakye</w:t>
      </w:r>
      <w:proofErr w:type="spellEnd"/>
      <w:r w:rsidRPr="008E65BF">
        <w:rPr>
          <w:rStyle w:val="Strong"/>
          <w:b w:val="0"/>
          <w:i/>
          <w:color w:val="000000"/>
          <w:shd w:val="clear" w:color="auto" w:fill="FFFFFF"/>
        </w:rPr>
        <w:t xml:space="preserve"> Axa</w:t>
      </w:r>
      <w:r>
        <w:rPr>
          <w:rStyle w:val="Strong"/>
          <w:b w:val="0"/>
          <w:i/>
          <w:color w:val="000000"/>
          <w:shd w:val="clear" w:color="auto" w:fill="FFFFFF"/>
        </w:rPr>
        <w:t>, supra</w:t>
      </w:r>
      <w:r w:rsidRPr="008E65BF">
        <w:rPr>
          <w:rStyle w:val="Strong"/>
          <w:b w:val="0"/>
          <w:color w:val="000000"/>
          <w:shd w:val="clear" w:color="auto" w:fill="FFFFFF"/>
        </w:rPr>
        <w:t xml:space="preserve">, párr. 217, y </w:t>
      </w:r>
      <w:r w:rsidRPr="008E65BF">
        <w:rPr>
          <w:rStyle w:val="Strong"/>
          <w:b w:val="0"/>
          <w:i/>
          <w:color w:val="000000"/>
          <w:shd w:val="clear" w:color="auto" w:fill="FFFFFF"/>
        </w:rPr>
        <w:t xml:space="preserve">Caso Comunidad Indígena </w:t>
      </w:r>
      <w:proofErr w:type="spellStart"/>
      <w:r w:rsidRPr="008E65BF">
        <w:rPr>
          <w:rStyle w:val="Strong"/>
          <w:b w:val="0"/>
          <w:i/>
          <w:color w:val="000000"/>
          <w:shd w:val="clear" w:color="auto" w:fill="FFFFFF"/>
        </w:rPr>
        <w:t>Xákmok</w:t>
      </w:r>
      <w:proofErr w:type="spellEnd"/>
      <w:r w:rsidRPr="008E65BF">
        <w:rPr>
          <w:rStyle w:val="Strong"/>
          <w:b w:val="0"/>
          <w:i/>
          <w:color w:val="000000"/>
          <w:shd w:val="clear" w:color="auto" w:fill="FFFFFF"/>
        </w:rPr>
        <w:t xml:space="preserve"> </w:t>
      </w:r>
      <w:proofErr w:type="spellStart"/>
      <w:r w:rsidRPr="008E65BF">
        <w:rPr>
          <w:rStyle w:val="Strong"/>
          <w:b w:val="0"/>
          <w:i/>
          <w:color w:val="000000"/>
          <w:shd w:val="clear" w:color="auto" w:fill="FFFFFF"/>
        </w:rPr>
        <w:t>Kásek</w:t>
      </w:r>
      <w:proofErr w:type="spellEnd"/>
      <w:r>
        <w:rPr>
          <w:rStyle w:val="Strong"/>
          <w:b w:val="0"/>
          <w:i/>
          <w:color w:val="000000"/>
          <w:shd w:val="clear" w:color="auto" w:fill="FFFFFF"/>
        </w:rPr>
        <w:t>, supra</w:t>
      </w:r>
      <w:r w:rsidRPr="008E65BF">
        <w:rPr>
          <w:rStyle w:val="Strong"/>
          <w:b w:val="0"/>
          <w:color w:val="000000"/>
          <w:shd w:val="clear" w:color="auto" w:fill="FFFFFF"/>
        </w:rPr>
        <w:t>, párr. 286</w:t>
      </w:r>
      <w:r w:rsidRPr="008E65BF">
        <w:rPr>
          <w:lang w:val="es-CR"/>
        </w:rPr>
        <w:t xml:space="preserve">.  Ver asimismo </w:t>
      </w:r>
      <w:r w:rsidRPr="00ED79DB">
        <w:t>el artículo 16 del Convenio 169 de la OIT</w:t>
      </w:r>
      <w:r>
        <w:t>.</w:t>
      </w:r>
    </w:p>
  </w:footnote>
  <w:footnote w:id="339">
    <w:p w14:paraId="0C704EE1" w14:textId="6F6749E1" w:rsidR="006B2C5D" w:rsidRDefault="006B2C5D" w:rsidP="00B15331">
      <w:pPr>
        <w:pStyle w:val="FootnoteText"/>
      </w:pPr>
      <w:r w:rsidRPr="008E65BF">
        <w:rPr>
          <w:rStyle w:val="FootnoteReference"/>
          <w:sz w:val="16"/>
        </w:rPr>
        <w:footnoteRef/>
      </w:r>
      <w:r w:rsidRPr="008E65BF">
        <w:t xml:space="preserve"> </w:t>
      </w:r>
      <w:r w:rsidRPr="008E65BF">
        <w:tab/>
      </w:r>
      <w:r w:rsidRPr="00415612">
        <w:rPr>
          <w:i/>
        </w:rPr>
        <w:t xml:space="preserve">Cfr. </w:t>
      </w:r>
      <w:r w:rsidRPr="00415612">
        <w:rPr>
          <w:rStyle w:val="Strong"/>
          <w:b w:val="0"/>
          <w:i/>
          <w:color w:val="000000"/>
          <w:shd w:val="clear" w:color="auto" w:fill="FFFFFF"/>
        </w:rPr>
        <w:t>Caso Comunidad</w:t>
      </w:r>
      <w:r w:rsidRPr="008E65BF">
        <w:rPr>
          <w:rStyle w:val="Strong"/>
          <w:b w:val="0"/>
          <w:i/>
          <w:color w:val="000000"/>
          <w:shd w:val="clear" w:color="auto" w:fill="FFFFFF"/>
        </w:rPr>
        <w:t xml:space="preserve"> Indígena </w:t>
      </w:r>
      <w:proofErr w:type="spellStart"/>
      <w:r w:rsidRPr="008E65BF">
        <w:rPr>
          <w:rStyle w:val="Strong"/>
          <w:b w:val="0"/>
          <w:i/>
          <w:color w:val="000000"/>
          <w:shd w:val="clear" w:color="auto" w:fill="FFFFFF"/>
        </w:rPr>
        <w:t>Yakye</w:t>
      </w:r>
      <w:proofErr w:type="spellEnd"/>
      <w:r w:rsidRPr="008E65BF">
        <w:rPr>
          <w:rStyle w:val="Strong"/>
          <w:b w:val="0"/>
          <w:i/>
          <w:color w:val="000000"/>
          <w:shd w:val="clear" w:color="auto" w:fill="FFFFFF"/>
        </w:rPr>
        <w:t xml:space="preserve"> Axa</w:t>
      </w:r>
      <w:r>
        <w:rPr>
          <w:rStyle w:val="Strong"/>
          <w:b w:val="0"/>
          <w:i/>
          <w:color w:val="000000"/>
          <w:shd w:val="clear" w:color="auto" w:fill="FFFFFF"/>
        </w:rPr>
        <w:t>, supra</w:t>
      </w:r>
      <w:r w:rsidRPr="008E65BF">
        <w:rPr>
          <w:rStyle w:val="Strong"/>
          <w:b w:val="0"/>
          <w:color w:val="000000"/>
          <w:shd w:val="clear" w:color="auto" w:fill="FFFFFF"/>
        </w:rPr>
        <w:t xml:space="preserve">, párr. 217, y </w:t>
      </w:r>
      <w:r w:rsidRPr="008E65BF">
        <w:rPr>
          <w:rStyle w:val="Strong"/>
          <w:b w:val="0"/>
          <w:i/>
          <w:color w:val="000000"/>
          <w:shd w:val="clear" w:color="auto" w:fill="FFFFFF"/>
        </w:rPr>
        <w:t xml:space="preserve">Caso Comunidad Indígena </w:t>
      </w:r>
      <w:proofErr w:type="spellStart"/>
      <w:r w:rsidRPr="008E65BF">
        <w:rPr>
          <w:rStyle w:val="Strong"/>
          <w:b w:val="0"/>
          <w:i/>
          <w:color w:val="000000"/>
          <w:shd w:val="clear" w:color="auto" w:fill="FFFFFF"/>
        </w:rPr>
        <w:t>Xákmok</w:t>
      </w:r>
      <w:proofErr w:type="spellEnd"/>
      <w:r w:rsidRPr="008E65BF">
        <w:rPr>
          <w:rStyle w:val="Strong"/>
          <w:b w:val="0"/>
          <w:i/>
          <w:color w:val="000000"/>
          <w:shd w:val="clear" w:color="auto" w:fill="FFFFFF"/>
        </w:rPr>
        <w:t xml:space="preserve"> </w:t>
      </w:r>
      <w:proofErr w:type="spellStart"/>
      <w:r w:rsidRPr="008E65BF">
        <w:rPr>
          <w:rStyle w:val="Strong"/>
          <w:b w:val="0"/>
          <w:i/>
          <w:color w:val="000000"/>
          <w:shd w:val="clear" w:color="auto" w:fill="FFFFFF"/>
        </w:rPr>
        <w:t>Kásek</w:t>
      </w:r>
      <w:proofErr w:type="spellEnd"/>
      <w:r>
        <w:rPr>
          <w:rStyle w:val="Strong"/>
          <w:b w:val="0"/>
          <w:i/>
          <w:color w:val="000000"/>
          <w:shd w:val="clear" w:color="auto" w:fill="FFFFFF"/>
        </w:rPr>
        <w:t>, supra</w:t>
      </w:r>
      <w:r w:rsidRPr="008E65BF">
        <w:rPr>
          <w:rStyle w:val="Strong"/>
          <w:b w:val="0"/>
          <w:color w:val="000000"/>
          <w:shd w:val="clear" w:color="auto" w:fill="FFFFFF"/>
        </w:rPr>
        <w:t>, párr. 286</w:t>
      </w:r>
      <w:r w:rsidRPr="008E65BF">
        <w:rPr>
          <w:lang w:val="es-CR"/>
        </w:rPr>
        <w:t xml:space="preserve">.  </w:t>
      </w:r>
    </w:p>
  </w:footnote>
  <w:footnote w:id="340">
    <w:p w14:paraId="0C704EE2" w14:textId="77777777" w:rsidR="006B2C5D" w:rsidRDefault="006B2C5D" w:rsidP="00B15331">
      <w:pPr>
        <w:pStyle w:val="FootnoteText"/>
      </w:pPr>
      <w:r w:rsidRPr="008E65BF">
        <w:rPr>
          <w:rStyle w:val="FootnoteReference"/>
          <w:sz w:val="16"/>
        </w:rPr>
        <w:footnoteRef/>
      </w:r>
      <w:r w:rsidRPr="008E65BF">
        <w:t xml:space="preserve"> </w:t>
      </w:r>
      <w:r w:rsidRPr="008E65BF">
        <w:tab/>
      </w:r>
      <w:r w:rsidRPr="00A0324F">
        <w:rPr>
          <w:i/>
        </w:rPr>
        <w:t>Cfr</w:t>
      </w:r>
      <w:r w:rsidRPr="008E65BF">
        <w:t xml:space="preserve">. Artículo 16.5 del Convenio 169 de la OIT. </w:t>
      </w:r>
    </w:p>
  </w:footnote>
  <w:footnote w:id="341">
    <w:p w14:paraId="0C704EE3" w14:textId="688A3179" w:rsidR="006B2C5D" w:rsidRDefault="006B2C5D" w:rsidP="00B15331">
      <w:pPr>
        <w:pStyle w:val="FootnoteText"/>
      </w:pPr>
      <w:r w:rsidRPr="008E65BF">
        <w:rPr>
          <w:rStyle w:val="FootnoteReference"/>
          <w:sz w:val="16"/>
        </w:rPr>
        <w:footnoteRef/>
      </w:r>
      <w:r w:rsidRPr="008E65BF">
        <w:t xml:space="preserve"> </w:t>
      </w:r>
      <w:r w:rsidRPr="008E65BF">
        <w:tab/>
      </w:r>
      <w:r w:rsidRPr="00415612">
        <w:rPr>
          <w:i/>
        </w:rPr>
        <w:t xml:space="preserve">Cfr. </w:t>
      </w:r>
      <w:r w:rsidRPr="00415612">
        <w:rPr>
          <w:rStyle w:val="Strong"/>
          <w:b w:val="0"/>
          <w:i/>
          <w:color w:val="000000"/>
          <w:shd w:val="clear" w:color="auto" w:fill="FFFFFF"/>
        </w:rPr>
        <w:t>Caso del</w:t>
      </w:r>
      <w:r w:rsidRPr="008E65BF">
        <w:rPr>
          <w:rStyle w:val="Strong"/>
          <w:b w:val="0"/>
          <w:i/>
          <w:color w:val="000000"/>
          <w:shd w:val="clear" w:color="auto" w:fill="FFFFFF"/>
        </w:rPr>
        <w:t xml:space="preserve"> Pueblo </w:t>
      </w:r>
      <w:proofErr w:type="spellStart"/>
      <w:r w:rsidRPr="008E65BF">
        <w:rPr>
          <w:rStyle w:val="Strong"/>
          <w:b w:val="0"/>
          <w:i/>
          <w:color w:val="000000"/>
          <w:shd w:val="clear" w:color="auto" w:fill="FFFFFF"/>
        </w:rPr>
        <w:t>Saramaka</w:t>
      </w:r>
      <w:proofErr w:type="spellEnd"/>
      <w:r>
        <w:rPr>
          <w:rStyle w:val="Strong"/>
          <w:b w:val="0"/>
          <w:i/>
          <w:color w:val="000000"/>
          <w:shd w:val="clear" w:color="auto" w:fill="FFFFFF"/>
        </w:rPr>
        <w:t>, supra</w:t>
      </w:r>
      <w:r w:rsidRPr="008E65BF">
        <w:rPr>
          <w:rStyle w:val="Strong"/>
          <w:b w:val="0"/>
          <w:color w:val="000000"/>
          <w:shd w:val="clear" w:color="auto" w:fill="FFFFFF"/>
        </w:rPr>
        <w:t xml:space="preserve">, párr. 194.d), y </w:t>
      </w:r>
      <w:r w:rsidRPr="008E65BF">
        <w:rPr>
          <w:rStyle w:val="Strong"/>
          <w:b w:val="0"/>
          <w:i/>
          <w:color w:val="000000"/>
          <w:shd w:val="clear" w:color="auto" w:fill="FFFFFF"/>
        </w:rPr>
        <w:t xml:space="preserve">Caso Pueblo Indígena </w:t>
      </w:r>
      <w:proofErr w:type="spellStart"/>
      <w:r w:rsidRPr="008E65BF">
        <w:rPr>
          <w:rStyle w:val="Strong"/>
          <w:b w:val="0"/>
          <w:i/>
          <w:color w:val="000000"/>
          <w:shd w:val="clear" w:color="auto" w:fill="FFFFFF"/>
        </w:rPr>
        <w:t>Kichwa</w:t>
      </w:r>
      <w:proofErr w:type="spellEnd"/>
      <w:r w:rsidRPr="008E65BF">
        <w:rPr>
          <w:rStyle w:val="Strong"/>
          <w:b w:val="0"/>
          <w:i/>
          <w:color w:val="000000"/>
          <w:shd w:val="clear" w:color="auto" w:fill="FFFFFF"/>
        </w:rPr>
        <w:t xml:space="preserve"> de </w:t>
      </w:r>
      <w:proofErr w:type="spellStart"/>
      <w:r w:rsidRPr="008E65BF">
        <w:rPr>
          <w:rStyle w:val="Strong"/>
          <w:b w:val="0"/>
          <w:i/>
          <w:color w:val="000000"/>
          <w:shd w:val="clear" w:color="auto" w:fill="FFFFFF"/>
        </w:rPr>
        <w:t>Sarayaku</w:t>
      </w:r>
      <w:proofErr w:type="spellEnd"/>
      <w:r>
        <w:rPr>
          <w:rStyle w:val="Strong"/>
          <w:b w:val="0"/>
          <w:i/>
          <w:color w:val="000000"/>
          <w:shd w:val="clear" w:color="auto" w:fill="FFFFFF"/>
        </w:rPr>
        <w:t>, supra</w:t>
      </w:r>
      <w:r w:rsidRPr="008E65BF">
        <w:rPr>
          <w:rStyle w:val="Strong"/>
          <w:b w:val="0"/>
          <w:color w:val="000000"/>
          <w:shd w:val="clear" w:color="auto" w:fill="FFFFFF"/>
        </w:rPr>
        <w:t>, párr. 299.</w:t>
      </w:r>
    </w:p>
  </w:footnote>
  <w:footnote w:id="342">
    <w:p w14:paraId="0C704EE4" w14:textId="5B665C0B" w:rsidR="006B2C5D" w:rsidRPr="008E65BF" w:rsidRDefault="006B2C5D">
      <w:pPr>
        <w:tabs>
          <w:tab w:val="left" w:pos="567"/>
        </w:tabs>
        <w:contextualSpacing/>
        <w:jc w:val="both"/>
        <w:rPr>
          <w:rFonts w:ascii="Verdana" w:hAnsi="Verdana"/>
          <w:sz w:val="16"/>
          <w:szCs w:val="16"/>
          <w:lang w:val="es-ES"/>
        </w:rPr>
      </w:pPr>
      <w:r w:rsidRPr="008E65BF">
        <w:rPr>
          <w:rStyle w:val="FootnoteReference"/>
          <w:sz w:val="16"/>
          <w:szCs w:val="16"/>
        </w:rPr>
        <w:footnoteRef/>
      </w:r>
      <w:r w:rsidRPr="008E65BF">
        <w:rPr>
          <w:rFonts w:ascii="Verdana" w:hAnsi="Verdana"/>
          <w:sz w:val="16"/>
          <w:szCs w:val="16"/>
        </w:rPr>
        <w:t xml:space="preserve"> </w:t>
      </w:r>
      <w:r w:rsidRPr="008E65BF">
        <w:rPr>
          <w:rFonts w:ascii="Verdana" w:hAnsi="Verdana"/>
          <w:sz w:val="16"/>
          <w:szCs w:val="16"/>
        </w:rPr>
        <w:tab/>
        <w:t xml:space="preserve">A saber: i) </w:t>
      </w:r>
      <w:r w:rsidRPr="008E65BF">
        <w:rPr>
          <w:rFonts w:ascii="Verdana" w:hAnsi="Verdana" w:cs="Arial"/>
          <w:sz w:val="16"/>
          <w:szCs w:val="16"/>
          <w:lang w:val="es-ES"/>
        </w:rPr>
        <w:t xml:space="preserve">para el cultivo de arroz 100 </w:t>
      </w:r>
      <w:r>
        <w:rPr>
          <w:rFonts w:ascii="Verdana" w:hAnsi="Verdana" w:cs="Arial"/>
          <w:sz w:val="16"/>
          <w:szCs w:val="16"/>
          <w:lang w:val="es-ES"/>
        </w:rPr>
        <w:t>ha</w:t>
      </w:r>
      <w:r w:rsidRPr="008E65BF">
        <w:rPr>
          <w:rFonts w:ascii="Verdana" w:hAnsi="Verdana" w:cs="Arial"/>
          <w:sz w:val="16"/>
          <w:szCs w:val="16"/>
          <w:lang w:val="es-ES"/>
        </w:rPr>
        <w:t xml:space="preserve"> con su respectiva maquinaria aradora, procesador, despulpador, silos de almacenaje, bodegas y un camión para la distribución de comercio abierto para el pueblo Garífuna; ii) para el cultivo de plátano 100 </w:t>
      </w:r>
      <w:r>
        <w:rPr>
          <w:rFonts w:ascii="Verdana" w:hAnsi="Verdana" w:cs="Arial"/>
          <w:sz w:val="16"/>
          <w:szCs w:val="16"/>
          <w:lang w:val="es-ES"/>
        </w:rPr>
        <w:t>ha</w:t>
      </w:r>
      <w:r w:rsidRPr="008E65BF">
        <w:rPr>
          <w:rFonts w:ascii="Verdana" w:hAnsi="Verdana" w:cs="Arial"/>
          <w:sz w:val="16"/>
          <w:szCs w:val="16"/>
          <w:lang w:val="es-ES"/>
        </w:rPr>
        <w:t xml:space="preserve"> con empacadora para el procesamiento y elaboración de tajadas para el comercio y la distribución de los mismos; iii) para el cultivo de yuca 200 </w:t>
      </w:r>
      <w:r>
        <w:rPr>
          <w:rFonts w:ascii="Verdana" w:hAnsi="Verdana" w:cs="Arial"/>
          <w:sz w:val="16"/>
          <w:szCs w:val="16"/>
          <w:lang w:val="es-ES"/>
        </w:rPr>
        <w:t>ha</w:t>
      </w:r>
      <w:r w:rsidRPr="008E65BF">
        <w:rPr>
          <w:rFonts w:ascii="Verdana" w:hAnsi="Verdana" w:cs="Arial"/>
          <w:sz w:val="16"/>
          <w:szCs w:val="16"/>
          <w:lang w:val="es-ES"/>
        </w:rPr>
        <w:t xml:space="preserve"> con fábrica y empacadora para la elaboración de casabe, </w:t>
      </w:r>
      <w:proofErr w:type="spellStart"/>
      <w:r w:rsidRPr="008E65BF">
        <w:rPr>
          <w:rFonts w:ascii="Verdana" w:hAnsi="Verdana" w:cs="Arial"/>
          <w:sz w:val="16"/>
          <w:szCs w:val="16"/>
          <w:lang w:val="es-ES"/>
        </w:rPr>
        <w:t>saborizar</w:t>
      </w:r>
      <w:proofErr w:type="spellEnd"/>
      <w:r w:rsidRPr="008E65BF">
        <w:rPr>
          <w:rFonts w:ascii="Verdana" w:hAnsi="Verdana" w:cs="Arial"/>
          <w:sz w:val="16"/>
          <w:szCs w:val="16"/>
          <w:lang w:val="es-ES"/>
        </w:rPr>
        <w:t xml:space="preserve">, embolsar y trabajar todos los productos derivados de la yuca; iv) para el cultivo de cocos altos del pacífico resistentes al </w:t>
      </w:r>
      <w:proofErr w:type="spellStart"/>
      <w:r w:rsidRPr="008E65BF">
        <w:rPr>
          <w:rFonts w:ascii="Verdana" w:hAnsi="Verdana" w:cs="Arial"/>
          <w:sz w:val="16"/>
          <w:szCs w:val="16"/>
          <w:lang w:val="es-ES"/>
        </w:rPr>
        <w:t>amarillamiento</w:t>
      </w:r>
      <w:proofErr w:type="spellEnd"/>
      <w:r w:rsidRPr="008E65BF">
        <w:rPr>
          <w:rFonts w:ascii="Verdana" w:hAnsi="Verdana" w:cs="Arial"/>
          <w:sz w:val="16"/>
          <w:szCs w:val="16"/>
          <w:lang w:val="es-ES"/>
        </w:rPr>
        <w:t xml:space="preserve"> letal, 100 </w:t>
      </w:r>
      <w:r>
        <w:rPr>
          <w:rFonts w:ascii="Verdana" w:hAnsi="Verdana" w:cs="Arial"/>
          <w:sz w:val="16"/>
          <w:szCs w:val="16"/>
          <w:lang w:val="es-ES"/>
        </w:rPr>
        <w:t>ha</w:t>
      </w:r>
      <w:r w:rsidRPr="008E65BF">
        <w:rPr>
          <w:rFonts w:ascii="Verdana" w:hAnsi="Verdana" w:cs="Arial"/>
          <w:sz w:val="16"/>
          <w:szCs w:val="16"/>
          <w:lang w:val="es-ES"/>
        </w:rPr>
        <w:t xml:space="preserve"> con su respectiva fábrica para el rayado del coco, embotellamiento del agua,  y hacer con el coco los diferentes derivados de la misma, como ser aceite de coco y su envasado, las tabletas y sus empaques y otros más; v) para el cultivo de árboles frutales y vegetales 100 </w:t>
      </w:r>
      <w:r>
        <w:rPr>
          <w:rFonts w:ascii="Verdana" w:hAnsi="Verdana" w:cs="Arial"/>
          <w:sz w:val="16"/>
          <w:szCs w:val="16"/>
          <w:lang w:val="es-ES"/>
        </w:rPr>
        <w:t>ha</w:t>
      </w:r>
      <w:r w:rsidRPr="008E65BF">
        <w:rPr>
          <w:rFonts w:ascii="Verdana" w:hAnsi="Verdana" w:cs="Arial"/>
          <w:sz w:val="16"/>
          <w:szCs w:val="16"/>
          <w:lang w:val="es-ES"/>
        </w:rPr>
        <w:t xml:space="preserve"> con la asistencia de los agrónomos de la Comunidad para todos los rubros y las diferentes fábricas; vi) un proyecto de cría de cerdos con su propia infraestructura (galpones, rastro y cuarto frío); vii) un proyecto de cría de gallinas ponedoras de huevos con su propia infraestructura (galp</w:t>
      </w:r>
      <w:r w:rsidRPr="00ED79DB">
        <w:rPr>
          <w:rFonts w:ascii="Verdana" w:hAnsi="Verdana" w:cs="Arial"/>
          <w:sz w:val="16"/>
          <w:szCs w:val="16"/>
          <w:lang w:val="es-ES"/>
        </w:rPr>
        <w:t>ones); viii) un proyecto de cría y engorde de pollo para la comercialización con su propia infraestructura (galpones</w:t>
      </w:r>
      <w:r w:rsidRPr="008E65BF">
        <w:rPr>
          <w:rFonts w:ascii="Verdana" w:hAnsi="Verdana" w:cs="Arial"/>
          <w:sz w:val="16"/>
          <w:szCs w:val="16"/>
          <w:lang w:val="es-ES"/>
        </w:rPr>
        <w:t>, rastro y cuarto frío para almacenaje); ix) un proyecto de cría de tilapias con su respectiva infraestructura para los tiempos de escasez por la veda a la pesca artesanal; x) un proyecto de pesca que incluye 4 lanchas, 4 motores, redes y aperos de pesca, sondas para pesca, radares, GPS, cuarto frío para almacenaje del producto y vehículo para el traslado, comercialización y venta de los mismos; xi) un capital de semilla de US$ 500.000 para las diferentes empresas que estarán funcionando en la zona recuperada por el pueblo Garífuna de Punta Piedra.</w:t>
      </w:r>
    </w:p>
  </w:footnote>
  <w:footnote w:id="343">
    <w:p w14:paraId="0C704EE5" w14:textId="660FB262" w:rsidR="006B2C5D" w:rsidRPr="008E65BF" w:rsidRDefault="006B2C5D">
      <w:pPr>
        <w:tabs>
          <w:tab w:val="left" w:pos="567"/>
        </w:tabs>
        <w:contextualSpacing/>
        <w:jc w:val="both"/>
        <w:rPr>
          <w:rFonts w:ascii="Verdana" w:hAnsi="Verdana" w:cs="Arial"/>
          <w:sz w:val="16"/>
          <w:szCs w:val="16"/>
          <w:lang w:val="es-ES"/>
        </w:rPr>
      </w:pPr>
      <w:r w:rsidRPr="008E65BF">
        <w:rPr>
          <w:rStyle w:val="FootnoteReference"/>
          <w:sz w:val="16"/>
          <w:szCs w:val="16"/>
        </w:rPr>
        <w:footnoteRef/>
      </w:r>
      <w:r w:rsidRPr="008E65BF">
        <w:rPr>
          <w:rFonts w:ascii="Verdana" w:hAnsi="Verdana"/>
          <w:sz w:val="16"/>
          <w:szCs w:val="16"/>
        </w:rPr>
        <w:t xml:space="preserve"> </w:t>
      </w:r>
      <w:r w:rsidRPr="008E65BF">
        <w:rPr>
          <w:rFonts w:ascii="Verdana" w:hAnsi="Verdana"/>
          <w:sz w:val="16"/>
          <w:szCs w:val="16"/>
        </w:rPr>
        <w:tab/>
        <w:t>A saber: i) l</w:t>
      </w:r>
      <w:r w:rsidRPr="008E65BF">
        <w:rPr>
          <w:rFonts w:ascii="Verdana" w:hAnsi="Verdana" w:cs="Arial"/>
          <w:sz w:val="16"/>
          <w:szCs w:val="16"/>
          <w:lang w:val="es-ES"/>
        </w:rPr>
        <w:t xml:space="preserve">a reforestación de 178 </w:t>
      </w:r>
      <w:r>
        <w:rPr>
          <w:rFonts w:ascii="Verdana" w:hAnsi="Verdana" w:cs="Arial"/>
          <w:sz w:val="16"/>
          <w:szCs w:val="16"/>
          <w:lang w:val="es-ES"/>
        </w:rPr>
        <w:t>ha</w:t>
      </w:r>
      <w:r w:rsidRPr="008E65BF">
        <w:rPr>
          <w:rFonts w:ascii="Verdana" w:hAnsi="Verdana" w:cs="Arial"/>
          <w:sz w:val="16"/>
          <w:szCs w:val="16"/>
          <w:lang w:val="es-ES"/>
        </w:rPr>
        <w:t xml:space="preserve"> con árboles de  laurel, santa maría, teca, </w:t>
      </w:r>
      <w:proofErr w:type="spellStart"/>
      <w:r w:rsidRPr="008E65BF">
        <w:rPr>
          <w:rFonts w:ascii="Verdana" w:hAnsi="Verdana" w:cs="Arial"/>
          <w:sz w:val="16"/>
          <w:szCs w:val="16"/>
          <w:lang w:val="es-ES"/>
        </w:rPr>
        <w:t>guanacaste</w:t>
      </w:r>
      <w:proofErr w:type="spellEnd"/>
      <w:r w:rsidRPr="008E65BF">
        <w:rPr>
          <w:rFonts w:ascii="Verdana" w:hAnsi="Verdana" w:cs="Arial"/>
          <w:sz w:val="16"/>
          <w:szCs w:val="16"/>
          <w:lang w:val="es-ES"/>
        </w:rPr>
        <w:t xml:space="preserve">, barba de jolote y ceibón, y ii) el dragado de todas las cuencas de agua de la zona de Río Miel y  la reforestación de las mismas con árboles de bambú desde la cuenca hasta la desembocadura. </w:t>
      </w:r>
    </w:p>
  </w:footnote>
  <w:footnote w:id="344">
    <w:p w14:paraId="0C704EE6" w14:textId="77777777" w:rsidR="006B2C5D" w:rsidRPr="008E65BF" w:rsidRDefault="006B2C5D">
      <w:pPr>
        <w:tabs>
          <w:tab w:val="left" w:pos="567"/>
        </w:tabs>
        <w:contextualSpacing/>
        <w:jc w:val="both"/>
        <w:rPr>
          <w:rFonts w:ascii="Verdana" w:hAnsi="Verdana" w:cs="Arial"/>
          <w:sz w:val="16"/>
          <w:szCs w:val="16"/>
          <w:lang w:val="es-ES"/>
        </w:rPr>
      </w:pPr>
      <w:r w:rsidRPr="008E65BF">
        <w:rPr>
          <w:rStyle w:val="FootnoteReference"/>
          <w:sz w:val="16"/>
          <w:szCs w:val="16"/>
        </w:rPr>
        <w:footnoteRef/>
      </w:r>
      <w:r w:rsidRPr="008E65BF">
        <w:rPr>
          <w:rFonts w:ascii="Verdana" w:hAnsi="Verdana"/>
          <w:sz w:val="16"/>
          <w:szCs w:val="16"/>
        </w:rPr>
        <w:t xml:space="preserve"> </w:t>
      </w:r>
      <w:r w:rsidRPr="008E65BF">
        <w:rPr>
          <w:rFonts w:ascii="Verdana" w:hAnsi="Verdana"/>
          <w:sz w:val="16"/>
          <w:szCs w:val="16"/>
        </w:rPr>
        <w:tab/>
        <w:t>A saber: u</w:t>
      </w:r>
      <w:r w:rsidRPr="008E65BF">
        <w:rPr>
          <w:rFonts w:ascii="Verdana" w:hAnsi="Verdana" w:cs="Arial"/>
          <w:sz w:val="16"/>
          <w:szCs w:val="16"/>
          <w:lang w:val="es-ES"/>
        </w:rPr>
        <w:t xml:space="preserve">na central generadora de electricidad para todo el pueblo con toda su infraestructura (posteado, cableado y pegues a las casas aptas para poder tener energía eléctrica). </w:t>
      </w:r>
    </w:p>
  </w:footnote>
  <w:footnote w:id="345">
    <w:p w14:paraId="0C704EE7" w14:textId="77777777" w:rsidR="006B2C5D" w:rsidRPr="008E65BF" w:rsidRDefault="006B2C5D">
      <w:pPr>
        <w:tabs>
          <w:tab w:val="left" w:pos="567"/>
        </w:tabs>
        <w:contextualSpacing/>
        <w:jc w:val="both"/>
        <w:rPr>
          <w:rFonts w:ascii="Verdana" w:hAnsi="Verdana" w:cs="Arial"/>
          <w:sz w:val="16"/>
          <w:szCs w:val="16"/>
          <w:lang w:val="es-ES"/>
        </w:rPr>
      </w:pPr>
      <w:r w:rsidRPr="008E65BF">
        <w:rPr>
          <w:rStyle w:val="FootnoteReference"/>
          <w:sz w:val="16"/>
          <w:szCs w:val="16"/>
        </w:rPr>
        <w:footnoteRef/>
      </w:r>
      <w:r w:rsidRPr="008E65BF">
        <w:rPr>
          <w:rFonts w:ascii="Verdana" w:hAnsi="Verdana"/>
          <w:sz w:val="16"/>
          <w:szCs w:val="16"/>
        </w:rPr>
        <w:t xml:space="preserve"> </w:t>
      </w:r>
      <w:r w:rsidRPr="008E65BF">
        <w:rPr>
          <w:rFonts w:ascii="Verdana" w:hAnsi="Verdana"/>
          <w:sz w:val="16"/>
          <w:szCs w:val="16"/>
        </w:rPr>
        <w:tab/>
      </w:r>
      <w:r w:rsidRPr="008E65BF">
        <w:rPr>
          <w:rFonts w:ascii="Verdana" w:hAnsi="Verdana" w:cs="Arial"/>
          <w:sz w:val="16"/>
          <w:szCs w:val="16"/>
          <w:lang w:val="es-ES"/>
        </w:rPr>
        <w:t>A saber: i) la reforestación de la playa con árboles para crear una barrera protectora contra los malos tiempos y el cambio climático con los diferentes tipos de árboles, como son hicacos, uvas de playa, cama, nances, marañones y almendras, y ii) la creación de un albergue con toda su infraestructura para casos de desastres naturales en la zona alta del pueblo determinado por la gente de la comunidad para su ubicación.</w:t>
      </w:r>
    </w:p>
  </w:footnote>
  <w:footnote w:id="346">
    <w:p w14:paraId="0C704EE8" w14:textId="527117CF" w:rsidR="006B2C5D" w:rsidRPr="008E65BF" w:rsidRDefault="006B2C5D">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rPr>
        <w:t xml:space="preserve"> </w:t>
      </w:r>
      <w:r w:rsidRPr="008E65BF">
        <w:rPr>
          <w:rFonts w:ascii="Verdana" w:hAnsi="Verdana"/>
          <w:sz w:val="16"/>
          <w:szCs w:val="16"/>
        </w:rPr>
        <w:tab/>
      </w:r>
      <w:r w:rsidRPr="008E65BF">
        <w:rPr>
          <w:rFonts w:ascii="Verdana" w:hAnsi="Verdana"/>
          <w:i/>
          <w:sz w:val="16"/>
          <w:szCs w:val="16"/>
        </w:rPr>
        <w:t xml:space="preserve">Cfr.  Caso Comunidad Indígena </w:t>
      </w:r>
      <w:proofErr w:type="spellStart"/>
      <w:r w:rsidRPr="008E65BF">
        <w:rPr>
          <w:rFonts w:ascii="Verdana" w:hAnsi="Verdana"/>
          <w:i/>
          <w:sz w:val="16"/>
          <w:szCs w:val="16"/>
        </w:rPr>
        <w:t>Yakye</w:t>
      </w:r>
      <w:proofErr w:type="spellEnd"/>
      <w:r w:rsidRPr="008E65BF">
        <w:rPr>
          <w:rFonts w:ascii="Verdana" w:hAnsi="Verdana"/>
          <w:i/>
          <w:sz w:val="16"/>
          <w:szCs w:val="16"/>
        </w:rPr>
        <w:t xml:space="preserve"> Axa</w:t>
      </w:r>
      <w:r w:rsidRPr="008E65BF" w:rsidDel="00BB14B7">
        <w:rPr>
          <w:rFonts w:ascii="Verdana" w:hAnsi="Verdana"/>
          <w:i/>
          <w:sz w:val="16"/>
          <w:szCs w:val="16"/>
        </w:rPr>
        <w:t>, supra</w:t>
      </w:r>
      <w:r w:rsidRPr="008E65BF">
        <w:rPr>
          <w:rFonts w:ascii="Verdana" w:hAnsi="Verdana"/>
          <w:i/>
          <w:sz w:val="16"/>
          <w:szCs w:val="16"/>
        </w:rPr>
        <w:t>,</w:t>
      </w:r>
      <w:r w:rsidRPr="008E65BF">
        <w:rPr>
          <w:rFonts w:ascii="Verdana" w:hAnsi="Verdana"/>
          <w:sz w:val="16"/>
          <w:szCs w:val="16"/>
        </w:rPr>
        <w:t xml:space="preserve"> párr. 205 y </w:t>
      </w:r>
      <w:r w:rsidRPr="008E65BF">
        <w:rPr>
          <w:rFonts w:ascii="Verdana" w:hAnsi="Verdana"/>
          <w:i/>
          <w:sz w:val="16"/>
          <w:szCs w:val="16"/>
        </w:rPr>
        <w:t xml:space="preserve">Caso Comunidad Indígena </w:t>
      </w:r>
      <w:proofErr w:type="spellStart"/>
      <w:r w:rsidRPr="008E65BF">
        <w:rPr>
          <w:rFonts w:ascii="Verdana" w:hAnsi="Verdana"/>
          <w:i/>
          <w:sz w:val="16"/>
          <w:szCs w:val="16"/>
        </w:rPr>
        <w:t>Xákmok</w:t>
      </w:r>
      <w:proofErr w:type="spellEnd"/>
      <w:r w:rsidRPr="008E65BF">
        <w:rPr>
          <w:rFonts w:ascii="Verdana" w:hAnsi="Verdana"/>
          <w:i/>
          <w:sz w:val="16"/>
          <w:szCs w:val="16"/>
        </w:rPr>
        <w:t xml:space="preserve"> </w:t>
      </w:r>
      <w:proofErr w:type="spellStart"/>
      <w:r w:rsidRPr="008E65BF">
        <w:rPr>
          <w:rFonts w:ascii="Verdana" w:hAnsi="Verdana"/>
          <w:i/>
          <w:sz w:val="16"/>
          <w:szCs w:val="16"/>
        </w:rPr>
        <w:t>Kásek</w:t>
      </w:r>
      <w:proofErr w:type="spellEnd"/>
      <w:r>
        <w:rPr>
          <w:rFonts w:ascii="Verdana" w:hAnsi="Verdana"/>
          <w:i/>
          <w:sz w:val="16"/>
          <w:szCs w:val="16"/>
        </w:rPr>
        <w:t>, supra</w:t>
      </w:r>
      <w:r w:rsidRPr="008E65BF">
        <w:rPr>
          <w:rFonts w:ascii="Verdana" w:hAnsi="Verdana"/>
          <w:i/>
          <w:sz w:val="16"/>
          <w:szCs w:val="16"/>
        </w:rPr>
        <w:t xml:space="preserve">, </w:t>
      </w:r>
      <w:r w:rsidRPr="008E65BF">
        <w:rPr>
          <w:rFonts w:ascii="Verdana" w:hAnsi="Verdana"/>
          <w:sz w:val="16"/>
          <w:szCs w:val="16"/>
        </w:rPr>
        <w:t>párr. 323.</w:t>
      </w:r>
    </w:p>
  </w:footnote>
  <w:footnote w:id="347">
    <w:p w14:paraId="0C704EE9" w14:textId="57AB44AD" w:rsidR="006B2C5D" w:rsidRPr="008E65BF" w:rsidRDefault="006B2C5D" w:rsidP="00B15331">
      <w:pPr>
        <w:pStyle w:val="FootnoteText"/>
      </w:pPr>
      <w:r w:rsidRPr="008E65BF">
        <w:rPr>
          <w:rStyle w:val="FootnoteReference"/>
          <w:sz w:val="16"/>
        </w:rPr>
        <w:footnoteRef/>
      </w:r>
      <w:r w:rsidRPr="00ED79DB">
        <w:t xml:space="preserve"> </w:t>
      </w:r>
      <w:r w:rsidRPr="00ED79DB">
        <w:tab/>
      </w:r>
      <w:r w:rsidRPr="00ED79DB">
        <w:rPr>
          <w:i/>
        </w:rPr>
        <w:t>Cfr</w:t>
      </w:r>
      <w:r w:rsidRPr="00ED79DB">
        <w:t>. Artículo 29 inciso 1 de la Declaración de las Naciones Unidas sobre los D</w:t>
      </w:r>
      <w:r w:rsidRPr="008E65BF">
        <w:t>erechos de los Pueblos Indígenas de 13 de septiembre de 2007.</w:t>
      </w:r>
    </w:p>
  </w:footnote>
  <w:footnote w:id="348">
    <w:p w14:paraId="0C704EEA" w14:textId="746FAA96" w:rsidR="006B2C5D" w:rsidRPr="00A0324F" w:rsidRDefault="006B2C5D">
      <w:pPr>
        <w:tabs>
          <w:tab w:val="left" w:pos="567"/>
        </w:tabs>
        <w:jc w:val="both"/>
        <w:rPr>
          <w:rFonts w:ascii="Verdana" w:hAnsi="Verdana"/>
          <w:bCs/>
          <w:color w:val="000000"/>
          <w:sz w:val="16"/>
          <w:szCs w:val="16"/>
          <w:shd w:val="clear" w:color="auto" w:fill="FFFFFF"/>
        </w:rPr>
      </w:pPr>
      <w:r w:rsidRPr="008E65BF">
        <w:rPr>
          <w:rFonts w:ascii="Verdana" w:hAnsi="Verdana"/>
          <w:sz w:val="16"/>
          <w:szCs w:val="16"/>
          <w:vertAlign w:val="superscript"/>
        </w:rPr>
        <w:footnoteRef/>
      </w:r>
      <w:r w:rsidRPr="008E65BF">
        <w:rPr>
          <w:rFonts w:ascii="Verdana" w:hAnsi="Verdana"/>
          <w:sz w:val="16"/>
          <w:szCs w:val="16"/>
          <w:vertAlign w:val="superscript"/>
          <w:lang w:val="es-CR"/>
        </w:rPr>
        <w:t xml:space="preserve"> </w:t>
      </w:r>
      <w:r w:rsidRPr="008E65BF">
        <w:rPr>
          <w:rFonts w:ascii="Verdana" w:hAnsi="Verdana"/>
          <w:sz w:val="16"/>
          <w:szCs w:val="16"/>
          <w:lang w:val="es-CR"/>
        </w:rPr>
        <w:tab/>
      </w:r>
      <w:r w:rsidRPr="008E65BF">
        <w:rPr>
          <w:rFonts w:ascii="Verdana" w:hAnsi="Verdana"/>
          <w:i/>
          <w:sz w:val="16"/>
          <w:szCs w:val="16"/>
          <w:lang w:val="es-CR"/>
        </w:rPr>
        <w:t xml:space="preserve">Cfr. Caso Cantoral Benavides Vs. Perú. </w:t>
      </w:r>
      <w:r w:rsidRPr="008E65BF">
        <w:rPr>
          <w:rFonts w:ascii="Verdana" w:hAnsi="Verdana"/>
          <w:i/>
          <w:sz w:val="16"/>
          <w:szCs w:val="16"/>
        </w:rPr>
        <w:t xml:space="preserve">Reparaciones y Costas. </w:t>
      </w:r>
      <w:r w:rsidRPr="008E65BF">
        <w:rPr>
          <w:rFonts w:ascii="Verdana" w:hAnsi="Verdana"/>
          <w:sz w:val="16"/>
          <w:szCs w:val="16"/>
        </w:rPr>
        <w:t xml:space="preserve">Sentencia de 3 de diciembre de 2001. Serie C No. 88, párr. 79, y </w:t>
      </w:r>
      <w:r w:rsidRPr="008E65BF">
        <w:rPr>
          <w:rStyle w:val="Strong"/>
          <w:rFonts w:ascii="Verdana" w:hAnsi="Verdana"/>
          <w:b w:val="0"/>
          <w:i/>
          <w:color w:val="000000"/>
          <w:sz w:val="16"/>
          <w:szCs w:val="16"/>
          <w:shd w:val="clear" w:color="auto" w:fill="FFFFFF"/>
        </w:rPr>
        <w:t>Caso Omar Humberto Maldonado Vargas y otros</w:t>
      </w:r>
      <w:r>
        <w:rPr>
          <w:rStyle w:val="Strong"/>
          <w:rFonts w:ascii="Verdana" w:hAnsi="Verdana"/>
          <w:b w:val="0"/>
          <w:i/>
          <w:color w:val="000000"/>
          <w:sz w:val="16"/>
          <w:szCs w:val="16"/>
          <w:shd w:val="clear" w:color="auto" w:fill="FFFFFF"/>
        </w:rPr>
        <w:t>, supra</w:t>
      </w:r>
      <w:r w:rsidRPr="008E65BF">
        <w:rPr>
          <w:rStyle w:val="Strong"/>
          <w:rFonts w:ascii="Verdana" w:hAnsi="Verdana"/>
          <w:b w:val="0"/>
          <w:color w:val="000000"/>
          <w:sz w:val="16"/>
          <w:szCs w:val="16"/>
          <w:shd w:val="clear" w:color="auto" w:fill="FFFFFF"/>
        </w:rPr>
        <w:t>, párr. 162.</w:t>
      </w:r>
    </w:p>
  </w:footnote>
  <w:footnote w:id="349">
    <w:p w14:paraId="0C704EEB" w14:textId="6249C5F8" w:rsidR="006B2C5D" w:rsidRPr="008E65BF" w:rsidRDefault="006B2C5D" w:rsidP="00B15331">
      <w:pPr>
        <w:pStyle w:val="FootnoteText"/>
        <w:rPr>
          <w:rFonts w:eastAsia="Times New Roman"/>
          <w:lang w:val="es-ES_tradnl" w:eastAsia="en-US"/>
        </w:rPr>
      </w:pPr>
      <w:r w:rsidRPr="008E65BF">
        <w:rPr>
          <w:rStyle w:val="FootnoteReference"/>
          <w:sz w:val="16"/>
        </w:rPr>
        <w:footnoteRef/>
      </w:r>
      <w:r w:rsidRPr="008E65BF">
        <w:t xml:space="preserve"> </w:t>
      </w:r>
      <w:r>
        <w:tab/>
      </w:r>
      <w:r w:rsidRPr="00415612">
        <w:rPr>
          <w:i/>
        </w:rPr>
        <w:t>Cfr. Caso Nadege Dorzema y otros Vs. República Dominicana. Fondo Reparaciones y Costas.</w:t>
      </w:r>
      <w:r w:rsidRPr="00A0324F">
        <w:t xml:space="preserve"> </w:t>
      </w:r>
      <w:r w:rsidRPr="008E65BF">
        <w:t xml:space="preserve">Sentencia de 24 de octubre de 2012. Serie C No. 251, párr. 263, y </w:t>
      </w:r>
      <w:r w:rsidRPr="00415612">
        <w:rPr>
          <w:i/>
        </w:rPr>
        <w:t>Caso Liakat Ali Alibux Vs. Surinam. Excepciones Preliminares, Fondo, Reparaciones y Costas.</w:t>
      </w:r>
      <w:r w:rsidRPr="008E65BF">
        <w:t xml:space="preserve"> Sentencia de 30 de enero de 2014. Serie C No. 276, párr. 147.</w:t>
      </w:r>
    </w:p>
  </w:footnote>
  <w:footnote w:id="350">
    <w:p w14:paraId="0C704EEC" w14:textId="5DCECAFF" w:rsidR="006B2C5D" w:rsidRPr="00ED79DB" w:rsidRDefault="006B2C5D">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rPr>
        <w:t xml:space="preserve"> </w:t>
      </w:r>
      <w:r w:rsidRPr="008E65BF">
        <w:rPr>
          <w:rFonts w:ascii="Verdana" w:hAnsi="Verdana"/>
          <w:sz w:val="16"/>
          <w:szCs w:val="16"/>
        </w:rPr>
        <w:tab/>
      </w:r>
      <w:r w:rsidRPr="008E65BF">
        <w:rPr>
          <w:rFonts w:ascii="Verdana" w:hAnsi="Verdana"/>
          <w:i/>
          <w:sz w:val="16"/>
          <w:szCs w:val="16"/>
        </w:rPr>
        <w:t xml:space="preserve">Cfr. Caso Comunidad Indígena </w:t>
      </w:r>
      <w:proofErr w:type="spellStart"/>
      <w:r w:rsidRPr="008E65BF">
        <w:rPr>
          <w:rFonts w:ascii="Verdana" w:hAnsi="Verdana"/>
          <w:i/>
          <w:sz w:val="16"/>
          <w:szCs w:val="16"/>
        </w:rPr>
        <w:t>Yakye</w:t>
      </w:r>
      <w:proofErr w:type="spellEnd"/>
      <w:r w:rsidRPr="008E65BF">
        <w:rPr>
          <w:rFonts w:ascii="Verdana" w:hAnsi="Verdana"/>
          <w:i/>
          <w:sz w:val="16"/>
          <w:szCs w:val="16"/>
        </w:rPr>
        <w:t xml:space="preserve"> Axa Vs. Paraguay,</w:t>
      </w:r>
      <w:r w:rsidRPr="008E65BF">
        <w:rPr>
          <w:rFonts w:ascii="Verdana" w:hAnsi="Verdana"/>
          <w:sz w:val="16"/>
          <w:szCs w:val="16"/>
        </w:rPr>
        <w:t xml:space="preserve"> párr. 227, y </w:t>
      </w:r>
      <w:r w:rsidRPr="008E65BF">
        <w:rPr>
          <w:rFonts w:ascii="Verdana" w:hAnsi="Verdana"/>
          <w:i/>
          <w:sz w:val="16"/>
          <w:szCs w:val="16"/>
        </w:rPr>
        <w:t xml:space="preserve">Caso de los Pueblos Indígenas Kuna de </w:t>
      </w:r>
      <w:proofErr w:type="spellStart"/>
      <w:r w:rsidRPr="008E65BF">
        <w:rPr>
          <w:rFonts w:ascii="Verdana" w:hAnsi="Verdana"/>
          <w:i/>
          <w:sz w:val="16"/>
          <w:szCs w:val="16"/>
        </w:rPr>
        <w:t>Madungandí</w:t>
      </w:r>
      <w:proofErr w:type="spellEnd"/>
      <w:r w:rsidRPr="008E65BF">
        <w:rPr>
          <w:rFonts w:ascii="Verdana" w:hAnsi="Verdana"/>
          <w:i/>
          <w:sz w:val="16"/>
          <w:szCs w:val="16"/>
        </w:rPr>
        <w:t xml:space="preserve"> y </w:t>
      </w:r>
      <w:proofErr w:type="spellStart"/>
      <w:r w:rsidRPr="008E65BF">
        <w:rPr>
          <w:rFonts w:ascii="Verdana" w:hAnsi="Verdana"/>
          <w:i/>
          <w:sz w:val="16"/>
          <w:szCs w:val="16"/>
        </w:rPr>
        <w:t>Emberá</w:t>
      </w:r>
      <w:proofErr w:type="spellEnd"/>
      <w:r w:rsidRPr="008E65BF">
        <w:rPr>
          <w:rFonts w:ascii="Verdana" w:hAnsi="Verdana"/>
          <w:i/>
          <w:sz w:val="16"/>
          <w:szCs w:val="16"/>
        </w:rPr>
        <w:t xml:space="preserve"> de Bayano y sus miembros</w:t>
      </w:r>
      <w:r w:rsidRPr="008E65BF" w:rsidDel="00B803FE">
        <w:rPr>
          <w:rFonts w:ascii="Verdana" w:hAnsi="Verdana"/>
          <w:i/>
          <w:sz w:val="16"/>
          <w:szCs w:val="16"/>
        </w:rPr>
        <w:t>, supra</w:t>
      </w:r>
      <w:r w:rsidRPr="008E65BF">
        <w:rPr>
          <w:rFonts w:ascii="Verdana" w:hAnsi="Verdana"/>
          <w:i/>
          <w:sz w:val="16"/>
          <w:szCs w:val="16"/>
        </w:rPr>
        <w:t>,</w:t>
      </w:r>
      <w:r w:rsidRPr="00ED79DB">
        <w:rPr>
          <w:rFonts w:ascii="Verdana" w:hAnsi="Verdana"/>
          <w:sz w:val="16"/>
          <w:szCs w:val="16"/>
        </w:rPr>
        <w:t xml:space="preserve"> párr. 217.</w:t>
      </w:r>
    </w:p>
  </w:footnote>
  <w:footnote w:id="351">
    <w:p w14:paraId="0C704EED" w14:textId="52A60392" w:rsidR="006B2C5D" w:rsidRPr="008E65BF" w:rsidRDefault="006B2C5D">
      <w:pPr>
        <w:tabs>
          <w:tab w:val="left" w:pos="567"/>
        </w:tabs>
        <w:jc w:val="both"/>
        <w:rPr>
          <w:rFonts w:ascii="Verdana" w:hAnsi="Verdana"/>
          <w:sz w:val="16"/>
          <w:szCs w:val="16"/>
        </w:rPr>
      </w:pPr>
      <w:r w:rsidRPr="008E65BF">
        <w:rPr>
          <w:rFonts w:ascii="Verdana" w:hAnsi="Verdana"/>
          <w:sz w:val="16"/>
          <w:szCs w:val="16"/>
          <w:vertAlign w:val="superscript"/>
        </w:rPr>
        <w:footnoteRef/>
      </w:r>
      <w:r w:rsidRPr="008E65BF">
        <w:rPr>
          <w:rFonts w:ascii="Verdana" w:hAnsi="Verdana"/>
          <w:sz w:val="16"/>
          <w:szCs w:val="16"/>
          <w:vertAlign w:val="superscript"/>
        </w:rPr>
        <w:t xml:space="preserve"> </w:t>
      </w:r>
      <w:r w:rsidRPr="008E65BF">
        <w:rPr>
          <w:rFonts w:ascii="Verdana" w:hAnsi="Verdana"/>
          <w:sz w:val="16"/>
          <w:szCs w:val="16"/>
        </w:rPr>
        <w:tab/>
      </w:r>
      <w:r w:rsidRPr="008E65BF">
        <w:rPr>
          <w:rFonts w:ascii="Verdana" w:hAnsi="Verdana"/>
          <w:i/>
          <w:sz w:val="16"/>
          <w:szCs w:val="16"/>
        </w:rPr>
        <w:t xml:space="preserve">Cfr. Caso </w:t>
      </w:r>
      <w:proofErr w:type="spellStart"/>
      <w:r w:rsidRPr="008E65BF">
        <w:rPr>
          <w:rFonts w:ascii="Verdana" w:hAnsi="Verdana"/>
          <w:i/>
          <w:sz w:val="16"/>
          <w:szCs w:val="16"/>
        </w:rPr>
        <w:t>Almonacid</w:t>
      </w:r>
      <w:proofErr w:type="spellEnd"/>
      <w:r w:rsidRPr="008E65BF">
        <w:rPr>
          <w:rFonts w:ascii="Verdana" w:hAnsi="Verdana"/>
          <w:i/>
          <w:sz w:val="16"/>
          <w:szCs w:val="16"/>
        </w:rPr>
        <w:t xml:space="preserve"> Arellano y otros</w:t>
      </w:r>
      <w:r>
        <w:rPr>
          <w:rFonts w:ascii="Verdana" w:hAnsi="Verdana"/>
          <w:i/>
          <w:sz w:val="16"/>
          <w:szCs w:val="16"/>
        </w:rPr>
        <w:t>, supra</w:t>
      </w:r>
      <w:r>
        <w:rPr>
          <w:rFonts w:ascii="Verdana" w:hAnsi="Verdana"/>
          <w:sz w:val="16"/>
          <w:szCs w:val="16"/>
        </w:rPr>
        <w:t>, párr. 124,</w:t>
      </w:r>
      <w:r w:rsidRPr="008E65BF">
        <w:rPr>
          <w:rFonts w:ascii="Verdana" w:hAnsi="Verdana"/>
          <w:sz w:val="16"/>
          <w:szCs w:val="16"/>
        </w:rPr>
        <w:t xml:space="preserve"> y </w:t>
      </w:r>
      <w:r w:rsidRPr="008E65BF">
        <w:rPr>
          <w:rFonts w:ascii="Verdana" w:hAnsi="Verdana"/>
          <w:i/>
          <w:sz w:val="16"/>
          <w:szCs w:val="16"/>
        </w:rPr>
        <w:t>Caso de personas dominicanas y haitianas expulsadas</w:t>
      </w:r>
      <w:r>
        <w:rPr>
          <w:rFonts w:ascii="Verdana" w:hAnsi="Verdana"/>
          <w:i/>
          <w:sz w:val="16"/>
          <w:szCs w:val="16"/>
        </w:rPr>
        <w:t>, supra</w:t>
      </w:r>
      <w:r w:rsidRPr="008E65BF">
        <w:rPr>
          <w:rFonts w:ascii="Verdana" w:hAnsi="Verdana"/>
          <w:sz w:val="16"/>
          <w:szCs w:val="16"/>
        </w:rPr>
        <w:t>, párr. 311.</w:t>
      </w:r>
    </w:p>
  </w:footnote>
  <w:footnote w:id="352">
    <w:p w14:paraId="0C704EEE" w14:textId="6EB94BBB" w:rsidR="006B2C5D" w:rsidRPr="008E65BF" w:rsidRDefault="006B2C5D" w:rsidP="00B15331">
      <w:pPr>
        <w:pStyle w:val="FootnoteText"/>
        <w:rPr>
          <w:lang w:val="es-CR"/>
        </w:rPr>
      </w:pPr>
      <w:r w:rsidRPr="008E65BF">
        <w:rPr>
          <w:rStyle w:val="FootnoteReference"/>
          <w:sz w:val="16"/>
        </w:rPr>
        <w:footnoteRef/>
      </w:r>
      <w:r w:rsidRPr="008E65BF">
        <w:rPr>
          <w:lang w:val="es-ES_tradnl"/>
        </w:rPr>
        <w:t xml:space="preserve"> </w:t>
      </w:r>
      <w:r w:rsidRPr="008E65BF">
        <w:rPr>
          <w:lang w:val="es-ES_tradnl"/>
        </w:rPr>
        <w:tab/>
      </w:r>
      <w:r w:rsidRPr="00A0324F">
        <w:rPr>
          <w:lang w:val="es-ES_tradnl"/>
        </w:rPr>
        <w:t>Cfr</w:t>
      </w:r>
      <w:r w:rsidRPr="008E65BF">
        <w:rPr>
          <w:lang w:val="es-ES_tradnl"/>
        </w:rPr>
        <w:t xml:space="preserve">. </w:t>
      </w:r>
      <w:r w:rsidRPr="008E65BF">
        <w:rPr>
          <w:rStyle w:val="Strong"/>
          <w:b w:val="0"/>
          <w:i/>
          <w:color w:val="000000"/>
          <w:shd w:val="clear" w:color="auto" w:fill="FFFFFF"/>
        </w:rPr>
        <w:t xml:space="preserve">Caso del Penal Miguel Castro </w:t>
      </w:r>
      <w:proofErr w:type="spellStart"/>
      <w:r w:rsidRPr="008E65BF">
        <w:rPr>
          <w:rStyle w:val="Strong"/>
          <w:b w:val="0"/>
          <w:i/>
          <w:color w:val="000000"/>
          <w:shd w:val="clear" w:color="auto" w:fill="FFFFFF"/>
        </w:rPr>
        <w:t>Castro</w:t>
      </w:r>
      <w:proofErr w:type="spellEnd"/>
      <w:r w:rsidRPr="008E65BF">
        <w:rPr>
          <w:rStyle w:val="Strong"/>
          <w:b w:val="0"/>
          <w:i/>
          <w:color w:val="000000"/>
          <w:shd w:val="clear" w:color="auto" w:fill="FFFFFF"/>
        </w:rPr>
        <w:t xml:space="preserve"> Vs. Perú. Fondo, Reparaciones y Costas. </w:t>
      </w:r>
      <w:r w:rsidRPr="008E65BF">
        <w:rPr>
          <w:rStyle w:val="Strong"/>
          <w:b w:val="0"/>
          <w:color w:val="000000"/>
          <w:shd w:val="clear" w:color="auto" w:fill="FFFFFF"/>
        </w:rPr>
        <w:t>Sentencia de 25 de noviembre de 2006. Serie C No. 160</w:t>
      </w:r>
      <w:r w:rsidRPr="00ED79DB">
        <w:rPr>
          <w:rStyle w:val="Strong"/>
          <w:b w:val="0"/>
          <w:color w:val="000000"/>
          <w:shd w:val="clear" w:color="auto" w:fill="FFFFFF"/>
        </w:rPr>
        <w:t xml:space="preserve">, párr. 441, y </w:t>
      </w:r>
      <w:r w:rsidRPr="00ED79DB">
        <w:rPr>
          <w:rStyle w:val="Strong"/>
          <w:b w:val="0"/>
          <w:i/>
          <w:color w:val="000000"/>
          <w:shd w:val="clear" w:color="auto" w:fill="FFFFFF"/>
        </w:rPr>
        <w:t>Caso Omar Humberto Maldonado Vargas y otros</w:t>
      </w:r>
      <w:r>
        <w:rPr>
          <w:rStyle w:val="Strong"/>
          <w:b w:val="0"/>
          <w:i/>
          <w:color w:val="000000"/>
          <w:shd w:val="clear" w:color="auto" w:fill="FFFFFF"/>
        </w:rPr>
        <w:t>, supra</w:t>
      </w:r>
      <w:r w:rsidRPr="00ED79DB">
        <w:rPr>
          <w:rStyle w:val="Strong"/>
          <w:b w:val="0"/>
          <w:color w:val="000000"/>
          <w:shd w:val="clear" w:color="auto" w:fill="FFFFFF"/>
        </w:rPr>
        <w:t>, párr. 155.</w:t>
      </w:r>
    </w:p>
  </w:footnote>
  <w:footnote w:id="353">
    <w:p w14:paraId="0C704EEF" w14:textId="4D65C6EA" w:rsidR="006B2C5D" w:rsidRDefault="006B2C5D" w:rsidP="00415612">
      <w:pPr>
        <w:pStyle w:val="2Footnotes"/>
        <w:tabs>
          <w:tab w:val="left" w:pos="567"/>
        </w:tabs>
        <w:spacing w:before="0"/>
      </w:pPr>
      <w:r w:rsidRPr="008E65BF">
        <w:rPr>
          <w:rStyle w:val="FootnoteReference"/>
          <w:rFonts w:eastAsia="Calibri"/>
          <w:sz w:val="16"/>
          <w:szCs w:val="16"/>
        </w:rPr>
        <w:footnoteRef/>
      </w:r>
      <w:r w:rsidRPr="008E65BF">
        <w:t xml:space="preserve"> </w:t>
      </w:r>
      <w:r w:rsidRPr="008E65BF">
        <w:tab/>
      </w:r>
      <w:r w:rsidRPr="00415612">
        <w:rPr>
          <w:i/>
        </w:rPr>
        <w:t>Cfr. Caso Velásquez Rodríguez. Reparaciones y Costas, supra,</w:t>
      </w:r>
      <w:r>
        <w:t xml:space="preserve"> </w:t>
      </w:r>
      <w:r w:rsidRPr="008E65BF">
        <w:t xml:space="preserve">párr. 42,  y </w:t>
      </w:r>
      <w:r w:rsidRPr="008E65BF">
        <w:rPr>
          <w:rStyle w:val="Strong"/>
          <w:b w:val="0"/>
          <w:i/>
          <w:color w:val="000000"/>
          <w:szCs w:val="16"/>
          <w:shd w:val="clear" w:color="auto" w:fill="FFFFFF"/>
        </w:rPr>
        <w:t>Caso Omar Humberto Maldonado Vargas y otros</w:t>
      </w:r>
      <w:r>
        <w:rPr>
          <w:rStyle w:val="Strong"/>
          <w:b w:val="0"/>
          <w:i/>
          <w:color w:val="000000"/>
          <w:szCs w:val="16"/>
          <w:shd w:val="clear" w:color="auto" w:fill="FFFFFF"/>
        </w:rPr>
        <w:t>, supra</w:t>
      </w:r>
      <w:r w:rsidRPr="008E65BF">
        <w:rPr>
          <w:rStyle w:val="Strong"/>
          <w:b w:val="0"/>
          <w:color w:val="000000"/>
          <w:szCs w:val="16"/>
          <w:shd w:val="clear" w:color="auto" w:fill="FFFFFF"/>
        </w:rPr>
        <w:t>, párr. 181.</w:t>
      </w:r>
      <w:r w:rsidRPr="008E65BF">
        <w:rPr>
          <w:bCs/>
        </w:rPr>
        <w:t xml:space="preserve"> </w:t>
      </w:r>
    </w:p>
  </w:footnote>
  <w:footnote w:id="354">
    <w:p w14:paraId="0C704EF0" w14:textId="3884A7D8" w:rsidR="006B2C5D" w:rsidRDefault="006B2C5D" w:rsidP="00415612">
      <w:pPr>
        <w:pStyle w:val="2Footnotes"/>
        <w:tabs>
          <w:tab w:val="left" w:pos="567"/>
        </w:tabs>
        <w:spacing w:before="0"/>
      </w:pPr>
      <w:r w:rsidRPr="008E65BF">
        <w:rPr>
          <w:rStyle w:val="FootnoteReference"/>
          <w:sz w:val="16"/>
          <w:szCs w:val="16"/>
        </w:rPr>
        <w:footnoteRef/>
      </w:r>
      <w:r w:rsidRPr="008E65BF">
        <w:t xml:space="preserve"> </w:t>
      </w:r>
      <w:r w:rsidRPr="008E65BF">
        <w:tab/>
      </w:r>
      <w:r w:rsidRPr="00415612">
        <w:rPr>
          <w:i/>
        </w:rPr>
        <w:t xml:space="preserve">Cfr. </w:t>
      </w:r>
      <w:r w:rsidRPr="00415612">
        <w:rPr>
          <w:rStyle w:val="Strong"/>
          <w:b w:val="0"/>
          <w:i/>
          <w:color w:val="000000"/>
          <w:szCs w:val="16"/>
          <w:shd w:val="clear" w:color="auto" w:fill="FFFFFF"/>
        </w:rPr>
        <w:t xml:space="preserve">Caso </w:t>
      </w:r>
      <w:r w:rsidRPr="008E65BF">
        <w:rPr>
          <w:rStyle w:val="Strong"/>
          <w:b w:val="0"/>
          <w:i/>
          <w:color w:val="000000"/>
          <w:szCs w:val="16"/>
          <w:shd w:val="clear" w:color="auto" w:fill="FFFFFF"/>
        </w:rPr>
        <w:t xml:space="preserve">Garrido y Baigorria Vs. Argentina. Reparaciones y Costas. </w:t>
      </w:r>
      <w:r w:rsidRPr="008E65BF">
        <w:rPr>
          <w:rStyle w:val="Strong"/>
          <w:b w:val="0"/>
          <w:color w:val="000000"/>
          <w:szCs w:val="16"/>
          <w:shd w:val="clear" w:color="auto" w:fill="FFFFFF"/>
        </w:rPr>
        <w:t>Sentencia de 27 de agosto de 1998. Serie C No. 39, párr. 82, y</w:t>
      </w:r>
      <w:r w:rsidRPr="008E65BF" w:rsidDel="00423577">
        <w:t xml:space="preserve"> </w:t>
      </w:r>
      <w:r w:rsidRPr="008E65BF">
        <w:rPr>
          <w:rStyle w:val="Strong"/>
          <w:b w:val="0"/>
          <w:i/>
          <w:color w:val="000000"/>
          <w:szCs w:val="16"/>
          <w:shd w:val="clear" w:color="auto" w:fill="FFFFFF"/>
        </w:rPr>
        <w:t>Caso Omar Humberto Maldonado Vargas y otros</w:t>
      </w:r>
      <w:r>
        <w:rPr>
          <w:rStyle w:val="Strong"/>
          <w:b w:val="0"/>
          <w:i/>
          <w:color w:val="000000"/>
          <w:szCs w:val="16"/>
          <w:shd w:val="clear" w:color="auto" w:fill="FFFFFF"/>
        </w:rPr>
        <w:t>, supra</w:t>
      </w:r>
      <w:r w:rsidRPr="008E65BF">
        <w:rPr>
          <w:rStyle w:val="Strong"/>
          <w:b w:val="0"/>
          <w:color w:val="000000"/>
          <w:szCs w:val="16"/>
          <w:shd w:val="clear" w:color="auto" w:fill="FFFFFF"/>
        </w:rPr>
        <w:t>, párr. 181.</w:t>
      </w:r>
      <w:r w:rsidRPr="00ED79DB">
        <w:t xml:space="preserve"> </w:t>
      </w:r>
    </w:p>
  </w:footnote>
  <w:footnote w:id="355">
    <w:p w14:paraId="0C704EF1" w14:textId="177971F4" w:rsidR="006B2C5D" w:rsidRPr="00ED79DB" w:rsidRDefault="006B2C5D" w:rsidP="00415612">
      <w:pPr>
        <w:pStyle w:val="FootnoteText"/>
        <w:rPr>
          <w:lang w:val="es-CR"/>
        </w:rPr>
      </w:pPr>
      <w:r w:rsidRPr="008E65BF">
        <w:rPr>
          <w:rStyle w:val="FootnoteReference"/>
          <w:sz w:val="16"/>
        </w:rPr>
        <w:footnoteRef/>
      </w:r>
      <w:r w:rsidRPr="008E65BF">
        <w:t xml:space="preserve"> </w:t>
      </w:r>
      <w:r w:rsidRPr="008E65BF">
        <w:tab/>
      </w:r>
      <w:r w:rsidRPr="00415612">
        <w:rPr>
          <w:i/>
        </w:rPr>
        <w:t>Cfr.</w:t>
      </w:r>
      <w:r w:rsidRPr="008E65BF">
        <w:t xml:space="preserve"> </w:t>
      </w:r>
      <w:r w:rsidRPr="008E65BF">
        <w:rPr>
          <w:rStyle w:val="Strong"/>
          <w:b w:val="0"/>
          <w:i/>
          <w:color w:val="000000"/>
          <w:shd w:val="clear" w:color="auto" w:fill="FFFFFF"/>
        </w:rPr>
        <w:t xml:space="preserve">Caso Chaparro Álvarez y Lapo Íñiguez. Vs. Ecuador. Excepciones Preliminares, Fondo, Reparaciones y Costas. </w:t>
      </w:r>
      <w:r w:rsidRPr="008E65BF">
        <w:rPr>
          <w:rStyle w:val="Strong"/>
          <w:b w:val="0"/>
          <w:color w:val="000000"/>
          <w:shd w:val="clear" w:color="auto" w:fill="FFFFFF"/>
        </w:rPr>
        <w:t>Sentencia de 21 de noviembre de 2007. Serie C No. 170, párr. 277</w:t>
      </w:r>
      <w:r w:rsidRPr="008E65BF">
        <w:t xml:space="preserve">, y </w:t>
      </w:r>
      <w:r w:rsidRPr="008E65BF">
        <w:rPr>
          <w:rStyle w:val="Strong"/>
          <w:b w:val="0"/>
          <w:i/>
          <w:color w:val="000000"/>
          <w:shd w:val="clear" w:color="auto" w:fill="FFFFFF"/>
        </w:rPr>
        <w:t>Caso Omar Humberto Maldonado Vargas y otros</w:t>
      </w:r>
      <w:r>
        <w:rPr>
          <w:rStyle w:val="Strong"/>
          <w:b w:val="0"/>
          <w:i/>
          <w:color w:val="000000"/>
          <w:shd w:val="clear" w:color="auto" w:fill="FFFFFF"/>
        </w:rPr>
        <w:t>, supra</w:t>
      </w:r>
      <w:r w:rsidRPr="008E65BF">
        <w:rPr>
          <w:rStyle w:val="Strong"/>
          <w:b w:val="0"/>
          <w:color w:val="000000"/>
          <w:shd w:val="clear" w:color="auto" w:fill="FFFFFF"/>
        </w:rPr>
        <w:t>, párr. 182.</w:t>
      </w:r>
    </w:p>
  </w:footnote>
  <w:footnote w:id="356">
    <w:p w14:paraId="0C704EF2" w14:textId="479AEBDB" w:rsidR="006B2C5D" w:rsidRDefault="006B2C5D" w:rsidP="00415612">
      <w:pPr>
        <w:pStyle w:val="FootnoteText"/>
      </w:pPr>
      <w:r w:rsidRPr="008E65BF">
        <w:rPr>
          <w:rStyle w:val="FootnoteReference"/>
          <w:sz w:val="16"/>
        </w:rPr>
        <w:footnoteRef/>
      </w:r>
      <w:r w:rsidRPr="008E65BF">
        <w:t xml:space="preserve"> </w:t>
      </w:r>
      <w:r w:rsidRPr="008E65BF">
        <w:tab/>
      </w:r>
      <w:r w:rsidRPr="008E65BF">
        <w:rPr>
          <w:rStyle w:val="Strong"/>
          <w:b w:val="0"/>
          <w:i/>
          <w:color w:val="000000"/>
          <w:shd w:val="clear" w:color="auto" w:fill="FFFFFF"/>
        </w:rPr>
        <w:t>Caso Chaparro Álvarez y Lapo Íñiguez</w:t>
      </w:r>
      <w:r>
        <w:rPr>
          <w:rStyle w:val="Strong"/>
          <w:b w:val="0"/>
          <w:i/>
          <w:color w:val="000000"/>
          <w:shd w:val="clear" w:color="auto" w:fill="FFFFFF"/>
        </w:rPr>
        <w:t>, supra</w:t>
      </w:r>
      <w:r w:rsidRPr="008E65BF">
        <w:t xml:space="preserve">, </w:t>
      </w:r>
      <w:r>
        <w:t xml:space="preserve">párr. 275, </w:t>
      </w:r>
      <w:r w:rsidRPr="008E65BF">
        <w:t xml:space="preserve">y </w:t>
      </w:r>
      <w:r w:rsidRPr="008E65BF">
        <w:rPr>
          <w:rStyle w:val="Strong"/>
          <w:b w:val="0"/>
          <w:i/>
          <w:color w:val="000000"/>
          <w:shd w:val="clear" w:color="auto" w:fill="FFFFFF"/>
        </w:rPr>
        <w:t>Caso Omar Humberto Maldonado Vargas y otros</w:t>
      </w:r>
      <w:r>
        <w:rPr>
          <w:rStyle w:val="Strong"/>
          <w:b w:val="0"/>
          <w:i/>
          <w:color w:val="000000"/>
          <w:shd w:val="clear" w:color="auto" w:fill="FFFFFF"/>
        </w:rPr>
        <w:t>, supra</w:t>
      </w:r>
      <w:r w:rsidRPr="008E65BF">
        <w:rPr>
          <w:rStyle w:val="Strong"/>
          <w:b w:val="0"/>
          <w:color w:val="000000"/>
          <w:shd w:val="clear" w:color="auto" w:fill="FFFFFF"/>
        </w:rPr>
        <w:t>, párr. 182.</w:t>
      </w:r>
    </w:p>
  </w:footnote>
  <w:footnote w:id="357">
    <w:p w14:paraId="779ED5E4" w14:textId="77777777" w:rsidR="00E66707" w:rsidRPr="00893E65" w:rsidRDefault="00E66707" w:rsidP="00E66707">
      <w:pPr>
        <w:pStyle w:val="FootnoteText"/>
      </w:pPr>
      <w:r w:rsidRPr="00893E65">
        <w:rPr>
          <w:rStyle w:val="FootnoteReference"/>
          <w:sz w:val="16"/>
        </w:rPr>
        <w:footnoteRef/>
      </w:r>
      <w:r w:rsidRPr="00893E65">
        <w:t xml:space="preserve"> </w:t>
      </w:r>
      <w:r w:rsidRPr="00893E65">
        <w:tab/>
        <w:t>Punto Resolutivo 2.</w:t>
      </w:r>
    </w:p>
  </w:footnote>
  <w:footnote w:id="358">
    <w:p w14:paraId="23808883" w14:textId="77777777" w:rsidR="00E66707" w:rsidRPr="00893E65" w:rsidRDefault="00E66707" w:rsidP="00E66707">
      <w:pPr>
        <w:pStyle w:val="FootnoteText"/>
      </w:pPr>
      <w:r w:rsidRPr="00893E65">
        <w:rPr>
          <w:rStyle w:val="FootnoteReference"/>
          <w:sz w:val="16"/>
        </w:rPr>
        <w:footnoteRef/>
      </w:r>
      <w:r w:rsidRPr="00893E65">
        <w:t xml:space="preserve"> </w:t>
      </w:r>
      <w:r w:rsidRPr="00893E65">
        <w:tab/>
        <w:t>Punto Resolutivo 3.</w:t>
      </w:r>
    </w:p>
  </w:footnote>
  <w:footnote w:id="359">
    <w:p w14:paraId="1501C6A9" w14:textId="77777777" w:rsidR="00E66707" w:rsidRPr="00893E65" w:rsidRDefault="00E66707" w:rsidP="00E66707">
      <w:pPr>
        <w:pStyle w:val="FootnoteText"/>
      </w:pPr>
      <w:r w:rsidRPr="00893E65">
        <w:rPr>
          <w:rStyle w:val="FootnoteReference"/>
          <w:sz w:val="16"/>
        </w:rPr>
        <w:footnoteRef/>
      </w:r>
      <w:r w:rsidRPr="00893E65">
        <w:t xml:space="preserve"> </w:t>
      </w:r>
      <w:r w:rsidRPr="00893E65">
        <w:tab/>
        <w:t>En adelante “la contestación”.</w:t>
      </w:r>
    </w:p>
  </w:footnote>
  <w:footnote w:id="360">
    <w:p w14:paraId="002EF64C" w14:textId="77777777" w:rsidR="00E66707" w:rsidRPr="00893E65" w:rsidRDefault="00E66707" w:rsidP="00E66707">
      <w:pPr>
        <w:pStyle w:val="FootnoteText"/>
        <w:tabs>
          <w:tab w:val="left" w:pos="7851"/>
        </w:tabs>
      </w:pPr>
      <w:r w:rsidRPr="00893E65">
        <w:rPr>
          <w:rStyle w:val="FootnoteReference"/>
          <w:sz w:val="16"/>
        </w:rPr>
        <w:footnoteRef/>
      </w:r>
      <w:r w:rsidRPr="00893E65">
        <w:t xml:space="preserve"> </w:t>
      </w:r>
      <w:r w:rsidRPr="00893E65">
        <w:tab/>
        <w:t>En adelante “la petición”.</w:t>
      </w:r>
      <w:r>
        <w:tab/>
      </w:r>
    </w:p>
  </w:footnote>
  <w:footnote w:id="361">
    <w:p w14:paraId="24AB7E3A" w14:textId="77777777" w:rsidR="00E66707" w:rsidRPr="00893E65" w:rsidRDefault="00E66707" w:rsidP="00E66707">
      <w:pPr>
        <w:tabs>
          <w:tab w:val="left" w:pos="567"/>
          <w:tab w:val="left" w:pos="1134"/>
        </w:tabs>
        <w:spacing w:after="120"/>
        <w:jc w:val="both"/>
        <w:rPr>
          <w:rFonts w:ascii="Verdana" w:hAnsi="Verdana"/>
          <w:b/>
          <w:sz w:val="16"/>
          <w:szCs w:val="16"/>
        </w:rPr>
      </w:pPr>
      <w:r w:rsidRPr="005F635A">
        <w:rPr>
          <w:rStyle w:val="FootnoteReference"/>
          <w:sz w:val="16"/>
          <w:szCs w:val="16"/>
        </w:rPr>
        <w:footnoteRef/>
      </w:r>
      <w:r w:rsidRPr="005F635A">
        <w:rPr>
          <w:rFonts w:ascii="Verdana" w:hAnsi="Verdana"/>
          <w:snapToGrid w:val="0"/>
          <w:sz w:val="16"/>
          <w:szCs w:val="16"/>
        </w:rPr>
        <w:t xml:space="preserve"> </w:t>
      </w:r>
      <w:r w:rsidRPr="005F635A">
        <w:rPr>
          <w:rFonts w:ascii="Verdana" w:hAnsi="Verdana"/>
          <w:snapToGrid w:val="0"/>
          <w:sz w:val="16"/>
          <w:szCs w:val="16"/>
        </w:rPr>
        <w:tab/>
      </w:r>
      <w:r w:rsidRPr="001E71A1">
        <w:rPr>
          <w:rFonts w:ascii="Verdana" w:hAnsi="Verdana"/>
          <w:snapToGrid w:val="0"/>
          <w:sz w:val="16"/>
          <w:szCs w:val="16"/>
        </w:rPr>
        <w:t xml:space="preserve">Voto Disidente del Juez Eduardo Vio Grossi, </w:t>
      </w:r>
      <w:r w:rsidRPr="001E71A1">
        <w:rPr>
          <w:rFonts w:ascii="Verdana" w:hAnsi="Verdana"/>
          <w:i/>
          <w:snapToGrid w:val="0"/>
          <w:sz w:val="16"/>
          <w:szCs w:val="16"/>
        </w:rPr>
        <w:t xml:space="preserve">Caso Galindo Cárdenas y Otros Vs. Perú. Excepciones Preliminares, Fondo, Reparaciones y Costas. </w:t>
      </w:r>
      <w:r w:rsidRPr="001E71A1">
        <w:rPr>
          <w:rFonts w:ascii="Verdana" w:hAnsi="Verdana"/>
          <w:snapToGrid w:val="0"/>
          <w:sz w:val="16"/>
          <w:szCs w:val="16"/>
        </w:rPr>
        <w:t>Sentencia de 2 de octubre de 2015</w:t>
      </w:r>
      <w:r w:rsidRPr="001E71A1">
        <w:rPr>
          <w:rFonts w:ascii="Verdana" w:hAnsi="Verdana"/>
          <w:i/>
          <w:snapToGrid w:val="0"/>
          <w:sz w:val="16"/>
          <w:szCs w:val="16"/>
        </w:rPr>
        <w:t xml:space="preserve">. </w:t>
      </w:r>
      <w:r w:rsidRPr="001E71A1">
        <w:rPr>
          <w:rFonts w:ascii="Verdana" w:hAnsi="Verdana" w:cs="Calibri"/>
          <w:sz w:val="16"/>
          <w:szCs w:val="16"/>
        </w:rPr>
        <w:t>Serie C No.</w:t>
      </w:r>
      <w:r w:rsidRPr="005F635A">
        <w:rPr>
          <w:rFonts w:ascii="Verdana" w:hAnsi="Verdana" w:cs="Calibri"/>
          <w:sz w:val="16"/>
          <w:szCs w:val="16"/>
        </w:rPr>
        <w:t xml:space="preserve"> </w:t>
      </w:r>
      <w:r>
        <w:rPr>
          <w:rFonts w:ascii="Verdana" w:hAnsi="Verdana" w:cs="Calibri"/>
          <w:sz w:val="16"/>
          <w:szCs w:val="16"/>
        </w:rPr>
        <w:t>301</w:t>
      </w:r>
      <w:r w:rsidRPr="005F635A">
        <w:rPr>
          <w:rFonts w:ascii="Verdana" w:hAnsi="Verdana"/>
          <w:snapToGrid w:val="0"/>
          <w:sz w:val="16"/>
          <w:szCs w:val="16"/>
        </w:rPr>
        <w:t>;</w:t>
      </w:r>
      <w:r w:rsidRPr="005F635A">
        <w:rPr>
          <w:rFonts w:ascii="Verdana" w:hAnsi="Verdana"/>
          <w:i/>
          <w:snapToGrid w:val="0"/>
          <w:sz w:val="16"/>
          <w:szCs w:val="16"/>
        </w:rPr>
        <w:t xml:space="preserve"> </w:t>
      </w:r>
      <w:r w:rsidRPr="005F635A">
        <w:rPr>
          <w:rFonts w:ascii="Verdana" w:hAnsi="Verdana"/>
          <w:sz w:val="16"/>
          <w:szCs w:val="16"/>
        </w:rPr>
        <w:t xml:space="preserve">Voto Individual Disidente del Juez Eduardo Vio Grossi, </w:t>
      </w:r>
      <w:r w:rsidRPr="00437B21">
        <w:rPr>
          <w:rFonts w:ascii="Verdana" w:hAnsi="Verdana"/>
          <w:i/>
          <w:sz w:val="16"/>
          <w:szCs w:val="16"/>
        </w:rPr>
        <w:t xml:space="preserve">Caso </w:t>
      </w:r>
      <w:r w:rsidRPr="001E71A1">
        <w:rPr>
          <w:rFonts w:ascii="Verdana" w:hAnsi="Verdana"/>
          <w:i/>
          <w:spacing w:val="-2"/>
          <w:sz w:val="16"/>
          <w:szCs w:val="16"/>
        </w:rPr>
        <w:t>Comunidad Campesina Santa Bárbara Vs. Perú</w:t>
      </w:r>
      <w:r w:rsidRPr="001E71A1">
        <w:rPr>
          <w:rFonts w:ascii="Verdana" w:hAnsi="Verdana"/>
          <w:spacing w:val="-2"/>
          <w:sz w:val="16"/>
          <w:szCs w:val="16"/>
        </w:rPr>
        <w:t xml:space="preserve">. </w:t>
      </w:r>
      <w:r w:rsidRPr="001E71A1">
        <w:rPr>
          <w:rFonts w:ascii="Verdana" w:hAnsi="Verdana"/>
          <w:i/>
          <w:spacing w:val="-2"/>
          <w:sz w:val="16"/>
          <w:szCs w:val="16"/>
        </w:rPr>
        <w:t>Excepciones Preliminares, Fondo, Reparaciones y Costas</w:t>
      </w:r>
      <w:r w:rsidRPr="001E71A1">
        <w:rPr>
          <w:rFonts w:ascii="Verdana" w:hAnsi="Verdana"/>
          <w:spacing w:val="-2"/>
          <w:sz w:val="16"/>
          <w:szCs w:val="16"/>
        </w:rPr>
        <w:t>. Sentencia de 1 de septiembre de 2015.</w:t>
      </w:r>
      <w:r w:rsidRPr="001E71A1">
        <w:rPr>
          <w:rFonts w:ascii="Verdana" w:hAnsi="Verdana" w:cs="Calibri"/>
          <w:sz w:val="16"/>
          <w:szCs w:val="16"/>
        </w:rPr>
        <w:t xml:space="preserve"> Serie C No. 299</w:t>
      </w:r>
      <w:r w:rsidRPr="005F635A">
        <w:rPr>
          <w:rFonts w:ascii="Verdana" w:hAnsi="Verdana"/>
          <w:spacing w:val="-2"/>
          <w:sz w:val="16"/>
          <w:szCs w:val="16"/>
        </w:rPr>
        <w:t xml:space="preserve">; </w:t>
      </w:r>
      <w:r w:rsidRPr="005F635A">
        <w:rPr>
          <w:rFonts w:ascii="Verdana" w:hAnsi="Verdana" w:cs="Calibri"/>
          <w:sz w:val="16"/>
          <w:szCs w:val="16"/>
        </w:rPr>
        <w:t xml:space="preserve">Voto Individual Disidente del Juez Eduardo Vio Grossi, </w:t>
      </w:r>
      <w:r w:rsidRPr="005F635A">
        <w:rPr>
          <w:rFonts w:ascii="Verdana" w:hAnsi="Verdana" w:cs="Calibri"/>
          <w:i/>
          <w:sz w:val="16"/>
          <w:szCs w:val="16"/>
        </w:rPr>
        <w:t xml:space="preserve">Caso Wong Ho </w:t>
      </w:r>
      <w:proofErr w:type="spellStart"/>
      <w:r w:rsidRPr="005F635A">
        <w:rPr>
          <w:rFonts w:ascii="Verdana" w:hAnsi="Verdana" w:cs="Calibri"/>
          <w:i/>
          <w:sz w:val="16"/>
          <w:szCs w:val="16"/>
        </w:rPr>
        <w:t>Wing</w:t>
      </w:r>
      <w:proofErr w:type="spellEnd"/>
      <w:r w:rsidRPr="005F635A">
        <w:rPr>
          <w:rFonts w:ascii="Verdana" w:hAnsi="Verdana" w:cs="Calibri"/>
          <w:i/>
          <w:sz w:val="16"/>
          <w:szCs w:val="16"/>
        </w:rPr>
        <w:t xml:space="preserve"> Vs. Perú</w:t>
      </w:r>
      <w:r w:rsidRPr="00437B21">
        <w:rPr>
          <w:rFonts w:ascii="Verdana" w:hAnsi="Verdana" w:cs="Calibri"/>
          <w:sz w:val="16"/>
          <w:szCs w:val="16"/>
        </w:rPr>
        <w:t>.</w:t>
      </w:r>
      <w:r w:rsidRPr="001E71A1">
        <w:rPr>
          <w:rFonts w:ascii="Verdana" w:hAnsi="Verdana" w:cs="Calibri"/>
          <w:sz w:val="16"/>
          <w:szCs w:val="16"/>
        </w:rPr>
        <w:t xml:space="preserve"> </w:t>
      </w:r>
      <w:r w:rsidRPr="001E71A1">
        <w:rPr>
          <w:rFonts w:ascii="Verdana" w:hAnsi="Verdana" w:cs="Calibri"/>
          <w:i/>
          <w:snapToGrid w:val="0"/>
          <w:sz w:val="16"/>
          <w:szCs w:val="16"/>
        </w:rPr>
        <w:t>Excepción Preliminar, Fondo, Reparaciones y Costas</w:t>
      </w:r>
      <w:r w:rsidRPr="001E71A1">
        <w:rPr>
          <w:rFonts w:ascii="Verdana" w:hAnsi="Verdana" w:cs="Calibri"/>
          <w:i/>
          <w:sz w:val="16"/>
          <w:szCs w:val="16"/>
        </w:rPr>
        <w:t>.</w:t>
      </w:r>
      <w:r w:rsidRPr="001E71A1">
        <w:rPr>
          <w:rFonts w:ascii="Verdana" w:hAnsi="Verdana" w:cs="Calibri"/>
          <w:sz w:val="16"/>
          <w:szCs w:val="16"/>
        </w:rPr>
        <w:t xml:space="preserve"> Sentencia de 30 de junio de 2015. Serie C No. 297</w:t>
      </w:r>
      <w:r w:rsidRPr="001E71A1">
        <w:rPr>
          <w:rFonts w:ascii="Verdana" w:hAnsi="Verdana" w:cs="Calibri"/>
          <w:snapToGrid w:val="0"/>
          <w:sz w:val="16"/>
          <w:szCs w:val="16"/>
        </w:rPr>
        <w:t xml:space="preserve">; </w:t>
      </w:r>
      <w:r w:rsidRPr="001E71A1">
        <w:rPr>
          <w:rFonts w:ascii="Verdana" w:hAnsi="Verdana" w:cs="Calibri"/>
          <w:sz w:val="16"/>
          <w:szCs w:val="16"/>
        </w:rPr>
        <w:t xml:space="preserve">Voto Individual Disidente del Juez Eduardo Vio Grossi, </w:t>
      </w:r>
      <w:r w:rsidRPr="001E71A1">
        <w:rPr>
          <w:rFonts w:ascii="Verdana" w:hAnsi="Verdana" w:cs="Calibri"/>
          <w:i/>
          <w:sz w:val="16"/>
          <w:szCs w:val="16"/>
        </w:rPr>
        <w:t>Caso Cruz Sánchez y Otros Vs. Perú</w:t>
      </w:r>
      <w:r w:rsidRPr="001E71A1">
        <w:rPr>
          <w:rFonts w:ascii="Verdana" w:hAnsi="Verdana" w:cs="Calibri"/>
          <w:sz w:val="16"/>
          <w:szCs w:val="16"/>
        </w:rPr>
        <w:t xml:space="preserve">. </w:t>
      </w:r>
      <w:r w:rsidRPr="001E71A1">
        <w:rPr>
          <w:rFonts w:ascii="Verdana" w:hAnsi="Verdana" w:cs="Calibri"/>
          <w:i/>
          <w:snapToGrid w:val="0"/>
          <w:sz w:val="16"/>
          <w:szCs w:val="16"/>
        </w:rPr>
        <w:t>Excepciones Preliminares, Fondo, Reparaciones y Costas</w:t>
      </w:r>
      <w:r w:rsidRPr="001E71A1">
        <w:rPr>
          <w:rFonts w:ascii="Verdana" w:hAnsi="Verdana" w:cs="Calibri"/>
          <w:snapToGrid w:val="0"/>
          <w:sz w:val="16"/>
          <w:szCs w:val="16"/>
        </w:rPr>
        <w:t xml:space="preserve">. </w:t>
      </w:r>
      <w:r w:rsidRPr="001E71A1">
        <w:rPr>
          <w:rFonts w:ascii="Verdana" w:hAnsi="Verdana" w:cs="Calibri"/>
          <w:sz w:val="16"/>
          <w:szCs w:val="16"/>
        </w:rPr>
        <w:t>Sentencia de 17 de abril de 2015. Serie C No. 292;</w:t>
      </w:r>
      <w:r w:rsidRPr="001E71A1">
        <w:rPr>
          <w:rFonts w:ascii="Verdana" w:hAnsi="Verdana" w:cs="Calibri"/>
          <w:snapToGrid w:val="0"/>
          <w:sz w:val="16"/>
          <w:szCs w:val="16"/>
        </w:rPr>
        <w:t xml:space="preserve"> Voto Individual Disidente del Juez Eduardo Vio Grossi, </w:t>
      </w:r>
      <w:r w:rsidRPr="001E71A1">
        <w:rPr>
          <w:rFonts w:ascii="Verdana" w:hAnsi="Verdana" w:cs="Calibri"/>
          <w:i/>
          <w:snapToGrid w:val="0"/>
          <w:sz w:val="16"/>
          <w:szCs w:val="16"/>
        </w:rPr>
        <w:t xml:space="preserve">Caso </w:t>
      </w:r>
      <w:proofErr w:type="spellStart"/>
      <w:r w:rsidRPr="001E71A1">
        <w:rPr>
          <w:rFonts w:ascii="Verdana" w:hAnsi="Verdana" w:cs="Calibri"/>
          <w:i/>
          <w:snapToGrid w:val="0"/>
          <w:sz w:val="16"/>
          <w:szCs w:val="16"/>
        </w:rPr>
        <w:t>Liakat</w:t>
      </w:r>
      <w:proofErr w:type="spellEnd"/>
      <w:r w:rsidRPr="001E71A1">
        <w:rPr>
          <w:rFonts w:ascii="Verdana" w:hAnsi="Verdana" w:cs="Calibri"/>
          <w:i/>
          <w:snapToGrid w:val="0"/>
          <w:sz w:val="16"/>
          <w:szCs w:val="16"/>
        </w:rPr>
        <w:t xml:space="preserve"> </w:t>
      </w:r>
      <w:proofErr w:type="spellStart"/>
      <w:r w:rsidRPr="001E71A1">
        <w:rPr>
          <w:rFonts w:ascii="Verdana" w:hAnsi="Verdana" w:cs="Calibri"/>
          <w:i/>
          <w:snapToGrid w:val="0"/>
          <w:sz w:val="16"/>
          <w:szCs w:val="16"/>
        </w:rPr>
        <w:t>Alibux</w:t>
      </w:r>
      <w:proofErr w:type="spellEnd"/>
      <w:r w:rsidRPr="001E71A1">
        <w:rPr>
          <w:rFonts w:ascii="Verdana" w:hAnsi="Verdana" w:cs="Calibri"/>
          <w:i/>
          <w:snapToGrid w:val="0"/>
          <w:sz w:val="16"/>
          <w:szCs w:val="16"/>
        </w:rPr>
        <w:t xml:space="preserve"> Vs </w:t>
      </w:r>
      <w:proofErr w:type="spellStart"/>
      <w:r w:rsidRPr="001E71A1">
        <w:rPr>
          <w:rFonts w:ascii="Verdana" w:hAnsi="Verdana" w:cs="Calibri"/>
          <w:i/>
          <w:snapToGrid w:val="0"/>
          <w:sz w:val="16"/>
          <w:szCs w:val="16"/>
        </w:rPr>
        <w:t>Suriname</w:t>
      </w:r>
      <w:proofErr w:type="spellEnd"/>
      <w:r w:rsidRPr="001E71A1">
        <w:rPr>
          <w:rFonts w:ascii="Verdana" w:hAnsi="Verdana" w:cs="Calibri"/>
          <w:snapToGrid w:val="0"/>
          <w:sz w:val="16"/>
          <w:szCs w:val="16"/>
        </w:rPr>
        <w:t xml:space="preserve">. </w:t>
      </w:r>
      <w:r w:rsidRPr="001E71A1">
        <w:rPr>
          <w:rFonts w:ascii="Verdana" w:hAnsi="Verdana" w:cs="Calibri"/>
          <w:i/>
          <w:snapToGrid w:val="0"/>
          <w:sz w:val="16"/>
          <w:szCs w:val="16"/>
        </w:rPr>
        <w:t>Excepciones Preliminares, Fondo, Reparaciones y Costas.</w:t>
      </w:r>
      <w:r w:rsidRPr="001E71A1">
        <w:rPr>
          <w:rFonts w:ascii="Verdana" w:hAnsi="Verdana" w:cs="Calibri"/>
          <w:snapToGrid w:val="0"/>
          <w:sz w:val="16"/>
          <w:szCs w:val="16"/>
        </w:rPr>
        <w:t xml:space="preserve"> Sentencia de 30 de enero de 2014. </w:t>
      </w:r>
      <w:r w:rsidRPr="001E71A1">
        <w:rPr>
          <w:rFonts w:ascii="Verdana" w:hAnsi="Verdana" w:cs="Calibri"/>
          <w:sz w:val="16"/>
          <w:szCs w:val="16"/>
        </w:rPr>
        <w:t xml:space="preserve">Serie C No. 276, </w:t>
      </w:r>
      <w:r w:rsidRPr="001E71A1">
        <w:rPr>
          <w:rFonts w:ascii="Verdana" w:hAnsi="Verdana" w:cs="Calibri"/>
          <w:snapToGrid w:val="0"/>
          <w:sz w:val="16"/>
          <w:szCs w:val="16"/>
        </w:rPr>
        <w:t>y</w:t>
      </w:r>
      <w:r w:rsidRPr="001E71A1">
        <w:rPr>
          <w:rFonts w:ascii="Verdana" w:hAnsi="Verdana" w:cs="Calibri"/>
          <w:caps/>
          <w:snapToGrid w:val="0"/>
          <w:sz w:val="16"/>
          <w:szCs w:val="16"/>
        </w:rPr>
        <w:t xml:space="preserve"> </w:t>
      </w:r>
      <w:r w:rsidRPr="001E71A1">
        <w:rPr>
          <w:rFonts w:ascii="Verdana" w:hAnsi="Verdana" w:cs="Calibri"/>
          <w:sz w:val="16"/>
          <w:szCs w:val="16"/>
        </w:rPr>
        <w:t xml:space="preserve">Voto Individual Disidente del juez Eduardo Vio Grossi, </w:t>
      </w:r>
      <w:r w:rsidRPr="001E71A1">
        <w:rPr>
          <w:rFonts w:ascii="Verdana" w:hAnsi="Verdana" w:cs="Calibri"/>
          <w:i/>
          <w:sz w:val="16"/>
          <w:szCs w:val="16"/>
        </w:rPr>
        <w:t>Caso Díaz Peña Vs. Venezuela</w:t>
      </w:r>
      <w:r w:rsidRPr="001E71A1">
        <w:rPr>
          <w:rFonts w:ascii="Verdana" w:hAnsi="Verdana" w:cs="Calibri"/>
          <w:sz w:val="16"/>
          <w:szCs w:val="16"/>
        </w:rPr>
        <w:t xml:space="preserve">. </w:t>
      </w:r>
      <w:r w:rsidRPr="001E71A1">
        <w:rPr>
          <w:rFonts w:ascii="Verdana" w:hAnsi="Verdana" w:cs="Calibri"/>
          <w:i/>
          <w:sz w:val="16"/>
          <w:szCs w:val="16"/>
        </w:rPr>
        <w:t>Excepción Preliminar, Fondo, Reparaciones y Costas</w:t>
      </w:r>
      <w:r w:rsidRPr="001E71A1">
        <w:rPr>
          <w:rFonts w:ascii="Verdana" w:hAnsi="Verdana" w:cs="Calibri"/>
          <w:sz w:val="16"/>
          <w:szCs w:val="16"/>
        </w:rPr>
        <w:t>. Sentencia de 26 de junio de 2012. Serie C No. 244.</w:t>
      </w:r>
      <w:r w:rsidRPr="00893E65">
        <w:rPr>
          <w:rFonts w:ascii="Verdana" w:hAnsi="Verdana" w:cs="Calibri"/>
          <w:sz w:val="16"/>
          <w:szCs w:val="16"/>
        </w:rPr>
        <w:t xml:space="preserve"> </w:t>
      </w:r>
    </w:p>
  </w:footnote>
  <w:footnote w:id="362">
    <w:p w14:paraId="62164EE3" w14:textId="77777777" w:rsidR="00E66707" w:rsidRPr="00893E65" w:rsidRDefault="00E66707" w:rsidP="00E66707">
      <w:pPr>
        <w:pStyle w:val="FootnoteText"/>
      </w:pPr>
      <w:r w:rsidRPr="00893E65">
        <w:rPr>
          <w:rStyle w:val="FootnoteReference"/>
          <w:sz w:val="16"/>
        </w:rPr>
        <w:footnoteRef/>
      </w:r>
      <w:r w:rsidRPr="00893E65">
        <w:t xml:space="preserve"> </w:t>
      </w:r>
      <w:r w:rsidRPr="00893E65">
        <w:tab/>
        <w:t>Párr. 31. En adelante, “párr.” indicará “párrafo de la Sentencia”.</w:t>
      </w:r>
    </w:p>
  </w:footnote>
  <w:footnote w:id="363">
    <w:p w14:paraId="0CDD3E33" w14:textId="77777777" w:rsidR="00E66707" w:rsidRPr="009B16D9" w:rsidRDefault="00E66707" w:rsidP="00E66707">
      <w:pPr>
        <w:pStyle w:val="FootnoteText"/>
      </w:pPr>
      <w:r w:rsidRPr="009B16D9">
        <w:rPr>
          <w:rStyle w:val="FootnoteReference"/>
          <w:sz w:val="16"/>
        </w:rPr>
        <w:footnoteRef/>
      </w:r>
      <w:r w:rsidRPr="009B16D9">
        <w:t xml:space="preserve"> </w:t>
      </w:r>
      <w:r w:rsidRPr="009B16D9">
        <w:tab/>
        <w:t>Párr. 33.</w:t>
      </w:r>
    </w:p>
  </w:footnote>
  <w:footnote w:id="364">
    <w:p w14:paraId="1EA7D4F0" w14:textId="77777777" w:rsidR="00E66707" w:rsidRPr="009B16D9" w:rsidRDefault="00E66707" w:rsidP="00E66707">
      <w:pPr>
        <w:pStyle w:val="FootnoteText"/>
      </w:pPr>
      <w:r w:rsidRPr="009B16D9">
        <w:rPr>
          <w:rStyle w:val="FootnoteReference"/>
          <w:sz w:val="16"/>
        </w:rPr>
        <w:footnoteRef/>
      </w:r>
      <w:r w:rsidRPr="009B16D9">
        <w:t xml:space="preserve"> </w:t>
      </w:r>
      <w:r w:rsidRPr="009B16D9">
        <w:tab/>
        <w:t>Nota Nº 5.</w:t>
      </w:r>
    </w:p>
  </w:footnote>
  <w:footnote w:id="365">
    <w:p w14:paraId="27A0CDAF" w14:textId="77777777" w:rsidR="00E66707" w:rsidRPr="009B16D9" w:rsidRDefault="00E66707" w:rsidP="00E66707">
      <w:pPr>
        <w:pStyle w:val="FootnoteText"/>
      </w:pPr>
      <w:r w:rsidRPr="009B16D9">
        <w:rPr>
          <w:rStyle w:val="FootnoteReference"/>
          <w:sz w:val="16"/>
        </w:rPr>
        <w:footnoteRef/>
      </w:r>
      <w:r w:rsidRPr="009B16D9">
        <w:t xml:space="preserve"> </w:t>
      </w:r>
      <w:r w:rsidRPr="009B16D9">
        <w:tab/>
        <w:t>En adelante “la Corte”.</w:t>
      </w:r>
    </w:p>
  </w:footnote>
  <w:footnote w:id="366">
    <w:p w14:paraId="5EFF8BE3" w14:textId="77777777" w:rsidR="00E66707" w:rsidRPr="009B16D9" w:rsidRDefault="00E66707" w:rsidP="00E66707">
      <w:pPr>
        <w:pStyle w:val="FootnoteText"/>
      </w:pPr>
      <w:r w:rsidRPr="009B16D9">
        <w:rPr>
          <w:rStyle w:val="FootnoteReference"/>
          <w:sz w:val="16"/>
        </w:rPr>
        <w:footnoteRef/>
      </w:r>
      <w:r w:rsidRPr="009B16D9">
        <w:t xml:space="preserve"> </w:t>
      </w:r>
      <w:r w:rsidRPr="009B16D9">
        <w:tab/>
        <w:t>En adelante “la Convención”.</w:t>
      </w:r>
    </w:p>
  </w:footnote>
  <w:footnote w:id="367">
    <w:p w14:paraId="0CA67117" w14:textId="77777777" w:rsidR="00E66707" w:rsidRPr="009B16D9" w:rsidRDefault="00E66707" w:rsidP="00E66707">
      <w:pPr>
        <w:shd w:val="clear" w:color="auto" w:fill="FFFFFF"/>
        <w:spacing w:after="120"/>
        <w:jc w:val="both"/>
        <w:rPr>
          <w:rFonts w:ascii="Verdana" w:eastAsia="Times New Roman" w:hAnsi="Verdana" w:cs="Arial"/>
          <w:color w:val="000000"/>
          <w:sz w:val="16"/>
          <w:szCs w:val="16"/>
          <w:lang w:eastAsia="es-CL"/>
        </w:rPr>
      </w:pPr>
      <w:bookmarkStart w:id="141" w:name="_GoBack"/>
      <w:bookmarkEnd w:id="141"/>
      <w:r w:rsidRPr="009B16D9">
        <w:rPr>
          <w:rStyle w:val="FootnoteReference"/>
          <w:sz w:val="16"/>
          <w:szCs w:val="16"/>
        </w:rPr>
        <w:footnoteRef/>
      </w:r>
      <w:r w:rsidRPr="009B16D9">
        <w:rPr>
          <w:rFonts w:ascii="Verdana" w:hAnsi="Verdana"/>
          <w:sz w:val="16"/>
          <w:szCs w:val="16"/>
        </w:rPr>
        <w:t xml:space="preserve"> </w:t>
      </w:r>
      <w:r w:rsidRPr="009B16D9">
        <w:rPr>
          <w:rFonts w:ascii="Verdana" w:hAnsi="Verdana"/>
          <w:sz w:val="16"/>
          <w:szCs w:val="16"/>
        </w:rPr>
        <w:tab/>
      </w:r>
      <w:r w:rsidRPr="009B16D9">
        <w:rPr>
          <w:rFonts w:ascii="Verdana" w:hAnsi="Verdana"/>
          <w:sz w:val="16"/>
          <w:szCs w:val="16"/>
          <w:lang w:val="es-ES"/>
        </w:rPr>
        <w:t xml:space="preserve">Con tal fórmula, no se varía respecto de lo que rige en general en el Derecho Internacional, </w:t>
      </w:r>
      <w:r w:rsidRPr="00893E65">
        <w:rPr>
          <w:rFonts w:ascii="Verdana" w:hAnsi="Verdana"/>
          <w:sz w:val="16"/>
          <w:szCs w:val="16"/>
          <w:lang w:val="es-ES"/>
        </w:rPr>
        <w:t>expresado, en especial, en lo dispuesto en el artículo 50 del Estatuto de la Corte Internacional de Justicia:</w:t>
      </w:r>
      <w:r w:rsidRPr="00893E65">
        <w:rPr>
          <w:rFonts w:ascii="Verdana" w:eastAsia="Times New Roman" w:hAnsi="Verdana" w:cs="Arial"/>
          <w:color w:val="000000"/>
          <w:sz w:val="16"/>
          <w:szCs w:val="16"/>
          <w:lang w:eastAsia="es-CL"/>
        </w:rPr>
        <w:t xml:space="preserve"> </w:t>
      </w:r>
      <w:r w:rsidRPr="00566EDD">
        <w:rPr>
          <w:rFonts w:ascii="Verdana" w:eastAsia="Times New Roman" w:hAnsi="Verdana" w:cs="Arial"/>
          <w:i/>
          <w:color w:val="000000"/>
          <w:sz w:val="16"/>
          <w:szCs w:val="16"/>
          <w:lang w:eastAsia="es-CL"/>
        </w:rPr>
        <w:t xml:space="preserve">“La decisión de la Corte no es obligatoria sino para las partes en litigio y respecto del caso que ha sido decidido”. </w:t>
      </w:r>
      <w:r w:rsidRPr="00566EDD">
        <w:rPr>
          <w:rFonts w:ascii="Verdana" w:eastAsia="Times New Roman" w:hAnsi="Verdana" w:cs="Arial"/>
          <w:color w:val="000000"/>
          <w:sz w:val="16"/>
          <w:szCs w:val="16"/>
          <w:lang w:eastAsia="es-CL"/>
        </w:rPr>
        <w:t>Por ello, respec</w:t>
      </w:r>
      <w:r w:rsidRPr="00C71D05">
        <w:rPr>
          <w:rFonts w:ascii="Verdana" w:eastAsia="Times New Roman" w:hAnsi="Verdana" w:cs="Arial"/>
          <w:color w:val="000000"/>
          <w:sz w:val="16"/>
          <w:szCs w:val="16"/>
          <w:lang w:eastAsia="es-CL"/>
        </w:rPr>
        <w:t>to de los Estados no partes de un conflicto, la jurisprudencia es una fuente auxiliar del Derecho Internacional. El artículo 38.1.d del referido Estatuto señala: “</w:t>
      </w:r>
      <w:r w:rsidRPr="009B16D9">
        <w:rPr>
          <w:rFonts w:ascii="Verdana" w:eastAsia="Times New Roman" w:hAnsi="Verdana" w:cs="Arial"/>
          <w:i/>
          <w:color w:val="000000"/>
          <w:sz w:val="16"/>
          <w:szCs w:val="16"/>
          <w:lang w:eastAsia="es-CL"/>
        </w:rPr>
        <w:t>La Corte, cuya función es decidir conforme al derecho internacional las controversias que le sean sometidas, deberá aplicar: las decisiones judiciales y las doctrinas de los publicistas de mayor competencia de las distintas naciones, como medio auxiliar para la determinación de las reglas de derecho, sin perjuicio de lo dispuesto en el Artículo 59</w:t>
      </w:r>
      <w:r w:rsidRPr="009B16D9">
        <w:rPr>
          <w:rFonts w:ascii="Verdana" w:eastAsia="Times New Roman" w:hAnsi="Verdana" w:cs="Arial"/>
          <w:color w:val="000000"/>
          <w:sz w:val="16"/>
          <w:szCs w:val="16"/>
          <w:lang w:eastAsia="es-CL"/>
        </w:rPr>
        <w:t>”. Es por lo señalado que las sentencias de la Corte no tienen el carácter supranacional, vale decir, no tienen aplicación o ejecución directa en el territorio de los Estados Partes de la Convención, sino que, para ello se requiere de la acción del Estado.</w:t>
      </w:r>
    </w:p>
    <w:p w14:paraId="684D28DD" w14:textId="77777777" w:rsidR="00E66707" w:rsidRPr="008861D0" w:rsidRDefault="00E66707" w:rsidP="00E6670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96C58" w14:textId="615CD1EE" w:rsidR="00E66707" w:rsidRDefault="00E66707">
    <w:pPr>
      <w:pStyle w:val="Header"/>
      <w:jc w:val="center"/>
    </w:pPr>
  </w:p>
  <w:p w14:paraId="3E1131D4" w14:textId="77777777" w:rsidR="00E66707" w:rsidRDefault="00E667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7319"/>
    <w:multiLevelType w:val="hybridMultilevel"/>
    <w:tmpl w:val="F146CDB6"/>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nsid w:val="060E68B8"/>
    <w:multiLevelType w:val="hybridMultilevel"/>
    <w:tmpl w:val="7544287C"/>
    <w:lvl w:ilvl="0" w:tplc="43EAE734">
      <w:start w:val="1"/>
      <w:numFmt w:val="lowerRoman"/>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2">
    <w:nsid w:val="066F0071"/>
    <w:multiLevelType w:val="hybridMultilevel"/>
    <w:tmpl w:val="F146CDB6"/>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nsid w:val="176B131F"/>
    <w:multiLevelType w:val="hybridMultilevel"/>
    <w:tmpl w:val="1A48B480"/>
    <w:lvl w:ilvl="0" w:tplc="140A0015">
      <w:start w:val="1"/>
      <w:numFmt w:val="upperLetter"/>
      <w:lvlText w:val="%1."/>
      <w:lvlJc w:val="left"/>
      <w:pPr>
        <w:ind w:left="360" w:hanging="360"/>
      </w:pPr>
      <w:rPr>
        <w:rFonts w:hint="default"/>
        <w:color w:val="auto"/>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nsid w:val="27DC6263"/>
    <w:multiLevelType w:val="hybridMultilevel"/>
    <w:tmpl w:val="841EDCF8"/>
    <w:lvl w:ilvl="0" w:tplc="140A000F">
      <w:start w:val="1"/>
      <w:numFmt w:val="decimal"/>
      <w:lvlText w:val="%1."/>
      <w:lvlJc w:val="left"/>
      <w:pPr>
        <w:ind w:left="720" w:hanging="360"/>
      </w:pPr>
      <w:rPr>
        <w:rFonts w:hint="default"/>
        <w:strike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2BAE6E67"/>
    <w:multiLevelType w:val="hybridMultilevel"/>
    <w:tmpl w:val="F146CDB6"/>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324A0E19"/>
    <w:multiLevelType w:val="hybridMultilevel"/>
    <w:tmpl w:val="EA3A70E2"/>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nsid w:val="32977C93"/>
    <w:multiLevelType w:val="hybridMultilevel"/>
    <w:tmpl w:val="7890CDE6"/>
    <w:lvl w:ilvl="0" w:tplc="DEB453AC">
      <w:start w:val="1"/>
      <w:numFmt w:val="decimal"/>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32F23A68"/>
    <w:multiLevelType w:val="hybridMultilevel"/>
    <w:tmpl w:val="ECA401CA"/>
    <w:lvl w:ilvl="0" w:tplc="22963EA8">
      <w:start w:val="1"/>
      <w:numFmt w:val="decimal"/>
      <w:pStyle w:val="PrrafodeSentencia"/>
      <w:lvlText w:val="%1."/>
      <w:lvlJc w:val="left"/>
      <w:pPr>
        <w:ind w:left="360" w:hanging="360"/>
      </w:pPr>
      <w:rPr>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76B39"/>
    <w:multiLevelType w:val="hybridMultilevel"/>
    <w:tmpl w:val="B8FC3084"/>
    <w:lvl w:ilvl="0" w:tplc="EE782AA4">
      <w:start w:val="1"/>
      <w:numFmt w:val="upperLetter"/>
      <w:pStyle w:val="Estilo5"/>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24C4FF96"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A453484"/>
    <w:multiLevelType w:val="hybridMultilevel"/>
    <w:tmpl w:val="A7EEC890"/>
    <w:lvl w:ilvl="0" w:tplc="0C0A0019">
      <w:start w:val="1"/>
      <w:numFmt w:val="lowerRoman"/>
      <w:pStyle w:val="Segundosubtitle"/>
      <w:lvlText w:val="%1."/>
      <w:lvlJc w:val="right"/>
      <w:pPr>
        <w:ind w:left="644"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F9B713D"/>
    <w:multiLevelType w:val="hybridMultilevel"/>
    <w:tmpl w:val="9704209E"/>
    <w:lvl w:ilvl="0" w:tplc="7E8E8A74">
      <w:start w:val="1"/>
      <w:numFmt w:val="decimal"/>
      <w:pStyle w:val="NormalNumbered"/>
      <w:lvlText w:val="%1."/>
      <w:lvlJc w:val="left"/>
      <w:pPr>
        <w:ind w:left="720" w:hanging="720"/>
      </w:pPr>
      <w:rPr>
        <w:rFonts w:ascii="Verdana" w:hAnsi="Verdana" w:hint="default"/>
        <w:b w:val="0"/>
        <w:i w:val="0"/>
        <w:strike w:val="0"/>
        <w:color w:val="auto"/>
        <w:sz w:val="20"/>
        <w:szCs w:val="2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CFAC7540">
      <w:start w:val="1"/>
      <w:numFmt w:val="decimal"/>
      <w:lvlText w:val="%4."/>
      <w:lvlJc w:val="left"/>
      <w:pPr>
        <w:ind w:left="2520" w:hanging="360"/>
      </w:pPr>
      <w:rPr>
        <w:b/>
        <w:i/>
      </w:r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40E71CDD"/>
    <w:multiLevelType w:val="hybridMultilevel"/>
    <w:tmpl w:val="EB302BB2"/>
    <w:lvl w:ilvl="0" w:tplc="979CC304">
      <w:start w:val="1"/>
      <w:numFmt w:val="upp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3">
    <w:nsid w:val="479A347F"/>
    <w:multiLevelType w:val="hybridMultilevel"/>
    <w:tmpl w:val="8362AC1A"/>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nsid w:val="4C5469CD"/>
    <w:multiLevelType w:val="hybridMultilevel"/>
    <w:tmpl w:val="D7FED382"/>
    <w:lvl w:ilvl="0" w:tplc="264CB88E">
      <w:start w:val="1"/>
      <w:numFmt w:val="decimal"/>
      <w:lvlText w:val="%1."/>
      <w:lvlJc w:val="left"/>
      <w:pPr>
        <w:ind w:left="720" w:hanging="360"/>
      </w:pPr>
      <w:rPr>
        <w:rFonts w:ascii="Verdana" w:eastAsia="Calibri" w:hAnsi="Verdana" w:cs="Times New Roman" w:hint="default"/>
        <w:b w:val="0"/>
        <w:i w:val="0"/>
        <w:strike w:val="0"/>
        <w:dstrike w:val="0"/>
        <w:color w:val="auto"/>
        <w:sz w:val="20"/>
        <w:szCs w:val="20"/>
        <w:u w:val="none"/>
        <w:effect w:val="none"/>
      </w:rPr>
    </w:lvl>
    <w:lvl w:ilvl="1" w:tplc="9B3E45F0">
      <w:start w:val="1"/>
      <w:numFmt w:val="lowerLetter"/>
      <w:pStyle w:val="Estilo4"/>
      <w:lvlText w:val="%2)"/>
      <w:lvlJc w:val="left"/>
      <w:pPr>
        <w:ind w:left="1440" w:hanging="360"/>
      </w:pPr>
      <w:rPr>
        <w:rFonts w:ascii="Verdana" w:hAnsi="Verdana" w:cs="Times New Roman" w:hint="default"/>
        <w:b w:val="0"/>
        <w:i/>
        <w:caps w:val="0"/>
        <w:strike w:val="0"/>
        <w:dstrike w:val="0"/>
        <w:vanish w:val="0"/>
        <w:webHidden w:val="0"/>
        <w:color w:val="auto"/>
        <w:sz w:val="20"/>
        <w:u w:val="none"/>
        <w:effect w:val="none"/>
        <w:vertAlign w:val="baseline"/>
        <w:specVanish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96377A8"/>
    <w:multiLevelType w:val="hybridMultilevel"/>
    <w:tmpl w:val="D16CD84A"/>
    <w:lvl w:ilvl="0" w:tplc="8C10D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50298B"/>
    <w:multiLevelType w:val="hybridMultilevel"/>
    <w:tmpl w:val="41A01670"/>
    <w:lvl w:ilvl="0" w:tplc="3EAA9234">
      <w:start w:val="1"/>
      <w:numFmt w:val="decimal"/>
      <w:lvlText w:val="%1."/>
      <w:lvlJc w:val="left"/>
      <w:pPr>
        <w:ind w:left="3420" w:hanging="360"/>
      </w:pPr>
      <w:rPr>
        <w:rFonts w:ascii="Verdana" w:hAnsi="Verdana" w:hint="default"/>
        <w:b w:val="0"/>
        <w:i w:val="0"/>
        <w:strike w:val="0"/>
        <w:sz w:val="20"/>
        <w:szCs w:val="20"/>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705A6F5C"/>
    <w:multiLevelType w:val="hybridMultilevel"/>
    <w:tmpl w:val="A446A628"/>
    <w:lvl w:ilvl="0" w:tplc="140A0015">
      <w:start w:val="1"/>
      <w:numFmt w:val="decimal"/>
      <w:pStyle w:val="Numberedparagraphs"/>
      <w:lvlText w:val="%1."/>
      <w:lvlJc w:val="left"/>
      <w:pPr>
        <w:tabs>
          <w:tab w:val="num" w:pos="720"/>
        </w:tabs>
        <w:ind w:left="0" w:firstLine="0"/>
      </w:pPr>
      <w:rPr>
        <w:rFonts w:ascii="Verdana" w:hAnsi="Verdana" w:hint="default"/>
        <w:b w:val="0"/>
        <w:i w:val="0"/>
        <w:strike w:val="0"/>
        <w:color w:val="auto"/>
        <w:sz w:val="20"/>
        <w:szCs w:val="20"/>
        <w:lang w:val="es-ES_tradnl"/>
      </w:rPr>
    </w:lvl>
    <w:lvl w:ilvl="1" w:tplc="140A0019">
      <w:start w:val="7"/>
      <w:numFmt w:val="decimal"/>
      <w:lvlText w:val="%2."/>
      <w:lvlJc w:val="left"/>
      <w:pPr>
        <w:ind w:left="2160" w:hanging="360"/>
      </w:pPr>
      <w:rPr>
        <w:rFonts w:hint="default"/>
      </w:rPr>
    </w:lvl>
    <w:lvl w:ilvl="2" w:tplc="140A001B">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8">
    <w:nsid w:val="70F41C41"/>
    <w:multiLevelType w:val="hybridMultilevel"/>
    <w:tmpl w:val="43B4D6F6"/>
    <w:lvl w:ilvl="0" w:tplc="1F80FC6C">
      <w:start w:val="1"/>
      <w:numFmt w:val="upperLetter"/>
      <w:lvlText w:val="%1."/>
      <w:lvlJc w:val="left"/>
      <w:pPr>
        <w:ind w:left="360" w:hanging="360"/>
      </w:pPr>
      <w:rPr>
        <w:rFonts w:hint="default"/>
        <w:b/>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nsid w:val="71243DE0"/>
    <w:multiLevelType w:val="hybridMultilevel"/>
    <w:tmpl w:val="C59C8EB2"/>
    <w:lvl w:ilvl="0" w:tplc="12BE5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3A0437"/>
    <w:multiLevelType w:val="hybridMultilevel"/>
    <w:tmpl w:val="1A48B480"/>
    <w:lvl w:ilvl="0" w:tplc="140A0015">
      <w:start w:val="1"/>
      <w:numFmt w:val="upperLetter"/>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nsid w:val="76753A80"/>
    <w:multiLevelType w:val="hybridMultilevel"/>
    <w:tmpl w:val="0ECC1800"/>
    <w:lvl w:ilvl="0" w:tplc="22267BCC">
      <w:start w:val="1"/>
      <w:numFmt w:val="decimal"/>
      <w:lvlText w:val="%1."/>
      <w:lvlJc w:val="left"/>
      <w:pPr>
        <w:ind w:left="0" w:firstLine="0"/>
      </w:pPr>
      <w:rPr>
        <w:rFonts w:ascii="Verdana" w:hAnsi="Verdana" w:hint="default"/>
        <w:b w:val="0"/>
        <w:i w:val="0"/>
        <w:strike w:val="0"/>
        <w:color w:val="auto"/>
        <w:sz w:val="20"/>
        <w:szCs w:val="20"/>
        <w:lang w:val="es-CR"/>
      </w:rPr>
    </w:lvl>
    <w:lvl w:ilvl="1" w:tplc="2C0A0019">
      <w:start w:val="1"/>
      <w:numFmt w:val="lowerLetter"/>
      <w:lvlText w:val="%2."/>
      <w:lvlJc w:val="left"/>
      <w:pPr>
        <w:ind w:left="1298" w:hanging="360"/>
      </w:pPr>
      <w:rPr>
        <w:rFonts w:hint="default"/>
        <w:lang w:val="es-CR"/>
      </w:rPr>
    </w:lvl>
    <w:lvl w:ilvl="2" w:tplc="4202A1AC">
      <w:start w:val="1"/>
      <w:numFmt w:val="lowerRoman"/>
      <w:lvlText w:val="%3."/>
      <w:lvlJc w:val="right"/>
      <w:pPr>
        <w:ind w:left="2018" w:hanging="180"/>
      </w:pPr>
      <w:rPr>
        <w:i/>
      </w:rPr>
    </w:lvl>
    <w:lvl w:ilvl="3" w:tplc="3F0893E6" w:tentative="1">
      <w:start w:val="1"/>
      <w:numFmt w:val="decimal"/>
      <w:lvlText w:val="%4."/>
      <w:lvlJc w:val="left"/>
      <w:pPr>
        <w:ind w:left="2738" w:hanging="360"/>
      </w:pPr>
    </w:lvl>
    <w:lvl w:ilvl="4" w:tplc="E7BA4BB6" w:tentative="1">
      <w:start w:val="1"/>
      <w:numFmt w:val="lowerLetter"/>
      <w:lvlText w:val="%5."/>
      <w:lvlJc w:val="left"/>
      <w:pPr>
        <w:ind w:left="3458" w:hanging="360"/>
      </w:pPr>
    </w:lvl>
    <w:lvl w:ilvl="5" w:tplc="2C0A001B" w:tentative="1">
      <w:start w:val="1"/>
      <w:numFmt w:val="lowerRoman"/>
      <w:lvlText w:val="%6."/>
      <w:lvlJc w:val="right"/>
      <w:pPr>
        <w:ind w:left="4178" w:hanging="180"/>
      </w:pPr>
    </w:lvl>
    <w:lvl w:ilvl="6" w:tplc="2C0A000F" w:tentative="1">
      <w:start w:val="1"/>
      <w:numFmt w:val="decimal"/>
      <w:lvlText w:val="%7."/>
      <w:lvlJc w:val="left"/>
      <w:pPr>
        <w:ind w:left="4898" w:hanging="360"/>
      </w:pPr>
    </w:lvl>
    <w:lvl w:ilvl="7" w:tplc="2C0A0019" w:tentative="1">
      <w:start w:val="1"/>
      <w:numFmt w:val="lowerLetter"/>
      <w:lvlText w:val="%8."/>
      <w:lvlJc w:val="left"/>
      <w:pPr>
        <w:ind w:left="5618" w:hanging="360"/>
      </w:pPr>
    </w:lvl>
    <w:lvl w:ilvl="8" w:tplc="2C0A001B" w:tentative="1">
      <w:start w:val="1"/>
      <w:numFmt w:val="lowerRoman"/>
      <w:lvlText w:val="%9."/>
      <w:lvlJc w:val="right"/>
      <w:pPr>
        <w:ind w:left="6338" w:hanging="180"/>
      </w:pPr>
    </w:lvl>
  </w:abstractNum>
  <w:abstractNum w:abstractNumId="22">
    <w:nsid w:val="7A84650E"/>
    <w:multiLevelType w:val="hybridMultilevel"/>
    <w:tmpl w:val="F146CDB6"/>
    <w:lvl w:ilvl="0" w:tplc="664256CA">
      <w:start w:val="1"/>
      <w:numFmt w:val="upperLetter"/>
      <w:lvlText w:val="%1."/>
      <w:lvlJc w:val="left"/>
      <w:pPr>
        <w:ind w:left="360" w:hanging="360"/>
      </w:pPr>
      <w:rPr>
        <w:rFonts w:hint="default"/>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nsid w:val="7CE64D32"/>
    <w:multiLevelType w:val="hybridMultilevel"/>
    <w:tmpl w:val="0514403A"/>
    <w:lvl w:ilvl="0" w:tplc="6FD6048C">
      <w:start w:val="1"/>
      <w:numFmt w:val="decimal"/>
      <w:lvlText w:val="%1."/>
      <w:lvlJc w:val="left"/>
      <w:pPr>
        <w:tabs>
          <w:tab w:val="num" w:pos="0"/>
        </w:tabs>
        <w:ind w:left="0" w:firstLine="0"/>
      </w:pPr>
      <w:rPr>
        <w:rFonts w:ascii="Verdana" w:eastAsia="Times New Roman" w:hAnsi="Verdana" w:cs="Times New Roman" w:hint="default"/>
        <w:b w:val="0"/>
        <w:i w:val="0"/>
        <w:strike w:val="0"/>
        <w:color w:val="auto"/>
        <w:sz w:val="20"/>
        <w:lang w:val="es-ES"/>
      </w:rPr>
    </w:lvl>
    <w:lvl w:ilvl="1" w:tplc="78E09D1E">
      <w:start w:val="1"/>
      <w:numFmt w:val="decimal"/>
      <w:lvlText w:val="%2."/>
      <w:lvlJc w:val="left"/>
      <w:pPr>
        <w:tabs>
          <w:tab w:val="num" w:pos="0"/>
        </w:tabs>
        <w:ind w:left="0" w:firstLine="0"/>
      </w:pPr>
      <w:rPr>
        <w:rFonts w:ascii="Verdana" w:eastAsia="Times New Roman" w:hAnsi="Verdana" w:cs="Times New Roman" w:hint="default"/>
        <w:b w:val="0"/>
        <w:i w:val="0"/>
        <w:strike w:val="0"/>
        <w:color w:val="auto"/>
        <w:sz w:val="20"/>
        <w:lang w:val="es-CO"/>
      </w:rPr>
    </w:lvl>
    <w:lvl w:ilvl="2" w:tplc="140A001B">
      <w:start w:val="1"/>
      <w:numFmt w:val="lowerRoman"/>
      <w:pStyle w:val="Estilo7"/>
      <w:lvlText w:val="%3."/>
      <w:lvlJc w:val="right"/>
      <w:pPr>
        <w:tabs>
          <w:tab w:val="num" w:pos="2160"/>
        </w:tabs>
        <w:ind w:left="2160" w:hanging="180"/>
      </w:pPr>
      <w:rPr>
        <w:rFonts w:cs="Times New Roman"/>
      </w:rPr>
    </w:lvl>
    <w:lvl w:ilvl="3" w:tplc="140A000F">
      <w:start w:val="1"/>
      <w:numFmt w:val="decimal"/>
      <w:lvlText w:val="%4."/>
      <w:lvlJc w:val="left"/>
      <w:pPr>
        <w:tabs>
          <w:tab w:val="num" w:pos="2880"/>
        </w:tabs>
        <w:ind w:left="2880" w:hanging="360"/>
      </w:pPr>
      <w:rPr>
        <w:rFonts w:cs="Times New Roman"/>
      </w:rPr>
    </w:lvl>
    <w:lvl w:ilvl="4" w:tplc="140A0019">
      <w:start w:val="1"/>
      <w:numFmt w:val="lowerLetter"/>
      <w:lvlText w:val="%5."/>
      <w:lvlJc w:val="left"/>
      <w:pPr>
        <w:tabs>
          <w:tab w:val="num" w:pos="3600"/>
        </w:tabs>
        <w:ind w:left="3600" w:hanging="360"/>
      </w:pPr>
      <w:rPr>
        <w:rFonts w:cs="Times New Roman"/>
      </w:rPr>
    </w:lvl>
    <w:lvl w:ilvl="5" w:tplc="140A001B">
      <w:start w:val="1"/>
      <w:numFmt w:val="lowerRoman"/>
      <w:lvlText w:val="%6."/>
      <w:lvlJc w:val="right"/>
      <w:pPr>
        <w:tabs>
          <w:tab w:val="num" w:pos="4320"/>
        </w:tabs>
        <w:ind w:left="4320" w:hanging="180"/>
      </w:pPr>
      <w:rPr>
        <w:rFonts w:cs="Times New Roman"/>
      </w:rPr>
    </w:lvl>
    <w:lvl w:ilvl="6" w:tplc="140A000F">
      <w:start w:val="1"/>
      <w:numFmt w:val="decimal"/>
      <w:lvlText w:val="%7."/>
      <w:lvlJc w:val="left"/>
      <w:pPr>
        <w:tabs>
          <w:tab w:val="num" w:pos="5040"/>
        </w:tabs>
        <w:ind w:left="5040" w:hanging="360"/>
      </w:pPr>
      <w:rPr>
        <w:rFonts w:cs="Times New Roman"/>
      </w:rPr>
    </w:lvl>
    <w:lvl w:ilvl="7" w:tplc="140A0019">
      <w:start w:val="1"/>
      <w:numFmt w:val="lowerLetter"/>
      <w:lvlText w:val="%8."/>
      <w:lvlJc w:val="left"/>
      <w:pPr>
        <w:tabs>
          <w:tab w:val="num" w:pos="5760"/>
        </w:tabs>
        <w:ind w:left="5760" w:hanging="360"/>
      </w:pPr>
      <w:rPr>
        <w:rFonts w:cs="Times New Roman"/>
      </w:rPr>
    </w:lvl>
    <w:lvl w:ilvl="8" w:tplc="140A001B">
      <w:start w:val="1"/>
      <w:numFmt w:val="lowerRoman"/>
      <w:lvlText w:val="%9."/>
      <w:lvlJc w:val="right"/>
      <w:pPr>
        <w:tabs>
          <w:tab w:val="num" w:pos="6480"/>
        </w:tabs>
        <w:ind w:left="6480" w:hanging="180"/>
      </w:pPr>
      <w:rPr>
        <w:rFonts w:cs="Times New Roman"/>
      </w:rPr>
    </w:lvl>
  </w:abstractNum>
  <w:num w:numId="1">
    <w:abstractNumId w:val="8"/>
  </w:num>
  <w:num w:numId="2">
    <w:abstractNumId w:val="23"/>
  </w:num>
  <w:num w:numId="3">
    <w:abstractNumId w:val="9"/>
  </w:num>
  <w:num w:numId="4">
    <w:abstractNumId w:val="10"/>
  </w:num>
  <w:num w:numId="5">
    <w:abstractNumId w:val="11"/>
  </w:num>
  <w:num w:numId="6">
    <w:abstractNumId w:val="1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2"/>
  </w:num>
  <w:num w:numId="10">
    <w:abstractNumId w:val="2"/>
  </w:num>
  <w:num w:numId="11">
    <w:abstractNumId w:val="0"/>
  </w:num>
  <w:num w:numId="12">
    <w:abstractNumId w:val="6"/>
  </w:num>
  <w:num w:numId="13">
    <w:abstractNumId w:val="4"/>
  </w:num>
  <w:num w:numId="14">
    <w:abstractNumId w:val="13"/>
  </w:num>
  <w:num w:numId="15">
    <w:abstractNumId w:val="18"/>
  </w:num>
  <w:num w:numId="16">
    <w:abstractNumId w:val="3"/>
  </w:num>
  <w:num w:numId="17">
    <w:abstractNumId w:val="16"/>
  </w:num>
  <w:num w:numId="18">
    <w:abstractNumId w:val="1"/>
  </w:num>
  <w:num w:numId="19">
    <w:abstractNumId w:val="19"/>
  </w:num>
  <w:num w:numId="20">
    <w:abstractNumId w:val="15"/>
  </w:num>
  <w:num w:numId="21">
    <w:abstractNumId w:val="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B93"/>
    <w:rsid w:val="000016F4"/>
    <w:rsid w:val="00005BD4"/>
    <w:rsid w:val="00005D7F"/>
    <w:rsid w:val="0000739C"/>
    <w:rsid w:val="0001111C"/>
    <w:rsid w:val="000119F7"/>
    <w:rsid w:val="00011FC3"/>
    <w:rsid w:val="00012505"/>
    <w:rsid w:val="00013CF3"/>
    <w:rsid w:val="000143BC"/>
    <w:rsid w:val="000212DD"/>
    <w:rsid w:val="00023E93"/>
    <w:rsid w:val="00025645"/>
    <w:rsid w:val="00027AE9"/>
    <w:rsid w:val="00030A03"/>
    <w:rsid w:val="00030BCB"/>
    <w:rsid w:val="00031A78"/>
    <w:rsid w:val="0003206F"/>
    <w:rsid w:val="00035476"/>
    <w:rsid w:val="00036419"/>
    <w:rsid w:val="00040202"/>
    <w:rsid w:val="00041032"/>
    <w:rsid w:val="00046E22"/>
    <w:rsid w:val="000479BC"/>
    <w:rsid w:val="00050767"/>
    <w:rsid w:val="000508DC"/>
    <w:rsid w:val="000531BF"/>
    <w:rsid w:val="00055408"/>
    <w:rsid w:val="0005730F"/>
    <w:rsid w:val="0005761D"/>
    <w:rsid w:val="00057AC3"/>
    <w:rsid w:val="0006049D"/>
    <w:rsid w:val="00060A1E"/>
    <w:rsid w:val="00062904"/>
    <w:rsid w:val="00062FE7"/>
    <w:rsid w:val="000634F2"/>
    <w:rsid w:val="00072C8D"/>
    <w:rsid w:val="00075D48"/>
    <w:rsid w:val="00083494"/>
    <w:rsid w:val="00083FAC"/>
    <w:rsid w:val="000850B7"/>
    <w:rsid w:val="00085AE9"/>
    <w:rsid w:val="000900B0"/>
    <w:rsid w:val="00091852"/>
    <w:rsid w:val="00093F32"/>
    <w:rsid w:val="000954BF"/>
    <w:rsid w:val="000956B9"/>
    <w:rsid w:val="00096C71"/>
    <w:rsid w:val="00097695"/>
    <w:rsid w:val="000A14B1"/>
    <w:rsid w:val="000A3740"/>
    <w:rsid w:val="000A38FB"/>
    <w:rsid w:val="000A64C7"/>
    <w:rsid w:val="000B2EB8"/>
    <w:rsid w:val="000B3B1D"/>
    <w:rsid w:val="000B49DD"/>
    <w:rsid w:val="000B63D6"/>
    <w:rsid w:val="000C00A4"/>
    <w:rsid w:val="000C237C"/>
    <w:rsid w:val="000C4125"/>
    <w:rsid w:val="000C4C3E"/>
    <w:rsid w:val="000C714D"/>
    <w:rsid w:val="000C7423"/>
    <w:rsid w:val="000D14CC"/>
    <w:rsid w:val="000D313E"/>
    <w:rsid w:val="000D52CA"/>
    <w:rsid w:val="000D64B0"/>
    <w:rsid w:val="000E06A0"/>
    <w:rsid w:val="000E3C82"/>
    <w:rsid w:val="000E3F2D"/>
    <w:rsid w:val="000E6192"/>
    <w:rsid w:val="000E7ABE"/>
    <w:rsid w:val="000F323D"/>
    <w:rsid w:val="000F362B"/>
    <w:rsid w:val="000F3880"/>
    <w:rsid w:val="000F3A4B"/>
    <w:rsid w:val="000F4116"/>
    <w:rsid w:val="000F790C"/>
    <w:rsid w:val="0010088D"/>
    <w:rsid w:val="00100FFB"/>
    <w:rsid w:val="00101BBE"/>
    <w:rsid w:val="001031E2"/>
    <w:rsid w:val="0010441D"/>
    <w:rsid w:val="00105119"/>
    <w:rsid w:val="0010770D"/>
    <w:rsid w:val="00107FDA"/>
    <w:rsid w:val="001105AF"/>
    <w:rsid w:val="00110EFA"/>
    <w:rsid w:val="0011275B"/>
    <w:rsid w:val="00120149"/>
    <w:rsid w:val="001268F5"/>
    <w:rsid w:val="00127F35"/>
    <w:rsid w:val="001303FC"/>
    <w:rsid w:val="00130486"/>
    <w:rsid w:val="00131486"/>
    <w:rsid w:val="001315EC"/>
    <w:rsid w:val="00131F50"/>
    <w:rsid w:val="001320D3"/>
    <w:rsid w:val="00135891"/>
    <w:rsid w:val="0013793D"/>
    <w:rsid w:val="00137C64"/>
    <w:rsid w:val="0014079C"/>
    <w:rsid w:val="00140A41"/>
    <w:rsid w:val="00140CB9"/>
    <w:rsid w:val="00143B4A"/>
    <w:rsid w:val="00144A1F"/>
    <w:rsid w:val="00144D42"/>
    <w:rsid w:val="00144EE1"/>
    <w:rsid w:val="00145C38"/>
    <w:rsid w:val="001512C1"/>
    <w:rsid w:val="001520D9"/>
    <w:rsid w:val="001551A0"/>
    <w:rsid w:val="00155687"/>
    <w:rsid w:val="001654A9"/>
    <w:rsid w:val="00165858"/>
    <w:rsid w:val="00165AEE"/>
    <w:rsid w:val="00170D33"/>
    <w:rsid w:val="00171BB0"/>
    <w:rsid w:val="00176225"/>
    <w:rsid w:val="00182739"/>
    <w:rsid w:val="00185496"/>
    <w:rsid w:val="00190A7E"/>
    <w:rsid w:val="00191597"/>
    <w:rsid w:val="001919D3"/>
    <w:rsid w:val="00191EA0"/>
    <w:rsid w:val="00191F46"/>
    <w:rsid w:val="00192270"/>
    <w:rsid w:val="001922F1"/>
    <w:rsid w:val="001926E6"/>
    <w:rsid w:val="00193ED0"/>
    <w:rsid w:val="00193F5B"/>
    <w:rsid w:val="0019552C"/>
    <w:rsid w:val="00195EC7"/>
    <w:rsid w:val="00197FDA"/>
    <w:rsid w:val="001A1452"/>
    <w:rsid w:val="001A15F9"/>
    <w:rsid w:val="001A4542"/>
    <w:rsid w:val="001A6985"/>
    <w:rsid w:val="001B111F"/>
    <w:rsid w:val="001B2063"/>
    <w:rsid w:val="001B2F9F"/>
    <w:rsid w:val="001B3AAC"/>
    <w:rsid w:val="001B4E9D"/>
    <w:rsid w:val="001B78F8"/>
    <w:rsid w:val="001B7E36"/>
    <w:rsid w:val="001C1B6B"/>
    <w:rsid w:val="001C2A28"/>
    <w:rsid w:val="001C4307"/>
    <w:rsid w:val="001D0371"/>
    <w:rsid w:val="001D1107"/>
    <w:rsid w:val="001D19B8"/>
    <w:rsid w:val="001D2230"/>
    <w:rsid w:val="001D2BE2"/>
    <w:rsid w:val="001D2DA3"/>
    <w:rsid w:val="001D363A"/>
    <w:rsid w:val="001E1259"/>
    <w:rsid w:val="001E2C12"/>
    <w:rsid w:val="001E7AF5"/>
    <w:rsid w:val="001F2206"/>
    <w:rsid w:val="001F378E"/>
    <w:rsid w:val="002005EB"/>
    <w:rsid w:val="00200CAF"/>
    <w:rsid w:val="00201D90"/>
    <w:rsid w:val="00203EC5"/>
    <w:rsid w:val="002044C2"/>
    <w:rsid w:val="00207850"/>
    <w:rsid w:val="0021193C"/>
    <w:rsid w:val="00214574"/>
    <w:rsid w:val="002147F8"/>
    <w:rsid w:val="00214D76"/>
    <w:rsid w:val="00216CFD"/>
    <w:rsid w:val="00216EEC"/>
    <w:rsid w:val="0021703C"/>
    <w:rsid w:val="00217088"/>
    <w:rsid w:val="00220A66"/>
    <w:rsid w:val="002233D0"/>
    <w:rsid w:val="0022395B"/>
    <w:rsid w:val="002248DF"/>
    <w:rsid w:val="0022740C"/>
    <w:rsid w:val="00231B0D"/>
    <w:rsid w:val="00232996"/>
    <w:rsid w:val="00232DDC"/>
    <w:rsid w:val="002345A4"/>
    <w:rsid w:val="00234BF6"/>
    <w:rsid w:val="00237292"/>
    <w:rsid w:val="00237926"/>
    <w:rsid w:val="00243DBF"/>
    <w:rsid w:val="00246B48"/>
    <w:rsid w:val="00247336"/>
    <w:rsid w:val="002506E2"/>
    <w:rsid w:val="00251427"/>
    <w:rsid w:val="00257B56"/>
    <w:rsid w:val="00257D2F"/>
    <w:rsid w:val="00257DC0"/>
    <w:rsid w:val="00257F6A"/>
    <w:rsid w:val="00261141"/>
    <w:rsid w:val="0026114B"/>
    <w:rsid w:val="00261FA2"/>
    <w:rsid w:val="00262BFA"/>
    <w:rsid w:val="00262EC3"/>
    <w:rsid w:val="00265F13"/>
    <w:rsid w:val="002666FF"/>
    <w:rsid w:val="002677EE"/>
    <w:rsid w:val="00270242"/>
    <w:rsid w:val="002723AC"/>
    <w:rsid w:val="00273CC9"/>
    <w:rsid w:val="002767DB"/>
    <w:rsid w:val="002801C4"/>
    <w:rsid w:val="00282DEE"/>
    <w:rsid w:val="00283733"/>
    <w:rsid w:val="00284BB5"/>
    <w:rsid w:val="00286EBD"/>
    <w:rsid w:val="0029073F"/>
    <w:rsid w:val="00291F4E"/>
    <w:rsid w:val="002955C7"/>
    <w:rsid w:val="002973EB"/>
    <w:rsid w:val="00297930"/>
    <w:rsid w:val="002A0971"/>
    <w:rsid w:val="002A2F53"/>
    <w:rsid w:val="002A3360"/>
    <w:rsid w:val="002A4330"/>
    <w:rsid w:val="002A5AFF"/>
    <w:rsid w:val="002A5D68"/>
    <w:rsid w:val="002A704E"/>
    <w:rsid w:val="002A7A2A"/>
    <w:rsid w:val="002A7F13"/>
    <w:rsid w:val="002B2759"/>
    <w:rsid w:val="002B3B50"/>
    <w:rsid w:val="002B7200"/>
    <w:rsid w:val="002B75B1"/>
    <w:rsid w:val="002C1418"/>
    <w:rsid w:val="002C175C"/>
    <w:rsid w:val="002C1972"/>
    <w:rsid w:val="002C2BC9"/>
    <w:rsid w:val="002C3C5F"/>
    <w:rsid w:val="002D0AB5"/>
    <w:rsid w:val="002D1E8E"/>
    <w:rsid w:val="002D2939"/>
    <w:rsid w:val="002D32A0"/>
    <w:rsid w:val="002D44D5"/>
    <w:rsid w:val="002E039C"/>
    <w:rsid w:val="002E04B3"/>
    <w:rsid w:val="002E1DD3"/>
    <w:rsid w:val="002E594F"/>
    <w:rsid w:val="002E63FD"/>
    <w:rsid w:val="002E7E49"/>
    <w:rsid w:val="002F3808"/>
    <w:rsid w:val="002F4855"/>
    <w:rsid w:val="002F491D"/>
    <w:rsid w:val="002F5DA0"/>
    <w:rsid w:val="00300884"/>
    <w:rsid w:val="00304652"/>
    <w:rsid w:val="0030587C"/>
    <w:rsid w:val="00306BD8"/>
    <w:rsid w:val="00307016"/>
    <w:rsid w:val="00307ECC"/>
    <w:rsid w:val="00313CF5"/>
    <w:rsid w:val="003141E7"/>
    <w:rsid w:val="003151DE"/>
    <w:rsid w:val="0031613F"/>
    <w:rsid w:val="00316633"/>
    <w:rsid w:val="003170F8"/>
    <w:rsid w:val="00320E20"/>
    <w:rsid w:val="00322221"/>
    <w:rsid w:val="00323348"/>
    <w:rsid w:val="003238D1"/>
    <w:rsid w:val="00325EFE"/>
    <w:rsid w:val="00326468"/>
    <w:rsid w:val="00327239"/>
    <w:rsid w:val="0033024D"/>
    <w:rsid w:val="0033166A"/>
    <w:rsid w:val="003324F1"/>
    <w:rsid w:val="003330EB"/>
    <w:rsid w:val="00334D83"/>
    <w:rsid w:val="00336F61"/>
    <w:rsid w:val="00340DC0"/>
    <w:rsid w:val="00341933"/>
    <w:rsid w:val="00344C76"/>
    <w:rsid w:val="0034550B"/>
    <w:rsid w:val="003459D2"/>
    <w:rsid w:val="00347274"/>
    <w:rsid w:val="00355167"/>
    <w:rsid w:val="003611AA"/>
    <w:rsid w:val="00361292"/>
    <w:rsid w:val="00366502"/>
    <w:rsid w:val="003666DB"/>
    <w:rsid w:val="003675BB"/>
    <w:rsid w:val="00370AC1"/>
    <w:rsid w:val="00373649"/>
    <w:rsid w:val="00374130"/>
    <w:rsid w:val="00375945"/>
    <w:rsid w:val="00375DD4"/>
    <w:rsid w:val="003764E5"/>
    <w:rsid w:val="00376B4E"/>
    <w:rsid w:val="00377201"/>
    <w:rsid w:val="00377DCE"/>
    <w:rsid w:val="003850E9"/>
    <w:rsid w:val="00386128"/>
    <w:rsid w:val="0038617B"/>
    <w:rsid w:val="00386A66"/>
    <w:rsid w:val="00393C85"/>
    <w:rsid w:val="00395E8D"/>
    <w:rsid w:val="003976F1"/>
    <w:rsid w:val="003A1829"/>
    <w:rsid w:val="003A33AF"/>
    <w:rsid w:val="003A4031"/>
    <w:rsid w:val="003A47E1"/>
    <w:rsid w:val="003A718C"/>
    <w:rsid w:val="003B22C3"/>
    <w:rsid w:val="003B2FEB"/>
    <w:rsid w:val="003B34D5"/>
    <w:rsid w:val="003B3B12"/>
    <w:rsid w:val="003B56F9"/>
    <w:rsid w:val="003B5BF3"/>
    <w:rsid w:val="003C0F31"/>
    <w:rsid w:val="003C103F"/>
    <w:rsid w:val="003C2B91"/>
    <w:rsid w:val="003C3D6A"/>
    <w:rsid w:val="003C472F"/>
    <w:rsid w:val="003C5BB7"/>
    <w:rsid w:val="003C71BC"/>
    <w:rsid w:val="003C7EA2"/>
    <w:rsid w:val="003D0FFF"/>
    <w:rsid w:val="003D7EE7"/>
    <w:rsid w:val="003E127C"/>
    <w:rsid w:val="003E1B55"/>
    <w:rsid w:val="003E34AC"/>
    <w:rsid w:val="003E6F32"/>
    <w:rsid w:val="003F1CB9"/>
    <w:rsid w:val="003F224D"/>
    <w:rsid w:val="003F5810"/>
    <w:rsid w:val="003F5908"/>
    <w:rsid w:val="003F5B6D"/>
    <w:rsid w:val="003F6DE3"/>
    <w:rsid w:val="003F7094"/>
    <w:rsid w:val="00400CF6"/>
    <w:rsid w:val="00401D1E"/>
    <w:rsid w:val="00403A35"/>
    <w:rsid w:val="00403D70"/>
    <w:rsid w:val="00404451"/>
    <w:rsid w:val="00405079"/>
    <w:rsid w:val="00405246"/>
    <w:rsid w:val="004053E4"/>
    <w:rsid w:val="004064BA"/>
    <w:rsid w:val="00406DB9"/>
    <w:rsid w:val="004116BC"/>
    <w:rsid w:val="00411E7F"/>
    <w:rsid w:val="00412677"/>
    <w:rsid w:val="00412BCA"/>
    <w:rsid w:val="00415612"/>
    <w:rsid w:val="00420746"/>
    <w:rsid w:val="004211B8"/>
    <w:rsid w:val="00421366"/>
    <w:rsid w:val="004233A8"/>
    <w:rsid w:val="00423577"/>
    <w:rsid w:val="004249B9"/>
    <w:rsid w:val="00426004"/>
    <w:rsid w:val="00427D55"/>
    <w:rsid w:val="00431390"/>
    <w:rsid w:val="0043211B"/>
    <w:rsid w:val="00432577"/>
    <w:rsid w:val="00432F33"/>
    <w:rsid w:val="0043529C"/>
    <w:rsid w:val="0043617F"/>
    <w:rsid w:val="0043781E"/>
    <w:rsid w:val="00445B91"/>
    <w:rsid w:val="00446FCF"/>
    <w:rsid w:val="0045106F"/>
    <w:rsid w:val="00451426"/>
    <w:rsid w:val="00452FAD"/>
    <w:rsid w:val="00454ADD"/>
    <w:rsid w:val="00457CBE"/>
    <w:rsid w:val="00461EA0"/>
    <w:rsid w:val="004626A0"/>
    <w:rsid w:val="00463454"/>
    <w:rsid w:val="004656AE"/>
    <w:rsid w:val="0046657B"/>
    <w:rsid w:val="00466E22"/>
    <w:rsid w:val="00467048"/>
    <w:rsid w:val="00470603"/>
    <w:rsid w:val="0047309F"/>
    <w:rsid w:val="00474751"/>
    <w:rsid w:val="00475063"/>
    <w:rsid w:val="004767D4"/>
    <w:rsid w:val="00480080"/>
    <w:rsid w:val="00483AC1"/>
    <w:rsid w:val="004850CB"/>
    <w:rsid w:val="00490DED"/>
    <w:rsid w:val="004911F1"/>
    <w:rsid w:val="00491F49"/>
    <w:rsid w:val="0049380E"/>
    <w:rsid w:val="004976AB"/>
    <w:rsid w:val="004979D3"/>
    <w:rsid w:val="004A1452"/>
    <w:rsid w:val="004A16F4"/>
    <w:rsid w:val="004A5D00"/>
    <w:rsid w:val="004A7FC0"/>
    <w:rsid w:val="004B2BAB"/>
    <w:rsid w:val="004B58AF"/>
    <w:rsid w:val="004C10F4"/>
    <w:rsid w:val="004C1624"/>
    <w:rsid w:val="004C3CCB"/>
    <w:rsid w:val="004C423B"/>
    <w:rsid w:val="004C6422"/>
    <w:rsid w:val="004C6680"/>
    <w:rsid w:val="004C755C"/>
    <w:rsid w:val="004C7CCB"/>
    <w:rsid w:val="004D0B1C"/>
    <w:rsid w:val="004D2D72"/>
    <w:rsid w:val="004D4A24"/>
    <w:rsid w:val="004D62BB"/>
    <w:rsid w:val="004D62E9"/>
    <w:rsid w:val="004D7088"/>
    <w:rsid w:val="004D78B5"/>
    <w:rsid w:val="004E301A"/>
    <w:rsid w:val="004E6B3B"/>
    <w:rsid w:val="004F076A"/>
    <w:rsid w:val="004F3AB6"/>
    <w:rsid w:val="004F46AA"/>
    <w:rsid w:val="004F782B"/>
    <w:rsid w:val="00503AA3"/>
    <w:rsid w:val="00505ED5"/>
    <w:rsid w:val="0051198F"/>
    <w:rsid w:val="0051295B"/>
    <w:rsid w:val="00514304"/>
    <w:rsid w:val="00515E64"/>
    <w:rsid w:val="00515ED9"/>
    <w:rsid w:val="00516AB0"/>
    <w:rsid w:val="00517EAE"/>
    <w:rsid w:val="00520E51"/>
    <w:rsid w:val="005218E2"/>
    <w:rsid w:val="0052292D"/>
    <w:rsid w:val="00522D5F"/>
    <w:rsid w:val="00524ABD"/>
    <w:rsid w:val="00530D49"/>
    <w:rsid w:val="00536801"/>
    <w:rsid w:val="0053691F"/>
    <w:rsid w:val="00537ECE"/>
    <w:rsid w:val="005412B8"/>
    <w:rsid w:val="00542C92"/>
    <w:rsid w:val="005441AB"/>
    <w:rsid w:val="005444A4"/>
    <w:rsid w:val="00545CF3"/>
    <w:rsid w:val="0055012A"/>
    <w:rsid w:val="005527C1"/>
    <w:rsid w:val="00553CD5"/>
    <w:rsid w:val="00554416"/>
    <w:rsid w:val="005554D3"/>
    <w:rsid w:val="00556846"/>
    <w:rsid w:val="00556936"/>
    <w:rsid w:val="00556C1C"/>
    <w:rsid w:val="005577D0"/>
    <w:rsid w:val="00557D93"/>
    <w:rsid w:val="00562440"/>
    <w:rsid w:val="0056479E"/>
    <w:rsid w:val="00565486"/>
    <w:rsid w:val="0056682A"/>
    <w:rsid w:val="00566AB4"/>
    <w:rsid w:val="005678F6"/>
    <w:rsid w:val="00572BBF"/>
    <w:rsid w:val="005745FC"/>
    <w:rsid w:val="00576670"/>
    <w:rsid w:val="0057721F"/>
    <w:rsid w:val="00580B18"/>
    <w:rsid w:val="00582549"/>
    <w:rsid w:val="00582AC0"/>
    <w:rsid w:val="005831E2"/>
    <w:rsid w:val="00583A3D"/>
    <w:rsid w:val="00584EC3"/>
    <w:rsid w:val="005861CA"/>
    <w:rsid w:val="005906E7"/>
    <w:rsid w:val="00592A06"/>
    <w:rsid w:val="0059667C"/>
    <w:rsid w:val="00597109"/>
    <w:rsid w:val="005A27E1"/>
    <w:rsid w:val="005A429F"/>
    <w:rsid w:val="005A5556"/>
    <w:rsid w:val="005A6083"/>
    <w:rsid w:val="005A6B50"/>
    <w:rsid w:val="005B1B35"/>
    <w:rsid w:val="005B1F27"/>
    <w:rsid w:val="005B59FD"/>
    <w:rsid w:val="005B7C1A"/>
    <w:rsid w:val="005C0564"/>
    <w:rsid w:val="005C0E78"/>
    <w:rsid w:val="005C11E9"/>
    <w:rsid w:val="005C3426"/>
    <w:rsid w:val="005C4BDC"/>
    <w:rsid w:val="005C6D44"/>
    <w:rsid w:val="005C7EDA"/>
    <w:rsid w:val="005D2D65"/>
    <w:rsid w:val="005D3851"/>
    <w:rsid w:val="005D6764"/>
    <w:rsid w:val="005D7197"/>
    <w:rsid w:val="005E018B"/>
    <w:rsid w:val="005E1633"/>
    <w:rsid w:val="005E2983"/>
    <w:rsid w:val="005E582F"/>
    <w:rsid w:val="005E5E7E"/>
    <w:rsid w:val="005E7493"/>
    <w:rsid w:val="005F01B3"/>
    <w:rsid w:val="005F0208"/>
    <w:rsid w:val="005F19EB"/>
    <w:rsid w:val="005F4A7E"/>
    <w:rsid w:val="00603E13"/>
    <w:rsid w:val="00605100"/>
    <w:rsid w:val="00605223"/>
    <w:rsid w:val="006139C8"/>
    <w:rsid w:val="006140D0"/>
    <w:rsid w:val="006144EA"/>
    <w:rsid w:val="00614814"/>
    <w:rsid w:val="00616430"/>
    <w:rsid w:val="00620E65"/>
    <w:rsid w:val="00624C98"/>
    <w:rsid w:val="0062617D"/>
    <w:rsid w:val="0062678C"/>
    <w:rsid w:val="00627E38"/>
    <w:rsid w:val="006303F9"/>
    <w:rsid w:val="006310EA"/>
    <w:rsid w:val="00631669"/>
    <w:rsid w:val="00631A2F"/>
    <w:rsid w:val="00633700"/>
    <w:rsid w:val="006428D6"/>
    <w:rsid w:val="00643932"/>
    <w:rsid w:val="00645051"/>
    <w:rsid w:val="00645E06"/>
    <w:rsid w:val="00646752"/>
    <w:rsid w:val="00646E22"/>
    <w:rsid w:val="00647B31"/>
    <w:rsid w:val="006557B9"/>
    <w:rsid w:val="006562CC"/>
    <w:rsid w:val="00656B64"/>
    <w:rsid w:val="0066191C"/>
    <w:rsid w:val="00662F3E"/>
    <w:rsid w:val="00664672"/>
    <w:rsid w:val="00670373"/>
    <w:rsid w:val="00670C06"/>
    <w:rsid w:val="00673C0D"/>
    <w:rsid w:val="00673F4B"/>
    <w:rsid w:val="00674DC7"/>
    <w:rsid w:val="00684E77"/>
    <w:rsid w:val="006855AF"/>
    <w:rsid w:val="006857BF"/>
    <w:rsid w:val="00685C33"/>
    <w:rsid w:val="006866DA"/>
    <w:rsid w:val="00686E05"/>
    <w:rsid w:val="00687D48"/>
    <w:rsid w:val="00690139"/>
    <w:rsid w:val="006903F6"/>
    <w:rsid w:val="0069051E"/>
    <w:rsid w:val="00690E6F"/>
    <w:rsid w:val="006953A1"/>
    <w:rsid w:val="006A09F7"/>
    <w:rsid w:val="006A0E8F"/>
    <w:rsid w:val="006A0F97"/>
    <w:rsid w:val="006A13B6"/>
    <w:rsid w:val="006A1FD1"/>
    <w:rsid w:val="006A20EB"/>
    <w:rsid w:val="006A2C95"/>
    <w:rsid w:val="006A5F3B"/>
    <w:rsid w:val="006A6D9B"/>
    <w:rsid w:val="006B2C5D"/>
    <w:rsid w:val="006B396A"/>
    <w:rsid w:val="006B4260"/>
    <w:rsid w:val="006B5118"/>
    <w:rsid w:val="006C180E"/>
    <w:rsid w:val="006C1898"/>
    <w:rsid w:val="006C784B"/>
    <w:rsid w:val="006D2CD1"/>
    <w:rsid w:val="006D30D1"/>
    <w:rsid w:val="006D4AAC"/>
    <w:rsid w:val="006D5168"/>
    <w:rsid w:val="006D6EBB"/>
    <w:rsid w:val="006D7763"/>
    <w:rsid w:val="006D7B21"/>
    <w:rsid w:val="006E1D3D"/>
    <w:rsid w:val="006E6A3C"/>
    <w:rsid w:val="006E714A"/>
    <w:rsid w:val="006E7E44"/>
    <w:rsid w:val="006F3170"/>
    <w:rsid w:val="006F4670"/>
    <w:rsid w:val="006F4AE0"/>
    <w:rsid w:val="006F508F"/>
    <w:rsid w:val="006F518C"/>
    <w:rsid w:val="00700389"/>
    <w:rsid w:val="007020A0"/>
    <w:rsid w:val="00703E72"/>
    <w:rsid w:val="007050AB"/>
    <w:rsid w:val="00707227"/>
    <w:rsid w:val="007170FE"/>
    <w:rsid w:val="007172F0"/>
    <w:rsid w:val="007228DB"/>
    <w:rsid w:val="00730999"/>
    <w:rsid w:val="0073121F"/>
    <w:rsid w:val="00731298"/>
    <w:rsid w:val="00735CE8"/>
    <w:rsid w:val="00735FFF"/>
    <w:rsid w:val="00736E5C"/>
    <w:rsid w:val="007379DF"/>
    <w:rsid w:val="00740BC8"/>
    <w:rsid w:val="00742464"/>
    <w:rsid w:val="007427CA"/>
    <w:rsid w:val="0074404E"/>
    <w:rsid w:val="00745808"/>
    <w:rsid w:val="00747003"/>
    <w:rsid w:val="00751B73"/>
    <w:rsid w:val="0075334A"/>
    <w:rsid w:val="007551D9"/>
    <w:rsid w:val="00755445"/>
    <w:rsid w:val="00757E13"/>
    <w:rsid w:val="00757EE2"/>
    <w:rsid w:val="0076085D"/>
    <w:rsid w:val="007615E4"/>
    <w:rsid w:val="00762B74"/>
    <w:rsid w:val="00763A82"/>
    <w:rsid w:val="00764395"/>
    <w:rsid w:val="0076556E"/>
    <w:rsid w:val="007663D8"/>
    <w:rsid w:val="0076683A"/>
    <w:rsid w:val="0077048F"/>
    <w:rsid w:val="007713CD"/>
    <w:rsid w:val="007728DC"/>
    <w:rsid w:val="00774438"/>
    <w:rsid w:val="00776DA8"/>
    <w:rsid w:val="007779AF"/>
    <w:rsid w:val="00780CDD"/>
    <w:rsid w:val="00783B32"/>
    <w:rsid w:val="00783C34"/>
    <w:rsid w:val="007860A8"/>
    <w:rsid w:val="00786F35"/>
    <w:rsid w:val="00787E6E"/>
    <w:rsid w:val="007926DD"/>
    <w:rsid w:val="007979C1"/>
    <w:rsid w:val="007A146C"/>
    <w:rsid w:val="007A1B31"/>
    <w:rsid w:val="007A2705"/>
    <w:rsid w:val="007A2EF9"/>
    <w:rsid w:val="007A3572"/>
    <w:rsid w:val="007A3CC4"/>
    <w:rsid w:val="007A3F25"/>
    <w:rsid w:val="007A4314"/>
    <w:rsid w:val="007A69AE"/>
    <w:rsid w:val="007B1435"/>
    <w:rsid w:val="007B1E20"/>
    <w:rsid w:val="007C252A"/>
    <w:rsid w:val="007C2555"/>
    <w:rsid w:val="007C26BC"/>
    <w:rsid w:val="007C366C"/>
    <w:rsid w:val="007D2C98"/>
    <w:rsid w:val="007D3CAB"/>
    <w:rsid w:val="007D7023"/>
    <w:rsid w:val="007E1B86"/>
    <w:rsid w:val="007E2BDF"/>
    <w:rsid w:val="007E5738"/>
    <w:rsid w:val="007E6678"/>
    <w:rsid w:val="007F5242"/>
    <w:rsid w:val="007F7733"/>
    <w:rsid w:val="007F7D49"/>
    <w:rsid w:val="00801E72"/>
    <w:rsid w:val="0080511A"/>
    <w:rsid w:val="0080568D"/>
    <w:rsid w:val="00805DC4"/>
    <w:rsid w:val="0080730C"/>
    <w:rsid w:val="00807905"/>
    <w:rsid w:val="008104B0"/>
    <w:rsid w:val="008104B2"/>
    <w:rsid w:val="00811881"/>
    <w:rsid w:val="0081363F"/>
    <w:rsid w:val="00820003"/>
    <w:rsid w:val="00821D8A"/>
    <w:rsid w:val="008220C6"/>
    <w:rsid w:val="00824DF0"/>
    <w:rsid w:val="008272CF"/>
    <w:rsid w:val="00827541"/>
    <w:rsid w:val="00830401"/>
    <w:rsid w:val="00830824"/>
    <w:rsid w:val="008317BA"/>
    <w:rsid w:val="008320B3"/>
    <w:rsid w:val="00835FF1"/>
    <w:rsid w:val="008368F5"/>
    <w:rsid w:val="00837A9E"/>
    <w:rsid w:val="00837C35"/>
    <w:rsid w:val="008449B7"/>
    <w:rsid w:val="00845068"/>
    <w:rsid w:val="008467F4"/>
    <w:rsid w:val="00846A1D"/>
    <w:rsid w:val="00847168"/>
    <w:rsid w:val="00847173"/>
    <w:rsid w:val="00847761"/>
    <w:rsid w:val="00847E1B"/>
    <w:rsid w:val="00854F96"/>
    <w:rsid w:val="0086236B"/>
    <w:rsid w:val="0086360B"/>
    <w:rsid w:val="00864417"/>
    <w:rsid w:val="008656EC"/>
    <w:rsid w:val="00865E06"/>
    <w:rsid w:val="008700C9"/>
    <w:rsid w:val="008762C6"/>
    <w:rsid w:val="00876C32"/>
    <w:rsid w:val="00880A29"/>
    <w:rsid w:val="008839C0"/>
    <w:rsid w:val="00884BDE"/>
    <w:rsid w:val="00892E0E"/>
    <w:rsid w:val="0089727B"/>
    <w:rsid w:val="00897FC9"/>
    <w:rsid w:val="008A224A"/>
    <w:rsid w:val="008A3155"/>
    <w:rsid w:val="008A3E0F"/>
    <w:rsid w:val="008A4134"/>
    <w:rsid w:val="008A4C39"/>
    <w:rsid w:val="008A6D82"/>
    <w:rsid w:val="008B0474"/>
    <w:rsid w:val="008B606E"/>
    <w:rsid w:val="008B61C1"/>
    <w:rsid w:val="008B6456"/>
    <w:rsid w:val="008C0036"/>
    <w:rsid w:val="008C0496"/>
    <w:rsid w:val="008C13E8"/>
    <w:rsid w:val="008C1D6D"/>
    <w:rsid w:val="008C24DC"/>
    <w:rsid w:val="008C7988"/>
    <w:rsid w:val="008D0A8B"/>
    <w:rsid w:val="008D2C0D"/>
    <w:rsid w:val="008E0BD9"/>
    <w:rsid w:val="008E25BE"/>
    <w:rsid w:val="008E65BF"/>
    <w:rsid w:val="008F099D"/>
    <w:rsid w:val="008F1A8E"/>
    <w:rsid w:val="008F24E4"/>
    <w:rsid w:val="008F419F"/>
    <w:rsid w:val="008F56E9"/>
    <w:rsid w:val="0090022B"/>
    <w:rsid w:val="00900241"/>
    <w:rsid w:val="00901718"/>
    <w:rsid w:val="009018B2"/>
    <w:rsid w:val="00902353"/>
    <w:rsid w:val="00904503"/>
    <w:rsid w:val="00904A54"/>
    <w:rsid w:val="00904D01"/>
    <w:rsid w:val="009051DA"/>
    <w:rsid w:val="00906DC9"/>
    <w:rsid w:val="00910CC5"/>
    <w:rsid w:val="00911993"/>
    <w:rsid w:val="009139F9"/>
    <w:rsid w:val="00914504"/>
    <w:rsid w:val="00917F92"/>
    <w:rsid w:val="00920549"/>
    <w:rsid w:val="009211ED"/>
    <w:rsid w:val="009219CB"/>
    <w:rsid w:val="00923002"/>
    <w:rsid w:val="009261D1"/>
    <w:rsid w:val="00927659"/>
    <w:rsid w:val="00930B68"/>
    <w:rsid w:val="00930C8B"/>
    <w:rsid w:val="0093104F"/>
    <w:rsid w:val="0093146C"/>
    <w:rsid w:val="00931800"/>
    <w:rsid w:val="0093504B"/>
    <w:rsid w:val="00935737"/>
    <w:rsid w:val="00936080"/>
    <w:rsid w:val="00943340"/>
    <w:rsid w:val="0094349E"/>
    <w:rsid w:val="009464C7"/>
    <w:rsid w:val="00947943"/>
    <w:rsid w:val="009515A9"/>
    <w:rsid w:val="0095299A"/>
    <w:rsid w:val="00953BF1"/>
    <w:rsid w:val="00954A47"/>
    <w:rsid w:val="0096212D"/>
    <w:rsid w:val="009622CF"/>
    <w:rsid w:val="00962657"/>
    <w:rsid w:val="00962EC6"/>
    <w:rsid w:val="00963DDD"/>
    <w:rsid w:val="00970F45"/>
    <w:rsid w:val="009710F5"/>
    <w:rsid w:val="0097126B"/>
    <w:rsid w:val="00972709"/>
    <w:rsid w:val="009740DB"/>
    <w:rsid w:val="00974644"/>
    <w:rsid w:val="0097786F"/>
    <w:rsid w:val="00980CE6"/>
    <w:rsid w:val="00980D9A"/>
    <w:rsid w:val="00983225"/>
    <w:rsid w:val="00983265"/>
    <w:rsid w:val="00984F67"/>
    <w:rsid w:val="009858D3"/>
    <w:rsid w:val="009876D8"/>
    <w:rsid w:val="009909C2"/>
    <w:rsid w:val="00993D99"/>
    <w:rsid w:val="00994573"/>
    <w:rsid w:val="009954CC"/>
    <w:rsid w:val="009A09DA"/>
    <w:rsid w:val="009A1685"/>
    <w:rsid w:val="009A28AE"/>
    <w:rsid w:val="009A35A0"/>
    <w:rsid w:val="009A430E"/>
    <w:rsid w:val="009A4510"/>
    <w:rsid w:val="009A5D7C"/>
    <w:rsid w:val="009A7193"/>
    <w:rsid w:val="009B7A40"/>
    <w:rsid w:val="009B7D41"/>
    <w:rsid w:val="009C0731"/>
    <w:rsid w:val="009C098F"/>
    <w:rsid w:val="009C0F55"/>
    <w:rsid w:val="009C1643"/>
    <w:rsid w:val="009C1C6E"/>
    <w:rsid w:val="009C1DD4"/>
    <w:rsid w:val="009C456C"/>
    <w:rsid w:val="009C4AE4"/>
    <w:rsid w:val="009C4C8D"/>
    <w:rsid w:val="009C5E00"/>
    <w:rsid w:val="009C7EE6"/>
    <w:rsid w:val="009D1911"/>
    <w:rsid w:val="009D2342"/>
    <w:rsid w:val="009D336F"/>
    <w:rsid w:val="009D4347"/>
    <w:rsid w:val="009D4572"/>
    <w:rsid w:val="009D4BC2"/>
    <w:rsid w:val="009D5D1B"/>
    <w:rsid w:val="009D639A"/>
    <w:rsid w:val="009D6B93"/>
    <w:rsid w:val="009E256E"/>
    <w:rsid w:val="009E372C"/>
    <w:rsid w:val="009E6988"/>
    <w:rsid w:val="009F1409"/>
    <w:rsid w:val="009F1AD9"/>
    <w:rsid w:val="009F2F29"/>
    <w:rsid w:val="009F3898"/>
    <w:rsid w:val="00A0043F"/>
    <w:rsid w:val="00A00BC9"/>
    <w:rsid w:val="00A0324F"/>
    <w:rsid w:val="00A03951"/>
    <w:rsid w:val="00A05CF8"/>
    <w:rsid w:val="00A06019"/>
    <w:rsid w:val="00A10BB0"/>
    <w:rsid w:val="00A132A7"/>
    <w:rsid w:val="00A140E5"/>
    <w:rsid w:val="00A17487"/>
    <w:rsid w:val="00A21D5B"/>
    <w:rsid w:val="00A22263"/>
    <w:rsid w:val="00A2430D"/>
    <w:rsid w:val="00A269F0"/>
    <w:rsid w:val="00A279B3"/>
    <w:rsid w:val="00A31478"/>
    <w:rsid w:val="00A335AA"/>
    <w:rsid w:val="00A342F7"/>
    <w:rsid w:val="00A35950"/>
    <w:rsid w:val="00A35F18"/>
    <w:rsid w:val="00A41151"/>
    <w:rsid w:val="00A42556"/>
    <w:rsid w:val="00A46116"/>
    <w:rsid w:val="00A4690F"/>
    <w:rsid w:val="00A5045E"/>
    <w:rsid w:val="00A55822"/>
    <w:rsid w:val="00A55CB7"/>
    <w:rsid w:val="00A616F3"/>
    <w:rsid w:val="00A621E0"/>
    <w:rsid w:val="00A65DC5"/>
    <w:rsid w:val="00A66478"/>
    <w:rsid w:val="00A6715C"/>
    <w:rsid w:val="00A71698"/>
    <w:rsid w:val="00A75625"/>
    <w:rsid w:val="00A75748"/>
    <w:rsid w:val="00A766FE"/>
    <w:rsid w:val="00A768C5"/>
    <w:rsid w:val="00A773A1"/>
    <w:rsid w:val="00A779DF"/>
    <w:rsid w:val="00A77E5A"/>
    <w:rsid w:val="00A828D4"/>
    <w:rsid w:val="00A847FD"/>
    <w:rsid w:val="00A85FF0"/>
    <w:rsid w:val="00A909ED"/>
    <w:rsid w:val="00A90A01"/>
    <w:rsid w:val="00A91446"/>
    <w:rsid w:val="00A9256B"/>
    <w:rsid w:val="00A946A9"/>
    <w:rsid w:val="00A95BA9"/>
    <w:rsid w:val="00A975BA"/>
    <w:rsid w:val="00AA5612"/>
    <w:rsid w:val="00AA56CE"/>
    <w:rsid w:val="00AA5CFB"/>
    <w:rsid w:val="00AB1F37"/>
    <w:rsid w:val="00AB2747"/>
    <w:rsid w:val="00AB2D2F"/>
    <w:rsid w:val="00AB648F"/>
    <w:rsid w:val="00AB77AB"/>
    <w:rsid w:val="00AC294E"/>
    <w:rsid w:val="00AC35A2"/>
    <w:rsid w:val="00AC4DA7"/>
    <w:rsid w:val="00AC7BCF"/>
    <w:rsid w:val="00AD0E4D"/>
    <w:rsid w:val="00AD1093"/>
    <w:rsid w:val="00AD40F7"/>
    <w:rsid w:val="00AD4C6E"/>
    <w:rsid w:val="00AD5D13"/>
    <w:rsid w:val="00AD788C"/>
    <w:rsid w:val="00AE039E"/>
    <w:rsid w:val="00AE12A1"/>
    <w:rsid w:val="00AE21FB"/>
    <w:rsid w:val="00AE424F"/>
    <w:rsid w:val="00AE5B44"/>
    <w:rsid w:val="00AE6430"/>
    <w:rsid w:val="00AF0D7B"/>
    <w:rsid w:val="00AF1EA6"/>
    <w:rsid w:val="00AF326D"/>
    <w:rsid w:val="00AF364F"/>
    <w:rsid w:val="00AF4413"/>
    <w:rsid w:val="00AF493F"/>
    <w:rsid w:val="00AF667F"/>
    <w:rsid w:val="00B048F4"/>
    <w:rsid w:val="00B053EA"/>
    <w:rsid w:val="00B1404F"/>
    <w:rsid w:val="00B140C7"/>
    <w:rsid w:val="00B14B63"/>
    <w:rsid w:val="00B15331"/>
    <w:rsid w:val="00B15EB4"/>
    <w:rsid w:val="00B17301"/>
    <w:rsid w:val="00B20B6B"/>
    <w:rsid w:val="00B24029"/>
    <w:rsid w:val="00B257B7"/>
    <w:rsid w:val="00B269AB"/>
    <w:rsid w:val="00B26E9D"/>
    <w:rsid w:val="00B32750"/>
    <w:rsid w:val="00B32821"/>
    <w:rsid w:val="00B36F2A"/>
    <w:rsid w:val="00B402B1"/>
    <w:rsid w:val="00B41521"/>
    <w:rsid w:val="00B42934"/>
    <w:rsid w:val="00B44577"/>
    <w:rsid w:val="00B44B21"/>
    <w:rsid w:val="00B459E1"/>
    <w:rsid w:val="00B467F5"/>
    <w:rsid w:val="00B47137"/>
    <w:rsid w:val="00B479FB"/>
    <w:rsid w:val="00B527E7"/>
    <w:rsid w:val="00B552E5"/>
    <w:rsid w:val="00B600F0"/>
    <w:rsid w:val="00B611B6"/>
    <w:rsid w:val="00B61518"/>
    <w:rsid w:val="00B62AFE"/>
    <w:rsid w:val="00B6463D"/>
    <w:rsid w:val="00B71212"/>
    <w:rsid w:val="00B7233A"/>
    <w:rsid w:val="00B72A65"/>
    <w:rsid w:val="00B73D18"/>
    <w:rsid w:val="00B742B4"/>
    <w:rsid w:val="00B7780F"/>
    <w:rsid w:val="00B77BBE"/>
    <w:rsid w:val="00B803FE"/>
    <w:rsid w:val="00B814EA"/>
    <w:rsid w:val="00B82A81"/>
    <w:rsid w:val="00B832DF"/>
    <w:rsid w:val="00B83CCD"/>
    <w:rsid w:val="00B842B3"/>
    <w:rsid w:val="00B85CAC"/>
    <w:rsid w:val="00B87BE1"/>
    <w:rsid w:val="00B9078B"/>
    <w:rsid w:val="00B926F5"/>
    <w:rsid w:val="00B94679"/>
    <w:rsid w:val="00B960A3"/>
    <w:rsid w:val="00B97056"/>
    <w:rsid w:val="00BA0E87"/>
    <w:rsid w:val="00BA18D1"/>
    <w:rsid w:val="00BA3BAF"/>
    <w:rsid w:val="00BA4CED"/>
    <w:rsid w:val="00BA7BB0"/>
    <w:rsid w:val="00BB111A"/>
    <w:rsid w:val="00BB14B7"/>
    <w:rsid w:val="00BB2BDA"/>
    <w:rsid w:val="00BB4984"/>
    <w:rsid w:val="00BC2905"/>
    <w:rsid w:val="00BC2B0E"/>
    <w:rsid w:val="00BC352B"/>
    <w:rsid w:val="00BC5F26"/>
    <w:rsid w:val="00BD06B9"/>
    <w:rsid w:val="00BD080F"/>
    <w:rsid w:val="00BD1885"/>
    <w:rsid w:val="00BD2402"/>
    <w:rsid w:val="00BD39BE"/>
    <w:rsid w:val="00BD705D"/>
    <w:rsid w:val="00BE0790"/>
    <w:rsid w:val="00BE0F77"/>
    <w:rsid w:val="00BE3079"/>
    <w:rsid w:val="00BE3E83"/>
    <w:rsid w:val="00BE58B8"/>
    <w:rsid w:val="00BE670A"/>
    <w:rsid w:val="00BE7C7E"/>
    <w:rsid w:val="00BF0B7E"/>
    <w:rsid w:val="00BF1A3A"/>
    <w:rsid w:val="00BF5E31"/>
    <w:rsid w:val="00C0006D"/>
    <w:rsid w:val="00C067C6"/>
    <w:rsid w:val="00C10FF4"/>
    <w:rsid w:val="00C110E5"/>
    <w:rsid w:val="00C11733"/>
    <w:rsid w:val="00C124BF"/>
    <w:rsid w:val="00C1625F"/>
    <w:rsid w:val="00C242A5"/>
    <w:rsid w:val="00C247D9"/>
    <w:rsid w:val="00C24D9D"/>
    <w:rsid w:val="00C254E2"/>
    <w:rsid w:val="00C2684B"/>
    <w:rsid w:val="00C31231"/>
    <w:rsid w:val="00C32857"/>
    <w:rsid w:val="00C409B9"/>
    <w:rsid w:val="00C4372E"/>
    <w:rsid w:val="00C44EE8"/>
    <w:rsid w:val="00C453B0"/>
    <w:rsid w:val="00C45602"/>
    <w:rsid w:val="00C501C1"/>
    <w:rsid w:val="00C53E1D"/>
    <w:rsid w:val="00C54C9E"/>
    <w:rsid w:val="00C57299"/>
    <w:rsid w:val="00C5745D"/>
    <w:rsid w:val="00C6073F"/>
    <w:rsid w:val="00C608DA"/>
    <w:rsid w:val="00C626B9"/>
    <w:rsid w:val="00C639F3"/>
    <w:rsid w:val="00C67E2E"/>
    <w:rsid w:val="00C70D51"/>
    <w:rsid w:val="00C70DD4"/>
    <w:rsid w:val="00C71C5C"/>
    <w:rsid w:val="00C71F07"/>
    <w:rsid w:val="00C740B1"/>
    <w:rsid w:val="00C7578D"/>
    <w:rsid w:val="00C76D24"/>
    <w:rsid w:val="00C77120"/>
    <w:rsid w:val="00C81449"/>
    <w:rsid w:val="00C83A55"/>
    <w:rsid w:val="00C83FD6"/>
    <w:rsid w:val="00C865CF"/>
    <w:rsid w:val="00C908C1"/>
    <w:rsid w:val="00C94147"/>
    <w:rsid w:val="00C94F4C"/>
    <w:rsid w:val="00C95EF6"/>
    <w:rsid w:val="00C971EF"/>
    <w:rsid w:val="00CA1A2D"/>
    <w:rsid w:val="00CA75B1"/>
    <w:rsid w:val="00CB0A22"/>
    <w:rsid w:val="00CB26E3"/>
    <w:rsid w:val="00CB3302"/>
    <w:rsid w:val="00CB4EE8"/>
    <w:rsid w:val="00CB6578"/>
    <w:rsid w:val="00CB76EB"/>
    <w:rsid w:val="00CC05CD"/>
    <w:rsid w:val="00CC461D"/>
    <w:rsid w:val="00CC64C0"/>
    <w:rsid w:val="00CC7ACE"/>
    <w:rsid w:val="00CD124B"/>
    <w:rsid w:val="00CD12D4"/>
    <w:rsid w:val="00CD1F15"/>
    <w:rsid w:val="00CD39AB"/>
    <w:rsid w:val="00CD7000"/>
    <w:rsid w:val="00CD7BAE"/>
    <w:rsid w:val="00CE1956"/>
    <w:rsid w:val="00CE2ADC"/>
    <w:rsid w:val="00CE32BD"/>
    <w:rsid w:val="00CE4B63"/>
    <w:rsid w:val="00CF1C5D"/>
    <w:rsid w:val="00CF35C8"/>
    <w:rsid w:val="00CF40D5"/>
    <w:rsid w:val="00CF4373"/>
    <w:rsid w:val="00D0113E"/>
    <w:rsid w:val="00D01D74"/>
    <w:rsid w:val="00D04911"/>
    <w:rsid w:val="00D06233"/>
    <w:rsid w:val="00D07949"/>
    <w:rsid w:val="00D07CC7"/>
    <w:rsid w:val="00D10D14"/>
    <w:rsid w:val="00D1145B"/>
    <w:rsid w:val="00D1353B"/>
    <w:rsid w:val="00D147CD"/>
    <w:rsid w:val="00D14C1E"/>
    <w:rsid w:val="00D1591A"/>
    <w:rsid w:val="00D15AD2"/>
    <w:rsid w:val="00D17AAD"/>
    <w:rsid w:val="00D21EAC"/>
    <w:rsid w:val="00D22363"/>
    <w:rsid w:val="00D22912"/>
    <w:rsid w:val="00D22B93"/>
    <w:rsid w:val="00D23607"/>
    <w:rsid w:val="00D23CCF"/>
    <w:rsid w:val="00D25A53"/>
    <w:rsid w:val="00D262E9"/>
    <w:rsid w:val="00D26972"/>
    <w:rsid w:val="00D31D6F"/>
    <w:rsid w:val="00D3225D"/>
    <w:rsid w:val="00D3280D"/>
    <w:rsid w:val="00D32CDE"/>
    <w:rsid w:val="00D33282"/>
    <w:rsid w:val="00D33CD2"/>
    <w:rsid w:val="00D3481C"/>
    <w:rsid w:val="00D40B29"/>
    <w:rsid w:val="00D462DA"/>
    <w:rsid w:val="00D50663"/>
    <w:rsid w:val="00D51FE2"/>
    <w:rsid w:val="00D547D3"/>
    <w:rsid w:val="00D6325D"/>
    <w:rsid w:val="00D64473"/>
    <w:rsid w:val="00D64E8D"/>
    <w:rsid w:val="00D67823"/>
    <w:rsid w:val="00D67E4C"/>
    <w:rsid w:val="00D71A68"/>
    <w:rsid w:val="00D722CA"/>
    <w:rsid w:val="00D72594"/>
    <w:rsid w:val="00D7275F"/>
    <w:rsid w:val="00D72A2C"/>
    <w:rsid w:val="00D72E08"/>
    <w:rsid w:val="00D72FC5"/>
    <w:rsid w:val="00D74C1A"/>
    <w:rsid w:val="00D74DF4"/>
    <w:rsid w:val="00D75AFB"/>
    <w:rsid w:val="00D75BE3"/>
    <w:rsid w:val="00D840BE"/>
    <w:rsid w:val="00D8480C"/>
    <w:rsid w:val="00D85748"/>
    <w:rsid w:val="00D86178"/>
    <w:rsid w:val="00D87C73"/>
    <w:rsid w:val="00D918D9"/>
    <w:rsid w:val="00D924DA"/>
    <w:rsid w:val="00D94AE2"/>
    <w:rsid w:val="00D94B8E"/>
    <w:rsid w:val="00D955C3"/>
    <w:rsid w:val="00D961A9"/>
    <w:rsid w:val="00D9698F"/>
    <w:rsid w:val="00D97F5B"/>
    <w:rsid w:val="00DA1871"/>
    <w:rsid w:val="00DA2D8C"/>
    <w:rsid w:val="00DA3D66"/>
    <w:rsid w:val="00DA4F07"/>
    <w:rsid w:val="00DA79F3"/>
    <w:rsid w:val="00DA7D9B"/>
    <w:rsid w:val="00DB403F"/>
    <w:rsid w:val="00DB46DF"/>
    <w:rsid w:val="00DB558E"/>
    <w:rsid w:val="00DB7583"/>
    <w:rsid w:val="00DC2802"/>
    <w:rsid w:val="00DC3216"/>
    <w:rsid w:val="00DC33FA"/>
    <w:rsid w:val="00DC6F4D"/>
    <w:rsid w:val="00DC7D77"/>
    <w:rsid w:val="00DD3439"/>
    <w:rsid w:val="00DD4534"/>
    <w:rsid w:val="00DD5254"/>
    <w:rsid w:val="00DD6FFB"/>
    <w:rsid w:val="00DE338C"/>
    <w:rsid w:val="00DE3FF9"/>
    <w:rsid w:val="00DE79AD"/>
    <w:rsid w:val="00DF17AB"/>
    <w:rsid w:val="00DF5A12"/>
    <w:rsid w:val="00DF5F50"/>
    <w:rsid w:val="00DF734B"/>
    <w:rsid w:val="00E00BBB"/>
    <w:rsid w:val="00E01470"/>
    <w:rsid w:val="00E01864"/>
    <w:rsid w:val="00E04121"/>
    <w:rsid w:val="00E04CBE"/>
    <w:rsid w:val="00E07909"/>
    <w:rsid w:val="00E079C9"/>
    <w:rsid w:val="00E07B09"/>
    <w:rsid w:val="00E11064"/>
    <w:rsid w:val="00E12201"/>
    <w:rsid w:val="00E13575"/>
    <w:rsid w:val="00E15AA0"/>
    <w:rsid w:val="00E15D3A"/>
    <w:rsid w:val="00E171AD"/>
    <w:rsid w:val="00E20037"/>
    <w:rsid w:val="00E22997"/>
    <w:rsid w:val="00E25738"/>
    <w:rsid w:val="00E27AF7"/>
    <w:rsid w:val="00E32C21"/>
    <w:rsid w:val="00E33A68"/>
    <w:rsid w:val="00E33C91"/>
    <w:rsid w:val="00E34B7F"/>
    <w:rsid w:val="00E363C6"/>
    <w:rsid w:val="00E37257"/>
    <w:rsid w:val="00E43887"/>
    <w:rsid w:val="00E47226"/>
    <w:rsid w:val="00E51256"/>
    <w:rsid w:val="00E524CD"/>
    <w:rsid w:val="00E53E56"/>
    <w:rsid w:val="00E5422F"/>
    <w:rsid w:val="00E54AED"/>
    <w:rsid w:val="00E552B9"/>
    <w:rsid w:val="00E56E9A"/>
    <w:rsid w:val="00E61102"/>
    <w:rsid w:val="00E61350"/>
    <w:rsid w:val="00E66707"/>
    <w:rsid w:val="00E66D97"/>
    <w:rsid w:val="00E7369F"/>
    <w:rsid w:val="00E73F49"/>
    <w:rsid w:val="00E74B17"/>
    <w:rsid w:val="00E8224B"/>
    <w:rsid w:val="00E8646F"/>
    <w:rsid w:val="00E8691F"/>
    <w:rsid w:val="00E86D69"/>
    <w:rsid w:val="00E876F9"/>
    <w:rsid w:val="00E91F9F"/>
    <w:rsid w:val="00E9248A"/>
    <w:rsid w:val="00E92C78"/>
    <w:rsid w:val="00E9427D"/>
    <w:rsid w:val="00E962A6"/>
    <w:rsid w:val="00EA0399"/>
    <w:rsid w:val="00EA19BC"/>
    <w:rsid w:val="00EA3F04"/>
    <w:rsid w:val="00EA4A44"/>
    <w:rsid w:val="00EB432F"/>
    <w:rsid w:val="00EB541E"/>
    <w:rsid w:val="00EB7AEC"/>
    <w:rsid w:val="00EB7BC6"/>
    <w:rsid w:val="00EB7CBA"/>
    <w:rsid w:val="00EC01A9"/>
    <w:rsid w:val="00EC071F"/>
    <w:rsid w:val="00EC3DB7"/>
    <w:rsid w:val="00EC4115"/>
    <w:rsid w:val="00EC4971"/>
    <w:rsid w:val="00EC5094"/>
    <w:rsid w:val="00EC65D4"/>
    <w:rsid w:val="00EC75ED"/>
    <w:rsid w:val="00ED1A4F"/>
    <w:rsid w:val="00ED3C5C"/>
    <w:rsid w:val="00ED5BF6"/>
    <w:rsid w:val="00ED60E0"/>
    <w:rsid w:val="00ED6242"/>
    <w:rsid w:val="00ED65E3"/>
    <w:rsid w:val="00ED6BFF"/>
    <w:rsid w:val="00ED79DB"/>
    <w:rsid w:val="00ED7CCB"/>
    <w:rsid w:val="00EE0A67"/>
    <w:rsid w:val="00EE7537"/>
    <w:rsid w:val="00EE7979"/>
    <w:rsid w:val="00EF18CE"/>
    <w:rsid w:val="00EF35EC"/>
    <w:rsid w:val="00EF40D5"/>
    <w:rsid w:val="00EF63DA"/>
    <w:rsid w:val="00EF7583"/>
    <w:rsid w:val="00F00E8D"/>
    <w:rsid w:val="00F017B4"/>
    <w:rsid w:val="00F01A68"/>
    <w:rsid w:val="00F02D73"/>
    <w:rsid w:val="00F02DDD"/>
    <w:rsid w:val="00F03F66"/>
    <w:rsid w:val="00F06E2B"/>
    <w:rsid w:val="00F114DE"/>
    <w:rsid w:val="00F13540"/>
    <w:rsid w:val="00F139C1"/>
    <w:rsid w:val="00F13C15"/>
    <w:rsid w:val="00F144E4"/>
    <w:rsid w:val="00F167DB"/>
    <w:rsid w:val="00F1728C"/>
    <w:rsid w:val="00F222E3"/>
    <w:rsid w:val="00F256CF"/>
    <w:rsid w:val="00F2739C"/>
    <w:rsid w:val="00F318EF"/>
    <w:rsid w:val="00F3212B"/>
    <w:rsid w:val="00F332B4"/>
    <w:rsid w:val="00F33357"/>
    <w:rsid w:val="00F33494"/>
    <w:rsid w:val="00F34B93"/>
    <w:rsid w:val="00F358B5"/>
    <w:rsid w:val="00F36CC8"/>
    <w:rsid w:val="00F373E6"/>
    <w:rsid w:val="00F37529"/>
    <w:rsid w:val="00F37B52"/>
    <w:rsid w:val="00F40968"/>
    <w:rsid w:val="00F41C2A"/>
    <w:rsid w:val="00F41D83"/>
    <w:rsid w:val="00F446F7"/>
    <w:rsid w:val="00F44A16"/>
    <w:rsid w:val="00F527F2"/>
    <w:rsid w:val="00F5299E"/>
    <w:rsid w:val="00F53E88"/>
    <w:rsid w:val="00F5413C"/>
    <w:rsid w:val="00F54B91"/>
    <w:rsid w:val="00F55083"/>
    <w:rsid w:val="00F55C65"/>
    <w:rsid w:val="00F56019"/>
    <w:rsid w:val="00F56F7B"/>
    <w:rsid w:val="00F57B7A"/>
    <w:rsid w:val="00F6099C"/>
    <w:rsid w:val="00F65AA7"/>
    <w:rsid w:val="00F669B0"/>
    <w:rsid w:val="00F70349"/>
    <w:rsid w:val="00F70A68"/>
    <w:rsid w:val="00F70C11"/>
    <w:rsid w:val="00F70FDD"/>
    <w:rsid w:val="00F718E2"/>
    <w:rsid w:val="00F7349A"/>
    <w:rsid w:val="00F73A09"/>
    <w:rsid w:val="00F75895"/>
    <w:rsid w:val="00F7722D"/>
    <w:rsid w:val="00F81B4F"/>
    <w:rsid w:val="00F81C60"/>
    <w:rsid w:val="00F850E3"/>
    <w:rsid w:val="00F855A5"/>
    <w:rsid w:val="00F946DA"/>
    <w:rsid w:val="00F9608F"/>
    <w:rsid w:val="00F97093"/>
    <w:rsid w:val="00FA0D40"/>
    <w:rsid w:val="00FA3BF0"/>
    <w:rsid w:val="00FA5C96"/>
    <w:rsid w:val="00FA7CE9"/>
    <w:rsid w:val="00FB00B2"/>
    <w:rsid w:val="00FB0DC1"/>
    <w:rsid w:val="00FB0E03"/>
    <w:rsid w:val="00FB2E4D"/>
    <w:rsid w:val="00FB3453"/>
    <w:rsid w:val="00FB4B7D"/>
    <w:rsid w:val="00FB74E7"/>
    <w:rsid w:val="00FC08F6"/>
    <w:rsid w:val="00FC1135"/>
    <w:rsid w:val="00FC4ACA"/>
    <w:rsid w:val="00FC631B"/>
    <w:rsid w:val="00FC68B7"/>
    <w:rsid w:val="00FD179C"/>
    <w:rsid w:val="00FD39FC"/>
    <w:rsid w:val="00FD4C71"/>
    <w:rsid w:val="00FD4E84"/>
    <w:rsid w:val="00FD51B3"/>
    <w:rsid w:val="00FD5484"/>
    <w:rsid w:val="00FD5772"/>
    <w:rsid w:val="00FE0054"/>
    <w:rsid w:val="00FE19E7"/>
    <w:rsid w:val="00FE6487"/>
    <w:rsid w:val="00FE7AB1"/>
    <w:rsid w:val="00FF0E84"/>
    <w:rsid w:val="00FF4BA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0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93"/>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D22B93"/>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22B9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22B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421366"/>
    <w:pPr>
      <w:keepNext/>
      <w:keepLines/>
      <w:ind w:left="1416"/>
      <w:jc w:val="both"/>
      <w:outlineLvl w:val="3"/>
    </w:pPr>
    <w:rPr>
      <w:rFonts w:ascii="Verdana" w:eastAsiaTheme="majorEastAsia" w:hAnsi="Verdana" w:cstheme="majorBidi"/>
      <w:b/>
      <w:bCs/>
      <w:i/>
      <w:iCs/>
      <w:sz w:val="20"/>
      <w:szCs w:val="22"/>
      <w:lang w:val="es-CR"/>
    </w:rPr>
  </w:style>
  <w:style w:type="paragraph" w:styleId="Heading5">
    <w:name w:val="heading 5"/>
    <w:basedOn w:val="Normal"/>
    <w:next w:val="Normal"/>
    <w:link w:val="Heading5Char"/>
    <w:uiPriority w:val="9"/>
    <w:unhideWhenUsed/>
    <w:qFormat/>
    <w:rsid w:val="00D22B9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2B93"/>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D22B93"/>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D22B93"/>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D22B93"/>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421366"/>
    <w:rPr>
      <w:rFonts w:ascii="Verdana" w:eastAsiaTheme="majorEastAsia" w:hAnsi="Verdana" w:cstheme="majorBidi"/>
      <w:b/>
      <w:bCs/>
      <w:i/>
      <w:iCs/>
      <w:sz w:val="20"/>
    </w:rPr>
  </w:style>
  <w:style w:type="character" w:customStyle="1" w:styleId="Heading5Char">
    <w:name w:val="Heading 5 Char"/>
    <w:basedOn w:val="DefaultParagraphFont"/>
    <w:link w:val="Heading5"/>
    <w:uiPriority w:val="9"/>
    <w:rsid w:val="00D22B93"/>
    <w:rPr>
      <w:rFonts w:asciiTheme="majorHAnsi" w:eastAsiaTheme="majorEastAsia" w:hAnsiTheme="majorHAnsi" w:cstheme="majorBidi"/>
      <w:color w:val="243F60" w:themeColor="accent1" w:themeShade="7F"/>
      <w:sz w:val="24"/>
      <w:szCs w:val="24"/>
      <w:lang w:val="es-ES_tradnl"/>
    </w:rPr>
  </w:style>
  <w:style w:type="character" w:customStyle="1" w:styleId="Heading6Char">
    <w:name w:val="Heading 6 Char"/>
    <w:basedOn w:val="DefaultParagraphFont"/>
    <w:link w:val="Heading6"/>
    <w:uiPriority w:val="9"/>
    <w:rsid w:val="00D22B93"/>
    <w:rPr>
      <w:rFonts w:asciiTheme="majorHAnsi" w:eastAsiaTheme="majorEastAsia" w:hAnsiTheme="majorHAnsi" w:cstheme="majorBidi"/>
      <w:i/>
      <w:iCs/>
      <w:color w:val="243F60" w:themeColor="accent1" w:themeShade="7F"/>
      <w:lang w:val="en-US"/>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B15331"/>
    <w:pPr>
      <w:tabs>
        <w:tab w:val="left" w:pos="567"/>
      </w:tabs>
      <w:jc w:val="both"/>
    </w:pPr>
    <w:rPr>
      <w:rFonts w:ascii="Verdana" w:eastAsia="Batang" w:hAnsi="Verdana"/>
      <w:sz w:val="16"/>
      <w:szCs w:val="16"/>
      <w:lang w:val="es-ES"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B15331"/>
    <w:rPr>
      <w:rFonts w:ascii="Verdana" w:eastAsia="Batang" w:hAnsi="Verdana" w:cs="Times New Roman"/>
      <w:sz w:val="16"/>
      <w:szCs w:val="16"/>
      <w:lang w:val="es-ES" w:eastAsia="es-ES"/>
    </w:rPr>
  </w:style>
  <w:style w:type="paragraph" w:customStyle="1" w:styleId="Footnotes">
    <w:name w:val="**. Footnotes"/>
    <w:basedOn w:val="FootnoteText"/>
    <w:link w:val="FootnotesChar"/>
    <w:autoRedefine/>
    <w:qFormat/>
    <w:rsid w:val="00D22B93"/>
    <w:pPr>
      <w:spacing w:before="120"/>
    </w:pPr>
    <w:rPr>
      <w:rFonts w:cs="Palatino-Italic"/>
      <w:iCs/>
      <w:lang w:eastAsia="en-US"/>
    </w:rPr>
  </w:style>
  <w:style w:type="character" w:customStyle="1" w:styleId="FootnotesChar">
    <w:name w:val="**. Footnotes Char"/>
    <w:basedOn w:val="DefaultParagraphFont"/>
    <w:link w:val="Footnotes"/>
    <w:rsid w:val="00D22B93"/>
    <w:rPr>
      <w:rFonts w:ascii="Verdana" w:eastAsia="Batang" w:hAnsi="Verdana" w:cs="Palatino-Italic"/>
      <w:iCs/>
      <w:sz w:val="16"/>
      <w:szCs w:val="16"/>
      <w:lang w:val="es-ES"/>
    </w:rPr>
  </w:style>
  <w:style w:type="paragraph" w:customStyle="1" w:styleId="PrrafodeSentencia">
    <w:name w:val="*. Párrafo de Sentencia"/>
    <w:basedOn w:val="ListParagraph"/>
    <w:link w:val="PrrafodeSentenciaChar"/>
    <w:autoRedefine/>
    <w:qFormat/>
    <w:rsid w:val="00D22B93"/>
    <w:pPr>
      <w:numPr>
        <w:numId w:val="1"/>
      </w:numPr>
      <w:spacing w:before="120" w:after="120"/>
      <w:ind w:left="0" w:firstLine="0"/>
      <w:contextualSpacing w:val="0"/>
      <w:jc w:val="both"/>
    </w:pPr>
    <w:rPr>
      <w:rFonts w:ascii="Verdana" w:eastAsia="Batang" w:hAnsi="Verdana"/>
      <w:sz w:val="20"/>
      <w:szCs w:val="20"/>
      <w:lang w:val="es-MX" w:eastAsia="es-MX"/>
    </w:rPr>
  </w:style>
  <w:style w:type="paragraph" w:styleId="ListParagraph">
    <w:name w:val="List Paragraph"/>
    <w:aliases w:val="Párrafo de lista1,Footnote,List Paragraph2,Lista vistosa - Énfasis 11"/>
    <w:basedOn w:val="Normal"/>
    <w:link w:val="ListParagraphChar"/>
    <w:uiPriority w:val="34"/>
    <w:qFormat/>
    <w:rsid w:val="00D22B93"/>
    <w:pPr>
      <w:ind w:left="720"/>
      <w:contextualSpacing/>
    </w:pPr>
  </w:style>
  <w:style w:type="character" w:customStyle="1" w:styleId="ListParagraphChar">
    <w:name w:val="List Paragraph Char"/>
    <w:aliases w:val="Párrafo de lista1 Char,Footnote Char,List Paragraph2 Char,Lista vistosa - Énfasis 11 Char,Colorful List - Accent 11 Char"/>
    <w:basedOn w:val="DefaultParagraphFont"/>
    <w:link w:val="ListParagraph"/>
    <w:uiPriority w:val="34"/>
    <w:locked/>
    <w:rsid w:val="00D22B93"/>
    <w:rPr>
      <w:rFonts w:ascii="Times New Roman" w:eastAsia="Calibri" w:hAnsi="Times New Roman" w:cs="Times New Roman"/>
      <w:sz w:val="24"/>
      <w:szCs w:val="24"/>
      <w:lang w:val="es-ES_tradnl"/>
    </w:rPr>
  </w:style>
  <w:style w:type="character" w:customStyle="1" w:styleId="PrrafodeSentenciaChar">
    <w:name w:val="*. Párrafo de Sentencia Char"/>
    <w:basedOn w:val="DefaultParagraphFont"/>
    <w:link w:val="PrrafodeSentencia"/>
    <w:rsid w:val="00D22B93"/>
    <w:rPr>
      <w:rFonts w:ascii="Verdana" w:eastAsia="Batang" w:hAnsi="Verdana" w:cs="Times New Roman"/>
      <w:sz w:val="20"/>
      <w:szCs w:val="20"/>
      <w:lang w:val="es-MX" w:eastAsia="es-MX"/>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uiPriority w:val="99"/>
    <w:qFormat/>
    <w:rsid w:val="00D22B93"/>
    <w:rPr>
      <w:rFonts w:ascii="Verdana" w:hAnsi="Verdana" w:cs="Times New Roman"/>
      <w:sz w:val="20"/>
      <w:vertAlign w:val="superscript"/>
    </w:rPr>
  </w:style>
  <w:style w:type="character" w:styleId="Hyperlink">
    <w:name w:val="Hyperlink"/>
    <w:aliases w:val="Heading 3 caso"/>
    <w:uiPriority w:val="99"/>
    <w:rsid w:val="00D22B93"/>
    <w:rPr>
      <w:rFonts w:cs="Times New Roman"/>
      <w:color w:val="0000FF"/>
      <w:u w:val="single"/>
    </w:rPr>
  </w:style>
  <w:style w:type="paragraph" w:styleId="TOC1">
    <w:name w:val="toc 1"/>
    <w:basedOn w:val="Normal"/>
    <w:next w:val="Normal"/>
    <w:autoRedefine/>
    <w:uiPriority w:val="39"/>
    <w:unhideWhenUsed/>
    <w:rsid w:val="001D2BE2"/>
    <w:pPr>
      <w:tabs>
        <w:tab w:val="left" w:pos="142"/>
        <w:tab w:val="right" w:leader="dot" w:pos="8828"/>
      </w:tabs>
      <w:ind w:left="142"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19552C"/>
    <w:pPr>
      <w:tabs>
        <w:tab w:val="left" w:pos="720"/>
        <w:tab w:val="right" w:leader="dot" w:pos="8789"/>
      </w:tabs>
      <w:ind w:left="238"/>
      <w:jc w:val="both"/>
    </w:pPr>
  </w:style>
  <w:style w:type="paragraph" w:styleId="TOC3">
    <w:name w:val="toc 3"/>
    <w:basedOn w:val="Normal"/>
    <w:next w:val="Normal"/>
    <w:autoRedefine/>
    <w:uiPriority w:val="39"/>
    <w:unhideWhenUsed/>
    <w:rsid w:val="00D22B93"/>
    <w:pPr>
      <w:tabs>
        <w:tab w:val="right" w:leader="dot" w:pos="8828"/>
      </w:tabs>
      <w:spacing w:before="60" w:after="60"/>
      <w:ind w:left="482"/>
      <w:contextualSpacing/>
    </w:pPr>
  </w:style>
  <w:style w:type="paragraph" w:styleId="TOC4">
    <w:name w:val="toc 4"/>
    <w:basedOn w:val="Normal"/>
    <w:next w:val="Normal"/>
    <w:autoRedefine/>
    <w:uiPriority w:val="39"/>
    <w:unhideWhenUsed/>
    <w:rsid w:val="00D22B93"/>
    <w:pPr>
      <w:spacing w:after="100"/>
      <w:ind w:left="720"/>
    </w:pPr>
  </w:style>
  <w:style w:type="paragraph" w:customStyle="1" w:styleId="citaindirecta">
    <w:name w:val="cita indirecta"/>
    <w:basedOn w:val="Normal"/>
    <w:rsid w:val="00D22B93"/>
    <w:pPr>
      <w:ind w:left="708"/>
      <w:jc w:val="both"/>
    </w:pPr>
    <w:rPr>
      <w:rFonts w:ascii="Verdana" w:eastAsia="Times New Roman" w:hAnsi="Verdana"/>
      <w:sz w:val="20"/>
      <w:szCs w:val="20"/>
    </w:rPr>
  </w:style>
  <w:style w:type="paragraph" w:customStyle="1" w:styleId="ListParagraph1">
    <w:name w:val="List Paragraph1"/>
    <w:aliases w:val="Colorful List - Accent 11"/>
    <w:basedOn w:val="Normal"/>
    <w:uiPriority w:val="99"/>
    <w:qFormat/>
    <w:rsid w:val="00D22B93"/>
    <w:pPr>
      <w:spacing w:after="200" w:line="276" w:lineRule="auto"/>
      <w:ind w:left="720"/>
    </w:pPr>
    <w:rPr>
      <w:rFonts w:eastAsia="Times New Roman"/>
      <w:szCs w:val="22"/>
      <w:lang w:val="en-US"/>
    </w:rPr>
  </w:style>
  <w:style w:type="character" w:customStyle="1" w:styleId="Estilo1Car">
    <w:name w:val="Estilo1 Car"/>
    <w:link w:val="Estilo1"/>
    <w:locked/>
    <w:rsid w:val="00D22B93"/>
    <w:rPr>
      <w:rFonts w:ascii="Verdana" w:hAnsi="Verdana"/>
    </w:rPr>
  </w:style>
  <w:style w:type="paragraph" w:customStyle="1" w:styleId="Estilo1">
    <w:name w:val="Estilo1"/>
    <w:basedOn w:val="Normal"/>
    <w:link w:val="Estilo1Car"/>
    <w:qFormat/>
    <w:rsid w:val="00D22B93"/>
    <w:pPr>
      <w:tabs>
        <w:tab w:val="left" w:pos="567"/>
        <w:tab w:val="left" w:pos="1134"/>
        <w:tab w:val="num" w:pos="6042"/>
      </w:tabs>
      <w:spacing w:after="120"/>
      <w:jc w:val="both"/>
    </w:pPr>
    <w:rPr>
      <w:rFonts w:ascii="Verdana" w:eastAsiaTheme="minorHAnsi" w:hAnsi="Verdana" w:cstheme="minorBidi"/>
      <w:sz w:val="22"/>
      <w:szCs w:val="22"/>
      <w:lang w:val="es-CR"/>
    </w:rPr>
  </w:style>
  <w:style w:type="paragraph" w:customStyle="1" w:styleId="Estilo5">
    <w:name w:val="Estilo5"/>
    <w:basedOn w:val="Normal"/>
    <w:link w:val="Estilo5Car"/>
    <w:rsid w:val="00D22B93"/>
    <w:pPr>
      <w:keepNext/>
      <w:numPr>
        <w:numId w:val="3"/>
      </w:numPr>
      <w:tabs>
        <w:tab w:val="left" w:pos="426"/>
        <w:tab w:val="left" w:pos="567"/>
        <w:tab w:val="left" w:pos="1134"/>
      </w:tabs>
      <w:spacing w:after="120"/>
      <w:ind w:right="-91"/>
      <w:jc w:val="both"/>
    </w:pPr>
    <w:rPr>
      <w:rFonts w:ascii="Verdana" w:eastAsia="Batang" w:hAnsi="Verdana"/>
      <w:b/>
      <w:i/>
      <w:sz w:val="20"/>
      <w:szCs w:val="20"/>
    </w:rPr>
  </w:style>
  <w:style w:type="character" w:customStyle="1" w:styleId="Estilo5Car">
    <w:name w:val="Estilo5 Car"/>
    <w:link w:val="Estilo5"/>
    <w:rsid w:val="00D22B93"/>
    <w:rPr>
      <w:rFonts w:ascii="Verdana" w:eastAsia="Batang" w:hAnsi="Verdana" w:cs="Times New Roman"/>
      <w:b/>
      <w:i/>
      <w:sz w:val="20"/>
      <w:szCs w:val="20"/>
      <w:lang w:val="es-ES_tradnl"/>
    </w:rPr>
  </w:style>
  <w:style w:type="paragraph" w:customStyle="1" w:styleId="Estilo6">
    <w:name w:val="Estilo6"/>
    <w:basedOn w:val="Normal"/>
    <w:link w:val="Estilo6Car"/>
    <w:qFormat/>
    <w:rsid w:val="00D22B93"/>
    <w:pPr>
      <w:tabs>
        <w:tab w:val="left" w:pos="709"/>
        <w:tab w:val="left" w:pos="851"/>
        <w:tab w:val="left" w:pos="1134"/>
      </w:tabs>
      <w:autoSpaceDE w:val="0"/>
      <w:autoSpaceDN w:val="0"/>
      <w:adjustRightInd w:val="0"/>
      <w:spacing w:after="120"/>
      <w:ind w:left="714" w:right="-91" w:hanging="357"/>
    </w:pPr>
    <w:rPr>
      <w:rFonts w:ascii="Verdana" w:hAnsi="Verdana"/>
      <w:b/>
      <w:i/>
      <w:sz w:val="20"/>
      <w:szCs w:val="20"/>
      <w:lang w:eastAsia="es-MX"/>
    </w:rPr>
  </w:style>
  <w:style w:type="character" w:customStyle="1" w:styleId="Estilo6Car">
    <w:name w:val="Estilo6 Car"/>
    <w:link w:val="Estilo6"/>
    <w:rsid w:val="00D22B93"/>
    <w:rPr>
      <w:rFonts w:ascii="Verdana" w:eastAsia="Calibri" w:hAnsi="Verdana" w:cs="Times New Roman"/>
      <w:b/>
      <w:i/>
      <w:sz w:val="20"/>
      <w:szCs w:val="20"/>
      <w:lang w:val="es-ES_tradnl" w:eastAsia="es-MX"/>
    </w:rPr>
  </w:style>
  <w:style w:type="paragraph" w:customStyle="1" w:styleId="Estilo7">
    <w:name w:val="Estilo7"/>
    <w:basedOn w:val="Normal"/>
    <w:qFormat/>
    <w:rsid w:val="00D22B93"/>
    <w:pPr>
      <w:numPr>
        <w:ilvl w:val="2"/>
        <w:numId w:val="2"/>
      </w:numPr>
      <w:tabs>
        <w:tab w:val="left" w:pos="567"/>
        <w:tab w:val="left" w:pos="851"/>
      </w:tabs>
      <w:spacing w:before="120" w:after="120"/>
      <w:jc w:val="both"/>
    </w:pPr>
    <w:rPr>
      <w:rFonts w:ascii="Verdana" w:eastAsia="Batang" w:hAnsi="Verdana"/>
      <w:b/>
      <w:i/>
      <w:sz w:val="20"/>
      <w:szCs w:val="20"/>
      <w:lang w:eastAsia="es-MX"/>
    </w:rPr>
  </w:style>
  <w:style w:type="paragraph" w:customStyle="1" w:styleId="TOCHeading1">
    <w:name w:val="TOC Heading1"/>
    <w:basedOn w:val="Heading1"/>
    <w:next w:val="Normal"/>
    <w:uiPriority w:val="39"/>
    <w:unhideWhenUsed/>
    <w:qFormat/>
    <w:rsid w:val="00D22B93"/>
    <w:pPr>
      <w:spacing w:line="276" w:lineRule="auto"/>
      <w:outlineLvl w:val="9"/>
    </w:pPr>
    <w:rPr>
      <w:rFonts w:eastAsia="MS Gothic"/>
      <w:lang w:val="en-US"/>
    </w:rPr>
  </w:style>
  <w:style w:type="paragraph" w:styleId="BalloonText">
    <w:name w:val="Balloon Text"/>
    <w:basedOn w:val="Normal"/>
    <w:link w:val="BalloonTextChar"/>
    <w:uiPriority w:val="99"/>
    <w:semiHidden/>
    <w:unhideWhenUsed/>
    <w:rsid w:val="00D22B93"/>
    <w:rPr>
      <w:rFonts w:ascii="Tahoma" w:hAnsi="Tahoma" w:cs="Tahoma"/>
      <w:sz w:val="16"/>
      <w:szCs w:val="16"/>
    </w:rPr>
  </w:style>
  <w:style w:type="character" w:customStyle="1" w:styleId="BalloonTextChar">
    <w:name w:val="Balloon Text Char"/>
    <w:basedOn w:val="DefaultParagraphFont"/>
    <w:link w:val="BalloonText"/>
    <w:uiPriority w:val="99"/>
    <w:semiHidden/>
    <w:rsid w:val="00D22B93"/>
    <w:rPr>
      <w:rFonts w:ascii="Tahoma" w:eastAsia="Calibri" w:hAnsi="Tahoma" w:cs="Tahoma"/>
      <w:sz w:val="16"/>
      <w:szCs w:val="16"/>
      <w:lang w:val="es-ES_tradnl"/>
    </w:rPr>
  </w:style>
  <w:style w:type="paragraph" w:styleId="Header">
    <w:name w:val="header"/>
    <w:basedOn w:val="Normal"/>
    <w:link w:val="HeaderChar"/>
    <w:uiPriority w:val="99"/>
    <w:unhideWhenUsed/>
    <w:rsid w:val="00D22B93"/>
    <w:pPr>
      <w:tabs>
        <w:tab w:val="center" w:pos="4419"/>
        <w:tab w:val="right" w:pos="8838"/>
      </w:tabs>
    </w:pPr>
  </w:style>
  <w:style w:type="character" w:customStyle="1" w:styleId="HeaderChar">
    <w:name w:val="Header Char"/>
    <w:basedOn w:val="DefaultParagraphFont"/>
    <w:link w:val="Header"/>
    <w:uiPriority w:val="99"/>
    <w:rsid w:val="00D22B93"/>
    <w:rPr>
      <w:rFonts w:ascii="Times New Roman" w:eastAsia="Calibri" w:hAnsi="Times New Roman" w:cs="Times New Roman"/>
      <w:sz w:val="24"/>
      <w:szCs w:val="24"/>
      <w:lang w:val="es-ES_tradnl"/>
    </w:rPr>
  </w:style>
  <w:style w:type="paragraph" w:styleId="Footer">
    <w:name w:val="footer"/>
    <w:basedOn w:val="Normal"/>
    <w:link w:val="FooterChar"/>
    <w:uiPriority w:val="99"/>
    <w:unhideWhenUsed/>
    <w:rsid w:val="00D22B93"/>
    <w:pPr>
      <w:tabs>
        <w:tab w:val="center" w:pos="4419"/>
        <w:tab w:val="right" w:pos="8838"/>
      </w:tabs>
    </w:pPr>
  </w:style>
  <w:style w:type="character" w:customStyle="1" w:styleId="FooterChar">
    <w:name w:val="Footer Char"/>
    <w:basedOn w:val="DefaultParagraphFont"/>
    <w:link w:val="Footer"/>
    <w:uiPriority w:val="99"/>
    <w:rsid w:val="00D22B93"/>
    <w:rPr>
      <w:rFonts w:ascii="Times New Roman" w:eastAsia="Calibri" w:hAnsi="Times New Roman" w:cs="Times New Roman"/>
      <w:sz w:val="24"/>
      <w:szCs w:val="24"/>
      <w:lang w:val="es-ES_tradnl"/>
    </w:rPr>
  </w:style>
  <w:style w:type="paragraph" w:styleId="BodyText2">
    <w:name w:val="Body Text 2"/>
    <w:basedOn w:val="Normal"/>
    <w:link w:val="BodyText2Char"/>
    <w:uiPriority w:val="99"/>
    <w:unhideWhenUsed/>
    <w:rsid w:val="00D22B93"/>
    <w:pPr>
      <w:spacing w:after="120" w:line="480" w:lineRule="auto"/>
      <w:jc w:val="both"/>
    </w:pPr>
    <w:rPr>
      <w:rFonts w:ascii="Calibri" w:hAnsi="Calibri"/>
      <w:sz w:val="20"/>
      <w:szCs w:val="20"/>
      <w:lang w:val="en-US"/>
    </w:rPr>
  </w:style>
  <w:style w:type="character" w:customStyle="1" w:styleId="BodyText2Char">
    <w:name w:val="Body Text 2 Char"/>
    <w:basedOn w:val="DefaultParagraphFont"/>
    <w:link w:val="BodyText2"/>
    <w:uiPriority w:val="99"/>
    <w:rsid w:val="00D22B93"/>
    <w:rPr>
      <w:rFonts w:ascii="Calibri" w:eastAsia="Calibri" w:hAnsi="Calibri" w:cs="Times New Roman"/>
      <w:sz w:val="20"/>
      <w:szCs w:val="20"/>
      <w:lang w:val="en-US"/>
    </w:rPr>
  </w:style>
  <w:style w:type="character" w:styleId="CommentReference">
    <w:name w:val="annotation reference"/>
    <w:basedOn w:val="DefaultParagraphFont"/>
    <w:unhideWhenUsed/>
    <w:rsid w:val="00D22B93"/>
    <w:rPr>
      <w:sz w:val="16"/>
      <w:szCs w:val="16"/>
    </w:rPr>
  </w:style>
  <w:style w:type="character" w:customStyle="1" w:styleId="CommentTextChar">
    <w:name w:val="Comment Text Char"/>
    <w:basedOn w:val="DefaultParagraphFont"/>
    <w:link w:val="CommentText"/>
    <w:rsid w:val="00D22B93"/>
    <w:rPr>
      <w:rFonts w:ascii="Times New Roman" w:eastAsia="Calibri" w:hAnsi="Times New Roman" w:cs="Times New Roman"/>
      <w:sz w:val="20"/>
      <w:szCs w:val="20"/>
      <w:lang w:val="es-ES_tradnl"/>
    </w:rPr>
  </w:style>
  <w:style w:type="paragraph" w:styleId="CommentText">
    <w:name w:val="annotation text"/>
    <w:basedOn w:val="Normal"/>
    <w:link w:val="CommentTextChar"/>
    <w:unhideWhenUsed/>
    <w:rsid w:val="00D22B93"/>
    <w:rPr>
      <w:sz w:val="20"/>
      <w:szCs w:val="20"/>
    </w:rPr>
  </w:style>
  <w:style w:type="character" w:customStyle="1" w:styleId="TextocomentarioCar1">
    <w:name w:val="Texto comentario Car1"/>
    <w:basedOn w:val="DefaultParagraphFont"/>
    <w:uiPriority w:val="99"/>
    <w:semiHidden/>
    <w:rsid w:val="00D22B93"/>
    <w:rPr>
      <w:rFonts w:ascii="Times New Roman" w:eastAsia="Calibri" w:hAnsi="Times New Roman" w:cs="Times New Roman"/>
      <w:sz w:val="20"/>
      <w:szCs w:val="20"/>
      <w:lang w:val="es-ES_tradnl"/>
    </w:rPr>
  </w:style>
  <w:style w:type="character" w:customStyle="1" w:styleId="CommentSubjectChar">
    <w:name w:val="Comment Subject Char"/>
    <w:basedOn w:val="CommentTextChar"/>
    <w:link w:val="CommentSubject"/>
    <w:uiPriority w:val="99"/>
    <w:semiHidden/>
    <w:rsid w:val="00D22B93"/>
    <w:rPr>
      <w:rFonts w:ascii="Times New Roman" w:eastAsia="Calibri" w:hAnsi="Times New Roman" w:cs="Times New Roman"/>
      <w:b/>
      <w:bCs/>
      <w:sz w:val="20"/>
      <w:szCs w:val="20"/>
      <w:lang w:val="es-ES_tradnl"/>
    </w:rPr>
  </w:style>
  <w:style w:type="paragraph" w:styleId="CommentSubject">
    <w:name w:val="annotation subject"/>
    <w:basedOn w:val="CommentText"/>
    <w:next w:val="CommentText"/>
    <w:link w:val="CommentSubjectChar"/>
    <w:uiPriority w:val="99"/>
    <w:semiHidden/>
    <w:unhideWhenUsed/>
    <w:rsid w:val="00D22B93"/>
    <w:rPr>
      <w:b/>
      <w:bCs/>
    </w:rPr>
  </w:style>
  <w:style w:type="character" w:customStyle="1" w:styleId="AsuntodelcomentarioCar1">
    <w:name w:val="Asunto del comentario Car1"/>
    <w:basedOn w:val="TextocomentarioCar1"/>
    <w:uiPriority w:val="99"/>
    <w:semiHidden/>
    <w:rsid w:val="00D22B93"/>
    <w:rPr>
      <w:rFonts w:ascii="Times New Roman" w:eastAsia="Calibri" w:hAnsi="Times New Roman" w:cs="Times New Roman"/>
      <w:b/>
      <w:bCs/>
      <w:sz w:val="20"/>
      <w:szCs w:val="20"/>
      <w:lang w:val="es-ES_tradnl"/>
    </w:rPr>
  </w:style>
  <w:style w:type="character" w:customStyle="1" w:styleId="apple-converted-space">
    <w:name w:val="apple-converted-space"/>
    <w:basedOn w:val="DefaultParagraphFont"/>
    <w:rsid w:val="00D22B93"/>
  </w:style>
  <w:style w:type="paragraph" w:styleId="NoSpacing">
    <w:name w:val="No Spacing"/>
    <w:uiPriority w:val="1"/>
    <w:qFormat/>
    <w:rsid w:val="00D22B93"/>
    <w:pPr>
      <w:spacing w:after="0" w:line="240" w:lineRule="auto"/>
    </w:pPr>
    <w:rPr>
      <w:rFonts w:ascii="Calibri" w:eastAsia="Calibri" w:hAnsi="Calibri" w:cs="Times New Roman"/>
      <w:lang w:val="en-US"/>
    </w:rPr>
  </w:style>
  <w:style w:type="paragraph" w:customStyle="1" w:styleId="Estilo2">
    <w:name w:val="Estilo2"/>
    <w:basedOn w:val="Normal"/>
    <w:link w:val="Estilo2Car"/>
    <w:qFormat/>
    <w:rsid w:val="00D22B93"/>
    <w:pPr>
      <w:tabs>
        <w:tab w:val="left" w:pos="567"/>
        <w:tab w:val="left" w:pos="1134"/>
        <w:tab w:val="num" w:pos="4767"/>
      </w:tabs>
      <w:spacing w:after="120"/>
      <w:ind w:firstLine="357"/>
      <w:jc w:val="both"/>
    </w:pPr>
    <w:rPr>
      <w:rFonts w:ascii="Verdana" w:hAnsi="Verdana"/>
      <w:sz w:val="20"/>
      <w:szCs w:val="20"/>
      <w:lang w:val="en-US"/>
    </w:rPr>
  </w:style>
  <w:style w:type="character" w:customStyle="1" w:styleId="Estilo2Car">
    <w:name w:val="Estilo2 Car"/>
    <w:link w:val="Estilo2"/>
    <w:rsid w:val="00D22B93"/>
    <w:rPr>
      <w:rFonts w:ascii="Verdana" w:eastAsia="Calibri" w:hAnsi="Verdana" w:cs="Times New Roman"/>
      <w:sz w:val="20"/>
      <w:szCs w:val="20"/>
      <w:lang w:val="en-US"/>
    </w:rPr>
  </w:style>
  <w:style w:type="paragraph" w:customStyle="1" w:styleId="Segundosubtitle">
    <w:name w:val="Segundo subtitle"/>
    <w:link w:val="SegundosubtitleChar"/>
    <w:qFormat/>
    <w:rsid w:val="00D22B93"/>
    <w:pPr>
      <w:numPr>
        <w:numId w:val="4"/>
      </w:numPr>
      <w:contextualSpacing/>
      <w:jc w:val="both"/>
    </w:pPr>
    <w:rPr>
      <w:rFonts w:ascii="Verdana" w:eastAsia="Helvetica" w:hAnsi="Verdana" w:cs="Times New Roman"/>
      <w:sz w:val="20"/>
      <w:szCs w:val="20"/>
      <w:lang w:val="en-US"/>
    </w:rPr>
  </w:style>
  <w:style w:type="character" w:customStyle="1" w:styleId="SegundosubtitleChar">
    <w:name w:val="Segundo subtitle Char"/>
    <w:link w:val="Segundosubtitle"/>
    <w:rsid w:val="00D22B93"/>
    <w:rPr>
      <w:rFonts w:ascii="Verdana" w:eastAsia="Helvetica" w:hAnsi="Verdana" w:cs="Times New Roman"/>
      <w:sz w:val="20"/>
      <w:szCs w:val="20"/>
      <w:lang w:val="en-US"/>
    </w:rPr>
  </w:style>
  <w:style w:type="paragraph" w:customStyle="1" w:styleId="NormalNumbered">
    <w:name w:val="Normal Numbered"/>
    <w:basedOn w:val="Normal"/>
    <w:link w:val="NormalNumberedChar"/>
    <w:qFormat/>
    <w:rsid w:val="00D22B93"/>
    <w:pPr>
      <w:numPr>
        <w:numId w:val="5"/>
      </w:numPr>
      <w:ind w:left="0" w:firstLine="0"/>
      <w:jc w:val="both"/>
    </w:pPr>
    <w:rPr>
      <w:rFonts w:ascii="Verdana" w:eastAsia="Times New Roman" w:hAnsi="Verdana"/>
      <w:sz w:val="20"/>
      <w:szCs w:val="20"/>
      <w:lang w:val="en-US"/>
    </w:rPr>
  </w:style>
  <w:style w:type="character" w:customStyle="1" w:styleId="NormalNumberedChar">
    <w:name w:val="Normal Numbered Char"/>
    <w:link w:val="NormalNumbered"/>
    <w:rsid w:val="00D22B93"/>
    <w:rPr>
      <w:rFonts w:ascii="Verdana" w:eastAsia="Times New Roman" w:hAnsi="Verdana" w:cs="Times New Roman"/>
      <w:sz w:val="20"/>
      <w:szCs w:val="20"/>
      <w:lang w:val="en-US"/>
    </w:rPr>
  </w:style>
  <w:style w:type="paragraph" w:customStyle="1" w:styleId="Numberedparagraphs">
    <w:name w:val="Numbered paragraphs"/>
    <w:basedOn w:val="Normal"/>
    <w:qFormat/>
    <w:rsid w:val="00D22B93"/>
    <w:pPr>
      <w:numPr>
        <w:numId w:val="6"/>
      </w:numPr>
      <w:spacing w:after="200"/>
      <w:jc w:val="both"/>
    </w:pPr>
    <w:rPr>
      <w:rFonts w:ascii="Verdana" w:eastAsia="MS Mincho" w:hAnsi="Verdana"/>
      <w:color w:val="000000"/>
      <w:sz w:val="20"/>
      <w:szCs w:val="20"/>
    </w:rPr>
  </w:style>
  <w:style w:type="paragraph" w:customStyle="1" w:styleId="Default">
    <w:name w:val="Default"/>
    <w:rsid w:val="00D22B93"/>
    <w:pPr>
      <w:autoSpaceDE w:val="0"/>
      <w:autoSpaceDN w:val="0"/>
      <w:adjustRightInd w:val="0"/>
      <w:spacing w:after="0" w:line="240" w:lineRule="auto"/>
    </w:pPr>
    <w:rPr>
      <w:rFonts w:ascii="Verdana" w:hAnsi="Verdana" w:cs="Verdana"/>
      <w:color w:val="000000"/>
      <w:sz w:val="24"/>
      <w:szCs w:val="24"/>
      <w:lang w:val="en-US"/>
    </w:rPr>
  </w:style>
  <w:style w:type="paragraph" w:styleId="NormalWeb">
    <w:name w:val="Normal (Web)"/>
    <w:aliases w:val="Normal (Web) Char1,Normal (Web) Char Char,Normal (Web) Char1 Char,Normal (Web) Char Char Char"/>
    <w:basedOn w:val="Normal"/>
    <w:uiPriority w:val="99"/>
    <w:unhideWhenUsed/>
    <w:rsid w:val="00D22B93"/>
    <w:pPr>
      <w:spacing w:before="100" w:beforeAutospacing="1" w:after="100" w:afterAutospacing="1"/>
    </w:pPr>
    <w:rPr>
      <w:rFonts w:eastAsia="Times New Roman"/>
      <w:lang w:val="en-US"/>
    </w:rPr>
  </w:style>
  <w:style w:type="character" w:customStyle="1" w:styleId="A5">
    <w:name w:val="A5"/>
    <w:uiPriority w:val="99"/>
    <w:rsid w:val="00D22B93"/>
    <w:rPr>
      <w:rFonts w:cs="Eurostile"/>
      <w:color w:val="000000"/>
    </w:rPr>
  </w:style>
  <w:style w:type="character" w:customStyle="1" w:styleId="ListParagraphChar1">
    <w:name w:val="List Paragraph Char1"/>
    <w:aliases w:val="Footnote Char1,List Paragraph1 Char1,Colorful List - Accent 11 Char1"/>
    <w:uiPriority w:val="34"/>
    <w:locked/>
    <w:rsid w:val="00D22B93"/>
    <w:rPr>
      <w:rFonts w:ascii="Arial" w:eastAsia="Calibri" w:hAnsi="Arial" w:cs="Times New Roman"/>
      <w:sz w:val="24"/>
      <w:szCs w:val="20"/>
    </w:rPr>
  </w:style>
  <w:style w:type="paragraph" w:styleId="BodyText">
    <w:name w:val="Body Text"/>
    <w:basedOn w:val="Normal"/>
    <w:link w:val="BodyTextChar"/>
    <w:uiPriority w:val="99"/>
    <w:unhideWhenUsed/>
    <w:rsid w:val="00D22B93"/>
    <w:pPr>
      <w:spacing w:after="120"/>
    </w:pPr>
  </w:style>
  <w:style w:type="character" w:customStyle="1" w:styleId="BodyTextChar">
    <w:name w:val="Body Text Char"/>
    <w:basedOn w:val="DefaultParagraphFont"/>
    <w:link w:val="BodyText"/>
    <w:uiPriority w:val="99"/>
    <w:rsid w:val="00D22B93"/>
    <w:rPr>
      <w:rFonts w:ascii="Times New Roman" w:eastAsia="Calibri" w:hAnsi="Times New Roman" w:cs="Times New Roman"/>
      <w:sz w:val="24"/>
      <w:szCs w:val="24"/>
      <w:lang w:val="es-ES_tradnl"/>
    </w:rPr>
  </w:style>
  <w:style w:type="paragraph" w:customStyle="1" w:styleId="Prrafodelista2">
    <w:name w:val="Párrafo de lista2"/>
    <w:basedOn w:val="Normal"/>
    <w:uiPriority w:val="99"/>
    <w:qFormat/>
    <w:rsid w:val="00D22B93"/>
    <w:pPr>
      <w:ind w:left="720"/>
    </w:pPr>
    <w:rPr>
      <w:rFonts w:ascii="Verdana" w:eastAsia="MS Mincho" w:hAnsi="Verdana"/>
      <w:sz w:val="20"/>
      <w:szCs w:val="20"/>
    </w:rPr>
  </w:style>
  <w:style w:type="paragraph" w:customStyle="1" w:styleId="Normal1">
    <w:name w:val="Normal1"/>
    <w:qFormat/>
    <w:rsid w:val="00D22B93"/>
    <w:pPr>
      <w:tabs>
        <w:tab w:val="num" w:pos="1247"/>
      </w:tabs>
      <w:autoSpaceDE w:val="0"/>
      <w:autoSpaceDN w:val="0"/>
      <w:adjustRightInd w:val="0"/>
      <w:contextualSpacing/>
      <w:jc w:val="both"/>
    </w:pPr>
    <w:rPr>
      <w:rFonts w:ascii="Verdana" w:eastAsia="Times New Roman" w:hAnsi="Verdana" w:cs="Times New Roman"/>
      <w:sz w:val="20"/>
      <w:szCs w:val="20"/>
    </w:rPr>
  </w:style>
  <w:style w:type="character" w:styleId="Strong">
    <w:name w:val="Strong"/>
    <w:basedOn w:val="DefaultParagraphFont"/>
    <w:uiPriority w:val="22"/>
    <w:qFormat/>
    <w:rsid w:val="00D22B93"/>
    <w:rPr>
      <w:b/>
      <w:bCs/>
    </w:rPr>
  </w:style>
  <w:style w:type="paragraph" w:styleId="Title">
    <w:name w:val="Title"/>
    <w:basedOn w:val="Normal"/>
    <w:link w:val="TitleChar"/>
    <w:qFormat/>
    <w:rsid w:val="00D22B93"/>
    <w:pPr>
      <w:jc w:val="center"/>
    </w:pPr>
    <w:rPr>
      <w:rFonts w:ascii="Garamond" w:eastAsia="Times New Roman" w:hAnsi="Garamond"/>
      <w:b/>
      <w:szCs w:val="20"/>
      <w:lang w:eastAsia="es-ES" w:bidi="en-US"/>
    </w:rPr>
  </w:style>
  <w:style w:type="character" w:customStyle="1" w:styleId="TitleChar">
    <w:name w:val="Title Char"/>
    <w:basedOn w:val="DefaultParagraphFont"/>
    <w:link w:val="Title"/>
    <w:rsid w:val="00D22B93"/>
    <w:rPr>
      <w:rFonts w:ascii="Garamond" w:eastAsia="Times New Roman" w:hAnsi="Garamond" w:cs="Times New Roman"/>
      <w:b/>
      <w:sz w:val="24"/>
      <w:szCs w:val="20"/>
      <w:lang w:val="es-ES_tradnl" w:eastAsia="es-ES" w:bidi="en-US"/>
    </w:rPr>
  </w:style>
  <w:style w:type="character" w:customStyle="1" w:styleId="apple-style-span">
    <w:name w:val="apple-style-span"/>
    <w:basedOn w:val="DefaultParagraphFont"/>
    <w:rsid w:val="00D22B93"/>
    <w:rPr>
      <w:rFonts w:cs="Times New Roman"/>
    </w:rPr>
  </w:style>
  <w:style w:type="paragraph" w:customStyle="1" w:styleId="Sangradetindependiente">
    <w:name w:val="SangrÃa de t. independiente"/>
    <w:basedOn w:val="Normal"/>
    <w:rsid w:val="00D22B93"/>
    <w:pPr>
      <w:spacing w:line="360" w:lineRule="atLeast"/>
    </w:pPr>
    <w:rPr>
      <w:rFonts w:ascii="Arial" w:eastAsia="Batang" w:hAnsi="Arial"/>
      <w:szCs w:val="20"/>
    </w:rPr>
  </w:style>
  <w:style w:type="character" w:customStyle="1" w:styleId="sb8d990e2">
    <w:name w:val="sb8d990e2"/>
    <w:basedOn w:val="DefaultParagraphFont"/>
    <w:rsid w:val="00D22B93"/>
  </w:style>
  <w:style w:type="character" w:customStyle="1" w:styleId="s6b621b36">
    <w:name w:val="s6b621b36"/>
    <w:basedOn w:val="DefaultParagraphFont"/>
    <w:rsid w:val="00D22B93"/>
  </w:style>
  <w:style w:type="character" w:customStyle="1" w:styleId="ListParagraphChar2">
    <w:name w:val="List Paragraph Char2"/>
    <w:basedOn w:val="DefaultParagraphFont"/>
    <w:locked/>
    <w:rsid w:val="00D22B93"/>
    <w:rPr>
      <w:rFonts w:ascii="Verdana" w:eastAsia="Times New Roman" w:hAnsi="Verdana"/>
      <w:szCs w:val="24"/>
      <w:lang w:val="es-ES_tradnl" w:eastAsia="en-US"/>
    </w:rPr>
  </w:style>
  <w:style w:type="character" w:customStyle="1" w:styleId="FootnoteReference1">
    <w:name w:val="Footnote Reference1"/>
    <w:rsid w:val="00D22B93"/>
    <w:rPr>
      <w:color w:val="000000"/>
      <w:sz w:val="22"/>
      <w:vertAlign w:val="superscript"/>
    </w:rPr>
  </w:style>
  <w:style w:type="paragraph" w:customStyle="1" w:styleId="FootnoteText1">
    <w:name w:val="Footnote Text1"/>
    <w:rsid w:val="00D22B93"/>
    <w:pPr>
      <w:spacing w:after="0" w:line="240" w:lineRule="auto"/>
    </w:pPr>
    <w:rPr>
      <w:rFonts w:ascii="Lucida Grande" w:eastAsia="ヒラギノ角ゴ Pro W3" w:hAnsi="Lucida Grande" w:cs="Times New Roman"/>
      <w:color w:val="000000"/>
      <w:sz w:val="20"/>
      <w:szCs w:val="20"/>
      <w:lang w:val="en-US"/>
    </w:rPr>
  </w:style>
  <w:style w:type="paragraph" w:customStyle="1" w:styleId="Estilo4">
    <w:name w:val="Estilo4"/>
    <w:basedOn w:val="ListParagraph"/>
    <w:qFormat/>
    <w:rsid w:val="00D22B93"/>
    <w:pPr>
      <w:numPr>
        <w:ilvl w:val="1"/>
        <w:numId w:val="7"/>
      </w:numPr>
      <w:tabs>
        <w:tab w:val="num" w:pos="360"/>
      </w:tabs>
      <w:spacing w:after="120"/>
      <w:ind w:left="0" w:firstLine="357"/>
      <w:contextualSpacing w:val="0"/>
      <w:jc w:val="both"/>
    </w:pPr>
    <w:rPr>
      <w:rFonts w:ascii="Verdana" w:eastAsiaTheme="minorHAnsi" w:hAnsi="Verdana" w:cstheme="minorBidi"/>
      <w:spacing w:val="-2"/>
      <w:sz w:val="22"/>
      <w:szCs w:val="22"/>
      <w:lang w:val="es-CR"/>
    </w:rPr>
  </w:style>
  <w:style w:type="character" w:styleId="LineNumber">
    <w:name w:val="line number"/>
    <w:basedOn w:val="DefaultParagraphFont"/>
    <w:uiPriority w:val="99"/>
    <w:semiHidden/>
    <w:unhideWhenUsed/>
    <w:rsid w:val="00D22B93"/>
  </w:style>
  <w:style w:type="paragraph" w:customStyle="1" w:styleId="xmsonormal">
    <w:name w:val="x_msonormal"/>
    <w:basedOn w:val="Normal"/>
    <w:rsid w:val="00D22B93"/>
    <w:pPr>
      <w:spacing w:before="100" w:beforeAutospacing="1" w:after="100" w:afterAutospacing="1"/>
    </w:pPr>
    <w:rPr>
      <w:rFonts w:eastAsia="Times New Roman"/>
      <w:lang w:val="en-US"/>
    </w:rPr>
  </w:style>
  <w:style w:type="paragraph" w:styleId="Revision">
    <w:name w:val="Revision"/>
    <w:hidden/>
    <w:uiPriority w:val="99"/>
    <w:semiHidden/>
    <w:rsid w:val="00D22B93"/>
    <w:pPr>
      <w:spacing w:after="0" w:line="240" w:lineRule="auto"/>
    </w:pPr>
    <w:rPr>
      <w:rFonts w:ascii="Times New Roman" w:eastAsia="Calibri" w:hAnsi="Times New Roman" w:cs="Times New Roman"/>
      <w:sz w:val="24"/>
      <w:szCs w:val="24"/>
      <w:lang w:val="es-ES_tradnl"/>
    </w:rPr>
  </w:style>
  <w:style w:type="character" w:customStyle="1" w:styleId="PrrafodelistaCar1">
    <w:name w:val="Párrafo de lista Car1"/>
    <w:aliases w:val="Colorful List - Accent 11 Car"/>
    <w:uiPriority w:val="99"/>
    <w:locked/>
    <w:rsid w:val="00D22B93"/>
    <w:rPr>
      <w:rFonts w:ascii="Verdana" w:eastAsia="Times New Roman" w:hAnsi="Verdana"/>
      <w:lang w:val="es-ES_tradnl"/>
    </w:rPr>
  </w:style>
  <w:style w:type="paragraph" w:customStyle="1" w:styleId="2Footnotes">
    <w:name w:val="2. Footnotes"/>
    <w:basedOn w:val="FootnoteText"/>
    <w:link w:val="2FootnotesChar"/>
    <w:autoRedefine/>
    <w:qFormat/>
    <w:rsid w:val="00D22B93"/>
    <w:pPr>
      <w:tabs>
        <w:tab w:val="clear" w:pos="567"/>
      </w:tabs>
      <w:spacing w:before="120"/>
    </w:pPr>
    <w:rPr>
      <w:rFonts w:eastAsia="Times New Roman" w:cs="Palatino-Italic"/>
      <w:iCs/>
      <w:noProof/>
      <w:szCs w:val="18"/>
      <w:lang w:eastAsia="en-US"/>
    </w:rPr>
  </w:style>
  <w:style w:type="character" w:customStyle="1" w:styleId="2FootnotesChar">
    <w:name w:val="2. Footnotes Char"/>
    <w:basedOn w:val="DefaultParagraphFont"/>
    <w:link w:val="2Footnotes"/>
    <w:rsid w:val="00D22B93"/>
    <w:rPr>
      <w:rFonts w:ascii="Verdana" w:eastAsia="Times New Roman" w:hAnsi="Verdana" w:cs="Palatino-Italic"/>
      <w:iCs/>
      <w:noProof/>
      <w:sz w:val="16"/>
      <w:szCs w:val="18"/>
      <w:lang w:val="es-ES"/>
    </w:rPr>
  </w:style>
  <w:style w:type="paragraph" w:customStyle="1" w:styleId="default0">
    <w:name w:val="default"/>
    <w:basedOn w:val="Normal"/>
    <w:rsid w:val="00D22B93"/>
    <w:pPr>
      <w:spacing w:before="100" w:beforeAutospacing="1" w:after="100" w:afterAutospacing="1"/>
    </w:pPr>
    <w:rPr>
      <w:rFonts w:eastAsia="Times New Roman"/>
      <w:lang w:val="en-US"/>
    </w:rPr>
  </w:style>
  <w:style w:type="character" w:styleId="FollowedHyperlink">
    <w:name w:val="FollowedHyperlink"/>
    <w:basedOn w:val="DefaultParagraphFont"/>
    <w:uiPriority w:val="99"/>
    <w:semiHidden/>
    <w:unhideWhenUsed/>
    <w:rsid w:val="00D22B93"/>
    <w:rPr>
      <w:color w:val="800080" w:themeColor="followedHyperlink"/>
      <w:u w:val="single"/>
    </w:rPr>
  </w:style>
  <w:style w:type="paragraph" w:styleId="TOC5">
    <w:name w:val="toc 5"/>
    <w:basedOn w:val="Normal"/>
    <w:next w:val="Normal"/>
    <w:autoRedefine/>
    <w:uiPriority w:val="39"/>
    <w:unhideWhenUsed/>
    <w:rsid w:val="00DE338C"/>
    <w:pPr>
      <w:spacing w:after="100"/>
      <w:ind w:left="960"/>
    </w:pPr>
  </w:style>
  <w:style w:type="paragraph" w:styleId="TOC6">
    <w:name w:val="toc 6"/>
    <w:basedOn w:val="Normal"/>
    <w:next w:val="Normal"/>
    <w:autoRedefine/>
    <w:uiPriority w:val="39"/>
    <w:unhideWhenUsed/>
    <w:rsid w:val="00DE338C"/>
    <w:pPr>
      <w:spacing w:after="100" w:line="276" w:lineRule="auto"/>
      <w:ind w:left="1100"/>
    </w:pPr>
    <w:rPr>
      <w:rFonts w:asciiTheme="minorHAnsi" w:eastAsiaTheme="minorEastAsia" w:hAnsiTheme="minorHAnsi" w:cstheme="minorBidi"/>
      <w:sz w:val="22"/>
      <w:szCs w:val="22"/>
      <w:lang w:val="es-CR" w:eastAsia="es-CR"/>
    </w:rPr>
  </w:style>
  <w:style w:type="paragraph" w:styleId="TOC7">
    <w:name w:val="toc 7"/>
    <w:basedOn w:val="Normal"/>
    <w:next w:val="Normal"/>
    <w:autoRedefine/>
    <w:uiPriority w:val="39"/>
    <w:unhideWhenUsed/>
    <w:rsid w:val="00DE338C"/>
    <w:pPr>
      <w:spacing w:after="100" w:line="276" w:lineRule="auto"/>
      <w:ind w:left="1320"/>
    </w:pPr>
    <w:rPr>
      <w:rFonts w:asciiTheme="minorHAnsi" w:eastAsiaTheme="minorEastAsia" w:hAnsiTheme="minorHAnsi" w:cstheme="minorBidi"/>
      <w:sz w:val="22"/>
      <w:szCs w:val="22"/>
      <w:lang w:val="es-CR" w:eastAsia="es-CR"/>
    </w:rPr>
  </w:style>
  <w:style w:type="paragraph" w:styleId="TOC8">
    <w:name w:val="toc 8"/>
    <w:basedOn w:val="Normal"/>
    <w:next w:val="Normal"/>
    <w:autoRedefine/>
    <w:uiPriority w:val="39"/>
    <w:unhideWhenUsed/>
    <w:rsid w:val="00DE338C"/>
    <w:pPr>
      <w:spacing w:after="100" w:line="276" w:lineRule="auto"/>
      <w:ind w:left="1540"/>
    </w:pPr>
    <w:rPr>
      <w:rFonts w:asciiTheme="minorHAnsi" w:eastAsiaTheme="minorEastAsia" w:hAnsiTheme="minorHAnsi" w:cstheme="minorBidi"/>
      <w:sz w:val="22"/>
      <w:szCs w:val="22"/>
      <w:lang w:val="es-CR" w:eastAsia="es-CR"/>
    </w:rPr>
  </w:style>
  <w:style w:type="paragraph" w:styleId="TOC9">
    <w:name w:val="toc 9"/>
    <w:basedOn w:val="Normal"/>
    <w:next w:val="Normal"/>
    <w:autoRedefine/>
    <w:uiPriority w:val="39"/>
    <w:unhideWhenUsed/>
    <w:rsid w:val="00DE338C"/>
    <w:pPr>
      <w:spacing w:after="100" w:line="276" w:lineRule="auto"/>
      <w:ind w:left="1760"/>
    </w:pPr>
    <w:rPr>
      <w:rFonts w:asciiTheme="minorHAnsi" w:eastAsiaTheme="minorEastAsia" w:hAnsiTheme="minorHAnsi" w:cstheme="minorBidi"/>
      <w:sz w:val="22"/>
      <w:szCs w:val="22"/>
      <w:lang w:val="es-CR"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93"/>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D22B93"/>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22B9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22B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421366"/>
    <w:pPr>
      <w:keepNext/>
      <w:keepLines/>
      <w:ind w:left="1416"/>
      <w:jc w:val="both"/>
      <w:outlineLvl w:val="3"/>
    </w:pPr>
    <w:rPr>
      <w:rFonts w:ascii="Verdana" w:eastAsiaTheme="majorEastAsia" w:hAnsi="Verdana" w:cstheme="majorBidi"/>
      <w:b/>
      <w:bCs/>
      <w:i/>
      <w:iCs/>
      <w:sz w:val="20"/>
      <w:szCs w:val="22"/>
      <w:lang w:val="es-CR"/>
    </w:rPr>
  </w:style>
  <w:style w:type="paragraph" w:styleId="Heading5">
    <w:name w:val="heading 5"/>
    <w:basedOn w:val="Normal"/>
    <w:next w:val="Normal"/>
    <w:link w:val="Heading5Char"/>
    <w:uiPriority w:val="9"/>
    <w:unhideWhenUsed/>
    <w:qFormat/>
    <w:rsid w:val="00D22B9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2B93"/>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D22B93"/>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D22B93"/>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D22B93"/>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421366"/>
    <w:rPr>
      <w:rFonts w:ascii="Verdana" w:eastAsiaTheme="majorEastAsia" w:hAnsi="Verdana" w:cstheme="majorBidi"/>
      <w:b/>
      <w:bCs/>
      <w:i/>
      <w:iCs/>
      <w:sz w:val="20"/>
    </w:rPr>
  </w:style>
  <w:style w:type="character" w:customStyle="1" w:styleId="Heading5Char">
    <w:name w:val="Heading 5 Char"/>
    <w:basedOn w:val="DefaultParagraphFont"/>
    <w:link w:val="Heading5"/>
    <w:uiPriority w:val="9"/>
    <w:rsid w:val="00D22B93"/>
    <w:rPr>
      <w:rFonts w:asciiTheme="majorHAnsi" w:eastAsiaTheme="majorEastAsia" w:hAnsiTheme="majorHAnsi" w:cstheme="majorBidi"/>
      <w:color w:val="243F60" w:themeColor="accent1" w:themeShade="7F"/>
      <w:sz w:val="24"/>
      <w:szCs w:val="24"/>
      <w:lang w:val="es-ES_tradnl"/>
    </w:rPr>
  </w:style>
  <w:style w:type="character" w:customStyle="1" w:styleId="Heading6Char">
    <w:name w:val="Heading 6 Char"/>
    <w:basedOn w:val="DefaultParagraphFont"/>
    <w:link w:val="Heading6"/>
    <w:uiPriority w:val="9"/>
    <w:rsid w:val="00D22B93"/>
    <w:rPr>
      <w:rFonts w:asciiTheme="majorHAnsi" w:eastAsiaTheme="majorEastAsia" w:hAnsiTheme="majorHAnsi" w:cstheme="majorBidi"/>
      <w:i/>
      <w:iCs/>
      <w:color w:val="243F60" w:themeColor="accent1" w:themeShade="7F"/>
      <w:lang w:val="en-US"/>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B15331"/>
    <w:pPr>
      <w:tabs>
        <w:tab w:val="left" w:pos="567"/>
      </w:tabs>
      <w:jc w:val="both"/>
    </w:pPr>
    <w:rPr>
      <w:rFonts w:ascii="Verdana" w:eastAsia="Batang" w:hAnsi="Verdana"/>
      <w:sz w:val="16"/>
      <w:szCs w:val="16"/>
      <w:lang w:val="es-ES"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B15331"/>
    <w:rPr>
      <w:rFonts w:ascii="Verdana" w:eastAsia="Batang" w:hAnsi="Verdana" w:cs="Times New Roman"/>
      <w:sz w:val="16"/>
      <w:szCs w:val="16"/>
      <w:lang w:val="es-ES" w:eastAsia="es-ES"/>
    </w:rPr>
  </w:style>
  <w:style w:type="paragraph" w:customStyle="1" w:styleId="Footnotes">
    <w:name w:val="**. Footnotes"/>
    <w:basedOn w:val="FootnoteText"/>
    <w:link w:val="FootnotesChar"/>
    <w:autoRedefine/>
    <w:qFormat/>
    <w:rsid w:val="00D22B93"/>
    <w:pPr>
      <w:spacing w:before="120"/>
    </w:pPr>
    <w:rPr>
      <w:rFonts w:cs="Palatino-Italic"/>
      <w:iCs/>
      <w:lang w:eastAsia="en-US"/>
    </w:rPr>
  </w:style>
  <w:style w:type="character" w:customStyle="1" w:styleId="FootnotesChar">
    <w:name w:val="**. Footnotes Char"/>
    <w:basedOn w:val="DefaultParagraphFont"/>
    <w:link w:val="Footnotes"/>
    <w:rsid w:val="00D22B93"/>
    <w:rPr>
      <w:rFonts w:ascii="Verdana" w:eastAsia="Batang" w:hAnsi="Verdana" w:cs="Palatino-Italic"/>
      <w:iCs/>
      <w:sz w:val="16"/>
      <w:szCs w:val="16"/>
      <w:lang w:val="es-ES"/>
    </w:rPr>
  </w:style>
  <w:style w:type="paragraph" w:customStyle="1" w:styleId="PrrafodeSentencia">
    <w:name w:val="*. Párrafo de Sentencia"/>
    <w:basedOn w:val="ListParagraph"/>
    <w:link w:val="PrrafodeSentenciaChar"/>
    <w:autoRedefine/>
    <w:qFormat/>
    <w:rsid w:val="00D22B93"/>
    <w:pPr>
      <w:numPr>
        <w:numId w:val="1"/>
      </w:numPr>
      <w:spacing w:before="120" w:after="120"/>
      <w:ind w:left="0" w:firstLine="0"/>
      <w:contextualSpacing w:val="0"/>
      <w:jc w:val="both"/>
    </w:pPr>
    <w:rPr>
      <w:rFonts w:ascii="Verdana" w:eastAsia="Batang" w:hAnsi="Verdana"/>
      <w:sz w:val="20"/>
      <w:szCs w:val="20"/>
      <w:lang w:val="es-MX" w:eastAsia="es-MX"/>
    </w:rPr>
  </w:style>
  <w:style w:type="paragraph" w:styleId="ListParagraph">
    <w:name w:val="List Paragraph"/>
    <w:aliases w:val="Párrafo de lista1,Footnote,List Paragraph2,Lista vistosa - Énfasis 11"/>
    <w:basedOn w:val="Normal"/>
    <w:link w:val="ListParagraphChar"/>
    <w:uiPriority w:val="34"/>
    <w:qFormat/>
    <w:rsid w:val="00D22B93"/>
    <w:pPr>
      <w:ind w:left="720"/>
      <w:contextualSpacing/>
    </w:pPr>
  </w:style>
  <w:style w:type="character" w:customStyle="1" w:styleId="ListParagraphChar">
    <w:name w:val="List Paragraph Char"/>
    <w:aliases w:val="Párrafo de lista1 Char,Footnote Char,List Paragraph2 Char,Lista vistosa - Énfasis 11 Char,Colorful List - Accent 11 Char"/>
    <w:basedOn w:val="DefaultParagraphFont"/>
    <w:link w:val="ListParagraph"/>
    <w:uiPriority w:val="34"/>
    <w:locked/>
    <w:rsid w:val="00D22B93"/>
    <w:rPr>
      <w:rFonts w:ascii="Times New Roman" w:eastAsia="Calibri" w:hAnsi="Times New Roman" w:cs="Times New Roman"/>
      <w:sz w:val="24"/>
      <w:szCs w:val="24"/>
      <w:lang w:val="es-ES_tradnl"/>
    </w:rPr>
  </w:style>
  <w:style w:type="character" w:customStyle="1" w:styleId="PrrafodeSentenciaChar">
    <w:name w:val="*. Párrafo de Sentencia Char"/>
    <w:basedOn w:val="DefaultParagraphFont"/>
    <w:link w:val="PrrafodeSentencia"/>
    <w:rsid w:val="00D22B93"/>
    <w:rPr>
      <w:rFonts w:ascii="Verdana" w:eastAsia="Batang" w:hAnsi="Verdana" w:cs="Times New Roman"/>
      <w:sz w:val="20"/>
      <w:szCs w:val="20"/>
      <w:lang w:val="es-MX" w:eastAsia="es-MX"/>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uiPriority w:val="99"/>
    <w:qFormat/>
    <w:rsid w:val="00D22B93"/>
    <w:rPr>
      <w:rFonts w:ascii="Verdana" w:hAnsi="Verdana" w:cs="Times New Roman"/>
      <w:sz w:val="20"/>
      <w:vertAlign w:val="superscript"/>
    </w:rPr>
  </w:style>
  <w:style w:type="character" w:styleId="Hyperlink">
    <w:name w:val="Hyperlink"/>
    <w:aliases w:val="Heading 3 caso"/>
    <w:uiPriority w:val="99"/>
    <w:rsid w:val="00D22B93"/>
    <w:rPr>
      <w:rFonts w:cs="Times New Roman"/>
      <w:color w:val="0000FF"/>
      <w:u w:val="single"/>
    </w:rPr>
  </w:style>
  <w:style w:type="paragraph" w:styleId="TOC1">
    <w:name w:val="toc 1"/>
    <w:basedOn w:val="Normal"/>
    <w:next w:val="Normal"/>
    <w:autoRedefine/>
    <w:uiPriority w:val="39"/>
    <w:unhideWhenUsed/>
    <w:rsid w:val="001D2BE2"/>
    <w:pPr>
      <w:tabs>
        <w:tab w:val="left" w:pos="142"/>
        <w:tab w:val="right" w:leader="dot" w:pos="8828"/>
      </w:tabs>
      <w:ind w:left="142"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19552C"/>
    <w:pPr>
      <w:tabs>
        <w:tab w:val="left" w:pos="720"/>
        <w:tab w:val="right" w:leader="dot" w:pos="8789"/>
      </w:tabs>
      <w:ind w:left="238"/>
      <w:jc w:val="both"/>
    </w:pPr>
  </w:style>
  <w:style w:type="paragraph" w:styleId="TOC3">
    <w:name w:val="toc 3"/>
    <w:basedOn w:val="Normal"/>
    <w:next w:val="Normal"/>
    <w:autoRedefine/>
    <w:uiPriority w:val="39"/>
    <w:unhideWhenUsed/>
    <w:rsid w:val="00D22B93"/>
    <w:pPr>
      <w:tabs>
        <w:tab w:val="right" w:leader="dot" w:pos="8828"/>
      </w:tabs>
      <w:spacing w:before="60" w:after="60"/>
      <w:ind w:left="482"/>
      <w:contextualSpacing/>
    </w:pPr>
  </w:style>
  <w:style w:type="paragraph" w:styleId="TOC4">
    <w:name w:val="toc 4"/>
    <w:basedOn w:val="Normal"/>
    <w:next w:val="Normal"/>
    <w:autoRedefine/>
    <w:uiPriority w:val="39"/>
    <w:unhideWhenUsed/>
    <w:rsid w:val="00D22B93"/>
    <w:pPr>
      <w:spacing w:after="100"/>
      <w:ind w:left="720"/>
    </w:pPr>
  </w:style>
  <w:style w:type="paragraph" w:customStyle="1" w:styleId="citaindirecta">
    <w:name w:val="cita indirecta"/>
    <w:basedOn w:val="Normal"/>
    <w:rsid w:val="00D22B93"/>
    <w:pPr>
      <w:ind w:left="708"/>
      <w:jc w:val="both"/>
    </w:pPr>
    <w:rPr>
      <w:rFonts w:ascii="Verdana" w:eastAsia="Times New Roman" w:hAnsi="Verdana"/>
      <w:sz w:val="20"/>
      <w:szCs w:val="20"/>
    </w:rPr>
  </w:style>
  <w:style w:type="paragraph" w:customStyle="1" w:styleId="ListParagraph1">
    <w:name w:val="List Paragraph1"/>
    <w:aliases w:val="Colorful List - Accent 11"/>
    <w:basedOn w:val="Normal"/>
    <w:uiPriority w:val="99"/>
    <w:qFormat/>
    <w:rsid w:val="00D22B93"/>
    <w:pPr>
      <w:spacing w:after="200" w:line="276" w:lineRule="auto"/>
      <w:ind w:left="720"/>
    </w:pPr>
    <w:rPr>
      <w:rFonts w:eastAsia="Times New Roman"/>
      <w:szCs w:val="22"/>
      <w:lang w:val="en-US"/>
    </w:rPr>
  </w:style>
  <w:style w:type="character" w:customStyle="1" w:styleId="Estilo1Car">
    <w:name w:val="Estilo1 Car"/>
    <w:link w:val="Estilo1"/>
    <w:locked/>
    <w:rsid w:val="00D22B93"/>
    <w:rPr>
      <w:rFonts w:ascii="Verdana" w:hAnsi="Verdana"/>
    </w:rPr>
  </w:style>
  <w:style w:type="paragraph" w:customStyle="1" w:styleId="Estilo1">
    <w:name w:val="Estilo1"/>
    <w:basedOn w:val="Normal"/>
    <w:link w:val="Estilo1Car"/>
    <w:qFormat/>
    <w:rsid w:val="00D22B93"/>
    <w:pPr>
      <w:tabs>
        <w:tab w:val="left" w:pos="567"/>
        <w:tab w:val="left" w:pos="1134"/>
        <w:tab w:val="num" w:pos="6042"/>
      </w:tabs>
      <w:spacing w:after="120"/>
      <w:jc w:val="both"/>
    </w:pPr>
    <w:rPr>
      <w:rFonts w:ascii="Verdana" w:eastAsiaTheme="minorHAnsi" w:hAnsi="Verdana" w:cstheme="minorBidi"/>
      <w:sz w:val="22"/>
      <w:szCs w:val="22"/>
      <w:lang w:val="es-CR"/>
    </w:rPr>
  </w:style>
  <w:style w:type="paragraph" w:customStyle="1" w:styleId="Estilo5">
    <w:name w:val="Estilo5"/>
    <w:basedOn w:val="Normal"/>
    <w:link w:val="Estilo5Car"/>
    <w:rsid w:val="00D22B93"/>
    <w:pPr>
      <w:keepNext/>
      <w:numPr>
        <w:numId w:val="3"/>
      </w:numPr>
      <w:tabs>
        <w:tab w:val="left" w:pos="426"/>
        <w:tab w:val="left" w:pos="567"/>
        <w:tab w:val="left" w:pos="1134"/>
      </w:tabs>
      <w:spacing w:after="120"/>
      <w:ind w:right="-91"/>
      <w:jc w:val="both"/>
    </w:pPr>
    <w:rPr>
      <w:rFonts w:ascii="Verdana" w:eastAsia="Batang" w:hAnsi="Verdana"/>
      <w:b/>
      <w:i/>
      <w:sz w:val="20"/>
      <w:szCs w:val="20"/>
    </w:rPr>
  </w:style>
  <w:style w:type="character" w:customStyle="1" w:styleId="Estilo5Car">
    <w:name w:val="Estilo5 Car"/>
    <w:link w:val="Estilo5"/>
    <w:rsid w:val="00D22B93"/>
    <w:rPr>
      <w:rFonts w:ascii="Verdana" w:eastAsia="Batang" w:hAnsi="Verdana" w:cs="Times New Roman"/>
      <w:b/>
      <w:i/>
      <w:sz w:val="20"/>
      <w:szCs w:val="20"/>
      <w:lang w:val="es-ES_tradnl"/>
    </w:rPr>
  </w:style>
  <w:style w:type="paragraph" w:customStyle="1" w:styleId="Estilo6">
    <w:name w:val="Estilo6"/>
    <w:basedOn w:val="Normal"/>
    <w:link w:val="Estilo6Car"/>
    <w:qFormat/>
    <w:rsid w:val="00D22B93"/>
    <w:pPr>
      <w:tabs>
        <w:tab w:val="left" w:pos="709"/>
        <w:tab w:val="left" w:pos="851"/>
        <w:tab w:val="left" w:pos="1134"/>
      </w:tabs>
      <w:autoSpaceDE w:val="0"/>
      <w:autoSpaceDN w:val="0"/>
      <w:adjustRightInd w:val="0"/>
      <w:spacing w:after="120"/>
      <w:ind w:left="714" w:right="-91" w:hanging="357"/>
    </w:pPr>
    <w:rPr>
      <w:rFonts w:ascii="Verdana" w:hAnsi="Verdana"/>
      <w:b/>
      <w:i/>
      <w:sz w:val="20"/>
      <w:szCs w:val="20"/>
      <w:lang w:eastAsia="es-MX"/>
    </w:rPr>
  </w:style>
  <w:style w:type="character" w:customStyle="1" w:styleId="Estilo6Car">
    <w:name w:val="Estilo6 Car"/>
    <w:link w:val="Estilo6"/>
    <w:rsid w:val="00D22B93"/>
    <w:rPr>
      <w:rFonts w:ascii="Verdana" w:eastAsia="Calibri" w:hAnsi="Verdana" w:cs="Times New Roman"/>
      <w:b/>
      <w:i/>
      <w:sz w:val="20"/>
      <w:szCs w:val="20"/>
      <w:lang w:val="es-ES_tradnl" w:eastAsia="es-MX"/>
    </w:rPr>
  </w:style>
  <w:style w:type="paragraph" w:customStyle="1" w:styleId="Estilo7">
    <w:name w:val="Estilo7"/>
    <w:basedOn w:val="Normal"/>
    <w:qFormat/>
    <w:rsid w:val="00D22B93"/>
    <w:pPr>
      <w:numPr>
        <w:ilvl w:val="2"/>
        <w:numId w:val="2"/>
      </w:numPr>
      <w:tabs>
        <w:tab w:val="left" w:pos="567"/>
        <w:tab w:val="left" w:pos="851"/>
      </w:tabs>
      <w:spacing w:before="120" w:after="120"/>
      <w:jc w:val="both"/>
    </w:pPr>
    <w:rPr>
      <w:rFonts w:ascii="Verdana" w:eastAsia="Batang" w:hAnsi="Verdana"/>
      <w:b/>
      <w:i/>
      <w:sz w:val="20"/>
      <w:szCs w:val="20"/>
      <w:lang w:eastAsia="es-MX"/>
    </w:rPr>
  </w:style>
  <w:style w:type="paragraph" w:customStyle="1" w:styleId="TOCHeading1">
    <w:name w:val="TOC Heading1"/>
    <w:basedOn w:val="Heading1"/>
    <w:next w:val="Normal"/>
    <w:uiPriority w:val="39"/>
    <w:unhideWhenUsed/>
    <w:qFormat/>
    <w:rsid w:val="00D22B93"/>
    <w:pPr>
      <w:spacing w:line="276" w:lineRule="auto"/>
      <w:outlineLvl w:val="9"/>
    </w:pPr>
    <w:rPr>
      <w:rFonts w:eastAsia="MS Gothic"/>
      <w:lang w:val="en-US"/>
    </w:rPr>
  </w:style>
  <w:style w:type="paragraph" w:styleId="BalloonText">
    <w:name w:val="Balloon Text"/>
    <w:basedOn w:val="Normal"/>
    <w:link w:val="BalloonTextChar"/>
    <w:uiPriority w:val="99"/>
    <w:semiHidden/>
    <w:unhideWhenUsed/>
    <w:rsid w:val="00D22B93"/>
    <w:rPr>
      <w:rFonts w:ascii="Tahoma" w:hAnsi="Tahoma" w:cs="Tahoma"/>
      <w:sz w:val="16"/>
      <w:szCs w:val="16"/>
    </w:rPr>
  </w:style>
  <w:style w:type="character" w:customStyle="1" w:styleId="BalloonTextChar">
    <w:name w:val="Balloon Text Char"/>
    <w:basedOn w:val="DefaultParagraphFont"/>
    <w:link w:val="BalloonText"/>
    <w:uiPriority w:val="99"/>
    <w:semiHidden/>
    <w:rsid w:val="00D22B93"/>
    <w:rPr>
      <w:rFonts w:ascii="Tahoma" w:eastAsia="Calibri" w:hAnsi="Tahoma" w:cs="Tahoma"/>
      <w:sz w:val="16"/>
      <w:szCs w:val="16"/>
      <w:lang w:val="es-ES_tradnl"/>
    </w:rPr>
  </w:style>
  <w:style w:type="paragraph" w:styleId="Header">
    <w:name w:val="header"/>
    <w:basedOn w:val="Normal"/>
    <w:link w:val="HeaderChar"/>
    <w:uiPriority w:val="99"/>
    <w:unhideWhenUsed/>
    <w:rsid w:val="00D22B93"/>
    <w:pPr>
      <w:tabs>
        <w:tab w:val="center" w:pos="4419"/>
        <w:tab w:val="right" w:pos="8838"/>
      </w:tabs>
    </w:pPr>
  </w:style>
  <w:style w:type="character" w:customStyle="1" w:styleId="HeaderChar">
    <w:name w:val="Header Char"/>
    <w:basedOn w:val="DefaultParagraphFont"/>
    <w:link w:val="Header"/>
    <w:uiPriority w:val="99"/>
    <w:rsid w:val="00D22B93"/>
    <w:rPr>
      <w:rFonts w:ascii="Times New Roman" w:eastAsia="Calibri" w:hAnsi="Times New Roman" w:cs="Times New Roman"/>
      <w:sz w:val="24"/>
      <w:szCs w:val="24"/>
      <w:lang w:val="es-ES_tradnl"/>
    </w:rPr>
  </w:style>
  <w:style w:type="paragraph" w:styleId="Footer">
    <w:name w:val="footer"/>
    <w:basedOn w:val="Normal"/>
    <w:link w:val="FooterChar"/>
    <w:uiPriority w:val="99"/>
    <w:unhideWhenUsed/>
    <w:rsid w:val="00D22B93"/>
    <w:pPr>
      <w:tabs>
        <w:tab w:val="center" w:pos="4419"/>
        <w:tab w:val="right" w:pos="8838"/>
      </w:tabs>
    </w:pPr>
  </w:style>
  <w:style w:type="character" w:customStyle="1" w:styleId="FooterChar">
    <w:name w:val="Footer Char"/>
    <w:basedOn w:val="DefaultParagraphFont"/>
    <w:link w:val="Footer"/>
    <w:uiPriority w:val="99"/>
    <w:rsid w:val="00D22B93"/>
    <w:rPr>
      <w:rFonts w:ascii="Times New Roman" w:eastAsia="Calibri" w:hAnsi="Times New Roman" w:cs="Times New Roman"/>
      <w:sz w:val="24"/>
      <w:szCs w:val="24"/>
      <w:lang w:val="es-ES_tradnl"/>
    </w:rPr>
  </w:style>
  <w:style w:type="paragraph" w:styleId="BodyText2">
    <w:name w:val="Body Text 2"/>
    <w:basedOn w:val="Normal"/>
    <w:link w:val="BodyText2Char"/>
    <w:uiPriority w:val="99"/>
    <w:unhideWhenUsed/>
    <w:rsid w:val="00D22B93"/>
    <w:pPr>
      <w:spacing w:after="120" w:line="480" w:lineRule="auto"/>
      <w:jc w:val="both"/>
    </w:pPr>
    <w:rPr>
      <w:rFonts w:ascii="Calibri" w:hAnsi="Calibri"/>
      <w:sz w:val="20"/>
      <w:szCs w:val="20"/>
      <w:lang w:val="en-US"/>
    </w:rPr>
  </w:style>
  <w:style w:type="character" w:customStyle="1" w:styleId="BodyText2Char">
    <w:name w:val="Body Text 2 Char"/>
    <w:basedOn w:val="DefaultParagraphFont"/>
    <w:link w:val="BodyText2"/>
    <w:uiPriority w:val="99"/>
    <w:rsid w:val="00D22B93"/>
    <w:rPr>
      <w:rFonts w:ascii="Calibri" w:eastAsia="Calibri" w:hAnsi="Calibri" w:cs="Times New Roman"/>
      <w:sz w:val="20"/>
      <w:szCs w:val="20"/>
      <w:lang w:val="en-US"/>
    </w:rPr>
  </w:style>
  <w:style w:type="character" w:styleId="CommentReference">
    <w:name w:val="annotation reference"/>
    <w:basedOn w:val="DefaultParagraphFont"/>
    <w:unhideWhenUsed/>
    <w:rsid w:val="00D22B93"/>
    <w:rPr>
      <w:sz w:val="16"/>
      <w:szCs w:val="16"/>
    </w:rPr>
  </w:style>
  <w:style w:type="character" w:customStyle="1" w:styleId="CommentTextChar">
    <w:name w:val="Comment Text Char"/>
    <w:basedOn w:val="DefaultParagraphFont"/>
    <w:link w:val="CommentText"/>
    <w:rsid w:val="00D22B93"/>
    <w:rPr>
      <w:rFonts w:ascii="Times New Roman" w:eastAsia="Calibri" w:hAnsi="Times New Roman" w:cs="Times New Roman"/>
      <w:sz w:val="20"/>
      <w:szCs w:val="20"/>
      <w:lang w:val="es-ES_tradnl"/>
    </w:rPr>
  </w:style>
  <w:style w:type="paragraph" w:styleId="CommentText">
    <w:name w:val="annotation text"/>
    <w:basedOn w:val="Normal"/>
    <w:link w:val="CommentTextChar"/>
    <w:unhideWhenUsed/>
    <w:rsid w:val="00D22B93"/>
    <w:rPr>
      <w:sz w:val="20"/>
      <w:szCs w:val="20"/>
    </w:rPr>
  </w:style>
  <w:style w:type="character" w:customStyle="1" w:styleId="TextocomentarioCar1">
    <w:name w:val="Texto comentario Car1"/>
    <w:basedOn w:val="DefaultParagraphFont"/>
    <w:uiPriority w:val="99"/>
    <w:semiHidden/>
    <w:rsid w:val="00D22B93"/>
    <w:rPr>
      <w:rFonts w:ascii="Times New Roman" w:eastAsia="Calibri" w:hAnsi="Times New Roman" w:cs="Times New Roman"/>
      <w:sz w:val="20"/>
      <w:szCs w:val="20"/>
      <w:lang w:val="es-ES_tradnl"/>
    </w:rPr>
  </w:style>
  <w:style w:type="character" w:customStyle="1" w:styleId="CommentSubjectChar">
    <w:name w:val="Comment Subject Char"/>
    <w:basedOn w:val="CommentTextChar"/>
    <w:link w:val="CommentSubject"/>
    <w:uiPriority w:val="99"/>
    <w:semiHidden/>
    <w:rsid w:val="00D22B93"/>
    <w:rPr>
      <w:rFonts w:ascii="Times New Roman" w:eastAsia="Calibri" w:hAnsi="Times New Roman" w:cs="Times New Roman"/>
      <w:b/>
      <w:bCs/>
      <w:sz w:val="20"/>
      <w:szCs w:val="20"/>
      <w:lang w:val="es-ES_tradnl"/>
    </w:rPr>
  </w:style>
  <w:style w:type="paragraph" w:styleId="CommentSubject">
    <w:name w:val="annotation subject"/>
    <w:basedOn w:val="CommentText"/>
    <w:next w:val="CommentText"/>
    <w:link w:val="CommentSubjectChar"/>
    <w:uiPriority w:val="99"/>
    <w:semiHidden/>
    <w:unhideWhenUsed/>
    <w:rsid w:val="00D22B93"/>
    <w:rPr>
      <w:b/>
      <w:bCs/>
    </w:rPr>
  </w:style>
  <w:style w:type="character" w:customStyle="1" w:styleId="AsuntodelcomentarioCar1">
    <w:name w:val="Asunto del comentario Car1"/>
    <w:basedOn w:val="TextocomentarioCar1"/>
    <w:uiPriority w:val="99"/>
    <w:semiHidden/>
    <w:rsid w:val="00D22B93"/>
    <w:rPr>
      <w:rFonts w:ascii="Times New Roman" w:eastAsia="Calibri" w:hAnsi="Times New Roman" w:cs="Times New Roman"/>
      <w:b/>
      <w:bCs/>
      <w:sz w:val="20"/>
      <w:szCs w:val="20"/>
      <w:lang w:val="es-ES_tradnl"/>
    </w:rPr>
  </w:style>
  <w:style w:type="character" w:customStyle="1" w:styleId="apple-converted-space">
    <w:name w:val="apple-converted-space"/>
    <w:basedOn w:val="DefaultParagraphFont"/>
    <w:rsid w:val="00D22B93"/>
  </w:style>
  <w:style w:type="paragraph" w:styleId="NoSpacing">
    <w:name w:val="No Spacing"/>
    <w:uiPriority w:val="1"/>
    <w:qFormat/>
    <w:rsid w:val="00D22B93"/>
    <w:pPr>
      <w:spacing w:after="0" w:line="240" w:lineRule="auto"/>
    </w:pPr>
    <w:rPr>
      <w:rFonts w:ascii="Calibri" w:eastAsia="Calibri" w:hAnsi="Calibri" w:cs="Times New Roman"/>
      <w:lang w:val="en-US"/>
    </w:rPr>
  </w:style>
  <w:style w:type="paragraph" w:customStyle="1" w:styleId="Estilo2">
    <w:name w:val="Estilo2"/>
    <w:basedOn w:val="Normal"/>
    <w:link w:val="Estilo2Car"/>
    <w:qFormat/>
    <w:rsid w:val="00D22B93"/>
    <w:pPr>
      <w:tabs>
        <w:tab w:val="left" w:pos="567"/>
        <w:tab w:val="left" w:pos="1134"/>
        <w:tab w:val="num" w:pos="4767"/>
      </w:tabs>
      <w:spacing w:after="120"/>
      <w:ind w:firstLine="357"/>
      <w:jc w:val="both"/>
    </w:pPr>
    <w:rPr>
      <w:rFonts w:ascii="Verdana" w:hAnsi="Verdana"/>
      <w:sz w:val="20"/>
      <w:szCs w:val="20"/>
      <w:lang w:val="en-US"/>
    </w:rPr>
  </w:style>
  <w:style w:type="character" w:customStyle="1" w:styleId="Estilo2Car">
    <w:name w:val="Estilo2 Car"/>
    <w:link w:val="Estilo2"/>
    <w:rsid w:val="00D22B93"/>
    <w:rPr>
      <w:rFonts w:ascii="Verdana" w:eastAsia="Calibri" w:hAnsi="Verdana" w:cs="Times New Roman"/>
      <w:sz w:val="20"/>
      <w:szCs w:val="20"/>
      <w:lang w:val="en-US"/>
    </w:rPr>
  </w:style>
  <w:style w:type="paragraph" w:customStyle="1" w:styleId="Segundosubtitle">
    <w:name w:val="Segundo subtitle"/>
    <w:link w:val="SegundosubtitleChar"/>
    <w:qFormat/>
    <w:rsid w:val="00D22B93"/>
    <w:pPr>
      <w:numPr>
        <w:numId w:val="4"/>
      </w:numPr>
      <w:contextualSpacing/>
      <w:jc w:val="both"/>
    </w:pPr>
    <w:rPr>
      <w:rFonts w:ascii="Verdana" w:eastAsia="Helvetica" w:hAnsi="Verdana" w:cs="Times New Roman"/>
      <w:sz w:val="20"/>
      <w:szCs w:val="20"/>
      <w:lang w:val="en-US"/>
    </w:rPr>
  </w:style>
  <w:style w:type="character" w:customStyle="1" w:styleId="SegundosubtitleChar">
    <w:name w:val="Segundo subtitle Char"/>
    <w:link w:val="Segundosubtitle"/>
    <w:rsid w:val="00D22B93"/>
    <w:rPr>
      <w:rFonts w:ascii="Verdana" w:eastAsia="Helvetica" w:hAnsi="Verdana" w:cs="Times New Roman"/>
      <w:sz w:val="20"/>
      <w:szCs w:val="20"/>
      <w:lang w:val="en-US"/>
    </w:rPr>
  </w:style>
  <w:style w:type="paragraph" w:customStyle="1" w:styleId="NormalNumbered">
    <w:name w:val="Normal Numbered"/>
    <w:basedOn w:val="Normal"/>
    <w:link w:val="NormalNumberedChar"/>
    <w:qFormat/>
    <w:rsid w:val="00D22B93"/>
    <w:pPr>
      <w:numPr>
        <w:numId w:val="5"/>
      </w:numPr>
      <w:ind w:left="0" w:firstLine="0"/>
      <w:jc w:val="both"/>
    </w:pPr>
    <w:rPr>
      <w:rFonts w:ascii="Verdana" w:eastAsia="Times New Roman" w:hAnsi="Verdana"/>
      <w:sz w:val="20"/>
      <w:szCs w:val="20"/>
      <w:lang w:val="en-US"/>
    </w:rPr>
  </w:style>
  <w:style w:type="character" w:customStyle="1" w:styleId="NormalNumberedChar">
    <w:name w:val="Normal Numbered Char"/>
    <w:link w:val="NormalNumbered"/>
    <w:rsid w:val="00D22B93"/>
    <w:rPr>
      <w:rFonts w:ascii="Verdana" w:eastAsia="Times New Roman" w:hAnsi="Verdana" w:cs="Times New Roman"/>
      <w:sz w:val="20"/>
      <w:szCs w:val="20"/>
      <w:lang w:val="en-US"/>
    </w:rPr>
  </w:style>
  <w:style w:type="paragraph" w:customStyle="1" w:styleId="Numberedparagraphs">
    <w:name w:val="Numbered paragraphs"/>
    <w:basedOn w:val="Normal"/>
    <w:qFormat/>
    <w:rsid w:val="00D22B93"/>
    <w:pPr>
      <w:numPr>
        <w:numId w:val="6"/>
      </w:numPr>
      <w:spacing w:after="200"/>
      <w:jc w:val="both"/>
    </w:pPr>
    <w:rPr>
      <w:rFonts w:ascii="Verdana" w:eastAsia="MS Mincho" w:hAnsi="Verdana"/>
      <w:color w:val="000000"/>
      <w:sz w:val="20"/>
      <w:szCs w:val="20"/>
    </w:rPr>
  </w:style>
  <w:style w:type="paragraph" w:customStyle="1" w:styleId="Default">
    <w:name w:val="Default"/>
    <w:rsid w:val="00D22B93"/>
    <w:pPr>
      <w:autoSpaceDE w:val="0"/>
      <w:autoSpaceDN w:val="0"/>
      <w:adjustRightInd w:val="0"/>
      <w:spacing w:after="0" w:line="240" w:lineRule="auto"/>
    </w:pPr>
    <w:rPr>
      <w:rFonts w:ascii="Verdana" w:hAnsi="Verdana" w:cs="Verdana"/>
      <w:color w:val="000000"/>
      <w:sz w:val="24"/>
      <w:szCs w:val="24"/>
      <w:lang w:val="en-US"/>
    </w:rPr>
  </w:style>
  <w:style w:type="paragraph" w:styleId="NormalWeb">
    <w:name w:val="Normal (Web)"/>
    <w:aliases w:val="Normal (Web) Char1,Normal (Web) Char Char,Normal (Web) Char1 Char,Normal (Web) Char Char Char"/>
    <w:basedOn w:val="Normal"/>
    <w:uiPriority w:val="99"/>
    <w:unhideWhenUsed/>
    <w:rsid w:val="00D22B93"/>
    <w:pPr>
      <w:spacing w:before="100" w:beforeAutospacing="1" w:after="100" w:afterAutospacing="1"/>
    </w:pPr>
    <w:rPr>
      <w:rFonts w:eastAsia="Times New Roman"/>
      <w:lang w:val="en-US"/>
    </w:rPr>
  </w:style>
  <w:style w:type="character" w:customStyle="1" w:styleId="A5">
    <w:name w:val="A5"/>
    <w:uiPriority w:val="99"/>
    <w:rsid w:val="00D22B93"/>
    <w:rPr>
      <w:rFonts w:cs="Eurostile"/>
      <w:color w:val="000000"/>
    </w:rPr>
  </w:style>
  <w:style w:type="character" w:customStyle="1" w:styleId="ListParagraphChar1">
    <w:name w:val="List Paragraph Char1"/>
    <w:aliases w:val="Footnote Char1,List Paragraph1 Char1,Colorful List - Accent 11 Char1"/>
    <w:uiPriority w:val="34"/>
    <w:locked/>
    <w:rsid w:val="00D22B93"/>
    <w:rPr>
      <w:rFonts w:ascii="Arial" w:eastAsia="Calibri" w:hAnsi="Arial" w:cs="Times New Roman"/>
      <w:sz w:val="24"/>
      <w:szCs w:val="20"/>
    </w:rPr>
  </w:style>
  <w:style w:type="paragraph" w:styleId="BodyText">
    <w:name w:val="Body Text"/>
    <w:basedOn w:val="Normal"/>
    <w:link w:val="BodyTextChar"/>
    <w:uiPriority w:val="99"/>
    <w:unhideWhenUsed/>
    <w:rsid w:val="00D22B93"/>
    <w:pPr>
      <w:spacing w:after="120"/>
    </w:pPr>
  </w:style>
  <w:style w:type="character" w:customStyle="1" w:styleId="BodyTextChar">
    <w:name w:val="Body Text Char"/>
    <w:basedOn w:val="DefaultParagraphFont"/>
    <w:link w:val="BodyText"/>
    <w:uiPriority w:val="99"/>
    <w:rsid w:val="00D22B93"/>
    <w:rPr>
      <w:rFonts w:ascii="Times New Roman" w:eastAsia="Calibri" w:hAnsi="Times New Roman" w:cs="Times New Roman"/>
      <w:sz w:val="24"/>
      <w:szCs w:val="24"/>
      <w:lang w:val="es-ES_tradnl"/>
    </w:rPr>
  </w:style>
  <w:style w:type="paragraph" w:customStyle="1" w:styleId="Prrafodelista2">
    <w:name w:val="Párrafo de lista2"/>
    <w:basedOn w:val="Normal"/>
    <w:uiPriority w:val="99"/>
    <w:qFormat/>
    <w:rsid w:val="00D22B93"/>
    <w:pPr>
      <w:ind w:left="720"/>
    </w:pPr>
    <w:rPr>
      <w:rFonts w:ascii="Verdana" w:eastAsia="MS Mincho" w:hAnsi="Verdana"/>
      <w:sz w:val="20"/>
      <w:szCs w:val="20"/>
    </w:rPr>
  </w:style>
  <w:style w:type="paragraph" w:customStyle="1" w:styleId="Normal1">
    <w:name w:val="Normal1"/>
    <w:qFormat/>
    <w:rsid w:val="00D22B93"/>
    <w:pPr>
      <w:tabs>
        <w:tab w:val="num" w:pos="1247"/>
      </w:tabs>
      <w:autoSpaceDE w:val="0"/>
      <w:autoSpaceDN w:val="0"/>
      <w:adjustRightInd w:val="0"/>
      <w:contextualSpacing/>
      <w:jc w:val="both"/>
    </w:pPr>
    <w:rPr>
      <w:rFonts w:ascii="Verdana" w:eastAsia="Times New Roman" w:hAnsi="Verdana" w:cs="Times New Roman"/>
      <w:sz w:val="20"/>
      <w:szCs w:val="20"/>
    </w:rPr>
  </w:style>
  <w:style w:type="character" w:styleId="Strong">
    <w:name w:val="Strong"/>
    <w:basedOn w:val="DefaultParagraphFont"/>
    <w:uiPriority w:val="22"/>
    <w:qFormat/>
    <w:rsid w:val="00D22B93"/>
    <w:rPr>
      <w:b/>
      <w:bCs/>
    </w:rPr>
  </w:style>
  <w:style w:type="paragraph" w:styleId="Title">
    <w:name w:val="Title"/>
    <w:basedOn w:val="Normal"/>
    <w:link w:val="TitleChar"/>
    <w:qFormat/>
    <w:rsid w:val="00D22B93"/>
    <w:pPr>
      <w:jc w:val="center"/>
    </w:pPr>
    <w:rPr>
      <w:rFonts w:ascii="Garamond" w:eastAsia="Times New Roman" w:hAnsi="Garamond"/>
      <w:b/>
      <w:szCs w:val="20"/>
      <w:lang w:eastAsia="es-ES" w:bidi="en-US"/>
    </w:rPr>
  </w:style>
  <w:style w:type="character" w:customStyle="1" w:styleId="TitleChar">
    <w:name w:val="Title Char"/>
    <w:basedOn w:val="DefaultParagraphFont"/>
    <w:link w:val="Title"/>
    <w:rsid w:val="00D22B93"/>
    <w:rPr>
      <w:rFonts w:ascii="Garamond" w:eastAsia="Times New Roman" w:hAnsi="Garamond" w:cs="Times New Roman"/>
      <w:b/>
      <w:sz w:val="24"/>
      <w:szCs w:val="20"/>
      <w:lang w:val="es-ES_tradnl" w:eastAsia="es-ES" w:bidi="en-US"/>
    </w:rPr>
  </w:style>
  <w:style w:type="character" w:customStyle="1" w:styleId="apple-style-span">
    <w:name w:val="apple-style-span"/>
    <w:basedOn w:val="DefaultParagraphFont"/>
    <w:rsid w:val="00D22B93"/>
    <w:rPr>
      <w:rFonts w:cs="Times New Roman"/>
    </w:rPr>
  </w:style>
  <w:style w:type="paragraph" w:customStyle="1" w:styleId="Sangradetindependiente">
    <w:name w:val="SangrÃa de t. independiente"/>
    <w:basedOn w:val="Normal"/>
    <w:rsid w:val="00D22B93"/>
    <w:pPr>
      <w:spacing w:line="360" w:lineRule="atLeast"/>
    </w:pPr>
    <w:rPr>
      <w:rFonts w:ascii="Arial" w:eastAsia="Batang" w:hAnsi="Arial"/>
      <w:szCs w:val="20"/>
    </w:rPr>
  </w:style>
  <w:style w:type="character" w:customStyle="1" w:styleId="sb8d990e2">
    <w:name w:val="sb8d990e2"/>
    <w:basedOn w:val="DefaultParagraphFont"/>
    <w:rsid w:val="00D22B93"/>
  </w:style>
  <w:style w:type="character" w:customStyle="1" w:styleId="s6b621b36">
    <w:name w:val="s6b621b36"/>
    <w:basedOn w:val="DefaultParagraphFont"/>
    <w:rsid w:val="00D22B93"/>
  </w:style>
  <w:style w:type="character" w:customStyle="1" w:styleId="ListParagraphChar2">
    <w:name w:val="List Paragraph Char2"/>
    <w:basedOn w:val="DefaultParagraphFont"/>
    <w:locked/>
    <w:rsid w:val="00D22B93"/>
    <w:rPr>
      <w:rFonts w:ascii="Verdana" w:eastAsia="Times New Roman" w:hAnsi="Verdana"/>
      <w:szCs w:val="24"/>
      <w:lang w:val="es-ES_tradnl" w:eastAsia="en-US"/>
    </w:rPr>
  </w:style>
  <w:style w:type="character" w:customStyle="1" w:styleId="FootnoteReference1">
    <w:name w:val="Footnote Reference1"/>
    <w:rsid w:val="00D22B93"/>
    <w:rPr>
      <w:color w:val="000000"/>
      <w:sz w:val="22"/>
      <w:vertAlign w:val="superscript"/>
    </w:rPr>
  </w:style>
  <w:style w:type="paragraph" w:customStyle="1" w:styleId="FootnoteText1">
    <w:name w:val="Footnote Text1"/>
    <w:rsid w:val="00D22B93"/>
    <w:pPr>
      <w:spacing w:after="0" w:line="240" w:lineRule="auto"/>
    </w:pPr>
    <w:rPr>
      <w:rFonts w:ascii="Lucida Grande" w:eastAsia="ヒラギノ角ゴ Pro W3" w:hAnsi="Lucida Grande" w:cs="Times New Roman"/>
      <w:color w:val="000000"/>
      <w:sz w:val="20"/>
      <w:szCs w:val="20"/>
      <w:lang w:val="en-US"/>
    </w:rPr>
  </w:style>
  <w:style w:type="paragraph" w:customStyle="1" w:styleId="Estilo4">
    <w:name w:val="Estilo4"/>
    <w:basedOn w:val="ListParagraph"/>
    <w:qFormat/>
    <w:rsid w:val="00D22B93"/>
    <w:pPr>
      <w:numPr>
        <w:ilvl w:val="1"/>
        <w:numId w:val="7"/>
      </w:numPr>
      <w:tabs>
        <w:tab w:val="num" w:pos="360"/>
      </w:tabs>
      <w:spacing w:after="120"/>
      <w:ind w:left="0" w:firstLine="357"/>
      <w:contextualSpacing w:val="0"/>
      <w:jc w:val="both"/>
    </w:pPr>
    <w:rPr>
      <w:rFonts w:ascii="Verdana" w:eastAsiaTheme="minorHAnsi" w:hAnsi="Verdana" w:cstheme="minorBidi"/>
      <w:spacing w:val="-2"/>
      <w:sz w:val="22"/>
      <w:szCs w:val="22"/>
      <w:lang w:val="es-CR"/>
    </w:rPr>
  </w:style>
  <w:style w:type="character" w:styleId="LineNumber">
    <w:name w:val="line number"/>
    <w:basedOn w:val="DefaultParagraphFont"/>
    <w:uiPriority w:val="99"/>
    <w:semiHidden/>
    <w:unhideWhenUsed/>
    <w:rsid w:val="00D22B93"/>
  </w:style>
  <w:style w:type="paragraph" w:customStyle="1" w:styleId="xmsonormal">
    <w:name w:val="x_msonormal"/>
    <w:basedOn w:val="Normal"/>
    <w:rsid w:val="00D22B93"/>
    <w:pPr>
      <w:spacing w:before="100" w:beforeAutospacing="1" w:after="100" w:afterAutospacing="1"/>
    </w:pPr>
    <w:rPr>
      <w:rFonts w:eastAsia="Times New Roman"/>
      <w:lang w:val="en-US"/>
    </w:rPr>
  </w:style>
  <w:style w:type="paragraph" w:styleId="Revision">
    <w:name w:val="Revision"/>
    <w:hidden/>
    <w:uiPriority w:val="99"/>
    <w:semiHidden/>
    <w:rsid w:val="00D22B93"/>
    <w:pPr>
      <w:spacing w:after="0" w:line="240" w:lineRule="auto"/>
    </w:pPr>
    <w:rPr>
      <w:rFonts w:ascii="Times New Roman" w:eastAsia="Calibri" w:hAnsi="Times New Roman" w:cs="Times New Roman"/>
      <w:sz w:val="24"/>
      <w:szCs w:val="24"/>
      <w:lang w:val="es-ES_tradnl"/>
    </w:rPr>
  </w:style>
  <w:style w:type="character" w:customStyle="1" w:styleId="PrrafodelistaCar1">
    <w:name w:val="Párrafo de lista Car1"/>
    <w:aliases w:val="Colorful List - Accent 11 Car"/>
    <w:uiPriority w:val="99"/>
    <w:locked/>
    <w:rsid w:val="00D22B93"/>
    <w:rPr>
      <w:rFonts w:ascii="Verdana" w:eastAsia="Times New Roman" w:hAnsi="Verdana"/>
      <w:lang w:val="es-ES_tradnl"/>
    </w:rPr>
  </w:style>
  <w:style w:type="paragraph" w:customStyle="1" w:styleId="2Footnotes">
    <w:name w:val="2. Footnotes"/>
    <w:basedOn w:val="FootnoteText"/>
    <w:link w:val="2FootnotesChar"/>
    <w:autoRedefine/>
    <w:qFormat/>
    <w:rsid w:val="00D22B93"/>
    <w:pPr>
      <w:tabs>
        <w:tab w:val="clear" w:pos="567"/>
      </w:tabs>
      <w:spacing w:before="120"/>
    </w:pPr>
    <w:rPr>
      <w:rFonts w:eastAsia="Times New Roman" w:cs="Palatino-Italic"/>
      <w:iCs/>
      <w:noProof/>
      <w:szCs w:val="18"/>
      <w:lang w:eastAsia="en-US"/>
    </w:rPr>
  </w:style>
  <w:style w:type="character" w:customStyle="1" w:styleId="2FootnotesChar">
    <w:name w:val="2. Footnotes Char"/>
    <w:basedOn w:val="DefaultParagraphFont"/>
    <w:link w:val="2Footnotes"/>
    <w:rsid w:val="00D22B93"/>
    <w:rPr>
      <w:rFonts w:ascii="Verdana" w:eastAsia="Times New Roman" w:hAnsi="Verdana" w:cs="Palatino-Italic"/>
      <w:iCs/>
      <w:noProof/>
      <w:sz w:val="16"/>
      <w:szCs w:val="18"/>
      <w:lang w:val="es-ES"/>
    </w:rPr>
  </w:style>
  <w:style w:type="paragraph" w:customStyle="1" w:styleId="default0">
    <w:name w:val="default"/>
    <w:basedOn w:val="Normal"/>
    <w:rsid w:val="00D22B93"/>
    <w:pPr>
      <w:spacing w:before="100" w:beforeAutospacing="1" w:after="100" w:afterAutospacing="1"/>
    </w:pPr>
    <w:rPr>
      <w:rFonts w:eastAsia="Times New Roman"/>
      <w:lang w:val="en-US"/>
    </w:rPr>
  </w:style>
  <w:style w:type="character" w:styleId="FollowedHyperlink">
    <w:name w:val="FollowedHyperlink"/>
    <w:basedOn w:val="DefaultParagraphFont"/>
    <w:uiPriority w:val="99"/>
    <w:semiHidden/>
    <w:unhideWhenUsed/>
    <w:rsid w:val="00D22B93"/>
    <w:rPr>
      <w:color w:val="800080" w:themeColor="followedHyperlink"/>
      <w:u w:val="single"/>
    </w:rPr>
  </w:style>
  <w:style w:type="paragraph" w:styleId="TOC5">
    <w:name w:val="toc 5"/>
    <w:basedOn w:val="Normal"/>
    <w:next w:val="Normal"/>
    <w:autoRedefine/>
    <w:uiPriority w:val="39"/>
    <w:unhideWhenUsed/>
    <w:rsid w:val="00DE338C"/>
    <w:pPr>
      <w:spacing w:after="100"/>
      <w:ind w:left="960"/>
    </w:pPr>
  </w:style>
  <w:style w:type="paragraph" w:styleId="TOC6">
    <w:name w:val="toc 6"/>
    <w:basedOn w:val="Normal"/>
    <w:next w:val="Normal"/>
    <w:autoRedefine/>
    <w:uiPriority w:val="39"/>
    <w:unhideWhenUsed/>
    <w:rsid w:val="00DE338C"/>
    <w:pPr>
      <w:spacing w:after="100" w:line="276" w:lineRule="auto"/>
      <w:ind w:left="1100"/>
    </w:pPr>
    <w:rPr>
      <w:rFonts w:asciiTheme="minorHAnsi" w:eastAsiaTheme="minorEastAsia" w:hAnsiTheme="minorHAnsi" w:cstheme="minorBidi"/>
      <w:sz w:val="22"/>
      <w:szCs w:val="22"/>
      <w:lang w:val="es-CR" w:eastAsia="es-CR"/>
    </w:rPr>
  </w:style>
  <w:style w:type="paragraph" w:styleId="TOC7">
    <w:name w:val="toc 7"/>
    <w:basedOn w:val="Normal"/>
    <w:next w:val="Normal"/>
    <w:autoRedefine/>
    <w:uiPriority w:val="39"/>
    <w:unhideWhenUsed/>
    <w:rsid w:val="00DE338C"/>
    <w:pPr>
      <w:spacing w:after="100" w:line="276" w:lineRule="auto"/>
      <w:ind w:left="1320"/>
    </w:pPr>
    <w:rPr>
      <w:rFonts w:asciiTheme="minorHAnsi" w:eastAsiaTheme="minorEastAsia" w:hAnsiTheme="minorHAnsi" w:cstheme="minorBidi"/>
      <w:sz w:val="22"/>
      <w:szCs w:val="22"/>
      <w:lang w:val="es-CR" w:eastAsia="es-CR"/>
    </w:rPr>
  </w:style>
  <w:style w:type="paragraph" w:styleId="TOC8">
    <w:name w:val="toc 8"/>
    <w:basedOn w:val="Normal"/>
    <w:next w:val="Normal"/>
    <w:autoRedefine/>
    <w:uiPriority w:val="39"/>
    <w:unhideWhenUsed/>
    <w:rsid w:val="00DE338C"/>
    <w:pPr>
      <w:spacing w:after="100" w:line="276" w:lineRule="auto"/>
      <w:ind w:left="1540"/>
    </w:pPr>
    <w:rPr>
      <w:rFonts w:asciiTheme="minorHAnsi" w:eastAsiaTheme="minorEastAsia" w:hAnsiTheme="minorHAnsi" w:cstheme="minorBidi"/>
      <w:sz w:val="22"/>
      <w:szCs w:val="22"/>
      <w:lang w:val="es-CR" w:eastAsia="es-CR"/>
    </w:rPr>
  </w:style>
  <w:style w:type="paragraph" w:styleId="TOC9">
    <w:name w:val="toc 9"/>
    <w:basedOn w:val="Normal"/>
    <w:next w:val="Normal"/>
    <w:autoRedefine/>
    <w:uiPriority w:val="39"/>
    <w:unhideWhenUsed/>
    <w:rsid w:val="00DE338C"/>
    <w:pPr>
      <w:spacing w:after="100" w:line="276" w:lineRule="auto"/>
      <w:ind w:left="1760"/>
    </w:pPr>
    <w:rPr>
      <w:rFonts w:asciiTheme="minorHAnsi" w:eastAsiaTheme="minorEastAsia" w:hAnsiTheme="minorHAnsi" w:cstheme="minorBid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5206">
      <w:bodyDiv w:val="1"/>
      <w:marLeft w:val="0"/>
      <w:marRight w:val="0"/>
      <w:marTop w:val="0"/>
      <w:marBottom w:val="0"/>
      <w:divBdr>
        <w:top w:val="none" w:sz="0" w:space="0" w:color="auto"/>
        <w:left w:val="none" w:sz="0" w:space="0" w:color="auto"/>
        <w:bottom w:val="none" w:sz="0" w:space="0" w:color="auto"/>
        <w:right w:val="none" w:sz="0" w:space="0" w:color="auto"/>
      </w:divBdr>
    </w:div>
    <w:div w:id="287660522">
      <w:bodyDiv w:val="1"/>
      <w:marLeft w:val="0"/>
      <w:marRight w:val="0"/>
      <w:marTop w:val="0"/>
      <w:marBottom w:val="0"/>
      <w:divBdr>
        <w:top w:val="none" w:sz="0" w:space="0" w:color="auto"/>
        <w:left w:val="none" w:sz="0" w:space="0" w:color="auto"/>
        <w:bottom w:val="none" w:sz="0" w:space="0" w:color="auto"/>
        <w:right w:val="none" w:sz="0" w:space="0" w:color="auto"/>
      </w:divBdr>
    </w:div>
    <w:div w:id="556166800">
      <w:bodyDiv w:val="1"/>
      <w:marLeft w:val="0"/>
      <w:marRight w:val="0"/>
      <w:marTop w:val="0"/>
      <w:marBottom w:val="0"/>
      <w:divBdr>
        <w:top w:val="none" w:sz="0" w:space="0" w:color="auto"/>
        <w:left w:val="none" w:sz="0" w:space="0" w:color="auto"/>
        <w:bottom w:val="none" w:sz="0" w:space="0" w:color="auto"/>
        <w:right w:val="none" w:sz="0" w:space="0" w:color="auto"/>
      </w:divBdr>
    </w:div>
    <w:div w:id="703480908">
      <w:bodyDiv w:val="1"/>
      <w:marLeft w:val="0"/>
      <w:marRight w:val="0"/>
      <w:marTop w:val="0"/>
      <w:marBottom w:val="0"/>
      <w:divBdr>
        <w:top w:val="none" w:sz="0" w:space="0" w:color="auto"/>
        <w:left w:val="none" w:sz="0" w:space="0" w:color="auto"/>
        <w:bottom w:val="none" w:sz="0" w:space="0" w:color="auto"/>
        <w:right w:val="none" w:sz="0" w:space="0" w:color="auto"/>
      </w:divBdr>
    </w:div>
    <w:div w:id="752748164">
      <w:bodyDiv w:val="1"/>
      <w:marLeft w:val="0"/>
      <w:marRight w:val="0"/>
      <w:marTop w:val="0"/>
      <w:marBottom w:val="0"/>
      <w:divBdr>
        <w:top w:val="none" w:sz="0" w:space="0" w:color="auto"/>
        <w:left w:val="none" w:sz="0" w:space="0" w:color="auto"/>
        <w:bottom w:val="none" w:sz="0" w:space="0" w:color="auto"/>
        <w:right w:val="none" w:sz="0" w:space="0" w:color="auto"/>
      </w:divBdr>
    </w:div>
    <w:div w:id="822505057">
      <w:bodyDiv w:val="1"/>
      <w:marLeft w:val="0"/>
      <w:marRight w:val="0"/>
      <w:marTop w:val="0"/>
      <w:marBottom w:val="0"/>
      <w:divBdr>
        <w:top w:val="none" w:sz="0" w:space="0" w:color="auto"/>
        <w:left w:val="none" w:sz="0" w:space="0" w:color="auto"/>
        <w:bottom w:val="none" w:sz="0" w:space="0" w:color="auto"/>
        <w:right w:val="none" w:sz="0" w:space="0" w:color="auto"/>
      </w:divBdr>
    </w:div>
    <w:div w:id="1219971101">
      <w:bodyDiv w:val="1"/>
      <w:marLeft w:val="0"/>
      <w:marRight w:val="0"/>
      <w:marTop w:val="0"/>
      <w:marBottom w:val="0"/>
      <w:divBdr>
        <w:top w:val="none" w:sz="0" w:space="0" w:color="auto"/>
        <w:left w:val="none" w:sz="0" w:space="0" w:color="auto"/>
        <w:bottom w:val="none" w:sz="0" w:space="0" w:color="auto"/>
        <w:right w:val="none" w:sz="0" w:space="0" w:color="auto"/>
      </w:divBdr>
    </w:div>
    <w:div w:id="1635479643">
      <w:bodyDiv w:val="1"/>
      <w:marLeft w:val="0"/>
      <w:marRight w:val="0"/>
      <w:marTop w:val="0"/>
      <w:marBottom w:val="0"/>
      <w:divBdr>
        <w:top w:val="none" w:sz="0" w:space="0" w:color="auto"/>
        <w:left w:val="none" w:sz="0" w:space="0" w:color="auto"/>
        <w:bottom w:val="none" w:sz="0" w:space="0" w:color="auto"/>
        <w:right w:val="none" w:sz="0" w:space="0" w:color="auto"/>
      </w:divBdr>
    </w:div>
    <w:div w:id="1683581624">
      <w:bodyDiv w:val="1"/>
      <w:marLeft w:val="0"/>
      <w:marRight w:val="0"/>
      <w:marTop w:val="0"/>
      <w:marBottom w:val="0"/>
      <w:divBdr>
        <w:top w:val="none" w:sz="0" w:space="0" w:color="auto"/>
        <w:left w:val="none" w:sz="0" w:space="0" w:color="auto"/>
        <w:bottom w:val="none" w:sz="0" w:space="0" w:color="auto"/>
        <w:right w:val="none" w:sz="0" w:space="0" w:color="auto"/>
      </w:divBdr>
    </w:div>
    <w:div w:id="1712879290">
      <w:bodyDiv w:val="1"/>
      <w:marLeft w:val="0"/>
      <w:marRight w:val="0"/>
      <w:marTop w:val="0"/>
      <w:marBottom w:val="0"/>
      <w:divBdr>
        <w:top w:val="none" w:sz="0" w:space="0" w:color="auto"/>
        <w:left w:val="none" w:sz="0" w:space="0" w:color="auto"/>
        <w:bottom w:val="none" w:sz="0" w:space="0" w:color="auto"/>
        <w:right w:val="none" w:sz="0" w:space="0" w:color="auto"/>
      </w:divBdr>
    </w:div>
    <w:div w:id="177401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webSettings" Target="webSettings.xml"/><Relationship Id="rId47" Type="http://schemas.openxmlformats.org/officeDocument/2006/relationships/image" Target="media/image3.jpeg"/><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numbering" Target="numbering.xml"/><Relationship Id="rId46"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settings" Target="setting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microsoft.com/office/2007/relationships/stylesWithEffects" Target="stylesWithEffects.xml"/><Relationship Id="rId45"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endnotes" Target="endnotes.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footnotes" Target="footnotes.xml"/><Relationship Id="rId4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bvsde.paho.org/bvsacd/cd47/etnica.pdf" TargetMode="External"/><Relationship Id="rId13" Type="http://schemas.openxmlformats.org/officeDocument/2006/relationships/hyperlink" Target="http://www.ilo.org/dyn/normlex/en/f?p=NORMLEXPUB:11200:0::NO::P11200_COUNTRY_ID:102675" TargetMode="External"/><Relationship Id="rId18" Type="http://schemas.openxmlformats.org/officeDocument/2006/relationships/hyperlink" Target="http://confdts1.unog.ch/1%20SPA/Tradutek/Derechos_hum_Base/CERD/00_3_obs_grales_CERD.html" TargetMode="External"/><Relationship Id="rId26" Type="http://schemas.openxmlformats.org/officeDocument/2006/relationships/hyperlink" Target="http://mininterior.gov.ar/provincias/formosa/cp-formosa.pdf" TargetMode="External"/><Relationship Id="rId39" Type="http://schemas.openxmlformats.org/officeDocument/2006/relationships/hyperlink" Target="http://www.cne.gob.ve/web/normativa_electoral/constitucion/titulo3.php" TargetMode="External"/><Relationship Id="rId3" Type="http://schemas.openxmlformats.org/officeDocument/2006/relationships/hyperlink" Target="http://www.corteidh.or.cr/docs/asuntos/garifuna_31_07_14.pdf" TargetMode="External"/><Relationship Id="rId21" Type="http://schemas.openxmlformats.org/officeDocument/2006/relationships/hyperlink" Target="http://www.senado.gov.ar/deInteres" TargetMode="External"/><Relationship Id="rId34" Type="http://schemas.openxmlformats.org/officeDocument/2006/relationships/hyperlink" Target="http://www.wipo.int/wipolex/es/text.jsp?file_id=221055" TargetMode="External"/><Relationship Id="rId42" Type="http://schemas.openxmlformats.org/officeDocument/2006/relationships/hyperlink" Target="http://www.ccit.hn/wp-content/uploads/2013/12/Codigo-Pena-Honduras.pdf" TargetMode="External"/><Relationship Id="rId7" Type="http://schemas.openxmlformats.org/officeDocument/2006/relationships/hyperlink" Target="http://siteresources.worldbank.org/EXTINSPECTIONPANEL/Resources/HondurasFINALINVESTIGATIONREPORTSpanishTrad.pdf" TargetMode="External"/><Relationship Id="rId12" Type="http://schemas.openxmlformats.org/officeDocument/2006/relationships/hyperlink" Target="http://www.ilo.org/dyn/normlex/es/f?p=NORMLEXPUB:12100:0::NO::P12100_ILO_CODE:C169" TargetMode="External"/><Relationship Id="rId17" Type="http://schemas.openxmlformats.org/officeDocument/2006/relationships/hyperlink" Target="http://www.un.org/esa/socdev/unpfii/documents/DRIPS_es.pdf" TargetMode="External"/><Relationship Id="rId25" Type="http://schemas.openxmlformats.org/officeDocument/2006/relationships/hyperlink" Target="http://digesto.diputadosalta.gob.ar/leyes/4086.pdf" TargetMode="External"/><Relationship Id="rId33" Type="http://schemas.openxmlformats.org/officeDocument/2006/relationships/hyperlink" Target="http://www.incoder.gov.co/documentos/A%C3%91O_2015/MODIFICACION%20WEB%202015/NORMOGRAMA/Decreto%202164%20de%201995%20-%20Reglamento%20de%20Tierras%20para%20Ind%C3%ADgenas.pdf" TargetMode="External"/><Relationship Id="rId38" Type="http://schemas.openxmlformats.org/officeDocument/2006/relationships/hyperlink" Target="http://www.iadb.org/Research/legislacionindigena/leyn/docs/PERU-Decreto-Ley-22175-78-ley-Comunidades-Nativas-.pdf" TargetMode="External"/><Relationship Id="rId2" Type="http://schemas.openxmlformats.org/officeDocument/2006/relationships/hyperlink" Target="http://www.corteidh.or.cr/docs/medidas/garifuna_se_02.pdf" TargetMode="External"/><Relationship Id="rId16" Type="http://schemas.openxmlformats.org/officeDocument/2006/relationships/hyperlink" Target="http://unesdoc.unesco.org/images/0014/001473/147344s.pdf" TargetMode="External"/><Relationship Id="rId20" Type="http://schemas.openxmlformats.org/officeDocument/2006/relationships/hyperlink" Target="https://www.ccit.hn/wp-content/uploads/2013/12/LEY-DE-PROPIEDAD.pdf" TargetMode="External"/><Relationship Id="rId29" Type="http://schemas.openxmlformats.org/officeDocument/2006/relationships/hyperlink" Target="http://bolivia.infoleyes.com/shownorm.php?id=1274" TargetMode="External"/><Relationship Id="rId41" Type="http://schemas.openxmlformats.org/officeDocument/2006/relationships/hyperlink" Target="https://wcd.coe.int/wcd/ViewDoc.jsp?Ref=CCJE(2010)2&amp;Language=lanEnglish&amp;Ver=original&amp;BackColorInternet=DBDCF2&amp;BackColorIntranet=FDC864&amp;BackColorLogged=FDC864" TargetMode="External"/><Relationship Id="rId1" Type="http://schemas.openxmlformats.org/officeDocument/2006/relationships/hyperlink" Target="http://www.corteidh.or.cr/docs/asuntos/garifuna_fv_14.pdf" TargetMode="External"/><Relationship Id="rId6" Type="http://schemas.openxmlformats.org/officeDocument/2006/relationships/hyperlink" Target="http://www.latribuna.hn/2014/08/20/sustituyen-nueva-ley-de-pesca/" TargetMode="External"/><Relationship Id="rId11" Type="http://schemas.openxmlformats.org/officeDocument/2006/relationships/hyperlink" Target="http://www2.ohchr.org/english/issues/minorities/docs/OFRANEH3a.doc" TargetMode="External"/><Relationship Id="rId24" Type="http://schemas.openxmlformats.org/officeDocument/2006/relationships/hyperlink" Target="http://www.cmagistraturasalta.gov.ar/images/uploads/constitucion-provincial.pdf" TargetMode="External"/><Relationship Id="rId32" Type="http://schemas.openxmlformats.org/officeDocument/2006/relationships/hyperlink" Target="http://www.constitucioncolombia.com/indice.php" TargetMode="External"/><Relationship Id="rId37" Type="http://schemas.openxmlformats.org/officeDocument/2006/relationships/hyperlink" Target="http://spij.minjus.gob.pe/CLP/contenidos.dll/demo/coleccion00000.htm/tomo00006.htm/sumilla00008.htm?f=templates$fn=document-frame.htm$3.0" TargetMode="External"/><Relationship Id="rId40" Type="http://schemas.openxmlformats.org/officeDocument/2006/relationships/hyperlink" Target="http://www.unes.edu.ve/bibliotecaunes/custodia/leyes/ley34.pdf" TargetMode="External"/><Relationship Id="rId5" Type="http://schemas.openxmlformats.org/officeDocument/2006/relationships/hyperlink" Target="http://www.elheraldo.hn/inicio/443116-331/bg-group-iniciara-exploracion-petrolera-en-la-mosquitia-de-honduras" TargetMode="External"/><Relationship Id="rId15" Type="http://schemas.openxmlformats.org/officeDocument/2006/relationships/hyperlink" Target="http://www.ilo.org/indigenous/Conventions/no169/lang--es/index.htm" TargetMode="External"/><Relationship Id="rId23" Type="http://schemas.openxmlformats.org/officeDocument/2006/relationships/hyperlink" Target="http://www.legischubut2.gov.ar/documentos/Constitucion_provincial.pdf" TargetMode="External"/><Relationship Id="rId28" Type="http://schemas.openxmlformats.org/officeDocument/2006/relationships/hyperlink" Target="http://www.harmonywithnatureun.org/content/documents/159Bolivia%20Consitucion.pdf" TargetMode="External"/><Relationship Id="rId36" Type="http://schemas.openxmlformats.org/officeDocument/2006/relationships/hyperlink" Target="http://www.oas.org/juridico/spanish/par_res3.htm" TargetMode="External"/><Relationship Id="rId10" Type="http://schemas.openxmlformats.org/officeDocument/2006/relationships/hyperlink" Target="http://siteresources.worldbank.org/INTLACAFROLATINSINSPA/Resources/Honduras_Final.pdf" TargetMode="External"/><Relationship Id="rId19" Type="http://schemas.openxmlformats.org/officeDocument/2006/relationships/hyperlink" Target="https://spdb.ohchr.org/hrdb/24th/public_-_UA_Nicaragua_10.05.13_(1.2013).pdf" TargetMode="External"/><Relationship Id="rId31" Type="http://schemas.openxmlformats.org/officeDocument/2006/relationships/hyperlink" Target="http://www.leychile.cl/Navegar?idNorma=30620" TargetMode="External"/><Relationship Id="rId4" Type="http://schemas.openxmlformats.org/officeDocument/2006/relationships/hyperlink" Target="http://www.newsinamerica.com/pgint.php?id=10908" TargetMode="External"/><Relationship Id="rId9" Type="http://schemas.openxmlformats.org/officeDocument/2006/relationships/hyperlink" Target="https://ofraneh.wordpress.com/2013/09/18/afrodescendientes-o-garifunas-raza-o-cultura/" TargetMode="External"/><Relationship Id="rId14" Type="http://schemas.openxmlformats.org/officeDocument/2006/relationships/hyperlink" Target="http://www.un.org/esa/socdev/unpfii/documents/DRIPS_es.pdf" TargetMode="External"/><Relationship Id="rId22" Type="http://schemas.openxmlformats.org/officeDocument/2006/relationships/hyperlink" Target="http://www.intertournet.com.ar/argentina/constitucion_chaco.htm" TargetMode="External"/><Relationship Id="rId27" Type="http://schemas.openxmlformats.org/officeDocument/2006/relationships/hyperlink" Target="http://www.diputadosmisiones.gov.ar/digesto_juridico/documentos/218.pdf" TargetMode="External"/><Relationship Id="rId30" Type="http://schemas.openxmlformats.org/officeDocument/2006/relationships/hyperlink" Target="http://www.acnur.org/t3/fileadmin/scripts/doc.php?file=Pdf/0507" TargetMode="External"/><Relationship Id="rId35" Type="http://schemas.openxmlformats.org/officeDocument/2006/relationships/hyperlink" Target="http://www.asambleanacional.gov.ec/documentos/constitucion_de_bolsillo.pdf" TargetMode="External"/><Relationship Id="rId43" Type="http://schemas.openxmlformats.org/officeDocument/2006/relationships/hyperlink" Target="http://www.ccit.hn/wp-content/uploads/2013/12/Codigo-Pena-Hondura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p:properties xmlns:p="http://schemas.microsoft.com/office/2006/metadata/properties" xmlns:xsi="http://www.w3.org/2001/XMLSchema-instance">
  <documentManagement/>
</p:properti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ct:contentTypeSchema xmlns:ct="http://schemas.microsoft.com/office/2006/metadata/contentType" xmlns:ma="http://schemas.microsoft.com/office/2006/metadata/properties/metaAttributes" ct:_="" ma:_="" ma:contentTypeName="Document" ma:contentTypeID="0x010100D015BEBE2BF87F40A76A9C926EBECC0C" ma:contentTypeVersion="0" ma:contentTypeDescription="Create a new document." ma:contentTypeScope="" ma:versionID="ad8069bb81a7b5dc5c766ad6aa2648b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C8B3D-5B0D-4DF3-A64D-C489E117D088}">
  <ds:schemaRefs>
    <ds:schemaRef ds:uri="http://schemas.openxmlformats.org/officeDocument/2006/bibliography"/>
  </ds:schemaRefs>
</ds:datastoreItem>
</file>

<file path=customXml/itemProps10.xml><?xml version="1.0" encoding="utf-8"?>
<ds:datastoreItem xmlns:ds="http://schemas.openxmlformats.org/officeDocument/2006/customXml" ds:itemID="{12695C40-CBD2-4B6A-9273-5B08F6D91AF6}">
  <ds:schemaRefs>
    <ds:schemaRef ds:uri="http://schemas.openxmlformats.org/officeDocument/2006/bibliography"/>
  </ds:schemaRefs>
</ds:datastoreItem>
</file>

<file path=customXml/itemProps11.xml><?xml version="1.0" encoding="utf-8"?>
<ds:datastoreItem xmlns:ds="http://schemas.openxmlformats.org/officeDocument/2006/customXml" ds:itemID="{1AEEB9FC-3E92-420C-8C22-F7ABAFEDF83F}">
  <ds:schemaRefs>
    <ds:schemaRef ds:uri="http://schemas.openxmlformats.org/officeDocument/2006/bibliography"/>
  </ds:schemaRefs>
</ds:datastoreItem>
</file>

<file path=customXml/itemProps12.xml><?xml version="1.0" encoding="utf-8"?>
<ds:datastoreItem xmlns:ds="http://schemas.openxmlformats.org/officeDocument/2006/customXml" ds:itemID="{BBA8E6BA-B741-43CF-BC79-8FC65288088B}">
  <ds:schemaRefs>
    <ds:schemaRef ds:uri="http://schemas.microsoft.com/sharepoint/v3/contenttype/forms"/>
  </ds:schemaRefs>
</ds:datastoreItem>
</file>

<file path=customXml/itemProps13.xml><?xml version="1.0" encoding="utf-8"?>
<ds:datastoreItem xmlns:ds="http://schemas.openxmlformats.org/officeDocument/2006/customXml" ds:itemID="{84FDBC67-49CC-4B0C-89B3-073844517D07}">
  <ds:schemaRefs>
    <ds:schemaRef ds:uri="http://schemas.openxmlformats.org/officeDocument/2006/bibliography"/>
  </ds:schemaRefs>
</ds:datastoreItem>
</file>

<file path=customXml/itemProps14.xml><?xml version="1.0" encoding="utf-8"?>
<ds:datastoreItem xmlns:ds="http://schemas.openxmlformats.org/officeDocument/2006/customXml" ds:itemID="{24DE1A51-4513-4D61-9BFA-F80A6FA5CA7A}">
  <ds:schemaRefs>
    <ds:schemaRef ds:uri="http://schemas.openxmlformats.org/officeDocument/2006/bibliography"/>
  </ds:schemaRefs>
</ds:datastoreItem>
</file>

<file path=customXml/itemProps15.xml><?xml version="1.0" encoding="utf-8"?>
<ds:datastoreItem xmlns:ds="http://schemas.openxmlformats.org/officeDocument/2006/customXml" ds:itemID="{21EBE1BF-FFCB-4E8B-91D7-B29D92A607BF}">
  <ds:schemaRefs>
    <ds:schemaRef ds:uri="http://schemas.microsoft.com/office/2006/metadata/properties"/>
  </ds:schemaRefs>
</ds:datastoreItem>
</file>

<file path=customXml/itemProps16.xml><?xml version="1.0" encoding="utf-8"?>
<ds:datastoreItem xmlns:ds="http://schemas.openxmlformats.org/officeDocument/2006/customXml" ds:itemID="{BDEC7296-CBD6-4138-99BE-7211474FF0E0}">
  <ds:schemaRefs>
    <ds:schemaRef ds:uri="http://schemas.openxmlformats.org/officeDocument/2006/bibliography"/>
  </ds:schemaRefs>
</ds:datastoreItem>
</file>

<file path=customXml/itemProps17.xml><?xml version="1.0" encoding="utf-8"?>
<ds:datastoreItem xmlns:ds="http://schemas.openxmlformats.org/officeDocument/2006/customXml" ds:itemID="{91EA74C9-1813-4F1E-900E-892261B8AD6D}">
  <ds:schemaRefs>
    <ds:schemaRef ds:uri="http://schemas.openxmlformats.org/officeDocument/2006/bibliography"/>
  </ds:schemaRefs>
</ds:datastoreItem>
</file>

<file path=customXml/itemProps18.xml><?xml version="1.0" encoding="utf-8"?>
<ds:datastoreItem xmlns:ds="http://schemas.openxmlformats.org/officeDocument/2006/customXml" ds:itemID="{C92C54E1-E53B-4C1B-BE3C-07ECFA0B31A9}">
  <ds:schemaRefs>
    <ds:schemaRef ds:uri="http://schemas.openxmlformats.org/officeDocument/2006/bibliography"/>
  </ds:schemaRefs>
</ds:datastoreItem>
</file>

<file path=customXml/itemProps19.xml><?xml version="1.0" encoding="utf-8"?>
<ds:datastoreItem xmlns:ds="http://schemas.openxmlformats.org/officeDocument/2006/customXml" ds:itemID="{B27E9638-0C09-4341-BA8D-A76B83036F96}">
  <ds:schemaRefs>
    <ds:schemaRef ds:uri="http://schemas.openxmlformats.org/officeDocument/2006/bibliography"/>
  </ds:schemaRefs>
</ds:datastoreItem>
</file>

<file path=customXml/itemProps2.xml><?xml version="1.0" encoding="utf-8"?>
<ds:datastoreItem xmlns:ds="http://schemas.openxmlformats.org/officeDocument/2006/customXml" ds:itemID="{15BE0B4E-695B-4389-9163-48A9C5A16436}">
  <ds:schemaRefs>
    <ds:schemaRef ds:uri="http://schemas.openxmlformats.org/officeDocument/2006/bibliography"/>
  </ds:schemaRefs>
</ds:datastoreItem>
</file>

<file path=customXml/itemProps20.xml><?xml version="1.0" encoding="utf-8"?>
<ds:datastoreItem xmlns:ds="http://schemas.openxmlformats.org/officeDocument/2006/customXml" ds:itemID="{603F0B3A-909D-4E4D-97B2-F2D38929B661}">
  <ds:schemaRefs>
    <ds:schemaRef ds:uri="http://schemas.openxmlformats.org/officeDocument/2006/bibliography"/>
  </ds:schemaRefs>
</ds:datastoreItem>
</file>

<file path=customXml/itemProps21.xml><?xml version="1.0" encoding="utf-8"?>
<ds:datastoreItem xmlns:ds="http://schemas.openxmlformats.org/officeDocument/2006/customXml" ds:itemID="{FC64AFB5-6A29-4FE6-884F-0B2CCC2460CC}">
  <ds:schemaRefs>
    <ds:schemaRef ds:uri="http://schemas.openxmlformats.org/officeDocument/2006/bibliography"/>
  </ds:schemaRefs>
</ds:datastoreItem>
</file>

<file path=customXml/itemProps22.xml><?xml version="1.0" encoding="utf-8"?>
<ds:datastoreItem xmlns:ds="http://schemas.openxmlformats.org/officeDocument/2006/customXml" ds:itemID="{ED9EF9EB-251F-4887-BD27-B7DAD8925697}">
  <ds:schemaRefs>
    <ds:schemaRef ds:uri="http://schemas.openxmlformats.org/officeDocument/2006/bibliography"/>
  </ds:schemaRefs>
</ds:datastoreItem>
</file>

<file path=customXml/itemProps23.xml><?xml version="1.0" encoding="utf-8"?>
<ds:datastoreItem xmlns:ds="http://schemas.openxmlformats.org/officeDocument/2006/customXml" ds:itemID="{FFC0724E-FAE8-43F4-8E9B-150F7C056D1F}">
  <ds:schemaRefs>
    <ds:schemaRef ds:uri="http://schemas.openxmlformats.org/officeDocument/2006/bibliography"/>
  </ds:schemaRefs>
</ds:datastoreItem>
</file>

<file path=customXml/itemProps24.xml><?xml version="1.0" encoding="utf-8"?>
<ds:datastoreItem xmlns:ds="http://schemas.openxmlformats.org/officeDocument/2006/customXml" ds:itemID="{E2F77DA6-E3FF-4828-81EF-3C26063EFC62}">
  <ds:schemaRefs>
    <ds:schemaRef ds:uri="http://schemas.openxmlformats.org/officeDocument/2006/bibliography"/>
  </ds:schemaRefs>
</ds:datastoreItem>
</file>

<file path=customXml/itemProps25.xml><?xml version="1.0" encoding="utf-8"?>
<ds:datastoreItem xmlns:ds="http://schemas.openxmlformats.org/officeDocument/2006/customXml" ds:itemID="{1F0C6DB3-3C66-46E8-A6B0-CE7976E8A581}">
  <ds:schemaRefs>
    <ds:schemaRef ds:uri="http://schemas.openxmlformats.org/officeDocument/2006/bibliography"/>
  </ds:schemaRefs>
</ds:datastoreItem>
</file>

<file path=customXml/itemProps26.xml><?xml version="1.0" encoding="utf-8"?>
<ds:datastoreItem xmlns:ds="http://schemas.openxmlformats.org/officeDocument/2006/customXml" ds:itemID="{1A6E71A2-9674-4CD7-84EC-CA0F3A1817E1}">
  <ds:schemaRefs>
    <ds:schemaRef ds:uri="http://schemas.openxmlformats.org/officeDocument/2006/bibliography"/>
  </ds:schemaRefs>
</ds:datastoreItem>
</file>

<file path=customXml/itemProps27.xml><?xml version="1.0" encoding="utf-8"?>
<ds:datastoreItem xmlns:ds="http://schemas.openxmlformats.org/officeDocument/2006/customXml" ds:itemID="{064EDD40-3DC4-49B1-9B63-CBC4C3EE9A7C}">
  <ds:schemaRefs>
    <ds:schemaRef ds:uri="http://schemas.openxmlformats.org/officeDocument/2006/bibliography"/>
  </ds:schemaRefs>
</ds:datastoreItem>
</file>

<file path=customXml/itemProps28.xml><?xml version="1.0" encoding="utf-8"?>
<ds:datastoreItem xmlns:ds="http://schemas.openxmlformats.org/officeDocument/2006/customXml" ds:itemID="{E754A8B8-AAE2-4777-84E6-E091DF281903}">
  <ds:schemaRefs>
    <ds:schemaRef ds:uri="http://schemas.openxmlformats.org/officeDocument/2006/bibliography"/>
  </ds:schemaRefs>
</ds:datastoreItem>
</file>

<file path=customXml/itemProps29.xml><?xml version="1.0" encoding="utf-8"?>
<ds:datastoreItem xmlns:ds="http://schemas.openxmlformats.org/officeDocument/2006/customXml" ds:itemID="{4AEE4C85-AD5A-4FCC-A986-3FEA62B78731}">
  <ds:schemaRefs>
    <ds:schemaRef ds:uri="http://schemas.openxmlformats.org/officeDocument/2006/bibliography"/>
  </ds:schemaRefs>
</ds:datastoreItem>
</file>

<file path=customXml/itemProps3.xml><?xml version="1.0" encoding="utf-8"?>
<ds:datastoreItem xmlns:ds="http://schemas.openxmlformats.org/officeDocument/2006/customXml" ds:itemID="{B6DCD6FE-8F67-4B51-A29A-C51F61A6B395}">
  <ds:schemaRefs>
    <ds:schemaRef ds:uri="http://schemas.openxmlformats.org/officeDocument/2006/bibliography"/>
  </ds:schemaRefs>
</ds:datastoreItem>
</file>

<file path=customXml/itemProps30.xml><?xml version="1.0" encoding="utf-8"?>
<ds:datastoreItem xmlns:ds="http://schemas.openxmlformats.org/officeDocument/2006/customXml" ds:itemID="{4BB3C6D9-B8C5-453A-9073-E0CD634DA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1.xml><?xml version="1.0" encoding="utf-8"?>
<ds:datastoreItem xmlns:ds="http://schemas.openxmlformats.org/officeDocument/2006/customXml" ds:itemID="{6EA58F91-9513-4C8E-9058-B5CF96BEA9A6}">
  <ds:schemaRefs>
    <ds:schemaRef ds:uri="http://schemas.openxmlformats.org/officeDocument/2006/bibliography"/>
  </ds:schemaRefs>
</ds:datastoreItem>
</file>

<file path=customXml/itemProps32.xml><?xml version="1.0" encoding="utf-8"?>
<ds:datastoreItem xmlns:ds="http://schemas.openxmlformats.org/officeDocument/2006/customXml" ds:itemID="{4693860B-C5FF-42F2-8E24-8D067E875B43}">
  <ds:schemaRefs>
    <ds:schemaRef ds:uri="http://schemas.openxmlformats.org/officeDocument/2006/bibliography"/>
  </ds:schemaRefs>
</ds:datastoreItem>
</file>

<file path=customXml/itemProps33.xml><?xml version="1.0" encoding="utf-8"?>
<ds:datastoreItem xmlns:ds="http://schemas.openxmlformats.org/officeDocument/2006/customXml" ds:itemID="{E402FF75-BE70-4DB3-8CED-26F6E52C1F62}">
  <ds:schemaRefs>
    <ds:schemaRef ds:uri="http://schemas.openxmlformats.org/officeDocument/2006/bibliography"/>
  </ds:schemaRefs>
</ds:datastoreItem>
</file>

<file path=customXml/itemProps34.xml><?xml version="1.0" encoding="utf-8"?>
<ds:datastoreItem xmlns:ds="http://schemas.openxmlformats.org/officeDocument/2006/customXml" ds:itemID="{7F2E71A8-CBB0-4552-BA00-D30FC1E0ACE2}">
  <ds:schemaRefs>
    <ds:schemaRef ds:uri="http://schemas.openxmlformats.org/officeDocument/2006/bibliography"/>
  </ds:schemaRefs>
</ds:datastoreItem>
</file>

<file path=customXml/itemProps35.xml><?xml version="1.0" encoding="utf-8"?>
<ds:datastoreItem xmlns:ds="http://schemas.openxmlformats.org/officeDocument/2006/customXml" ds:itemID="{E205B839-64D5-47D2-803C-18726D0F9EF3}">
  <ds:schemaRefs>
    <ds:schemaRef ds:uri="http://schemas.openxmlformats.org/officeDocument/2006/bibliography"/>
  </ds:schemaRefs>
</ds:datastoreItem>
</file>

<file path=customXml/itemProps36.xml><?xml version="1.0" encoding="utf-8"?>
<ds:datastoreItem xmlns:ds="http://schemas.openxmlformats.org/officeDocument/2006/customXml" ds:itemID="{FD1EADF5-F3D0-438F-97D0-3F06AA9CDFA6}">
  <ds:schemaRefs>
    <ds:schemaRef ds:uri="http://schemas.openxmlformats.org/officeDocument/2006/bibliography"/>
  </ds:schemaRefs>
</ds:datastoreItem>
</file>

<file path=customXml/itemProps37.xml><?xml version="1.0" encoding="utf-8"?>
<ds:datastoreItem xmlns:ds="http://schemas.openxmlformats.org/officeDocument/2006/customXml" ds:itemID="{5758306E-A6B5-43F7-8FA6-0AF912703CEA}">
  <ds:schemaRefs>
    <ds:schemaRef ds:uri="http://schemas.openxmlformats.org/officeDocument/2006/bibliography"/>
  </ds:schemaRefs>
</ds:datastoreItem>
</file>

<file path=customXml/itemProps4.xml><?xml version="1.0" encoding="utf-8"?>
<ds:datastoreItem xmlns:ds="http://schemas.openxmlformats.org/officeDocument/2006/customXml" ds:itemID="{E342CBEE-7325-4B5F-9AAD-0D697EE035AB}">
  <ds:schemaRefs>
    <ds:schemaRef ds:uri="http://schemas.openxmlformats.org/officeDocument/2006/bibliography"/>
  </ds:schemaRefs>
</ds:datastoreItem>
</file>

<file path=customXml/itemProps5.xml><?xml version="1.0" encoding="utf-8"?>
<ds:datastoreItem xmlns:ds="http://schemas.openxmlformats.org/officeDocument/2006/customXml" ds:itemID="{BA6FC338-9189-463B-972C-060E5A28046C}">
  <ds:schemaRefs>
    <ds:schemaRef ds:uri="http://schemas.openxmlformats.org/officeDocument/2006/bibliography"/>
  </ds:schemaRefs>
</ds:datastoreItem>
</file>

<file path=customXml/itemProps6.xml><?xml version="1.0" encoding="utf-8"?>
<ds:datastoreItem xmlns:ds="http://schemas.openxmlformats.org/officeDocument/2006/customXml" ds:itemID="{63A0EEC2-3074-4143-9CE9-2696C7D5AD03}">
  <ds:schemaRefs>
    <ds:schemaRef ds:uri="http://schemas.openxmlformats.org/officeDocument/2006/bibliography"/>
  </ds:schemaRefs>
</ds:datastoreItem>
</file>

<file path=customXml/itemProps7.xml><?xml version="1.0" encoding="utf-8"?>
<ds:datastoreItem xmlns:ds="http://schemas.openxmlformats.org/officeDocument/2006/customXml" ds:itemID="{B8FCB272-B77F-4199-8F48-E69ADD74A503}">
  <ds:schemaRefs>
    <ds:schemaRef ds:uri="http://schemas.openxmlformats.org/officeDocument/2006/bibliography"/>
  </ds:schemaRefs>
</ds:datastoreItem>
</file>

<file path=customXml/itemProps8.xml><?xml version="1.0" encoding="utf-8"?>
<ds:datastoreItem xmlns:ds="http://schemas.openxmlformats.org/officeDocument/2006/customXml" ds:itemID="{B093CA03-4F8C-4140-992F-CF6AB812BB72}">
  <ds:schemaRefs>
    <ds:schemaRef ds:uri="http://schemas.openxmlformats.org/officeDocument/2006/bibliography"/>
  </ds:schemaRefs>
</ds:datastoreItem>
</file>

<file path=customXml/itemProps9.xml><?xml version="1.0" encoding="utf-8"?>
<ds:datastoreItem xmlns:ds="http://schemas.openxmlformats.org/officeDocument/2006/customXml" ds:itemID="{8799B6F8-4817-4FF3-B177-374689B1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46167</Words>
  <Characters>253922</Characters>
  <Application>Microsoft Office Word</Application>
  <DocSecurity>0</DocSecurity>
  <Lines>2116</Lines>
  <Paragraphs>598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Corte  IDH</dc:creator>
  <cp:lastModifiedBy>Jairo Guadamuz</cp:lastModifiedBy>
  <cp:revision>5</cp:revision>
  <cp:lastPrinted>2015-12-18T23:18:00Z</cp:lastPrinted>
  <dcterms:created xsi:type="dcterms:W3CDTF">2015-12-18T23:11:00Z</dcterms:created>
  <dcterms:modified xsi:type="dcterms:W3CDTF">2015-12-18T23:23:00Z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0x010100D015BEBE2BF87F40A76A9C926EBECC0C</vt:lpwstr>
  </property>
  <property fmtid="{D5CDD505-2E9C-101B-9397-08002B2CF9AE}" pid="3" name="_DocHome">
    <vt:i4>617728196</vt:i4>
  </property>
</Properties>
</file>