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A59FB" w14:textId="77777777" w:rsidR="00DD21BA" w:rsidRPr="00502650" w:rsidRDefault="00DD21BA" w:rsidP="00756A9D">
      <w:pPr>
        <w:spacing w:after="0" w:line="240" w:lineRule="auto"/>
        <w:rPr>
          <w:rFonts w:ascii="Verdana" w:eastAsia="Calibri" w:hAnsi="Verdana"/>
          <w:b/>
          <w:sz w:val="20"/>
          <w:szCs w:val="20"/>
          <w:lang w:val="en-US"/>
        </w:rPr>
      </w:pPr>
    </w:p>
    <w:p w14:paraId="288ABFF6" w14:textId="77777777" w:rsidR="00DD21BA" w:rsidRPr="00502650" w:rsidRDefault="00DD21BA" w:rsidP="00DD21BA">
      <w:pPr>
        <w:spacing w:after="0" w:line="240" w:lineRule="auto"/>
        <w:jc w:val="center"/>
        <w:rPr>
          <w:rFonts w:ascii="Verdana" w:eastAsia="Calibri" w:hAnsi="Verdana"/>
          <w:b/>
          <w:sz w:val="20"/>
          <w:szCs w:val="20"/>
          <w:lang w:val="en-US"/>
        </w:rPr>
      </w:pPr>
    </w:p>
    <w:p w14:paraId="6DF308AC" w14:textId="77777777" w:rsidR="00DD21BA" w:rsidRPr="00502650" w:rsidRDefault="00DD21BA" w:rsidP="00DD21BA">
      <w:pPr>
        <w:spacing w:after="0" w:line="240" w:lineRule="auto"/>
        <w:jc w:val="center"/>
        <w:rPr>
          <w:rFonts w:ascii="Verdana" w:eastAsia="Calibri" w:hAnsi="Verdana"/>
          <w:b/>
          <w:sz w:val="20"/>
          <w:szCs w:val="20"/>
          <w:lang w:val="en-US"/>
        </w:rPr>
      </w:pPr>
    </w:p>
    <w:p w14:paraId="1FA09331" w14:textId="77777777" w:rsidR="005B7D2E" w:rsidRPr="00502650" w:rsidRDefault="005B7D2E" w:rsidP="00DD21BA">
      <w:pPr>
        <w:spacing w:after="0" w:line="240" w:lineRule="auto"/>
        <w:jc w:val="center"/>
        <w:rPr>
          <w:rFonts w:ascii="Verdana" w:eastAsia="Calibri" w:hAnsi="Verdana"/>
          <w:b/>
          <w:sz w:val="20"/>
          <w:szCs w:val="20"/>
          <w:lang w:val="en-US"/>
        </w:rPr>
      </w:pPr>
    </w:p>
    <w:p w14:paraId="6E3B7712" w14:textId="77777777" w:rsidR="005B7D2E" w:rsidRPr="00502650" w:rsidRDefault="005B7D2E" w:rsidP="00DD21BA">
      <w:pPr>
        <w:spacing w:after="0" w:line="240" w:lineRule="auto"/>
        <w:jc w:val="center"/>
        <w:rPr>
          <w:rFonts w:ascii="Verdana" w:eastAsia="Calibri" w:hAnsi="Verdana"/>
          <w:b/>
          <w:sz w:val="20"/>
          <w:szCs w:val="20"/>
          <w:lang w:val="en-US"/>
        </w:rPr>
      </w:pPr>
    </w:p>
    <w:p w14:paraId="7A53D72F" w14:textId="77777777" w:rsidR="0096418F" w:rsidRPr="00502650" w:rsidRDefault="0096418F" w:rsidP="00DD21BA">
      <w:pPr>
        <w:spacing w:after="0" w:line="240" w:lineRule="auto"/>
        <w:jc w:val="center"/>
        <w:rPr>
          <w:rFonts w:ascii="Verdana" w:eastAsia="Calibri" w:hAnsi="Verdana"/>
          <w:b/>
          <w:sz w:val="20"/>
          <w:szCs w:val="20"/>
          <w:lang w:val="en-US"/>
        </w:rPr>
      </w:pPr>
    </w:p>
    <w:p w14:paraId="7D732AC5" w14:textId="77777777" w:rsidR="0096418F" w:rsidRPr="00502650" w:rsidRDefault="0096418F" w:rsidP="00DD21BA">
      <w:pPr>
        <w:spacing w:after="0" w:line="240" w:lineRule="auto"/>
        <w:jc w:val="center"/>
        <w:rPr>
          <w:rFonts w:ascii="Verdana" w:eastAsia="Calibri" w:hAnsi="Verdana"/>
          <w:b/>
          <w:sz w:val="20"/>
          <w:szCs w:val="20"/>
          <w:lang w:val="en-US"/>
        </w:rPr>
      </w:pPr>
    </w:p>
    <w:p w14:paraId="463CBBC8" w14:textId="77777777" w:rsidR="00DD21BA" w:rsidRPr="00502650" w:rsidRDefault="00DD21BA" w:rsidP="00DD21BA">
      <w:pPr>
        <w:spacing w:after="0" w:line="240" w:lineRule="auto"/>
        <w:jc w:val="center"/>
        <w:rPr>
          <w:rFonts w:ascii="Verdana" w:eastAsia="Calibri" w:hAnsi="Verdana"/>
          <w:b/>
          <w:sz w:val="20"/>
          <w:szCs w:val="20"/>
          <w:lang w:val="en-US"/>
        </w:rPr>
      </w:pPr>
    </w:p>
    <w:p w14:paraId="22FCB702" w14:textId="77777777" w:rsidR="00DD21BA" w:rsidRPr="00502650" w:rsidRDefault="00DD21BA" w:rsidP="00DD21BA">
      <w:pPr>
        <w:spacing w:after="0" w:line="240" w:lineRule="auto"/>
        <w:jc w:val="center"/>
        <w:rPr>
          <w:rFonts w:ascii="Verdana" w:eastAsia="Calibri" w:hAnsi="Verdana"/>
          <w:b/>
          <w:sz w:val="20"/>
          <w:szCs w:val="20"/>
          <w:lang w:val="en-US"/>
        </w:rPr>
      </w:pPr>
    </w:p>
    <w:p w14:paraId="540588EA" w14:textId="77777777" w:rsidR="00DD21BA" w:rsidRPr="00502650" w:rsidRDefault="00DD21BA" w:rsidP="00DD21BA">
      <w:pPr>
        <w:spacing w:after="0" w:line="240" w:lineRule="auto"/>
        <w:jc w:val="center"/>
        <w:rPr>
          <w:rFonts w:ascii="Verdana" w:hAnsi="Verdana"/>
          <w:b/>
          <w:sz w:val="20"/>
          <w:szCs w:val="20"/>
          <w:lang w:val="en-US"/>
        </w:rPr>
      </w:pPr>
    </w:p>
    <w:p w14:paraId="736253E5" w14:textId="77777777" w:rsidR="00DD21BA" w:rsidRPr="00EA6C7A" w:rsidRDefault="0096418F" w:rsidP="00DD21BA">
      <w:pPr>
        <w:spacing w:after="0" w:line="240" w:lineRule="auto"/>
        <w:jc w:val="center"/>
        <w:rPr>
          <w:rFonts w:ascii="Verdana" w:hAnsi="Verdana"/>
          <w:sz w:val="20"/>
          <w:szCs w:val="20"/>
          <w:lang w:val="en-US"/>
        </w:rPr>
      </w:pPr>
      <w:r w:rsidRPr="00EA6C7A">
        <w:rPr>
          <w:rFonts w:ascii="Verdana" w:hAnsi="Verdana"/>
          <w:b/>
          <w:sz w:val="20"/>
          <w:szCs w:val="20"/>
          <w:lang w:val="en-US"/>
        </w:rPr>
        <w:t>INTER-AMERICAN COURT OF HUMAN RIGHTS</w:t>
      </w:r>
    </w:p>
    <w:p w14:paraId="1E395EB2" w14:textId="77777777" w:rsidR="00DD21BA" w:rsidRPr="00EA6C7A" w:rsidRDefault="00DD21BA" w:rsidP="00DD21BA">
      <w:pPr>
        <w:tabs>
          <w:tab w:val="left" w:pos="2960"/>
          <w:tab w:val="center" w:pos="4680"/>
        </w:tabs>
        <w:spacing w:after="0" w:line="240" w:lineRule="auto"/>
        <w:jc w:val="center"/>
        <w:rPr>
          <w:rFonts w:ascii="Verdana" w:hAnsi="Verdana"/>
          <w:b/>
          <w:sz w:val="20"/>
          <w:szCs w:val="20"/>
          <w:lang w:val="en-US"/>
        </w:rPr>
      </w:pPr>
    </w:p>
    <w:p w14:paraId="19F298BA" w14:textId="77777777" w:rsidR="00DD21BA" w:rsidRPr="00EA6C7A" w:rsidRDefault="00DD21BA" w:rsidP="00DD21BA">
      <w:pPr>
        <w:tabs>
          <w:tab w:val="left" w:pos="2960"/>
          <w:tab w:val="center" w:pos="4680"/>
        </w:tabs>
        <w:spacing w:after="0" w:line="240" w:lineRule="auto"/>
        <w:jc w:val="center"/>
        <w:rPr>
          <w:rFonts w:ascii="Verdana" w:hAnsi="Verdana"/>
          <w:b/>
          <w:sz w:val="20"/>
          <w:szCs w:val="20"/>
        </w:rPr>
      </w:pPr>
      <w:r w:rsidRPr="00EA6C7A">
        <w:rPr>
          <w:rFonts w:ascii="Verdana" w:hAnsi="Verdana"/>
          <w:b/>
          <w:sz w:val="20"/>
          <w:szCs w:val="20"/>
        </w:rPr>
        <w:t>CAS</w:t>
      </w:r>
      <w:r w:rsidR="0096418F" w:rsidRPr="00EA6C7A">
        <w:rPr>
          <w:rFonts w:ascii="Verdana" w:hAnsi="Verdana"/>
          <w:b/>
          <w:sz w:val="20"/>
          <w:szCs w:val="20"/>
        </w:rPr>
        <w:t>E OF</w:t>
      </w:r>
      <w:r w:rsidRPr="00EA6C7A">
        <w:rPr>
          <w:rFonts w:ascii="Verdana" w:hAnsi="Verdana"/>
          <w:b/>
          <w:sz w:val="20"/>
          <w:szCs w:val="20"/>
        </w:rPr>
        <w:t xml:space="preserve"> VELÁSQUEZ PAIZ </w:t>
      </w:r>
      <w:r w:rsidR="0096418F" w:rsidRPr="00EA6C7A">
        <w:rPr>
          <w:rFonts w:ascii="Verdana" w:hAnsi="Verdana"/>
          <w:b/>
          <w:i/>
          <w:iCs/>
          <w:sz w:val="20"/>
          <w:szCs w:val="20"/>
        </w:rPr>
        <w:t>EL AL.</w:t>
      </w:r>
      <w:r w:rsidRPr="00EA6C7A">
        <w:rPr>
          <w:rFonts w:ascii="Verdana" w:hAnsi="Verdana"/>
          <w:b/>
          <w:sz w:val="20"/>
          <w:szCs w:val="20"/>
        </w:rPr>
        <w:t xml:space="preserve"> </w:t>
      </w:r>
      <w:r w:rsidRPr="00EA6C7A">
        <w:rPr>
          <w:rFonts w:ascii="Verdana" w:hAnsi="Verdana"/>
          <w:b/>
          <w:i/>
          <w:sz w:val="20"/>
          <w:szCs w:val="20"/>
        </w:rPr>
        <w:t>V.</w:t>
      </w:r>
      <w:r w:rsidRPr="00EA6C7A">
        <w:rPr>
          <w:rFonts w:ascii="Verdana" w:hAnsi="Verdana"/>
          <w:b/>
          <w:sz w:val="20"/>
          <w:szCs w:val="20"/>
        </w:rPr>
        <w:t xml:space="preserve"> GUATEMALA</w:t>
      </w:r>
    </w:p>
    <w:p w14:paraId="0AD9C4AE" w14:textId="77777777" w:rsidR="00DD21BA" w:rsidRPr="00EA6C7A" w:rsidRDefault="00DD21BA" w:rsidP="00DD21BA">
      <w:pPr>
        <w:spacing w:after="0" w:line="240" w:lineRule="auto"/>
        <w:jc w:val="center"/>
        <w:outlineLvl w:val="0"/>
        <w:rPr>
          <w:rFonts w:ascii="Verdana" w:hAnsi="Verdana"/>
          <w:b/>
          <w:sz w:val="20"/>
          <w:szCs w:val="20"/>
        </w:rPr>
      </w:pPr>
    </w:p>
    <w:p w14:paraId="5F5B0806" w14:textId="77777777" w:rsidR="00DD21BA" w:rsidRPr="00EA6C7A" w:rsidRDefault="0096418F" w:rsidP="00DD21BA">
      <w:pPr>
        <w:spacing w:after="0" w:line="240" w:lineRule="auto"/>
        <w:jc w:val="center"/>
        <w:rPr>
          <w:rFonts w:ascii="Verdana" w:hAnsi="Verdana"/>
          <w:b/>
          <w:sz w:val="20"/>
          <w:szCs w:val="20"/>
          <w:lang w:val="en-US"/>
        </w:rPr>
      </w:pPr>
      <w:r w:rsidRPr="00EA6C7A">
        <w:rPr>
          <w:rFonts w:ascii="Verdana" w:hAnsi="Verdana"/>
          <w:b/>
          <w:sz w:val="20"/>
          <w:szCs w:val="20"/>
          <w:lang w:val="en-US"/>
        </w:rPr>
        <w:t>JUDGMENT OF NOVEMBER</w:t>
      </w:r>
      <w:r w:rsidR="00DD21BA" w:rsidRPr="00EA6C7A">
        <w:rPr>
          <w:rFonts w:ascii="Verdana" w:hAnsi="Verdana"/>
          <w:b/>
          <w:sz w:val="20"/>
          <w:szCs w:val="20"/>
          <w:lang w:val="en-US"/>
        </w:rPr>
        <w:t xml:space="preserve"> </w:t>
      </w:r>
      <w:r w:rsidR="00A24131" w:rsidRPr="00EA6C7A">
        <w:rPr>
          <w:rFonts w:ascii="Verdana" w:hAnsi="Verdana"/>
          <w:b/>
          <w:sz w:val="20"/>
          <w:szCs w:val="20"/>
          <w:lang w:val="en-US"/>
        </w:rPr>
        <w:t>19</w:t>
      </w:r>
      <w:r w:rsidRPr="00EA6C7A">
        <w:rPr>
          <w:rFonts w:ascii="Verdana" w:hAnsi="Verdana"/>
          <w:b/>
          <w:sz w:val="20"/>
          <w:szCs w:val="20"/>
          <w:lang w:val="en-US"/>
        </w:rPr>
        <w:t xml:space="preserve">, </w:t>
      </w:r>
      <w:r w:rsidR="00DD21BA" w:rsidRPr="00EA6C7A">
        <w:rPr>
          <w:rFonts w:ascii="Verdana" w:hAnsi="Verdana"/>
          <w:b/>
          <w:sz w:val="20"/>
          <w:szCs w:val="20"/>
          <w:lang w:val="en-US"/>
        </w:rPr>
        <w:t>2015</w:t>
      </w:r>
    </w:p>
    <w:p w14:paraId="424FAC97" w14:textId="77777777" w:rsidR="00DD21BA" w:rsidRPr="00EA6C7A" w:rsidRDefault="00DD21BA" w:rsidP="00DD21BA">
      <w:pPr>
        <w:spacing w:after="0" w:line="240" w:lineRule="auto"/>
        <w:jc w:val="center"/>
        <w:rPr>
          <w:rFonts w:ascii="Verdana" w:hAnsi="Verdana"/>
          <w:b/>
          <w:sz w:val="20"/>
          <w:szCs w:val="20"/>
          <w:lang w:val="en-US"/>
        </w:rPr>
      </w:pPr>
    </w:p>
    <w:p w14:paraId="059CF19A" w14:textId="77777777" w:rsidR="00DD21BA" w:rsidRPr="00EA6C7A" w:rsidRDefault="00DD21BA" w:rsidP="00DD21BA">
      <w:pPr>
        <w:spacing w:after="0" w:line="240" w:lineRule="auto"/>
        <w:jc w:val="center"/>
        <w:rPr>
          <w:rFonts w:ascii="Verdana" w:hAnsi="Verdana"/>
          <w:b/>
          <w:sz w:val="20"/>
          <w:szCs w:val="20"/>
          <w:lang w:val="en-US"/>
        </w:rPr>
      </w:pPr>
      <w:r w:rsidRPr="00EA6C7A">
        <w:rPr>
          <w:rFonts w:ascii="Verdana" w:hAnsi="Verdana"/>
          <w:b/>
          <w:i/>
          <w:sz w:val="20"/>
          <w:szCs w:val="20"/>
          <w:lang w:val="en-US"/>
        </w:rPr>
        <w:t>(</w:t>
      </w:r>
      <w:r w:rsidR="0096418F" w:rsidRPr="00EA6C7A">
        <w:rPr>
          <w:rFonts w:ascii="Verdana" w:hAnsi="Verdana"/>
          <w:b/>
          <w:i/>
          <w:sz w:val="20"/>
          <w:szCs w:val="20"/>
          <w:lang w:val="en-US"/>
        </w:rPr>
        <w:t>Preliminary objections, merits, reparations and costs</w:t>
      </w:r>
      <w:r w:rsidRPr="00EA6C7A">
        <w:rPr>
          <w:rFonts w:ascii="Verdana" w:hAnsi="Verdana"/>
          <w:b/>
          <w:sz w:val="20"/>
          <w:szCs w:val="20"/>
          <w:lang w:val="en-US"/>
        </w:rPr>
        <w:t>)</w:t>
      </w:r>
    </w:p>
    <w:p w14:paraId="70ED6521" w14:textId="77777777" w:rsidR="00DD21BA" w:rsidRPr="00EA6C7A" w:rsidRDefault="00DD21BA" w:rsidP="00DD21BA">
      <w:pPr>
        <w:spacing w:after="0" w:line="240" w:lineRule="auto"/>
        <w:rPr>
          <w:rFonts w:ascii="Verdana" w:hAnsi="Verdana"/>
          <w:b/>
          <w:sz w:val="20"/>
          <w:szCs w:val="20"/>
          <w:lang w:val="en-US"/>
        </w:rPr>
      </w:pPr>
    </w:p>
    <w:p w14:paraId="5E4D8811" w14:textId="77777777" w:rsidR="00DD21BA" w:rsidRPr="00EA6C7A" w:rsidRDefault="00DD21BA" w:rsidP="00DD21BA">
      <w:pPr>
        <w:spacing w:after="0" w:line="240" w:lineRule="auto"/>
        <w:rPr>
          <w:rFonts w:ascii="Verdana" w:hAnsi="Verdana"/>
          <w:b/>
          <w:sz w:val="20"/>
          <w:szCs w:val="20"/>
          <w:lang w:val="en-US"/>
        </w:rPr>
      </w:pPr>
    </w:p>
    <w:p w14:paraId="5F69CF5D" w14:textId="77777777" w:rsidR="00DD21BA" w:rsidRPr="00EA6C7A" w:rsidRDefault="00DD21BA" w:rsidP="00DD21BA">
      <w:pPr>
        <w:spacing w:after="0" w:line="240" w:lineRule="auto"/>
        <w:rPr>
          <w:rFonts w:ascii="Verdana" w:hAnsi="Verdana"/>
          <w:b/>
          <w:sz w:val="20"/>
          <w:szCs w:val="20"/>
          <w:lang w:val="en-US"/>
        </w:rPr>
      </w:pPr>
    </w:p>
    <w:p w14:paraId="7944FECB" w14:textId="77777777" w:rsidR="0096418F" w:rsidRPr="00EA6C7A" w:rsidRDefault="0096418F" w:rsidP="00DD21BA">
      <w:pPr>
        <w:spacing w:after="0" w:line="240" w:lineRule="auto"/>
        <w:rPr>
          <w:rFonts w:ascii="Verdana" w:hAnsi="Verdana"/>
          <w:b/>
          <w:sz w:val="20"/>
          <w:szCs w:val="20"/>
          <w:lang w:val="en-US"/>
        </w:rPr>
      </w:pPr>
    </w:p>
    <w:p w14:paraId="66EFB40B" w14:textId="77777777" w:rsidR="0096418F" w:rsidRPr="00EA6C7A" w:rsidRDefault="0096418F" w:rsidP="00DD21BA">
      <w:pPr>
        <w:spacing w:after="0" w:line="240" w:lineRule="auto"/>
        <w:rPr>
          <w:rFonts w:ascii="Verdana" w:hAnsi="Verdana"/>
          <w:b/>
          <w:sz w:val="20"/>
          <w:szCs w:val="20"/>
          <w:lang w:val="en-US"/>
        </w:rPr>
      </w:pPr>
    </w:p>
    <w:p w14:paraId="14DB0568" w14:textId="77777777" w:rsidR="0096418F" w:rsidRPr="00EA6C7A" w:rsidRDefault="0096418F" w:rsidP="00DD21BA">
      <w:pPr>
        <w:spacing w:after="0" w:line="240" w:lineRule="auto"/>
        <w:rPr>
          <w:rFonts w:ascii="Verdana" w:hAnsi="Verdana"/>
          <w:b/>
          <w:sz w:val="20"/>
          <w:szCs w:val="20"/>
          <w:lang w:val="en-US"/>
        </w:rPr>
      </w:pPr>
    </w:p>
    <w:p w14:paraId="316B207A" w14:textId="77777777" w:rsidR="0096418F" w:rsidRPr="00EA6C7A" w:rsidRDefault="0096418F" w:rsidP="00DD21BA">
      <w:pPr>
        <w:spacing w:after="0" w:line="240" w:lineRule="auto"/>
        <w:rPr>
          <w:rFonts w:ascii="Verdana" w:hAnsi="Verdana"/>
          <w:b/>
          <w:sz w:val="20"/>
          <w:szCs w:val="20"/>
          <w:lang w:val="en-US"/>
        </w:rPr>
      </w:pPr>
    </w:p>
    <w:p w14:paraId="75C9BCE9" w14:textId="77777777" w:rsidR="00DD21BA" w:rsidRPr="00EA6C7A" w:rsidRDefault="00DD21BA" w:rsidP="00DD21BA">
      <w:pPr>
        <w:spacing w:after="0" w:line="240" w:lineRule="auto"/>
        <w:rPr>
          <w:rFonts w:ascii="Verdana" w:hAnsi="Verdana"/>
          <w:b/>
          <w:sz w:val="20"/>
          <w:szCs w:val="20"/>
          <w:lang w:val="en-US"/>
        </w:rPr>
      </w:pPr>
    </w:p>
    <w:p w14:paraId="5761399E" w14:textId="77777777" w:rsidR="00DD21BA" w:rsidRPr="00EA6C7A" w:rsidRDefault="0096418F" w:rsidP="00DD21BA">
      <w:pPr>
        <w:spacing w:after="0" w:line="240" w:lineRule="auto"/>
        <w:rPr>
          <w:rFonts w:ascii="Verdana" w:hAnsi="Verdana"/>
          <w:sz w:val="20"/>
          <w:szCs w:val="20"/>
          <w:lang w:val="en-US"/>
        </w:rPr>
      </w:pPr>
      <w:r w:rsidRPr="00EA6C7A">
        <w:rPr>
          <w:rFonts w:ascii="Verdana" w:hAnsi="Verdana"/>
          <w:sz w:val="20"/>
          <w:szCs w:val="20"/>
          <w:lang w:val="en-US"/>
        </w:rPr>
        <w:t>In the case of</w:t>
      </w:r>
      <w:r w:rsidR="00DD21BA" w:rsidRPr="00EA6C7A">
        <w:rPr>
          <w:rFonts w:ascii="Verdana" w:hAnsi="Verdana"/>
          <w:sz w:val="20"/>
          <w:szCs w:val="20"/>
          <w:lang w:val="en-US"/>
        </w:rPr>
        <w:t xml:space="preserve"> </w:t>
      </w:r>
      <w:r w:rsidR="00DD21BA" w:rsidRPr="00EA6C7A">
        <w:rPr>
          <w:rFonts w:ascii="Verdana" w:hAnsi="Verdana"/>
          <w:i/>
          <w:sz w:val="20"/>
          <w:szCs w:val="20"/>
          <w:lang w:val="en-US"/>
        </w:rPr>
        <w:t xml:space="preserve">Velásquez Paiz </w:t>
      </w:r>
      <w:r w:rsidRPr="00EA6C7A">
        <w:rPr>
          <w:rFonts w:ascii="Verdana" w:hAnsi="Verdana"/>
          <w:i/>
          <w:sz w:val="20"/>
          <w:szCs w:val="20"/>
          <w:lang w:val="en-US"/>
        </w:rPr>
        <w:t>et al.</w:t>
      </w:r>
      <w:r w:rsidR="00DD21BA" w:rsidRPr="00EA6C7A">
        <w:rPr>
          <w:rFonts w:ascii="Verdana" w:hAnsi="Verdana"/>
          <w:sz w:val="20"/>
          <w:szCs w:val="20"/>
          <w:lang w:val="en-US"/>
        </w:rPr>
        <w:t xml:space="preserve">, </w:t>
      </w:r>
    </w:p>
    <w:p w14:paraId="47EC4FB8" w14:textId="77777777" w:rsidR="00DD21BA" w:rsidRPr="00EA6C7A" w:rsidRDefault="00DD21BA" w:rsidP="00DD21BA">
      <w:pPr>
        <w:spacing w:after="0" w:line="240" w:lineRule="auto"/>
        <w:rPr>
          <w:rFonts w:ascii="Verdana" w:hAnsi="Verdana"/>
          <w:sz w:val="20"/>
          <w:szCs w:val="20"/>
          <w:lang w:val="en-US"/>
        </w:rPr>
      </w:pPr>
    </w:p>
    <w:p w14:paraId="4FBB2035" w14:textId="77777777" w:rsidR="00DD21BA" w:rsidRPr="00EA6C7A" w:rsidRDefault="0096418F" w:rsidP="00DD21BA">
      <w:pPr>
        <w:spacing w:after="0" w:line="240" w:lineRule="auto"/>
        <w:rPr>
          <w:rFonts w:ascii="Verdana" w:hAnsi="Verdana"/>
          <w:sz w:val="20"/>
          <w:szCs w:val="20"/>
          <w:lang w:val="en-US"/>
        </w:rPr>
      </w:pPr>
      <w:r w:rsidRPr="00EA6C7A">
        <w:rPr>
          <w:rFonts w:ascii="Verdana" w:hAnsi="Verdana"/>
          <w:sz w:val="20"/>
          <w:szCs w:val="20"/>
          <w:lang w:val="en-US"/>
        </w:rPr>
        <w:t>the Inter-American Court of Human Rights</w:t>
      </w:r>
      <w:r w:rsidR="00DD21BA" w:rsidRPr="00EA6C7A">
        <w:rPr>
          <w:rFonts w:ascii="Verdana" w:hAnsi="Verdana"/>
          <w:sz w:val="20"/>
          <w:szCs w:val="20"/>
          <w:lang w:val="en-US"/>
        </w:rPr>
        <w:t xml:space="preserve"> (</w:t>
      </w:r>
      <w:r w:rsidRPr="00EA6C7A">
        <w:rPr>
          <w:rFonts w:ascii="Verdana" w:hAnsi="Verdana"/>
          <w:sz w:val="20"/>
          <w:szCs w:val="20"/>
          <w:lang w:val="en-US"/>
        </w:rPr>
        <w:t>hereinafter</w:t>
      </w:r>
      <w:r w:rsidR="00DD21BA" w:rsidRPr="00EA6C7A">
        <w:rPr>
          <w:rFonts w:ascii="Verdana" w:hAnsi="Verdana"/>
          <w:sz w:val="20"/>
          <w:szCs w:val="20"/>
          <w:lang w:val="en-US"/>
        </w:rPr>
        <w:t xml:space="preserve"> “</w:t>
      </w:r>
      <w:r w:rsidRPr="00EA6C7A">
        <w:rPr>
          <w:rFonts w:ascii="Verdana" w:hAnsi="Verdana"/>
          <w:sz w:val="20"/>
          <w:szCs w:val="20"/>
          <w:lang w:val="en-US"/>
        </w:rPr>
        <w:t>the Inter-American Court</w:t>
      </w:r>
      <w:r w:rsidR="00DD21BA" w:rsidRPr="00EA6C7A">
        <w:rPr>
          <w:rFonts w:ascii="Verdana" w:hAnsi="Verdana"/>
          <w:sz w:val="20"/>
          <w:szCs w:val="20"/>
          <w:lang w:val="en-US"/>
        </w:rPr>
        <w:t>”</w:t>
      </w:r>
      <w:r w:rsidRPr="00EA6C7A">
        <w:rPr>
          <w:rFonts w:ascii="Verdana" w:hAnsi="Verdana"/>
          <w:sz w:val="20"/>
          <w:szCs w:val="20"/>
          <w:lang w:val="en-US"/>
        </w:rPr>
        <w:t xml:space="preserve"> or</w:t>
      </w:r>
      <w:r w:rsidR="00DD21BA" w:rsidRPr="00EA6C7A">
        <w:rPr>
          <w:rFonts w:ascii="Verdana" w:hAnsi="Verdana"/>
          <w:sz w:val="20"/>
          <w:szCs w:val="20"/>
          <w:lang w:val="en-US"/>
        </w:rPr>
        <w:t xml:space="preserve"> “</w:t>
      </w:r>
      <w:r w:rsidRPr="00EA6C7A">
        <w:rPr>
          <w:rFonts w:ascii="Verdana" w:hAnsi="Verdana"/>
          <w:sz w:val="20"/>
          <w:szCs w:val="20"/>
          <w:lang w:val="en-US"/>
        </w:rPr>
        <w:t>the Court</w:t>
      </w:r>
      <w:r w:rsidR="00DD21BA" w:rsidRPr="00EA6C7A">
        <w:rPr>
          <w:rFonts w:ascii="Verdana" w:hAnsi="Verdana"/>
          <w:sz w:val="20"/>
          <w:szCs w:val="20"/>
          <w:lang w:val="en-US"/>
        </w:rPr>
        <w:t xml:space="preserve">”) </w:t>
      </w:r>
      <w:r w:rsidRPr="00EA6C7A">
        <w:rPr>
          <w:rFonts w:ascii="Verdana" w:hAnsi="Verdana"/>
          <w:sz w:val="20"/>
          <w:szCs w:val="20"/>
          <w:lang w:val="en-US"/>
        </w:rPr>
        <w:t>composed of the following judges</w:t>
      </w:r>
      <w:r w:rsidR="00DD21BA" w:rsidRPr="00EA6C7A">
        <w:rPr>
          <w:rFonts w:ascii="Verdana" w:hAnsi="Verdana"/>
          <w:sz w:val="20"/>
          <w:szCs w:val="20"/>
          <w:lang w:val="en-US"/>
        </w:rPr>
        <w:t>:</w:t>
      </w:r>
    </w:p>
    <w:p w14:paraId="58CF6D57" w14:textId="77777777" w:rsidR="00DD21BA" w:rsidRPr="00EA6C7A" w:rsidRDefault="00DD21BA" w:rsidP="00DD21BA">
      <w:pPr>
        <w:spacing w:after="0" w:line="240" w:lineRule="auto"/>
        <w:rPr>
          <w:rFonts w:ascii="Verdana" w:hAnsi="Verdana"/>
          <w:sz w:val="20"/>
          <w:szCs w:val="20"/>
          <w:lang w:val="en-US"/>
        </w:rPr>
      </w:pPr>
    </w:p>
    <w:p w14:paraId="28A28583" w14:textId="77777777" w:rsidR="00DD21BA" w:rsidRPr="00EA6C7A" w:rsidRDefault="00DD21BA" w:rsidP="00DD21BA">
      <w:pPr>
        <w:pStyle w:val="citaindirecta"/>
        <w:tabs>
          <w:tab w:val="left" w:pos="851"/>
        </w:tabs>
        <w:ind w:left="0"/>
        <w:rPr>
          <w:lang w:val="es-CR"/>
        </w:rPr>
      </w:pPr>
      <w:r w:rsidRPr="00EA6C7A">
        <w:rPr>
          <w:lang w:val="es-CR"/>
        </w:rPr>
        <w:t xml:space="preserve">Humberto Antonio Sierra Porto, </w:t>
      </w:r>
      <w:proofErr w:type="spellStart"/>
      <w:r w:rsidR="0096418F" w:rsidRPr="00EA6C7A">
        <w:rPr>
          <w:lang w:val="es-CR"/>
        </w:rPr>
        <w:t>President</w:t>
      </w:r>
      <w:proofErr w:type="spellEnd"/>
    </w:p>
    <w:p w14:paraId="7DE8C36F" w14:textId="77777777" w:rsidR="00DD21BA" w:rsidRPr="00EA6C7A" w:rsidRDefault="00DD21BA" w:rsidP="00DD21BA">
      <w:pPr>
        <w:pStyle w:val="citaindirecta"/>
        <w:tabs>
          <w:tab w:val="left" w:pos="851"/>
        </w:tabs>
        <w:ind w:left="0"/>
        <w:rPr>
          <w:lang w:val="es-CR"/>
        </w:rPr>
      </w:pPr>
      <w:r w:rsidRPr="00EA6C7A">
        <w:rPr>
          <w:lang w:val="es-CR"/>
        </w:rPr>
        <w:t>Roberto F. Caldas,</w:t>
      </w:r>
      <w:r w:rsidRPr="00EA6C7A">
        <w:rPr>
          <w:rFonts w:cs="Verdana"/>
          <w:lang w:val="es-CR"/>
        </w:rPr>
        <w:t xml:space="preserve"> Vice</w:t>
      </w:r>
      <w:r w:rsidR="0096418F" w:rsidRPr="00EA6C7A">
        <w:rPr>
          <w:rFonts w:cs="Verdana"/>
          <w:lang w:val="es-CR"/>
        </w:rPr>
        <w:t xml:space="preserve"> </w:t>
      </w:r>
      <w:proofErr w:type="spellStart"/>
      <w:r w:rsidR="0096418F" w:rsidRPr="00EA6C7A">
        <w:rPr>
          <w:rFonts w:cs="Verdana"/>
          <w:lang w:val="es-CR"/>
        </w:rPr>
        <w:t>President</w:t>
      </w:r>
      <w:proofErr w:type="spellEnd"/>
    </w:p>
    <w:p w14:paraId="659E7926" w14:textId="77777777" w:rsidR="00DD21BA" w:rsidRPr="00EA6C7A" w:rsidRDefault="00DD21BA" w:rsidP="00DD21BA">
      <w:pPr>
        <w:tabs>
          <w:tab w:val="left" w:pos="720"/>
          <w:tab w:val="left" w:pos="851"/>
        </w:tabs>
        <w:spacing w:after="0" w:line="240" w:lineRule="auto"/>
        <w:rPr>
          <w:rFonts w:ascii="Verdana" w:hAnsi="Verdana" w:cs="Verdana"/>
          <w:sz w:val="20"/>
          <w:szCs w:val="20"/>
        </w:rPr>
      </w:pPr>
      <w:r w:rsidRPr="00EA6C7A">
        <w:rPr>
          <w:rFonts w:ascii="Verdana" w:hAnsi="Verdana" w:cs="Verdana"/>
          <w:sz w:val="20"/>
          <w:szCs w:val="20"/>
        </w:rPr>
        <w:t xml:space="preserve">Manuel E. Ventura Robles, </w:t>
      </w:r>
      <w:proofErr w:type="spellStart"/>
      <w:r w:rsidR="0096418F" w:rsidRPr="00EA6C7A">
        <w:rPr>
          <w:rFonts w:ascii="Verdana" w:hAnsi="Verdana"/>
          <w:sz w:val="20"/>
          <w:szCs w:val="20"/>
        </w:rPr>
        <w:t>Judge</w:t>
      </w:r>
      <w:proofErr w:type="spellEnd"/>
    </w:p>
    <w:p w14:paraId="0B9AA284" w14:textId="77777777" w:rsidR="00DD21BA" w:rsidRPr="00EA6C7A" w:rsidRDefault="00DD21BA" w:rsidP="00DD21BA">
      <w:pPr>
        <w:tabs>
          <w:tab w:val="left" w:pos="720"/>
          <w:tab w:val="left" w:pos="851"/>
        </w:tabs>
        <w:spacing w:after="0" w:line="240" w:lineRule="auto"/>
        <w:rPr>
          <w:rFonts w:ascii="Verdana" w:hAnsi="Verdana" w:cs="Verdana"/>
          <w:sz w:val="20"/>
          <w:szCs w:val="20"/>
        </w:rPr>
      </w:pPr>
      <w:r w:rsidRPr="00EA6C7A">
        <w:rPr>
          <w:rFonts w:ascii="Verdana" w:hAnsi="Verdana"/>
          <w:sz w:val="20"/>
          <w:szCs w:val="20"/>
        </w:rPr>
        <w:t>Diego García-Sayán,</w:t>
      </w:r>
      <w:r w:rsidRPr="00EA6C7A">
        <w:rPr>
          <w:rFonts w:ascii="Verdana" w:hAnsi="Verdana" w:cs="Verdana"/>
          <w:sz w:val="20"/>
          <w:szCs w:val="20"/>
        </w:rPr>
        <w:t xml:space="preserve"> </w:t>
      </w:r>
      <w:proofErr w:type="spellStart"/>
      <w:r w:rsidR="0096418F" w:rsidRPr="00EA6C7A">
        <w:rPr>
          <w:rFonts w:ascii="Verdana" w:hAnsi="Verdana"/>
          <w:sz w:val="20"/>
          <w:szCs w:val="20"/>
        </w:rPr>
        <w:t>Judge</w:t>
      </w:r>
      <w:proofErr w:type="spellEnd"/>
    </w:p>
    <w:p w14:paraId="46595128" w14:textId="77777777" w:rsidR="00DD21BA" w:rsidRPr="00EA6C7A" w:rsidRDefault="00DD21BA" w:rsidP="00DD21BA">
      <w:pPr>
        <w:pStyle w:val="citaindirecta"/>
        <w:tabs>
          <w:tab w:val="left" w:pos="851"/>
        </w:tabs>
        <w:ind w:left="0"/>
        <w:rPr>
          <w:lang w:val="en-US"/>
        </w:rPr>
      </w:pPr>
      <w:r w:rsidRPr="00EA6C7A">
        <w:rPr>
          <w:lang w:val="en-US"/>
        </w:rPr>
        <w:t xml:space="preserve">Alberto Pérez </w:t>
      </w:r>
      <w:proofErr w:type="spellStart"/>
      <w:r w:rsidRPr="00EA6C7A">
        <w:rPr>
          <w:lang w:val="en-US"/>
        </w:rPr>
        <w:t>Pérez</w:t>
      </w:r>
      <w:proofErr w:type="spellEnd"/>
      <w:r w:rsidRPr="00EA6C7A">
        <w:rPr>
          <w:lang w:val="en-US"/>
        </w:rPr>
        <w:t xml:space="preserve">, </w:t>
      </w:r>
      <w:r w:rsidR="0096418F" w:rsidRPr="00EA6C7A">
        <w:rPr>
          <w:lang w:val="en-US"/>
        </w:rPr>
        <w:t>Judge</w:t>
      </w:r>
    </w:p>
    <w:p w14:paraId="6B8B5601" w14:textId="77777777" w:rsidR="00DD21BA" w:rsidRPr="00EA6C7A" w:rsidRDefault="00DD21BA" w:rsidP="00DD21BA">
      <w:pPr>
        <w:pStyle w:val="citaindirecta"/>
        <w:tabs>
          <w:tab w:val="left" w:pos="851"/>
        </w:tabs>
        <w:ind w:left="0"/>
        <w:rPr>
          <w:lang w:val="en-US"/>
        </w:rPr>
      </w:pPr>
      <w:r w:rsidRPr="00EA6C7A">
        <w:rPr>
          <w:lang w:val="en-US"/>
        </w:rPr>
        <w:t xml:space="preserve">Eduardo Vio Grossi, </w:t>
      </w:r>
      <w:r w:rsidR="0096418F" w:rsidRPr="00EA6C7A">
        <w:rPr>
          <w:lang w:val="en-US"/>
        </w:rPr>
        <w:t>Judge</w:t>
      </w:r>
      <w:r w:rsidRPr="00EA6C7A">
        <w:rPr>
          <w:lang w:val="en-US"/>
        </w:rPr>
        <w:t xml:space="preserve">, </w:t>
      </w:r>
      <w:r w:rsidR="0096418F" w:rsidRPr="00EA6C7A">
        <w:rPr>
          <w:lang w:val="en-US"/>
        </w:rPr>
        <w:t>and</w:t>
      </w:r>
    </w:p>
    <w:p w14:paraId="5B6F4279" w14:textId="77777777" w:rsidR="00DD21BA" w:rsidRPr="00EA6C7A" w:rsidRDefault="00DD21BA" w:rsidP="00DD21BA">
      <w:pPr>
        <w:pStyle w:val="citaindirecta"/>
        <w:tabs>
          <w:tab w:val="left" w:pos="851"/>
        </w:tabs>
        <w:ind w:left="0"/>
        <w:rPr>
          <w:lang w:val="en-US"/>
        </w:rPr>
      </w:pPr>
      <w:r w:rsidRPr="00EA6C7A">
        <w:rPr>
          <w:lang w:val="en-US"/>
        </w:rPr>
        <w:t xml:space="preserve">Eduardo Ferrer Mac-Gregor Poisot, </w:t>
      </w:r>
      <w:r w:rsidR="0096418F" w:rsidRPr="00EA6C7A">
        <w:rPr>
          <w:lang w:val="en-US"/>
        </w:rPr>
        <w:t>Judge</w:t>
      </w:r>
      <w:r w:rsidRPr="00EA6C7A">
        <w:rPr>
          <w:lang w:val="en-US"/>
        </w:rPr>
        <w:t>;</w:t>
      </w:r>
    </w:p>
    <w:p w14:paraId="5655FB31" w14:textId="77777777" w:rsidR="00DD21BA" w:rsidRPr="00EA6C7A" w:rsidRDefault="00DD21BA" w:rsidP="00DD21BA">
      <w:pPr>
        <w:tabs>
          <w:tab w:val="left" w:pos="851"/>
        </w:tabs>
        <w:spacing w:after="0" w:line="240" w:lineRule="auto"/>
        <w:rPr>
          <w:rFonts w:ascii="Verdana" w:hAnsi="Verdana"/>
          <w:sz w:val="20"/>
          <w:szCs w:val="20"/>
          <w:lang w:val="en-US"/>
        </w:rPr>
      </w:pPr>
    </w:p>
    <w:p w14:paraId="3B925B78" w14:textId="77777777" w:rsidR="00DD21BA" w:rsidRPr="00EA6C7A" w:rsidRDefault="0096418F" w:rsidP="00DD21BA">
      <w:pPr>
        <w:tabs>
          <w:tab w:val="left" w:pos="851"/>
        </w:tabs>
        <w:spacing w:after="0" w:line="240" w:lineRule="auto"/>
        <w:rPr>
          <w:rFonts w:ascii="Verdana" w:hAnsi="Verdana"/>
          <w:sz w:val="20"/>
          <w:szCs w:val="20"/>
          <w:lang w:val="en-US"/>
        </w:rPr>
      </w:pPr>
      <w:r w:rsidRPr="00EA6C7A">
        <w:rPr>
          <w:rFonts w:ascii="Verdana" w:hAnsi="Verdana"/>
          <w:sz w:val="20"/>
          <w:szCs w:val="20"/>
          <w:lang w:val="en-US"/>
        </w:rPr>
        <w:t>also present</w:t>
      </w:r>
      <w:r w:rsidR="00DD21BA" w:rsidRPr="00EA6C7A">
        <w:rPr>
          <w:rFonts w:ascii="Verdana" w:hAnsi="Verdana"/>
          <w:sz w:val="20"/>
          <w:szCs w:val="20"/>
          <w:lang w:val="en-US"/>
        </w:rPr>
        <w:t xml:space="preserve">, </w:t>
      </w:r>
    </w:p>
    <w:p w14:paraId="78CBEE2C" w14:textId="77777777" w:rsidR="00CF183D" w:rsidRPr="00EA6C7A" w:rsidRDefault="00CF183D" w:rsidP="00DD21BA">
      <w:pPr>
        <w:spacing w:after="0" w:line="240" w:lineRule="auto"/>
        <w:rPr>
          <w:rFonts w:ascii="Verdana" w:hAnsi="Verdana"/>
          <w:sz w:val="20"/>
          <w:szCs w:val="20"/>
          <w:lang w:val="en-US"/>
        </w:rPr>
      </w:pPr>
    </w:p>
    <w:p w14:paraId="427CF72F" w14:textId="77777777" w:rsidR="00DD21BA" w:rsidRPr="00EA6C7A" w:rsidRDefault="00DD21BA" w:rsidP="00DD21BA">
      <w:pPr>
        <w:spacing w:after="0" w:line="240" w:lineRule="auto"/>
        <w:rPr>
          <w:rFonts w:ascii="Verdana" w:hAnsi="Verdana"/>
          <w:sz w:val="20"/>
          <w:szCs w:val="20"/>
          <w:lang w:val="en-US"/>
        </w:rPr>
      </w:pPr>
      <w:r w:rsidRPr="00EA6C7A">
        <w:rPr>
          <w:rFonts w:ascii="Verdana" w:hAnsi="Verdana"/>
          <w:sz w:val="20"/>
          <w:szCs w:val="20"/>
          <w:lang w:val="en-US"/>
        </w:rPr>
        <w:t xml:space="preserve">Pablo Saavedra Alessandri, </w:t>
      </w:r>
      <w:r w:rsidR="0096418F" w:rsidRPr="00EA6C7A">
        <w:rPr>
          <w:rFonts w:ascii="Verdana" w:hAnsi="Verdana"/>
          <w:sz w:val="20"/>
          <w:szCs w:val="20"/>
          <w:lang w:val="en-US"/>
        </w:rPr>
        <w:t>Secretary</w:t>
      </w:r>
      <w:r w:rsidRPr="00EA6C7A">
        <w:rPr>
          <w:rFonts w:ascii="Verdana" w:hAnsi="Verdana"/>
          <w:sz w:val="20"/>
          <w:szCs w:val="20"/>
          <w:lang w:val="en-US"/>
        </w:rPr>
        <w:t xml:space="preserve">, </w:t>
      </w:r>
      <w:r w:rsidR="0096418F" w:rsidRPr="00EA6C7A">
        <w:rPr>
          <w:rFonts w:ascii="Verdana" w:hAnsi="Verdana"/>
          <w:sz w:val="20"/>
          <w:szCs w:val="20"/>
          <w:lang w:val="en-US"/>
        </w:rPr>
        <w:t>and</w:t>
      </w:r>
    </w:p>
    <w:p w14:paraId="4F23A0D0" w14:textId="77777777" w:rsidR="00DD21BA" w:rsidRPr="00EA6C7A" w:rsidRDefault="00DD21BA" w:rsidP="00DD21BA">
      <w:pPr>
        <w:tabs>
          <w:tab w:val="left" w:pos="720"/>
          <w:tab w:val="left" w:pos="851"/>
        </w:tabs>
        <w:spacing w:after="0" w:line="240" w:lineRule="auto"/>
        <w:rPr>
          <w:rFonts w:ascii="Verdana" w:hAnsi="Verdana"/>
          <w:sz w:val="20"/>
          <w:szCs w:val="20"/>
        </w:rPr>
      </w:pPr>
      <w:r w:rsidRPr="00EA6C7A">
        <w:rPr>
          <w:rFonts w:ascii="Verdana" w:hAnsi="Verdana"/>
          <w:sz w:val="20"/>
          <w:szCs w:val="20"/>
        </w:rPr>
        <w:t xml:space="preserve">Emilia Segares Rodríguez, </w:t>
      </w:r>
      <w:proofErr w:type="spellStart"/>
      <w:r w:rsidR="0096418F" w:rsidRPr="00EA6C7A">
        <w:rPr>
          <w:rFonts w:ascii="Verdana" w:hAnsi="Verdana"/>
          <w:sz w:val="20"/>
          <w:szCs w:val="20"/>
        </w:rPr>
        <w:t>Deputy</w:t>
      </w:r>
      <w:proofErr w:type="spellEnd"/>
      <w:r w:rsidR="0096418F" w:rsidRPr="00EA6C7A">
        <w:rPr>
          <w:rFonts w:ascii="Verdana" w:hAnsi="Verdana"/>
          <w:sz w:val="20"/>
          <w:szCs w:val="20"/>
        </w:rPr>
        <w:t xml:space="preserve"> </w:t>
      </w:r>
      <w:proofErr w:type="spellStart"/>
      <w:r w:rsidRPr="00EA6C7A">
        <w:rPr>
          <w:rFonts w:ascii="Verdana" w:hAnsi="Verdana"/>
          <w:sz w:val="20"/>
          <w:szCs w:val="20"/>
        </w:rPr>
        <w:t>Secretar</w:t>
      </w:r>
      <w:r w:rsidR="0096418F" w:rsidRPr="00EA6C7A">
        <w:rPr>
          <w:rFonts w:ascii="Verdana" w:hAnsi="Verdana"/>
          <w:sz w:val="20"/>
          <w:szCs w:val="20"/>
        </w:rPr>
        <w:t>y</w:t>
      </w:r>
      <w:proofErr w:type="spellEnd"/>
      <w:r w:rsidRPr="00EA6C7A">
        <w:rPr>
          <w:rFonts w:ascii="Verdana" w:hAnsi="Verdana"/>
          <w:sz w:val="20"/>
          <w:szCs w:val="20"/>
        </w:rPr>
        <w:t>,</w:t>
      </w:r>
    </w:p>
    <w:p w14:paraId="24DD2421" w14:textId="77777777" w:rsidR="00DD21BA" w:rsidRPr="00EA6C7A" w:rsidRDefault="00DD21BA" w:rsidP="00DD21BA">
      <w:pPr>
        <w:tabs>
          <w:tab w:val="left" w:pos="851"/>
        </w:tabs>
        <w:spacing w:after="0" w:line="240" w:lineRule="auto"/>
        <w:rPr>
          <w:rFonts w:ascii="Verdana" w:hAnsi="Verdana"/>
          <w:sz w:val="20"/>
          <w:szCs w:val="20"/>
        </w:rPr>
      </w:pPr>
    </w:p>
    <w:p w14:paraId="52BFD44A" w14:textId="77777777" w:rsidR="00DD21BA" w:rsidRPr="00EA6C7A" w:rsidRDefault="00DD21BA" w:rsidP="00DD21BA">
      <w:pPr>
        <w:tabs>
          <w:tab w:val="left" w:pos="5578"/>
        </w:tabs>
        <w:spacing w:after="0" w:line="240" w:lineRule="auto"/>
        <w:rPr>
          <w:rFonts w:ascii="Verdana" w:hAnsi="Verdana"/>
          <w:sz w:val="20"/>
          <w:szCs w:val="20"/>
        </w:rPr>
      </w:pPr>
    </w:p>
    <w:p w14:paraId="243FED9B" w14:textId="77777777" w:rsidR="00DD21BA" w:rsidRPr="00EA6C7A" w:rsidRDefault="005B7D2E" w:rsidP="00DD21BA">
      <w:pPr>
        <w:tabs>
          <w:tab w:val="left" w:pos="851"/>
        </w:tabs>
        <w:spacing w:after="0" w:line="240" w:lineRule="auto"/>
        <w:jc w:val="both"/>
        <w:rPr>
          <w:rFonts w:ascii="Verdana" w:hAnsi="Verdana" w:cs="Verdana"/>
          <w:sz w:val="20"/>
          <w:szCs w:val="20"/>
          <w:lang w:val="en-US"/>
        </w:rPr>
      </w:pPr>
      <w:r w:rsidRPr="00EA6C7A">
        <w:rPr>
          <w:rFonts w:ascii="Verdana" w:hAnsi="Verdana" w:cs="Verdana"/>
          <w:sz w:val="20"/>
          <w:szCs w:val="20"/>
          <w:lang w:val="en-US"/>
        </w:rPr>
        <w:t>p</w:t>
      </w:r>
      <w:r w:rsidR="0096418F" w:rsidRPr="00EA6C7A">
        <w:rPr>
          <w:rFonts w:ascii="Verdana" w:hAnsi="Verdana" w:cs="Verdana"/>
          <w:sz w:val="20"/>
          <w:szCs w:val="20"/>
          <w:lang w:val="en-US"/>
        </w:rPr>
        <w:t>ursuant to Articles</w:t>
      </w:r>
      <w:r w:rsidR="00DD21BA" w:rsidRPr="00EA6C7A">
        <w:rPr>
          <w:rFonts w:ascii="Verdana" w:hAnsi="Verdana" w:cs="Verdana"/>
          <w:sz w:val="20"/>
          <w:szCs w:val="20"/>
          <w:lang w:val="en-US"/>
        </w:rPr>
        <w:t xml:space="preserve"> 62</w:t>
      </w:r>
      <w:r w:rsidR="0096418F" w:rsidRPr="00EA6C7A">
        <w:rPr>
          <w:rFonts w:ascii="Verdana" w:hAnsi="Verdana" w:cs="Verdana"/>
          <w:sz w:val="20"/>
          <w:szCs w:val="20"/>
          <w:lang w:val="en-US"/>
        </w:rPr>
        <w:t>(</w:t>
      </w:r>
      <w:r w:rsidR="00DD21BA" w:rsidRPr="00EA6C7A">
        <w:rPr>
          <w:rFonts w:ascii="Verdana" w:hAnsi="Verdana" w:cs="Verdana"/>
          <w:sz w:val="20"/>
          <w:szCs w:val="20"/>
          <w:lang w:val="en-US"/>
        </w:rPr>
        <w:t>3</w:t>
      </w:r>
      <w:r w:rsidR="0096418F" w:rsidRPr="00EA6C7A">
        <w:rPr>
          <w:rFonts w:ascii="Verdana" w:hAnsi="Verdana" w:cs="Verdana"/>
          <w:sz w:val="20"/>
          <w:szCs w:val="20"/>
          <w:lang w:val="en-US"/>
        </w:rPr>
        <w:t>)</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and</w:t>
      </w:r>
      <w:r w:rsidR="00DD21BA" w:rsidRPr="00EA6C7A">
        <w:rPr>
          <w:rFonts w:ascii="Verdana" w:hAnsi="Verdana" w:cs="Verdana"/>
          <w:sz w:val="20"/>
          <w:szCs w:val="20"/>
          <w:lang w:val="en-US"/>
        </w:rPr>
        <w:t xml:space="preserve"> 63</w:t>
      </w:r>
      <w:r w:rsidR="0096418F" w:rsidRPr="00EA6C7A">
        <w:rPr>
          <w:rFonts w:ascii="Verdana" w:hAnsi="Verdana" w:cs="Verdana"/>
          <w:sz w:val="20"/>
          <w:szCs w:val="20"/>
          <w:lang w:val="en-US"/>
        </w:rPr>
        <w:t>(</w:t>
      </w:r>
      <w:r w:rsidR="00DD21BA" w:rsidRPr="00EA6C7A">
        <w:rPr>
          <w:rFonts w:ascii="Verdana" w:hAnsi="Verdana" w:cs="Verdana"/>
          <w:sz w:val="20"/>
          <w:szCs w:val="20"/>
          <w:lang w:val="en-US"/>
        </w:rPr>
        <w:t>1</w:t>
      </w:r>
      <w:r w:rsidR="0096418F" w:rsidRPr="00EA6C7A">
        <w:rPr>
          <w:rFonts w:ascii="Verdana" w:hAnsi="Verdana" w:cs="Verdana"/>
          <w:sz w:val="20"/>
          <w:szCs w:val="20"/>
          <w:lang w:val="en-US"/>
        </w:rPr>
        <w:t>) of the American Convention on Human Rights</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hereinafter</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the American Convention</w:t>
      </w:r>
      <w:r w:rsidR="00DD21BA" w:rsidRPr="00EA6C7A">
        <w:rPr>
          <w:rFonts w:ascii="Verdana" w:hAnsi="Verdana" w:cs="Verdana"/>
          <w:sz w:val="20"/>
          <w:szCs w:val="20"/>
          <w:lang w:val="en-US"/>
        </w:rPr>
        <w:t>” o</w:t>
      </w:r>
      <w:r w:rsidR="0096418F" w:rsidRPr="00EA6C7A">
        <w:rPr>
          <w:rFonts w:ascii="Verdana" w:hAnsi="Verdana" w:cs="Verdana"/>
          <w:sz w:val="20"/>
          <w:szCs w:val="20"/>
          <w:lang w:val="en-US"/>
        </w:rPr>
        <w:t>r</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the Convention</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and</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Articles</w:t>
      </w:r>
      <w:r w:rsidR="00DD21BA" w:rsidRPr="00EA6C7A">
        <w:rPr>
          <w:rFonts w:ascii="Verdana" w:hAnsi="Verdana" w:cs="Verdana"/>
          <w:sz w:val="20"/>
          <w:szCs w:val="20"/>
          <w:lang w:val="en-US"/>
        </w:rPr>
        <w:t xml:space="preserve"> 31, 32, 42, 65 </w:t>
      </w:r>
      <w:r w:rsidR="0096418F" w:rsidRPr="00EA6C7A">
        <w:rPr>
          <w:rFonts w:ascii="Verdana" w:hAnsi="Verdana" w:cs="Verdana"/>
          <w:sz w:val="20"/>
          <w:szCs w:val="20"/>
          <w:lang w:val="en-US"/>
        </w:rPr>
        <w:t>and</w:t>
      </w:r>
      <w:r w:rsidR="00DD21BA" w:rsidRPr="00EA6C7A">
        <w:rPr>
          <w:rFonts w:ascii="Verdana" w:hAnsi="Verdana" w:cs="Verdana"/>
          <w:sz w:val="20"/>
          <w:szCs w:val="20"/>
          <w:lang w:val="en-US"/>
        </w:rPr>
        <w:t xml:space="preserve"> 67</w:t>
      </w:r>
      <w:r w:rsidR="0096418F" w:rsidRPr="00EA6C7A">
        <w:rPr>
          <w:rFonts w:ascii="Verdana" w:hAnsi="Verdana" w:cs="Verdana"/>
          <w:sz w:val="20"/>
          <w:szCs w:val="20"/>
          <w:lang w:val="en-US"/>
        </w:rPr>
        <w:t xml:space="preserve"> of the Rules of Procedure of the Court</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hereinafter</w:t>
      </w:r>
      <w:r w:rsidR="00DD21BA" w:rsidRPr="00EA6C7A">
        <w:rPr>
          <w:rFonts w:ascii="Verdana" w:hAnsi="Verdana" w:cs="Verdana"/>
          <w:sz w:val="20"/>
          <w:szCs w:val="20"/>
          <w:lang w:val="en-US"/>
        </w:rPr>
        <w:t xml:space="preserve"> “</w:t>
      </w:r>
      <w:r w:rsidR="0096418F" w:rsidRPr="00EA6C7A">
        <w:rPr>
          <w:rFonts w:ascii="Verdana" w:hAnsi="Verdana" w:cs="Verdana"/>
          <w:sz w:val="20"/>
          <w:szCs w:val="20"/>
          <w:lang w:val="en-US"/>
        </w:rPr>
        <w:t>the Rules of Procedure</w:t>
      </w:r>
      <w:r w:rsidR="00DD21BA" w:rsidRPr="00EA6C7A">
        <w:rPr>
          <w:rFonts w:ascii="Verdana" w:hAnsi="Verdana" w:cs="Verdana"/>
          <w:sz w:val="20"/>
          <w:szCs w:val="20"/>
          <w:lang w:val="en-US"/>
        </w:rPr>
        <w:t>”), d</w:t>
      </w:r>
      <w:r w:rsidR="0096418F" w:rsidRPr="00EA6C7A">
        <w:rPr>
          <w:rFonts w:ascii="Verdana" w:hAnsi="Verdana" w:cs="Verdana"/>
          <w:sz w:val="20"/>
          <w:szCs w:val="20"/>
          <w:lang w:val="en-US"/>
        </w:rPr>
        <w:t>elivers this judgment, structured as follows:</w:t>
      </w:r>
    </w:p>
    <w:p w14:paraId="438B1B2A" w14:textId="77777777" w:rsidR="00DD21BA" w:rsidRPr="00EA6C7A" w:rsidRDefault="00CF183D" w:rsidP="00F445E2">
      <w:pPr>
        <w:tabs>
          <w:tab w:val="left" w:pos="851"/>
        </w:tabs>
        <w:spacing w:after="0" w:line="240" w:lineRule="auto"/>
        <w:jc w:val="both"/>
        <w:rPr>
          <w:rFonts w:ascii="Verdana" w:hAnsi="Verdana" w:cs="Verdana"/>
          <w:sz w:val="20"/>
          <w:szCs w:val="20"/>
          <w:lang w:val="en-US"/>
        </w:rPr>
      </w:pPr>
      <w:r w:rsidRPr="00EA6C7A">
        <w:rPr>
          <w:rFonts w:ascii="Verdana" w:hAnsi="Verdana" w:cs="Verdana"/>
          <w:sz w:val="20"/>
          <w:szCs w:val="20"/>
          <w:lang w:val="en-US"/>
        </w:rPr>
        <w:br w:type="page"/>
      </w:r>
    </w:p>
    <w:p w14:paraId="4A9DFB84" w14:textId="77777777" w:rsidR="00DD21BA" w:rsidRPr="00EA6C7A" w:rsidRDefault="0096418F" w:rsidP="00F445E2">
      <w:pPr>
        <w:tabs>
          <w:tab w:val="left" w:pos="851"/>
        </w:tabs>
        <w:spacing w:after="0" w:line="240" w:lineRule="auto"/>
        <w:jc w:val="center"/>
        <w:rPr>
          <w:rFonts w:ascii="Verdana" w:hAnsi="Verdana" w:cs="Verdana"/>
          <w:b/>
          <w:sz w:val="20"/>
          <w:szCs w:val="20"/>
          <w:lang w:val="en-US"/>
        </w:rPr>
      </w:pPr>
      <w:r w:rsidRPr="00EA6C7A">
        <w:rPr>
          <w:rFonts w:ascii="Verdana" w:hAnsi="Verdana" w:cs="Verdana"/>
          <w:b/>
          <w:sz w:val="20"/>
          <w:szCs w:val="20"/>
          <w:lang w:val="en-US"/>
        </w:rPr>
        <w:lastRenderedPageBreak/>
        <w:t>TABLE OF CONTENTS</w:t>
      </w:r>
    </w:p>
    <w:p w14:paraId="29C6C7F4" w14:textId="77777777" w:rsidR="00F445E2" w:rsidRPr="00EA6C7A" w:rsidRDefault="00F445E2" w:rsidP="00F445E2">
      <w:pPr>
        <w:tabs>
          <w:tab w:val="left" w:pos="851"/>
        </w:tabs>
        <w:spacing w:after="0" w:line="240" w:lineRule="auto"/>
        <w:jc w:val="center"/>
        <w:rPr>
          <w:rFonts w:ascii="Verdana" w:hAnsi="Verdana" w:cs="Verdana"/>
          <w:b/>
          <w:sz w:val="20"/>
          <w:szCs w:val="20"/>
          <w:lang w:val="en-US"/>
        </w:rPr>
      </w:pPr>
    </w:p>
    <w:bookmarkStart w:id="0" w:name="_Toc431804605"/>
    <w:bookmarkStart w:id="1" w:name="_Toc431801372"/>
    <w:p w14:paraId="49F19CAE" w14:textId="2183E18B" w:rsidR="00FD4DBE" w:rsidRPr="00EA6C7A" w:rsidRDefault="00177710">
      <w:pPr>
        <w:pStyle w:val="TDC1"/>
        <w:rPr>
          <w:rFonts w:asciiTheme="minorHAnsi" w:eastAsiaTheme="minorEastAsia" w:hAnsiTheme="minorHAnsi" w:cstheme="minorBidi"/>
          <w:b w:val="0"/>
          <w:bCs w:val="0"/>
          <w:iCs w:val="0"/>
          <w:sz w:val="22"/>
          <w:szCs w:val="22"/>
          <w:lang w:val="en-US" w:eastAsia="en-US"/>
        </w:rPr>
      </w:pPr>
      <w:r w:rsidRPr="00EA6C7A">
        <w:rPr>
          <w:rFonts w:cs="Verdana"/>
          <w:lang w:val="en-US"/>
        </w:rPr>
        <w:fldChar w:fldCharType="begin"/>
      </w:r>
      <w:r w:rsidRPr="00EA6C7A">
        <w:rPr>
          <w:rFonts w:cs="Verdana"/>
          <w:lang w:val="en-US"/>
        </w:rPr>
        <w:instrText xml:space="preserve"> TOC \o "1-3" \h \z \u </w:instrText>
      </w:r>
      <w:r w:rsidRPr="00EA6C7A">
        <w:rPr>
          <w:rFonts w:cs="Verdana"/>
          <w:lang w:val="en-US"/>
        </w:rPr>
        <w:fldChar w:fldCharType="separate"/>
      </w:r>
      <w:hyperlink w:anchor="_Toc26002285" w:history="1">
        <w:r w:rsidR="00FD4DBE" w:rsidRPr="00EA6C7A">
          <w:rPr>
            <w:rStyle w:val="Hipervnculo"/>
            <w:lang w:val="en-US"/>
          </w:rPr>
          <w:t>I INTRODUCTION OF THE CASE AND PURPOSE OF THE DISPUTE</w:t>
        </w:r>
        <w:r w:rsidR="00FD4DBE" w:rsidRPr="00EA6C7A">
          <w:rPr>
            <w:webHidden/>
          </w:rPr>
          <w:tab/>
        </w:r>
        <w:r w:rsidR="00FD4DBE" w:rsidRPr="00EA6C7A">
          <w:rPr>
            <w:webHidden/>
          </w:rPr>
          <w:fldChar w:fldCharType="begin"/>
        </w:r>
        <w:r w:rsidR="00FD4DBE" w:rsidRPr="00EA6C7A">
          <w:rPr>
            <w:webHidden/>
          </w:rPr>
          <w:instrText xml:space="preserve"> PAGEREF _Toc26002285 \h </w:instrText>
        </w:r>
        <w:r w:rsidR="00FD4DBE" w:rsidRPr="00EA6C7A">
          <w:rPr>
            <w:webHidden/>
          </w:rPr>
        </w:r>
        <w:r w:rsidR="00FD4DBE" w:rsidRPr="00EA6C7A">
          <w:rPr>
            <w:webHidden/>
          </w:rPr>
          <w:fldChar w:fldCharType="separate"/>
        </w:r>
        <w:r w:rsidR="005559F5">
          <w:rPr>
            <w:webHidden/>
          </w:rPr>
          <w:t>4</w:t>
        </w:r>
        <w:r w:rsidR="00FD4DBE" w:rsidRPr="00EA6C7A">
          <w:rPr>
            <w:webHidden/>
          </w:rPr>
          <w:fldChar w:fldCharType="end"/>
        </w:r>
      </w:hyperlink>
    </w:p>
    <w:p w14:paraId="55148C29" w14:textId="10BF6B23"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286" w:history="1">
        <w:r w:rsidR="00FD4DBE" w:rsidRPr="00EA6C7A">
          <w:rPr>
            <w:rStyle w:val="Hipervnculo"/>
            <w:lang w:val="en-US"/>
          </w:rPr>
          <w:t>II PROCEEDINGS BEFORE THE COURT</w:t>
        </w:r>
        <w:r w:rsidR="00FD4DBE" w:rsidRPr="00EA6C7A">
          <w:rPr>
            <w:webHidden/>
          </w:rPr>
          <w:tab/>
        </w:r>
        <w:r w:rsidR="00FD4DBE" w:rsidRPr="00EA6C7A">
          <w:rPr>
            <w:webHidden/>
          </w:rPr>
          <w:fldChar w:fldCharType="begin"/>
        </w:r>
        <w:r w:rsidR="00FD4DBE" w:rsidRPr="00EA6C7A">
          <w:rPr>
            <w:webHidden/>
          </w:rPr>
          <w:instrText xml:space="preserve"> PAGEREF _Toc26002286 \h </w:instrText>
        </w:r>
        <w:r w:rsidR="00FD4DBE" w:rsidRPr="00EA6C7A">
          <w:rPr>
            <w:webHidden/>
          </w:rPr>
        </w:r>
        <w:r w:rsidR="00FD4DBE" w:rsidRPr="00EA6C7A">
          <w:rPr>
            <w:webHidden/>
          </w:rPr>
          <w:fldChar w:fldCharType="separate"/>
        </w:r>
        <w:r>
          <w:rPr>
            <w:webHidden/>
          </w:rPr>
          <w:t>6</w:t>
        </w:r>
        <w:r w:rsidR="00FD4DBE" w:rsidRPr="00EA6C7A">
          <w:rPr>
            <w:webHidden/>
          </w:rPr>
          <w:fldChar w:fldCharType="end"/>
        </w:r>
      </w:hyperlink>
    </w:p>
    <w:p w14:paraId="1051EFA4" w14:textId="67509C29"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287" w:history="1">
        <w:r w:rsidR="00FD4DBE" w:rsidRPr="00EA6C7A">
          <w:rPr>
            <w:rStyle w:val="Hipervnculo"/>
            <w:rFonts w:cs="Verdana"/>
            <w:caps/>
            <w:snapToGrid w:val="0"/>
            <w:lang w:val="en-US" w:eastAsia="es-ES"/>
          </w:rPr>
          <w:t xml:space="preserve">III </w:t>
        </w:r>
        <w:r w:rsidR="00FD4DBE" w:rsidRPr="00EA6C7A">
          <w:rPr>
            <w:rStyle w:val="Hipervnculo"/>
            <w:lang w:val="en-US"/>
          </w:rPr>
          <w:t>JURISDICTION</w:t>
        </w:r>
        <w:r w:rsidR="00FD4DBE" w:rsidRPr="00EA6C7A">
          <w:rPr>
            <w:webHidden/>
          </w:rPr>
          <w:tab/>
        </w:r>
        <w:r w:rsidR="00FD4DBE" w:rsidRPr="00EA6C7A">
          <w:rPr>
            <w:webHidden/>
          </w:rPr>
          <w:fldChar w:fldCharType="begin"/>
        </w:r>
        <w:r w:rsidR="00FD4DBE" w:rsidRPr="00EA6C7A">
          <w:rPr>
            <w:webHidden/>
          </w:rPr>
          <w:instrText xml:space="preserve"> PAGEREF _Toc26002287 \h </w:instrText>
        </w:r>
        <w:r w:rsidR="00FD4DBE" w:rsidRPr="00EA6C7A">
          <w:rPr>
            <w:webHidden/>
          </w:rPr>
        </w:r>
        <w:r w:rsidR="00FD4DBE" w:rsidRPr="00EA6C7A">
          <w:rPr>
            <w:webHidden/>
          </w:rPr>
          <w:fldChar w:fldCharType="separate"/>
        </w:r>
        <w:r>
          <w:rPr>
            <w:webHidden/>
          </w:rPr>
          <w:t>7</w:t>
        </w:r>
        <w:r w:rsidR="00FD4DBE" w:rsidRPr="00EA6C7A">
          <w:rPr>
            <w:webHidden/>
          </w:rPr>
          <w:fldChar w:fldCharType="end"/>
        </w:r>
      </w:hyperlink>
    </w:p>
    <w:p w14:paraId="32632BE3" w14:textId="4C55D0A3"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288" w:history="1">
        <w:r w:rsidR="00FD4DBE" w:rsidRPr="00EA6C7A">
          <w:rPr>
            <w:rStyle w:val="Hipervnculo"/>
            <w:rFonts w:cs="Verdana"/>
            <w:caps/>
            <w:snapToGrid w:val="0"/>
            <w:lang w:val="en-US" w:eastAsia="es-ES"/>
          </w:rPr>
          <w:t xml:space="preserve">IV </w:t>
        </w:r>
        <w:r w:rsidR="00FD4DBE" w:rsidRPr="00EA6C7A">
          <w:rPr>
            <w:rStyle w:val="Hipervnculo"/>
            <w:rFonts w:eastAsia="Calibri"/>
            <w:lang w:val="en-US"/>
          </w:rPr>
          <w:t>PRELIMINARY OBJECTIONS</w:t>
        </w:r>
        <w:r w:rsidR="00FD4DBE" w:rsidRPr="00EA6C7A">
          <w:rPr>
            <w:webHidden/>
          </w:rPr>
          <w:tab/>
        </w:r>
        <w:r w:rsidR="00FD4DBE" w:rsidRPr="00EA6C7A">
          <w:rPr>
            <w:webHidden/>
          </w:rPr>
          <w:fldChar w:fldCharType="begin"/>
        </w:r>
        <w:r w:rsidR="00FD4DBE" w:rsidRPr="00EA6C7A">
          <w:rPr>
            <w:webHidden/>
          </w:rPr>
          <w:instrText xml:space="preserve"> PAGEREF _Toc26002288 \h </w:instrText>
        </w:r>
        <w:r w:rsidR="00FD4DBE" w:rsidRPr="00EA6C7A">
          <w:rPr>
            <w:webHidden/>
          </w:rPr>
        </w:r>
        <w:r w:rsidR="00FD4DBE" w:rsidRPr="00EA6C7A">
          <w:rPr>
            <w:webHidden/>
          </w:rPr>
          <w:fldChar w:fldCharType="separate"/>
        </w:r>
        <w:r>
          <w:rPr>
            <w:webHidden/>
          </w:rPr>
          <w:t>7</w:t>
        </w:r>
        <w:r w:rsidR="00FD4DBE" w:rsidRPr="00EA6C7A">
          <w:rPr>
            <w:webHidden/>
          </w:rPr>
          <w:fldChar w:fldCharType="end"/>
        </w:r>
      </w:hyperlink>
    </w:p>
    <w:p w14:paraId="21977DFB" w14:textId="78311B7B" w:rsidR="00FD4DBE" w:rsidRPr="00EA6C7A" w:rsidRDefault="005559F5">
      <w:pPr>
        <w:pStyle w:val="TDC2"/>
        <w:rPr>
          <w:rFonts w:asciiTheme="minorHAnsi" w:eastAsiaTheme="minorEastAsia" w:hAnsiTheme="minorHAnsi" w:cstheme="minorBidi"/>
          <w:b w:val="0"/>
          <w:bCs w:val="0"/>
          <w:sz w:val="22"/>
          <w:lang w:val="en-US" w:eastAsia="en-US"/>
        </w:rPr>
      </w:pPr>
      <w:hyperlink w:anchor="_Toc26002289" w:history="1">
        <w:r w:rsidR="00FD4DBE" w:rsidRPr="00EA6C7A">
          <w:rPr>
            <w:rStyle w:val="Hipervnculo"/>
            <w:rFonts w:eastAsia="Calibri"/>
            <w:lang w:val="en-US"/>
          </w:rPr>
          <w:t>A. Preliminary objection concerning lack of material jurisdiction over Article 7 of the Convention of Belém do Pará</w:t>
        </w:r>
        <w:r w:rsidR="00FD4DBE" w:rsidRPr="00EA6C7A">
          <w:rPr>
            <w:webHidden/>
          </w:rPr>
          <w:tab/>
        </w:r>
        <w:r w:rsidR="00FD4DBE" w:rsidRPr="00EA6C7A">
          <w:rPr>
            <w:webHidden/>
          </w:rPr>
          <w:fldChar w:fldCharType="begin"/>
        </w:r>
        <w:r w:rsidR="00FD4DBE" w:rsidRPr="00EA6C7A">
          <w:rPr>
            <w:webHidden/>
          </w:rPr>
          <w:instrText xml:space="preserve"> PAGEREF _Toc26002289 \h </w:instrText>
        </w:r>
        <w:r w:rsidR="00FD4DBE" w:rsidRPr="00EA6C7A">
          <w:rPr>
            <w:webHidden/>
          </w:rPr>
        </w:r>
        <w:r w:rsidR="00FD4DBE" w:rsidRPr="00EA6C7A">
          <w:rPr>
            <w:webHidden/>
          </w:rPr>
          <w:fldChar w:fldCharType="separate"/>
        </w:r>
        <w:r>
          <w:rPr>
            <w:webHidden/>
          </w:rPr>
          <w:t>7</w:t>
        </w:r>
        <w:r w:rsidR="00FD4DBE" w:rsidRPr="00EA6C7A">
          <w:rPr>
            <w:webHidden/>
          </w:rPr>
          <w:fldChar w:fldCharType="end"/>
        </w:r>
      </w:hyperlink>
    </w:p>
    <w:p w14:paraId="4BC8C9D8" w14:textId="649EBCE2" w:rsidR="00FD4DBE" w:rsidRPr="00EA6C7A" w:rsidRDefault="005559F5">
      <w:pPr>
        <w:pStyle w:val="TDC3"/>
        <w:rPr>
          <w:rFonts w:asciiTheme="minorHAnsi" w:eastAsiaTheme="minorEastAsia" w:hAnsiTheme="minorHAnsi" w:cstheme="minorBidi"/>
          <w:noProof/>
          <w:sz w:val="22"/>
          <w:szCs w:val="22"/>
          <w:lang w:val="en-US" w:eastAsia="en-US"/>
        </w:rPr>
      </w:pPr>
      <w:hyperlink w:anchor="_Toc26002290" w:history="1">
        <w:r w:rsidR="00FD4DBE" w:rsidRPr="00EA6C7A">
          <w:rPr>
            <w:rStyle w:val="Hipervnculo"/>
            <w:rFonts w:eastAsia="Calibri"/>
            <w:noProof/>
            <w:lang w:val="en-US"/>
          </w:rPr>
          <w:t>A.1. Arguments of the parties and the Commission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_Toc26002290 \h </w:instrText>
        </w:r>
        <w:r w:rsidR="00FD4DBE" w:rsidRPr="00EA6C7A">
          <w:rPr>
            <w:noProof/>
            <w:webHidden/>
          </w:rPr>
        </w:r>
        <w:r w:rsidR="00FD4DBE" w:rsidRPr="00EA6C7A">
          <w:rPr>
            <w:noProof/>
            <w:webHidden/>
          </w:rPr>
          <w:fldChar w:fldCharType="separate"/>
        </w:r>
        <w:r>
          <w:rPr>
            <w:noProof/>
            <w:webHidden/>
          </w:rPr>
          <w:t>7</w:t>
        </w:r>
        <w:r w:rsidR="00FD4DBE" w:rsidRPr="00EA6C7A">
          <w:rPr>
            <w:noProof/>
            <w:webHidden/>
          </w:rPr>
          <w:fldChar w:fldCharType="end"/>
        </w:r>
      </w:hyperlink>
    </w:p>
    <w:p w14:paraId="70F43E21" w14:textId="611CD693" w:rsidR="00FD4DBE" w:rsidRPr="00EA6C7A" w:rsidRDefault="005559F5">
      <w:pPr>
        <w:pStyle w:val="TDC3"/>
        <w:rPr>
          <w:rFonts w:asciiTheme="minorHAnsi" w:eastAsiaTheme="minorEastAsia" w:hAnsiTheme="minorHAnsi" w:cstheme="minorBidi"/>
          <w:noProof/>
          <w:sz w:val="22"/>
          <w:szCs w:val="22"/>
          <w:lang w:val="en-US" w:eastAsia="en-US"/>
        </w:rPr>
      </w:pPr>
      <w:hyperlink w:anchor="_Toc26002291" w:history="1">
        <w:r w:rsidR="00FD4DBE" w:rsidRPr="00EA6C7A">
          <w:rPr>
            <w:rStyle w:val="Hipervnculo"/>
            <w:noProof/>
            <w:lang w:val="en-US"/>
          </w:rPr>
          <w:t>A.2. Considerations of the Court</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_Toc26002291 \h </w:instrText>
        </w:r>
        <w:r w:rsidR="00FD4DBE" w:rsidRPr="00EA6C7A">
          <w:rPr>
            <w:noProof/>
            <w:webHidden/>
          </w:rPr>
        </w:r>
        <w:r w:rsidR="00FD4DBE" w:rsidRPr="00EA6C7A">
          <w:rPr>
            <w:noProof/>
            <w:webHidden/>
          </w:rPr>
          <w:fldChar w:fldCharType="separate"/>
        </w:r>
        <w:r>
          <w:rPr>
            <w:noProof/>
            <w:webHidden/>
          </w:rPr>
          <w:t>8</w:t>
        </w:r>
        <w:r w:rsidR="00FD4DBE" w:rsidRPr="00EA6C7A">
          <w:rPr>
            <w:noProof/>
            <w:webHidden/>
          </w:rPr>
          <w:fldChar w:fldCharType="end"/>
        </w:r>
      </w:hyperlink>
    </w:p>
    <w:p w14:paraId="65006FF2" w14:textId="57BB7FD7" w:rsidR="00FD4DBE" w:rsidRPr="00EA6C7A" w:rsidRDefault="005559F5">
      <w:pPr>
        <w:pStyle w:val="TDC2"/>
        <w:rPr>
          <w:rFonts w:asciiTheme="minorHAnsi" w:eastAsiaTheme="minorEastAsia" w:hAnsiTheme="minorHAnsi" w:cstheme="minorBidi"/>
          <w:b w:val="0"/>
          <w:bCs w:val="0"/>
          <w:sz w:val="22"/>
          <w:lang w:val="en-US" w:eastAsia="en-US"/>
        </w:rPr>
      </w:pPr>
      <w:hyperlink w:anchor="_Toc26002292" w:history="1">
        <w:r w:rsidR="00FD4DBE" w:rsidRPr="00EA6C7A">
          <w:rPr>
            <w:rStyle w:val="Hipervnculo"/>
            <w:rFonts w:eastAsia="Calibri"/>
            <w:lang w:val="en-US"/>
          </w:rPr>
          <w:t>B. Objection of failure to exhaust domestic remedies</w:t>
        </w:r>
        <w:r w:rsidR="00FD4DBE" w:rsidRPr="00EA6C7A">
          <w:rPr>
            <w:webHidden/>
          </w:rPr>
          <w:tab/>
        </w:r>
        <w:r w:rsidR="00FD4DBE" w:rsidRPr="00EA6C7A">
          <w:rPr>
            <w:webHidden/>
          </w:rPr>
          <w:fldChar w:fldCharType="begin"/>
        </w:r>
        <w:r w:rsidR="00FD4DBE" w:rsidRPr="00EA6C7A">
          <w:rPr>
            <w:webHidden/>
          </w:rPr>
          <w:instrText xml:space="preserve"> PAGEREF _Toc26002292 \h </w:instrText>
        </w:r>
        <w:r w:rsidR="00FD4DBE" w:rsidRPr="00EA6C7A">
          <w:rPr>
            <w:webHidden/>
          </w:rPr>
        </w:r>
        <w:r w:rsidR="00FD4DBE" w:rsidRPr="00EA6C7A">
          <w:rPr>
            <w:webHidden/>
          </w:rPr>
          <w:fldChar w:fldCharType="separate"/>
        </w:r>
        <w:r>
          <w:rPr>
            <w:webHidden/>
          </w:rPr>
          <w:t>9</w:t>
        </w:r>
        <w:r w:rsidR="00FD4DBE" w:rsidRPr="00EA6C7A">
          <w:rPr>
            <w:webHidden/>
          </w:rPr>
          <w:fldChar w:fldCharType="end"/>
        </w:r>
      </w:hyperlink>
    </w:p>
    <w:p w14:paraId="5CD38FC6" w14:textId="3E1536CC" w:rsidR="00FD4DBE" w:rsidRPr="00EA6C7A" w:rsidRDefault="005559F5">
      <w:pPr>
        <w:pStyle w:val="TDC3"/>
        <w:rPr>
          <w:rFonts w:asciiTheme="minorHAnsi" w:eastAsiaTheme="minorEastAsia" w:hAnsiTheme="minorHAnsi" w:cstheme="minorBidi"/>
          <w:noProof/>
          <w:sz w:val="22"/>
          <w:szCs w:val="22"/>
          <w:lang w:val="en-US" w:eastAsia="en-US"/>
        </w:rPr>
      </w:pPr>
      <w:hyperlink w:anchor="_Toc26002293" w:history="1">
        <w:r w:rsidR="00FD4DBE" w:rsidRPr="00EA6C7A">
          <w:rPr>
            <w:rStyle w:val="Hipervnculo"/>
            <w:rFonts w:eastAsia="Calibri"/>
            <w:noProof/>
            <w:lang w:val="en-US"/>
          </w:rPr>
          <w:t>B.1. Arguments of the parties and the Commission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_Toc26002293 \h </w:instrText>
        </w:r>
        <w:r w:rsidR="00FD4DBE" w:rsidRPr="00EA6C7A">
          <w:rPr>
            <w:noProof/>
            <w:webHidden/>
          </w:rPr>
        </w:r>
        <w:r w:rsidR="00FD4DBE" w:rsidRPr="00EA6C7A">
          <w:rPr>
            <w:noProof/>
            <w:webHidden/>
          </w:rPr>
          <w:fldChar w:fldCharType="separate"/>
        </w:r>
        <w:r>
          <w:rPr>
            <w:noProof/>
            <w:webHidden/>
          </w:rPr>
          <w:t>9</w:t>
        </w:r>
        <w:r w:rsidR="00FD4DBE" w:rsidRPr="00EA6C7A">
          <w:rPr>
            <w:noProof/>
            <w:webHidden/>
          </w:rPr>
          <w:fldChar w:fldCharType="end"/>
        </w:r>
      </w:hyperlink>
    </w:p>
    <w:p w14:paraId="3B3F783F" w14:textId="1DE59AE0" w:rsidR="00FD4DBE" w:rsidRPr="00EA6C7A" w:rsidRDefault="005559F5">
      <w:pPr>
        <w:pStyle w:val="TDC3"/>
        <w:rPr>
          <w:rFonts w:asciiTheme="minorHAnsi" w:eastAsiaTheme="minorEastAsia" w:hAnsiTheme="minorHAnsi" w:cstheme="minorBidi"/>
          <w:noProof/>
          <w:sz w:val="22"/>
          <w:szCs w:val="22"/>
          <w:lang w:val="en-US" w:eastAsia="en-US"/>
        </w:rPr>
      </w:pPr>
      <w:hyperlink w:anchor="_Toc26002294" w:history="1">
        <w:r w:rsidR="00FD4DBE" w:rsidRPr="00EA6C7A">
          <w:rPr>
            <w:rStyle w:val="Hipervnculo"/>
            <w:noProof/>
            <w:lang w:val="en-US"/>
          </w:rPr>
          <w:t>B.2. Considerations of the Court</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_Toc26002294 \h </w:instrText>
        </w:r>
        <w:r w:rsidR="00FD4DBE" w:rsidRPr="00EA6C7A">
          <w:rPr>
            <w:noProof/>
            <w:webHidden/>
          </w:rPr>
        </w:r>
        <w:r w:rsidR="00FD4DBE" w:rsidRPr="00EA6C7A">
          <w:rPr>
            <w:noProof/>
            <w:webHidden/>
          </w:rPr>
          <w:fldChar w:fldCharType="separate"/>
        </w:r>
        <w:r>
          <w:rPr>
            <w:noProof/>
            <w:webHidden/>
          </w:rPr>
          <w:t>10</w:t>
        </w:r>
        <w:r w:rsidR="00FD4DBE" w:rsidRPr="00EA6C7A">
          <w:rPr>
            <w:noProof/>
            <w:webHidden/>
          </w:rPr>
          <w:fldChar w:fldCharType="end"/>
        </w:r>
      </w:hyperlink>
    </w:p>
    <w:p w14:paraId="0CF4D026" w14:textId="3AB2FEE0"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295" w:history="1">
        <w:r w:rsidR="00FD4DBE" w:rsidRPr="00EA6C7A">
          <w:rPr>
            <w:rStyle w:val="Hipervnculo"/>
            <w:lang w:val="en-US"/>
          </w:rPr>
          <w:t xml:space="preserve">V </w:t>
        </w:r>
      </w:hyperlink>
      <w:hyperlink w:anchor="_Toc26002296" w:history="1">
        <w:r w:rsidR="00FD4DBE" w:rsidRPr="00EA6C7A">
          <w:rPr>
            <w:rStyle w:val="Hipervnculo"/>
            <w:lang w:val="en-US"/>
          </w:rPr>
          <w:t>EVIDENCE</w:t>
        </w:r>
        <w:r w:rsidR="00FD4DBE" w:rsidRPr="00EA6C7A">
          <w:rPr>
            <w:webHidden/>
          </w:rPr>
          <w:tab/>
        </w:r>
        <w:r w:rsidR="00FD4DBE" w:rsidRPr="00EA6C7A">
          <w:rPr>
            <w:webHidden/>
          </w:rPr>
          <w:fldChar w:fldCharType="begin"/>
        </w:r>
        <w:r w:rsidR="00FD4DBE" w:rsidRPr="00EA6C7A">
          <w:rPr>
            <w:webHidden/>
          </w:rPr>
          <w:instrText xml:space="preserve"> PAGEREF _Toc26002296 \h </w:instrText>
        </w:r>
        <w:r w:rsidR="00FD4DBE" w:rsidRPr="00EA6C7A">
          <w:rPr>
            <w:webHidden/>
          </w:rPr>
        </w:r>
        <w:r w:rsidR="00FD4DBE" w:rsidRPr="00EA6C7A">
          <w:rPr>
            <w:webHidden/>
          </w:rPr>
          <w:fldChar w:fldCharType="separate"/>
        </w:r>
        <w:r>
          <w:rPr>
            <w:webHidden/>
          </w:rPr>
          <w:t>12</w:t>
        </w:r>
        <w:r w:rsidR="00FD4DBE" w:rsidRPr="00EA6C7A">
          <w:rPr>
            <w:webHidden/>
          </w:rPr>
          <w:fldChar w:fldCharType="end"/>
        </w:r>
      </w:hyperlink>
    </w:p>
    <w:p w14:paraId="26E1EB51" w14:textId="1EB7E793" w:rsidR="00FD4DBE" w:rsidRPr="00EA6C7A" w:rsidRDefault="005559F5">
      <w:pPr>
        <w:pStyle w:val="TDC2"/>
        <w:rPr>
          <w:rFonts w:asciiTheme="minorHAnsi" w:eastAsiaTheme="minorEastAsia" w:hAnsiTheme="minorHAnsi" w:cstheme="minorBidi"/>
          <w:b w:val="0"/>
          <w:bCs w:val="0"/>
          <w:sz w:val="22"/>
          <w:lang w:val="en-US" w:eastAsia="en-US"/>
        </w:rPr>
      </w:pPr>
      <w:hyperlink w:anchor="_Toc26002297" w:history="1">
        <w:r w:rsidR="00FD4DBE" w:rsidRPr="00EA6C7A">
          <w:rPr>
            <w:rStyle w:val="Hipervnculo"/>
            <w:lang w:val="en-US" w:eastAsia="es-ES"/>
          </w:rPr>
          <w:t>A.</w:t>
        </w:r>
        <w:r w:rsidR="00FD4DBE" w:rsidRPr="00EA6C7A">
          <w:rPr>
            <w:rFonts w:asciiTheme="minorHAnsi" w:eastAsiaTheme="minorEastAsia" w:hAnsiTheme="minorHAnsi" w:cstheme="minorBidi"/>
            <w:b w:val="0"/>
            <w:bCs w:val="0"/>
            <w:sz w:val="22"/>
            <w:lang w:val="en-US" w:eastAsia="en-US"/>
          </w:rPr>
          <w:tab/>
        </w:r>
        <w:r w:rsidR="00FD4DBE" w:rsidRPr="00EA6C7A">
          <w:rPr>
            <w:rStyle w:val="Hipervnculo"/>
            <w:lang w:val="en-US" w:eastAsia="es-ES"/>
          </w:rPr>
          <w:t>Documentary, testimonial and expert evidence</w:t>
        </w:r>
        <w:r w:rsidR="00FD4DBE" w:rsidRPr="00EA6C7A">
          <w:rPr>
            <w:webHidden/>
          </w:rPr>
          <w:tab/>
        </w:r>
        <w:r w:rsidR="00FD4DBE" w:rsidRPr="00EA6C7A">
          <w:rPr>
            <w:webHidden/>
          </w:rPr>
          <w:fldChar w:fldCharType="begin"/>
        </w:r>
        <w:r w:rsidR="00FD4DBE" w:rsidRPr="00EA6C7A">
          <w:rPr>
            <w:webHidden/>
          </w:rPr>
          <w:instrText xml:space="preserve"> PAGEREF _Toc26002297 \h </w:instrText>
        </w:r>
        <w:r w:rsidR="00FD4DBE" w:rsidRPr="00EA6C7A">
          <w:rPr>
            <w:webHidden/>
          </w:rPr>
        </w:r>
        <w:r w:rsidR="00FD4DBE" w:rsidRPr="00EA6C7A">
          <w:rPr>
            <w:webHidden/>
          </w:rPr>
          <w:fldChar w:fldCharType="separate"/>
        </w:r>
        <w:r>
          <w:rPr>
            <w:webHidden/>
          </w:rPr>
          <w:t>12</w:t>
        </w:r>
        <w:r w:rsidR="00FD4DBE" w:rsidRPr="00EA6C7A">
          <w:rPr>
            <w:webHidden/>
          </w:rPr>
          <w:fldChar w:fldCharType="end"/>
        </w:r>
      </w:hyperlink>
    </w:p>
    <w:p w14:paraId="440D4E07" w14:textId="5E1A9A98" w:rsidR="00FD4DBE" w:rsidRPr="00EA6C7A" w:rsidRDefault="005559F5">
      <w:pPr>
        <w:pStyle w:val="TDC2"/>
        <w:rPr>
          <w:rFonts w:asciiTheme="minorHAnsi" w:eastAsiaTheme="minorEastAsia" w:hAnsiTheme="minorHAnsi" w:cstheme="minorBidi"/>
          <w:b w:val="0"/>
          <w:bCs w:val="0"/>
          <w:sz w:val="22"/>
          <w:lang w:val="en-US" w:eastAsia="en-US"/>
        </w:rPr>
      </w:pPr>
      <w:hyperlink w:anchor="_Toc26002298" w:history="1">
        <w:r w:rsidR="00FD4DBE" w:rsidRPr="00EA6C7A">
          <w:rPr>
            <w:rStyle w:val="Hipervnculo"/>
            <w:lang w:val="en-US"/>
          </w:rPr>
          <w:t>B.</w:t>
        </w:r>
        <w:r w:rsidR="00FD4DBE" w:rsidRPr="00EA6C7A">
          <w:rPr>
            <w:rFonts w:asciiTheme="minorHAnsi" w:eastAsiaTheme="minorEastAsia" w:hAnsiTheme="minorHAnsi" w:cstheme="minorBidi"/>
            <w:b w:val="0"/>
            <w:bCs w:val="0"/>
            <w:sz w:val="22"/>
            <w:lang w:val="en-US" w:eastAsia="en-US"/>
          </w:rPr>
          <w:tab/>
        </w:r>
        <w:r w:rsidR="00FD4DBE" w:rsidRPr="00EA6C7A">
          <w:rPr>
            <w:rStyle w:val="Hipervnculo"/>
            <w:lang w:val="en-US"/>
          </w:rPr>
          <w:t>Admission of the evidence</w:t>
        </w:r>
        <w:r w:rsidR="00FD4DBE" w:rsidRPr="00EA6C7A">
          <w:rPr>
            <w:webHidden/>
          </w:rPr>
          <w:tab/>
        </w:r>
        <w:r w:rsidR="00FD4DBE" w:rsidRPr="00EA6C7A">
          <w:rPr>
            <w:webHidden/>
          </w:rPr>
          <w:fldChar w:fldCharType="begin"/>
        </w:r>
        <w:r w:rsidR="00FD4DBE" w:rsidRPr="00EA6C7A">
          <w:rPr>
            <w:webHidden/>
          </w:rPr>
          <w:instrText xml:space="preserve"> PAGEREF _Toc26002298 \h </w:instrText>
        </w:r>
        <w:r w:rsidR="00FD4DBE" w:rsidRPr="00EA6C7A">
          <w:rPr>
            <w:webHidden/>
          </w:rPr>
        </w:r>
        <w:r w:rsidR="00FD4DBE" w:rsidRPr="00EA6C7A">
          <w:rPr>
            <w:webHidden/>
          </w:rPr>
          <w:fldChar w:fldCharType="separate"/>
        </w:r>
        <w:r>
          <w:rPr>
            <w:webHidden/>
          </w:rPr>
          <w:t>12</w:t>
        </w:r>
        <w:r w:rsidR="00FD4DBE" w:rsidRPr="00EA6C7A">
          <w:rPr>
            <w:webHidden/>
          </w:rPr>
          <w:fldChar w:fldCharType="end"/>
        </w:r>
      </w:hyperlink>
    </w:p>
    <w:p w14:paraId="4D7746F2" w14:textId="30B752E0" w:rsidR="00FD4DBE" w:rsidRPr="00EA6C7A" w:rsidRDefault="005559F5">
      <w:pPr>
        <w:pStyle w:val="TDC3"/>
        <w:tabs>
          <w:tab w:val="left" w:pos="660"/>
        </w:tabs>
        <w:rPr>
          <w:rFonts w:asciiTheme="minorHAnsi" w:eastAsiaTheme="minorEastAsia" w:hAnsiTheme="minorHAnsi" w:cstheme="minorBidi"/>
          <w:noProof/>
          <w:sz w:val="22"/>
          <w:szCs w:val="22"/>
          <w:lang w:val="en-US" w:eastAsia="en-US"/>
        </w:rPr>
      </w:pPr>
      <w:hyperlink w:anchor="_Toc26002299" w:history="1">
        <w:r w:rsidR="00FD4DBE" w:rsidRPr="00EA6C7A">
          <w:rPr>
            <w:rStyle w:val="Hipervnculo"/>
            <w:rFonts w:eastAsia="Verdana"/>
            <w:noProof/>
            <w:lang w:val="en-US"/>
          </w:rPr>
          <w:t>B.1.</w:t>
        </w:r>
        <w:r w:rsidR="00FD4DBE" w:rsidRPr="00EA6C7A">
          <w:rPr>
            <w:rFonts w:asciiTheme="minorHAnsi" w:eastAsiaTheme="minorEastAsia" w:hAnsiTheme="minorHAnsi" w:cstheme="minorBidi"/>
            <w:noProof/>
            <w:sz w:val="22"/>
            <w:szCs w:val="22"/>
            <w:lang w:val="en-US" w:eastAsia="en-US"/>
          </w:rPr>
          <w:tab/>
        </w:r>
        <w:r w:rsidR="00FD4DBE" w:rsidRPr="00EA6C7A">
          <w:rPr>
            <w:rStyle w:val="Hipervnculo"/>
            <w:rFonts w:eastAsia="Verdana"/>
            <w:noProof/>
            <w:lang w:val="en-US"/>
          </w:rPr>
          <w:t>Admission of the documentary evidence</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_Toc26002299 \h </w:instrText>
        </w:r>
        <w:r w:rsidR="00FD4DBE" w:rsidRPr="00EA6C7A">
          <w:rPr>
            <w:noProof/>
            <w:webHidden/>
          </w:rPr>
        </w:r>
        <w:r w:rsidR="00FD4DBE" w:rsidRPr="00EA6C7A">
          <w:rPr>
            <w:noProof/>
            <w:webHidden/>
          </w:rPr>
          <w:fldChar w:fldCharType="separate"/>
        </w:r>
        <w:r>
          <w:rPr>
            <w:noProof/>
            <w:webHidden/>
          </w:rPr>
          <w:t>12</w:t>
        </w:r>
        <w:r w:rsidR="00FD4DBE" w:rsidRPr="00EA6C7A">
          <w:rPr>
            <w:noProof/>
            <w:webHidden/>
          </w:rPr>
          <w:fldChar w:fldCharType="end"/>
        </w:r>
      </w:hyperlink>
    </w:p>
    <w:p w14:paraId="73E99B09" w14:textId="24980D4B"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00" w:history="1">
        <w:r w:rsidR="00FD4DBE" w:rsidRPr="00EA6C7A">
          <w:rPr>
            <w:rStyle w:val="Hipervnculo"/>
            <w:noProof/>
            <w:lang w:val="en-US"/>
          </w:rPr>
          <w:t xml:space="preserve">B.2.    </w:t>
        </w:r>
        <w:r w:rsidR="00FD4DBE" w:rsidRPr="00EA6C7A">
          <w:rPr>
            <w:rStyle w:val="Hipervnculo"/>
            <w:rFonts w:eastAsia="Verdana" w:cs="Verdana"/>
            <w:noProof/>
            <w:lang w:val="en-US"/>
          </w:rPr>
          <w:t>Admission of the testimonial and expert evidence</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_Toc26002300 \h </w:instrText>
        </w:r>
        <w:r w:rsidR="00FD4DBE" w:rsidRPr="00EA6C7A">
          <w:rPr>
            <w:noProof/>
            <w:webHidden/>
          </w:rPr>
        </w:r>
        <w:r w:rsidR="00FD4DBE" w:rsidRPr="00EA6C7A">
          <w:rPr>
            <w:noProof/>
            <w:webHidden/>
          </w:rPr>
          <w:fldChar w:fldCharType="separate"/>
        </w:r>
        <w:r>
          <w:rPr>
            <w:noProof/>
            <w:webHidden/>
          </w:rPr>
          <w:t>13</w:t>
        </w:r>
        <w:r w:rsidR="00FD4DBE" w:rsidRPr="00EA6C7A">
          <w:rPr>
            <w:noProof/>
            <w:webHidden/>
          </w:rPr>
          <w:fldChar w:fldCharType="end"/>
        </w:r>
      </w:hyperlink>
    </w:p>
    <w:p w14:paraId="63EDA267" w14:textId="319562F3" w:rsidR="00FD4DBE" w:rsidRPr="00EA6C7A" w:rsidRDefault="005559F5">
      <w:pPr>
        <w:pStyle w:val="TDC2"/>
        <w:rPr>
          <w:rFonts w:asciiTheme="minorHAnsi" w:eastAsiaTheme="minorEastAsia" w:hAnsiTheme="minorHAnsi" w:cstheme="minorBidi"/>
          <w:b w:val="0"/>
          <w:bCs w:val="0"/>
          <w:sz w:val="22"/>
          <w:lang w:val="en-US" w:eastAsia="en-US"/>
        </w:rPr>
      </w:pPr>
      <w:hyperlink w:anchor="_Toc26002301" w:history="1">
        <w:r w:rsidR="00FD4DBE" w:rsidRPr="00EA6C7A">
          <w:rPr>
            <w:rStyle w:val="Hipervnculo"/>
            <w:rFonts w:eastAsia="Verdana"/>
            <w:lang w:val="en-US"/>
          </w:rPr>
          <w:t>C.</w:t>
        </w:r>
        <w:r w:rsidR="00FD4DBE" w:rsidRPr="00EA6C7A">
          <w:rPr>
            <w:rFonts w:asciiTheme="minorHAnsi" w:eastAsiaTheme="minorEastAsia" w:hAnsiTheme="minorHAnsi" w:cstheme="minorBidi"/>
            <w:b w:val="0"/>
            <w:bCs w:val="0"/>
            <w:sz w:val="22"/>
            <w:lang w:val="en-US" w:eastAsia="en-US"/>
          </w:rPr>
          <w:tab/>
        </w:r>
        <w:r w:rsidR="00FD4DBE" w:rsidRPr="00EA6C7A">
          <w:rPr>
            <w:rStyle w:val="Hipervnculo"/>
            <w:rFonts w:eastAsia="Verdana"/>
            <w:lang w:val="en-US"/>
          </w:rPr>
          <w:t>Assessment of the evidence</w:t>
        </w:r>
        <w:r w:rsidR="00FD4DBE" w:rsidRPr="00EA6C7A">
          <w:rPr>
            <w:webHidden/>
          </w:rPr>
          <w:tab/>
        </w:r>
        <w:r w:rsidR="00FD4DBE" w:rsidRPr="00EA6C7A">
          <w:rPr>
            <w:webHidden/>
          </w:rPr>
          <w:fldChar w:fldCharType="begin"/>
        </w:r>
        <w:r w:rsidR="00FD4DBE" w:rsidRPr="00EA6C7A">
          <w:rPr>
            <w:webHidden/>
          </w:rPr>
          <w:instrText xml:space="preserve"> PAGEREF _Toc26002301 \h </w:instrText>
        </w:r>
        <w:r w:rsidR="00FD4DBE" w:rsidRPr="00EA6C7A">
          <w:rPr>
            <w:webHidden/>
          </w:rPr>
        </w:r>
        <w:r w:rsidR="00FD4DBE" w:rsidRPr="00EA6C7A">
          <w:rPr>
            <w:webHidden/>
          </w:rPr>
          <w:fldChar w:fldCharType="separate"/>
        </w:r>
        <w:r>
          <w:rPr>
            <w:webHidden/>
          </w:rPr>
          <w:t>14</w:t>
        </w:r>
        <w:r w:rsidR="00FD4DBE" w:rsidRPr="00EA6C7A">
          <w:rPr>
            <w:webHidden/>
          </w:rPr>
          <w:fldChar w:fldCharType="end"/>
        </w:r>
      </w:hyperlink>
    </w:p>
    <w:p w14:paraId="2E7C2641" w14:textId="1D63283C"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302" w:history="1">
        <w:r w:rsidR="00FD4DBE" w:rsidRPr="00EA6C7A">
          <w:rPr>
            <w:rStyle w:val="Hipervnculo"/>
            <w:rFonts w:eastAsia="Calibri"/>
            <w:lang w:val="en-US"/>
          </w:rPr>
          <w:t>VI</w:t>
        </w:r>
        <w:r w:rsidR="00FD4DBE" w:rsidRPr="00EA6C7A">
          <w:rPr>
            <w:webHidden/>
            <w:lang w:val="en-US"/>
          </w:rPr>
          <w:t xml:space="preserve"> </w:t>
        </w:r>
      </w:hyperlink>
      <w:hyperlink w:anchor="_Toc26002303" w:history="1">
        <w:r w:rsidR="00FD4DBE" w:rsidRPr="00EA6C7A">
          <w:rPr>
            <w:rStyle w:val="Hipervnculo"/>
            <w:rFonts w:eastAsia="Calibri"/>
            <w:lang w:val="en-US"/>
          </w:rPr>
          <w:t>FACTS</w:t>
        </w:r>
        <w:r w:rsidR="00FD4DBE" w:rsidRPr="00EA6C7A">
          <w:rPr>
            <w:webHidden/>
          </w:rPr>
          <w:tab/>
        </w:r>
        <w:r w:rsidR="00FD4DBE" w:rsidRPr="00EA6C7A">
          <w:rPr>
            <w:webHidden/>
          </w:rPr>
          <w:fldChar w:fldCharType="begin"/>
        </w:r>
        <w:r w:rsidR="00FD4DBE" w:rsidRPr="00EA6C7A">
          <w:rPr>
            <w:webHidden/>
          </w:rPr>
          <w:instrText xml:space="preserve"> PAGEREF _Toc26002303 \h </w:instrText>
        </w:r>
        <w:r w:rsidR="00FD4DBE" w:rsidRPr="00EA6C7A">
          <w:rPr>
            <w:webHidden/>
          </w:rPr>
        </w:r>
        <w:r w:rsidR="00FD4DBE" w:rsidRPr="00EA6C7A">
          <w:rPr>
            <w:webHidden/>
          </w:rPr>
          <w:fldChar w:fldCharType="separate"/>
        </w:r>
        <w:r>
          <w:rPr>
            <w:webHidden/>
          </w:rPr>
          <w:t>15</w:t>
        </w:r>
        <w:r w:rsidR="00FD4DBE" w:rsidRPr="00EA6C7A">
          <w:rPr>
            <w:webHidden/>
          </w:rPr>
          <w:fldChar w:fldCharType="end"/>
        </w:r>
      </w:hyperlink>
    </w:p>
    <w:p w14:paraId="6BD46779" w14:textId="4AFFB453" w:rsidR="00FD4DBE" w:rsidRPr="00EA6C7A" w:rsidRDefault="005559F5">
      <w:pPr>
        <w:pStyle w:val="TDC2"/>
        <w:rPr>
          <w:rFonts w:asciiTheme="minorHAnsi" w:eastAsiaTheme="minorEastAsia" w:hAnsiTheme="minorHAnsi" w:cstheme="minorBidi"/>
          <w:b w:val="0"/>
          <w:bCs w:val="0"/>
          <w:sz w:val="22"/>
          <w:lang w:val="en-US" w:eastAsia="en-US"/>
        </w:rPr>
      </w:pPr>
      <w:hyperlink w:anchor="_Toc26002304" w:history="1">
        <w:r w:rsidR="00FD4DBE" w:rsidRPr="00EA6C7A">
          <w:rPr>
            <w:rStyle w:val="Hipervnculo"/>
            <w:rFonts w:eastAsia="Calibri"/>
            <w:lang w:val="en-US"/>
          </w:rPr>
          <w:t>A.</w:t>
        </w:r>
        <w:r w:rsidR="00FD4DBE" w:rsidRPr="00EA6C7A">
          <w:rPr>
            <w:rFonts w:asciiTheme="minorHAnsi" w:eastAsiaTheme="minorEastAsia" w:hAnsiTheme="minorHAnsi" w:cstheme="minorBidi"/>
            <w:b w:val="0"/>
            <w:bCs w:val="0"/>
            <w:sz w:val="22"/>
            <w:lang w:val="en-US" w:eastAsia="en-US"/>
          </w:rPr>
          <w:tab/>
        </w:r>
        <w:r w:rsidR="00FD4DBE" w:rsidRPr="00EA6C7A">
          <w:rPr>
            <w:rStyle w:val="Hipervnculo"/>
            <w:rFonts w:eastAsia="Calibri"/>
            <w:lang w:val="en-US"/>
          </w:rPr>
          <w:t>Context in which the facts of the case occurred</w:t>
        </w:r>
        <w:r w:rsidR="00FD4DBE" w:rsidRPr="00EA6C7A">
          <w:rPr>
            <w:webHidden/>
          </w:rPr>
          <w:tab/>
        </w:r>
        <w:r w:rsidR="00FD4DBE" w:rsidRPr="00EA6C7A">
          <w:rPr>
            <w:webHidden/>
          </w:rPr>
          <w:fldChar w:fldCharType="begin"/>
        </w:r>
        <w:r w:rsidR="00FD4DBE" w:rsidRPr="00EA6C7A">
          <w:rPr>
            <w:webHidden/>
          </w:rPr>
          <w:instrText xml:space="preserve"> PAGEREF _Toc26002304 \h </w:instrText>
        </w:r>
        <w:r w:rsidR="00FD4DBE" w:rsidRPr="00EA6C7A">
          <w:rPr>
            <w:webHidden/>
          </w:rPr>
        </w:r>
        <w:r w:rsidR="00FD4DBE" w:rsidRPr="00EA6C7A">
          <w:rPr>
            <w:webHidden/>
          </w:rPr>
          <w:fldChar w:fldCharType="separate"/>
        </w:r>
        <w:r>
          <w:rPr>
            <w:webHidden/>
          </w:rPr>
          <w:t>15</w:t>
        </w:r>
        <w:r w:rsidR="00FD4DBE" w:rsidRPr="00EA6C7A">
          <w:rPr>
            <w:webHidden/>
          </w:rPr>
          <w:fldChar w:fldCharType="end"/>
        </w:r>
      </w:hyperlink>
    </w:p>
    <w:p w14:paraId="4E928152" w14:textId="2A345058" w:rsidR="00FD4DBE" w:rsidRPr="00EA6C7A" w:rsidRDefault="005559F5">
      <w:pPr>
        <w:pStyle w:val="TDC2"/>
        <w:rPr>
          <w:rFonts w:asciiTheme="minorHAnsi" w:eastAsiaTheme="minorEastAsia" w:hAnsiTheme="minorHAnsi" w:cstheme="minorBidi"/>
          <w:b w:val="0"/>
          <w:bCs w:val="0"/>
          <w:sz w:val="22"/>
          <w:lang w:val="en-US" w:eastAsia="en-US"/>
        </w:rPr>
      </w:pPr>
      <w:hyperlink w:anchor="_Toc26002305" w:history="1">
        <w:r w:rsidR="00FD4DBE" w:rsidRPr="00EA6C7A">
          <w:rPr>
            <w:rStyle w:val="Hipervnculo"/>
            <w:rFonts w:eastAsia="Calibri"/>
            <w:lang w:val="en-US"/>
          </w:rPr>
          <w:t>B.</w:t>
        </w:r>
        <w:r w:rsidR="00FD4DBE" w:rsidRPr="00EA6C7A">
          <w:rPr>
            <w:rFonts w:asciiTheme="minorHAnsi" w:eastAsiaTheme="minorEastAsia" w:hAnsiTheme="minorHAnsi" w:cstheme="minorBidi"/>
            <w:b w:val="0"/>
            <w:bCs w:val="0"/>
            <w:sz w:val="22"/>
            <w:lang w:val="en-US" w:eastAsia="en-US"/>
          </w:rPr>
          <w:tab/>
        </w:r>
        <w:r w:rsidR="00FD4DBE" w:rsidRPr="00EA6C7A">
          <w:rPr>
            <w:rStyle w:val="Hipervnculo"/>
            <w:rFonts w:eastAsia="Calibri"/>
            <w:lang w:val="en-US"/>
          </w:rPr>
          <w:t>Facts of the case concerning Claudina Isabel Velásquez Paiz</w:t>
        </w:r>
        <w:r w:rsidR="00FD4DBE" w:rsidRPr="00EA6C7A">
          <w:rPr>
            <w:webHidden/>
          </w:rPr>
          <w:tab/>
        </w:r>
        <w:r w:rsidR="00FD4DBE" w:rsidRPr="00EA6C7A">
          <w:rPr>
            <w:webHidden/>
          </w:rPr>
          <w:fldChar w:fldCharType="begin"/>
        </w:r>
        <w:r w:rsidR="00FD4DBE" w:rsidRPr="00EA6C7A">
          <w:rPr>
            <w:webHidden/>
          </w:rPr>
          <w:instrText xml:space="preserve"> PAGEREF _Toc26002305 \h </w:instrText>
        </w:r>
        <w:r w:rsidR="00FD4DBE" w:rsidRPr="00EA6C7A">
          <w:rPr>
            <w:webHidden/>
          </w:rPr>
        </w:r>
        <w:r w:rsidR="00FD4DBE" w:rsidRPr="00EA6C7A">
          <w:rPr>
            <w:webHidden/>
          </w:rPr>
          <w:fldChar w:fldCharType="separate"/>
        </w:r>
        <w:r>
          <w:rPr>
            <w:webHidden/>
          </w:rPr>
          <w:t>19</w:t>
        </w:r>
        <w:r w:rsidR="00FD4DBE" w:rsidRPr="00EA6C7A">
          <w:rPr>
            <w:webHidden/>
          </w:rPr>
          <w:fldChar w:fldCharType="end"/>
        </w:r>
      </w:hyperlink>
    </w:p>
    <w:p w14:paraId="65780413" w14:textId="402E8D7F" w:rsidR="00FD4DBE" w:rsidRPr="00EA6C7A" w:rsidRDefault="005559F5">
      <w:pPr>
        <w:pStyle w:val="TDC2"/>
        <w:rPr>
          <w:rFonts w:asciiTheme="minorHAnsi" w:eastAsiaTheme="minorEastAsia" w:hAnsiTheme="minorHAnsi" w:cstheme="minorBidi"/>
          <w:b w:val="0"/>
          <w:bCs w:val="0"/>
          <w:sz w:val="22"/>
          <w:lang w:val="en-US" w:eastAsia="en-US"/>
        </w:rPr>
      </w:pPr>
      <w:hyperlink w:anchor="_Toc26002306" w:history="1">
        <w:r w:rsidR="00FD4DBE" w:rsidRPr="00EA6C7A">
          <w:rPr>
            <w:rStyle w:val="Hipervnculo"/>
            <w:b w:val="0"/>
            <w:bCs w:val="0"/>
            <w:lang w:val="en-US"/>
          </w:rPr>
          <w:t>B.1. Report of her disappearance</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_Toc26002306 \h </w:instrText>
        </w:r>
        <w:r w:rsidR="00FD4DBE" w:rsidRPr="00EA6C7A">
          <w:rPr>
            <w:b w:val="0"/>
            <w:bCs w:val="0"/>
            <w:webHidden/>
          </w:rPr>
        </w:r>
        <w:r w:rsidR="00FD4DBE" w:rsidRPr="00EA6C7A">
          <w:rPr>
            <w:b w:val="0"/>
            <w:bCs w:val="0"/>
            <w:webHidden/>
          </w:rPr>
          <w:fldChar w:fldCharType="separate"/>
        </w:r>
        <w:r>
          <w:rPr>
            <w:b w:val="0"/>
            <w:bCs w:val="0"/>
            <w:webHidden/>
          </w:rPr>
          <w:t>19</w:t>
        </w:r>
        <w:r w:rsidR="00FD4DBE" w:rsidRPr="00EA6C7A">
          <w:rPr>
            <w:b w:val="0"/>
            <w:bCs w:val="0"/>
            <w:webHidden/>
          </w:rPr>
          <w:fldChar w:fldCharType="end"/>
        </w:r>
      </w:hyperlink>
    </w:p>
    <w:p w14:paraId="48412C36" w14:textId="2659FFED" w:rsidR="00FD4DBE" w:rsidRPr="00EA6C7A" w:rsidRDefault="005559F5">
      <w:pPr>
        <w:pStyle w:val="TDC2"/>
        <w:rPr>
          <w:rFonts w:asciiTheme="minorHAnsi" w:eastAsiaTheme="minorEastAsia" w:hAnsiTheme="minorHAnsi" w:cstheme="minorBidi"/>
          <w:b w:val="0"/>
          <w:bCs w:val="0"/>
          <w:sz w:val="22"/>
          <w:lang w:val="en-US" w:eastAsia="en-US"/>
        </w:rPr>
      </w:pPr>
      <w:hyperlink w:anchor="_Toc26002307" w:history="1">
        <w:r w:rsidR="00FD4DBE" w:rsidRPr="00EA6C7A">
          <w:rPr>
            <w:rStyle w:val="Hipervnculo"/>
            <w:b w:val="0"/>
            <w:bCs w:val="0"/>
            <w:lang w:val="en-US"/>
          </w:rPr>
          <w:t>B.2. Discovery of the body and initial procedures</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_Toc26002307 \h </w:instrText>
        </w:r>
        <w:r w:rsidR="00FD4DBE" w:rsidRPr="00EA6C7A">
          <w:rPr>
            <w:b w:val="0"/>
            <w:bCs w:val="0"/>
            <w:webHidden/>
          </w:rPr>
        </w:r>
        <w:r w:rsidR="00FD4DBE" w:rsidRPr="00EA6C7A">
          <w:rPr>
            <w:b w:val="0"/>
            <w:bCs w:val="0"/>
            <w:webHidden/>
          </w:rPr>
          <w:fldChar w:fldCharType="separate"/>
        </w:r>
        <w:r>
          <w:rPr>
            <w:b w:val="0"/>
            <w:bCs w:val="0"/>
            <w:webHidden/>
          </w:rPr>
          <w:t>20</w:t>
        </w:r>
        <w:r w:rsidR="00FD4DBE" w:rsidRPr="00EA6C7A">
          <w:rPr>
            <w:b w:val="0"/>
            <w:bCs w:val="0"/>
            <w:webHidden/>
          </w:rPr>
          <w:fldChar w:fldCharType="end"/>
        </w:r>
      </w:hyperlink>
    </w:p>
    <w:p w14:paraId="0749EF42" w14:textId="759CE9F7" w:rsidR="00FD4DBE" w:rsidRPr="00EA6C7A" w:rsidRDefault="005559F5">
      <w:pPr>
        <w:pStyle w:val="TDC2"/>
        <w:rPr>
          <w:rFonts w:asciiTheme="minorHAnsi" w:eastAsiaTheme="minorEastAsia" w:hAnsiTheme="minorHAnsi" w:cstheme="minorBidi"/>
          <w:b w:val="0"/>
          <w:bCs w:val="0"/>
          <w:sz w:val="22"/>
          <w:lang w:val="en-US" w:eastAsia="en-US"/>
        </w:rPr>
      </w:pPr>
      <w:hyperlink w:anchor="_Toc26002308" w:history="1">
        <w:r w:rsidR="00FD4DBE" w:rsidRPr="00EA6C7A">
          <w:rPr>
            <w:rStyle w:val="Hipervnculo"/>
            <w:b w:val="0"/>
            <w:bCs w:val="0"/>
            <w:lang w:val="en-US"/>
          </w:rPr>
          <w:t>B.3. Criminal investigation</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_Toc26002308 \h </w:instrText>
        </w:r>
        <w:r w:rsidR="00FD4DBE" w:rsidRPr="00EA6C7A">
          <w:rPr>
            <w:b w:val="0"/>
            <w:bCs w:val="0"/>
            <w:webHidden/>
          </w:rPr>
        </w:r>
        <w:r w:rsidR="00FD4DBE" w:rsidRPr="00EA6C7A">
          <w:rPr>
            <w:b w:val="0"/>
            <w:bCs w:val="0"/>
            <w:webHidden/>
          </w:rPr>
          <w:fldChar w:fldCharType="separate"/>
        </w:r>
        <w:r>
          <w:rPr>
            <w:b w:val="0"/>
            <w:bCs w:val="0"/>
            <w:webHidden/>
          </w:rPr>
          <w:t>22</w:t>
        </w:r>
        <w:r w:rsidR="00FD4DBE" w:rsidRPr="00EA6C7A">
          <w:rPr>
            <w:b w:val="0"/>
            <w:bCs w:val="0"/>
            <w:webHidden/>
          </w:rPr>
          <w:fldChar w:fldCharType="end"/>
        </w:r>
      </w:hyperlink>
    </w:p>
    <w:p w14:paraId="3A6C7013" w14:textId="6D148C74" w:rsidR="00FD4DBE" w:rsidRPr="00EA6C7A" w:rsidRDefault="005559F5">
      <w:pPr>
        <w:pStyle w:val="TDC2"/>
        <w:rPr>
          <w:rFonts w:asciiTheme="minorHAnsi" w:eastAsiaTheme="minorEastAsia" w:hAnsiTheme="minorHAnsi" w:cstheme="minorBidi"/>
          <w:b w:val="0"/>
          <w:bCs w:val="0"/>
          <w:sz w:val="22"/>
          <w:lang w:val="en-US" w:eastAsia="en-US"/>
        </w:rPr>
      </w:pPr>
      <w:hyperlink w:anchor="_Toc26002309" w:history="1">
        <w:r w:rsidR="00FD4DBE" w:rsidRPr="00EA6C7A">
          <w:rPr>
            <w:rStyle w:val="Hipervnculo"/>
            <w:rFonts w:eastAsia="Batang"/>
            <w:b w:val="0"/>
            <w:bCs w:val="0"/>
            <w:lang w:val="en-US" w:eastAsia="es-MX"/>
          </w:rPr>
          <w:t>B.4. Investigation by the Guatemalan Ombudsman</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_Toc26002309 \h </w:instrText>
        </w:r>
        <w:r w:rsidR="00FD4DBE" w:rsidRPr="00EA6C7A">
          <w:rPr>
            <w:b w:val="0"/>
            <w:bCs w:val="0"/>
            <w:webHidden/>
          </w:rPr>
        </w:r>
        <w:r w:rsidR="00FD4DBE" w:rsidRPr="00EA6C7A">
          <w:rPr>
            <w:b w:val="0"/>
            <w:bCs w:val="0"/>
            <w:webHidden/>
          </w:rPr>
          <w:fldChar w:fldCharType="separate"/>
        </w:r>
        <w:r>
          <w:rPr>
            <w:b w:val="0"/>
            <w:bCs w:val="0"/>
            <w:webHidden/>
          </w:rPr>
          <w:t>31</w:t>
        </w:r>
        <w:r w:rsidR="00FD4DBE" w:rsidRPr="00EA6C7A">
          <w:rPr>
            <w:b w:val="0"/>
            <w:bCs w:val="0"/>
            <w:webHidden/>
          </w:rPr>
          <w:fldChar w:fldCharType="end"/>
        </w:r>
      </w:hyperlink>
    </w:p>
    <w:p w14:paraId="6D144C1C" w14:textId="383C9509" w:rsidR="00FD4DBE" w:rsidRPr="00EA6C7A" w:rsidRDefault="005559F5">
      <w:pPr>
        <w:pStyle w:val="TDC2"/>
        <w:rPr>
          <w:rFonts w:asciiTheme="minorHAnsi" w:eastAsiaTheme="minorEastAsia" w:hAnsiTheme="minorHAnsi" w:cstheme="minorBidi"/>
          <w:b w:val="0"/>
          <w:bCs w:val="0"/>
          <w:sz w:val="22"/>
          <w:lang w:val="en-US" w:eastAsia="en-US"/>
        </w:rPr>
      </w:pPr>
      <w:hyperlink w:anchor="_Toc26002310" w:history="1">
        <w:r w:rsidR="00FD4DBE" w:rsidRPr="00EA6C7A">
          <w:rPr>
            <w:rStyle w:val="Hipervnculo"/>
            <w:rFonts w:eastAsia="Batang"/>
            <w:b w:val="0"/>
            <w:bCs w:val="0"/>
            <w:lang w:val="en-US" w:eastAsia="es-MX"/>
          </w:rPr>
          <w:t xml:space="preserve">B.5. Disciplinary procedures in </w:t>
        </w:r>
        <w:r w:rsidR="00FD4DBE" w:rsidRPr="00EA6C7A">
          <w:rPr>
            <w:rStyle w:val="Hipervnculo"/>
            <w:rFonts w:eastAsia="Batang"/>
            <w:b w:val="0"/>
            <w:bCs w:val="0"/>
            <w:lang w:val="en-US"/>
          </w:rPr>
          <w:t xml:space="preserve">the Head Office for the Prosecution of Crimes against Life and Integrity and in </w:t>
        </w:r>
        <w:r w:rsidR="00FD4DBE" w:rsidRPr="00EA6C7A">
          <w:rPr>
            <w:rStyle w:val="Hipervnculo"/>
            <w:rFonts w:eastAsia="Batang"/>
            <w:b w:val="0"/>
            <w:bCs w:val="0"/>
            <w:lang w:val="en-US" w:eastAsia="es-MX"/>
          </w:rPr>
          <w:t>the Criminal Investigation Department</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_Toc26002310 \h </w:instrText>
        </w:r>
        <w:r w:rsidR="00FD4DBE" w:rsidRPr="00EA6C7A">
          <w:rPr>
            <w:b w:val="0"/>
            <w:bCs w:val="0"/>
            <w:webHidden/>
          </w:rPr>
        </w:r>
        <w:r w:rsidR="00FD4DBE" w:rsidRPr="00EA6C7A">
          <w:rPr>
            <w:b w:val="0"/>
            <w:bCs w:val="0"/>
            <w:webHidden/>
          </w:rPr>
          <w:fldChar w:fldCharType="separate"/>
        </w:r>
        <w:r>
          <w:rPr>
            <w:b w:val="0"/>
            <w:bCs w:val="0"/>
            <w:webHidden/>
          </w:rPr>
          <w:t>32</w:t>
        </w:r>
        <w:r w:rsidR="00FD4DBE" w:rsidRPr="00EA6C7A">
          <w:rPr>
            <w:b w:val="0"/>
            <w:bCs w:val="0"/>
            <w:webHidden/>
          </w:rPr>
          <w:fldChar w:fldCharType="end"/>
        </w:r>
      </w:hyperlink>
    </w:p>
    <w:p w14:paraId="3EB8CBC1" w14:textId="159A3C27" w:rsidR="00FD4DBE" w:rsidRPr="00EA6C7A" w:rsidRDefault="005559F5">
      <w:pPr>
        <w:pStyle w:val="TDC2"/>
        <w:rPr>
          <w:rFonts w:asciiTheme="minorHAnsi" w:eastAsiaTheme="minorEastAsia" w:hAnsiTheme="minorHAnsi" w:cstheme="minorBidi"/>
          <w:b w:val="0"/>
          <w:bCs w:val="0"/>
          <w:sz w:val="22"/>
          <w:lang w:val="en-US" w:eastAsia="en-US"/>
        </w:rPr>
      </w:pPr>
      <w:hyperlink w:anchor="_Toc26002311" w:history="1">
        <w:r w:rsidR="00FD4DBE" w:rsidRPr="00EA6C7A">
          <w:rPr>
            <w:rStyle w:val="Hipervnculo"/>
            <w:rFonts w:eastAsia="Batang"/>
            <w:b w:val="0"/>
            <w:bCs w:val="0"/>
            <w:lang w:val="en-US" w:eastAsia="es-MX"/>
          </w:rPr>
          <w:t>B.6. Disciplinary Procedure in the Disciplinary Regime Unit of the Judiciary’s Human Resources System</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_Toc26002311 \h </w:instrText>
        </w:r>
        <w:r w:rsidR="00FD4DBE" w:rsidRPr="00EA6C7A">
          <w:rPr>
            <w:b w:val="0"/>
            <w:bCs w:val="0"/>
            <w:webHidden/>
          </w:rPr>
        </w:r>
        <w:r w:rsidR="00FD4DBE" w:rsidRPr="00EA6C7A">
          <w:rPr>
            <w:b w:val="0"/>
            <w:bCs w:val="0"/>
            <w:webHidden/>
          </w:rPr>
          <w:fldChar w:fldCharType="separate"/>
        </w:r>
        <w:r>
          <w:rPr>
            <w:b w:val="0"/>
            <w:bCs w:val="0"/>
            <w:webHidden/>
          </w:rPr>
          <w:t>32</w:t>
        </w:r>
        <w:r w:rsidR="00FD4DBE" w:rsidRPr="00EA6C7A">
          <w:rPr>
            <w:b w:val="0"/>
            <w:bCs w:val="0"/>
            <w:webHidden/>
          </w:rPr>
          <w:fldChar w:fldCharType="end"/>
        </w:r>
      </w:hyperlink>
    </w:p>
    <w:p w14:paraId="526D6F13" w14:textId="49119050"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312" w:history="1">
        <w:r w:rsidR="00FD4DBE" w:rsidRPr="00EA6C7A">
          <w:rPr>
            <w:rStyle w:val="Hipervnculo"/>
            <w:rFonts w:cs="Verdana"/>
            <w:caps/>
            <w:snapToGrid w:val="0"/>
            <w:lang w:val="en-US" w:eastAsia="es-ES"/>
          </w:rPr>
          <w:t xml:space="preserve">VII </w:t>
        </w:r>
        <w:r w:rsidR="00FD4DBE" w:rsidRPr="00EA6C7A">
          <w:rPr>
            <w:rStyle w:val="Hipervnculo"/>
            <w:rFonts w:eastAsia="Calibri"/>
            <w:lang w:val="en-US"/>
          </w:rPr>
          <w:t>MERITS</w:t>
        </w:r>
        <w:r w:rsidR="00FD4DBE" w:rsidRPr="00EA6C7A">
          <w:rPr>
            <w:webHidden/>
          </w:rPr>
          <w:tab/>
        </w:r>
        <w:r w:rsidR="00FD4DBE" w:rsidRPr="00EA6C7A">
          <w:rPr>
            <w:webHidden/>
          </w:rPr>
          <w:fldChar w:fldCharType="begin"/>
        </w:r>
        <w:r w:rsidR="00FD4DBE" w:rsidRPr="00EA6C7A">
          <w:rPr>
            <w:webHidden/>
          </w:rPr>
          <w:instrText xml:space="preserve"> PAGEREF _Toc26002312 \h </w:instrText>
        </w:r>
        <w:r w:rsidR="00FD4DBE" w:rsidRPr="00EA6C7A">
          <w:rPr>
            <w:webHidden/>
          </w:rPr>
        </w:r>
        <w:r w:rsidR="00FD4DBE" w:rsidRPr="00EA6C7A">
          <w:rPr>
            <w:webHidden/>
          </w:rPr>
          <w:fldChar w:fldCharType="separate"/>
        </w:r>
        <w:r>
          <w:rPr>
            <w:webHidden/>
          </w:rPr>
          <w:t>34</w:t>
        </w:r>
        <w:r w:rsidR="00FD4DBE" w:rsidRPr="00EA6C7A">
          <w:rPr>
            <w:webHidden/>
          </w:rPr>
          <w:fldChar w:fldCharType="end"/>
        </w:r>
      </w:hyperlink>
    </w:p>
    <w:p w14:paraId="4B4AFC13" w14:textId="69555A9D" w:rsidR="00FD4DBE" w:rsidRPr="00EA6C7A" w:rsidRDefault="005559F5">
      <w:pPr>
        <w:pStyle w:val="TDC2"/>
        <w:rPr>
          <w:rFonts w:asciiTheme="minorHAnsi" w:eastAsiaTheme="minorEastAsia" w:hAnsiTheme="minorHAnsi" w:cstheme="minorBidi"/>
          <w:b w:val="0"/>
          <w:bCs w:val="0"/>
          <w:sz w:val="22"/>
          <w:lang w:val="en-US" w:eastAsia="en-US"/>
        </w:rPr>
      </w:pPr>
      <w:hyperlink w:anchor="_Toc26002313" w:history="1">
        <w:r w:rsidR="00FD4DBE" w:rsidRPr="00EA6C7A">
          <w:rPr>
            <w:rStyle w:val="Hipervnculo"/>
            <w:rFonts w:eastAsia="Calibri"/>
            <w:lang w:val="en-US"/>
          </w:rPr>
          <w:t>VII.I. Rights to life and personal integrity, in relation to Articles 1(1) and 2 of the American Convention and Article 7 of the Convention of Belém do Pará, to the detriment of Claudina Isabel Velásquez Paiz</w:t>
        </w:r>
        <w:r w:rsidR="00FD4DBE" w:rsidRPr="00EA6C7A">
          <w:rPr>
            <w:webHidden/>
          </w:rPr>
          <w:tab/>
        </w:r>
        <w:r w:rsidR="00FD4DBE" w:rsidRPr="00EA6C7A">
          <w:rPr>
            <w:webHidden/>
          </w:rPr>
          <w:fldChar w:fldCharType="begin"/>
        </w:r>
        <w:r w:rsidR="00FD4DBE" w:rsidRPr="00EA6C7A">
          <w:rPr>
            <w:webHidden/>
          </w:rPr>
          <w:instrText xml:space="preserve"> PAGEREF _Toc26002313 \h </w:instrText>
        </w:r>
        <w:r w:rsidR="00FD4DBE" w:rsidRPr="00EA6C7A">
          <w:rPr>
            <w:webHidden/>
          </w:rPr>
        </w:r>
        <w:r w:rsidR="00FD4DBE" w:rsidRPr="00EA6C7A">
          <w:rPr>
            <w:webHidden/>
          </w:rPr>
          <w:fldChar w:fldCharType="separate"/>
        </w:r>
        <w:r>
          <w:rPr>
            <w:webHidden/>
          </w:rPr>
          <w:t>35</w:t>
        </w:r>
        <w:r w:rsidR="00FD4DBE" w:rsidRPr="00EA6C7A">
          <w:rPr>
            <w:webHidden/>
          </w:rPr>
          <w:fldChar w:fldCharType="end"/>
        </w:r>
      </w:hyperlink>
    </w:p>
    <w:p w14:paraId="16B54C62" w14:textId="3E14AAC7" w:rsidR="00FD4DBE" w:rsidRPr="00EA6C7A" w:rsidRDefault="005559F5">
      <w:pPr>
        <w:pStyle w:val="TDC2"/>
        <w:rPr>
          <w:rFonts w:asciiTheme="minorHAnsi" w:eastAsiaTheme="minorEastAsia" w:hAnsiTheme="minorHAnsi" w:cstheme="minorBidi"/>
          <w:b w:val="0"/>
          <w:bCs w:val="0"/>
          <w:sz w:val="22"/>
          <w:lang w:val="en-US" w:eastAsia="en-US"/>
        </w:rPr>
      </w:pPr>
      <w:hyperlink w:anchor="_Toc26002314" w:history="1">
        <w:r w:rsidR="00FD4DBE" w:rsidRPr="00EA6C7A">
          <w:rPr>
            <w:rStyle w:val="Hipervnculo"/>
            <w:rFonts w:eastAsia="Calibri"/>
            <w:i/>
            <w:iCs/>
            <w:lang w:val="en-US"/>
          </w:rPr>
          <w:t>A. Arguments of the Commission and of the parties</w:t>
        </w:r>
        <w:r w:rsidR="00FD4DBE" w:rsidRPr="00EA6C7A">
          <w:rPr>
            <w:webHidden/>
          </w:rPr>
          <w:tab/>
        </w:r>
        <w:r w:rsidR="00FD4DBE" w:rsidRPr="00EA6C7A">
          <w:rPr>
            <w:webHidden/>
          </w:rPr>
          <w:fldChar w:fldCharType="begin"/>
        </w:r>
        <w:r w:rsidR="00FD4DBE" w:rsidRPr="00EA6C7A">
          <w:rPr>
            <w:webHidden/>
          </w:rPr>
          <w:instrText xml:space="preserve"> PAGEREF _Toc26002314 \h </w:instrText>
        </w:r>
        <w:r w:rsidR="00FD4DBE" w:rsidRPr="00EA6C7A">
          <w:rPr>
            <w:webHidden/>
          </w:rPr>
        </w:r>
        <w:r w:rsidR="00FD4DBE" w:rsidRPr="00EA6C7A">
          <w:rPr>
            <w:webHidden/>
          </w:rPr>
          <w:fldChar w:fldCharType="separate"/>
        </w:r>
        <w:r>
          <w:rPr>
            <w:webHidden/>
          </w:rPr>
          <w:t>35</w:t>
        </w:r>
        <w:r w:rsidR="00FD4DBE" w:rsidRPr="00EA6C7A">
          <w:rPr>
            <w:webHidden/>
          </w:rPr>
          <w:fldChar w:fldCharType="end"/>
        </w:r>
      </w:hyperlink>
    </w:p>
    <w:p w14:paraId="443FF928" w14:textId="22159FB6" w:rsidR="00FD4DBE" w:rsidRPr="00EA6C7A" w:rsidRDefault="005559F5">
      <w:pPr>
        <w:pStyle w:val="TDC2"/>
        <w:rPr>
          <w:rFonts w:asciiTheme="minorHAnsi" w:eastAsiaTheme="minorEastAsia" w:hAnsiTheme="minorHAnsi" w:cstheme="minorBidi"/>
          <w:b w:val="0"/>
          <w:bCs w:val="0"/>
          <w:sz w:val="22"/>
          <w:lang w:val="en-US" w:eastAsia="en-US"/>
        </w:rPr>
      </w:pPr>
      <w:hyperlink w:anchor="_Toc26002315" w:history="1">
        <w:r w:rsidR="00FD4DBE" w:rsidRPr="00EA6C7A">
          <w:rPr>
            <w:rStyle w:val="Hipervnculo"/>
            <w:rFonts w:eastAsia="Calibri"/>
            <w:i/>
            <w:iCs/>
            <w:lang w:val="en-US"/>
          </w:rPr>
          <w:t>B. Considerations of the Court</w:t>
        </w:r>
        <w:r w:rsidR="00FD4DBE" w:rsidRPr="00EA6C7A">
          <w:rPr>
            <w:webHidden/>
          </w:rPr>
          <w:tab/>
        </w:r>
        <w:r w:rsidR="00FD4DBE" w:rsidRPr="00EA6C7A">
          <w:rPr>
            <w:webHidden/>
          </w:rPr>
          <w:fldChar w:fldCharType="begin"/>
        </w:r>
        <w:r w:rsidR="00FD4DBE" w:rsidRPr="00EA6C7A">
          <w:rPr>
            <w:webHidden/>
          </w:rPr>
          <w:instrText xml:space="preserve"> PAGEREF _Toc26002315 \h </w:instrText>
        </w:r>
        <w:r w:rsidR="00FD4DBE" w:rsidRPr="00EA6C7A">
          <w:rPr>
            <w:webHidden/>
          </w:rPr>
        </w:r>
        <w:r w:rsidR="00FD4DBE" w:rsidRPr="00EA6C7A">
          <w:rPr>
            <w:webHidden/>
          </w:rPr>
          <w:fldChar w:fldCharType="separate"/>
        </w:r>
        <w:r>
          <w:rPr>
            <w:webHidden/>
          </w:rPr>
          <w:t>37</w:t>
        </w:r>
        <w:r w:rsidR="00FD4DBE" w:rsidRPr="00EA6C7A">
          <w:rPr>
            <w:webHidden/>
          </w:rPr>
          <w:fldChar w:fldCharType="end"/>
        </w:r>
      </w:hyperlink>
    </w:p>
    <w:p w14:paraId="65465E27" w14:textId="43BF3096"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16" w:history="1">
        <w:r w:rsidR="00FD4DBE" w:rsidRPr="00EA6C7A">
          <w:rPr>
            <w:rStyle w:val="Hipervnculo"/>
            <w:noProof/>
            <w:lang w:val="en-US"/>
          </w:rPr>
          <w:t>B.1. Before the disappearance Claudina Velásquez: general obligation to prevent the disappearance and murder of women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_Toc26002316 \h </w:instrText>
        </w:r>
        <w:r w:rsidR="00FD4DBE" w:rsidRPr="00EA6C7A">
          <w:rPr>
            <w:noProof/>
            <w:webHidden/>
          </w:rPr>
        </w:r>
        <w:r w:rsidR="00FD4DBE" w:rsidRPr="00EA6C7A">
          <w:rPr>
            <w:noProof/>
            <w:webHidden/>
          </w:rPr>
          <w:fldChar w:fldCharType="separate"/>
        </w:r>
        <w:r>
          <w:rPr>
            <w:noProof/>
            <w:webHidden/>
          </w:rPr>
          <w:t>39</w:t>
        </w:r>
        <w:r w:rsidR="00FD4DBE" w:rsidRPr="00EA6C7A">
          <w:rPr>
            <w:noProof/>
            <w:webHidden/>
          </w:rPr>
          <w:fldChar w:fldCharType="end"/>
        </w:r>
      </w:hyperlink>
    </w:p>
    <w:p w14:paraId="5796EA37" w14:textId="5DA8DA67"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17" w:history="1">
        <w:r w:rsidR="00FD4DBE" w:rsidRPr="00EA6C7A">
          <w:rPr>
            <w:rStyle w:val="Hipervnculo"/>
            <w:noProof/>
            <w:lang w:val="en-US"/>
          </w:rPr>
          <w:t>B.2. Before the discovery of the body of Claudina Velásquez: specific obligation to prevent violations of the rights to integrity and life of Claudina Velásquez</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_Toc26002317 \h </w:instrText>
        </w:r>
        <w:r w:rsidR="00FD4DBE" w:rsidRPr="00EA6C7A">
          <w:rPr>
            <w:noProof/>
            <w:webHidden/>
          </w:rPr>
        </w:r>
        <w:r w:rsidR="00FD4DBE" w:rsidRPr="00EA6C7A">
          <w:rPr>
            <w:noProof/>
            <w:webHidden/>
          </w:rPr>
          <w:fldChar w:fldCharType="separate"/>
        </w:r>
        <w:r>
          <w:rPr>
            <w:noProof/>
            <w:webHidden/>
          </w:rPr>
          <w:t>44</w:t>
        </w:r>
        <w:r w:rsidR="00FD4DBE" w:rsidRPr="00EA6C7A">
          <w:rPr>
            <w:noProof/>
            <w:webHidden/>
          </w:rPr>
          <w:fldChar w:fldCharType="end"/>
        </w:r>
      </w:hyperlink>
    </w:p>
    <w:p w14:paraId="53A416F9" w14:textId="00FD360A"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18" w:history="1">
        <w:r w:rsidR="00FD4DBE" w:rsidRPr="00EA6C7A">
          <w:rPr>
            <w:rStyle w:val="Hipervnculo"/>
            <w:noProof/>
            <w:lang w:val="en-US"/>
          </w:rPr>
          <w:t>B.3. Conclusion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_Toc26002318 \h </w:instrText>
        </w:r>
        <w:r w:rsidR="00FD4DBE" w:rsidRPr="00EA6C7A">
          <w:rPr>
            <w:noProof/>
            <w:webHidden/>
          </w:rPr>
        </w:r>
        <w:r w:rsidR="00FD4DBE" w:rsidRPr="00EA6C7A">
          <w:rPr>
            <w:noProof/>
            <w:webHidden/>
          </w:rPr>
          <w:fldChar w:fldCharType="separate"/>
        </w:r>
        <w:r>
          <w:rPr>
            <w:noProof/>
            <w:webHidden/>
          </w:rPr>
          <w:t>48</w:t>
        </w:r>
        <w:r w:rsidR="00FD4DBE" w:rsidRPr="00EA6C7A">
          <w:rPr>
            <w:noProof/>
            <w:webHidden/>
          </w:rPr>
          <w:fldChar w:fldCharType="end"/>
        </w:r>
      </w:hyperlink>
    </w:p>
    <w:p w14:paraId="591223E0" w14:textId="0B9B9ACE" w:rsidR="00FD4DBE" w:rsidRPr="00EA6C7A" w:rsidRDefault="005559F5">
      <w:pPr>
        <w:pStyle w:val="TDC2"/>
        <w:rPr>
          <w:rFonts w:asciiTheme="minorHAnsi" w:eastAsiaTheme="minorEastAsia" w:hAnsiTheme="minorHAnsi" w:cstheme="minorBidi"/>
          <w:b w:val="0"/>
          <w:bCs w:val="0"/>
          <w:sz w:val="22"/>
          <w:lang w:val="en-US" w:eastAsia="en-US"/>
        </w:rPr>
      </w:pPr>
      <w:hyperlink w:anchor="_Toc26002319" w:history="1">
        <w:r w:rsidR="00FD4DBE" w:rsidRPr="00EA6C7A">
          <w:rPr>
            <w:rStyle w:val="Hipervnculo"/>
            <w:rFonts w:eastAsia="Calibri"/>
            <w:lang w:val="en-US"/>
          </w:rPr>
          <w:t>VII.II. Rights to judicial guarantees, judicial protection and equality before the law, in relation to Articles 1(1) and 2 of the American Convention and Article 7 of the Convention of Belém do Pará, to the detriment of the next of kin of Claudina Velásquez Paiz</w:t>
        </w:r>
        <w:r w:rsidR="00FD4DBE" w:rsidRPr="00EA6C7A">
          <w:rPr>
            <w:webHidden/>
          </w:rPr>
          <w:tab/>
        </w:r>
        <w:r w:rsidR="00FD4DBE" w:rsidRPr="00EA6C7A">
          <w:rPr>
            <w:webHidden/>
          </w:rPr>
          <w:tab/>
        </w:r>
        <w:r w:rsidR="00FD4DBE" w:rsidRPr="00EA6C7A">
          <w:rPr>
            <w:webHidden/>
          </w:rPr>
          <w:fldChar w:fldCharType="begin"/>
        </w:r>
        <w:r w:rsidR="00FD4DBE" w:rsidRPr="00EA6C7A">
          <w:rPr>
            <w:webHidden/>
          </w:rPr>
          <w:instrText xml:space="preserve"> PAGEREF _Toc26002319 \h </w:instrText>
        </w:r>
        <w:r w:rsidR="00FD4DBE" w:rsidRPr="00EA6C7A">
          <w:rPr>
            <w:webHidden/>
          </w:rPr>
        </w:r>
        <w:r w:rsidR="00FD4DBE" w:rsidRPr="00EA6C7A">
          <w:rPr>
            <w:webHidden/>
          </w:rPr>
          <w:fldChar w:fldCharType="separate"/>
        </w:r>
        <w:r>
          <w:rPr>
            <w:webHidden/>
          </w:rPr>
          <w:t>49</w:t>
        </w:r>
        <w:r w:rsidR="00FD4DBE" w:rsidRPr="00EA6C7A">
          <w:rPr>
            <w:webHidden/>
          </w:rPr>
          <w:fldChar w:fldCharType="end"/>
        </w:r>
      </w:hyperlink>
    </w:p>
    <w:p w14:paraId="27F724EA" w14:textId="58AE4DAE"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20" w:history="1">
        <w:r w:rsidR="00FD4DBE" w:rsidRPr="00EA6C7A">
          <w:rPr>
            <w:rStyle w:val="Hipervnculo"/>
            <w:rFonts w:eastAsia="Calibri"/>
            <w:b/>
            <w:noProof/>
            <w:lang w:val="en-US"/>
          </w:rPr>
          <w:t>A. Arguments of the Commission and of the parties</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_Toc26002320 \h </w:instrText>
        </w:r>
        <w:r w:rsidR="00FD4DBE" w:rsidRPr="00EA6C7A">
          <w:rPr>
            <w:noProof/>
            <w:webHidden/>
          </w:rPr>
        </w:r>
        <w:r w:rsidR="00FD4DBE" w:rsidRPr="00EA6C7A">
          <w:rPr>
            <w:noProof/>
            <w:webHidden/>
          </w:rPr>
          <w:fldChar w:fldCharType="separate"/>
        </w:r>
        <w:r>
          <w:rPr>
            <w:noProof/>
            <w:webHidden/>
          </w:rPr>
          <w:t>49</w:t>
        </w:r>
        <w:r w:rsidR="00FD4DBE" w:rsidRPr="00EA6C7A">
          <w:rPr>
            <w:noProof/>
            <w:webHidden/>
          </w:rPr>
          <w:fldChar w:fldCharType="end"/>
        </w:r>
      </w:hyperlink>
    </w:p>
    <w:p w14:paraId="4F4FE4FF" w14:textId="06306311"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21" w:history="1">
        <w:r w:rsidR="00FD4DBE" w:rsidRPr="00EA6C7A">
          <w:rPr>
            <w:rStyle w:val="Hipervnculo"/>
            <w:b/>
            <w:noProof/>
            <w:lang w:val="en-US"/>
          </w:rPr>
          <w:t>B. Considerations of the Court</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_Toc26002321 \h </w:instrText>
        </w:r>
        <w:r w:rsidR="00FD4DBE" w:rsidRPr="00EA6C7A">
          <w:rPr>
            <w:noProof/>
            <w:webHidden/>
          </w:rPr>
        </w:r>
        <w:r w:rsidR="00FD4DBE" w:rsidRPr="00EA6C7A">
          <w:rPr>
            <w:noProof/>
            <w:webHidden/>
          </w:rPr>
          <w:fldChar w:fldCharType="separate"/>
        </w:r>
        <w:r>
          <w:rPr>
            <w:noProof/>
            <w:webHidden/>
          </w:rPr>
          <w:t>52</w:t>
        </w:r>
        <w:r w:rsidR="00FD4DBE" w:rsidRPr="00EA6C7A">
          <w:rPr>
            <w:noProof/>
            <w:webHidden/>
          </w:rPr>
          <w:fldChar w:fldCharType="end"/>
        </w:r>
      </w:hyperlink>
    </w:p>
    <w:p w14:paraId="4710E91F" w14:textId="233B8C12" w:rsidR="00FD4DBE" w:rsidRPr="00EA6C7A" w:rsidRDefault="005559F5">
      <w:pPr>
        <w:pStyle w:val="TDC2"/>
        <w:rPr>
          <w:rFonts w:asciiTheme="minorHAnsi" w:eastAsiaTheme="minorEastAsia" w:hAnsiTheme="minorHAnsi" w:cstheme="minorBidi"/>
          <w:b w:val="0"/>
          <w:bCs w:val="0"/>
          <w:sz w:val="22"/>
          <w:lang w:val="en-US" w:eastAsia="en-US"/>
        </w:rPr>
      </w:pPr>
      <w:hyperlink w:anchor="_Toc26002322" w:history="1">
        <w:r w:rsidR="00FD4DBE" w:rsidRPr="00EA6C7A">
          <w:rPr>
            <w:rStyle w:val="Hipervnculo"/>
            <w:b w:val="0"/>
            <w:bCs w:val="0"/>
            <w:lang w:val="en-US"/>
          </w:rPr>
          <w:t>B.1.</w:t>
        </w:r>
        <w:r w:rsidR="00FD4DBE" w:rsidRPr="00EA6C7A">
          <w:rPr>
            <w:rFonts w:asciiTheme="minorHAnsi" w:eastAsiaTheme="minorEastAsia" w:hAnsiTheme="minorHAnsi" w:cstheme="minorBidi"/>
            <w:b w:val="0"/>
            <w:bCs w:val="0"/>
            <w:sz w:val="22"/>
            <w:lang w:val="en-US" w:eastAsia="en-US"/>
          </w:rPr>
          <w:t xml:space="preserve"> </w:t>
        </w:r>
        <w:r w:rsidR="00FD4DBE" w:rsidRPr="00EA6C7A">
          <w:rPr>
            <w:rStyle w:val="Hipervnculo"/>
            <w:b w:val="0"/>
            <w:bCs w:val="0"/>
            <w:lang w:val="en-US"/>
          </w:rPr>
          <w:t>Irregularities in the investigation following the discovery of the body of Claudina Velásquez Paiz and subsequent actions of State officials</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_Toc26002322 \h </w:instrText>
        </w:r>
        <w:r w:rsidR="00FD4DBE" w:rsidRPr="00EA6C7A">
          <w:rPr>
            <w:b w:val="0"/>
            <w:bCs w:val="0"/>
            <w:webHidden/>
          </w:rPr>
        </w:r>
        <w:r w:rsidR="00FD4DBE" w:rsidRPr="00EA6C7A">
          <w:rPr>
            <w:b w:val="0"/>
            <w:bCs w:val="0"/>
            <w:webHidden/>
          </w:rPr>
          <w:fldChar w:fldCharType="separate"/>
        </w:r>
        <w:r>
          <w:rPr>
            <w:b w:val="0"/>
            <w:bCs w:val="0"/>
            <w:webHidden/>
          </w:rPr>
          <w:t>54</w:t>
        </w:r>
        <w:r w:rsidR="00FD4DBE" w:rsidRPr="00EA6C7A">
          <w:rPr>
            <w:b w:val="0"/>
            <w:bCs w:val="0"/>
            <w:webHidden/>
          </w:rPr>
          <w:fldChar w:fldCharType="end"/>
        </w:r>
      </w:hyperlink>
    </w:p>
    <w:p w14:paraId="6ECC25F9" w14:textId="4D1A22CC" w:rsidR="00FD4DBE" w:rsidRPr="00EA6C7A" w:rsidRDefault="005559F5">
      <w:pPr>
        <w:pStyle w:val="TDC2"/>
        <w:rPr>
          <w:rFonts w:asciiTheme="minorHAnsi" w:eastAsiaTheme="minorEastAsia" w:hAnsiTheme="minorHAnsi" w:cstheme="minorBidi"/>
          <w:b w:val="0"/>
          <w:bCs w:val="0"/>
          <w:sz w:val="22"/>
          <w:lang w:val="en-US" w:eastAsia="en-US"/>
        </w:rPr>
      </w:pPr>
      <w:hyperlink w:anchor="_Toc26002323" w:history="1">
        <w:r w:rsidR="00FD4DBE" w:rsidRPr="00EA6C7A">
          <w:rPr>
            <w:rStyle w:val="Hipervnculo"/>
            <w:b w:val="0"/>
            <w:bCs w:val="0"/>
            <w:lang w:val="en-US"/>
          </w:rPr>
          <w:t>B.2.</w:t>
        </w:r>
        <w:r w:rsidR="00FD4DBE" w:rsidRPr="00EA6C7A">
          <w:rPr>
            <w:rFonts w:asciiTheme="minorHAnsi" w:eastAsiaTheme="minorEastAsia" w:hAnsiTheme="minorHAnsi" w:cstheme="minorBidi"/>
            <w:b w:val="0"/>
            <w:bCs w:val="0"/>
            <w:sz w:val="22"/>
            <w:lang w:val="en-US" w:eastAsia="en-US"/>
          </w:rPr>
          <w:t xml:space="preserve"> </w:t>
        </w:r>
        <w:r w:rsidR="00FD4DBE" w:rsidRPr="00EA6C7A">
          <w:rPr>
            <w:rStyle w:val="Hipervnculo"/>
            <w:b w:val="0"/>
            <w:bCs w:val="0"/>
            <w:lang w:val="en-US"/>
          </w:rPr>
          <w:t>Lack of due diligence regarding logical lines of investigation, collection and obtaining of evidence, and reasonable time</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_Toc26002323 \h </w:instrText>
        </w:r>
        <w:r w:rsidR="00FD4DBE" w:rsidRPr="00EA6C7A">
          <w:rPr>
            <w:b w:val="0"/>
            <w:bCs w:val="0"/>
            <w:webHidden/>
          </w:rPr>
        </w:r>
        <w:r w:rsidR="00FD4DBE" w:rsidRPr="00EA6C7A">
          <w:rPr>
            <w:b w:val="0"/>
            <w:bCs w:val="0"/>
            <w:webHidden/>
          </w:rPr>
          <w:fldChar w:fldCharType="separate"/>
        </w:r>
        <w:r>
          <w:rPr>
            <w:b w:val="0"/>
            <w:bCs w:val="0"/>
            <w:webHidden/>
          </w:rPr>
          <w:t>60</w:t>
        </w:r>
        <w:r w:rsidR="00FD4DBE" w:rsidRPr="00EA6C7A">
          <w:rPr>
            <w:b w:val="0"/>
            <w:bCs w:val="0"/>
            <w:webHidden/>
          </w:rPr>
          <w:fldChar w:fldCharType="end"/>
        </w:r>
      </w:hyperlink>
    </w:p>
    <w:p w14:paraId="28D9A7E3" w14:textId="1EC84955" w:rsidR="00FD4DBE" w:rsidRPr="00EA6C7A" w:rsidRDefault="005559F5">
      <w:pPr>
        <w:pStyle w:val="TDC2"/>
        <w:rPr>
          <w:rFonts w:asciiTheme="minorHAnsi" w:eastAsiaTheme="minorEastAsia" w:hAnsiTheme="minorHAnsi" w:cstheme="minorBidi"/>
          <w:b w:val="0"/>
          <w:bCs w:val="0"/>
          <w:sz w:val="22"/>
          <w:lang w:val="en-US" w:eastAsia="en-US"/>
        </w:rPr>
      </w:pPr>
      <w:hyperlink w:anchor="_Toc26002324" w:history="1">
        <w:r w:rsidR="00FD4DBE" w:rsidRPr="00EA6C7A">
          <w:rPr>
            <w:rStyle w:val="Hipervnculo"/>
            <w:b w:val="0"/>
            <w:bCs w:val="0"/>
            <w:lang w:val="en-US"/>
          </w:rPr>
          <w:t>B.3. Discrimination due to stereotyping and an investigation that lacked a gender perspective</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_Toc26002324 \h </w:instrText>
        </w:r>
        <w:r w:rsidR="00FD4DBE" w:rsidRPr="00EA6C7A">
          <w:rPr>
            <w:b w:val="0"/>
            <w:bCs w:val="0"/>
            <w:webHidden/>
          </w:rPr>
        </w:r>
        <w:r w:rsidR="00FD4DBE" w:rsidRPr="00EA6C7A">
          <w:rPr>
            <w:b w:val="0"/>
            <w:bCs w:val="0"/>
            <w:webHidden/>
          </w:rPr>
          <w:fldChar w:fldCharType="separate"/>
        </w:r>
        <w:r>
          <w:rPr>
            <w:b w:val="0"/>
            <w:bCs w:val="0"/>
            <w:webHidden/>
          </w:rPr>
          <w:t>62</w:t>
        </w:r>
        <w:r w:rsidR="00FD4DBE" w:rsidRPr="00EA6C7A">
          <w:rPr>
            <w:b w:val="0"/>
            <w:bCs w:val="0"/>
            <w:webHidden/>
          </w:rPr>
          <w:fldChar w:fldCharType="end"/>
        </w:r>
      </w:hyperlink>
    </w:p>
    <w:p w14:paraId="410A6EA1" w14:textId="3A0776C4" w:rsidR="00FD4DBE" w:rsidRPr="00EA6C7A" w:rsidRDefault="005559F5">
      <w:pPr>
        <w:pStyle w:val="TDC2"/>
        <w:rPr>
          <w:rFonts w:asciiTheme="minorHAnsi" w:eastAsiaTheme="minorEastAsia" w:hAnsiTheme="minorHAnsi" w:cstheme="minorBidi"/>
          <w:b w:val="0"/>
          <w:bCs w:val="0"/>
          <w:sz w:val="22"/>
          <w:lang w:val="en-US" w:eastAsia="en-US"/>
        </w:rPr>
      </w:pPr>
      <w:hyperlink w:anchor="_Toc26002325" w:history="1">
        <w:r w:rsidR="00FD4DBE" w:rsidRPr="00EA6C7A">
          <w:rPr>
            <w:rStyle w:val="Hipervnculo"/>
            <w:b w:val="0"/>
            <w:bCs w:val="0"/>
            <w:lang w:val="en-US" w:eastAsia="es-MX"/>
          </w:rPr>
          <w:t>B.4. General conclusion</w:t>
        </w:r>
        <w:r w:rsidR="00FD4DBE" w:rsidRPr="00EA6C7A">
          <w:rPr>
            <w:b w:val="0"/>
            <w:bCs w:val="0"/>
            <w:webHidden/>
          </w:rPr>
          <w:tab/>
        </w:r>
        <w:r w:rsidR="00FD4DBE" w:rsidRPr="00EA6C7A">
          <w:rPr>
            <w:b w:val="0"/>
            <w:bCs w:val="0"/>
            <w:webHidden/>
          </w:rPr>
          <w:fldChar w:fldCharType="begin"/>
        </w:r>
        <w:r w:rsidR="00FD4DBE" w:rsidRPr="00EA6C7A">
          <w:rPr>
            <w:b w:val="0"/>
            <w:bCs w:val="0"/>
            <w:webHidden/>
          </w:rPr>
          <w:instrText xml:space="preserve"> PAGEREF _Toc26002325 \h </w:instrText>
        </w:r>
        <w:r w:rsidR="00FD4DBE" w:rsidRPr="00EA6C7A">
          <w:rPr>
            <w:b w:val="0"/>
            <w:bCs w:val="0"/>
            <w:webHidden/>
          </w:rPr>
        </w:r>
        <w:r w:rsidR="00FD4DBE" w:rsidRPr="00EA6C7A">
          <w:rPr>
            <w:b w:val="0"/>
            <w:bCs w:val="0"/>
            <w:webHidden/>
          </w:rPr>
          <w:fldChar w:fldCharType="separate"/>
        </w:r>
        <w:r>
          <w:rPr>
            <w:b w:val="0"/>
            <w:bCs w:val="0"/>
            <w:webHidden/>
          </w:rPr>
          <w:t>70</w:t>
        </w:r>
        <w:r w:rsidR="00FD4DBE" w:rsidRPr="00EA6C7A">
          <w:rPr>
            <w:b w:val="0"/>
            <w:bCs w:val="0"/>
            <w:webHidden/>
          </w:rPr>
          <w:fldChar w:fldCharType="end"/>
        </w:r>
      </w:hyperlink>
    </w:p>
    <w:p w14:paraId="4842F50C" w14:textId="58F49CC1"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326" w:history="1">
        <w:r w:rsidR="00FD4DBE" w:rsidRPr="00EA6C7A">
          <w:rPr>
            <w:rStyle w:val="Hipervnculo"/>
            <w:lang w:val="en-US"/>
          </w:rPr>
          <w:t>VII.III</w:t>
        </w:r>
        <w:r w:rsidR="00FD4DBE" w:rsidRPr="00EA6C7A">
          <w:rPr>
            <w:webHidden/>
            <w:lang w:val="en-US"/>
          </w:rPr>
          <w:t xml:space="preserve"> </w:t>
        </w:r>
      </w:hyperlink>
      <w:hyperlink w:anchor="_Toc26002327" w:history="1">
        <w:r w:rsidR="00FD4DBE" w:rsidRPr="00EA6C7A">
          <w:rPr>
            <w:rStyle w:val="Hipervnculo"/>
            <w:lang w:val="en-US"/>
          </w:rPr>
          <w:t>RIGHTS TO PERSONAL INTEGRITY AND PROTECTION OF HONOR AND DIGNITY TO THE DETRIMENT OF THE NEXT OF KIN</w:t>
        </w:r>
        <w:r w:rsidR="00FD4DBE" w:rsidRPr="00EA6C7A">
          <w:rPr>
            <w:webHidden/>
          </w:rPr>
          <w:tab/>
        </w:r>
        <w:r w:rsidR="00FD4DBE" w:rsidRPr="00EA6C7A">
          <w:rPr>
            <w:webHidden/>
          </w:rPr>
          <w:fldChar w:fldCharType="begin"/>
        </w:r>
        <w:r w:rsidR="00FD4DBE" w:rsidRPr="00EA6C7A">
          <w:rPr>
            <w:webHidden/>
          </w:rPr>
          <w:instrText xml:space="preserve"> PAGEREF _Toc26002327 \h </w:instrText>
        </w:r>
        <w:r w:rsidR="00FD4DBE" w:rsidRPr="00EA6C7A">
          <w:rPr>
            <w:webHidden/>
          </w:rPr>
        </w:r>
        <w:r w:rsidR="00FD4DBE" w:rsidRPr="00EA6C7A">
          <w:rPr>
            <w:webHidden/>
          </w:rPr>
          <w:fldChar w:fldCharType="separate"/>
        </w:r>
        <w:r>
          <w:rPr>
            <w:webHidden/>
          </w:rPr>
          <w:t>71</w:t>
        </w:r>
        <w:r w:rsidR="00FD4DBE" w:rsidRPr="00EA6C7A">
          <w:rPr>
            <w:webHidden/>
          </w:rPr>
          <w:fldChar w:fldCharType="end"/>
        </w:r>
      </w:hyperlink>
    </w:p>
    <w:p w14:paraId="4BBFB00A" w14:textId="01F2D701"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28" w:history="1">
        <w:r w:rsidR="00FD4DBE" w:rsidRPr="00EA6C7A">
          <w:rPr>
            <w:rStyle w:val="Hipervnculo"/>
            <w:rFonts w:eastAsia="Calibri"/>
            <w:b/>
            <w:noProof/>
            <w:lang w:val="en-US"/>
          </w:rPr>
          <w:t>A. Arguments of the Commission and of the parties</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_Toc26002328 \h </w:instrText>
        </w:r>
        <w:r w:rsidR="00FD4DBE" w:rsidRPr="00EA6C7A">
          <w:rPr>
            <w:noProof/>
            <w:webHidden/>
          </w:rPr>
        </w:r>
        <w:r w:rsidR="00FD4DBE" w:rsidRPr="00EA6C7A">
          <w:rPr>
            <w:noProof/>
            <w:webHidden/>
          </w:rPr>
          <w:fldChar w:fldCharType="separate"/>
        </w:r>
        <w:r>
          <w:rPr>
            <w:noProof/>
            <w:webHidden/>
          </w:rPr>
          <w:t>71</w:t>
        </w:r>
        <w:r w:rsidR="00FD4DBE" w:rsidRPr="00EA6C7A">
          <w:rPr>
            <w:noProof/>
            <w:webHidden/>
          </w:rPr>
          <w:fldChar w:fldCharType="end"/>
        </w:r>
      </w:hyperlink>
    </w:p>
    <w:p w14:paraId="13D151F1" w14:textId="0F42FB7E"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29" w:history="1">
        <w:r w:rsidR="00FD4DBE" w:rsidRPr="00EA6C7A">
          <w:rPr>
            <w:rStyle w:val="Hipervnculo"/>
            <w:b/>
            <w:noProof/>
            <w:lang w:val="en-US"/>
          </w:rPr>
          <w:t>B. Considerations of the Court</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_Toc26002329 \h </w:instrText>
        </w:r>
        <w:r w:rsidR="00FD4DBE" w:rsidRPr="00EA6C7A">
          <w:rPr>
            <w:noProof/>
            <w:webHidden/>
          </w:rPr>
        </w:r>
        <w:r w:rsidR="00FD4DBE" w:rsidRPr="00EA6C7A">
          <w:rPr>
            <w:noProof/>
            <w:webHidden/>
          </w:rPr>
          <w:fldChar w:fldCharType="separate"/>
        </w:r>
        <w:r>
          <w:rPr>
            <w:noProof/>
            <w:webHidden/>
          </w:rPr>
          <w:t>72</w:t>
        </w:r>
        <w:r w:rsidR="00FD4DBE" w:rsidRPr="00EA6C7A">
          <w:rPr>
            <w:noProof/>
            <w:webHidden/>
          </w:rPr>
          <w:fldChar w:fldCharType="end"/>
        </w:r>
      </w:hyperlink>
    </w:p>
    <w:p w14:paraId="60414A03" w14:textId="596E3E9A"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330" w:history="1">
        <w:r w:rsidR="00FD4DBE" w:rsidRPr="00EA6C7A">
          <w:rPr>
            <w:rStyle w:val="Hipervnculo"/>
            <w:rFonts w:cs="Verdana"/>
            <w:caps/>
            <w:snapToGrid w:val="0"/>
            <w:lang w:val="en-US" w:eastAsia="es-ES"/>
          </w:rPr>
          <w:t xml:space="preserve">VIIi </w:t>
        </w:r>
        <w:r w:rsidR="00FD4DBE" w:rsidRPr="00EA6C7A">
          <w:rPr>
            <w:rStyle w:val="Hipervnculo"/>
            <w:lang w:val="en-US"/>
          </w:rPr>
          <w:t>REPARATIONS</w:t>
        </w:r>
        <w:r w:rsidR="00FD4DBE" w:rsidRPr="00EA6C7A">
          <w:rPr>
            <w:webHidden/>
          </w:rPr>
          <w:tab/>
        </w:r>
        <w:r w:rsidR="00FD4DBE" w:rsidRPr="00EA6C7A">
          <w:rPr>
            <w:webHidden/>
          </w:rPr>
          <w:fldChar w:fldCharType="begin"/>
        </w:r>
        <w:r w:rsidR="00FD4DBE" w:rsidRPr="00EA6C7A">
          <w:rPr>
            <w:webHidden/>
          </w:rPr>
          <w:instrText xml:space="preserve"> PAGEREF _Toc26002330 \h </w:instrText>
        </w:r>
        <w:r w:rsidR="00FD4DBE" w:rsidRPr="00EA6C7A">
          <w:rPr>
            <w:webHidden/>
          </w:rPr>
        </w:r>
        <w:r w:rsidR="00FD4DBE" w:rsidRPr="00EA6C7A">
          <w:rPr>
            <w:webHidden/>
          </w:rPr>
          <w:fldChar w:fldCharType="separate"/>
        </w:r>
        <w:r>
          <w:rPr>
            <w:webHidden/>
          </w:rPr>
          <w:t>75</w:t>
        </w:r>
        <w:r w:rsidR="00FD4DBE" w:rsidRPr="00EA6C7A">
          <w:rPr>
            <w:webHidden/>
          </w:rPr>
          <w:fldChar w:fldCharType="end"/>
        </w:r>
      </w:hyperlink>
    </w:p>
    <w:p w14:paraId="43C14F86" w14:textId="2BF0FE37" w:rsidR="00FD4DBE" w:rsidRPr="00EA6C7A" w:rsidRDefault="005559F5">
      <w:pPr>
        <w:pStyle w:val="TDC2"/>
        <w:rPr>
          <w:rFonts w:asciiTheme="minorHAnsi" w:eastAsiaTheme="minorEastAsia" w:hAnsiTheme="minorHAnsi" w:cstheme="minorBidi"/>
          <w:b w:val="0"/>
          <w:bCs w:val="0"/>
          <w:sz w:val="22"/>
          <w:lang w:val="en-US" w:eastAsia="en-US"/>
        </w:rPr>
      </w:pPr>
      <w:hyperlink w:anchor="_Toc26002331" w:history="1">
        <w:r w:rsidR="00FD4DBE" w:rsidRPr="00EA6C7A">
          <w:rPr>
            <w:rStyle w:val="Hipervnculo"/>
            <w:i/>
            <w:lang w:val="en-US"/>
          </w:rPr>
          <w:t>A. Injured party</w:t>
        </w:r>
        <w:r w:rsidR="00FD4DBE" w:rsidRPr="00EA6C7A">
          <w:rPr>
            <w:webHidden/>
          </w:rPr>
          <w:tab/>
        </w:r>
        <w:r w:rsidR="00FD4DBE" w:rsidRPr="00EA6C7A">
          <w:rPr>
            <w:webHidden/>
          </w:rPr>
          <w:fldChar w:fldCharType="begin"/>
        </w:r>
        <w:r w:rsidR="00FD4DBE" w:rsidRPr="00EA6C7A">
          <w:rPr>
            <w:webHidden/>
          </w:rPr>
          <w:instrText xml:space="preserve"> PAGEREF _Toc26002331 \h </w:instrText>
        </w:r>
        <w:r w:rsidR="00FD4DBE" w:rsidRPr="00EA6C7A">
          <w:rPr>
            <w:webHidden/>
          </w:rPr>
        </w:r>
        <w:r w:rsidR="00FD4DBE" w:rsidRPr="00EA6C7A">
          <w:rPr>
            <w:webHidden/>
          </w:rPr>
          <w:fldChar w:fldCharType="separate"/>
        </w:r>
        <w:r>
          <w:rPr>
            <w:webHidden/>
          </w:rPr>
          <w:t>76</w:t>
        </w:r>
        <w:r w:rsidR="00FD4DBE" w:rsidRPr="00EA6C7A">
          <w:rPr>
            <w:webHidden/>
          </w:rPr>
          <w:fldChar w:fldCharType="end"/>
        </w:r>
      </w:hyperlink>
    </w:p>
    <w:p w14:paraId="6A1499E0" w14:textId="00001E59" w:rsidR="00FD4DBE" w:rsidRPr="00EA6C7A" w:rsidRDefault="005559F5">
      <w:pPr>
        <w:pStyle w:val="TDC2"/>
        <w:rPr>
          <w:rFonts w:asciiTheme="minorHAnsi" w:eastAsiaTheme="minorEastAsia" w:hAnsiTheme="minorHAnsi" w:cstheme="minorBidi"/>
          <w:b w:val="0"/>
          <w:bCs w:val="0"/>
          <w:sz w:val="22"/>
          <w:lang w:val="en-US" w:eastAsia="en-US"/>
        </w:rPr>
      </w:pPr>
      <w:hyperlink w:anchor="_Toc26002332" w:history="1">
        <w:r w:rsidR="00FD4DBE" w:rsidRPr="00EA6C7A">
          <w:rPr>
            <w:rStyle w:val="Hipervnculo"/>
            <w:rFonts w:eastAsia="Calibri"/>
            <w:i/>
            <w:lang w:val="en-US"/>
          </w:rPr>
          <w:t>B. Obligation to investigate the facts that resulted in the violations and identify, prosecute and punish, as appropriate, those responsible</w:t>
        </w:r>
        <w:r w:rsidR="00FD4DBE" w:rsidRPr="00EA6C7A">
          <w:rPr>
            <w:webHidden/>
          </w:rPr>
          <w:tab/>
        </w:r>
        <w:r w:rsidR="00FD4DBE" w:rsidRPr="00EA6C7A">
          <w:rPr>
            <w:webHidden/>
          </w:rPr>
          <w:fldChar w:fldCharType="begin"/>
        </w:r>
        <w:r w:rsidR="00FD4DBE" w:rsidRPr="00EA6C7A">
          <w:rPr>
            <w:webHidden/>
          </w:rPr>
          <w:instrText xml:space="preserve"> PAGEREF _Toc26002332 \h </w:instrText>
        </w:r>
        <w:r w:rsidR="00FD4DBE" w:rsidRPr="00EA6C7A">
          <w:rPr>
            <w:webHidden/>
          </w:rPr>
        </w:r>
        <w:r w:rsidR="00FD4DBE" w:rsidRPr="00EA6C7A">
          <w:rPr>
            <w:webHidden/>
          </w:rPr>
          <w:fldChar w:fldCharType="separate"/>
        </w:r>
        <w:r>
          <w:rPr>
            <w:webHidden/>
          </w:rPr>
          <w:t>76</w:t>
        </w:r>
        <w:r w:rsidR="00FD4DBE" w:rsidRPr="00EA6C7A">
          <w:rPr>
            <w:webHidden/>
          </w:rPr>
          <w:fldChar w:fldCharType="end"/>
        </w:r>
      </w:hyperlink>
    </w:p>
    <w:p w14:paraId="33600A2E" w14:textId="45FE8EDC" w:rsidR="00FD4DBE" w:rsidRPr="00EA6C7A" w:rsidRDefault="005559F5">
      <w:pPr>
        <w:pStyle w:val="TDC2"/>
        <w:rPr>
          <w:rFonts w:asciiTheme="minorHAnsi" w:eastAsiaTheme="minorEastAsia" w:hAnsiTheme="minorHAnsi" w:cstheme="minorBidi"/>
          <w:b w:val="0"/>
          <w:bCs w:val="0"/>
          <w:sz w:val="22"/>
          <w:lang w:val="en-US" w:eastAsia="en-US"/>
        </w:rPr>
      </w:pPr>
      <w:hyperlink w:anchor="_Toc26002333" w:history="1">
        <w:r w:rsidR="00FD4DBE" w:rsidRPr="00EA6C7A">
          <w:rPr>
            <w:rStyle w:val="Hipervnculo"/>
            <w:rFonts w:eastAsia="Calibri"/>
            <w:i/>
            <w:lang w:val="en-US"/>
          </w:rPr>
          <w:t xml:space="preserve">C. </w:t>
        </w:r>
        <w:r w:rsidR="00FD4DBE" w:rsidRPr="00EA6C7A">
          <w:rPr>
            <w:rStyle w:val="Hipervnculo"/>
            <w:i/>
            <w:lang w:val="en-US"/>
          </w:rPr>
          <w:t>Measures of rehabilitation and satisfaction, and guarantees of non-repetition</w:t>
        </w:r>
        <w:r w:rsidR="00FD4DBE" w:rsidRPr="00EA6C7A">
          <w:rPr>
            <w:webHidden/>
          </w:rPr>
          <w:tab/>
        </w:r>
        <w:r w:rsidR="00FD4DBE" w:rsidRPr="00EA6C7A">
          <w:rPr>
            <w:webHidden/>
          </w:rPr>
          <w:fldChar w:fldCharType="begin"/>
        </w:r>
        <w:r w:rsidR="00FD4DBE" w:rsidRPr="00EA6C7A">
          <w:rPr>
            <w:webHidden/>
          </w:rPr>
          <w:instrText xml:space="preserve"> PAGEREF _Toc26002333 \h </w:instrText>
        </w:r>
        <w:r w:rsidR="00FD4DBE" w:rsidRPr="00EA6C7A">
          <w:rPr>
            <w:webHidden/>
          </w:rPr>
        </w:r>
        <w:r w:rsidR="00FD4DBE" w:rsidRPr="00EA6C7A">
          <w:rPr>
            <w:webHidden/>
          </w:rPr>
          <w:fldChar w:fldCharType="separate"/>
        </w:r>
        <w:r>
          <w:rPr>
            <w:webHidden/>
          </w:rPr>
          <w:t>77</w:t>
        </w:r>
        <w:r w:rsidR="00FD4DBE" w:rsidRPr="00EA6C7A">
          <w:rPr>
            <w:webHidden/>
          </w:rPr>
          <w:fldChar w:fldCharType="end"/>
        </w:r>
      </w:hyperlink>
    </w:p>
    <w:p w14:paraId="06735E75" w14:textId="1DEFF0DC"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34" w:history="1">
        <w:r w:rsidR="00FD4DBE" w:rsidRPr="00EA6C7A">
          <w:rPr>
            <w:rStyle w:val="Hipervnculo"/>
            <w:rFonts w:eastAsia="Calibri"/>
            <w:noProof/>
            <w:lang w:val="en-US"/>
          </w:rPr>
          <w:t>C.1. Rehabilitation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_Toc26002334 \h </w:instrText>
        </w:r>
        <w:r w:rsidR="00FD4DBE" w:rsidRPr="00EA6C7A">
          <w:rPr>
            <w:noProof/>
            <w:webHidden/>
          </w:rPr>
        </w:r>
        <w:r w:rsidR="00FD4DBE" w:rsidRPr="00EA6C7A">
          <w:rPr>
            <w:noProof/>
            <w:webHidden/>
          </w:rPr>
          <w:fldChar w:fldCharType="separate"/>
        </w:r>
        <w:r>
          <w:rPr>
            <w:noProof/>
            <w:webHidden/>
          </w:rPr>
          <w:t>77</w:t>
        </w:r>
        <w:r w:rsidR="00FD4DBE" w:rsidRPr="00EA6C7A">
          <w:rPr>
            <w:noProof/>
            <w:webHidden/>
          </w:rPr>
          <w:fldChar w:fldCharType="end"/>
        </w:r>
      </w:hyperlink>
    </w:p>
    <w:p w14:paraId="12FB5685" w14:textId="785AE1B5"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35" w:history="1">
        <w:r w:rsidR="00FD4DBE" w:rsidRPr="00EA6C7A">
          <w:rPr>
            <w:rStyle w:val="Hipervnculo"/>
            <w:rFonts w:eastAsia="Calibri"/>
            <w:noProof/>
            <w:lang w:val="en-US"/>
          </w:rPr>
          <w:t>C.2. Measures of satisfaction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_Toc26002335 \h </w:instrText>
        </w:r>
        <w:r w:rsidR="00FD4DBE" w:rsidRPr="00EA6C7A">
          <w:rPr>
            <w:noProof/>
            <w:webHidden/>
          </w:rPr>
        </w:r>
        <w:r w:rsidR="00FD4DBE" w:rsidRPr="00EA6C7A">
          <w:rPr>
            <w:noProof/>
            <w:webHidden/>
          </w:rPr>
          <w:fldChar w:fldCharType="separate"/>
        </w:r>
        <w:r>
          <w:rPr>
            <w:noProof/>
            <w:webHidden/>
          </w:rPr>
          <w:t>78</w:t>
        </w:r>
        <w:r w:rsidR="00FD4DBE" w:rsidRPr="00EA6C7A">
          <w:rPr>
            <w:noProof/>
            <w:webHidden/>
          </w:rPr>
          <w:fldChar w:fldCharType="end"/>
        </w:r>
      </w:hyperlink>
    </w:p>
    <w:p w14:paraId="4F32DFA4" w14:textId="5FF9A13D"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36" w:history="1">
        <w:r w:rsidR="00FD4DBE" w:rsidRPr="00EA6C7A">
          <w:rPr>
            <w:rStyle w:val="Hipervnculo"/>
            <w:rFonts w:eastAsia="Calibri"/>
            <w:noProof/>
            <w:lang w:val="en-US"/>
          </w:rPr>
          <w:t>C.2.1 Publication of the judgment</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_Toc26002336 \h </w:instrText>
        </w:r>
        <w:r w:rsidR="00FD4DBE" w:rsidRPr="00EA6C7A">
          <w:rPr>
            <w:noProof/>
            <w:webHidden/>
          </w:rPr>
        </w:r>
        <w:r w:rsidR="00FD4DBE" w:rsidRPr="00EA6C7A">
          <w:rPr>
            <w:noProof/>
            <w:webHidden/>
          </w:rPr>
          <w:fldChar w:fldCharType="separate"/>
        </w:r>
        <w:r>
          <w:rPr>
            <w:noProof/>
            <w:webHidden/>
          </w:rPr>
          <w:t>78</w:t>
        </w:r>
        <w:r w:rsidR="00FD4DBE" w:rsidRPr="00EA6C7A">
          <w:rPr>
            <w:noProof/>
            <w:webHidden/>
          </w:rPr>
          <w:fldChar w:fldCharType="end"/>
        </w:r>
      </w:hyperlink>
    </w:p>
    <w:p w14:paraId="6DBA80AD" w14:textId="7C4F9885"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37" w:history="1">
        <w:r w:rsidR="00FD4DBE" w:rsidRPr="00EA6C7A">
          <w:rPr>
            <w:rStyle w:val="Hipervnculo"/>
            <w:rFonts w:eastAsia="Calibri"/>
            <w:noProof/>
            <w:lang w:val="en-US"/>
          </w:rPr>
          <w:t>C.2.2. Public act to acknowledge international responsibility</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_Toc26002337 \h </w:instrText>
        </w:r>
        <w:r w:rsidR="00FD4DBE" w:rsidRPr="00EA6C7A">
          <w:rPr>
            <w:noProof/>
            <w:webHidden/>
          </w:rPr>
        </w:r>
        <w:r w:rsidR="00FD4DBE" w:rsidRPr="00EA6C7A">
          <w:rPr>
            <w:noProof/>
            <w:webHidden/>
          </w:rPr>
          <w:fldChar w:fldCharType="separate"/>
        </w:r>
        <w:r>
          <w:rPr>
            <w:noProof/>
            <w:webHidden/>
          </w:rPr>
          <w:t>78</w:t>
        </w:r>
        <w:r w:rsidR="00FD4DBE" w:rsidRPr="00EA6C7A">
          <w:rPr>
            <w:noProof/>
            <w:webHidden/>
          </w:rPr>
          <w:fldChar w:fldCharType="end"/>
        </w:r>
      </w:hyperlink>
    </w:p>
    <w:p w14:paraId="26E74E7B" w14:textId="20665F60"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38" w:history="1">
        <w:r w:rsidR="00FD4DBE" w:rsidRPr="00EA6C7A">
          <w:rPr>
            <w:rStyle w:val="Hipervnculo"/>
            <w:rFonts w:eastAsia="Calibri"/>
            <w:noProof/>
            <w:lang w:val="en-US"/>
          </w:rPr>
          <w:t>C.2.3. Request for funds to create the “Claudina Isabel Velásquez Paiz - Guatemala” Foundation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_Toc26002338 \h </w:instrText>
        </w:r>
        <w:r w:rsidR="00FD4DBE" w:rsidRPr="00EA6C7A">
          <w:rPr>
            <w:noProof/>
            <w:webHidden/>
          </w:rPr>
        </w:r>
        <w:r w:rsidR="00FD4DBE" w:rsidRPr="00EA6C7A">
          <w:rPr>
            <w:noProof/>
            <w:webHidden/>
          </w:rPr>
          <w:fldChar w:fldCharType="separate"/>
        </w:r>
        <w:r>
          <w:rPr>
            <w:noProof/>
            <w:webHidden/>
          </w:rPr>
          <w:t>79</w:t>
        </w:r>
        <w:r w:rsidR="00FD4DBE" w:rsidRPr="00EA6C7A">
          <w:rPr>
            <w:noProof/>
            <w:webHidden/>
          </w:rPr>
          <w:fldChar w:fldCharType="end"/>
        </w:r>
      </w:hyperlink>
    </w:p>
    <w:p w14:paraId="12BA923D" w14:textId="639B4B1C"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39" w:history="1">
        <w:r w:rsidR="00FD4DBE" w:rsidRPr="00EA6C7A">
          <w:rPr>
            <w:rStyle w:val="Hipervnculo"/>
            <w:rFonts w:eastAsia="Calibri"/>
            <w:noProof/>
            <w:lang w:val="en-US"/>
          </w:rPr>
          <w:t>C.3. Guarantees of non-repetition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_Toc26002339 \h </w:instrText>
        </w:r>
        <w:r w:rsidR="00FD4DBE" w:rsidRPr="00EA6C7A">
          <w:rPr>
            <w:noProof/>
            <w:webHidden/>
          </w:rPr>
        </w:r>
        <w:r w:rsidR="00FD4DBE" w:rsidRPr="00EA6C7A">
          <w:rPr>
            <w:noProof/>
            <w:webHidden/>
          </w:rPr>
          <w:fldChar w:fldCharType="separate"/>
        </w:r>
        <w:r>
          <w:rPr>
            <w:noProof/>
            <w:webHidden/>
          </w:rPr>
          <w:t>79</w:t>
        </w:r>
        <w:r w:rsidR="00FD4DBE" w:rsidRPr="00EA6C7A">
          <w:rPr>
            <w:noProof/>
            <w:webHidden/>
          </w:rPr>
          <w:fldChar w:fldCharType="end"/>
        </w:r>
      </w:hyperlink>
    </w:p>
    <w:p w14:paraId="1A88E190" w14:textId="49D1D290"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40" w:history="1">
        <w:r w:rsidR="00FD4DBE" w:rsidRPr="00EA6C7A">
          <w:rPr>
            <w:rStyle w:val="Hipervnculo"/>
            <w:rFonts w:eastAsia="Calibri"/>
            <w:noProof/>
            <w:lang w:val="en-US"/>
          </w:rPr>
          <w:t>C.3.1. Educational programs on non-discrimination and violence against women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_Toc26002340 \h </w:instrText>
        </w:r>
        <w:r w:rsidR="00FD4DBE" w:rsidRPr="00EA6C7A">
          <w:rPr>
            <w:noProof/>
            <w:webHidden/>
          </w:rPr>
        </w:r>
        <w:r w:rsidR="00FD4DBE" w:rsidRPr="00EA6C7A">
          <w:rPr>
            <w:noProof/>
            <w:webHidden/>
          </w:rPr>
          <w:fldChar w:fldCharType="separate"/>
        </w:r>
        <w:r>
          <w:rPr>
            <w:noProof/>
            <w:webHidden/>
          </w:rPr>
          <w:t>80</w:t>
        </w:r>
        <w:r w:rsidR="00FD4DBE" w:rsidRPr="00EA6C7A">
          <w:rPr>
            <w:noProof/>
            <w:webHidden/>
          </w:rPr>
          <w:fldChar w:fldCharType="end"/>
        </w:r>
      </w:hyperlink>
    </w:p>
    <w:p w14:paraId="10421C05" w14:textId="1CF8B5A1"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41" w:history="1">
        <w:r w:rsidR="00FD4DBE" w:rsidRPr="00EA6C7A">
          <w:rPr>
            <w:rStyle w:val="Hipervnculo"/>
            <w:rFonts w:eastAsia="Calibri"/>
            <w:noProof/>
            <w:lang w:val="en-US"/>
          </w:rPr>
          <w:t>C.3.2. Institutional strengthening for the investigation of cases of violence against women</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_Toc26002341 \h </w:instrText>
        </w:r>
        <w:r w:rsidR="00FD4DBE" w:rsidRPr="00EA6C7A">
          <w:rPr>
            <w:noProof/>
            <w:webHidden/>
          </w:rPr>
        </w:r>
        <w:r w:rsidR="00FD4DBE" w:rsidRPr="00EA6C7A">
          <w:rPr>
            <w:noProof/>
            <w:webHidden/>
          </w:rPr>
          <w:fldChar w:fldCharType="separate"/>
        </w:r>
        <w:r>
          <w:rPr>
            <w:noProof/>
            <w:webHidden/>
          </w:rPr>
          <w:t>81</w:t>
        </w:r>
        <w:r w:rsidR="00FD4DBE" w:rsidRPr="00EA6C7A">
          <w:rPr>
            <w:noProof/>
            <w:webHidden/>
          </w:rPr>
          <w:fldChar w:fldCharType="end"/>
        </w:r>
      </w:hyperlink>
    </w:p>
    <w:p w14:paraId="5339A2F6" w14:textId="593B5D56"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42" w:history="1">
        <w:r w:rsidR="00FD4DBE" w:rsidRPr="00EA6C7A">
          <w:rPr>
            <w:rStyle w:val="Hipervnculo"/>
            <w:noProof/>
            <w:lang w:val="en-US"/>
          </w:rPr>
          <w:t>C.3.3. Measures to prevent violence against women: State policies</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_Toc26002342 \h </w:instrText>
        </w:r>
        <w:r w:rsidR="00FD4DBE" w:rsidRPr="00EA6C7A">
          <w:rPr>
            <w:noProof/>
            <w:webHidden/>
          </w:rPr>
        </w:r>
        <w:r w:rsidR="00FD4DBE" w:rsidRPr="00EA6C7A">
          <w:rPr>
            <w:noProof/>
            <w:webHidden/>
          </w:rPr>
          <w:fldChar w:fldCharType="separate"/>
        </w:r>
        <w:r>
          <w:rPr>
            <w:noProof/>
            <w:webHidden/>
          </w:rPr>
          <w:t>85</w:t>
        </w:r>
        <w:r w:rsidR="00FD4DBE" w:rsidRPr="00EA6C7A">
          <w:rPr>
            <w:noProof/>
            <w:webHidden/>
          </w:rPr>
          <w:fldChar w:fldCharType="end"/>
        </w:r>
      </w:hyperlink>
    </w:p>
    <w:p w14:paraId="652DAB94" w14:textId="0FA2186E"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43" w:history="1">
        <w:r w:rsidR="00FD4DBE" w:rsidRPr="00EA6C7A">
          <w:rPr>
            <w:rStyle w:val="Hipervnculo"/>
            <w:rFonts w:eastAsia="Calibri"/>
            <w:noProof/>
            <w:lang w:val="en-US"/>
          </w:rPr>
          <w:t>C.3.4 Request for a statistical information system</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_Toc26002343 \h </w:instrText>
        </w:r>
        <w:r w:rsidR="00FD4DBE" w:rsidRPr="00EA6C7A">
          <w:rPr>
            <w:noProof/>
            <w:webHidden/>
          </w:rPr>
        </w:r>
        <w:r w:rsidR="00FD4DBE" w:rsidRPr="00EA6C7A">
          <w:rPr>
            <w:noProof/>
            <w:webHidden/>
          </w:rPr>
          <w:fldChar w:fldCharType="separate"/>
        </w:r>
        <w:r>
          <w:rPr>
            <w:noProof/>
            <w:webHidden/>
          </w:rPr>
          <w:t>87</w:t>
        </w:r>
        <w:r w:rsidR="00FD4DBE" w:rsidRPr="00EA6C7A">
          <w:rPr>
            <w:noProof/>
            <w:webHidden/>
          </w:rPr>
          <w:fldChar w:fldCharType="end"/>
        </w:r>
      </w:hyperlink>
    </w:p>
    <w:p w14:paraId="241C4268" w14:textId="2207F85F" w:rsidR="00FD4DBE" w:rsidRPr="00EA6C7A" w:rsidRDefault="005559F5">
      <w:pPr>
        <w:pStyle w:val="TDC2"/>
        <w:rPr>
          <w:rFonts w:asciiTheme="minorHAnsi" w:eastAsiaTheme="minorEastAsia" w:hAnsiTheme="minorHAnsi" w:cstheme="minorBidi"/>
          <w:b w:val="0"/>
          <w:bCs w:val="0"/>
          <w:sz w:val="22"/>
          <w:lang w:val="en-US" w:eastAsia="en-US"/>
        </w:rPr>
      </w:pPr>
      <w:hyperlink w:anchor="_Toc26002344" w:history="1">
        <w:r w:rsidR="00FD4DBE" w:rsidRPr="00EA6C7A">
          <w:rPr>
            <w:rStyle w:val="Hipervnculo"/>
            <w:rFonts w:eastAsia="Calibri"/>
            <w:i/>
            <w:lang w:val="en-US"/>
          </w:rPr>
          <w:t xml:space="preserve">D. </w:t>
        </w:r>
        <w:r w:rsidR="00FD4DBE" w:rsidRPr="00EA6C7A">
          <w:rPr>
            <w:rStyle w:val="Hipervnculo"/>
            <w:i/>
            <w:iCs/>
            <w:lang w:val="en-US"/>
          </w:rPr>
          <w:t>Compensation</w:t>
        </w:r>
        <w:r w:rsidR="00FD4DBE" w:rsidRPr="00EA6C7A">
          <w:rPr>
            <w:webHidden/>
          </w:rPr>
          <w:tab/>
        </w:r>
        <w:r w:rsidR="00FD4DBE" w:rsidRPr="00EA6C7A">
          <w:rPr>
            <w:webHidden/>
          </w:rPr>
          <w:fldChar w:fldCharType="begin"/>
        </w:r>
        <w:r w:rsidR="00FD4DBE" w:rsidRPr="00EA6C7A">
          <w:rPr>
            <w:webHidden/>
          </w:rPr>
          <w:instrText xml:space="preserve"> PAGEREF _Toc26002344 \h </w:instrText>
        </w:r>
        <w:r w:rsidR="00FD4DBE" w:rsidRPr="00EA6C7A">
          <w:rPr>
            <w:webHidden/>
          </w:rPr>
        </w:r>
        <w:r w:rsidR="00FD4DBE" w:rsidRPr="00EA6C7A">
          <w:rPr>
            <w:webHidden/>
          </w:rPr>
          <w:fldChar w:fldCharType="separate"/>
        </w:r>
        <w:r>
          <w:rPr>
            <w:webHidden/>
          </w:rPr>
          <w:t>88</w:t>
        </w:r>
        <w:r w:rsidR="00FD4DBE" w:rsidRPr="00EA6C7A">
          <w:rPr>
            <w:webHidden/>
          </w:rPr>
          <w:fldChar w:fldCharType="end"/>
        </w:r>
      </w:hyperlink>
    </w:p>
    <w:p w14:paraId="6B2C4A00" w14:textId="1A4A32FC"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45" w:history="1">
        <w:r w:rsidR="00FD4DBE" w:rsidRPr="00EA6C7A">
          <w:rPr>
            <w:rStyle w:val="Hipervnculo"/>
            <w:noProof/>
            <w:lang w:val="en-US"/>
          </w:rPr>
          <w:t>D.1. Non-pecuniary damage</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_Toc26002345 \h </w:instrText>
        </w:r>
        <w:r w:rsidR="00FD4DBE" w:rsidRPr="00EA6C7A">
          <w:rPr>
            <w:noProof/>
            <w:webHidden/>
          </w:rPr>
        </w:r>
        <w:r w:rsidR="00FD4DBE" w:rsidRPr="00EA6C7A">
          <w:rPr>
            <w:noProof/>
            <w:webHidden/>
          </w:rPr>
          <w:fldChar w:fldCharType="separate"/>
        </w:r>
        <w:r>
          <w:rPr>
            <w:noProof/>
            <w:webHidden/>
          </w:rPr>
          <w:t>88</w:t>
        </w:r>
        <w:r w:rsidR="00FD4DBE" w:rsidRPr="00EA6C7A">
          <w:rPr>
            <w:noProof/>
            <w:webHidden/>
          </w:rPr>
          <w:fldChar w:fldCharType="end"/>
        </w:r>
      </w:hyperlink>
    </w:p>
    <w:p w14:paraId="1D1FC103" w14:textId="33F30C72" w:rsidR="00FD4DBE" w:rsidRPr="00EA6C7A" w:rsidRDefault="005559F5">
      <w:pPr>
        <w:pStyle w:val="TDC3"/>
        <w:rPr>
          <w:rFonts w:asciiTheme="minorHAnsi" w:eastAsiaTheme="minorEastAsia" w:hAnsiTheme="minorHAnsi" w:cstheme="minorBidi"/>
          <w:noProof/>
          <w:sz w:val="22"/>
          <w:szCs w:val="22"/>
          <w:lang w:val="en-US" w:eastAsia="en-US"/>
        </w:rPr>
      </w:pPr>
      <w:hyperlink w:anchor="_Toc26002346" w:history="1">
        <w:r w:rsidR="00FD4DBE" w:rsidRPr="00EA6C7A">
          <w:rPr>
            <w:rStyle w:val="Hipervnculo"/>
            <w:noProof/>
            <w:lang w:val="en-US"/>
          </w:rPr>
          <w:t>D.2. Pecuniary damage</w:t>
        </w:r>
        <w:r w:rsidR="00FD4DBE" w:rsidRPr="00EA6C7A">
          <w:rPr>
            <w:noProof/>
            <w:webHidden/>
          </w:rPr>
          <w:tab/>
        </w:r>
        <w:r w:rsidR="00FD4DBE" w:rsidRPr="00EA6C7A">
          <w:rPr>
            <w:noProof/>
            <w:webHidden/>
          </w:rPr>
          <w:fldChar w:fldCharType="begin"/>
        </w:r>
        <w:r w:rsidR="00FD4DBE" w:rsidRPr="00EA6C7A">
          <w:rPr>
            <w:noProof/>
            <w:webHidden/>
          </w:rPr>
          <w:instrText xml:space="preserve"> PAGEREF _Toc26002346 \h </w:instrText>
        </w:r>
        <w:r w:rsidR="00FD4DBE" w:rsidRPr="00EA6C7A">
          <w:rPr>
            <w:noProof/>
            <w:webHidden/>
          </w:rPr>
        </w:r>
        <w:r w:rsidR="00FD4DBE" w:rsidRPr="00EA6C7A">
          <w:rPr>
            <w:noProof/>
            <w:webHidden/>
          </w:rPr>
          <w:fldChar w:fldCharType="separate"/>
        </w:r>
        <w:r>
          <w:rPr>
            <w:noProof/>
            <w:webHidden/>
          </w:rPr>
          <w:t>89</w:t>
        </w:r>
        <w:r w:rsidR="00FD4DBE" w:rsidRPr="00EA6C7A">
          <w:rPr>
            <w:noProof/>
            <w:webHidden/>
          </w:rPr>
          <w:fldChar w:fldCharType="end"/>
        </w:r>
      </w:hyperlink>
    </w:p>
    <w:p w14:paraId="663C4FDA" w14:textId="14296DE6" w:rsidR="00FD4DBE" w:rsidRPr="00EA6C7A" w:rsidRDefault="005559F5">
      <w:pPr>
        <w:pStyle w:val="TDC2"/>
        <w:rPr>
          <w:rFonts w:asciiTheme="minorHAnsi" w:eastAsiaTheme="minorEastAsia" w:hAnsiTheme="minorHAnsi" w:cstheme="minorBidi"/>
          <w:b w:val="0"/>
          <w:bCs w:val="0"/>
          <w:sz w:val="22"/>
          <w:lang w:val="en-US" w:eastAsia="en-US"/>
        </w:rPr>
      </w:pPr>
      <w:hyperlink w:anchor="_Toc26002347" w:history="1">
        <w:r w:rsidR="00FD4DBE" w:rsidRPr="00EA6C7A">
          <w:rPr>
            <w:rStyle w:val="Hipervnculo"/>
            <w:rFonts w:eastAsia="Calibri"/>
            <w:i/>
            <w:lang w:val="en-US"/>
          </w:rPr>
          <w:t xml:space="preserve">E. </w:t>
        </w:r>
        <w:r w:rsidR="00FD4DBE" w:rsidRPr="00EA6C7A">
          <w:rPr>
            <w:rStyle w:val="Hipervnculo"/>
            <w:i/>
            <w:iCs/>
            <w:lang w:val="en-US"/>
          </w:rPr>
          <w:t>Costs and expenses</w:t>
        </w:r>
        <w:r w:rsidR="00FD4DBE" w:rsidRPr="00EA6C7A">
          <w:rPr>
            <w:webHidden/>
          </w:rPr>
          <w:tab/>
        </w:r>
        <w:r w:rsidR="00FD4DBE" w:rsidRPr="00EA6C7A">
          <w:rPr>
            <w:webHidden/>
          </w:rPr>
          <w:fldChar w:fldCharType="begin"/>
        </w:r>
        <w:r w:rsidR="00FD4DBE" w:rsidRPr="00EA6C7A">
          <w:rPr>
            <w:webHidden/>
          </w:rPr>
          <w:instrText xml:space="preserve"> PAGEREF _Toc26002347 \h </w:instrText>
        </w:r>
        <w:r w:rsidR="00FD4DBE" w:rsidRPr="00EA6C7A">
          <w:rPr>
            <w:webHidden/>
          </w:rPr>
        </w:r>
        <w:r w:rsidR="00FD4DBE" w:rsidRPr="00EA6C7A">
          <w:rPr>
            <w:webHidden/>
          </w:rPr>
          <w:fldChar w:fldCharType="separate"/>
        </w:r>
        <w:r>
          <w:rPr>
            <w:webHidden/>
          </w:rPr>
          <w:t>91</w:t>
        </w:r>
        <w:r w:rsidR="00FD4DBE" w:rsidRPr="00EA6C7A">
          <w:rPr>
            <w:webHidden/>
          </w:rPr>
          <w:fldChar w:fldCharType="end"/>
        </w:r>
      </w:hyperlink>
    </w:p>
    <w:p w14:paraId="32D04E24" w14:textId="3C666C7A" w:rsidR="00FD4DBE" w:rsidRPr="00EA6C7A" w:rsidRDefault="005559F5">
      <w:pPr>
        <w:pStyle w:val="TDC2"/>
        <w:rPr>
          <w:rFonts w:asciiTheme="minorHAnsi" w:eastAsiaTheme="minorEastAsia" w:hAnsiTheme="minorHAnsi" w:cstheme="minorBidi"/>
          <w:b w:val="0"/>
          <w:bCs w:val="0"/>
          <w:sz w:val="22"/>
          <w:lang w:val="en-US" w:eastAsia="en-US"/>
        </w:rPr>
      </w:pPr>
      <w:hyperlink w:anchor="_Toc26002348" w:history="1">
        <w:r w:rsidR="00FD4DBE" w:rsidRPr="00EA6C7A">
          <w:rPr>
            <w:rStyle w:val="Hipervnculo"/>
            <w:i/>
            <w:lang w:val="en-US"/>
          </w:rPr>
          <w:t>F. Method of complying with the payments ordered</w:t>
        </w:r>
        <w:r w:rsidR="00FD4DBE" w:rsidRPr="00EA6C7A">
          <w:rPr>
            <w:webHidden/>
          </w:rPr>
          <w:tab/>
        </w:r>
        <w:r w:rsidR="00FD4DBE" w:rsidRPr="00EA6C7A">
          <w:rPr>
            <w:webHidden/>
          </w:rPr>
          <w:fldChar w:fldCharType="begin"/>
        </w:r>
        <w:r w:rsidR="00FD4DBE" w:rsidRPr="00EA6C7A">
          <w:rPr>
            <w:webHidden/>
          </w:rPr>
          <w:instrText xml:space="preserve"> PAGEREF _Toc26002348 \h </w:instrText>
        </w:r>
        <w:r w:rsidR="00FD4DBE" w:rsidRPr="00EA6C7A">
          <w:rPr>
            <w:webHidden/>
          </w:rPr>
        </w:r>
        <w:r w:rsidR="00FD4DBE" w:rsidRPr="00EA6C7A">
          <w:rPr>
            <w:webHidden/>
          </w:rPr>
          <w:fldChar w:fldCharType="separate"/>
        </w:r>
        <w:r>
          <w:rPr>
            <w:webHidden/>
          </w:rPr>
          <w:t>92</w:t>
        </w:r>
        <w:r w:rsidR="00FD4DBE" w:rsidRPr="00EA6C7A">
          <w:rPr>
            <w:webHidden/>
          </w:rPr>
          <w:fldChar w:fldCharType="end"/>
        </w:r>
      </w:hyperlink>
    </w:p>
    <w:p w14:paraId="7C527CC9" w14:textId="34A324E7" w:rsidR="00FD4DBE" w:rsidRPr="00EA6C7A" w:rsidRDefault="005559F5">
      <w:pPr>
        <w:pStyle w:val="TDC1"/>
        <w:rPr>
          <w:rFonts w:asciiTheme="minorHAnsi" w:eastAsiaTheme="minorEastAsia" w:hAnsiTheme="minorHAnsi" w:cstheme="minorBidi"/>
          <w:b w:val="0"/>
          <w:bCs w:val="0"/>
          <w:iCs w:val="0"/>
          <w:sz w:val="22"/>
          <w:szCs w:val="22"/>
          <w:lang w:val="en-US" w:eastAsia="en-US"/>
        </w:rPr>
      </w:pPr>
      <w:hyperlink w:anchor="_Toc26002349" w:history="1">
        <w:r w:rsidR="00FD4DBE" w:rsidRPr="00EA6C7A">
          <w:rPr>
            <w:rStyle w:val="Hipervnculo"/>
            <w:lang w:val="en-US"/>
          </w:rPr>
          <w:t>IX</w:t>
        </w:r>
        <w:r w:rsidR="00FD4DBE" w:rsidRPr="00EA6C7A">
          <w:rPr>
            <w:webHidden/>
            <w:lang w:val="en-US"/>
          </w:rPr>
          <w:t xml:space="preserve"> </w:t>
        </w:r>
      </w:hyperlink>
      <w:hyperlink w:anchor="_Toc26002350" w:history="1">
        <w:r w:rsidR="00FD4DBE" w:rsidRPr="00EA6C7A">
          <w:rPr>
            <w:rStyle w:val="Hipervnculo"/>
            <w:lang w:val="en-US"/>
          </w:rPr>
          <w:t>OPERATIVE PARAGRAPHS</w:t>
        </w:r>
        <w:r w:rsidR="00FD4DBE" w:rsidRPr="00EA6C7A">
          <w:rPr>
            <w:webHidden/>
          </w:rPr>
          <w:tab/>
        </w:r>
        <w:r w:rsidR="00FD4DBE" w:rsidRPr="00EA6C7A">
          <w:rPr>
            <w:webHidden/>
          </w:rPr>
          <w:fldChar w:fldCharType="begin"/>
        </w:r>
        <w:r w:rsidR="00FD4DBE" w:rsidRPr="00EA6C7A">
          <w:rPr>
            <w:webHidden/>
          </w:rPr>
          <w:instrText xml:space="preserve"> PAGEREF _Toc26002350 \h </w:instrText>
        </w:r>
        <w:r w:rsidR="00FD4DBE" w:rsidRPr="00EA6C7A">
          <w:rPr>
            <w:webHidden/>
          </w:rPr>
        </w:r>
        <w:r w:rsidR="00FD4DBE" w:rsidRPr="00EA6C7A">
          <w:rPr>
            <w:webHidden/>
          </w:rPr>
          <w:fldChar w:fldCharType="separate"/>
        </w:r>
        <w:r>
          <w:rPr>
            <w:webHidden/>
          </w:rPr>
          <w:t>93</w:t>
        </w:r>
        <w:r w:rsidR="00FD4DBE" w:rsidRPr="00EA6C7A">
          <w:rPr>
            <w:webHidden/>
          </w:rPr>
          <w:fldChar w:fldCharType="end"/>
        </w:r>
      </w:hyperlink>
    </w:p>
    <w:p w14:paraId="038A36B1" w14:textId="77777777" w:rsidR="006C1E11" w:rsidRPr="00EA6C7A" w:rsidRDefault="00177710" w:rsidP="00F445E2">
      <w:pPr>
        <w:pStyle w:val="Sentencia1"/>
        <w:jc w:val="both"/>
        <w:rPr>
          <w:rFonts w:cs="Verdana"/>
          <w:lang w:val="en-US"/>
        </w:rPr>
      </w:pPr>
      <w:r w:rsidRPr="00EA6C7A">
        <w:rPr>
          <w:rFonts w:cs="Verdana"/>
          <w:noProof/>
          <w:szCs w:val="24"/>
          <w:lang w:val="en-US"/>
        </w:rPr>
        <w:fldChar w:fldCharType="end"/>
      </w:r>
    </w:p>
    <w:p w14:paraId="6860C797" w14:textId="77777777" w:rsidR="006C1E11" w:rsidRPr="00EA6C7A" w:rsidRDefault="006C1E11" w:rsidP="006C1E11">
      <w:pPr>
        <w:pStyle w:val="Sentencia1"/>
        <w:rPr>
          <w:rFonts w:cs="Verdana"/>
          <w:lang w:val="en-US"/>
        </w:rPr>
      </w:pPr>
    </w:p>
    <w:p w14:paraId="63D5DAE6" w14:textId="77777777" w:rsidR="005F5B74" w:rsidRPr="00EA6C7A" w:rsidRDefault="006C1E11" w:rsidP="006C1E11">
      <w:pPr>
        <w:pStyle w:val="Sentencia1"/>
        <w:rPr>
          <w:lang w:val="en-US"/>
        </w:rPr>
      </w:pPr>
      <w:r w:rsidRPr="00EA6C7A">
        <w:rPr>
          <w:lang w:val="en-US"/>
        </w:rPr>
        <w:br w:type="page"/>
      </w:r>
      <w:bookmarkStart w:id="2" w:name="_Toc26002285"/>
      <w:r w:rsidR="005F5B74" w:rsidRPr="00EA6C7A">
        <w:rPr>
          <w:lang w:val="en-US"/>
        </w:rPr>
        <w:lastRenderedPageBreak/>
        <w:t>I</w:t>
      </w:r>
      <w:r w:rsidR="005F5B74" w:rsidRPr="00EA6C7A">
        <w:rPr>
          <w:lang w:val="en-US"/>
        </w:rPr>
        <w:br/>
      </w:r>
      <w:r w:rsidR="0096418F" w:rsidRPr="00EA6C7A">
        <w:rPr>
          <w:lang w:val="en-US"/>
        </w:rPr>
        <w:t>INTRODUCTION OF THE CASE AND PURPOSE OF THE DISPUTE</w:t>
      </w:r>
      <w:bookmarkEnd w:id="0"/>
      <w:bookmarkEnd w:id="1"/>
      <w:bookmarkEnd w:id="2"/>
    </w:p>
    <w:p w14:paraId="1E3B8ABD" w14:textId="77777777" w:rsidR="00026CB6" w:rsidRPr="00EA6C7A" w:rsidRDefault="00026CB6" w:rsidP="00026CB6">
      <w:pPr>
        <w:pStyle w:val="Sentencia2"/>
        <w:rPr>
          <w:lang w:val="en-US"/>
        </w:rPr>
      </w:pPr>
    </w:p>
    <w:p w14:paraId="6D463EB0" w14:textId="77777777" w:rsidR="003C14C1" w:rsidRPr="00EA6C7A" w:rsidRDefault="0096418F" w:rsidP="003C14C1">
      <w:pPr>
        <w:pStyle w:val="Prrafodelista"/>
        <w:numPr>
          <w:ilvl w:val="0"/>
          <w:numId w:val="3"/>
        </w:numPr>
        <w:spacing w:after="0" w:line="240" w:lineRule="auto"/>
        <w:ind w:left="0" w:firstLine="0"/>
        <w:jc w:val="both"/>
        <w:rPr>
          <w:rFonts w:ascii="Verdana" w:eastAsia="Calibri" w:hAnsi="Verdana" w:cs="Arial"/>
          <w:color w:val="000000"/>
          <w:sz w:val="20"/>
          <w:szCs w:val="20"/>
          <w:lang w:val="en-US"/>
        </w:rPr>
      </w:pPr>
      <w:r w:rsidRPr="00EA6C7A">
        <w:rPr>
          <w:rFonts w:ascii="Verdana" w:hAnsi="Verdana"/>
          <w:i/>
          <w:sz w:val="20"/>
          <w:szCs w:val="20"/>
          <w:lang w:val="en-US"/>
        </w:rPr>
        <w:t>The case submitted to the Court</w:t>
      </w:r>
      <w:r w:rsidR="005F5B74" w:rsidRPr="00EA6C7A">
        <w:rPr>
          <w:rFonts w:ascii="Verdana" w:hAnsi="Verdana"/>
          <w:i/>
          <w:sz w:val="20"/>
          <w:szCs w:val="20"/>
          <w:lang w:val="en-US"/>
        </w:rPr>
        <w:t>.</w:t>
      </w:r>
      <w:r w:rsidR="005F5B74" w:rsidRPr="00EA6C7A">
        <w:rPr>
          <w:rFonts w:ascii="Verdana" w:hAnsi="Verdana"/>
          <w:sz w:val="20"/>
          <w:szCs w:val="20"/>
          <w:lang w:val="en-US"/>
        </w:rPr>
        <w:t xml:space="preserve"> </w:t>
      </w:r>
      <w:r w:rsidR="003C14C1" w:rsidRPr="00EA6C7A">
        <w:rPr>
          <w:rFonts w:ascii="Verdana" w:eastAsia="Calibri" w:hAnsi="Verdana" w:cs="Arial"/>
          <w:sz w:val="20"/>
          <w:szCs w:val="20"/>
          <w:lang w:val="en-US"/>
        </w:rPr>
        <w:t>On March 5,</w:t>
      </w:r>
      <w:r w:rsidR="005F5B74" w:rsidRPr="00EA6C7A">
        <w:rPr>
          <w:rFonts w:ascii="Verdana" w:hAnsi="Verdana" w:cs="Arial"/>
          <w:sz w:val="20"/>
          <w:szCs w:val="20"/>
          <w:lang w:val="en-US"/>
        </w:rPr>
        <w:t xml:space="preserve"> 2014</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the Inter-American Commission on Human Rights</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hereinafter</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the Inter-American Commission</w:t>
      </w:r>
      <w:r w:rsidR="005F5B74" w:rsidRPr="00EA6C7A">
        <w:rPr>
          <w:rFonts w:ascii="Verdana" w:eastAsia="Calibri" w:hAnsi="Verdana" w:cs="Arial"/>
          <w:sz w:val="20"/>
          <w:szCs w:val="20"/>
          <w:lang w:val="en-US"/>
        </w:rPr>
        <w:t>”</w:t>
      </w:r>
      <w:r w:rsidR="00884FA1" w:rsidRPr="00EA6C7A">
        <w:rPr>
          <w:rFonts w:ascii="Verdana" w:eastAsia="Calibri" w:hAnsi="Verdana" w:cs="Arial"/>
          <w:sz w:val="20"/>
          <w:szCs w:val="20"/>
          <w:lang w:val="en-US"/>
        </w:rPr>
        <w:t xml:space="preserve"> o</w:t>
      </w:r>
      <w:r w:rsidR="003C14C1" w:rsidRPr="00EA6C7A">
        <w:rPr>
          <w:rFonts w:ascii="Verdana" w:eastAsia="Calibri" w:hAnsi="Verdana" w:cs="Arial"/>
          <w:sz w:val="20"/>
          <w:szCs w:val="20"/>
          <w:lang w:val="en-US"/>
        </w:rPr>
        <w:t>r</w:t>
      </w:r>
      <w:r w:rsidR="00884FA1"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the Commission</w:t>
      </w:r>
      <w:r w:rsidR="00884FA1" w:rsidRPr="00EA6C7A">
        <w:rPr>
          <w:rFonts w:ascii="Verdana" w:eastAsia="Calibri" w:hAnsi="Verdana" w:cs="Arial"/>
          <w:sz w:val="20"/>
          <w:szCs w:val="20"/>
          <w:lang w:val="en-US"/>
        </w:rPr>
        <w:t>”</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 xml:space="preserve">submitted the case to the jurisdiction </w:t>
      </w:r>
      <w:r w:rsidRPr="00EA6C7A">
        <w:rPr>
          <w:rFonts w:ascii="Verdana" w:eastAsia="Calibri" w:hAnsi="Verdana" w:cs="Arial"/>
          <w:sz w:val="20"/>
          <w:szCs w:val="20"/>
          <w:lang w:val="en-US"/>
        </w:rPr>
        <w:t>of the Inter-American Court of Human Rights</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hereinafter</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 xml:space="preserve">the </w:t>
      </w:r>
      <w:r w:rsidR="003C14C1" w:rsidRPr="00EA6C7A">
        <w:rPr>
          <w:rFonts w:ascii="Verdana" w:eastAsia="Calibri" w:hAnsi="Verdana" w:cs="Arial"/>
          <w:sz w:val="20"/>
          <w:szCs w:val="20"/>
          <w:lang w:val="en-US"/>
        </w:rPr>
        <w:t xml:space="preserve">Inter-American </w:t>
      </w:r>
      <w:r w:rsidRPr="00EA6C7A">
        <w:rPr>
          <w:rFonts w:ascii="Verdana" w:eastAsia="Calibri" w:hAnsi="Verdana" w:cs="Arial"/>
          <w:sz w:val="20"/>
          <w:szCs w:val="20"/>
          <w:lang w:val="en-US"/>
        </w:rPr>
        <w:t>Court</w:t>
      </w:r>
      <w:r w:rsidR="005F5B74" w:rsidRPr="00EA6C7A">
        <w:rPr>
          <w:rFonts w:ascii="Verdana" w:eastAsia="Calibri" w:hAnsi="Verdana" w:cs="Arial"/>
          <w:sz w:val="20"/>
          <w:szCs w:val="20"/>
          <w:lang w:val="en-US"/>
        </w:rPr>
        <w:t>” o</w:t>
      </w:r>
      <w:r w:rsidR="003C14C1" w:rsidRPr="00EA6C7A">
        <w:rPr>
          <w:rFonts w:ascii="Verdana" w:eastAsia="Calibri" w:hAnsi="Verdana" w:cs="Arial"/>
          <w:sz w:val="20"/>
          <w:szCs w:val="20"/>
          <w:lang w:val="en-US"/>
        </w:rPr>
        <w:t>r</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the Court</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against</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the Republic of</w:t>
      </w:r>
      <w:r w:rsidR="005F5B74" w:rsidRPr="00EA6C7A">
        <w:rPr>
          <w:rFonts w:ascii="Verdana" w:eastAsia="Calibri" w:hAnsi="Verdana" w:cs="Arial"/>
          <w:sz w:val="20"/>
          <w:szCs w:val="20"/>
          <w:lang w:val="en-US"/>
        </w:rPr>
        <w:t xml:space="preserve"> Guatemala (</w:t>
      </w:r>
      <w:r w:rsidRPr="00EA6C7A">
        <w:rPr>
          <w:rFonts w:ascii="Verdana" w:eastAsia="Calibri" w:hAnsi="Verdana" w:cs="Arial"/>
          <w:sz w:val="20"/>
          <w:szCs w:val="20"/>
          <w:lang w:val="en-US"/>
        </w:rPr>
        <w:t>hereinafter</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the State</w:t>
      </w:r>
      <w:r w:rsidR="005F5B74" w:rsidRPr="00EA6C7A">
        <w:rPr>
          <w:rFonts w:ascii="Verdana" w:eastAsia="Calibri" w:hAnsi="Verdana" w:cs="Arial"/>
          <w:sz w:val="20"/>
          <w:szCs w:val="20"/>
          <w:lang w:val="en-US"/>
        </w:rPr>
        <w:t>” o</w:t>
      </w:r>
      <w:r w:rsidR="003C14C1" w:rsidRPr="00EA6C7A">
        <w:rPr>
          <w:rFonts w:ascii="Verdana" w:eastAsia="Calibri" w:hAnsi="Verdana" w:cs="Arial"/>
          <w:sz w:val="20"/>
          <w:szCs w:val="20"/>
          <w:lang w:val="en-US"/>
        </w:rPr>
        <w:t>r</w:t>
      </w:r>
      <w:r w:rsidR="005F5B74" w:rsidRPr="00EA6C7A">
        <w:rPr>
          <w:rFonts w:ascii="Verdana" w:eastAsia="Calibri" w:hAnsi="Verdana" w:cs="Arial"/>
          <w:sz w:val="20"/>
          <w:szCs w:val="20"/>
          <w:lang w:val="en-US"/>
        </w:rPr>
        <w:t xml:space="preserve"> “Guatemala”). </w:t>
      </w:r>
      <w:r w:rsidR="003C14C1" w:rsidRPr="00EA6C7A">
        <w:rPr>
          <w:rFonts w:ascii="Verdana" w:eastAsia="Calibri" w:hAnsi="Verdana" w:cs="Arial"/>
          <w:sz w:val="20"/>
          <w:szCs w:val="20"/>
          <w:lang w:val="en-US"/>
        </w:rPr>
        <w:t>According to</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the Commission</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the case re</w:t>
      </w:r>
      <w:r w:rsidR="009D4407" w:rsidRPr="00EA6C7A">
        <w:rPr>
          <w:rFonts w:ascii="Verdana" w:eastAsia="Calibri" w:hAnsi="Verdana" w:cs="Arial"/>
          <w:sz w:val="20"/>
          <w:szCs w:val="20"/>
          <w:lang w:val="en-US"/>
        </w:rPr>
        <w:t>late</w:t>
      </w:r>
      <w:r w:rsidR="003C14C1" w:rsidRPr="00EA6C7A">
        <w:rPr>
          <w:rFonts w:ascii="Verdana" w:eastAsia="Calibri" w:hAnsi="Verdana" w:cs="Arial"/>
          <w:sz w:val="20"/>
          <w:szCs w:val="20"/>
          <w:lang w:val="en-US"/>
        </w:rPr>
        <w:t xml:space="preserve">s to the presumed responsibility of the State for failing to comply with the obligation to protect the life and personal integrity of Claudina Isabel Velásquez Paiz. Regarding the facts, the Commission indicated that, when the presumed victim </w:t>
      </w:r>
      <w:r w:rsidR="00B63A31" w:rsidRPr="00EA6C7A">
        <w:rPr>
          <w:rFonts w:ascii="Verdana" w:eastAsia="Calibri" w:hAnsi="Verdana" w:cs="Arial"/>
          <w:sz w:val="20"/>
          <w:szCs w:val="20"/>
          <w:lang w:val="en-US"/>
        </w:rPr>
        <w:t>did not</w:t>
      </w:r>
      <w:r w:rsidR="003C14C1" w:rsidRPr="00EA6C7A">
        <w:rPr>
          <w:rFonts w:ascii="Verdana" w:eastAsia="Calibri" w:hAnsi="Verdana" w:cs="Arial"/>
          <w:sz w:val="20"/>
          <w:szCs w:val="20"/>
          <w:lang w:val="en-US"/>
        </w:rPr>
        <w:t xml:space="preserve"> </w:t>
      </w:r>
      <w:r w:rsidR="009D4407" w:rsidRPr="00EA6C7A">
        <w:rPr>
          <w:rFonts w:ascii="Verdana" w:eastAsia="Calibri" w:hAnsi="Verdana" w:cs="Arial"/>
          <w:sz w:val="20"/>
          <w:szCs w:val="20"/>
          <w:lang w:val="en-US"/>
        </w:rPr>
        <w:t>return</w:t>
      </w:r>
      <w:r w:rsidR="003C14C1" w:rsidRPr="00EA6C7A">
        <w:rPr>
          <w:rFonts w:ascii="Verdana" w:eastAsia="Calibri" w:hAnsi="Verdana" w:cs="Arial"/>
          <w:sz w:val="20"/>
          <w:szCs w:val="20"/>
          <w:lang w:val="en-US"/>
        </w:rPr>
        <w:t xml:space="preserve"> home on August 12, 2005, her parents, </w:t>
      </w:r>
      <w:r w:rsidR="003060C0" w:rsidRPr="00EA6C7A">
        <w:rPr>
          <w:rFonts w:ascii="Verdana" w:eastAsia="Calibri" w:hAnsi="Verdana" w:cs="Arial"/>
          <w:sz w:val="20"/>
          <w:szCs w:val="20"/>
          <w:lang w:val="en-US"/>
        </w:rPr>
        <w:t xml:space="preserve">Jorge Rolando Velásquez </w:t>
      </w:r>
      <w:r w:rsidR="00441439" w:rsidRPr="00EA6C7A">
        <w:rPr>
          <w:rFonts w:ascii="Verdana" w:eastAsia="Calibri" w:hAnsi="Verdana" w:cs="Arial"/>
          <w:sz w:val="20"/>
          <w:szCs w:val="20"/>
          <w:lang w:val="en-US"/>
        </w:rPr>
        <w:t xml:space="preserve">Durán </w:t>
      </w:r>
      <w:r w:rsidR="003C14C1" w:rsidRPr="00EA6C7A">
        <w:rPr>
          <w:rFonts w:ascii="Verdana" w:eastAsia="Calibri" w:hAnsi="Verdana" w:cs="Arial"/>
          <w:sz w:val="20"/>
          <w:szCs w:val="20"/>
          <w:lang w:val="en-US"/>
        </w:rPr>
        <w:t>and</w:t>
      </w:r>
      <w:r w:rsidR="003060C0" w:rsidRPr="00EA6C7A">
        <w:rPr>
          <w:rFonts w:ascii="Verdana" w:eastAsia="Calibri" w:hAnsi="Verdana" w:cs="Arial"/>
          <w:sz w:val="20"/>
          <w:szCs w:val="20"/>
          <w:lang w:val="en-US"/>
        </w:rPr>
        <w:t xml:space="preserve"> Elsa </w:t>
      </w:r>
      <w:r w:rsidR="00CE4FB2" w:rsidRPr="00EA6C7A">
        <w:rPr>
          <w:rFonts w:ascii="Verdana" w:eastAsia="Calibri" w:hAnsi="Verdana" w:cs="Arial"/>
          <w:sz w:val="20"/>
          <w:szCs w:val="20"/>
          <w:lang w:val="en-US"/>
        </w:rPr>
        <w:t xml:space="preserve">Claudina </w:t>
      </w:r>
      <w:r w:rsidR="003060C0" w:rsidRPr="00EA6C7A">
        <w:rPr>
          <w:rFonts w:ascii="Verdana" w:eastAsia="Calibri" w:hAnsi="Verdana" w:cs="Arial"/>
          <w:sz w:val="20"/>
          <w:szCs w:val="20"/>
          <w:lang w:val="en-US"/>
        </w:rPr>
        <w:t>Paiz Vidal,</w:t>
      </w:r>
      <w:r w:rsidR="005F5B74"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 xml:space="preserve">went to report her disappearance. However, </w:t>
      </w:r>
      <w:r w:rsidR="005F5F57" w:rsidRPr="00EA6C7A">
        <w:rPr>
          <w:rFonts w:ascii="Verdana" w:eastAsia="Calibri" w:hAnsi="Verdana" w:cs="Arial"/>
          <w:sz w:val="20"/>
          <w:szCs w:val="20"/>
          <w:lang w:val="en-US"/>
        </w:rPr>
        <w:t>they were unable to do so</w:t>
      </w:r>
      <w:r w:rsidR="003C14C1" w:rsidRPr="00EA6C7A">
        <w:rPr>
          <w:rFonts w:ascii="Verdana" w:eastAsia="Calibri" w:hAnsi="Verdana" w:cs="Arial"/>
          <w:sz w:val="20"/>
          <w:szCs w:val="20"/>
          <w:lang w:val="en-US"/>
        </w:rPr>
        <w:t xml:space="preserve"> because they were told that </w:t>
      </w:r>
      <w:r w:rsidR="005F5F57" w:rsidRPr="00EA6C7A">
        <w:rPr>
          <w:rFonts w:ascii="Verdana" w:eastAsia="Calibri" w:hAnsi="Verdana" w:cs="Arial"/>
          <w:sz w:val="20"/>
          <w:szCs w:val="20"/>
          <w:lang w:val="en-US"/>
        </w:rPr>
        <w:t>they would have</w:t>
      </w:r>
      <w:r w:rsidR="003C14C1" w:rsidRPr="00EA6C7A">
        <w:rPr>
          <w:rFonts w:ascii="Verdana" w:eastAsia="Calibri" w:hAnsi="Verdana" w:cs="Arial"/>
          <w:sz w:val="20"/>
          <w:szCs w:val="20"/>
          <w:lang w:val="en-US"/>
        </w:rPr>
        <w:t xml:space="preserve"> to wait 24 hours to report this fact. Even though the </w:t>
      </w:r>
      <w:r w:rsidR="005F5F57" w:rsidRPr="00EA6C7A">
        <w:rPr>
          <w:rFonts w:ascii="Verdana" w:eastAsia="Calibri" w:hAnsi="Verdana" w:cs="Arial"/>
          <w:sz w:val="20"/>
          <w:szCs w:val="20"/>
          <w:lang w:val="en-US"/>
        </w:rPr>
        <w:t>S</w:t>
      </w:r>
      <w:r w:rsidR="003C14C1" w:rsidRPr="00EA6C7A">
        <w:rPr>
          <w:rFonts w:ascii="Verdana" w:eastAsia="Calibri" w:hAnsi="Verdana" w:cs="Arial"/>
          <w:sz w:val="20"/>
          <w:szCs w:val="20"/>
          <w:lang w:val="en-US"/>
        </w:rPr>
        <w:t xml:space="preserve">tate authorities were aware of the existence of </w:t>
      </w:r>
      <w:r w:rsidR="005F5F57" w:rsidRPr="00EA6C7A">
        <w:rPr>
          <w:rFonts w:ascii="Verdana" w:eastAsia="Calibri" w:hAnsi="Verdana" w:cs="Arial"/>
          <w:sz w:val="20"/>
          <w:szCs w:val="20"/>
          <w:lang w:val="en-US"/>
        </w:rPr>
        <w:t xml:space="preserve">a </w:t>
      </w:r>
      <w:r w:rsidR="003C14C1" w:rsidRPr="00EA6C7A">
        <w:rPr>
          <w:rFonts w:ascii="Verdana" w:eastAsia="Calibri" w:hAnsi="Verdana" w:cs="Arial"/>
          <w:sz w:val="20"/>
          <w:szCs w:val="20"/>
          <w:lang w:val="en-US"/>
        </w:rPr>
        <w:t xml:space="preserve">context of violence against women that </w:t>
      </w:r>
      <w:r w:rsidR="005F5F57" w:rsidRPr="00EA6C7A">
        <w:rPr>
          <w:rFonts w:ascii="Verdana" w:eastAsia="Calibri" w:hAnsi="Verdana" w:cs="Arial"/>
          <w:sz w:val="20"/>
          <w:szCs w:val="20"/>
          <w:lang w:val="en-US"/>
        </w:rPr>
        <w:t xml:space="preserve">clearly </w:t>
      </w:r>
      <w:r w:rsidR="003C14C1" w:rsidRPr="00EA6C7A">
        <w:rPr>
          <w:rFonts w:ascii="Verdana" w:eastAsia="Calibri" w:hAnsi="Verdana" w:cs="Arial"/>
          <w:sz w:val="20"/>
          <w:szCs w:val="20"/>
          <w:lang w:val="en-US"/>
        </w:rPr>
        <w:t xml:space="preserve">placed her in imminent danger, the State failed to take immediate and exhaustive measures to </w:t>
      </w:r>
      <w:r w:rsidR="005F5F57" w:rsidRPr="00EA6C7A">
        <w:rPr>
          <w:rFonts w:ascii="Verdana" w:eastAsia="Calibri" w:hAnsi="Verdana" w:cs="Arial"/>
          <w:sz w:val="20"/>
          <w:szCs w:val="20"/>
          <w:lang w:val="en-US"/>
        </w:rPr>
        <w:t>find</w:t>
      </w:r>
      <w:r w:rsidR="003C14C1" w:rsidRPr="00EA6C7A">
        <w:rPr>
          <w:rFonts w:ascii="Verdana" w:eastAsia="Calibri" w:hAnsi="Verdana" w:cs="Arial"/>
          <w:sz w:val="20"/>
          <w:szCs w:val="20"/>
          <w:lang w:val="en-US"/>
        </w:rPr>
        <w:t xml:space="preserve"> and protect her </w:t>
      </w:r>
      <w:r w:rsidR="005F5F57" w:rsidRPr="00EA6C7A">
        <w:rPr>
          <w:rFonts w:ascii="Verdana" w:eastAsia="Calibri" w:hAnsi="Verdana" w:cs="Arial"/>
          <w:sz w:val="20"/>
          <w:szCs w:val="20"/>
          <w:lang w:val="en-US"/>
        </w:rPr>
        <w:t xml:space="preserve">within the </w:t>
      </w:r>
      <w:r w:rsidR="009D4407" w:rsidRPr="00EA6C7A">
        <w:rPr>
          <w:rFonts w:ascii="Verdana" w:eastAsia="Calibri" w:hAnsi="Verdana" w:cs="Arial"/>
          <w:sz w:val="20"/>
          <w:szCs w:val="20"/>
          <w:lang w:val="en-US"/>
        </w:rPr>
        <w:t>initial</w:t>
      </w:r>
      <w:r w:rsidR="005F5F57" w:rsidRPr="00EA6C7A">
        <w:rPr>
          <w:rFonts w:ascii="Verdana" w:eastAsia="Calibri" w:hAnsi="Verdana" w:cs="Arial"/>
          <w:sz w:val="20"/>
          <w:szCs w:val="20"/>
          <w:lang w:val="en-US"/>
        </w:rPr>
        <w:t xml:space="preserve"> </w:t>
      </w:r>
      <w:r w:rsidR="003C14C1" w:rsidRPr="00EA6C7A">
        <w:rPr>
          <w:rFonts w:ascii="Verdana" w:eastAsia="Calibri" w:hAnsi="Verdana" w:cs="Arial"/>
          <w:sz w:val="20"/>
          <w:szCs w:val="20"/>
          <w:lang w:val="en-US"/>
        </w:rPr>
        <w:t xml:space="preserve">hours </w:t>
      </w:r>
      <w:r w:rsidR="009D4407" w:rsidRPr="00EA6C7A">
        <w:rPr>
          <w:rFonts w:ascii="Verdana" w:eastAsia="Calibri" w:hAnsi="Verdana" w:cs="Arial"/>
          <w:sz w:val="20"/>
          <w:szCs w:val="20"/>
          <w:lang w:val="en-US"/>
        </w:rPr>
        <w:t>after</w:t>
      </w:r>
      <w:r w:rsidR="005F5F57" w:rsidRPr="00EA6C7A">
        <w:rPr>
          <w:rFonts w:ascii="Verdana" w:eastAsia="Calibri" w:hAnsi="Verdana" w:cs="Arial"/>
          <w:sz w:val="20"/>
          <w:szCs w:val="20"/>
          <w:lang w:val="en-US"/>
        </w:rPr>
        <w:t xml:space="preserve"> learning </w:t>
      </w:r>
      <w:r w:rsidR="009D4407" w:rsidRPr="00EA6C7A">
        <w:rPr>
          <w:rFonts w:ascii="Verdana" w:eastAsia="Calibri" w:hAnsi="Verdana" w:cs="Arial"/>
          <w:sz w:val="20"/>
          <w:szCs w:val="20"/>
          <w:lang w:val="en-US"/>
        </w:rPr>
        <w:t xml:space="preserve">that she was missing. </w:t>
      </w:r>
      <w:r w:rsidR="003C14C1" w:rsidRPr="00EA6C7A">
        <w:rPr>
          <w:rFonts w:ascii="Verdana" w:eastAsia="Calibri" w:hAnsi="Verdana" w:cs="Arial"/>
          <w:sz w:val="20"/>
          <w:szCs w:val="20"/>
          <w:lang w:val="en-US"/>
        </w:rPr>
        <w:t xml:space="preserve">The body of the presumed victim was found the following day with signs of </w:t>
      </w:r>
      <w:r w:rsidR="00B63A31" w:rsidRPr="00EA6C7A">
        <w:rPr>
          <w:rFonts w:ascii="Verdana" w:eastAsia="Calibri" w:hAnsi="Verdana" w:cs="Arial"/>
          <w:sz w:val="20"/>
          <w:szCs w:val="20"/>
          <w:lang w:val="en-US"/>
        </w:rPr>
        <w:t>presumabl</w:t>
      </w:r>
      <w:r w:rsidR="005F5F57" w:rsidRPr="00EA6C7A">
        <w:rPr>
          <w:rFonts w:ascii="Verdana" w:eastAsia="Calibri" w:hAnsi="Verdana" w:cs="Arial"/>
          <w:sz w:val="20"/>
          <w:szCs w:val="20"/>
          <w:lang w:val="en-US"/>
        </w:rPr>
        <w:t xml:space="preserve">y having </w:t>
      </w:r>
      <w:r w:rsidR="003C14C1" w:rsidRPr="00EA6C7A">
        <w:rPr>
          <w:rFonts w:ascii="Verdana" w:eastAsia="Calibri" w:hAnsi="Verdana" w:cs="Arial"/>
          <w:sz w:val="20"/>
          <w:szCs w:val="20"/>
          <w:lang w:val="en-US"/>
        </w:rPr>
        <w:t xml:space="preserve">been </w:t>
      </w:r>
      <w:r w:rsidR="00B63A31" w:rsidRPr="00EA6C7A">
        <w:rPr>
          <w:rFonts w:ascii="Verdana" w:eastAsia="Calibri" w:hAnsi="Verdana" w:cs="Arial"/>
          <w:sz w:val="20"/>
          <w:szCs w:val="20"/>
          <w:lang w:val="en-US"/>
        </w:rPr>
        <w:t xml:space="preserve">subjected to extreme violence, including </w:t>
      </w:r>
      <w:r w:rsidR="005F5F57" w:rsidRPr="00EA6C7A">
        <w:rPr>
          <w:rFonts w:ascii="Verdana" w:eastAsia="Calibri" w:hAnsi="Verdana" w:cs="Arial"/>
          <w:sz w:val="20"/>
          <w:szCs w:val="20"/>
          <w:lang w:val="en-US"/>
        </w:rPr>
        <w:t>sexual violence.</w:t>
      </w:r>
    </w:p>
    <w:p w14:paraId="3ADFD176" w14:textId="77777777" w:rsidR="005F5B74" w:rsidRPr="00EA6C7A" w:rsidRDefault="005F5B74" w:rsidP="005F5B74">
      <w:pPr>
        <w:pStyle w:val="Prrafodelista"/>
        <w:spacing w:after="0" w:line="240" w:lineRule="auto"/>
        <w:ind w:left="0"/>
        <w:jc w:val="both"/>
        <w:rPr>
          <w:rFonts w:ascii="Verdana" w:eastAsia="Calibri" w:hAnsi="Verdana" w:cs="Arial"/>
          <w:color w:val="000000"/>
          <w:sz w:val="20"/>
          <w:szCs w:val="20"/>
          <w:lang w:val="en-US"/>
        </w:rPr>
      </w:pPr>
    </w:p>
    <w:p w14:paraId="37736885" w14:textId="77777777" w:rsidR="005F5B74" w:rsidRPr="00EA6C7A" w:rsidRDefault="00B63A31" w:rsidP="00B63A31">
      <w:pPr>
        <w:pStyle w:val="Prrafodelista"/>
        <w:numPr>
          <w:ilvl w:val="0"/>
          <w:numId w:val="3"/>
        </w:numPr>
        <w:spacing w:after="0" w:line="240" w:lineRule="auto"/>
        <w:ind w:left="0" w:firstLine="0"/>
        <w:jc w:val="both"/>
        <w:rPr>
          <w:rFonts w:ascii="Verdana" w:eastAsia="Calibri" w:hAnsi="Verdana" w:cs="Arial"/>
          <w:color w:val="000000"/>
          <w:sz w:val="20"/>
          <w:szCs w:val="20"/>
          <w:lang w:val="en-US"/>
        </w:rPr>
      </w:pPr>
      <w:r w:rsidRPr="00EA6C7A">
        <w:rPr>
          <w:rFonts w:ascii="Verdana" w:eastAsia="Calibri" w:hAnsi="Verdana" w:cs="Arial"/>
          <w:color w:val="000000"/>
          <w:sz w:val="20"/>
          <w:szCs w:val="20"/>
          <w:lang w:val="en-US"/>
        </w:rPr>
        <w:t>The</w:t>
      </w:r>
      <w:r w:rsidR="0096418F" w:rsidRPr="00EA6C7A">
        <w:rPr>
          <w:rFonts w:ascii="Verdana" w:eastAsia="Calibri" w:hAnsi="Verdana" w:cs="Arial"/>
          <w:color w:val="000000"/>
          <w:sz w:val="20"/>
          <w:szCs w:val="20"/>
          <w:lang w:val="en-US"/>
        </w:rPr>
        <w:t xml:space="preserve"> Commission</w:t>
      </w:r>
      <w:r w:rsidR="005F5B74" w:rsidRPr="00EA6C7A">
        <w:rPr>
          <w:rFonts w:ascii="Verdana" w:eastAsia="Calibri" w:hAnsi="Verdana" w:cs="Arial"/>
          <w:color w:val="000000"/>
          <w:sz w:val="20"/>
          <w:szCs w:val="20"/>
          <w:lang w:val="en-US"/>
        </w:rPr>
        <w:t xml:space="preserve"> a</w:t>
      </w:r>
      <w:r w:rsidRPr="00EA6C7A">
        <w:rPr>
          <w:rFonts w:ascii="Verdana" w:eastAsia="Calibri" w:hAnsi="Verdana" w:cs="Arial"/>
          <w:color w:val="000000"/>
          <w:sz w:val="20"/>
          <w:szCs w:val="20"/>
          <w:lang w:val="en-US"/>
        </w:rPr>
        <w:t xml:space="preserve">lleged that the State had incurred international responsibility because it </w:t>
      </w:r>
      <w:r w:rsidR="009D4407" w:rsidRPr="00EA6C7A">
        <w:rPr>
          <w:rFonts w:ascii="Verdana" w:eastAsia="Calibri" w:hAnsi="Verdana" w:cs="Arial"/>
          <w:color w:val="000000"/>
          <w:sz w:val="20"/>
          <w:szCs w:val="20"/>
          <w:lang w:val="en-US"/>
        </w:rPr>
        <w:t xml:space="preserve">had </w:t>
      </w:r>
      <w:r w:rsidRPr="00EA6C7A">
        <w:rPr>
          <w:rFonts w:ascii="Verdana" w:eastAsia="Calibri" w:hAnsi="Verdana" w:cs="Arial"/>
          <w:color w:val="000000"/>
          <w:sz w:val="20"/>
          <w:szCs w:val="20"/>
          <w:lang w:val="en-US"/>
        </w:rPr>
        <w:t xml:space="preserve">failed to conduct a serious investigation into the disappearance, </w:t>
      </w:r>
      <w:r w:rsidR="005F5F57" w:rsidRPr="00EA6C7A">
        <w:rPr>
          <w:rFonts w:ascii="Verdana" w:eastAsia="Calibri" w:hAnsi="Verdana" w:cs="Arial"/>
          <w:color w:val="000000"/>
          <w:sz w:val="20"/>
          <w:szCs w:val="20"/>
          <w:lang w:val="en-US"/>
        </w:rPr>
        <w:t xml:space="preserve">the sexual violence and </w:t>
      </w:r>
      <w:r w:rsidRPr="00EA6C7A">
        <w:rPr>
          <w:rFonts w:ascii="Verdana" w:eastAsia="Calibri" w:hAnsi="Verdana" w:cs="Arial"/>
          <w:color w:val="000000"/>
          <w:sz w:val="20"/>
          <w:szCs w:val="20"/>
          <w:lang w:val="en-US"/>
        </w:rPr>
        <w:t xml:space="preserve">murder of Claudina Isabel Velásquez Paiz. It indicated that, from </w:t>
      </w:r>
      <w:r w:rsidR="005F5F57" w:rsidRPr="00EA6C7A">
        <w:rPr>
          <w:rFonts w:ascii="Verdana" w:eastAsia="Calibri" w:hAnsi="Verdana" w:cs="Arial"/>
          <w:color w:val="000000"/>
          <w:sz w:val="20"/>
          <w:szCs w:val="20"/>
          <w:lang w:val="en-US"/>
        </w:rPr>
        <w:t>the outset</w:t>
      </w:r>
      <w:r w:rsidRPr="00EA6C7A">
        <w:rPr>
          <w:rFonts w:ascii="Verdana" w:eastAsia="Calibri" w:hAnsi="Verdana" w:cs="Arial"/>
          <w:color w:val="000000"/>
          <w:sz w:val="20"/>
          <w:szCs w:val="20"/>
          <w:lang w:val="en-US"/>
        </w:rPr>
        <w:t>, the investigation</w:t>
      </w:r>
      <w:r w:rsidR="005F5F57" w:rsidRPr="00EA6C7A">
        <w:rPr>
          <w:rFonts w:ascii="Verdana" w:eastAsia="Calibri" w:hAnsi="Verdana" w:cs="Arial"/>
          <w:color w:val="000000"/>
          <w:sz w:val="20"/>
          <w:szCs w:val="20"/>
          <w:lang w:val="en-US"/>
        </w:rPr>
        <w:t xml:space="preserve"> was riddled with errors</w:t>
      </w:r>
      <w:r w:rsidRPr="00EA6C7A">
        <w:rPr>
          <w:rFonts w:ascii="Verdana" w:eastAsia="Calibri" w:hAnsi="Verdana" w:cs="Arial"/>
          <w:color w:val="000000"/>
          <w:sz w:val="20"/>
          <w:szCs w:val="20"/>
          <w:lang w:val="en-US"/>
        </w:rPr>
        <w:t xml:space="preserve"> such as </w:t>
      </w:r>
      <w:r w:rsidR="005F5F57" w:rsidRPr="00EA6C7A">
        <w:rPr>
          <w:rFonts w:ascii="Verdana" w:eastAsia="Calibri" w:hAnsi="Verdana" w:cs="Arial"/>
          <w:color w:val="000000"/>
          <w:sz w:val="20"/>
          <w:szCs w:val="20"/>
          <w:lang w:val="en-US"/>
        </w:rPr>
        <w:t xml:space="preserve">flaws </w:t>
      </w:r>
      <w:r w:rsidRPr="00EA6C7A">
        <w:rPr>
          <w:rFonts w:ascii="Verdana" w:eastAsia="Calibri" w:hAnsi="Verdana" w:cs="Arial"/>
          <w:color w:val="000000"/>
          <w:sz w:val="20"/>
          <w:szCs w:val="20"/>
          <w:lang w:val="en-US"/>
        </w:rPr>
        <w:t>in the handling and analysis of the evidence collected</w:t>
      </w:r>
      <w:r w:rsidR="005F5F57" w:rsidRPr="00EA6C7A">
        <w:rPr>
          <w:rFonts w:ascii="Verdana" w:eastAsia="Calibri" w:hAnsi="Verdana" w:cs="Arial"/>
          <w:color w:val="000000"/>
          <w:sz w:val="20"/>
          <w:szCs w:val="20"/>
          <w:lang w:val="en-US"/>
        </w:rPr>
        <w:t>, and</w:t>
      </w:r>
      <w:r w:rsidRPr="00EA6C7A">
        <w:rPr>
          <w:rFonts w:ascii="Verdana" w:eastAsia="Calibri" w:hAnsi="Verdana" w:cs="Arial"/>
          <w:color w:val="000000"/>
          <w:sz w:val="20"/>
          <w:szCs w:val="20"/>
          <w:lang w:val="en-US"/>
        </w:rPr>
        <w:t xml:space="preserve"> </w:t>
      </w:r>
      <w:r w:rsidR="005F5F57" w:rsidRPr="00EA6C7A">
        <w:rPr>
          <w:rFonts w:ascii="Verdana" w:eastAsia="Calibri" w:hAnsi="Verdana" w:cs="Arial"/>
          <w:color w:val="000000"/>
          <w:sz w:val="20"/>
          <w:szCs w:val="20"/>
          <w:lang w:val="en-US"/>
        </w:rPr>
        <w:t>shortcomings</w:t>
      </w:r>
      <w:r w:rsidRPr="00EA6C7A">
        <w:rPr>
          <w:rFonts w:ascii="Verdana" w:eastAsia="Calibri" w:hAnsi="Verdana" w:cs="Arial"/>
          <w:color w:val="000000"/>
          <w:sz w:val="20"/>
          <w:szCs w:val="20"/>
          <w:lang w:val="en-US"/>
        </w:rPr>
        <w:t xml:space="preserve"> in </w:t>
      </w:r>
      <w:r w:rsidR="005F5F57" w:rsidRPr="00EA6C7A">
        <w:rPr>
          <w:rFonts w:ascii="Verdana" w:eastAsia="Calibri" w:hAnsi="Verdana" w:cs="Arial"/>
          <w:color w:val="000000"/>
          <w:sz w:val="20"/>
          <w:szCs w:val="20"/>
          <w:lang w:val="en-US"/>
        </w:rPr>
        <w:t>managing</w:t>
      </w:r>
      <w:r w:rsidRPr="00EA6C7A">
        <w:rPr>
          <w:rFonts w:ascii="Verdana" w:eastAsia="Calibri" w:hAnsi="Verdana" w:cs="Arial"/>
          <w:color w:val="000000"/>
          <w:sz w:val="20"/>
          <w:szCs w:val="20"/>
          <w:lang w:val="en-US"/>
        </w:rPr>
        <w:t xml:space="preserve"> and preserv</w:t>
      </w:r>
      <w:r w:rsidR="005F5F57" w:rsidRPr="00EA6C7A">
        <w:rPr>
          <w:rFonts w:ascii="Verdana" w:eastAsia="Calibri" w:hAnsi="Verdana" w:cs="Arial"/>
          <w:color w:val="000000"/>
          <w:sz w:val="20"/>
          <w:szCs w:val="20"/>
          <w:lang w:val="en-US"/>
        </w:rPr>
        <w:t>ing</w:t>
      </w:r>
      <w:r w:rsidRPr="00EA6C7A">
        <w:rPr>
          <w:rFonts w:ascii="Verdana" w:eastAsia="Calibri" w:hAnsi="Verdana" w:cs="Arial"/>
          <w:color w:val="000000"/>
          <w:sz w:val="20"/>
          <w:szCs w:val="20"/>
          <w:lang w:val="en-US"/>
        </w:rPr>
        <w:t xml:space="preserve"> the </w:t>
      </w:r>
      <w:r w:rsidR="009D4407" w:rsidRPr="00EA6C7A">
        <w:rPr>
          <w:rFonts w:ascii="Verdana" w:eastAsia="Calibri" w:hAnsi="Verdana" w:cs="Arial"/>
          <w:color w:val="000000"/>
          <w:sz w:val="20"/>
          <w:szCs w:val="20"/>
          <w:lang w:val="en-US"/>
        </w:rPr>
        <w:t xml:space="preserve">crime </w:t>
      </w:r>
      <w:r w:rsidRPr="00EA6C7A">
        <w:rPr>
          <w:rFonts w:ascii="Verdana" w:eastAsia="Calibri" w:hAnsi="Verdana" w:cs="Arial"/>
          <w:color w:val="000000"/>
          <w:sz w:val="20"/>
          <w:szCs w:val="20"/>
          <w:lang w:val="en-US"/>
        </w:rPr>
        <w:t xml:space="preserve">scene and </w:t>
      </w:r>
      <w:r w:rsidR="009D4407" w:rsidRPr="00EA6C7A">
        <w:rPr>
          <w:rFonts w:ascii="Verdana" w:eastAsia="Calibri" w:hAnsi="Verdana" w:cs="Arial"/>
          <w:color w:val="000000"/>
          <w:sz w:val="20"/>
          <w:szCs w:val="20"/>
          <w:lang w:val="en-US"/>
        </w:rPr>
        <w:t xml:space="preserve">in </w:t>
      </w:r>
      <w:r w:rsidRPr="00EA6C7A">
        <w:rPr>
          <w:rFonts w:ascii="Verdana" w:eastAsia="Calibri" w:hAnsi="Verdana" w:cs="Arial"/>
          <w:color w:val="000000"/>
          <w:sz w:val="20"/>
          <w:szCs w:val="20"/>
          <w:lang w:val="en-US"/>
        </w:rPr>
        <w:t>the</w:t>
      </w:r>
      <w:r w:rsidR="005F5F57" w:rsidRPr="00EA6C7A">
        <w:rPr>
          <w:rFonts w:ascii="Verdana" w:eastAsia="Calibri" w:hAnsi="Verdana" w:cs="Arial"/>
          <w:color w:val="000000"/>
          <w:sz w:val="20"/>
          <w:szCs w:val="20"/>
          <w:lang w:val="en-US"/>
        </w:rPr>
        <w:t xml:space="preserve"> tests run on the</w:t>
      </w:r>
      <w:r w:rsidRPr="00EA6C7A">
        <w:rPr>
          <w:rFonts w:ascii="Verdana" w:eastAsia="Calibri" w:hAnsi="Verdana" w:cs="Arial"/>
          <w:color w:val="000000"/>
          <w:sz w:val="20"/>
          <w:szCs w:val="20"/>
          <w:lang w:val="en-US"/>
        </w:rPr>
        <w:t xml:space="preserve"> evidence</w:t>
      </w:r>
      <w:r w:rsidR="005F5F57" w:rsidRPr="00EA6C7A">
        <w:rPr>
          <w:rFonts w:ascii="Verdana" w:eastAsia="Calibri" w:hAnsi="Verdana" w:cs="Arial"/>
          <w:color w:val="000000"/>
          <w:sz w:val="20"/>
          <w:szCs w:val="20"/>
          <w:lang w:val="en-US"/>
        </w:rPr>
        <w:t xml:space="preserve">; irregularities in the autopsy report, a failure to </w:t>
      </w:r>
      <w:r w:rsidR="009D4407" w:rsidRPr="00EA6C7A">
        <w:rPr>
          <w:rFonts w:ascii="Verdana" w:eastAsia="Calibri" w:hAnsi="Verdana" w:cs="Arial"/>
          <w:color w:val="000000"/>
          <w:sz w:val="20"/>
          <w:szCs w:val="20"/>
          <w:lang w:val="en-US"/>
        </w:rPr>
        <w:t>perform</w:t>
      </w:r>
      <w:r w:rsidR="005F5F57" w:rsidRPr="00EA6C7A">
        <w:rPr>
          <w:rFonts w:ascii="Verdana" w:eastAsia="Calibri" w:hAnsi="Verdana" w:cs="Arial"/>
          <w:color w:val="000000"/>
          <w:sz w:val="20"/>
          <w:szCs w:val="20"/>
          <w:lang w:val="en-US"/>
        </w:rPr>
        <w:t xml:space="preserve"> a thorough examination of various parts of the victim’s body to confirm a possible rape; irregularities in the fingerprinting of the victim, and the failure to take statements from important witnesses. The Commission also found that </w:t>
      </w:r>
      <w:r w:rsidR="00642F53" w:rsidRPr="00EA6C7A">
        <w:rPr>
          <w:rFonts w:ascii="Verdana" w:eastAsia="Calibri" w:hAnsi="Verdana" w:cs="Arial"/>
          <w:color w:val="000000"/>
          <w:sz w:val="20"/>
          <w:szCs w:val="20"/>
          <w:lang w:val="en-US"/>
        </w:rPr>
        <w:t>the delay in the proceedings could be attributed to the State, particularly owing to the constant changes in the prosecutors assigned to the case</w:t>
      </w:r>
      <w:r w:rsidR="009D4407" w:rsidRPr="00EA6C7A">
        <w:rPr>
          <w:rFonts w:ascii="Verdana" w:eastAsia="Calibri" w:hAnsi="Verdana" w:cs="Arial"/>
          <w:color w:val="000000"/>
          <w:sz w:val="20"/>
          <w:szCs w:val="20"/>
          <w:lang w:val="en-US"/>
        </w:rPr>
        <w:t>, which</w:t>
      </w:r>
      <w:r w:rsidR="00642F53" w:rsidRPr="00EA6C7A">
        <w:rPr>
          <w:rFonts w:ascii="Verdana" w:eastAsia="Calibri" w:hAnsi="Verdana" w:cs="Arial"/>
          <w:color w:val="000000"/>
          <w:sz w:val="20"/>
          <w:szCs w:val="20"/>
          <w:lang w:val="en-US"/>
        </w:rPr>
        <w:t xml:space="preserve"> disrupted the investigation and meant that  procedures were not carried out on time of were not taken into consideration by the new prosecutors. Lastly, it found presumed discriminatory stereotyp</w:t>
      </w:r>
      <w:r w:rsidR="009D4407" w:rsidRPr="00EA6C7A">
        <w:rPr>
          <w:rFonts w:ascii="Verdana" w:eastAsia="Calibri" w:hAnsi="Verdana" w:cs="Arial"/>
          <w:color w:val="000000"/>
          <w:sz w:val="20"/>
          <w:szCs w:val="20"/>
          <w:lang w:val="en-US"/>
        </w:rPr>
        <w:t>ing</w:t>
      </w:r>
      <w:r w:rsidR="00642F53" w:rsidRPr="00EA6C7A">
        <w:rPr>
          <w:rFonts w:ascii="Verdana" w:eastAsia="Calibri" w:hAnsi="Verdana" w:cs="Arial"/>
          <w:color w:val="000000"/>
          <w:sz w:val="20"/>
          <w:szCs w:val="20"/>
          <w:lang w:val="en-US"/>
        </w:rPr>
        <w:t xml:space="preserve"> during the proceedings that had a </w:t>
      </w:r>
      <w:r w:rsidR="009D4407" w:rsidRPr="00EA6C7A">
        <w:rPr>
          <w:rFonts w:ascii="Verdana" w:eastAsia="Calibri" w:hAnsi="Verdana" w:cs="Arial"/>
          <w:color w:val="000000"/>
          <w:sz w:val="20"/>
          <w:szCs w:val="20"/>
          <w:lang w:val="en-US"/>
        </w:rPr>
        <w:t>negative</w:t>
      </w:r>
      <w:r w:rsidR="00642F53" w:rsidRPr="00EA6C7A">
        <w:rPr>
          <w:rFonts w:ascii="Verdana" w:eastAsia="Calibri" w:hAnsi="Verdana" w:cs="Arial"/>
          <w:color w:val="000000"/>
          <w:sz w:val="20"/>
          <w:szCs w:val="20"/>
          <w:lang w:val="en-US"/>
        </w:rPr>
        <w:t xml:space="preserve"> impact on the lack of diligence in the investigation. The Commission considered that the failure to protect the presumed victim and the failure to investigate her death were a cle</w:t>
      </w:r>
      <w:r w:rsidR="009D4407" w:rsidRPr="00EA6C7A">
        <w:rPr>
          <w:rFonts w:ascii="Verdana" w:eastAsia="Calibri" w:hAnsi="Verdana" w:cs="Arial"/>
          <w:color w:val="000000"/>
          <w:sz w:val="20"/>
          <w:szCs w:val="20"/>
          <w:lang w:val="en-US"/>
        </w:rPr>
        <w:t>a</w:t>
      </w:r>
      <w:r w:rsidR="00642F53" w:rsidRPr="00EA6C7A">
        <w:rPr>
          <w:rFonts w:ascii="Verdana" w:eastAsia="Calibri" w:hAnsi="Verdana" w:cs="Arial"/>
          <w:color w:val="000000"/>
          <w:sz w:val="20"/>
          <w:szCs w:val="20"/>
          <w:lang w:val="en-US"/>
        </w:rPr>
        <w:t>r reflection of the underlying situation of discrimination against women in Guatemala. Finally, the Commission alleged the violation of the right to personal integrity of her parents and also her brother</w:t>
      </w:r>
      <w:r w:rsidR="003060C0" w:rsidRPr="00EA6C7A">
        <w:rPr>
          <w:rFonts w:ascii="Verdana" w:hAnsi="Verdana" w:cs="Arial"/>
          <w:sz w:val="20"/>
          <w:szCs w:val="20"/>
          <w:lang w:val="en-US"/>
        </w:rPr>
        <w:t xml:space="preserve">, </w:t>
      </w:r>
      <w:r w:rsidR="003060C0" w:rsidRPr="00EA6C7A">
        <w:rPr>
          <w:rFonts w:ascii="Verdana" w:eastAsia="Calibri" w:hAnsi="Verdana"/>
          <w:sz w:val="20"/>
          <w:szCs w:val="20"/>
          <w:lang w:val="en-US"/>
        </w:rPr>
        <w:t>Pablo Andrés Velásquez Paiz.</w:t>
      </w:r>
    </w:p>
    <w:p w14:paraId="617D892F" w14:textId="77777777" w:rsidR="005F5B74" w:rsidRPr="00EA6C7A" w:rsidRDefault="005F5B74" w:rsidP="005F5B74">
      <w:pPr>
        <w:pStyle w:val="Prrafodelista"/>
        <w:spacing w:line="240" w:lineRule="auto"/>
        <w:ind w:left="0"/>
        <w:rPr>
          <w:rFonts w:ascii="Verdana" w:eastAsia="Calibri" w:hAnsi="Verdana" w:cs="Arial"/>
          <w:color w:val="000000"/>
          <w:sz w:val="20"/>
          <w:szCs w:val="20"/>
          <w:lang w:val="en-US"/>
        </w:rPr>
      </w:pPr>
    </w:p>
    <w:p w14:paraId="2804CC3B" w14:textId="77777777" w:rsidR="005F5B74" w:rsidRPr="00EA6C7A" w:rsidRDefault="00642F53" w:rsidP="00E11A7C">
      <w:pPr>
        <w:pStyle w:val="Prrafodelista"/>
        <w:numPr>
          <w:ilvl w:val="0"/>
          <w:numId w:val="3"/>
        </w:numPr>
        <w:spacing w:after="0" w:line="240" w:lineRule="auto"/>
        <w:ind w:left="0" w:firstLine="0"/>
        <w:jc w:val="both"/>
        <w:rPr>
          <w:rFonts w:ascii="Verdana" w:eastAsia="Calibri" w:hAnsi="Verdana" w:cs="Arial"/>
          <w:color w:val="000000"/>
          <w:sz w:val="20"/>
          <w:szCs w:val="20"/>
          <w:lang w:val="en-US"/>
        </w:rPr>
      </w:pPr>
      <w:r w:rsidRPr="00EA6C7A">
        <w:rPr>
          <w:rFonts w:ascii="Verdana" w:eastAsia="Calibri" w:hAnsi="Verdana" w:cs="Arial"/>
          <w:i/>
          <w:sz w:val="20"/>
          <w:szCs w:val="20"/>
          <w:lang w:val="en-US"/>
        </w:rPr>
        <w:t>Process before</w:t>
      </w:r>
      <w:r w:rsidR="005F5B74" w:rsidRPr="00EA6C7A">
        <w:rPr>
          <w:rFonts w:ascii="Verdana" w:eastAsia="Calibri" w:hAnsi="Verdana" w:cs="Arial"/>
          <w:i/>
          <w:sz w:val="20"/>
          <w:szCs w:val="20"/>
          <w:lang w:val="en-US"/>
        </w:rPr>
        <w:t xml:space="preserve"> </w:t>
      </w:r>
      <w:r w:rsidR="0096418F" w:rsidRPr="00EA6C7A">
        <w:rPr>
          <w:rFonts w:ascii="Verdana" w:eastAsia="Calibri" w:hAnsi="Verdana" w:cs="Arial"/>
          <w:i/>
          <w:sz w:val="20"/>
          <w:szCs w:val="20"/>
          <w:lang w:val="en-US"/>
        </w:rPr>
        <w:t>the Commission</w:t>
      </w:r>
      <w:r w:rsidRPr="00EA6C7A">
        <w:rPr>
          <w:rFonts w:ascii="Verdana" w:eastAsia="Calibri" w:hAnsi="Verdana" w:cs="Arial"/>
          <w:sz w:val="20"/>
          <w:szCs w:val="20"/>
          <w:lang w:val="en-US"/>
        </w:rPr>
        <w:t>.</w:t>
      </w:r>
      <w:r w:rsidR="005F5B74" w:rsidRPr="00EA6C7A">
        <w:rPr>
          <w:rFonts w:ascii="Verdana" w:eastAsia="Verdana" w:hAnsi="Verdana" w:cs="Verdana"/>
          <w:i/>
          <w:sz w:val="20"/>
          <w:szCs w:val="20"/>
          <w:lang w:val="en-US"/>
        </w:rPr>
        <w:t xml:space="preserve"> </w:t>
      </w:r>
      <w:r w:rsidRPr="00EA6C7A">
        <w:rPr>
          <w:rFonts w:ascii="Verdana" w:eastAsia="Verdana" w:hAnsi="Verdana" w:cs="Verdana"/>
          <w:sz w:val="20"/>
          <w:szCs w:val="20"/>
          <w:lang w:val="en-US"/>
        </w:rPr>
        <w:t>The process before</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the Commission</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was as follows</w:t>
      </w:r>
      <w:r w:rsidR="005F5B74" w:rsidRPr="00EA6C7A">
        <w:rPr>
          <w:rFonts w:ascii="Verdana" w:eastAsia="Verdana" w:hAnsi="Verdana" w:cs="Verdana"/>
          <w:sz w:val="20"/>
          <w:szCs w:val="20"/>
          <w:lang w:val="en-US"/>
        </w:rPr>
        <w:t>:</w:t>
      </w:r>
    </w:p>
    <w:p w14:paraId="5B1BCC72" w14:textId="77777777" w:rsidR="005F5B74" w:rsidRPr="00EA6C7A" w:rsidRDefault="005F5B74" w:rsidP="005F5B74">
      <w:pPr>
        <w:tabs>
          <w:tab w:val="left" w:pos="8647"/>
          <w:tab w:val="left" w:pos="8733"/>
        </w:tabs>
        <w:spacing w:after="0" w:line="240" w:lineRule="auto"/>
        <w:jc w:val="both"/>
        <w:rPr>
          <w:rFonts w:ascii="Verdana" w:eastAsia="Verdana" w:hAnsi="Verdana" w:cs="Verdana"/>
          <w:sz w:val="20"/>
          <w:szCs w:val="20"/>
          <w:lang w:val="en-US"/>
        </w:rPr>
      </w:pPr>
    </w:p>
    <w:p w14:paraId="547F2986" w14:textId="77777777" w:rsidR="005F5B74" w:rsidRPr="00EA6C7A" w:rsidRDefault="005F5B74" w:rsidP="00E11A7C">
      <w:pPr>
        <w:pStyle w:val="Prrafodelista"/>
        <w:numPr>
          <w:ilvl w:val="1"/>
          <w:numId w:val="2"/>
        </w:numPr>
        <w:autoSpaceDE w:val="0"/>
        <w:autoSpaceDN w:val="0"/>
        <w:adjustRightInd w:val="0"/>
        <w:spacing w:after="0" w:line="240" w:lineRule="auto"/>
        <w:ind w:left="0" w:firstLine="360"/>
        <w:jc w:val="both"/>
        <w:rPr>
          <w:rFonts w:ascii="Verdana" w:hAnsi="Verdana"/>
          <w:sz w:val="20"/>
          <w:szCs w:val="20"/>
          <w:lang w:val="en-US"/>
        </w:rPr>
      </w:pPr>
      <w:r w:rsidRPr="00EA6C7A">
        <w:rPr>
          <w:rFonts w:ascii="Verdana" w:hAnsi="Verdana"/>
          <w:i/>
          <w:sz w:val="20"/>
          <w:szCs w:val="20"/>
          <w:lang w:val="en-US"/>
        </w:rPr>
        <w:t>Peti</w:t>
      </w:r>
      <w:r w:rsidR="00642F53" w:rsidRPr="00EA6C7A">
        <w:rPr>
          <w:rFonts w:ascii="Verdana" w:hAnsi="Verdana"/>
          <w:i/>
          <w:sz w:val="20"/>
          <w:szCs w:val="20"/>
          <w:lang w:val="en-US"/>
        </w:rPr>
        <w:t>tio</w:t>
      </w:r>
      <w:r w:rsidRPr="00EA6C7A">
        <w:rPr>
          <w:rFonts w:ascii="Verdana" w:hAnsi="Verdana"/>
          <w:i/>
          <w:sz w:val="20"/>
          <w:szCs w:val="20"/>
          <w:lang w:val="en-US"/>
        </w:rPr>
        <w:t>n</w:t>
      </w:r>
      <w:r w:rsidRPr="00EA6C7A">
        <w:rPr>
          <w:rFonts w:ascii="Verdana" w:hAnsi="Verdana"/>
          <w:sz w:val="20"/>
          <w:szCs w:val="20"/>
          <w:lang w:val="en-US"/>
        </w:rPr>
        <w:t>.</w:t>
      </w:r>
      <w:r w:rsidR="00642F53" w:rsidRPr="00EA6C7A">
        <w:rPr>
          <w:rFonts w:ascii="Verdana" w:hAnsi="Verdana"/>
          <w:sz w:val="20"/>
          <w:szCs w:val="20"/>
          <w:lang w:val="en-US"/>
        </w:rPr>
        <w:t xml:space="preserve"> On December 10,</w:t>
      </w:r>
      <w:r w:rsidRPr="00EA6C7A">
        <w:rPr>
          <w:rFonts w:ascii="Verdana" w:hAnsi="Verdana"/>
          <w:sz w:val="20"/>
          <w:szCs w:val="20"/>
          <w:lang w:val="en-US"/>
        </w:rPr>
        <w:t xml:space="preserve"> 2007</w:t>
      </w:r>
      <w:r w:rsidR="00642F53" w:rsidRPr="00EA6C7A">
        <w:rPr>
          <w:rFonts w:ascii="Verdana" w:hAnsi="Verdana"/>
          <w:sz w:val="20"/>
          <w:szCs w:val="20"/>
          <w:lang w:val="en-US"/>
        </w:rPr>
        <w:t>,</w:t>
      </w:r>
      <w:r w:rsidRPr="00EA6C7A">
        <w:rPr>
          <w:rFonts w:ascii="Verdana" w:hAnsi="Verdana"/>
          <w:sz w:val="20"/>
          <w:szCs w:val="20"/>
          <w:lang w:val="en-US"/>
        </w:rPr>
        <w:t xml:space="preserve"> </w:t>
      </w:r>
      <w:r w:rsidR="00642F53" w:rsidRPr="00EA6C7A">
        <w:rPr>
          <w:rFonts w:ascii="Verdana" w:hAnsi="Verdana"/>
          <w:sz w:val="20"/>
          <w:szCs w:val="20"/>
          <w:lang w:val="en-US"/>
        </w:rPr>
        <w:t>the</w:t>
      </w:r>
      <w:r w:rsidR="009D4407" w:rsidRPr="00EA6C7A">
        <w:rPr>
          <w:rFonts w:ascii="Verdana" w:hAnsi="Verdana"/>
          <w:sz w:val="20"/>
          <w:szCs w:val="20"/>
          <w:lang w:val="en-US"/>
        </w:rPr>
        <w:t xml:space="preserve"> Guatemalan</w:t>
      </w:r>
      <w:r w:rsidRPr="00EA6C7A">
        <w:rPr>
          <w:rFonts w:ascii="Verdana" w:hAnsi="Verdana"/>
          <w:sz w:val="20"/>
          <w:szCs w:val="20"/>
          <w:lang w:val="en-US"/>
        </w:rPr>
        <w:t xml:space="preserve"> </w:t>
      </w:r>
      <w:r w:rsidRPr="00EA6C7A">
        <w:rPr>
          <w:rFonts w:ascii="Verdana" w:hAnsi="Verdana"/>
          <w:i/>
          <w:iCs/>
          <w:sz w:val="20"/>
          <w:szCs w:val="20"/>
          <w:lang w:val="en-US"/>
        </w:rPr>
        <w:t>Instituto de</w:t>
      </w:r>
      <w:r w:rsidRPr="00EA6C7A">
        <w:rPr>
          <w:rFonts w:ascii="Verdana" w:hAnsi="Verdana"/>
          <w:sz w:val="20"/>
          <w:szCs w:val="20"/>
          <w:lang w:val="en-US"/>
        </w:rPr>
        <w:t xml:space="preserve"> </w:t>
      </w:r>
      <w:r w:rsidRPr="00EA6C7A">
        <w:rPr>
          <w:rFonts w:ascii="Verdana" w:hAnsi="Verdana"/>
          <w:i/>
          <w:iCs/>
          <w:sz w:val="20"/>
          <w:szCs w:val="20"/>
          <w:lang w:val="en-US"/>
        </w:rPr>
        <w:t xml:space="preserve">Estudios </w:t>
      </w:r>
      <w:proofErr w:type="spellStart"/>
      <w:r w:rsidRPr="00EA6C7A">
        <w:rPr>
          <w:rFonts w:ascii="Verdana" w:hAnsi="Verdana"/>
          <w:i/>
          <w:iCs/>
          <w:sz w:val="20"/>
          <w:szCs w:val="20"/>
          <w:lang w:val="en-US"/>
        </w:rPr>
        <w:t>Comparados</w:t>
      </w:r>
      <w:proofErr w:type="spellEnd"/>
      <w:r w:rsidRPr="00EA6C7A">
        <w:rPr>
          <w:rFonts w:ascii="Verdana" w:hAnsi="Verdana"/>
          <w:i/>
          <w:iCs/>
          <w:sz w:val="20"/>
          <w:szCs w:val="20"/>
          <w:lang w:val="en-US"/>
        </w:rPr>
        <w:t xml:space="preserve"> </w:t>
      </w:r>
      <w:proofErr w:type="spellStart"/>
      <w:r w:rsidRPr="00EA6C7A">
        <w:rPr>
          <w:rFonts w:ascii="Verdana" w:hAnsi="Verdana"/>
          <w:i/>
          <w:iCs/>
          <w:sz w:val="20"/>
          <w:szCs w:val="20"/>
          <w:lang w:val="en-US"/>
        </w:rPr>
        <w:t>en</w:t>
      </w:r>
      <w:proofErr w:type="spellEnd"/>
      <w:r w:rsidRPr="00EA6C7A">
        <w:rPr>
          <w:rFonts w:ascii="Verdana" w:hAnsi="Verdana"/>
          <w:i/>
          <w:iCs/>
          <w:sz w:val="20"/>
          <w:szCs w:val="20"/>
          <w:lang w:val="en-US"/>
        </w:rPr>
        <w:t xml:space="preserve"> </w:t>
      </w:r>
      <w:proofErr w:type="spellStart"/>
      <w:r w:rsidRPr="00EA6C7A">
        <w:rPr>
          <w:rFonts w:ascii="Verdana" w:hAnsi="Verdana"/>
          <w:i/>
          <w:iCs/>
          <w:sz w:val="20"/>
          <w:szCs w:val="20"/>
          <w:lang w:val="en-US"/>
        </w:rPr>
        <w:t>Ciencias</w:t>
      </w:r>
      <w:proofErr w:type="spellEnd"/>
      <w:r w:rsidRPr="00EA6C7A">
        <w:rPr>
          <w:rFonts w:ascii="Verdana" w:hAnsi="Verdana"/>
          <w:i/>
          <w:iCs/>
          <w:sz w:val="20"/>
          <w:szCs w:val="20"/>
          <w:lang w:val="en-US"/>
        </w:rPr>
        <w:t xml:space="preserve"> </w:t>
      </w:r>
      <w:proofErr w:type="spellStart"/>
      <w:r w:rsidRPr="00EA6C7A">
        <w:rPr>
          <w:rFonts w:ascii="Verdana" w:hAnsi="Verdana"/>
          <w:i/>
          <w:iCs/>
          <w:sz w:val="20"/>
          <w:szCs w:val="20"/>
          <w:lang w:val="en-US"/>
        </w:rPr>
        <w:t>Penales</w:t>
      </w:r>
      <w:proofErr w:type="spellEnd"/>
      <w:r w:rsidR="00F063A4" w:rsidRPr="00EA6C7A">
        <w:rPr>
          <w:rFonts w:ascii="Verdana" w:hAnsi="Verdana"/>
          <w:sz w:val="20"/>
          <w:szCs w:val="20"/>
          <w:lang w:val="en-US"/>
        </w:rPr>
        <w:t>,</w:t>
      </w:r>
      <w:r w:rsidRPr="00EA6C7A">
        <w:rPr>
          <w:rFonts w:ascii="Verdana" w:hAnsi="Verdana"/>
          <w:sz w:val="20"/>
          <w:szCs w:val="20"/>
          <w:lang w:val="en-US"/>
        </w:rPr>
        <w:t xml:space="preserve"> Jorge Rolando </w:t>
      </w:r>
      <w:proofErr w:type="spellStart"/>
      <w:r w:rsidRPr="00EA6C7A">
        <w:rPr>
          <w:rFonts w:ascii="Verdana" w:hAnsi="Verdana"/>
          <w:sz w:val="20"/>
          <w:szCs w:val="20"/>
          <w:lang w:val="en-US"/>
        </w:rPr>
        <w:t>Velásquez</w:t>
      </w:r>
      <w:proofErr w:type="spellEnd"/>
      <w:r w:rsidRPr="00EA6C7A">
        <w:rPr>
          <w:rFonts w:ascii="Verdana" w:hAnsi="Verdana"/>
          <w:sz w:val="20"/>
          <w:szCs w:val="20"/>
          <w:lang w:val="en-US"/>
        </w:rPr>
        <w:t xml:space="preserve"> Durán</w:t>
      </w:r>
      <w:r w:rsidR="0042115D" w:rsidRPr="00EA6C7A">
        <w:rPr>
          <w:rFonts w:ascii="Verdana" w:hAnsi="Verdana"/>
          <w:sz w:val="20"/>
          <w:szCs w:val="20"/>
          <w:lang w:val="en-US"/>
        </w:rPr>
        <w:t xml:space="preserve"> </w:t>
      </w:r>
      <w:r w:rsidR="00642F53" w:rsidRPr="00EA6C7A">
        <w:rPr>
          <w:rFonts w:ascii="Verdana" w:hAnsi="Verdana"/>
          <w:sz w:val="20"/>
          <w:szCs w:val="20"/>
          <w:lang w:val="en-US"/>
        </w:rPr>
        <w:t>and</w:t>
      </w:r>
      <w:r w:rsidR="0042115D" w:rsidRPr="00EA6C7A">
        <w:rPr>
          <w:rFonts w:ascii="Verdana" w:hAnsi="Verdana"/>
          <w:sz w:val="20"/>
          <w:szCs w:val="20"/>
          <w:lang w:val="en-US"/>
        </w:rPr>
        <w:t xml:space="preserve"> Carlos</w:t>
      </w:r>
      <w:r w:rsidR="00C9302C" w:rsidRPr="00EA6C7A">
        <w:rPr>
          <w:rFonts w:ascii="Verdana" w:hAnsi="Verdana"/>
          <w:sz w:val="20"/>
          <w:szCs w:val="20"/>
          <w:lang w:val="en-US"/>
        </w:rPr>
        <w:t xml:space="preserve"> Antonio</w:t>
      </w:r>
      <w:r w:rsidR="0042115D" w:rsidRPr="00EA6C7A">
        <w:rPr>
          <w:rFonts w:ascii="Verdana" w:hAnsi="Verdana"/>
          <w:sz w:val="20"/>
          <w:szCs w:val="20"/>
          <w:lang w:val="en-US"/>
        </w:rPr>
        <w:t xml:space="preserve"> Pop AC</w:t>
      </w:r>
      <w:r w:rsidRPr="00EA6C7A">
        <w:rPr>
          <w:rFonts w:ascii="Verdana" w:hAnsi="Verdana"/>
          <w:sz w:val="20"/>
          <w:szCs w:val="20"/>
          <w:lang w:val="en-US"/>
        </w:rPr>
        <w:t xml:space="preserve"> </w:t>
      </w:r>
      <w:r w:rsidR="00642F53" w:rsidRPr="00EA6C7A">
        <w:rPr>
          <w:rFonts w:ascii="Verdana" w:hAnsi="Verdana"/>
          <w:sz w:val="20"/>
          <w:szCs w:val="20"/>
          <w:lang w:val="en-US"/>
        </w:rPr>
        <w:t xml:space="preserve">lodged the initial petition before </w:t>
      </w:r>
      <w:r w:rsidR="0096418F" w:rsidRPr="00EA6C7A">
        <w:rPr>
          <w:rFonts w:ascii="Verdana" w:hAnsi="Verdana"/>
          <w:sz w:val="20"/>
          <w:szCs w:val="20"/>
          <w:lang w:val="en-US"/>
        </w:rPr>
        <w:t>the Commission</w:t>
      </w:r>
      <w:r w:rsidRPr="00EA6C7A">
        <w:rPr>
          <w:rFonts w:ascii="Verdana" w:hAnsi="Verdana"/>
          <w:sz w:val="20"/>
          <w:szCs w:val="20"/>
          <w:lang w:val="en-US"/>
        </w:rPr>
        <w:t xml:space="preserve">. </w:t>
      </w:r>
    </w:p>
    <w:p w14:paraId="2D68DA0A" w14:textId="77777777" w:rsidR="005F5B74" w:rsidRPr="00EA6C7A" w:rsidRDefault="005F5B74" w:rsidP="005F5B74">
      <w:pPr>
        <w:pStyle w:val="Prrafodelista"/>
        <w:autoSpaceDE w:val="0"/>
        <w:autoSpaceDN w:val="0"/>
        <w:adjustRightInd w:val="0"/>
        <w:spacing w:after="0" w:line="240" w:lineRule="auto"/>
        <w:ind w:left="360"/>
        <w:jc w:val="both"/>
        <w:rPr>
          <w:rFonts w:ascii="Verdana" w:hAnsi="Verdana"/>
          <w:sz w:val="20"/>
          <w:szCs w:val="20"/>
          <w:lang w:val="en-US"/>
        </w:rPr>
      </w:pPr>
    </w:p>
    <w:p w14:paraId="2A817BBD" w14:textId="77777777" w:rsidR="005F5B74" w:rsidRPr="00EA6C7A" w:rsidRDefault="005F5B74" w:rsidP="00E11A7C">
      <w:pPr>
        <w:pStyle w:val="Prrafodelista"/>
        <w:numPr>
          <w:ilvl w:val="1"/>
          <w:numId w:val="2"/>
        </w:numPr>
        <w:autoSpaceDE w:val="0"/>
        <w:autoSpaceDN w:val="0"/>
        <w:adjustRightInd w:val="0"/>
        <w:spacing w:after="0" w:line="240" w:lineRule="auto"/>
        <w:ind w:left="0" w:firstLine="360"/>
        <w:jc w:val="both"/>
        <w:rPr>
          <w:rFonts w:ascii="Verdana" w:hAnsi="Verdana"/>
          <w:sz w:val="20"/>
          <w:szCs w:val="20"/>
          <w:lang w:val="en-US"/>
        </w:rPr>
      </w:pPr>
      <w:r w:rsidRPr="00EA6C7A">
        <w:rPr>
          <w:rFonts w:ascii="Verdana" w:hAnsi="Verdana"/>
          <w:i/>
          <w:sz w:val="20"/>
          <w:szCs w:val="20"/>
          <w:lang w:val="en-US"/>
        </w:rPr>
        <w:t>Admis</w:t>
      </w:r>
      <w:r w:rsidR="00642F53" w:rsidRPr="00EA6C7A">
        <w:rPr>
          <w:rFonts w:ascii="Verdana" w:hAnsi="Verdana"/>
          <w:i/>
          <w:sz w:val="20"/>
          <w:szCs w:val="20"/>
          <w:lang w:val="en-US"/>
        </w:rPr>
        <w:t>sibility Report</w:t>
      </w:r>
      <w:r w:rsidRPr="00EA6C7A">
        <w:rPr>
          <w:rFonts w:ascii="Verdana" w:hAnsi="Verdana"/>
          <w:i/>
          <w:sz w:val="20"/>
          <w:szCs w:val="20"/>
          <w:lang w:val="en-US"/>
        </w:rPr>
        <w:t>.</w:t>
      </w:r>
      <w:r w:rsidRPr="00EA6C7A">
        <w:rPr>
          <w:rFonts w:ascii="Verdana" w:hAnsi="Verdana"/>
          <w:sz w:val="20"/>
          <w:szCs w:val="20"/>
          <w:lang w:val="en-US"/>
        </w:rPr>
        <w:t xml:space="preserve"> </w:t>
      </w:r>
      <w:r w:rsidR="00642F53" w:rsidRPr="00EA6C7A">
        <w:rPr>
          <w:rFonts w:ascii="Verdana" w:hAnsi="Verdana"/>
          <w:sz w:val="20"/>
          <w:szCs w:val="20"/>
          <w:lang w:val="en-US"/>
        </w:rPr>
        <w:t>On October 4,</w:t>
      </w:r>
      <w:r w:rsidRPr="00EA6C7A">
        <w:rPr>
          <w:rFonts w:ascii="Verdana" w:hAnsi="Verdana"/>
          <w:sz w:val="20"/>
          <w:szCs w:val="20"/>
          <w:lang w:val="en-US"/>
        </w:rPr>
        <w:t xml:space="preserve"> 2010</w:t>
      </w:r>
      <w:r w:rsidR="00642F53" w:rsidRPr="00EA6C7A">
        <w:rPr>
          <w:rFonts w:ascii="Verdana" w:hAnsi="Verdana"/>
          <w:sz w:val="20"/>
          <w:szCs w:val="20"/>
          <w:lang w:val="en-US"/>
        </w:rPr>
        <w:t>,</w:t>
      </w:r>
      <w:r w:rsidRPr="00EA6C7A">
        <w:rPr>
          <w:rFonts w:ascii="Verdana" w:hAnsi="Verdana"/>
          <w:sz w:val="20"/>
          <w:szCs w:val="20"/>
          <w:lang w:val="en-US"/>
        </w:rPr>
        <w:t xml:space="preserve"> </w:t>
      </w:r>
      <w:r w:rsidR="0096418F" w:rsidRPr="00EA6C7A">
        <w:rPr>
          <w:rFonts w:ascii="Verdana" w:hAnsi="Verdana"/>
          <w:sz w:val="20"/>
          <w:szCs w:val="20"/>
          <w:lang w:val="en-US"/>
        </w:rPr>
        <w:t>the Commission</w:t>
      </w:r>
      <w:r w:rsidRPr="00EA6C7A">
        <w:rPr>
          <w:rFonts w:ascii="Verdana" w:hAnsi="Verdana"/>
          <w:sz w:val="20"/>
          <w:szCs w:val="20"/>
          <w:lang w:val="en-US"/>
        </w:rPr>
        <w:t xml:space="preserve"> </w:t>
      </w:r>
      <w:r w:rsidR="00642F53" w:rsidRPr="00EA6C7A">
        <w:rPr>
          <w:rFonts w:ascii="Verdana" w:hAnsi="Verdana"/>
          <w:sz w:val="20"/>
          <w:szCs w:val="20"/>
          <w:lang w:val="en-US"/>
        </w:rPr>
        <w:t xml:space="preserve">adopted Admissibility Report </w:t>
      </w:r>
      <w:r w:rsidRPr="00EA6C7A">
        <w:rPr>
          <w:rFonts w:ascii="Verdana" w:hAnsi="Verdana"/>
          <w:sz w:val="20"/>
          <w:szCs w:val="20"/>
          <w:lang w:val="en-US"/>
        </w:rPr>
        <w:t>No. 110/10.</w:t>
      </w:r>
    </w:p>
    <w:p w14:paraId="4474CDCA" w14:textId="77777777" w:rsidR="005F5B74" w:rsidRPr="00EA6C7A" w:rsidRDefault="005F5B74" w:rsidP="005F5B74">
      <w:pPr>
        <w:pStyle w:val="Prrafodelista"/>
        <w:rPr>
          <w:rFonts w:ascii="Verdana" w:hAnsi="Verdana"/>
          <w:i/>
          <w:sz w:val="20"/>
          <w:szCs w:val="20"/>
          <w:lang w:val="en-US"/>
        </w:rPr>
      </w:pPr>
    </w:p>
    <w:p w14:paraId="500786D6" w14:textId="77777777" w:rsidR="005F5B74" w:rsidRPr="00EA6C7A" w:rsidRDefault="00515C34" w:rsidP="00E11A7C">
      <w:pPr>
        <w:pStyle w:val="Prrafodelista"/>
        <w:numPr>
          <w:ilvl w:val="1"/>
          <w:numId w:val="2"/>
        </w:numPr>
        <w:autoSpaceDE w:val="0"/>
        <w:autoSpaceDN w:val="0"/>
        <w:adjustRightInd w:val="0"/>
        <w:spacing w:after="0" w:line="240" w:lineRule="auto"/>
        <w:ind w:left="0" w:firstLine="360"/>
        <w:jc w:val="both"/>
        <w:rPr>
          <w:rFonts w:ascii="Verdana" w:hAnsi="Verdana"/>
          <w:sz w:val="20"/>
          <w:szCs w:val="20"/>
          <w:lang w:val="en-US"/>
        </w:rPr>
      </w:pPr>
      <w:r w:rsidRPr="00EA6C7A">
        <w:rPr>
          <w:rFonts w:ascii="Verdana" w:hAnsi="Verdana"/>
          <w:i/>
          <w:sz w:val="20"/>
          <w:szCs w:val="20"/>
          <w:lang w:val="en-US"/>
        </w:rPr>
        <w:t>Merits Report</w:t>
      </w:r>
      <w:r w:rsidR="005F5B74" w:rsidRPr="00EA6C7A">
        <w:rPr>
          <w:rFonts w:ascii="Verdana" w:hAnsi="Verdana"/>
          <w:sz w:val="20"/>
          <w:szCs w:val="20"/>
          <w:lang w:val="en-US"/>
        </w:rPr>
        <w:t xml:space="preserve">. </w:t>
      </w:r>
      <w:r w:rsidRPr="00EA6C7A">
        <w:rPr>
          <w:rFonts w:ascii="Verdana" w:hAnsi="Verdana"/>
          <w:sz w:val="20"/>
          <w:szCs w:val="20"/>
          <w:lang w:val="en-US"/>
        </w:rPr>
        <w:t>On November 4,</w:t>
      </w:r>
      <w:r w:rsidR="005F5B74" w:rsidRPr="00EA6C7A">
        <w:rPr>
          <w:rFonts w:ascii="Verdana" w:hAnsi="Verdana"/>
          <w:sz w:val="20"/>
          <w:szCs w:val="20"/>
          <w:lang w:val="en-US"/>
        </w:rPr>
        <w:t xml:space="preserve"> 2013, </w:t>
      </w:r>
      <w:r w:rsidR="0096418F" w:rsidRPr="00EA6C7A">
        <w:rPr>
          <w:rFonts w:ascii="Verdana" w:hAnsi="Verdana"/>
          <w:sz w:val="20"/>
          <w:szCs w:val="20"/>
          <w:lang w:val="en-US"/>
        </w:rPr>
        <w:t>the Commission</w:t>
      </w:r>
      <w:r w:rsidR="005F5B74" w:rsidRPr="00EA6C7A">
        <w:rPr>
          <w:rFonts w:ascii="Verdana" w:hAnsi="Verdana"/>
          <w:sz w:val="20"/>
          <w:szCs w:val="20"/>
          <w:lang w:val="en-US"/>
        </w:rPr>
        <w:t xml:space="preserve"> </w:t>
      </w:r>
      <w:r w:rsidRPr="00EA6C7A">
        <w:rPr>
          <w:rFonts w:ascii="Verdana" w:hAnsi="Verdana"/>
          <w:sz w:val="20"/>
          <w:szCs w:val="20"/>
          <w:lang w:val="en-US"/>
        </w:rPr>
        <w:t>adopted Merits Report</w:t>
      </w:r>
      <w:r w:rsidR="005F5B74" w:rsidRPr="00EA6C7A">
        <w:rPr>
          <w:rFonts w:ascii="Verdana" w:hAnsi="Verdana"/>
          <w:sz w:val="20"/>
          <w:szCs w:val="20"/>
          <w:lang w:val="en-US"/>
        </w:rPr>
        <w:t xml:space="preserve"> No. 53/13 </w:t>
      </w:r>
      <w:r w:rsidRPr="00EA6C7A">
        <w:rPr>
          <w:rFonts w:ascii="Verdana" w:hAnsi="Verdana"/>
          <w:sz w:val="20"/>
          <w:szCs w:val="20"/>
          <w:lang w:val="en-US"/>
        </w:rPr>
        <w:t>pursuant to</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Article</w:t>
      </w:r>
      <w:r w:rsidR="005F5B74" w:rsidRPr="00EA6C7A">
        <w:rPr>
          <w:rFonts w:ascii="Verdana" w:eastAsia="Verdana" w:hAnsi="Verdana" w:cs="Verdana"/>
          <w:sz w:val="20"/>
          <w:szCs w:val="20"/>
          <w:lang w:val="en-US"/>
        </w:rPr>
        <w:t xml:space="preserve"> 50</w:t>
      </w:r>
      <w:r w:rsidR="0096418F" w:rsidRPr="00EA6C7A">
        <w:rPr>
          <w:rFonts w:ascii="Verdana" w:eastAsia="Verdana" w:hAnsi="Verdana" w:cs="Verdana"/>
          <w:sz w:val="20"/>
          <w:szCs w:val="20"/>
          <w:lang w:val="en-US"/>
        </w:rPr>
        <w:t xml:space="preserve"> of the Convention</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hereinafter</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the Merits Report</w:t>
      </w:r>
      <w:r w:rsidR="005F5B74" w:rsidRPr="00EA6C7A">
        <w:rPr>
          <w:rFonts w:ascii="Verdana" w:eastAsia="Verdana" w:hAnsi="Verdana" w:cs="Verdana"/>
          <w:sz w:val="20"/>
          <w:szCs w:val="20"/>
          <w:lang w:val="en-US"/>
        </w:rPr>
        <w:t>” o</w:t>
      </w:r>
      <w:r w:rsidRPr="00EA6C7A">
        <w:rPr>
          <w:rFonts w:ascii="Verdana" w:eastAsia="Verdana" w:hAnsi="Verdana" w:cs="Verdana"/>
          <w:sz w:val="20"/>
          <w:szCs w:val="20"/>
          <w:lang w:val="en-US"/>
        </w:rPr>
        <w:t>r</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 xml:space="preserve">Report </w:t>
      </w:r>
      <w:r w:rsidR="005F5B74" w:rsidRPr="00EA6C7A">
        <w:rPr>
          <w:rFonts w:ascii="Verdana" w:eastAsia="Verdana" w:hAnsi="Verdana" w:cs="Verdana"/>
          <w:sz w:val="20"/>
          <w:szCs w:val="20"/>
          <w:lang w:val="en-US"/>
        </w:rPr>
        <w:t xml:space="preserve">No. 53/13”), </w:t>
      </w:r>
      <w:r w:rsidRPr="00EA6C7A">
        <w:rPr>
          <w:rFonts w:ascii="Verdana" w:eastAsia="Verdana" w:hAnsi="Verdana" w:cs="Verdana"/>
          <w:sz w:val="20"/>
          <w:szCs w:val="20"/>
          <w:lang w:val="en-US"/>
        </w:rPr>
        <w:t>in which it reached a series of conclusions and made several recommendations to the State</w:t>
      </w:r>
      <w:r w:rsidR="005F5B74" w:rsidRPr="00EA6C7A">
        <w:rPr>
          <w:rFonts w:ascii="Verdana" w:eastAsia="Verdana" w:hAnsi="Verdana" w:cs="Verdana"/>
          <w:sz w:val="20"/>
          <w:szCs w:val="20"/>
          <w:lang w:val="en-US"/>
        </w:rPr>
        <w:t>.</w:t>
      </w:r>
    </w:p>
    <w:p w14:paraId="4BCCB262" w14:textId="77777777" w:rsidR="005F5B74" w:rsidRPr="00EA6C7A" w:rsidRDefault="005F5B74" w:rsidP="005F5B74">
      <w:pPr>
        <w:pStyle w:val="Prrafodelista"/>
        <w:rPr>
          <w:rFonts w:ascii="Verdana" w:eastAsia="Verdana" w:hAnsi="Verdana" w:cs="Verdana"/>
          <w:i/>
          <w:sz w:val="20"/>
          <w:szCs w:val="20"/>
          <w:lang w:val="en-US"/>
        </w:rPr>
      </w:pPr>
    </w:p>
    <w:p w14:paraId="06E42FFF" w14:textId="77777777" w:rsidR="005F5B74" w:rsidRPr="00EA6C7A" w:rsidRDefault="005F5B74" w:rsidP="005F5B74">
      <w:pPr>
        <w:pStyle w:val="Prrafodelista"/>
        <w:autoSpaceDE w:val="0"/>
        <w:autoSpaceDN w:val="0"/>
        <w:adjustRightInd w:val="0"/>
        <w:spacing w:after="0" w:line="240" w:lineRule="auto"/>
        <w:ind w:left="540"/>
        <w:jc w:val="both"/>
        <w:rPr>
          <w:rFonts w:ascii="Verdana" w:eastAsia="Verdana" w:hAnsi="Verdana" w:cs="Verdana"/>
          <w:sz w:val="20"/>
          <w:szCs w:val="20"/>
          <w:lang w:val="en-US"/>
        </w:rPr>
      </w:pPr>
      <w:r w:rsidRPr="00EA6C7A">
        <w:rPr>
          <w:rFonts w:ascii="Verdana" w:eastAsia="Verdana" w:hAnsi="Verdana" w:cs="Verdana"/>
          <w:i/>
          <w:sz w:val="20"/>
          <w:szCs w:val="20"/>
          <w:lang w:val="en-US"/>
        </w:rPr>
        <w:t xml:space="preserve">Conclusions. </w:t>
      </w:r>
      <w:r w:rsidR="0096418F" w:rsidRPr="00EA6C7A">
        <w:rPr>
          <w:rFonts w:ascii="Verdana" w:eastAsia="Verdana" w:hAnsi="Verdana" w:cs="Verdana"/>
          <w:sz w:val="20"/>
          <w:szCs w:val="20"/>
          <w:lang w:val="en-US"/>
        </w:rPr>
        <w:t>The Commission</w:t>
      </w:r>
      <w:r w:rsidRPr="00EA6C7A">
        <w:rPr>
          <w:rFonts w:ascii="Verdana" w:eastAsia="Verdana" w:hAnsi="Verdana" w:cs="Verdana"/>
          <w:sz w:val="20"/>
          <w:szCs w:val="20"/>
          <w:lang w:val="en-US"/>
        </w:rPr>
        <w:t xml:space="preserve"> conclu</w:t>
      </w:r>
      <w:r w:rsidR="00515C34" w:rsidRPr="00EA6C7A">
        <w:rPr>
          <w:rFonts w:ascii="Verdana" w:eastAsia="Verdana" w:hAnsi="Verdana" w:cs="Verdana"/>
          <w:sz w:val="20"/>
          <w:szCs w:val="20"/>
          <w:lang w:val="en-US"/>
        </w:rPr>
        <w:t>ded that the State was responsible for violating the following rights</w:t>
      </w:r>
      <w:r w:rsidRPr="00EA6C7A">
        <w:rPr>
          <w:rFonts w:ascii="Verdana" w:eastAsia="Verdana" w:hAnsi="Verdana" w:cs="Verdana"/>
          <w:sz w:val="20"/>
          <w:szCs w:val="20"/>
          <w:lang w:val="en-US"/>
        </w:rPr>
        <w:t>:</w:t>
      </w:r>
    </w:p>
    <w:p w14:paraId="7B120DAB" w14:textId="77777777" w:rsidR="00BF085B" w:rsidRPr="00EA6C7A" w:rsidRDefault="00BF085B" w:rsidP="005F5B74">
      <w:pPr>
        <w:pStyle w:val="Prrafodelista"/>
        <w:autoSpaceDE w:val="0"/>
        <w:autoSpaceDN w:val="0"/>
        <w:adjustRightInd w:val="0"/>
        <w:spacing w:after="0" w:line="240" w:lineRule="auto"/>
        <w:ind w:left="540"/>
        <w:jc w:val="both"/>
        <w:rPr>
          <w:rFonts w:ascii="Verdana" w:eastAsia="Verdana" w:hAnsi="Verdana" w:cs="Verdana"/>
          <w:sz w:val="20"/>
          <w:szCs w:val="20"/>
          <w:lang w:val="en-US"/>
        </w:rPr>
      </w:pPr>
    </w:p>
    <w:p w14:paraId="7EA3569F" w14:textId="77777777" w:rsidR="00BF085B" w:rsidRPr="00EA6C7A" w:rsidRDefault="00515C34" w:rsidP="00E11A7C">
      <w:pPr>
        <w:pStyle w:val="Estilo8"/>
        <w:numPr>
          <w:ilvl w:val="0"/>
          <w:numId w:val="11"/>
        </w:numPr>
        <w:ind w:left="1080"/>
        <w:rPr>
          <w:spacing w:val="0"/>
          <w:sz w:val="16"/>
          <w:szCs w:val="16"/>
          <w:lang w:val="en-US" w:eastAsia="es-CR"/>
        </w:rPr>
      </w:pPr>
      <w:r w:rsidRPr="00EA6C7A">
        <w:rPr>
          <w:spacing w:val="0"/>
          <w:sz w:val="16"/>
          <w:szCs w:val="16"/>
          <w:lang w:val="en-US" w:eastAsia="es-CR"/>
        </w:rPr>
        <w:lastRenderedPageBreak/>
        <w:t>the right to</w:t>
      </w:r>
      <w:r w:rsidR="00BF085B" w:rsidRPr="00EA6C7A">
        <w:rPr>
          <w:spacing w:val="0"/>
          <w:sz w:val="16"/>
          <w:szCs w:val="16"/>
          <w:lang w:val="en-US" w:eastAsia="es-CR"/>
        </w:rPr>
        <w:t xml:space="preserve"> </w:t>
      </w:r>
      <w:r w:rsidRPr="00EA6C7A">
        <w:rPr>
          <w:spacing w:val="0"/>
          <w:sz w:val="16"/>
          <w:szCs w:val="16"/>
          <w:lang w:val="en-US" w:eastAsia="es-CR"/>
        </w:rPr>
        <w:t>life and to personal integrity</w:t>
      </w:r>
      <w:r w:rsidR="00BF085B" w:rsidRPr="00EA6C7A">
        <w:rPr>
          <w:spacing w:val="0"/>
          <w:sz w:val="16"/>
          <w:szCs w:val="16"/>
          <w:lang w:val="en-US" w:eastAsia="es-CR"/>
        </w:rPr>
        <w:t xml:space="preserve"> </w:t>
      </w:r>
      <w:r w:rsidRPr="00EA6C7A">
        <w:rPr>
          <w:spacing w:val="0"/>
          <w:sz w:val="16"/>
          <w:szCs w:val="16"/>
          <w:lang w:val="en-US" w:eastAsia="es-CR"/>
        </w:rPr>
        <w:t>recognized in Articles</w:t>
      </w:r>
      <w:r w:rsidR="00BF085B" w:rsidRPr="00EA6C7A">
        <w:rPr>
          <w:bCs/>
          <w:spacing w:val="0"/>
          <w:sz w:val="16"/>
          <w:szCs w:val="16"/>
          <w:lang w:val="en-US" w:eastAsia="es-CR"/>
        </w:rPr>
        <w:t xml:space="preserve"> 4, 5</w:t>
      </w:r>
      <w:r w:rsidRPr="00EA6C7A">
        <w:rPr>
          <w:bCs/>
          <w:spacing w:val="0"/>
          <w:sz w:val="16"/>
          <w:szCs w:val="16"/>
          <w:lang w:val="en-US" w:eastAsia="es-CR"/>
        </w:rPr>
        <w:t xml:space="preserve"> and</w:t>
      </w:r>
      <w:r w:rsidR="00BF085B" w:rsidRPr="00EA6C7A">
        <w:rPr>
          <w:bCs/>
          <w:spacing w:val="0"/>
          <w:sz w:val="16"/>
          <w:szCs w:val="16"/>
          <w:lang w:val="en-US" w:eastAsia="es-CR"/>
        </w:rPr>
        <w:t xml:space="preserve"> 11 </w:t>
      </w:r>
      <w:r w:rsidR="009A41F9" w:rsidRPr="00EA6C7A">
        <w:rPr>
          <w:bCs/>
          <w:spacing w:val="0"/>
          <w:sz w:val="16"/>
          <w:szCs w:val="16"/>
          <w:lang w:val="en-US" w:eastAsia="es-CR"/>
        </w:rPr>
        <w:t>[</w:t>
      </w:r>
      <w:r w:rsidR="009A41F9" w:rsidRPr="00EA6C7A">
        <w:rPr>
          <w:bCs/>
          <w:i/>
          <w:spacing w:val="0"/>
          <w:sz w:val="16"/>
          <w:szCs w:val="16"/>
          <w:lang w:val="en-US" w:eastAsia="es-CR"/>
        </w:rPr>
        <w:t>sic</w:t>
      </w:r>
      <w:r w:rsidR="009A41F9" w:rsidRPr="00EA6C7A">
        <w:rPr>
          <w:bCs/>
          <w:spacing w:val="0"/>
          <w:sz w:val="16"/>
          <w:szCs w:val="16"/>
          <w:lang w:val="en-US" w:eastAsia="es-CR"/>
        </w:rPr>
        <w:t>]</w:t>
      </w:r>
      <w:r w:rsidR="0096418F" w:rsidRPr="00EA6C7A">
        <w:rPr>
          <w:bCs/>
          <w:spacing w:val="0"/>
          <w:sz w:val="16"/>
          <w:szCs w:val="16"/>
          <w:lang w:val="en-US" w:eastAsia="es-CR"/>
        </w:rPr>
        <w:t xml:space="preserve"> of the American Convention</w:t>
      </w:r>
      <w:r w:rsidR="00BF085B" w:rsidRPr="00EA6C7A">
        <w:rPr>
          <w:bCs/>
          <w:spacing w:val="0"/>
          <w:sz w:val="16"/>
          <w:szCs w:val="16"/>
          <w:lang w:val="en-US" w:eastAsia="es-CR"/>
        </w:rPr>
        <w:t xml:space="preserve">, </w:t>
      </w:r>
      <w:r w:rsidRPr="00EA6C7A">
        <w:rPr>
          <w:bCs/>
          <w:spacing w:val="0"/>
          <w:sz w:val="16"/>
          <w:szCs w:val="16"/>
          <w:lang w:val="en-US" w:eastAsia="es-CR"/>
        </w:rPr>
        <w:t xml:space="preserve">all in </w:t>
      </w:r>
      <w:r w:rsidR="00595A1D" w:rsidRPr="00EA6C7A">
        <w:rPr>
          <w:bCs/>
          <w:spacing w:val="0"/>
          <w:sz w:val="16"/>
          <w:szCs w:val="16"/>
          <w:lang w:val="en-US" w:eastAsia="es-CR"/>
        </w:rPr>
        <w:t xml:space="preserve">relation to </w:t>
      </w:r>
      <w:r w:rsidRPr="00EA6C7A">
        <w:rPr>
          <w:bCs/>
          <w:spacing w:val="0"/>
          <w:sz w:val="16"/>
          <w:szCs w:val="16"/>
          <w:lang w:val="en-US" w:eastAsia="es-CR"/>
        </w:rPr>
        <w:t xml:space="preserve">the obligations imposed on the State by </w:t>
      </w:r>
      <w:r w:rsidRPr="00EA6C7A">
        <w:rPr>
          <w:spacing w:val="0"/>
          <w:sz w:val="16"/>
          <w:szCs w:val="16"/>
          <w:lang w:val="en-US" w:eastAsia="es-CR"/>
        </w:rPr>
        <w:t>Article 1(1)</w:t>
      </w:r>
      <w:r w:rsidR="00BF085B" w:rsidRPr="00EA6C7A">
        <w:rPr>
          <w:spacing w:val="0"/>
          <w:sz w:val="16"/>
          <w:szCs w:val="16"/>
          <w:lang w:val="en-US" w:eastAsia="es-CR"/>
        </w:rPr>
        <w:t xml:space="preserve"> </w:t>
      </w:r>
      <w:r w:rsidRPr="00EA6C7A">
        <w:rPr>
          <w:spacing w:val="0"/>
          <w:sz w:val="16"/>
          <w:szCs w:val="16"/>
          <w:lang w:val="en-US" w:eastAsia="es-CR"/>
        </w:rPr>
        <w:t>of this instrument</w:t>
      </w:r>
      <w:r w:rsidR="00BF085B" w:rsidRPr="00EA6C7A">
        <w:rPr>
          <w:spacing w:val="0"/>
          <w:sz w:val="16"/>
          <w:szCs w:val="16"/>
          <w:lang w:val="en-US" w:eastAsia="es-CR"/>
        </w:rPr>
        <w:t xml:space="preserve"> </w:t>
      </w:r>
      <w:r w:rsidRPr="00EA6C7A">
        <w:rPr>
          <w:spacing w:val="0"/>
          <w:sz w:val="16"/>
          <w:szCs w:val="16"/>
          <w:lang w:val="en-US" w:eastAsia="es-CR"/>
        </w:rPr>
        <w:t>and</w:t>
      </w:r>
      <w:r w:rsidR="00BF085B" w:rsidRPr="00EA6C7A">
        <w:rPr>
          <w:spacing w:val="0"/>
          <w:sz w:val="16"/>
          <w:szCs w:val="16"/>
          <w:lang w:val="en-US" w:eastAsia="es-CR"/>
        </w:rPr>
        <w:t xml:space="preserve"> </w:t>
      </w:r>
      <w:r w:rsidR="0096418F" w:rsidRPr="00EA6C7A">
        <w:rPr>
          <w:spacing w:val="0"/>
          <w:sz w:val="16"/>
          <w:szCs w:val="16"/>
          <w:lang w:val="en-US" w:eastAsia="es-CR"/>
        </w:rPr>
        <w:t>Article</w:t>
      </w:r>
      <w:r w:rsidR="00BF085B" w:rsidRPr="00EA6C7A">
        <w:rPr>
          <w:spacing w:val="0"/>
          <w:sz w:val="16"/>
          <w:szCs w:val="16"/>
          <w:lang w:val="en-US" w:eastAsia="es-CR"/>
        </w:rPr>
        <w:t xml:space="preserve"> 7 </w:t>
      </w:r>
      <w:r w:rsidRPr="00EA6C7A">
        <w:rPr>
          <w:spacing w:val="0"/>
          <w:sz w:val="16"/>
          <w:szCs w:val="16"/>
          <w:lang w:val="en-US" w:eastAsia="es-CR"/>
        </w:rPr>
        <w:t>of the Convention of</w:t>
      </w:r>
      <w:r w:rsidR="00BF085B" w:rsidRPr="00EA6C7A">
        <w:rPr>
          <w:spacing w:val="0"/>
          <w:sz w:val="16"/>
          <w:szCs w:val="16"/>
          <w:lang w:val="en-US" w:eastAsia="es-CR"/>
        </w:rPr>
        <w:t xml:space="preserve"> Belém do</w:t>
      </w:r>
      <w:r w:rsidR="001B11F2" w:rsidRPr="00EA6C7A">
        <w:rPr>
          <w:spacing w:val="0"/>
          <w:sz w:val="16"/>
          <w:szCs w:val="16"/>
          <w:lang w:val="en-US" w:eastAsia="es-CR"/>
        </w:rPr>
        <w:t xml:space="preserve"> </w:t>
      </w:r>
      <w:r w:rsidR="00BF085B" w:rsidRPr="00EA6C7A">
        <w:rPr>
          <w:spacing w:val="0"/>
          <w:sz w:val="16"/>
          <w:szCs w:val="16"/>
          <w:lang w:val="en-US" w:eastAsia="es-CR"/>
        </w:rPr>
        <w:t>Pará.</w:t>
      </w:r>
    </w:p>
    <w:p w14:paraId="5B3F1B8E" w14:textId="77777777" w:rsidR="00BF085B" w:rsidRPr="00EA6C7A" w:rsidRDefault="00515C34" w:rsidP="00E11A7C">
      <w:pPr>
        <w:pStyle w:val="Estilo8"/>
        <w:numPr>
          <w:ilvl w:val="0"/>
          <w:numId w:val="11"/>
        </w:numPr>
        <w:ind w:left="1080"/>
        <w:rPr>
          <w:spacing w:val="0"/>
          <w:sz w:val="16"/>
          <w:szCs w:val="16"/>
          <w:lang w:val="en-US" w:eastAsia="es-CR"/>
        </w:rPr>
      </w:pPr>
      <w:r w:rsidRPr="00EA6C7A">
        <w:rPr>
          <w:rFonts w:cs="Arial"/>
          <w:spacing w:val="0"/>
          <w:sz w:val="16"/>
          <w:szCs w:val="16"/>
          <w:lang w:val="en-US" w:eastAsia="es-CR"/>
        </w:rPr>
        <w:t>the rights of</w:t>
      </w:r>
      <w:r w:rsidR="00BF085B" w:rsidRPr="00EA6C7A">
        <w:rPr>
          <w:rFonts w:cs="Arial"/>
          <w:spacing w:val="0"/>
          <w:sz w:val="16"/>
          <w:szCs w:val="16"/>
          <w:lang w:val="en-US" w:eastAsia="es-CR"/>
        </w:rPr>
        <w:t xml:space="preserve"> Claudina Isabel Velásquez Paiz </w:t>
      </w:r>
      <w:r w:rsidRPr="00EA6C7A">
        <w:rPr>
          <w:rFonts w:cs="Arial"/>
          <w:spacing w:val="0"/>
          <w:sz w:val="16"/>
          <w:szCs w:val="16"/>
          <w:lang w:val="en-US" w:eastAsia="es-CR"/>
        </w:rPr>
        <w:t>under</w:t>
      </w:r>
      <w:r w:rsidR="00BF085B" w:rsidRPr="00EA6C7A">
        <w:rPr>
          <w:rFonts w:cs="Arial"/>
          <w:spacing w:val="0"/>
          <w:sz w:val="16"/>
          <w:szCs w:val="16"/>
          <w:lang w:val="en-US" w:eastAsia="es-CR"/>
        </w:rPr>
        <w:t xml:space="preserve"> </w:t>
      </w:r>
      <w:r w:rsidR="0096418F" w:rsidRPr="00EA6C7A">
        <w:rPr>
          <w:rFonts w:cs="Arial"/>
          <w:spacing w:val="0"/>
          <w:sz w:val="16"/>
          <w:szCs w:val="16"/>
          <w:lang w:val="en-US" w:eastAsia="es-CR"/>
        </w:rPr>
        <w:t>Article</w:t>
      </w:r>
      <w:r w:rsidR="00BF085B" w:rsidRPr="00EA6C7A">
        <w:rPr>
          <w:rFonts w:cs="Arial"/>
          <w:spacing w:val="0"/>
          <w:sz w:val="16"/>
          <w:szCs w:val="16"/>
          <w:lang w:val="en-US" w:eastAsia="es-CR"/>
        </w:rPr>
        <w:t xml:space="preserve"> 7</w:t>
      </w:r>
      <w:r w:rsidR="0096418F" w:rsidRPr="00EA6C7A">
        <w:rPr>
          <w:rFonts w:cs="Arial"/>
          <w:spacing w:val="0"/>
          <w:sz w:val="16"/>
          <w:szCs w:val="16"/>
          <w:lang w:val="en-US" w:eastAsia="es-CR"/>
        </w:rPr>
        <w:t xml:space="preserve"> of the Convention</w:t>
      </w:r>
      <w:r w:rsidR="00BF085B" w:rsidRPr="00EA6C7A">
        <w:rPr>
          <w:rFonts w:cs="Arial"/>
          <w:bCs/>
          <w:spacing w:val="0"/>
          <w:sz w:val="16"/>
          <w:szCs w:val="16"/>
          <w:lang w:val="en-US" w:eastAsia="es-CR"/>
        </w:rPr>
        <w:t xml:space="preserve"> </w:t>
      </w:r>
      <w:r w:rsidRPr="00EA6C7A">
        <w:rPr>
          <w:rFonts w:cs="Arial"/>
          <w:bCs/>
          <w:spacing w:val="0"/>
          <w:sz w:val="16"/>
          <w:szCs w:val="16"/>
          <w:lang w:val="en-US" w:eastAsia="es-CR"/>
        </w:rPr>
        <w:t>of</w:t>
      </w:r>
      <w:r w:rsidR="00BF085B" w:rsidRPr="00EA6C7A">
        <w:rPr>
          <w:rFonts w:cs="Arial"/>
          <w:bCs/>
          <w:spacing w:val="0"/>
          <w:sz w:val="16"/>
          <w:szCs w:val="16"/>
          <w:lang w:val="en-US" w:eastAsia="es-CR"/>
        </w:rPr>
        <w:t xml:space="preserve"> Belém do Pará</w:t>
      </w:r>
      <w:r w:rsidR="00595A1D" w:rsidRPr="00EA6C7A">
        <w:rPr>
          <w:rFonts w:cs="Arial"/>
          <w:bCs/>
          <w:spacing w:val="0"/>
          <w:sz w:val="16"/>
          <w:szCs w:val="16"/>
          <w:lang w:val="en-US" w:eastAsia="es-CR"/>
        </w:rPr>
        <w:t>,</w:t>
      </w:r>
      <w:r w:rsidR="00BF085B" w:rsidRPr="00EA6C7A">
        <w:rPr>
          <w:rFonts w:cs="Arial"/>
          <w:bCs/>
          <w:spacing w:val="0"/>
          <w:sz w:val="16"/>
          <w:szCs w:val="16"/>
          <w:lang w:val="en-US" w:eastAsia="es-CR"/>
        </w:rPr>
        <w:t xml:space="preserve"> </w:t>
      </w:r>
      <w:r w:rsidRPr="00EA6C7A">
        <w:rPr>
          <w:rFonts w:cs="Arial"/>
          <w:bCs/>
          <w:spacing w:val="0"/>
          <w:sz w:val="16"/>
          <w:szCs w:val="16"/>
          <w:lang w:val="en-US" w:eastAsia="es-CR"/>
        </w:rPr>
        <w:t>in relation to</w:t>
      </w:r>
      <w:r w:rsidR="00BF085B" w:rsidRPr="00EA6C7A">
        <w:rPr>
          <w:rFonts w:cs="Arial"/>
          <w:bCs/>
          <w:spacing w:val="0"/>
          <w:sz w:val="16"/>
          <w:szCs w:val="16"/>
          <w:lang w:val="en-US" w:eastAsia="es-CR"/>
        </w:rPr>
        <w:t xml:space="preserve"> </w:t>
      </w:r>
      <w:r w:rsidR="0096418F" w:rsidRPr="00EA6C7A">
        <w:rPr>
          <w:rFonts w:cs="Arial"/>
          <w:bCs/>
          <w:spacing w:val="0"/>
          <w:sz w:val="16"/>
          <w:szCs w:val="16"/>
          <w:lang w:val="en-US" w:eastAsia="es-CR"/>
        </w:rPr>
        <w:t>Article</w:t>
      </w:r>
      <w:r w:rsidR="00BF085B" w:rsidRPr="00EA6C7A">
        <w:rPr>
          <w:rFonts w:cs="Arial"/>
          <w:bCs/>
          <w:spacing w:val="0"/>
          <w:sz w:val="16"/>
          <w:szCs w:val="16"/>
          <w:lang w:val="en-US" w:eastAsia="es-CR"/>
        </w:rPr>
        <w:t xml:space="preserve"> 24</w:t>
      </w:r>
      <w:r w:rsidR="0096418F" w:rsidRPr="00EA6C7A">
        <w:rPr>
          <w:rFonts w:cs="Arial"/>
          <w:bCs/>
          <w:spacing w:val="0"/>
          <w:sz w:val="16"/>
          <w:szCs w:val="16"/>
          <w:lang w:val="en-US" w:eastAsia="es-CR"/>
        </w:rPr>
        <w:t xml:space="preserve"> of the American Convention</w:t>
      </w:r>
      <w:r w:rsidR="00595A1D" w:rsidRPr="00EA6C7A">
        <w:rPr>
          <w:rFonts w:cs="Arial"/>
          <w:bCs/>
          <w:spacing w:val="0"/>
          <w:sz w:val="16"/>
          <w:szCs w:val="16"/>
          <w:lang w:val="en-US" w:eastAsia="es-CR"/>
        </w:rPr>
        <w:t>,</w:t>
      </w:r>
      <w:r w:rsidR="00BF085B" w:rsidRPr="00EA6C7A">
        <w:rPr>
          <w:rFonts w:cs="Arial"/>
          <w:bCs/>
          <w:spacing w:val="0"/>
          <w:sz w:val="16"/>
          <w:szCs w:val="16"/>
          <w:lang w:val="en-US" w:eastAsia="es-CR"/>
        </w:rPr>
        <w:t xml:space="preserve"> </w:t>
      </w:r>
      <w:r w:rsidRPr="00EA6C7A">
        <w:rPr>
          <w:rFonts w:cs="Arial"/>
          <w:bCs/>
          <w:spacing w:val="0"/>
          <w:sz w:val="16"/>
          <w:szCs w:val="16"/>
          <w:lang w:val="en-US" w:eastAsia="es-CR"/>
        </w:rPr>
        <w:t>in conformity with the general obligation to respect and ensure rights established in Article 1(1)</w:t>
      </w:r>
      <w:r w:rsidR="00BF085B" w:rsidRPr="00EA6C7A">
        <w:rPr>
          <w:spacing w:val="0"/>
          <w:sz w:val="16"/>
          <w:szCs w:val="16"/>
          <w:lang w:val="en-US" w:eastAsia="es-CR"/>
        </w:rPr>
        <w:t>.</w:t>
      </w:r>
    </w:p>
    <w:p w14:paraId="1F10F1ED" w14:textId="77777777" w:rsidR="00BF085B" w:rsidRPr="00EA6C7A" w:rsidRDefault="00515C34" w:rsidP="00E11A7C">
      <w:pPr>
        <w:pStyle w:val="Estilo8"/>
        <w:numPr>
          <w:ilvl w:val="0"/>
          <w:numId w:val="11"/>
        </w:numPr>
        <w:ind w:left="1080"/>
        <w:rPr>
          <w:spacing w:val="0"/>
          <w:sz w:val="16"/>
          <w:szCs w:val="16"/>
          <w:lang w:val="en-US" w:eastAsia="es-CR"/>
        </w:rPr>
      </w:pPr>
      <w:r w:rsidRPr="00EA6C7A">
        <w:rPr>
          <w:rFonts w:cs="Arial"/>
          <w:spacing w:val="0"/>
          <w:sz w:val="16"/>
          <w:szCs w:val="16"/>
          <w:lang w:val="en-US" w:eastAsia="es-CR"/>
        </w:rPr>
        <w:t>the right to</w:t>
      </w:r>
      <w:r w:rsidR="00BF085B" w:rsidRPr="00EA6C7A">
        <w:rPr>
          <w:rFonts w:cs="Arial"/>
          <w:spacing w:val="0"/>
          <w:sz w:val="16"/>
          <w:szCs w:val="16"/>
          <w:lang w:val="en-US" w:eastAsia="es-CR"/>
        </w:rPr>
        <w:t xml:space="preserve"> </w:t>
      </w:r>
      <w:r w:rsidRPr="00EA6C7A">
        <w:rPr>
          <w:rFonts w:cs="Arial"/>
          <w:spacing w:val="0"/>
          <w:sz w:val="16"/>
          <w:szCs w:val="16"/>
          <w:lang w:val="en-US" w:eastAsia="es-CR"/>
        </w:rPr>
        <w:t>personal integrity</w:t>
      </w:r>
      <w:r w:rsidR="00BF085B" w:rsidRPr="00EA6C7A">
        <w:rPr>
          <w:rFonts w:cs="Arial"/>
          <w:spacing w:val="0"/>
          <w:sz w:val="16"/>
          <w:szCs w:val="16"/>
          <w:lang w:val="en-US" w:eastAsia="es-CR"/>
        </w:rPr>
        <w:t xml:space="preserve"> </w:t>
      </w:r>
      <w:r w:rsidRPr="00EA6C7A">
        <w:rPr>
          <w:rFonts w:cs="Arial"/>
          <w:spacing w:val="0"/>
          <w:sz w:val="16"/>
          <w:szCs w:val="16"/>
          <w:lang w:val="en-US" w:eastAsia="es-CR"/>
        </w:rPr>
        <w:t>recognized in Article 5(1)</w:t>
      </w:r>
      <w:r w:rsidR="0096418F" w:rsidRPr="00EA6C7A">
        <w:rPr>
          <w:rFonts w:cs="Arial"/>
          <w:spacing w:val="0"/>
          <w:sz w:val="16"/>
          <w:szCs w:val="16"/>
          <w:lang w:val="en-US" w:eastAsia="es-CR"/>
        </w:rPr>
        <w:t xml:space="preserve"> of the American Convention</w:t>
      </w:r>
      <w:r w:rsidR="00BF085B" w:rsidRPr="00EA6C7A">
        <w:rPr>
          <w:rFonts w:cs="Arial"/>
          <w:spacing w:val="0"/>
          <w:sz w:val="16"/>
          <w:szCs w:val="16"/>
          <w:lang w:val="en-US" w:eastAsia="es-CR"/>
        </w:rPr>
        <w:t xml:space="preserve"> </w:t>
      </w:r>
      <w:r w:rsidRPr="00EA6C7A">
        <w:rPr>
          <w:bCs/>
          <w:spacing w:val="0"/>
          <w:sz w:val="16"/>
          <w:szCs w:val="16"/>
          <w:lang w:val="en-US" w:eastAsia="es-CR"/>
        </w:rPr>
        <w:t xml:space="preserve">in connection with the obligations imposed on the State by </w:t>
      </w:r>
      <w:r w:rsidRPr="00EA6C7A">
        <w:rPr>
          <w:rFonts w:cs="Arial"/>
          <w:spacing w:val="0"/>
          <w:sz w:val="16"/>
          <w:szCs w:val="16"/>
          <w:lang w:val="en-US" w:eastAsia="es-CR"/>
        </w:rPr>
        <w:t>Article 1(1)</w:t>
      </w:r>
      <w:r w:rsidR="00BF085B" w:rsidRPr="00EA6C7A">
        <w:rPr>
          <w:rFonts w:cs="Arial"/>
          <w:spacing w:val="0"/>
          <w:sz w:val="16"/>
          <w:szCs w:val="16"/>
          <w:lang w:val="en-US" w:eastAsia="es-CR"/>
        </w:rPr>
        <w:t xml:space="preserve"> </w:t>
      </w:r>
      <w:r w:rsidRPr="00EA6C7A">
        <w:rPr>
          <w:rFonts w:cs="Arial"/>
          <w:spacing w:val="0"/>
          <w:sz w:val="16"/>
          <w:szCs w:val="16"/>
          <w:lang w:val="en-US" w:eastAsia="es-CR"/>
        </w:rPr>
        <w:t>of this instrument</w:t>
      </w:r>
      <w:r w:rsidR="00BF085B" w:rsidRPr="00EA6C7A">
        <w:rPr>
          <w:rFonts w:cs="Arial"/>
          <w:spacing w:val="0"/>
          <w:sz w:val="16"/>
          <w:szCs w:val="16"/>
          <w:lang w:val="en-US" w:eastAsia="es-CR"/>
        </w:rPr>
        <w:t xml:space="preserve">, </w:t>
      </w:r>
      <w:r w:rsidRPr="00EA6C7A">
        <w:rPr>
          <w:rFonts w:cs="Arial"/>
          <w:spacing w:val="0"/>
          <w:sz w:val="16"/>
          <w:szCs w:val="16"/>
          <w:lang w:val="en-US" w:eastAsia="es-CR"/>
        </w:rPr>
        <w:t xml:space="preserve">to the detriment of </w:t>
      </w:r>
      <w:r w:rsidR="00BF085B" w:rsidRPr="00EA6C7A">
        <w:rPr>
          <w:rFonts w:cs="Arial"/>
          <w:spacing w:val="0"/>
          <w:sz w:val="16"/>
          <w:szCs w:val="16"/>
          <w:lang w:val="en-US" w:eastAsia="es-CR"/>
        </w:rPr>
        <w:t xml:space="preserve">Jorge Rolando Velásquez Durán, Elsa Claudina Paiz Vidal de Velásquez </w:t>
      </w:r>
      <w:r w:rsidRPr="00EA6C7A">
        <w:rPr>
          <w:rFonts w:cs="Arial"/>
          <w:spacing w:val="0"/>
          <w:sz w:val="16"/>
          <w:szCs w:val="16"/>
          <w:lang w:val="en-US" w:eastAsia="es-CR"/>
        </w:rPr>
        <w:t>and</w:t>
      </w:r>
      <w:r w:rsidR="00BF085B" w:rsidRPr="00EA6C7A">
        <w:rPr>
          <w:rFonts w:cs="Arial"/>
          <w:spacing w:val="0"/>
          <w:sz w:val="16"/>
          <w:szCs w:val="16"/>
          <w:lang w:val="en-US" w:eastAsia="es-CR"/>
        </w:rPr>
        <w:t xml:space="preserve"> Pablo Andrés Velásquez Paiz, </w:t>
      </w:r>
      <w:r w:rsidRPr="00EA6C7A">
        <w:rPr>
          <w:rFonts w:cs="Arial"/>
          <w:spacing w:val="0"/>
          <w:sz w:val="16"/>
          <w:szCs w:val="16"/>
          <w:lang w:val="en-US" w:eastAsia="es-CR"/>
        </w:rPr>
        <w:t>as well as</w:t>
      </w:r>
      <w:r w:rsidR="00BF085B" w:rsidRPr="00EA6C7A">
        <w:rPr>
          <w:rFonts w:cs="Arial"/>
          <w:spacing w:val="0"/>
          <w:sz w:val="16"/>
          <w:szCs w:val="16"/>
          <w:lang w:val="en-US" w:eastAsia="es-CR"/>
        </w:rPr>
        <w:t xml:space="preserve"> </w:t>
      </w:r>
      <w:r w:rsidRPr="00EA6C7A">
        <w:rPr>
          <w:rFonts w:cs="Arial"/>
          <w:spacing w:val="0"/>
          <w:sz w:val="16"/>
          <w:szCs w:val="16"/>
          <w:lang w:val="en-US" w:eastAsia="es-CR"/>
        </w:rPr>
        <w:t>the right to judicial guarantees and protection recognized in Articles 8(1)</w:t>
      </w:r>
      <w:r w:rsidR="00BF085B" w:rsidRPr="00EA6C7A">
        <w:rPr>
          <w:rFonts w:cs="Arial"/>
          <w:spacing w:val="0"/>
          <w:sz w:val="16"/>
          <w:szCs w:val="16"/>
          <w:lang w:val="en-US" w:eastAsia="es-CR"/>
        </w:rPr>
        <w:t xml:space="preserve"> </w:t>
      </w:r>
      <w:r w:rsidRPr="00EA6C7A">
        <w:rPr>
          <w:rFonts w:cs="Arial"/>
          <w:spacing w:val="0"/>
          <w:sz w:val="16"/>
          <w:szCs w:val="16"/>
          <w:lang w:val="en-US" w:eastAsia="es-CR"/>
        </w:rPr>
        <w:t>and</w:t>
      </w:r>
      <w:r w:rsidR="00BF085B" w:rsidRPr="00EA6C7A">
        <w:rPr>
          <w:rFonts w:cs="Arial"/>
          <w:spacing w:val="0"/>
          <w:sz w:val="16"/>
          <w:szCs w:val="16"/>
          <w:lang w:val="en-US" w:eastAsia="es-CR"/>
        </w:rPr>
        <w:t xml:space="preserve"> 25</w:t>
      </w:r>
      <w:r w:rsidR="0096418F" w:rsidRPr="00EA6C7A">
        <w:rPr>
          <w:rFonts w:cs="Arial"/>
          <w:spacing w:val="0"/>
          <w:sz w:val="16"/>
          <w:szCs w:val="16"/>
          <w:lang w:val="en-US" w:eastAsia="es-CR"/>
        </w:rPr>
        <w:t xml:space="preserve"> of the American Convention</w:t>
      </w:r>
      <w:r w:rsidR="00BF085B" w:rsidRPr="00EA6C7A">
        <w:rPr>
          <w:rFonts w:cs="Arial"/>
          <w:spacing w:val="0"/>
          <w:sz w:val="16"/>
          <w:szCs w:val="16"/>
          <w:lang w:val="en-US" w:eastAsia="es-CR"/>
        </w:rPr>
        <w:t xml:space="preserve"> </w:t>
      </w:r>
      <w:r w:rsidRPr="00EA6C7A">
        <w:rPr>
          <w:rFonts w:cs="Arial"/>
          <w:spacing w:val="0"/>
          <w:sz w:val="16"/>
          <w:szCs w:val="16"/>
          <w:lang w:val="en-US" w:eastAsia="es-CR"/>
        </w:rPr>
        <w:t>of this instrument and in relation to the obligations imposed on the State by Article 1(1)</w:t>
      </w:r>
      <w:r w:rsidR="00BF085B" w:rsidRPr="00EA6C7A">
        <w:rPr>
          <w:rFonts w:cs="Arial"/>
          <w:spacing w:val="0"/>
          <w:sz w:val="16"/>
          <w:szCs w:val="16"/>
          <w:lang w:val="en-US" w:eastAsia="es-CR"/>
        </w:rPr>
        <w:t xml:space="preserve"> </w:t>
      </w:r>
      <w:r w:rsidRPr="00EA6C7A">
        <w:rPr>
          <w:rFonts w:cs="Arial"/>
          <w:spacing w:val="0"/>
          <w:sz w:val="16"/>
          <w:szCs w:val="16"/>
          <w:lang w:val="en-US" w:eastAsia="es-CR"/>
        </w:rPr>
        <w:t>and</w:t>
      </w:r>
      <w:r w:rsidR="00BF085B" w:rsidRPr="00EA6C7A">
        <w:rPr>
          <w:rFonts w:cs="Arial"/>
          <w:spacing w:val="0"/>
          <w:sz w:val="16"/>
          <w:szCs w:val="16"/>
          <w:lang w:val="en-US" w:eastAsia="es-CR"/>
        </w:rPr>
        <w:t xml:space="preserve"> </w:t>
      </w:r>
      <w:r w:rsidR="0096418F" w:rsidRPr="00EA6C7A">
        <w:rPr>
          <w:rFonts w:cs="Arial"/>
          <w:spacing w:val="0"/>
          <w:sz w:val="16"/>
          <w:szCs w:val="16"/>
          <w:lang w:val="en-US" w:eastAsia="es-CR"/>
        </w:rPr>
        <w:t>Article</w:t>
      </w:r>
      <w:r w:rsidR="00BF085B" w:rsidRPr="00EA6C7A">
        <w:rPr>
          <w:rFonts w:cs="Arial"/>
          <w:spacing w:val="0"/>
          <w:sz w:val="16"/>
          <w:szCs w:val="16"/>
          <w:lang w:val="en-US" w:eastAsia="es-CR"/>
        </w:rPr>
        <w:t xml:space="preserve"> 7 </w:t>
      </w:r>
      <w:r w:rsidRPr="00EA6C7A">
        <w:rPr>
          <w:rFonts w:cs="Arial"/>
          <w:spacing w:val="0"/>
          <w:sz w:val="16"/>
          <w:szCs w:val="16"/>
          <w:lang w:val="en-US" w:eastAsia="es-CR"/>
        </w:rPr>
        <w:t>of the Convention of</w:t>
      </w:r>
      <w:r w:rsidR="00BF085B" w:rsidRPr="00EA6C7A">
        <w:rPr>
          <w:rFonts w:cs="Arial"/>
          <w:spacing w:val="0"/>
          <w:sz w:val="16"/>
          <w:szCs w:val="16"/>
          <w:lang w:val="en-US" w:eastAsia="es-CR"/>
        </w:rPr>
        <w:t xml:space="preserve"> Belém do Pará.</w:t>
      </w:r>
    </w:p>
    <w:p w14:paraId="681DD4AE" w14:textId="77777777" w:rsidR="00895E35" w:rsidRPr="00EA6C7A" w:rsidRDefault="00895E35" w:rsidP="005F5B74">
      <w:pPr>
        <w:pStyle w:val="Prrafodelista"/>
        <w:autoSpaceDE w:val="0"/>
        <w:autoSpaceDN w:val="0"/>
        <w:adjustRightInd w:val="0"/>
        <w:spacing w:after="0" w:line="240" w:lineRule="auto"/>
        <w:ind w:left="540"/>
        <w:jc w:val="both"/>
        <w:rPr>
          <w:rFonts w:ascii="Verdana" w:hAnsi="Verdana"/>
          <w:sz w:val="20"/>
          <w:szCs w:val="20"/>
          <w:lang w:val="en-US"/>
        </w:rPr>
      </w:pPr>
    </w:p>
    <w:p w14:paraId="5B751145" w14:textId="77777777" w:rsidR="005F5B74" w:rsidRPr="00EA6C7A" w:rsidRDefault="005F5B74" w:rsidP="00E02C9C">
      <w:pPr>
        <w:pStyle w:val="Prrafodelista"/>
        <w:spacing w:after="0" w:line="240" w:lineRule="auto"/>
        <w:ind w:left="540" w:right="144"/>
        <w:rPr>
          <w:rFonts w:ascii="Verdana" w:eastAsia="Verdana" w:hAnsi="Verdana" w:cs="Verdana"/>
          <w:sz w:val="20"/>
          <w:szCs w:val="20"/>
          <w:lang w:val="en-US"/>
        </w:rPr>
      </w:pPr>
      <w:r w:rsidRPr="00EA6C7A">
        <w:rPr>
          <w:rFonts w:ascii="Verdana" w:eastAsia="Verdana" w:hAnsi="Verdana" w:cs="Verdana"/>
          <w:i/>
          <w:sz w:val="20"/>
          <w:szCs w:val="20"/>
          <w:lang w:val="en-US"/>
        </w:rPr>
        <w:t>Reco</w:t>
      </w:r>
      <w:r w:rsidR="00515C34" w:rsidRPr="00EA6C7A">
        <w:rPr>
          <w:rFonts w:ascii="Verdana" w:eastAsia="Verdana" w:hAnsi="Verdana" w:cs="Verdana"/>
          <w:i/>
          <w:sz w:val="20"/>
          <w:szCs w:val="20"/>
          <w:lang w:val="en-US"/>
        </w:rPr>
        <w:t>mmendation</w:t>
      </w:r>
      <w:r w:rsidRPr="00EA6C7A">
        <w:rPr>
          <w:rFonts w:ascii="Verdana" w:eastAsia="Verdana" w:hAnsi="Verdana" w:cs="Verdana"/>
          <w:i/>
          <w:sz w:val="20"/>
          <w:szCs w:val="20"/>
          <w:lang w:val="en-US"/>
        </w:rPr>
        <w:t>s</w:t>
      </w:r>
      <w:r w:rsidR="00515C34" w:rsidRPr="00EA6C7A">
        <w:rPr>
          <w:rFonts w:ascii="Verdana" w:eastAsia="Verdana" w:hAnsi="Verdana" w:cs="Verdana"/>
          <w:i/>
          <w:sz w:val="20"/>
          <w:szCs w:val="20"/>
          <w:lang w:val="en-US"/>
        </w:rPr>
        <w:t>.</w:t>
      </w:r>
      <w:r w:rsidRPr="00EA6C7A">
        <w:rPr>
          <w:rFonts w:ascii="Verdana" w:eastAsia="Verdana" w:hAnsi="Verdana" w:cs="Verdana"/>
          <w:i/>
          <w:sz w:val="20"/>
          <w:szCs w:val="20"/>
          <w:lang w:val="en-US"/>
        </w:rPr>
        <w:t xml:space="preserve"> </w:t>
      </w:r>
      <w:r w:rsidR="0096418F" w:rsidRPr="00EA6C7A">
        <w:rPr>
          <w:rFonts w:ascii="Verdana" w:eastAsia="Verdana" w:hAnsi="Verdana" w:cs="Verdana"/>
          <w:sz w:val="20"/>
          <w:szCs w:val="20"/>
          <w:lang w:val="en-US"/>
        </w:rPr>
        <w:t>The Commission</w:t>
      </w:r>
      <w:r w:rsidRPr="00EA6C7A">
        <w:rPr>
          <w:rFonts w:ascii="Verdana" w:eastAsia="Verdana" w:hAnsi="Verdana" w:cs="Verdana"/>
          <w:sz w:val="20"/>
          <w:szCs w:val="20"/>
          <w:lang w:val="en-US"/>
        </w:rPr>
        <w:t xml:space="preserve"> </w:t>
      </w:r>
      <w:r w:rsidR="00515C34" w:rsidRPr="00EA6C7A">
        <w:rPr>
          <w:rFonts w:ascii="Verdana" w:eastAsia="Verdana" w:hAnsi="Verdana" w:cs="Verdana"/>
          <w:sz w:val="20"/>
          <w:szCs w:val="20"/>
          <w:lang w:val="en-US"/>
        </w:rPr>
        <w:t>recommended that the State</w:t>
      </w:r>
      <w:r w:rsidRPr="00EA6C7A">
        <w:rPr>
          <w:rFonts w:ascii="Verdana" w:eastAsia="Verdana" w:hAnsi="Verdana" w:cs="Verdana"/>
          <w:sz w:val="20"/>
          <w:szCs w:val="20"/>
          <w:lang w:val="en-US"/>
        </w:rPr>
        <w:t>:</w:t>
      </w:r>
    </w:p>
    <w:p w14:paraId="352459C9" w14:textId="77777777" w:rsidR="00515C34" w:rsidRPr="00EA6C7A" w:rsidRDefault="00515C34" w:rsidP="00E02C9C">
      <w:pPr>
        <w:pStyle w:val="Prrafodelista"/>
        <w:spacing w:after="0" w:line="240" w:lineRule="auto"/>
        <w:ind w:left="540" w:right="144"/>
        <w:rPr>
          <w:rFonts w:ascii="Verdana" w:eastAsia="Verdana" w:hAnsi="Verdana" w:cs="Verdana"/>
          <w:sz w:val="20"/>
          <w:szCs w:val="20"/>
          <w:lang w:val="en-US"/>
        </w:rPr>
      </w:pPr>
    </w:p>
    <w:p w14:paraId="4E954611" w14:textId="77777777" w:rsidR="00435615" w:rsidRPr="00EA6C7A" w:rsidRDefault="00435615" w:rsidP="00435615">
      <w:pPr>
        <w:pStyle w:val="Prrafodelista"/>
        <w:numPr>
          <w:ilvl w:val="0"/>
          <w:numId w:val="16"/>
        </w:numPr>
        <w:tabs>
          <w:tab w:val="left" w:pos="1080"/>
          <w:tab w:val="left" w:pos="8190"/>
        </w:tabs>
        <w:spacing w:after="0" w:line="240" w:lineRule="auto"/>
        <w:ind w:right="450"/>
        <w:jc w:val="both"/>
        <w:rPr>
          <w:rFonts w:ascii="Verdana" w:hAnsi="Verdana"/>
          <w:color w:val="000000"/>
          <w:sz w:val="16"/>
          <w:szCs w:val="16"/>
          <w:lang w:val="en-US"/>
        </w:rPr>
      </w:pPr>
      <w:r w:rsidRPr="00EA6C7A">
        <w:rPr>
          <w:rFonts w:ascii="Verdana" w:hAnsi="Verdana"/>
          <w:sz w:val="16"/>
          <w:szCs w:val="16"/>
          <w:lang w:val="en-US"/>
        </w:rPr>
        <w:t xml:space="preserve">Complete a </w:t>
      </w:r>
      <w:r w:rsidR="00595A1D" w:rsidRPr="00EA6C7A">
        <w:rPr>
          <w:rFonts w:ascii="Verdana" w:hAnsi="Verdana"/>
          <w:sz w:val="16"/>
          <w:szCs w:val="16"/>
          <w:lang w:val="en-US"/>
        </w:rPr>
        <w:t>prompt</w:t>
      </w:r>
      <w:r w:rsidRPr="00EA6C7A">
        <w:rPr>
          <w:rFonts w:ascii="Verdana" w:hAnsi="Verdana"/>
          <w:sz w:val="16"/>
          <w:szCs w:val="16"/>
          <w:lang w:val="en-US"/>
        </w:rPr>
        <w:t>, immediate, serious and impartial investigation to solve the murder of Claudina Isabel Velásquez Paiz and identify, prosecute and, as appropriate, punish those responsible.</w:t>
      </w:r>
    </w:p>
    <w:p w14:paraId="4FADD00B" w14:textId="77777777" w:rsidR="00435615"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sz w:val="16"/>
          <w:szCs w:val="16"/>
          <w:lang w:val="en-US"/>
        </w:rPr>
        <w:t xml:space="preserve">Adopt and/or, as appropriate, adapt investigation protocols and expert services used in all crimes related to the disappearance, rape or murder of women, in accordance with international standards on such matters and from a gender perspective. </w:t>
      </w:r>
    </w:p>
    <w:p w14:paraId="5A1315FA" w14:textId="77777777" w:rsidR="00435615"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sz w:val="16"/>
          <w:szCs w:val="16"/>
          <w:lang w:val="en-US"/>
        </w:rPr>
        <w:t xml:space="preserve">Make full reparations to the next of kin of Claudina Isabel Velásquez Paiz for the human rights violations […] established. </w:t>
      </w:r>
    </w:p>
    <w:p w14:paraId="293F0BD0" w14:textId="77777777" w:rsidR="00435615"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cs="Arial"/>
          <w:sz w:val="16"/>
          <w:szCs w:val="16"/>
          <w:lang w:val="en-US"/>
        </w:rPr>
        <w:t>As a measure of non-repetition, implement a comprehensive and coordinated State policy, backed by sufficient public funds, for the prevention of violence against women.</w:t>
      </w:r>
    </w:p>
    <w:p w14:paraId="72B4E4EE" w14:textId="77777777" w:rsidR="00435615"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cs="Arial"/>
          <w:sz w:val="16"/>
          <w:szCs w:val="16"/>
          <w:lang w:val="en-US"/>
        </w:rPr>
        <w:t xml:space="preserve">Bolster the institutional capacity to combat impunity in cases of violence against women, through effective criminal investigations conducted from a gender perspective that have constant judicial </w:t>
      </w:r>
      <w:r w:rsidR="00595A1D" w:rsidRPr="00EA6C7A">
        <w:rPr>
          <w:rFonts w:ascii="Verdana" w:hAnsi="Verdana" w:cs="Arial"/>
          <w:sz w:val="16"/>
          <w:szCs w:val="16"/>
          <w:lang w:val="en-US"/>
        </w:rPr>
        <w:t>monitoring</w:t>
      </w:r>
      <w:r w:rsidRPr="00EA6C7A">
        <w:rPr>
          <w:rFonts w:ascii="Verdana" w:hAnsi="Verdana" w:cs="Arial"/>
          <w:sz w:val="16"/>
          <w:szCs w:val="16"/>
          <w:lang w:val="en-US"/>
        </w:rPr>
        <w:t>, thereby ensuring proper punishment and re</w:t>
      </w:r>
      <w:r w:rsidR="00595A1D" w:rsidRPr="00EA6C7A">
        <w:rPr>
          <w:rFonts w:ascii="Verdana" w:hAnsi="Verdana" w:cs="Arial"/>
          <w:sz w:val="16"/>
          <w:szCs w:val="16"/>
          <w:lang w:val="en-US"/>
        </w:rPr>
        <w:t>paration.</w:t>
      </w:r>
    </w:p>
    <w:p w14:paraId="20BF6B69" w14:textId="77777777" w:rsidR="00435615"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sz w:val="16"/>
          <w:szCs w:val="16"/>
          <w:lang w:val="en-US"/>
        </w:rPr>
        <w:t xml:space="preserve">Implement a system to produce appropriate disaggregated statistics, which will allow the design and evaluation of public policies on the prevention, </w:t>
      </w:r>
      <w:r w:rsidR="00595A1D" w:rsidRPr="00EA6C7A">
        <w:rPr>
          <w:rFonts w:ascii="Verdana" w:hAnsi="Verdana"/>
          <w:sz w:val="16"/>
          <w:szCs w:val="16"/>
          <w:lang w:val="en-US"/>
        </w:rPr>
        <w:t>punishment</w:t>
      </w:r>
      <w:r w:rsidRPr="00EA6C7A">
        <w:rPr>
          <w:rFonts w:ascii="Verdana" w:hAnsi="Verdana"/>
          <w:sz w:val="16"/>
          <w:szCs w:val="16"/>
          <w:lang w:val="en-US"/>
        </w:rPr>
        <w:t xml:space="preserve"> and e</w:t>
      </w:r>
      <w:r w:rsidR="00595A1D" w:rsidRPr="00EA6C7A">
        <w:rPr>
          <w:rFonts w:ascii="Verdana" w:hAnsi="Verdana"/>
          <w:sz w:val="16"/>
          <w:szCs w:val="16"/>
          <w:lang w:val="en-US"/>
        </w:rPr>
        <w:t>radica</w:t>
      </w:r>
      <w:r w:rsidRPr="00EA6C7A">
        <w:rPr>
          <w:rFonts w:ascii="Verdana" w:hAnsi="Verdana"/>
          <w:sz w:val="16"/>
          <w:szCs w:val="16"/>
          <w:lang w:val="en-US"/>
        </w:rPr>
        <w:t xml:space="preserve">tion of violence against women. </w:t>
      </w:r>
    </w:p>
    <w:p w14:paraId="6A8852D0" w14:textId="77777777" w:rsidR="00435615"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cs="Arial"/>
          <w:sz w:val="16"/>
          <w:szCs w:val="16"/>
          <w:lang w:val="en-US"/>
        </w:rPr>
        <w:t xml:space="preserve">Introduce reforms in the State’s educational programs, starting in the early formative years, so as to promote respect for women as equals and observance of their rights to non-violence and non-discrimination. </w:t>
      </w:r>
    </w:p>
    <w:p w14:paraId="0ADDF432" w14:textId="77777777" w:rsidR="005F5B74" w:rsidRPr="00EA6C7A" w:rsidRDefault="00435615" w:rsidP="00435615">
      <w:pPr>
        <w:numPr>
          <w:ilvl w:val="0"/>
          <w:numId w:val="16"/>
        </w:numPr>
        <w:tabs>
          <w:tab w:val="left" w:pos="1080"/>
          <w:tab w:val="left" w:pos="8190"/>
        </w:tabs>
        <w:spacing w:after="0" w:line="240" w:lineRule="auto"/>
        <w:ind w:right="450"/>
        <w:jc w:val="both"/>
        <w:rPr>
          <w:rFonts w:ascii="Verdana" w:hAnsi="Verdana"/>
          <w:sz w:val="16"/>
          <w:szCs w:val="16"/>
          <w:lang w:val="en-US"/>
        </w:rPr>
      </w:pPr>
      <w:r w:rsidRPr="00EA6C7A">
        <w:rPr>
          <w:rFonts w:ascii="Verdana" w:hAnsi="Verdana" w:cs="Arial"/>
          <w:sz w:val="16"/>
          <w:szCs w:val="16"/>
          <w:lang w:val="en-US"/>
        </w:rPr>
        <w:t>Adopt comprehensive public policies and integrated institutional programs designed to eliminate discriminatory stereotypes about the role of women and to promote the eradication of discriminatory socio-cultural patterns that prevent women’s full access to justice; this should include training programs for public officials in all sectors of the State, including education</w:t>
      </w:r>
      <w:r w:rsidR="00595A1D" w:rsidRPr="00EA6C7A">
        <w:rPr>
          <w:rFonts w:ascii="Verdana" w:hAnsi="Verdana" w:cs="Arial"/>
          <w:sz w:val="16"/>
          <w:szCs w:val="16"/>
          <w:lang w:val="en-US"/>
        </w:rPr>
        <w:t>,</w:t>
      </w:r>
      <w:r w:rsidRPr="00EA6C7A">
        <w:rPr>
          <w:rFonts w:ascii="Verdana" w:hAnsi="Verdana" w:cs="Arial"/>
          <w:sz w:val="16"/>
          <w:szCs w:val="16"/>
          <w:lang w:val="en-US"/>
        </w:rPr>
        <w:t xml:space="preserve"> administration of justice and police, as well as comprehensive policies on prevention.  </w:t>
      </w:r>
    </w:p>
    <w:p w14:paraId="7FEDD496" w14:textId="77777777" w:rsidR="005F5B74" w:rsidRPr="00EA6C7A" w:rsidRDefault="005F5B74" w:rsidP="005F5B74">
      <w:pPr>
        <w:tabs>
          <w:tab w:val="left" w:pos="2160"/>
        </w:tabs>
        <w:spacing w:after="0" w:line="240" w:lineRule="auto"/>
        <w:rPr>
          <w:rFonts w:ascii="Verdana" w:eastAsia="Verdana" w:hAnsi="Verdana" w:cs="Verdana"/>
          <w:sz w:val="20"/>
          <w:szCs w:val="20"/>
          <w:lang w:val="en-US"/>
        </w:rPr>
      </w:pPr>
    </w:p>
    <w:p w14:paraId="6201880F" w14:textId="77777777" w:rsidR="005F5B74" w:rsidRPr="00EA6C7A" w:rsidRDefault="005F5B74" w:rsidP="00E11A7C">
      <w:pPr>
        <w:pStyle w:val="Prrafodelista"/>
        <w:numPr>
          <w:ilvl w:val="1"/>
          <w:numId w:val="2"/>
        </w:numPr>
        <w:autoSpaceDE w:val="0"/>
        <w:autoSpaceDN w:val="0"/>
        <w:adjustRightInd w:val="0"/>
        <w:spacing w:after="0" w:line="240" w:lineRule="auto"/>
        <w:ind w:left="0" w:firstLine="360"/>
        <w:jc w:val="both"/>
        <w:rPr>
          <w:rFonts w:ascii="Verdana" w:eastAsia="Verdana" w:hAnsi="Verdana" w:cs="Verdana"/>
          <w:b/>
          <w:sz w:val="20"/>
          <w:szCs w:val="20"/>
          <w:lang w:val="en-US"/>
        </w:rPr>
      </w:pPr>
      <w:r w:rsidRPr="00EA6C7A">
        <w:rPr>
          <w:rFonts w:ascii="Verdana" w:eastAsia="Calibri" w:hAnsi="Verdana" w:cs="Arial"/>
          <w:i/>
          <w:color w:val="000000"/>
          <w:sz w:val="20"/>
          <w:szCs w:val="20"/>
          <w:lang w:val="en-US"/>
        </w:rPr>
        <w:t>Notifica</w:t>
      </w:r>
      <w:r w:rsidR="00435615" w:rsidRPr="00EA6C7A">
        <w:rPr>
          <w:rFonts w:ascii="Verdana" w:eastAsia="Calibri" w:hAnsi="Verdana" w:cs="Arial"/>
          <w:i/>
          <w:color w:val="000000"/>
          <w:sz w:val="20"/>
          <w:szCs w:val="20"/>
          <w:lang w:val="en-US"/>
        </w:rPr>
        <w:t>tion of the State</w:t>
      </w:r>
      <w:r w:rsidRPr="00EA6C7A">
        <w:rPr>
          <w:rFonts w:ascii="Verdana" w:eastAsia="Verdana" w:hAnsi="Verdana" w:cs="Verdana"/>
          <w:i/>
          <w:sz w:val="20"/>
          <w:szCs w:val="20"/>
          <w:lang w:val="en-US"/>
        </w:rPr>
        <w:t xml:space="preserve">. </w:t>
      </w:r>
      <w:r w:rsidR="00435615" w:rsidRPr="00EA6C7A">
        <w:rPr>
          <w:rFonts w:ascii="Verdana" w:eastAsia="Verdana" w:hAnsi="Verdana" w:cs="Verdana"/>
          <w:sz w:val="20"/>
          <w:szCs w:val="20"/>
          <w:lang w:val="en-US"/>
        </w:rPr>
        <w:t>Merits Report</w:t>
      </w:r>
      <w:r w:rsidRPr="00EA6C7A">
        <w:rPr>
          <w:rFonts w:ascii="Verdana" w:eastAsia="Verdana" w:hAnsi="Verdana" w:cs="Verdana"/>
          <w:sz w:val="20"/>
          <w:szCs w:val="20"/>
          <w:lang w:val="en-US"/>
        </w:rPr>
        <w:t xml:space="preserve"> No. 53/13 </w:t>
      </w:r>
      <w:r w:rsidR="00435615" w:rsidRPr="00EA6C7A">
        <w:rPr>
          <w:rFonts w:ascii="Verdana" w:eastAsia="Verdana" w:hAnsi="Verdana" w:cs="Verdana"/>
          <w:sz w:val="20"/>
          <w:szCs w:val="20"/>
          <w:lang w:val="en-US"/>
        </w:rPr>
        <w:t>was notified to the State on December 5, 2013.</w:t>
      </w:r>
    </w:p>
    <w:p w14:paraId="6FCD942B" w14:textId="77777777" w:rsidR="005F5B74" w:rsidRPr="00EA6C7A" w:rsidRDefault="005F5B74" w:rsidP="005F5B74">
      <w:pPr>
        <w:pStyle w:val="Prrafodelista"/>
        <w:spacing w:after="0" w:line="240" w:lineRule="auto"/>
        <w:ind w:left="0"/>
        <w:rPr>
          <w:rFonts w:ascii="Verdana" w:eastAsia="Verdana" w:hAnsi="Verdana" w:cs="Verdana"/>
          <w:b/>
          <w:sz w:val="20"/>
          <w:szCs w:val="20"/>
          <w:lang w:val="en-US"/>
        </w:rPr>
      </w:pPr>
    </w:p>
    <w:p w14:paraId="3CBA24F7" w14:textId="77777777" w:rsidR="005F5B74" w:rsidRPr="00EA6C7A" w:rsidRDefault="00E21639" w:rsidP="00E11A7C">
      <w:pPr>
        <w:pStyle w:val="Prrafodelista"/>
        <w:numPr>
          <w:ilvl w:val="1"/>
          <w:numId w:val="2"/>
        </w:numPr>
        <w:autoSpaceDE w:val="0"/>
        <w:autoSpaceDN w:val="0"/>
        <w:adjustRightInd w:val="0"/>
        <w:spacing w:after="0" w:line="240" w:lineRule="auto"/>
        <w:ind w:left="0" w:firstLine="360"/>
        <w:jc w:val="both"/>
        <w:rPr>
          <w:rFonts w:ascii="Verdana" w:eastAsia="Verdana" w:hAnsi="Verdana" w:cs="Verdana"/>
          <w:b/>
          <w:sz w:val="20"/>
          <w:szCs w:val="20"/>
          <w:lang w:val="en-US"/>
        </w:rPr>
      </w:pPr>
      <w:r w:rsidRPr="00EA6C7A">
        <w:rPr>
          <w:rFonts w:ascii="Verdana" w:eastAsia="Calibri" w:hAnsi="Verdana" w:cs="Arial"/>
          <w:i/>
          <w:color w:val="000000"/>
          <w:sz w:val="20"/>
          <w:szCs w:val="20"/>
          <w:lang w:val="en-US"/>
        </w:rPr>
        <w:t xml:space="preserve">Reports relating to the Commission’s recommendations: </w:t>
      </w:r>
      <w:r w:rsidRPr="00EA6C7A">
        <w:rPr>
          <w:rFonts w:ascii="Verdana" w:eastAsia="Verdana" w:hAnsi="Verdana" w:cs="Verdana"/>
          <w:sz w:val="20"/>
          <w:szCs w:val="20"/>
          <w:lang w:val="en-US"/>
        </w:rPr>
        <w:t>On January 13,</w:t>
      </w:r>
      <w:r w:rsidR="005F5B74" w:rsidRPr="00EA6C7A">
        <w:rPr>
          <w:rFonts w:ascii="Verdana" w:eastAsia="Verdana" w:hAnsi="Verdana" w:cs="Verdana"/>
          <w:sz w:val="20"/>
          <w:szCs w:val="20"/>
          <w:lang w:val="en-US"/>
        </w:rPr>
        <w:t xml:space="preserve"> 2014, </w:t>
      </w:r>
      <w:r w:rsidR="00B05AAA" w:rsidRPr="00EA6C7A">
        <w:rPr>
          <w:rFonts w:ascii="Verdana" w:hAnsi="Verdana"/>
          <w:sz w:val="20"/>
          <w:szCs w:val="20"/>
          <w:lang w:val="en-US"/>
        </w:rPr>
        <w:t xml:space="preserve">Jorge Rolando Velásquez Durán </w:t>
      </w:r>
      <w:r w:rsidRPr="00EA6C7A">
        <w:rPr>
          <w:rFonts w:ascii="Verdana" w:hAnsi="Verdana"/>
          <w:sz w:val="20"/>
          <w:szCs w:val="20"/>
          <w:lang w:val="en-US"/>
        </w:rPr>
        <w:t>and</w:t>
      </w:r>
      <w:r w:rsidR="00B05AAA" w:rsidRPr="00EA6C7A">
        <w:rPr>
          <w:rFonts w:ascii="Verdana" w:hAnsi="Verdana"/>
          <w:sz w:val="20"/>
          <w:szCs w:val="20"/>
          <w:lang w:val="en-US"/>
        </w:rPr>
        <w:t xml:space="preserve"> Carlos Antonio Pop AC</w:t>
      </w:r>
      <w:r w:rsidR="00B05AAA"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 xml:space="preserve">indicated their position </w:t>
      </w:r>
      <w:r w:rsidR="00595A1D" w:rsidRPr="00EA6C7A">
        <w:rPr>
          <w:rFonts w:ascii="Verdana" w:eastAsia="Verdana" w:hAnsi="Verdana" w:cs="Verdana"/>
          <w:sz w:val="20"/>
          <w:szCs w:val="20"/>
          <w:lang w:val="en-US"/>
        </w:rPr>
        <w:t>on</w:t>
      </w:r>
      <w:r w:rsidR="002F3848" w:rsidRPr="00EA6C7A">
        <w:rPr>
          <w:rFonts w:ascii="Verdana" w:eastAsia="Verdana" w:hAnsi="Verdana" w:cs="Verdana"/>
          <w:sz w:val="20"/>
          <w:szCs w:val="20"/>
          <w:lang w:val="en-US"/>
        </w:rPr>
        <w:t xml:space="preserve"> Merits Report </w:t>
      </w:r>
      <w:r w:rsidR="005F5B74" w:rsidRPr="00EA6C7A">
        <w:rPr>
          <w:rFonts w:ascii="Verdana" w:eastAsia="Verdana" w:hAnsi="Verdana" w:cs="Verdana"/>
          <w:sz w:val="20"/>
          <w:szCs w:val="20"/>
          <w:lang w:val="en-US"/>
        </w:rPr>
        <w:t xml:space="preserve">53/13. </w:t>
      </w:r>
      <w:r w:rsidR="002F3848" w:rsidRPr="00EA6C7A">
        <w:rPr>
          <w:rFonts w:ascii="Verdana" w:eastAsia="Verdana" w:hAnsi="Verdana" w:cs="Verdana"/>
          <w:sz w:val="20"/>
          <w:szCs w:val="20"/>
          <w:lang w:val="en-US"/>
        </w:rPr>
        <w:t>According to</w:t>
      </w:r>
      <w:r w:rsidR="00637BA6"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the Commission</w:t>
      </w:r>
      <w:r w:rsidR="00637BA6" w:rsidRPr="00EA6C7A">
        <w:rPr>
          <w:rFonts w:ascii="Verdana" w:eastAsia="Verdana" w:hAnsi="Verdana" w:cs="Verdana"/>
          <w:sz w:val="20"/>
          <w:szCs w:val="20"/>
          <w:lang w:val="en-US"/>
        </w:rPr>
        <w:t xml:space="preserve">, </w:t>
      </w:r>
      <w:r w:rsidR="002F3848" w:rsidRPr="00EA6C7A">
        <w:rPr>
          <w:rFonts w:ascii="Verdana" w:eastAsia="Verdana" w:hAnsi="Verdana" w:cs="Verdana"/>
          <w:sz w:val="20"/>
          <w:szCs w:val="20"/>
          <w:lang w:val="en-US"/>
        </w:rPr>
        <w:t>on February 5,</w:t>
      </w:r>
      <w:r w:rsidR="005F5B74" w:rsidRPr="00EA6C7A">
        <w:rPr>
          <w:rFonts w:ascii="Verdana" w:eastAsia="Verdana" w:hAnsi="Verdana" w:cs="Verdana"/>
          <w:sz w:val="20"/>
          <w:szCs w:val="20"/>
          <w:lang w:val="en-US"/>
        </w:rPr>
        <w:t xml:space="preserve"> 2014</w:t>
      </w:r>
      <w:r w:rsidR="002F3848" w:rsidRPr="00EA6C7A">
        <w:rPr>
          <w:rFonts w:ascii="Verdana" w:eastAsia="Verdana" w:hAnsi="Verdana" w:cs="Verdana"/>
          <w:sz w:val="20"/>
          <w:szCs w:val="20"/>
          <w:lang w:val="en-US"/>
        </w:rPr>
        <w:t>,</w:t>
      </w:r>
      <w:r w:rsidR="005F5B74" w:rsidRPr="00EA6C7A">
        <w:rPr>
          <w:rFonts w:ascii="Verdana" w:eastAsia="Verdana" w:hAnsi="Verdana" w:cs="Verdana"/>
          <w:sz w:val="20"/>
          <w:szCs w:val="20"/>
          <w:lang w:val="en-US"/>
        </w:rPr>
        <w:t xml:space="preserve"> </w:t>
      </w:r>
      <w:r w:rsidR="002F3848" w:rsidRPr="00EA6C7A">
        <w:rPr>
          <w:rFonts w:ascii="Verdana" w:eastAsia="Verdana" w:hAnsi="Verdana" w:cs="Verdana"/>
          <w:sz w:val="20"/>
          <w:szCs w:val="20"/>
          <w:lang w:val="en-US"/>
        </w:rPr>
        <w:t>the State</w:t>
      </w:r>
      <w:r w:rsidR="005F5B74" w:rsidRPr="00EA6C7A">
        <w:rPr>
          <w:rFonts w:ascii="Verdana" w:eastAsia="Verdana" w:hAnsi="Verdana" w:cs="Verdana"/>
          <w:sz w:val="20"/>
          <w:szCs w:val="20"/>
          <w:lang w:val="en-US"/>
        </w:rPr>
        <w:t xml:space="preserve"> </w:t>
      </w:r>
      <w:r w:rsidR="002F3848" w:rsidRPr="00EA6C7A">
        <w:rPr>
          <w:rFonts w:ascii="Verdana" w:eastAsia="Verdana" w:hAnsi="Verdana" w:cs="Verdana"/>
          <w:sz w:val="20"/>
          <w:szCs w:val="20"/>
          <w:lang w:val="en-US"/>
        </w:rPr>
        <w:t>forwarded a report in which it “contested the conclusions of the Merits Report […] concerning its international responsibility and indicated that, consequently, it was not in order to establish measures of reparation for the victim’s next of kin.</w:t>
      </w:r>
      <w:r w:rsidR="005F5B74" w:rsidRPr="00EA6C7A">
        <w:rPr>
          <w:rFonts w:ascii="Verdana" w:eastAsia="Calibri" w:hAnsi="Verdana" w:cs="Arial"/>
          <w:sz w:val="20"/>
          <w:szCs w:val="20"/>
          <w:lang w:val="en-US"/>
        </w:rPr>
        <w:t>”</w:t>
      </w:r>
    </w:p>
    <w:p w14:paraId="4C28EE92" w14:textId="77777777" w:rsidR="005F5B74" w:rsidRPr="00EA6C7A" w:rsidRDefault="005F5B74" w:rsidP="005F5B74">
      <w:pPr>
        <w:pStyle w:val="Prrafodelista"/>
        <w:spacing w:line="240" w:lineRule="auto"/>
        <w:ind w:left="0"/>
        <w:rPr>
          <w:rFonts w:ascii="Verdana" w:eastAsia="Verdana" w:hAnsi="Verdana" w:cs="Verdana"/>
          <w:b/>
          <w:sz w:val="20"/>
          <w:szCs w:val="20"/>
          <w:lang w:val="en-US"/>
        </w:rPr>
      </w:pPr>
    </w:p>
    <w:p w14:paraId="595544E2" w14:textId="77777777" w:rsidR="005F5B74" w:rsidRPr="00EA6C7A" w:rsidRDefault="002F3848" w:rsidP="002F3848">
      <w:pPr>
        <w:pStyle w:val="Prrafodelista"/>
        <w:numPr>
          <w:ilvl w:val="0"/>
          <w:numId w:val="3"/>
        </w:numPr>
        <w:spacing w:after="0" w:line="240" w:lineRule="auto"/>
        <w:ind w:left="0" w:firstLine="0"/>
        <w:jc w:val="both"/>
        <w:rPr>
          <w:rFonts w:ascii="Verdana" w:eastAsia="Verdana" w:hAnsi="Verdana" w:cs="Verdana"/>
          <w:b/>
          <w:sz w:val="20"/>
          <w:szCs w:val="20"/>
          <w:lang w:val="en-US"/>
        </w:rPr>
      </w:pPr>
      <w:r w:rsidRPr="00EA6C7A">
        <w:rPr>
          <w:rFonts w:ascii="Verdana" w:eastAsia="Calibri" w:hAnsi="Verdana" w:cs="Arial"/>
          <w:i/>
          <w:color w:val="000000"/>
          <w:sz w:val="20"/>
          <w:szCs w:val="20"/>
          <w:lang w:val="en-US"/>
        </w:rPr>
        <w:t>Submission to</w:t>
      </w:r>
      <w:r w:rsidR="005F5B74" w:rsidRPr="00EA6C7A">
        <w:rPr>
          <w:rFonts w:ascii="Verdana" w:eastAsia="Verdana" w:hAnsi="Verdana" w:cs="Verdana"/>
          <w:i/>
          <w:sz w:val="20"/>
          <w:szCs w:val="20"/>
          <w:lang w:val="en-US"/>
        </w:rPr>
        <w:t xml:space="preserve"> </w:t>
      </w:r>
      <w:r w:rsidR="0096418F" w:rsidRPr="00EA6C7A">
        <w:rPr>
          <w:rFonts w:ascii="Verdana" w:eastAsia="Verdana" w:hAnsi="Verdana" w:cs="Verdana"/>
          <w:i/>
          <w:sz w:val="20"/>
          <w:szCs w:val="20"/>
          <w:lang w:val="en-US"/>
        </w:rPr>
        <w:t>the Court</w:t>
      </w:r>
      <w:r w:rsidR="005F5B74" w:rsidRPr="00EA6C7A">
        <w:rPr>
          <w:rFonts w:ascii="Verdana" w:eastAsia="Verdana" w:hAnsi="Verdana" w:cs="Verdana"/>
          <w:i/>
          <w:sz w:val="20"/>
          <w:szCs w:val="20"/>
          <w:lang w:val="en-US"/>
        </w:rPr>
        <w:t>.</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On March 5,</w:t>
      </w:r>
      <w:r w:rsidR="005F5B74" w:rsidRPr="00EA6C7A">
        <w:rPr>
          <w:rFonts w:ascii="Verdana" w:eastAsia="Verdana" w:hAnsi="Verdana" w:cs="Verdana"/>
          <w:sz w:val="20"/>
          <w:szCs w:val="20"/>
          <w:lang w:val="en-US"/>
        </w:rPr>
        <w:t xml:space="preserve"> 2014</w:t>
      </w:r>
      <w:r w:rsidRPr="00EA6C7A">
        <w:rPr>
          <w:rFonts w:ascii="Verdana" w:eastAsia="Verdana" w:hAnsi="Verdana" w:cs="Verdana"/>
          <w:sz w:val="20"/>
          <w:szCs w:val="20"/>
          <w:lang w:val="en-US"/>
        </w:rPr>
        <w:t>,</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the Commission</w:t>
      </w:r>
      <w:r w:rsidR="005F5B74" w:rsidRPr="00EA6C7A">
        <w:rPr>
          <w:rFonts w:ascii="Verdana" w:eastAsia="Verdana" w:hAnsi="Verdana" w:cs="Verdana"/>
          <w:sz w:val="20"/>
          <w:szCs w:val="20"/>
          <w:lang w:val="en-US"/>
        </w:rPr>
        <w:t xml:space="preserve"> s</w:t>
      </w:r>
      <w:r w:rsidRPr="00EA6C7A">
        <w:rPr>
          <w:rFonts w:ascii="Verdana" w:eastAsia="Verdana" w:hAnsi="Verdana" w:cs="Verdana"/>
          <w:sz w:val="20"/>
          <w:szCs w:val="20"/>
          <w:lang w:val="en-US"/>
        </w:rPr>
        <w:t>ubmitted the ca</w:t>
      </w:r>
      <w:r w:rsidR="00595A1D" w:rsidRPr="00EA6C7A">
        <w:rPr>
          <w:rFonts w:ascii="Verdana" w:eastAsia="Verdana" w:hAnsi="Verdana" w:cs="Verdana"/>
          <w:sz w:val="20"/>
          <w:szCs w:val="20"/>
          <w:lang w:val="en-US"/>
        </w:rPr>
        <w:t>s</w:t>
      </w:r>
      <w:r w:rsidRPr="00EA6C7A">
        <w:rPr>
          <w:rFonts w:ascii="Verdana" w:eastAsia="Verdana" w:hAnsi="Verdana" w:cs="Verdana"/>
          <w:sz w:val="20"/>
          <w:szCs w:val="20"/>
          <w:lang w:val="en-US"/>
        </w:rPr>
        <w:t xml:space="preserve">e to the jurisdiction </w:t>
      </w:r>
      <w:r w:rsidR="0096418F" w:rsidRPr="00EA6C7A">
        <w:rPr>
          <w:rFonts w:ascii="Verdana" w:eastAsia="Verdana" w:hAnsi="Verdana" w:cs="Verdana"/>
          <w:sz w:val="20"/>
          <w:szCs w:val="20"/>
          <w:lang w:val="en-US"/>
        </w:rPr>
        <w:t>of the Inter-American Court</w:t>
      </w:r>
      <w:r w:rsidRPr="00EA6C7A">
        <w:rPr>
          <w:rFonts w:ascii="Verdana" w:eastAsia="Verdana" w:hAnsi="Verdana" w:cs="Verdana"/>
          <w:sz w:val="20"/>
          <w:szCs w:val="20"/>
          <w:lang w:val="en-US"/>
        </w:rPr>
        <w:t xml:space="preserve"> by forwarding Merits Report</w:t>
      </w:r>
      <w:r w:rsidR="005F5B74" w:rsidRPr="00EA6C7A">
        <w:rPr>
          <w:rFonts w:ascii="Verdana" w:eastAsia="Verdana" w:hAnsi="Verdana" w:cs="Verdana"/>
          <w:sz w:val="20"/>
          <w:szCs w:val="20"/>
          <w:lang w:val="en-US"/>
        </w:rPr>
        <w:t xml:space="preserve"> No. 53/13, “</w:t>
      </w:r>
      <w:r w:rsidRPr="00EA6C7A">
        <w:rPr>
          <w:rFonts w:ascii="Verdana" w:eastAsia="Verdana" w:hAnsi="Verdana" w:cs="Verdana"/>
          <w:sz w:val="20"/>
          <w:szCs w:val="20"/>
          <w:lang w:val="en-US"/>
        </w:rPr>
        <w:t xml:space="preserve">owing to the need to obtain justice for the victims in view of the </w:t>
      </w:r>
      <w:r w:rsidRPr="00EA6C7A">
        <w:rPr>
          <w:rFonts w:ascii="Verdana" w:eastAsia="Calibri" w:hAnsi="Verdana" w:cs="Arial"/>
          <w:sz w:val="20"/>
          <w:szCs w:val="20"/>
          <w:lang w:val="en-US"/>
        </w:rPr>
        <w:t>State</w:t>
      </w:r>
      <w:r w:rsidR="005F5B74" w:rsidRPr="00EA6C7A">
        <w:rPr>
          <w:rFonts w:ascii="Verdana" w:eastAsia="Calibri" w:hAnsi="Verdana" w:cs="Arial"/>
          <w:sz w:val="20"/>
          <w:szCs w:val="20"/>
          <w:lang w:val="en-US"/>
        </w:rPr>
        <w:t xml:space="preserve"> </w:t>
      </w:r>
      <w:r w:rsidR="00595A1D" w:rsidRPr="00EA6C7A">
        <w:rPr>
          <w:rFonts w:ascii="Verdana" w:eastAsia="Calibri" w:hAnsi="Verdana" w:cs="Arial"/>
          <w:sz w:val="20"/>
          <w:szCs w:val="20"/>
          <w:lang w:val="en-US"/>
        </w:rPr>
        <w:t>of</w:t>
      </w:r>
      <w:r w:rsidR="005F5B74" w:rsidRPr="00EA6C7A">
        <w:rPr>
          <w:rFonts w:ascii="Verdana" w:eastAsia="Calibri" w:hAnsi="Verdana" w:cs="Arial"/>
          <w:sz w:val="20"/>
          <w:szCs w:val="20"/>
          <w:lang w:val="en-US"/>
        </w:rPr>
        <w:t xml:space="preserve"> Guatemala</w:t>
      </w:r>
      <w:r w:rsidRPr="00EA6C7A">
        <w:rPr>
          <w:rFonts w:ascii="Verdana" w:eastAsia="Calibri" w:hAnsi="Verdana" w:cs="Arial"/>
          <w:sz w:val="20"/>
          <w:szCs w:val="20"/>
          <w:lang w:val="en-US"/>
        </w:rPr>
        <w:t xml:space="preserve">’s failure to comply with </w:t>
      </w:r>
      <w:r w:rsidR="00595A1D" w:rsidRPr="00EA6C7A">
        <w:rPr>
          <w:rFonts w:ascii="Verdana" w:eastAsia="Calibri" w:hAnsi="Verdana" w:cs="Arial"/>
          <w:sz w:val="20"/>
          <w:szCs w:val="20"/>
          <w:lang w:val="en-US"/>
        </w:rPr>
        <w:t>its</w:t>
      </w:r>
      <w:r w:rsidRPr="00EA6C7A">
        <w:rPr>
          <w:rFonts w:ascii="Verdana" w:eastAsia="Calibri" w:hAnsi="Verdana" w:cs="Arial"/>
          <w:sz w:val="20"/>
          <w:szCs w:val="20"/>
          <w:lang w:val="en-US"/>
        </w:rPr>
        <w:t xml:space="preserve"> recommendations.</w:t>
      </w:r>
      <w:r w:rsidR="005F5B74" w:rsidRPr="00EA6C7A">
        <w:rPr>
          <w:rFonts w:ascii="Verdana" w:eastAsia="Calibri" w:hAnsi="Verdana" w:cs="Arial"/>
          <w:sz w:val="20"/>
          <w:szCs w:val="20"/>
          <w:lang w:val="en-US"/>
        </w:rPr>
        <w:t>”</w:t>
      </w:r>
      <w:r w:rsidR="005F5B74" w:rsidRPr="00EA6C7A">
        <w:rPr>
          <w:rFonts w:ascii="Verdana" w:eastAsia="Calibri" w:hAnsi="Verdana" w:cs="Arial"/>
          <w:b/>
          <w:sz w:val="20"/>
          <w:szCs w:val="20"/>
          <w:lang w:val="en-US"/>
        </w:rPr>
        <w:t xml:space="preserve"> </w:t>
      </w:r>
      <w:r w:rsidR="0096418F" w:rsidRPr="00EA6C7A">
        <w:rPr>
          <w:rFonts w:ascii="Verdana" w:eastAsia="Verdana" w:hAnsi="Verdana" w:cs="Verdana"/>
          <w:sz w:val="20"/>
          <w:szCs w:val="20"/>
          <w:lang w:val="en-US"/>
        </w:rPr>
        <w:t>The Commission</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 xml:space="preserve">appointed Commissioner </w:t>
      </w:r>
      <w:r w:rsidR="005F5B74" w:rsidRPr="00EA6C7A">
        <w:rPr>
          <w:rFonts w:ascii="Verdana" w:eastAsia="Calibri" w:hAnsi="Verdana" w:cs="Arial"/>
          <w:sz w:val="20"/>
          <w:szCs w:val="20"/>
          <w:lang w:val="en-US"/>
        </w:rPr>
        <w:t xml:space="preserve">James Cavallaro </w:t>
      </w:r>
      <w:r w:rsidRPr="00EA6C7A">
        <w:rPr>
          <w:rFonts w:ascii="Verdana" w:eastAsia="Calibri" w:hAnsi="Verdana" w:cs="Arial"/>
          <w:sz w:val="20"/>
          <w:szCs w:val="20"/>
          <w:lang w:val="en-US"/>
        </w:rPr>
        <w:t>and Executive</w:t>
      </w:r>
      <w:r w:rsidR="005F5B74" w:rsidRPr="00EA6C7A">
        <w:rPr>
          <w:rFonts w:ascii="Verdana" w:eastAsia="Calibri" w:hAnsi="Verdana" w:cs="Arial"/>
          <w:sz w:val="20"/>
          <w:szCs w:val="20"/>
          <w:lang w:val="en-US"/>
        </w:rPr>
        <w:t xml:space="preserve"> </w:t>
      </w:r>
      <w:r w:rsidR="0096418F" w:rsidRPr="00EA6C7A">
        <w:rPr>
          <w:rFonts w:ascii="Verdana" w:eastAsia="Calibri" w:hAnsi="Verdana" w:cs="Arial"/>
          <w:sz w:val="20"/>
          <w:szCs w:val="20"/>
          <w:lang w:val="en-US"/>
        </w:rPr>
        <w:t>Secretary</w:t>
      </w:r>
      <w:r w:rsidR="005F5B74" w:rsidRPr="00EA6C7A">
        <w:rPr>
          <w:rFonts w:ascii="Verdana" w:eastAsia="Calibri" w:hAnsi="Verdana" w:cs="Arial"/>
          <w:sz w:val="20"/>
          <w:szCs w:val="20"/>
          <w:lang w:val="en-US"/>
        </w:rPr>
        <w:t>, Emilio Álvarez Icaza</w:t>
      </w:r>
      <w:r w:rsidRPr="00EA6C7A">
        <w:rPr>
          <w:rFonts w:ascii="Verdana" w:eastAsia="Calibri" w:hAnsi="Verdana" w:cs="Arial"/>
          <w:sz w:val="20"/>
          <w:szCs w:val="20"/>
          <w:lang w:val="en-US"/>
        </w:rPr>
        <w:t>, as its delegates before the Court</w:t>
      </w:r>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Also</w:t>
      </w:r>
      <w:r w:rsidR="005F5B74" w:rsidRPr="00EA6C7A">
        <w:rPr>
          <w:rFonts w:ascii="Verdana" w:eastAsia="Calibri" w:hAnsi="Verdana" w:cs="Arial"/>
          <w:sz w:val="20"/>
          <w:szCs w:val="20"/>
          <w:lang w:val="en-US"/>
        </w:rPr>
        <w:t>, Elizabeth Abi-</w:t>
      </w:r>
      <w:proofErr w:type="spellStart"/>
      <w:r w:rsidR="005F5B74" w:rsidRPr="00EA6C7A">
        <w:rPr>
          <w:rFonts w:ascii="Verdana" w:eastAsia="Calibri" w:hAnsi="Verdana" w:cs="Arial"/>
          <w:sz w:val="20"/>
          <w:szCs w:val="20"/>
          <w:lang w:val="en-US"/>
        </w:rPr>
        <w:t>Mershed</w:t>
      </w:r>
      <w:proofErr w:type="spellEnd"/>
      <w:r w:rsidR="005F5B74" w:rsidRPr="00EA6C7A">
        <w:rPr>
          <w:rFonts w:ascii="Verdana" w:eastAsia="Calibri" w:hAnsi="Verdana" w:cs="Arial"/>
          <w:sz w:val="20"/>
          <w:szCs w:val="20"/>
          <w:lang w:val="en-US"/>
        </w:rPr>
        <w:t xml:space="preserve">, </w:t>
      </w:r>
      <w:r w:rsidRPr="00EA6C7A">
        <w:rPr>
          <w:rFonts w:ascii="Verdana" w:eastAsia="Calibri" w:hAnsi="Verdana" w:cs="Arial"/>
          <w:sz w:val="20"/>
          <w:szCs w:val="20"/>
          <w:lang w:val="en-US"/>
        </w:rPr>
        <w:t xml:space="preserve">Deputy Executive Secretary, and </w:t>
      </w:r>
      <w:r w:rsidR="005F5B74" w:rsidRPr="00EA6C7A">
        <w:rPr>
          <w:rFonts w:ascii="Verdana" w:eastAsia="Calibri" w:hAnsi="Verdana" w:cs="Arial"/>
          <w:sz w:val="20"/>
          <w:szCs w:val="20"/>
          <w:lang w:val="en-US"/>
        </w:rPr>
        <w:t xml:space="preserve">Silvia Serrano Guzmán </w:t>
      </w:r>
      <w:r w:rsidRPr="00EA6C7A">
        <w:rPr>
          <w:rFonts w:ascii="Verdana" w:eastAsia="Calibri" w:hAnsi="Verdana" w:cs="Arial"/>
          <w:sz w:val="20"/>
          <w:szCs w:val="20"/>
          <w:lang w:val="en-US"/>
        </w:rPr>
        <w:t>and</w:t>
      </w:r>
      <w:r w:rsidR="005F5B74" w:rsidRPr="00EA6C7A">
        <w:rPr>
          <w:rFonts w:ascii="Verdana" w:eastAsia="Calibri" w:hAnsi="Verdana" w:cs="Arial"/>
          <w:sz w:val="20"/>
          <w:szCs w:val="20"/>
          <w:lang w:val="en-US"/>
        </w:rPr>
        <w:t xml:space="preserve"> Fiorella </w:t>
      </w:r>
      <w:proofErr w:type="spellStart"/>
      <w:r w:rsidR="005F5B74" w:rsidRPr="00EA6C7A">
        <w:rPr>
          <w:rFonts w:ascii="Verdana" w:eastAsia="Calibri" w:hAnsi="Verdana" w:cs="Arial"/>
          <w:sz w:val="20"/>
          <w:szCs w:val="20"/>
          <w:lang w:val="en-US"/>
        </w:rPr>
        <w:t>Melzi</w:t>
      </w:r>
      <w:proofErr w:type="spellEnd"/>
      <w:r w:rsidRPr="00EA6C7A">
        <w:rPr>
          <w:rFonts w:ascii="Verdana" w:eastAsia="Calibri" w:hAnsi="Verdana" w:cs="Arial"/>
          <w:sz w:val="20"/>
          <w:szCs w:val="20"/>
          <w:lang w:val="en-US"/>
        </w:rPr>
        <w:t>, lawyers of the Commission’s Executive Secretariat w</w:t>
      </w:r>
      <w:r w:rsidR="00595A1D" w:rsidRPr="00EA6C7A">
        <w:rPr>
          <w:rFonts w:ascii="Verdana" w:eastAsia="Calibri" w:hAnsi="Verdana" w:cs="Arial"/>
          <w:sz w:val="20"/>
          <w:szCs w:val="20"/>
          <w:lang w:val="en-US"/>
        </w:rPr>
        <w:t>ould</w:t>
      </w:r>
      <w:r w:rsidRPr="00EA6C7A">
        <w:rPr>
          <w:rFonts w:ascii="Verdana" w:eastAsia="Calibri" w:hAnsi="Verdana" w:cs="Arial"/>
          <w:sz w:val="20"/>
          <w:szCs w:val="20"/>
          <w:lang w:val="en-US"/>
        </w:rPr>
        <w:t xml:space="preserve"> act as legal advisors. </w:t>
      </w:r>
    </w:p>
    <w:p w14:paraId="374076E2" w14:textId="77777777" w:rsidR="005F5B74" w:rsidRPr="00EA6C7A" w:rsidRDefault="005F5B74" w:rsidP="005F5B74">
      <w:pPr>
        <w:pStyle w:val="Prrafodelista"/>
        <w:spacing w:line="240" w:lineRule="auto"/>
        <w:ind w:left="0"/>
        <w:rPr>
          <w:rFonts w:ascii="Verdana" w:eastAsia="Verdana" w:hAnsi="Verdana" w:cs="Verdana"/>
          <w:b/>
          <w:sz w:val="20"/>
          <w:szCs w:val="20"/>
          <w:lang w:val="en-US"/>
        </w:rPr>
      </w:pPr>
    </w:p>
    <w:p w14:paraId="3F1D7B57" w14:textId="77777777" w:rsidR="005F5B74" w:rsidRPr="00EA6C7A" w:rsidRDefault="002F3848" w:rsidP="00E11A7C">
      <w:pPr>
        <w:pStyle w:val="Prrafodelista"/>
        <w:numPr>
          <w:ilvl w:val="0"/>
          <w:numId w:val="3"/>
        </w:numPr>
        <w:spacing w:after="0" w:line="240" w:lineRule="auto"/>
        <w:ind w:left="0" w:firstLine="0"/>
        <w:jc w:val="both"/>
        <w:rPr>
          <w:rFonts w:ascii="Verdana" w:eastAsia="Verdana" w:hAnsi="Verdana" w:cs="Verdana"/>
          <w:b/>
          <w:sz w:val="20"/>
          <w:szCs w:val="20"/>
          <w:lang w:val="en-US"/>
        </w:rPr>
      </w:pPr>
      <w:r w:rsidRPr="00EA6C7A">
        <w:rPr>
          <w:rFonts w:ascii="Verdana" w:eastAsia="Verdana" w:hAnsi="Verdana" w:cs="Verdana"/>
          <w:i/>
          <w:sz w:val="20"/>
          <w:szCs w:val="20"/>
          <w:lang w:val="en-US"/>
        </w:rPr>
        <w:t xml:space="preserve">Requests </w:t>
      </w:r>
      <w:r w:rsidR="0096418F" w:rsidRPr="00EA6C7A">
        <w:rPr>
          <w:rFonts w:ascii="Verdana" w:eastAsia="Verdana" w:hAnsi="Verdana" w:cs="Verdana"/>
          <w:i/>
          <w:sz w:val="20"/>
          <w:szCs w:val="20"/>
          <w:lang w:val="en-US"/>
        </w:rPr>
        <w:t>of the Inter-American Commission</w:t>
      </w:r>
      <w:r w:rsidR="005F5B74" w:rsidRPr="00EA6C7A">
        <w:rPr>
          <w:rFonts w:ascii="Verdana" w:eastAsia="Verdana" w:hAnsi="Verdana" w:cs="Verdana"/>
          <w:i/>
          <w:sz w:val="20"/>
          <w:szCs w:val="20"/>
          <w:lang w:val="en-US"/>
        </w:rPr>
        <w:t xml:space="preserve">. </w:t>
      </w:r>
      <w:r w:rsidRPr="00EA6C7A">
        <w:rPr>
          <w:rFonts w:ascii="Verdana" w:eastAsia="Verdana" w:hAnsi="Verdana" w:cs="Verdana"/>
          <w:sz w:val="20"/>
          <w:szCs w:val="20"/>
          <w:lang w:val="en-US"/>
        </w:rPr>
        <w:t>Based on the above,</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the Commission</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asked</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the Court</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to dec</w:t>
      </w:r>
      <w:r w:rsidR="005175C9" w:rsidRPr="00EA6C7A">
        <w:rPr>
          <w:rFonts w:ascii="Verdana" w:eastAsia="Verdana" w:hAnsi="Verdana" w:cs="Verdana"/>
          <w:sz w:val="20"/>
          <w:szCs w:val="20"/>
          <w:lang w:val="en-US"/>
        </w:rPr>
        <w:t>lar</w:t>
      </w:r>
      <w:r w:rsidRPr="00EA6C7A">
        <w:rPr>
          <w:rFonts w:ascii="Verdana" w:eastAsia="Verdana" w:hAnsi="Verdana" w:cs="Verdana"/>
          <w:sz w:val="20"/>
          <w:szCs w:val="20"/>
          <w:lang w:val="en-US"/>
        </w:rPr>
        <w:t xml:space="preserve">e the international responsibility of Guatemala for the violations indicated in its Merits Report </w:t>
      </w:r>
      <w:r w:rsidR="005F5B74" w:rsidRPr="00EA6C7A">
        <w:rPr>
          <w:rFonts w:ascii="Verdana" w:eastAsia="Verdana" w:hAnsi="Verdana" w:cs="Verdana"/>
          <w:sz w:val="20"/>
          <w:szCs w:val="20"/>
          <w:lang w:val="en-US"/>
        </w:rPr>
        <w:t>(</w:t>
      </w:r>
      <w:r w:rsidR="005F5B74" w:rsidRPr="00EA6C7A">
        <w:rPr>
          <w:rFonts w:ascii="Verdana" w:eastAsia="Verdana" w:hAnsi="Verdana" w:cs="Verdana"/>
          <w:i/>
          <w:sz w:val="20"/>
          <w:szCs w:val="20"/>
          <w:lang w:val="en-US"/>
        </w:rPr>
        <w:t xml:space="preserve">supra </w:t>
      </w:r>
      <w:r w:rsidRPr="00EA6C7A">
        <w:rPr>
          <w:rFonts w:ascii="Verdana" w:eastAsia="Verdana" w:hAnsi="Verdana" w:cs="Verdana"/>
          <w:sz w:val="20"/>
          <w:szCs w:val="20"/>
          <w:lang w:val="en-US"/>
        </w:rPr>
        <w:t>para.</w:t>
      </w:r>
      <w:r w:rsidR="005F5B74" w:rsidRPr="00EA6C7A">
        <w:rPr>
          <w:rFonts w:ascii="Verdana" w:eastAsia="Verdana" w:hAnsi="Verdana" w:cs="Verdana"/>
          <w:sz w:val="20"/>
          <w:szCs w:val="20"/>
          <w:lang w:val="en-US"/>
        </w:rPr>
        <w:t xml:space="preserve"> </w:t>
      </w:r>
      <w:r w:rsidR="00C9302C" w:rsidRPr="00EA6C7A">
        <w:rPr>
          <w:rFonts w:ascii="Verdana" w:eastAsia="Verdana" w:hAnsi="Verdana" w:cs="Verdana"/>
          <w:sz w:val="20"/>
          <w:szCs w:val="20"/>
          <w:lang w:val="en-US"/>
        </w:rPr>
        <w:t>3.c</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It also asked</w:t>
      </w:r>
      <w:r w:rsidR="005F5B74" w:rsidRPr="00EA6C7A">
        <w:rPr>
          <w:rFonts w:ascii="Verdana" w:eastAsia="Verdana" w:hAnsi="Verdana" w:cs="Verdana"/>
          <w:sz w:val="20"/>
          <w:szCs w:val="20"/>
          <w:lang w:val="en-US"/>
        </w:rPr>
        <w:t xml:space="preserve"> </w:t>
      </w:r>
      <w:r w:rsidR="0096418F" w:rsidRPr="00EA6C7A">
        <w:rPr>
          <w:rFonts w:ascii="Verdana" w:eastAsia="Verdana" w:hAnsi="Verdana" w:cs="Verdana"/>
          <w:sz w:val="20"/>
          <w:szCs w:val="20"/>
          <w:lang w:val="en-US"/>
        </w:rPr>
        <w:t>the Court</w:t>
      </w:r>
      <w:r w:rsidR="005F5B74"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to order the State to make certain reparation</w:t>
      </w:r>
      <w:r w:rsidR="00595A1D" w:rsidRPr="00EA6C7A">
        <w:rPr>
          <w:rFonts w:ascii="Verdana" w:eastAsia="Verdana" w:hAnsi="Verdana" w:cs="Verdana"/>
          <w:sz w:val="20"/>
          <w:szCs w:val="20"/>
          <w:lang w:val="en-US"/>
        </w:rPr>
        <w:t>s</w:t>
      </w:r>
      <w:r w:rsidRPr="00EA6C7A">
        <w:rPr>
          <w:rFonts w:ascii="Verdana" w:eastAsia="Verdana" w:hAnsi="Verdana" w:cs="Verdana"/>
          <w:sz w:val="20"/>
          <w:szCs w:val="20"/>
          <w:lang w:val="en-US"/>
        </w:rPr>
        <w:t>, which are described and analyzed in Chapter VIII of this judgment.</w:t>
      </w:r>
    </w:p>
    <w:p w14:paraId="69119E22" w14:textId="77777777" w:rsidR="005F5B74" w:rsidRPr="00EA6C7A" w:rsidRDefault="005F5B74" w:rsidP="00026CB6">
      <w:pPr>
        <w:pStyle w:val="Sentencia1"/>
        <w:rPr>
          <w:lang w:val="en-US"/>
        </w:rPr>
      </w:pPr>
      <w:bookmarkStart w:id="3" w:name="_Toc394313630"/>
      <w:bookmarkStart w:id="4" w:name="_Toc431801373"/>
      <w:bookmarkStart w:id="5" w:name="_Toc26002286"/>
      <w:r w:rsidRPr="00EA6C7A">
        <w:rPr>
          <w:lang w:val="en-US"/>
        </w:rPr>
        <w:lastRenderedPageBreak/>
        <w:t>II</w:t>
      </w:r>
      <w:r w:rsidRPr="00EA6C7A">
        <w:rPr>
          <w:lang w:val="en-US"/>
        </w:rPr>
        <w:br/>
      </w:r>
      <w:bookmarkStart w:id="6" w:name="_Toc311128353"/>
      <w:bookmarkStart w:id="7" w:name="_Toc311128156"/>
      <w:r w:rsidR="00E43A75" w:rsidRPr="00EA6C7A">
        <w:rPr>
          <w:lang w:val="en-US"/>
        </w:rPr>
        <w:t>PROCEEDINGS BEFORE</w:t>
      </w:r>
      <w:r w:rsidRPr="00EA6C7A">
        <w:rPr>
          <w:lang w:val="en-US"/>
        </w:rPr>
        <w:t xml:space="preserve"> </w:t>
      </w:r>
      <w:r w:rsidR="0096418F" w:rsidRPr="00EA6C7A">
        <w:rPr>
          <w:lang w:val="en-US"/>
        </w:rPr>
        <w:t>THE COURT</w:t>
      </w:r>
      <w:bookmarkEnd w:id="3"/>
      <w:bookmarkEnd w:id="4"/>
      <w:bookmarkEnd w:id="5"/>
      <w:bookmarkEnd w:id="6"/>
      <w:bookmarkEnd w:id="7"/>
    </w:p>
    <w:p w14:paraId="63EC5CE9" w14:textId="77777777" w:rsidR="005F5B74" w:rsidRPr="00EA6C7A" w:rsidRDefault="005F5B74" w:rsidP="00FC08EC">
      <w:pPr>
        <w:spacing w:after="0" w:line="240" w:lineRule="auto"/>
        <w:jc w:val="both"/>
        <w:rPr>
          <w:rFonts w:ascii="Verdana" w:hAnsi="Verdana"/>
          <w:sz w:val="20"/>
          <w:szCs w:val="20"/>
          <w:lang w:val="en-US"/>
        </w:rPr>
      </w:pPr>
    </w:p>
    <w:p w14:paraId="7DB53952" w14:textId="77777777" w:rsidR="005F5B74" w:rsidRPr="00EA6C7A" w:rsidRDefault="005F5B74" w:rsidP="00E11A7C">
      <w:pPr>
        <w:pStyle w:val="Prrafodelista"/>
        <w:numPr>
          <w:ilvl w:val="0"/>
          <w:numId w:val="3"/>
        </w:numPr>
        <w:spacing w:after="0" w:line="240" w:lineRule="auto"/>
        <w:ind w:left="0" w:firstLine="0"/>
        <w:jc w:val="both"/>
        <w:rPr>
          <w:rFonts w:ascii="Verdana" w:hAnsi="Verdana"/>
          <w:i/>
          <w:sz w:val="20"/>
          <w:szCs w:val="20"/>
          <w:lang w:val="en-US" w:eastAsia="es-ES"/>
        </w:rPr>
      </w:pPr>
      <w:r w:rsidRPr="00EA6C7A">
        <w:rPr>
          <w:rFonts w:ascii="Verdana" w:hAnsi="Verdana"/>
          <w:i/>
          <w:sz w:val="20"/>
          <w:szCs w:val="20"/>
          <w:lang w:val="en-US" w:eastAsia="es-ES"/>
        </w:rPr>
        <w:t>Notifica</w:t>
      </w:r>
      <w:r w:rsidR="00E43A75" w:rsidRPr="00EA6C7A">
        <w:rPr>
          <w:rFonts w:ascii="Verdana" w:hAnsi="Verdana"/>
          <w:i/>
          <w:sz w:val="20"/>
          <w:szCs w:val="20"/>
          <w:lang w:val="en-US" w:eastAsia="es-ES"/>
        </w:rPr>
        <w:t>tion to the State and the representatives</w:t>
      </w:r>
      <w:r w:rsidRPr="00EA6C7A">
        <w:rPr>
          <w:rFonts w:ascii="Verdana" w:hAnsi="Verdana"/>
          <w:i/>
          <w:sz w:val="20"/>
          <w:szCs w:val="20"/>
          <w:lang w:val="en-US" w:eastAsia="es-ES"/>
        </w:rPr>
        <w:t xml:space="preserve">. </w:t>
      </w:r>
      <w:r w:rsidR="00E43A75" w:rsidRPr="00EA6C7A">
        <w:rPr>
          <w:rFonts w:ascii="Verdana" w:hAnsi="Verdana"/>
          <w:sz w:val="20"/>
          <w:szCs w:val="20"/>
          <w:lang w:val="en-US" w:eastAsia="es-ES"/>
        </w:rPr>
        <w:t>The submission of the case was notified to the representatives</w:t>
      </w:r>
      <w:r w:rsidRPr="00EA6C7A">
        <w:rPr>
          <w:rFonts w:ascii="Verdana" w:hAnsi="Verdana"/>
          <w:sz w:val="20"/>
          <w:szCs w:val="20"/>
          <w:lang w:val="en-US" w:eastAsia="es-ES"/>
        </w:rPr>
        <w:t xml:space="preserve"> </w:t>
      </w:r>
      <w:r w:rsidR="00E43A75" w:rsidRPr="00EA6C7A">
        <w:rPr>
          <w:rFonts w:ascii="Verdana" w:hAnsi="Verdana"/>
          <w:sz w:val="20"/>
          <w:szCs w:val="20"/>
          <w:lang w:val="en-US" w:eastAsia="es-ES"/>
        </w:rPr>
        <w:t>of</w:t>
      </w:r>
      <w:r w:rsidRPr="00EA6C7A">
        <w:rPr>
          <w:rFonts w:ascii="Verdana" w:hAnsi="Verdana"/>
          <w:sz w:val="20"/>
          <w:szCs w:val="20"/>
          <w:lang w:val="en-US" w:eastAsia="es-ES"/>
        </w:rPr>
        <w:t xml:space="preserve"> </w:t>
      </w:r>
      <w:r w:rsidR="00E43A75" w:rsidRPr="00EA6C7A">
        <w:rPr>
          <w:rFonts w:ascii="Verdana" w:hAnsi="Verdana"/>
          <w:sz w:val="20"/>
          <w:szCs w:val="20"/>
          <w:lang w:val="en-US" w:eastAsia="es-ES"/>
        </w:rPr>
        <w:t>the presumed victims</w:t>
      </w:r>
      <w:r w:rsidR="00AF25B7" w:rsidRPr="00EA6C7A">
        <w:rPr>
          <w:rFonts w:ascii="Verdana" w:hAnsi="Verdana"/>
          <w:sz w:val="20"/>
          <w:szCs w:val="20"/>
          <w:lang w:val="en-US" w:eastAsia="es-ES"/>
        </w:rPr>
        <w:t xml:space="preserve"> </w:t>
      </w:r>
      <w:r w:rsidR="00E43A75" w:rsidRPr="00EA6C7A">
        <w:rPr>
          <w:rFonts w:ascii="Verdana" w:hAnsi="Verdana"/>
          <w:sz w:val="20"/>
          <w:szCs w:val="20"/>
          <w:lang w:val="en-US" w:eastAsia="es-ES"/>
        </w:rPr>
        <w:t>and</w:t>
      </w:r>
      <w:r w:rsidR="00AF25B7" w:rsidRPr="00EA6C7A">
        <w:rPr>
          <w:rFonts w:ascii="Verdana" w:hAnsi="Verdana"/>
          <w:sz w:val="20"/>
          <w:szCs w:val="20"/>
          <w:lang w:val="en-US" w:eastAsia="es-ES"/>
        </w:rPr>
        <w:t xml:space="preserve"> </w:t>
      </w:r>
      <w:r w:rsidR="00E43A75" w:rsidRPr="00EA6C7A">
        <w:rPr>
          <w:rFonts w:ascii="Verdana" w:hAnsi="Verdana"/>
          <w:sz w:val="20"/>
          <w:szCs w:val="20"/>
          <w:lang w:val="en-US" w:eastAsia="es-ES"/>
        </w:rPr>
        <w:t>to the State</w:t>
      </w:r>
      <w:r w:rsidRPr="00EA6C7A">
        <w:rPr>
          <w:rFonts w:ascii="Verdana" w:hAnsi="Verdana"/>
          <w:sz w:val="20"/>
          <w:szCs w:val="20"/>
          <w:lang w:val="en-US" w:eastAsia="es-ES"/>
        </w:rPr>
        <w:t xml:space="preserve"> </w:t>
      </w:r>
      <w:r w:rsidR="00E43A75" w:rsidRPr="00EA6C7A">
        <w:rPr>
          <w:rFonts w:ascii="Verdana" w:hAnsi="Verdana"/>
          <w:sz w:val="20"/>
          <w:szCs w:val="20"/>
          <w:lang w:val="en-US" w:eastAsia="es-ES"/>
        </w:rPr>
        <w:t>on May 16 and June 4, 2014, respectively.</w:t>
      </w:r>
    </w:p>
    <w:p w14:paraId="2C650776" w14:textId="77777777" w:rsidR="005F5B74" w:rsidRPr="00EA6C7A" w:rsidRDefault="005F5B74" w:rsidP="005F5B74">
      <w:pPr>
        <w:spacing w:after="0" w:line="240" w:lineRule="auto"/>
        <w:jc w:val="both"/>
        <w:rPr>
          <w:rFonts w:ascii="Verdana" w:hAnsi="Verdana"/>
          <w:i/>
          <w:sz w:val="20"/>
          <w:szCs w:val="20"/>
          <w:lang w:val="en-US" w:eastAsia="es-ES"/>
        </w:rPr>
      </w:pPr>
    </w:p>
    <w:p w14:paraId="3ADBF955" w14:textId="77777777" w:rsidR="005F5B74" w:rsidRPr="00EA6C7A" w:rsidRDefault="00E43A75" w:rsidP="00E11A7C">
      <w:pPr>
        <w:pStyle w:val="Prrafodelista"/>
        <w:numPr>
          <w:ilvl w:val="0"/>
          <w:numId w:val="3"/>
        </w:numPr>
        <w:spacing w:after="0" w:line="240" w:lineRule="auto"/>
        <w:ind w:left="0" w:firstLine="0"/>
        <w:jc w:val="both"/>
        <w:rPr>
          <w:rFonts w:ascii="Verdana" w:hAnsi="Verdana"/>
          <w:i/>
          <w:sz w:val="20"/>
          <w:szCs w:val="20"/>
          <w:lang w:val="en-US" w:eastAsia="es-ES"/>
        </w:rPr>
      </w:pPr>
      <w:r w:rsidRPr="00EA6C7A">
        <w:rPr>
          <w:rFonts w:ascii="Verdana" w:hAnsi="Verdana"/>
          <w:i/>
          <w:sz w:val="20"/>
          <w:szCs w:val="20"/>
          <w:lang w:val="en-US" w:eastAsia="es-ES"/>
        </w:rPr>
        <w:t>Brief with motions, pleadings and evidence</w:t>
      </w:r>
      <w:r w:rsidR="005F5B74" w:rsidRPr="00EA6C7A">
        <w:rPr>
          <w:rFonts w:ascii="Verdana" w:hAnsi="Verdana"/>
          <w:i/>
          <w:sz w:val="20"/>
          <w:szCs w:val="20"/>
          <w:lang w:val="en-US" w:eastAsia="es-ES"/>
        </w:rPr>
        <w:t xml:space="preserve">. </w:t>
      </w:r>
      <w:r w:rsidRPr="00EA6C7A">
        <w:rPr>
          <w:rFonts w:ascii="Verdana" w:hAnsi="Verdana"/>
          <w:sz w:val="20"/>
          <w:szCs w:val="20"/>
          <w:lang w:val="en-US" w:eastAsia="es-ES"/>
        </w:rPr>
        <w:t>On July 15,</w:t>
      </w:r>
      <w:r w:rsidR="005F5B74" w:rsidRPr="00EA6C7A">
        <w:rPr>
          <w:rFonts w:ascii="Verdana" w:hAnsi="Verdana"/>
          <w:sz w:val="20"/>
          <w:szCs w:val="20"/>
          <w:lang w:val="en-US" w:eastAsia="es-ES"/>
        </w:rPr>
        <w:t xml:space="preserve"> 2014</w:t>
      </w:r>
      <w:r w:rsidRPr="00EA6C7A">
        <w:rPr>
          <w:rFonts w:ascii="Verdana" w:hAnsi="Verdana"/>
          <w:sz w:val="20"/>
          <w:szCs w:val="20"/>
          <w:lang w:val="en-US" w:eastAsia="es-ES"/>
        </w:rPr>
        <w:t xml:space="preserve">, </w:t>
      </w:r>
      <w:r w:rsidR="005F5B74" w:rsidRPr="00EA6C7A">
        <w:rPr>
          <w:rFonts w:ascii="Verdana" w:eastAsia="Calibri" w:hAnsi="Verdana"/>
          <w:sz w:val="20"/>
          <w:szCs w:val="20"/>
          <w:lang w:val="en-US"/>
        </w:rPr>
        <w:t xml:space="preserve">Carlos Antonio Pop AC, </w:t>
      </w:r>
      <w:r w:rsidRPr="00EA6C7A">
        <w:rPr>
          <w:rFonts w:ascii="Verdana" w:eastAsia="Calibri" w:hAnsi="Verdana"/>
          <w:sz w:val="20"/>
          <w:szCs w:val="20"/>
          <w:lang w:val="en-US"/>
        </w:rPr>
        <w:t>the</w:t>
      </w:r>
      <w:r w:rsidR="005F5B74" w:rsidRPr="00EA6C7A">
        <w:rPr>
          <w:rFonts w:ascii="Verdana" w:eastAsia="Calibri" w:hAnsi="Verdana"/>
          <w:sz w:val="20"/>
          <w:szCs w:val="20"/>
          <w:lang w:val="en-US"/>
        </w:rPr>
        <w:t xml:space="preserve"> </w:t>
      </w:r>
      <w:proofErr w:type="spellStart"/>
      <w:r w:rsidR="005F5B74" w:rsidRPr="00EA6C7A">
        <w:rPr>
          <w:rFonts w:ascii="Verdana" w:eastAsia="Calibri" w:hAnsi="Verdana"/>
          <w:i/>
          <w:iCs/>
          <w:sz w:val="20"/>
          <w:szCs w:val="20"/>
          <w:lang w:val="en-US"/>
        </w:rPr>
        <w:t>Asociación</w:t>
      </w:r>
      <w:proofErr w:type="spellEnd"/>
      <w:r w:rsidR="005F5B74" w:rsidRPr="00EA6C7A">
        <w:rPr>
          <w:rFonts w:ascii="Verdana" w:eastAsia="Calibri" w:hAnsi="Verdana"/>
          <w:i/>
          <w:iCs/>
          <w:sz w:val="20"/>
          <w:szCs w:val="20"/>
          <w:lang w:val="en-US"/>
        </w:rPr>
        <w:t xml:space="preserve"> de Abogados</w:t>
      </w:r>
      <w:r w:rsidR="00D948A1" w:rsidRPr="00EA6C7A">
        <w:rPr>
          <w:rFonts w:ascii="Verdana" w:eastAsia="Calibri" w:hAnsi="Verdana"/>
          <w:i/>
          <w:iCs/>
          <w:sz w:val="20"/>
          <w:szCs w:val="20"/>
          <w:lang w:val="en-US"/>
        </w:rPr>
        <w:t xml:space="preserve"> </w:t>
      </w:r>
      <w:r w:rsidR="00595A1D" w:rsidRPr="00EA6C7A">
        <w:rPr>
          <w:rFonts w:ascii="Verdana" w:eastAsia="Calibri" w:hAnsi="Verdana"/>
          <w:i/>
          <w:iCs/>
          <w:sz w:val="20"/>
          <w:szCs w:val="20"/>
          <w:lang w:val="en-US"/>
        </w:rPr>
        <w:t>y</w:t>
      </w:r>
      <w:r w:rsidR="00D948A1" w:rsidRPr="00EA6C7A">
        <w:rPr>
          <w:rFonts w:ascii="Verdana" w:eastAsia="Calibri" w:hAnsi="Verdana"/>
          <w:i/>
          <w:iCs/>
          <w:sz w:val="20"/>
          <w:szCs w:val="20"/>
          <w:lang w:val="en-US"/>
        </w:rPr>
        <w:t xml:space="preserve"> </w:t>
      </w:r>
      <w:proofErr w:type="spellStart"/>
      <w:r w:rsidR="005F5B74" w:rsidRPr="00EA6C7A">
        <w:rPr>
          <w:rFonts w:ascii="Verdana" w:eastAsia="Calibri" w:hAnsi="Verdana"/>
          <w:i/>
          <w:iCs/>
          <w:sz w:val="20"/>
          <w:szCs w:val="20"/>
          <w:lang w:val="en-US"/>
        </w:rPr>
        <w:t>Notarios</w:t>
      </w:r>
      <w:proofErr w:type="spellEnd"/>
      <w:r w:rsidR="005F5B74" w:rsidRPr="00EA6C7A">
        <w:rPr>
          <w:rFonts w:ascii="Verdana" w:eastAsia="Calibri" w:hAnsi="Verdana"/>
          <w:i/>
          <w:iCs/>
          <w:sz w:val="20"/>
          <w:szCs w:val="20"/>
          <w:lang w:val="en-US"/>
        </w:rPr>
        <w:t xml:space="preserve"> Mayas de Guatemala</w:t>
      </w:r>
      <w:r w:rsidR="009B382F" w:rsidRPr="00EA6C7A">
        <w:rPr>
          <w:rFonts w:ascii="Verdana" w:eastAsia="Calibri" w:hAnsi="Verdana"/>
          <w:sz w:val="20"/>
          <w:szCs w:val="20"/>
          <w:lang w:val="en-US"/>
        </w:rPr>
        <w:t>,</w:t>
      </w:r>
      <w:r w:rsidR="005F5B74" w:rsidRPr="00EA6C7A">
        <w:rPr>
          <w:rFonts w:ascii="Verdana" w:eastAsia="Calibri" w:hAnsi="Verdana"/>
          <w:sz w:val="20"/>
          <w:szCs w:val="20"/>
          <w:lang w:val="en-US"/>
        </w:rPr>
        <w:t xml:space="preserve"> </w:t>
      </w:r>
      <w:r w:rsidRPr="00EA6C7A">
        <w:rPr>
          <w:rFonts w:ascii="Verdana" w:eastAsia="Calibri" w:hAnsi="Verdana"/>
          <w:sz w:val="20"/>
          <w:szCs w:val="20"/>
          <w:lang w:val="en-US"/>
        </w:rPr>
        <w:t>and the</w:t>
      </w:r>
      <w:r w:rsidR="005F5B74" w:rsidRPr="00EA6C7A">
        <w:rPr>
          <w:rFonts w:ascii="Verdana" w:eastAsia="Calibri" w:hAnsi="Verdana"/>
          <w:sz w:val="20"/>
          <w:szCs w:val="20"/>
          <w:lang w:val="en-US"/>
        </w:rPr>
        <w:t xml:space="preserve"> </w:t>
      </w:r>
      <w:r w:rsidR="005F5B74" w:rsidRPr="00EA6C7A">
        <w:rPr>
          <w:rFonts w:ascii="Verdana" w:eastAsia="Calibri" w:hAnsi="Verdana"/>
          <w:iCs/>
          <w:sz w:val="20"/>
          <w:szCs w:val="20"/>
          <w:lang w:val="en-US"/>
        </w:rPr>
        <w:t>Robert F. Kennedy Center for Justice</w:t>
      </w:r>
      <w:r w:rsidR="005F5B74" w:rsidRPr="00EA6C7A">
        <w:rPr>
          <w:rFonts w:ascii="Verdana" w:eastAsia="Calibri" w:hAnsi="Verdana"/>
          <w:sz w:val="20"/>
          <w:szCs w:val="20"/>
          <w:lang w:val="en-US"/>
        </w:rPr>
        <w:t xml:space="preserve"> </w:t>
      </w:r>
      <w:r w:rsidR="005F5B74" w:rsidRPr="00EA6C7A">
        <w:rPr>
          <w:rFonts w:ascii="Verdana" w:eastAsia="Calibri" w:hAnsi="Verdana"/>
          <w:iCs/>
          <w:sz w:val="20"/>
          <w:szCs w:val="20"/>
          <w:lang w:val="en-US"/>
        </w:rPr>
        <w:t>and Human Rights</w:t>
      </w:r>
      <w:r w:rsidR="005F5B74" w:rsidRPr="00EA6C7A">
        <w:rPr>
          <w:rFonts w:ascii="Verdana" w:hAnsi="Verdana"/>
          <w:sz w:val="20"/>
          <w:szCs w:val="20"/>
          <w:lang w:val="en-US" w:eastAsia="es-ES"/>
        </w:rPr>
        <w:t xml:space="preserve"> </w:t>
      </w:r>
      <w:r w:rsidR="003879D6" w:rsidRPr="00EA6C7A">
        <w:rPr>
          <w:rFonts w:ascii="Verdana" w:hAnsi="Verdana"/>
          <w:sz w:val="20"/>
          <w:szCs w:val="20"/>
          <w:lang w:val="en-US" w:eastAsia="es-ES"/>
        </w:rPr>
        <w:t>(</w:t>
      </w:r>
      <w:r w:rsidR="0096418F" w:rsidRPr="00EA6C7A">
        <w:rPr>
          <w:rFonts w:ascii="Verdana" w:hAnsi="Verdana"/>
          <w:sz w:val="20"/>
          <w:szCs w:val="20"/>
          <w:lang w:val="en-US" w:eastAsia="es-ES"/>
        </w:rPr>
        <w:t>hereinafter</w:t>
      </w:r>
      <w:r w:rsidR="003879D6" w:rsidRPr="00EA6C7A">
        <w:rPr>
          <w:rFonts w:ascii="Verdana" w:hAnsi="Verdana"/>
          <w:sz w:val="20"/>
          <w:szCs w:val="20"/>
          <w:lang w:val="en-US" w:eastAsia="es-ES"/>
        </w:rPr>
        <w:t xml:space="preserve"> “</w:t>
      </w:r>
      <w:r w:rsidRPr="00EA6C7A">
        <w:rPr>
          <w:rFonts w:ascii="Verdana" w:hAnsi="Verdana"/>
          <w:sz w:val="20"/>
          <w:szCs w:val="20"/>
          <w:lang w:val="en-US" w:eastAsia="es-ES"/>
        </w:rPr>
        <w:t>the representatives</w:t>
      </w:r>
      <w:r w:rsidR="003879D6" w:rsidRPr="00EA6C7A">
        <w:rPr>
          <w:rFonts w:ascii="Verdana" w:hAnsi="Verdana"/>
          <w:sz w:val="20"/>
          <w:szCs w:val="20"/>
          <w:lang w:val="en-US" w:eastAsia="es-ES"/>
        </w:rPr>
        <w:t xml:space="preserve">”), </w:t>
      </w:r>
      <w:r w:rsidRPr="00EA6C7A">
        <w:rPr>
          <w:rFonts w:ascii="Verdana" w:hAnsi="Verdana"/>
          <w:sz w:val="20"/>
          <w:szCs w:val="20"/>
          <w:lang w:val="en-US" w:eastAsia="es-ES"/>
        </w:rPr>
        <w:t>submitted their</w:t>
      </w:r>
      <w:r w:rsidR="005F5B74" w:rsidRPr="00EA6C7A">
        <w:rPr>
          <w:rFonts w:ascii="Verdana" w:hAnsi="Verdana"/>
          <w:sz w:val="20"/>
          <w:szCs w:val="20"/>
          <w:lang w:val="en-US" w:eastAsia="es-ES"/>
        </w:rPr>
        <w:t xml:space="preserve"> </w:t>
      </w:r>
      <w:r w:rsidRPr="00EA6C7A">
        <w:rPr>
          <w:rFonts w:ascii="Verdana" w:hAnsi="Verdana"/>
          <w:sz w:val="20"/>
          <w:szCs w:val="20"/>
          <w:lang w:val="en-US" w:eastAsia="es-ES"/>
        </w:rPr>
        <w:t>brief with motions, pleadings and evidence</w:t>
      </w:r>
      <w:r w:rsidR="005F5B74" w:rsidRPr="00EA6C7A">
        <w:rPr>
          <w:rFonts w:ascii="Verdana" w:hAnsi="Verdana"/>
          <w:sz w:val="20"/>
          <w:szCs w:val="20"/>
          <w:lang w:val="en-US" w:eastAsia="es-ES"/>
        </w:rPr>
        <w:t xml:space="preserve"> (</w:t>
      </w:r>
      <w:r w:rsidR="0096418F" w:rsidRPr="00EA6C7A">
        <w:rPr>
          <w:rFonts w:ascii="Verdana" w:hAnsi="Verdana"/>
          <w:sz w:val="20"/>
          <w:szCs w:val="20"/>
          <w:lang w:val="en-US" w:eastAsia="es-ES"/>
        </w:rPr>
        <w:t>hereinafter</w:t>
      </w:r>
      <w:r w:rsidR="005F5B74" w:rsidRPr="00EA6C7A">
        <w:rPr>
          <w:rFonts w:ascii="Verdana" w:hAnsi="Verdana"/>
          <w:sz w:val="20"/>
          <w:szCs w:val="20"/>
          <w:lang w:val="en-US" w:eastAsia="es-ES"/>
        </w:rPr>
        <w:t xml:space="preserve"> “</w:t>
      </w:r>
      <w:r w:rsidRPr="00EA6C7A">
        <w:rPr>
          <w:rFonts w:ascii="Verdana" w:hAnsi="Verdana"/>
          <w:sz w:val="20"/>
          <w:szCs w:val="20"/>
          <w:lang w:val="en-US" w:eastAsia="es-ES"/>
        </w:rPr>
        <w:t>motions and pleadings brief</w:t>
      </w:r>
      <w:r w:rsidR="005F5B74" w:rsidRPr="00EA6C7A">
        <w:rPr>
          <w:rFonts w:ascii="Verdana" w:hAnsi="Verdana"/>
          <w:sz w:val="20"/>
          <w:szCs w:val="20"/>
          <w:lang w:val="en-US" w:eastAsia="es-ES"/>
        </w:rPr>
        <w:t>”)</w:t>
      </w:r>
      <w:r w:rsidRPr="00EA6C7A">
        <w:rPr>
          <w:rFonts w:ascii="Verdana" w:hAnsi="Verdana"/>
          <w:sz w:val="20"/>
          <w:szCs w:val="20"/>
          <w:lang w:val="en-US" w:eastAsia="es-ES"/>
        </w:rPr>
        <w:t xml:space="preserve"> to the Court, in accordance with </w:t>
      </w:r>
      <w:r w:rsidR="0096418F" w:rsidRPr="00EA6C7A">
        <w:rPr>
          <w:rFonts w:ascii="Verdana" w:hAnsi="Verdana"/>
          <w:sz w:val="20"/>
          <w:szCs w:val="20"/>
          <w:lang w:val="en-US" w:eastAsia="es-ES"/>
        </w:rPr>
        <w:t>Article</w:t>
      </w:r>
      <w:r w:rsidR="005F5B74" w:rsidRPr="00EA6C7A">
        <w:rPr>
          <w:rFonts w:ascii="Verdana" w:hAnsi="Verdana"/>
          <w:sz w:val="20"/>
          <w:szCs w:val="20"/>
          <w:lang w:val="en-US" w:eastAsia="es-ES"/>
        </w:rPr>
        <w:t xml:space="preserve"> 40</w:t>
      </w:r>
      <w:r w:rsidR="0096418F" w:rsidRPr="00EA6C7A">
        <w:rPr>
          <w:rFonts w:ascii="Verdana" w:hAnsi="Verdana"/>
          <w:sz w:val="20"/>
          <w:szCs w:val="20"/>
          <w:lang w:val="en-US" w:eastAsia="es-ES"/>
        </w:rPr>
        <w:t xml:space="preserve"> of the Rules of Procedure</w:t>
      </w:r>
      <w:r w:rsidR="005F5B74" w:rsidRPr="00EA6C7A">
        <w:rPr>
          <w:rFonts w:ascii="Verdana" w:hAnsi="Verdana"/>
          <w:sz w:val="20"/>
          <w:szCs w:val="20"/>
          <w:lang w:val="en-US" w:eastAsia="es-ES"/>
        </w:rPr>
        <w:t>.</w:t>
      </w:r>
    </w:p>
    <w:p w14:paraId="23F905F3" w14:textId="77777777" w:rsidR="005F5B74" w:rsidRPr="00EA6C7A" w:rsidRDefault="005F5B74" w:rsidP="005F5B74">
      <w:pPr>
        <w:pStyle w:val="Prrafodelista"/>
        <w:spacing w:after="0" w:line="240" w:lineRule="auto"/>
        <w:ind w:left="0"/>
        <w:jc w:val="both"/>
        <w:rPr>
          <w:rFonts w:ascii="Verdana" w:hAnsi="Verdana"/>
          <w:i/>
          <w:sz w:val="20"/>
          <w:szCs w:val="20"/>
          <w:lang w:val="en-US" w:eastAsia="es-ES"/>
        </w:rPr>
      </w:pPr>
    </w:p>
    <w:p w14:paraId="23660D7A" w14:textId="77777777" w:rsidR="005F5B74" w:rsidRPr="00EA6C7A" w:rsidRDefault="00E43A75" w:rsidP="00E11A7C">
      <w:pPr>
        <w:pStyle w:val="Prrafodelista"/>
        <w:numPr>
          <w:ilvl w:val="0"/>
          <w:numId w:val="3"/>
        </w:numPr>
        <w:spacing w:after="0" w:line="240" w:lineRule="auto"/>
        <w:ind w:left="0" w:firstLine="0"/>
        <w:jc w:val="both"/>
        <w:rPr>
          <w:rFonts w:ascii="Verdana" w:hAnsi="Verdana"/>
          <w:i/>
          <w:sz w:val="20"/>
          <w:szCs w:val="20"/>
          <w:lang w:val="en-US" w:eastAsia="es-ES"/>
        </w:rPr>
      </w:pPr>
      <w:r w:rsidRPr="00EA6C7A">
        <w:rPr>
          <w:rFonts w:ascii="Verdana" w:eastAsia="Calibri" w:hAnsi="Verdana"/>
          <w:bCs/>
          <w:i/>
          <w:sz w:val="20"/>
          <w:szCs w:val="20"/>
          <w:lang w:val="en-US"/>
        </w:rPr>
        <w:t>Answering brief</w:t>
      </w:r>
      <w:r w:rsidR="005F5B74" w:rsidRPr="00EA6C7A">
        <w:rPr>
          <w:rFonts w:ascii="Verdana" w:eastAsia="Calibri" w:hAnsi="Verdana"/>
          <w:bCs/>
          <w:i/>
          <w:sz w:val="20"/>
          <w:szCs w:val="20"/>
          <w:lang w:val="en-US"/>
        </w:rPr>
        <w:t xml:space="preserve">. </w:t>
      </w:r>
      <w:r w:rsidRPr="00EA6C7A">
        <w:rPr>
          <w:rFonts w:ascii="Verdana" w:eastAsia="Calibri" w:hAnsi="Verdana"/>
          <w:bCs/>
          <w:sz w:val="20"/>
          <w:szCs w:val="20"/>
          <w:lang w:val="en-US"/>
        </w:rPr>
        <w:t>On November 21,</w:t>
      </w:r>
      <w:r w:rsidR="005F5B74" w:rsidRPr="00EA6C7A">
        <w:rPr>
          <w:rFonts w:ascii="Verdana" w:eastAsia="Calibri" w:hAnsi="Verdana"/>
          <w:bCs/>
          <w:sz w:val="20"/>
          <w:szCs w:val="20"/>
          <w:lang w:val="en-US"/>
        </w:rPr>
        <w:t xml:space="preserve"> 2014</w:t>
      </w:r>
      <w:r w:rsidRPr="00EA6C7A">
        <w:rPr>
          <w:rFonts w:ascii="Verdana" w:eastAsia="Calibri" w:hAnsi="Verdana"/>
          <w:bCs/>
          <w:sz w:val="20"/>
          <w:szCs w:val="20"/>
          <w:lang w:val="en-US"/>
        </w:rPr>
        <w:t>,</w:t>
      </w:r>
      <w:r w:rsidR="005F5B74" w:rsidRPr="00EA6C7A">
        <w:rPr>
          <w:rFonts w:ascii="Verdana" w:eastAsia="Calibri" w:hAnsi="Verdana"/>
          <w:bCs/>
          <w:sz w:val="20"/>
          <w:szCs w:val="20"/>
          <w:lang w:val="en-US"/>
        </w:rPr>
        <w:t xml:space="preserve"> </w:t>
      </w:r>
      <w:r w:rsidR="002F3848" w:rsidRPr="00EA6C7A">
        <w:rPr>
          <w:rFonts w:ascii="Verdana" w:eastAsia="Calibri" w:hAnsi="Verdana"/>
          <w:bCs/>
          <w:sz w:val="20"/>
          <w:szCs w:val="20"/>
          <w:lang w:val="en-US"/>
        </w:rPr>
        <w:t>the State</w:t>
      </w:r>
      <w:r w:rsidR="005F5B74" w:rsidRPr="00EA6C7A">
        <w:rPr>
          <w:rFonts w:ascii="Verdana" w:eastAsia="Calibri" w:hAnsi="Verdana"/>
          <w:bCs/>
          <w:sz w:val="20"/>
          <w:szCs w:val="20"/>
          <w:lang w:val="en-US"/>
        </w:rPr>
        <w:t xml:space="preserve"> present</w:t>
      </w:r>
      <w:r w:rsidRPr="00EA6C7A">
        <w:rPr>
          <w:rFonts w:ascii="Verdana" w:eastAsia="Calibri" w:hAnsi="Verdana"/>
          <w:bCs/>
          <w:sz w:val="20"/>
          <w:szCs w:val="20"/>
          <w:lang w:val="en-US"/>
        </w:rPr>
        <w:t>ed its brief with preliminary objections, answering the submission of the case</w:t>
      </w:r>
      <w:r w:rsidR="00595A1D" w:rsidRPr="00EA6C7A">
        <w:rPr>
          <w:rFonts w:ascii="Verdana" w:eastAsia="Calibri" w:hAnsi="Verdana"/>
          <w:bCs/>
          <w:sz w:val="20"/>
          <w:szCs w:val="20"/>
          <w:lang w:val="en-US"/>
        </w:rPr>
        <w:t>,</w:t>
      </w:r>
      <w:r w:rsidRPr="00EA6C7A">
        <w:rPr>
          <w:rFonts w:ascii="Verdana" w:eastAsia="Calibri" w:hAnsi="Verdana"/>
          <w:bCs/>
          <w:sz w:val="20"/>
          <w:szCs w:val="20"/>
          <w:lang w:val="en-US"/>
        </w:rPr>
        <w:t xml:space="preserve"> and with observations on the motions and pleadings brief</w:t>
      </w:r>
      <w:r w:rsidR="005F5B74" w:rsidRPr="00EA6C7A">
        <w:rPr>
          <w:rFonts w:ascii="Verdana" w:eastAsia="Calibri" w:hAnsi="Verdana"/>
          <w:bCs/>
          <w:sz w:val="20"/>
          <w:szCs w:val="20"/>
          <w:lang w:val="en-US"/>
        </w:rPr>
        <w:t xml:space="preserve"> (</w:t>
      </w:r>
      <w:r w:rsidR="0096418F" w:rsidRPr="00EA6C7A">
        <w:rPr>
          <w:rFonts w:ascii="Verdana" w:eastAsia="Calibri" w:hAnsi="Verdana"/>
          <w:bCs/>
          <w:sz w:val="20"/>
          <w:szCs w:val="20"/>
          <w:lang w:val="en-US"/>
        </w:rPr>
        <w:t>hereinafter</w:t>
      </w:r>
      <w:r w:rsidR="005F5B74" w:rsidRPr="00EA6C7A">
        <w:rPr>
          <w:rFonts w:ascii="Verdana" w:eastAsia="Calibri" w:hAnsi="Verdana"/>
          <w:bCs/>
          <w:sz w:val="20"/>
          <w:szCs w:val="20"/>
          <w:lang w:val="en-US"/>
        </w:rPr>
        <w:t xml:space="preserve"> “</w:t>
      </w:r>
      <w:r w:rsidRPr="00EA6C7A">
        <w:rPr>
          <w:rFonts w:ascii="Verdana" w:eastAsia="Calibri" w:hAnsi="Verdana"/>
          <w:bCs/>
          <w:sz w:val="20"/>
          <w:szCs w:val="20"/>
          <w:lang w:val="en-US"/>
        </w:rPr>
        <w:t>answering brief</w:t>
      </w:r>
      <w:r w:rsidR="005F5B74" w:rsidRPr="00EA6C7A">
        <w:rPr>
          <w:rFonts w:ascii="Verdana" w:eastAsia="Calibri" w:hAnsi="Verdana"/>
          <w:bCs/>
          <w:sz w:val="20"/>
          <w:szCs w:val="20"/>
          <w:lang w:val="en-US"/>
        </w:rPr>
        <w:t xml:space="preserve">”), </w:t>
      </w:r>
      <w:r w:rsidRPr="00EA6C7A">
        <w:rPr>
          <w:rFonts w:ascii="Verdana" w:hAnsi="Verdana"/>
          <w:sz w:val="20"/>
          <w:szCs w:val="20"/>
          <w:lang w:val="en-US" w:eastAsia="es-ES"/>
        </w:rPr>
        <w:t xml:space="preserve">in </w:t>
      </w:r>
      <w:r w:rsidR="00595A1D" w:rsidRPr="00EA6C7A">
        <w:rPr>
          <w:rFonts w:ascii="Verdana" w:hAnsi="Verdana"/>
          <w:sz w:val="20"/>
          <w:szCs w:val="20"/>
          <w:lang w:val="en-US" w:eastAsia="es-ES"/>
        </w:rPr>
        <w:t>accordance with</w:t>
      </w:r>
      <w:r w:rsidRPr="00EA6C7A">
        <w:rPr>
          <w:rFonts w:ascii="Verdana" w:hAnsi="Verdana"/>
          <w:sz w:val="20"/>
          <w:szCs w:val="20"/>
          <w:lang w:val="en-US" w:eastAsia="es-ES"/>
        </w:rPr>
        <w:t xml:space="preserve"> </w:t>
      </w:r>
      <w:r w:rsidR="0096418F" w:rsidRPr="00EA6C7A">
        <w:rPr>
          <w:rFonts w:ascii="Verdana" w:hAnsi="Verdana"/>
          <w:sz w:val="20"/>
          <w:szCs w:val="20"/>
          <w:lang w:val="en-US" w:eastAsia="es-ES"/>
        </w:rPr>
        <w:t>Article</w:t>
      </w:r>
      <w:r w:rsidR="005F5B74" w:rsidRPr="00EA6C7A">
        <w:rPr>
          <w:rFonts w:ascii="Verdana" w:hAnsi="Verdana"/>
          <w:sz w:val="20"/>
          <w:szCs w:val="20"/>
          <w:lang w:val="en-US" w:eastAsia="es-ES"/>
        </w:rPr>
        <w:t xml:space="preserve"> 41</w:t>
      </w:r>
      <w:r w:rsidR="0096418F" w:rsidRPr="00EA6C7A">
        <w:rPr>
          <w:rFonts w:ascii="Verdana" w:hAnsi="Verdana"/>
          <w:sz w:val="20"/>
          <w:szCs w:val="20"/>
          <w:lang w:val="en-US" w:eastAsia="es-ES"/>
        </w:rPr>
        <w:t xml:space="preserve"> of the Rules of Procedure</w:t>
      </w:r>
      <w:r w:rsidR="005F5B74" w:rsidRPr="00EA6C7A">
        <w:rPr>
          <w:rFonts w:ascii="Verdana" w:hAnsi="Verdana"/>
          <w:sz w:val="20"/>
          <w:szCs w:val="20"/>
          <w:lang w:val="en-US" w:eastAsia="es-ES"/>
        </w:rPr>
        <w:t>.</w:t>
      </w:r>
    </w:p>
    <w:p w14:paraId="1D1FBEC4" w14:textId="77777777" w:rsidR="005F5B74" w:rsidRPr="00EA6C7A" w:rsidRDefault="005F5B74" w:rsidP="005F5B74">
      <w:pPr>
        <w:pStyle w:val="Prrafodelista"/>
        <w:spacing w:after="0" w:line="240" w:lineRule="auto"/>
        <w:ind w:left="0"/>
        <w:jc w:val="both"/>
        <w:rPr>
          <w:rFonts w:ascii="Verdana" w:hAnsi="Verdana"/>
          <w:sz w:val="20"/>
          <w:szCs w:val="20"/>
          <w:lang w:val="en-US"/>
        </w:rPr>
      </w:pPr>
    </w:p>
    <w:p w14:paraId="65E61694" w14:textId="77777777" w:rsidR="005F5B74" w:rsidRPr="00EA6C7A" w:rsidRDefault="005F5B74" w:rsidP="00E11A7C">
      <w:pPr>
        <w:pStyle w:val="Prrafodelista"/>
        <w:numPr>
          <w:ilvl w:val="0"/>
          <w:numId w:val="3"/>
        </w:numPr>
        <w:spacing w:after="0" w:line="240" w:lineRule="auto"/>
        <w:ind w:left="0" w:firstLine="0"/>
        <w:jc w:val="both"/>
        <w:rPr>
          <w:rFonts w:ascii="Verdana" w:hAnsi="Verdana" w:cs="Verdana"/>
          <w:sz w:val="20"/>
          <w:szCs w:val="20"/>
          <w:lang w:val="en-US" w:eastAsia="es-ES"/>
        </w:rPr>
      </w:pPr>
      <w:r w:rsidRPr="00EA6C7A">
        <w:rPr>
          <w:rFonts w:ascii="Verdana" w:hAnsi="Verdana" w:cs="Verdana"/>
          <w:i/>
          <w:sz w:val="20"/>
          <w:szCs w:val="20"/>
          <w:lang w:val="en-US" w:eastAsia="es-ES"/>
        </w:rPr>
        <w:t>Observa</w:t>
      </w:r>
      <w:r w:rsidR="00E43A75" w:rsidRPr="00EA6C7A">
        <w:rPr>
          <w:rFonts w:ascii="Verdana" w:hAnsi="Verdana" w:cs="Verdana"/>
          <w:i/>
          <w:sz w:val="20"/>
          <w:szCs w:val="20"/>
          <w:lang w:val="en-US" w:eastAsia="es-ES"/>
        </w:rPr>
        <w:t>tions on the preliminary objections</w:t>
      </w:r>
      <w:r w:rsidRPr="00EA6C7A">
        <w:rPr>
          <w:rFonts w:ascii="Verdana" w:hAnsi="Verdana" w:cs="Verdana"/>
          <w:i/>
          <w:sz w:val="20"/>
          <w:szCs w:val="20"/>
          <w:lang w:val="en-US" w:eastAsia="es-ES"/>
        </w:rPr>
        <w:t xml:space="preserve">. </w:t>
      </w:r>
      <w:r w:rsidR="00E43A75" w:rsidRPr="00EA6C7A">
        <w:rPr>
          <w:rFonts w:ascii="Verdana" w:hAnsi="Verdana" w:cs="Verdana"/>
          <w:sz w:val="20"/>
          <w:szCs w:val="20"/>
          <w:lang w:val="en-US" w:eastAsia="es-ES"/>
        </w:rPr>
        <w:t>On February 4,</w:t>
      </w:r>
      <w:r w:rsidRPr="00EA6C7A">
        <w:rPr>
          <w:rFonts w:ascii="Verdana" w:hAnsi="Verdana" w:cs="Verdana"/>
          <w:sz w:val="20"/>
          <w:szCs w:val="20"/>
          <w:lang w:val="en-US" w:eastAsia="es-ES"/>
        </w:rPr>
        <w:t xml:space="preserve"> 2014</w:t>
      </w:r>
      <w:r w:rsidR="00E43A75" w:rsidRPr="00EA6C7A">
        <w:rPr>
          <w:rFonts w:ascii="Verdana" w:hAnsi="Verdana" w:cs="Verdana"/>
          <w:sz w:val="20"/>
          <w:szCs w:val="20"/>
          <w:lang w:val="en-US" w:eastAsia="es-ES"/>
        </w:rPr>
        <w:t>,</w:t>
      </w:r>
      <w:r w:rsidRPr="00EA6C7A">
        <w:rPr>
          <w:rFonts w:ascii="Verdana" w:hAnsi="Verdana" w:cs="Verdana"/>
          <w:sz w:val="20"/>
          <w:szCs w:val="20"/>
          <w:lang w:val="en-US" w:eastAsia="es-ES"/>
        </w:rPr>
        <w:t xml:space="preserve"> </w:t>
      </w:r>
      <w:r w:rsidR="00E43A75" w:rsidRPr="00EA6C7A">
        <w:rPr>
          <w:rFonts w:ascii="Verdana" w:hAnsi="Verdana" w:cs="Verdana"/>
          <w:sz w:val="20"/>
          <w:szCs w:val="20"/>
          <w:lang w:val="en-US" w:eastAsia="es-ES"/>
        </w:rPr>
        <w:t>the representatives</w:t>
      </w:r>
      <w:r w:rsidRPr="00EA6C7A">
        <w:rPr>
          <w:rFonts w:ascii="Verdana" w:hAnsi="Verdana" w:cs="Verdana"/>
          <w:sz w:val="20"/>
          <w:szCs w:val="20"/>
          <w:lang w:val="en-US" w:eastAsia="es-ES"/>
        </w:rPr>
        <w:t xml:space="preserve"> </w:t>
      </w:r>
      <w:r w:rsidR="00E43A75" w:rsidRPr="00EA6C7A">
        <w:rPr>
          <w:rFonts w:ascii="Verdana" w:hAnsi="Verdana" w:cs="Verdana"/>
          <w:sz w:val="20"/>
          <w:szCs w:val="20"/>
          <w:lang w:val="en-US" w:eastAsia="es-ES"/>
        </w:rPr>
        <w:t>and</w:t>
      </w:r>
      <w:r w:rsidRPr="00EA6C7A">
        <w:rPr>
          <w:rFonts w:ascii="Verdana" w:hAnsi="Verdana" w:cs="Verdana"/>
          <w:sz w:val="20"/>
          <w:szCs w:val="20"/>
          <w:lang w:val="en-US" w:eastAsia="es-ES"/>
        </w:rPr>
        <w:t xml:space="preserve"> </w:t>
      </w:r>
      <w:r w:rsidR="0096418F" w:rsidRPr="00EA6C7A">
        <w:rPr>
          <w:rFonts w:ascii="Verdana" w:hAnsi="Verdana" w:cs="Verdana"/>
          <w:sz w:val="20"/>
          <w:szCs w:val="20"/>
          <w:lang w:val="en-US" w:eastAsia="es-ES"/>
        </w:rPr>
        <w:t>the Commission</w:t>
      </w:r>
      <w:r w:rsidRPr="00EA6C7A">
        <w:rPr>
          <w:rFonts w:ascii="Verdana" w:hAnsi="Verdana" w:cs="Verdana"/>
          <w:sz w:val="20"/>
          <w:szCs w:val="20"/>
          <w:lang w:val="en-US" w:eastAsia="es-ES"/>
        </w:rPr>
        <w:t xml:space="preserve"> </w:t>
      </w:r>
      <w:r w:rsidR="00E43A75" w:rsidRPr="00EA6C7A">
        <w:rPr>
          <w:rFonts w:ascii="Verdana" w:hAnsi="Verdana" w:cs="Verdana"/>
          <w:sz w:val="20"/>
          <w:szCs w:val="20"/>
          <w:lang w:val="en-US" w:eastAsia="es-ES"/>
        </w:rPr>
        <w:t>presented their respective observations on the preliminary objections</w:t>
      </w:r>
      <w:r w:rsidRPr="00EA6C7A">
        <w:rPr>
          <w:rFonts w:ascii="Verdana" w:hAnsi="Verdana" w:cs="Verdana"/>
          <w:sz w:val="20"/>
          <w:szCs w:val="20"/>
          <w:lang w:val="en-US" w:eastAsia="es-ES"/>
        </w:rPr>
        <w:t xml:space="preserve"> </w:t>
      </w:r>
      <w:r w:rsidR="00E43A75" w:rsidRPr="00EA6C7A">
        <w:rPr>
          <w:rFonts w:ascii="Verdana" w:hAnsi="Verdana" w:cs="Verdana"/>
          <w:sz w:val="20"/>
          <w:szCs w:val="20"/>
          <w:lang w:val="en-US" w:eastAsia="es-ES"/>
        </w:rPr>
        <w:t>submitted by</w:t>
      </w:r>
      <w:r w:rsidRPr="00EA6C7A">
        <w:rPr>
          <w:rFonts w:ascii="Verdana" w:hAnsi="Verdana" w:cs="Verdana"/>
          <w:sz w:val="20"/>
          <w:szCs w:val="20"/>
          <w:lang w:val="en-US" w:eastAsia="es-ES"/>
        </w:rPr>
        <w:t xml:space="preserve"> </w:t>
      </w:r>
      <w:r w:rsidR="002F3848" w:rsidRPr="00EA6C7A">
        <w:rPr>
          <w:rFonts w:ascii="Verdana" w:hAnsi="Verdana" w:cs="Verdana"/>
          <w:sz w:val="20"/>
          <w:szCs w:val="20"/>
          <w:lang w:val="en-US" w:eastAsia="es-ES"/>
        </w:rPr>
        <w:t>the State</w:t>
      </w:r>
      <w:r w:rsidRPr="00EA6C7A">
        <w:rPr>
          <w:rFonts w:ascii="Verdana" w:hAnsi="Verdana" w:cs="Verdana"/>
          <w:sz w:val="20"/>
          <w:szCs w:val="20"/>
          <w:lang w:val="en-US" w:eastAsia="es-ES"/>
        </w:rPr>
        <w:t xml:space="preserve">, </w:t>
      </w:r>
      <w:r w:rsidR="00E43A75" w:rsidRPr="00EA6C7A">
        <w:rPr>
          <w:rFonts w:ascii="Verdana" w:hAnsi="Verdana" w:cs="Verdana"/>
          <w:sz w:val="20"/>
          <w:szCs w:val="20"/>
          <w:lang w:val="en-US" w:eastAsia="es-ES"/>
        </w:rPr>
        <w:t>in accordance with</w:t>
      </w:r>
      <w:r w:rsidRPr="00EA6C7A">
        <w:rPr>
          <w:rFonts w:ascii="Verdana" w:hAnsi="Verdana" w:cs="Verdana"/>
          <w:sz w:val="20"/>
          <w:szCs w:val="20"/>
          <w:lang w:val="en-US" w:eastAsia="es-ES"/>
        </w:rPr>
        <w:t xml:space="preserve"> </w:t>
      </w:r>
      <w:r w:rsidR="0096418F" w:rsidRPr="00EA6C7A">
        <w:rPr>
          <w:rFonts w:ascii="Verdana" w:hAnsi="Verdana" w:cs="Verdana"/>
          <w:sz w:val="20"/>
          <w:szCs w:val="20"/>
          <w:lang w:val="en-US" w:eastAsia="es-ES"/>
        </w:rPr>
        <w:t>Article</w:t>
      </w:r>
      <w:r w:rsidRPr="00EA6C7A">
        <w:rPr>
          <w:rFonts w:ascii="Verdana" w:hAnsi="Verdana" w:cs="Verdana"/>
          <w:sz w:val="20"/>
          <w:szCs w:val="20"/>
          <w:lang w:val="en-US" w:eastAsia="es-ES"/>
        </w:rPr>
        <w:t xml:space="preserve"> 42</w:t>
      </w:r>
      <w:r w:rsidR="00E43A75" w:rsidRPr="00EA6C7A">
        <w:rPr>
          <w:rFonts w:ascii="Verdana" w:hAnsi="Verdana" w:cs="Verdana"/>
          <w:sz w:val="20"/>
          <w:szCs w:val="20"/>
          <w:lang w:val="en-US" w:eastAsia="es-ES"/>
        </w:rPr>
        <w:t>(</w:t>
      </w:r>
      <w:r w:rsidRPr="00EA6C7A">
        <w:rPr>
          <w:rFonts w:ascii="Verdana" w:hAnsi="Verdana" w:cs="Verdana"/>
          <w:sz w:val="20"/>
          <w:szCs w:val="20"/>
          <w:lang w:val="en-US" w:eastAsia="es-ES"/>
        </w:rPr>
        <w:t>4</w:t>
      </w:r>
      <w:r w:rsidR="00E43A75" w:rsidRPr="00EA6C7A">
        <w:rPr>
          <w:rFonts w:ascii="Verdana" w:hAnsi="Verdana" w:cs="Verdana"/>
          <w:sz w:val="20"/>
          <w:szCs w:val="20"/>
          <w:lang w:val="en-US" w:eastAsia="es-ES"/>
        </w:rPr>
        <w:t>)</w:t>
      </w:r>
      <w:r w:rsidR="0096418F" w:rsidRPr="00EA6C7A">
        <w:rPr>
          <w:rFonts w:ascii="Verdana" w:hAnsi="Verdana" w:cs="Verdana"/>
          <w:sz w:val="20"/>
          <w:szCs w:val="20"/>
          <w:lang w:val="en-US" w:eastAsia="es-ES"/>
        </w:rPr>
        <w:t xml:space="preserve"> of the Rules of Procedure</w:t>
      </w:r>
      <w:r w:rsidR="00780332" w:rsidRPr="00EA6C7A">
        <w:rPr>
          <w:rFonts w:ascii="Verdana" w:hAnsi="Verdana" w:cs="Verdana"/>
          <w:sz w:val="20"/>
          <w:szCs w:val="20"/>
          <w:lang w:val="en-US" w:eastAsia="es-ES"/>
        </w:rPr>
        <w:t>.</w:t>
      </w:r>
    </w:p>
    <w:p w14:paraId="46FD2081" w14:textId="77777777" w:rsidR="005F5B74" w:rsidRPr="00EA6C7A" w:rsidRDefault="005F5B74" w:rsidP="005F5B74">
      <w:pPr>
        <w:spacing w:after="0" w:line="240" w:lineRule="auto"/>
        <w:jc w:val="both"/>
        <w:rPr>
          <w:rFonts w:ascii="Verdana" w:hAnsi="Verdana" w:cs="Verdana"/>
          <w:i/>
          <w:sz w:val="20"/>
          <w:szCs w:val="20"/>
          <w:lang w:val="en-US" w:eastAsia="es-ES"/>
        </w:rPr>
      </w:pPr>
    </w:p>
    <w:p w14:paraId="77D4CE8D" w14:textId="77777777" w:rsidR="005F5B74" w:rsidRPr="00EA6C7A" w:rsidRDefault="00E43A75" w:rsidP="00E11A7C">
      <w:pPr>
        <w:pStyle w:val="Prrafodelista"/>
        <w:numPr>
          <w:ilvl w:val="0"/>
          <w:numId w:val="3"/>
        </w:numPr>
        <w:spacing w:after="0" w:line="240" w:lineRule="auto"/>
        <w:ind w:left="0" w:firstLine="0"/>
        <w:jc w:val="both"/>
        <w:rPr>
          <w:rFonts w:ascii="Verdana" w:hAnsi="Verdana" w:cs="Verdana"/>
          <w:sz w:val="20"/>
          <w:szCs w:val="20"/>
          <w:lang w:val="en-US" w:eastAsia="es-ES"/>
        </w:rPr>
      </w:pPr>
      <w:r w:rsidRPr="00EA6C7A">
        <w:rPr>
          <w:rFonts w:ascii="Verdana" w:hAnsi="Verdana" w:cs="Verdana"/>
          <w:i/>
          <w:sz w:val="20"/>
          <w:szCs w:val="20"/>
          <w:lang w:val="en-US" w:eastAsia="es-ES"/>
        </w:rPr>
        <w:t>Public hearing</w:t>
      </w:r>
      <w:r w:rsidR="005F5B74" w:rsidRPr="00EA6C7A">
        <w:rPr>
          <w:rFonts w:ascii="Verdana" w:hAnsi="Verdana" w:cs="Verdana"/>
          <w:i/>
          <w:sz w:val="20"/>
          <w:szCs w:val="20"/>
          <w:lang w:val="en-US" w:eastAsia="es-ES"/>
        </w:rPr>
        <w:t xml:space="preserve">. </w:t>
      </w:r>
      <w:r w:rsidRPr="00EA6C7A">
        <w:rPr>
          <w:rFonts w:ascii="Verdana" w:hAnsi="Verdana" w:cs="Verdana"/>
          <w:sz w:val="20"/>
          <w:szCs w:val="20"/>
          <w:lang w:val="en-US" w:eastAsia="es-ES"/>
        </w:rPr>
        <w:t>In an order of March</w:t>
      </w:r>
      <w:r w:rsidR="005F5B74" w:rsidRPr="00EA6C7A">
        <w:rPr>
          <w:rFonts w:ascii="Verdana" w:hAnsi="Verdana" w:cs="Verdana"/>
          <w:sz w:val="20"/>
          <w:szCs w:val="20"/>
          <w:lang w:val="en-US" w:eastAsia="es-ES"/>
        </w:rPr>
        <w:t xml:space="preserve"> 19</w:t>
      </w:r>
      <w:r w:rsidRPr="00EA6C7A">
        <w:rPr>
          <w:rFonts w:ascii="Verdana" w:hAnsi="Verdana" w:cs="Verdana"/>
          <w:sz w:val="20"/>
          <w:szCs w:val="20"/>
          <w:lang w:val="en-US" w:eastAsia="es-ES"/>
        </w:rPr>
        <w:t xml:space="preserve">, </w:t>
      </w:r>
      <w:r w:rsidR="00B522F9" w:rsidRPr="00EA6C7A">
        <w:rPr>
          <w:rFonts w:ascii="Verdana" w:hAnsi="Verdana" w:cs="Verdana"/>
          <w:sz w:val="20"/>
          <w:szCs w:val="20"/>
          <w:lang w:val="en-US" w:eastAsia="es-ES"/>
        </w:rPr>
        <w:t>2015</w:t>
      </w:r>
      <w:r w:rsidRPr="00EA6C7A">
        <w:rPr>
          <w:rFonts w:ascii="Verdana" w:hAnsi="Verdana" w:cs="Verdana"/>
          <w:sz w:val="20"/>
          <w:szCs w:val="20"/>
          <w:lang w:val="en-US" w:eastAsia="es-ES"/>
        </w:rPr>
        <w:t>,</w:t>
      </w:r>
      <w:r w:rsidR="00844BFB" w:rsidRPr="00EA6C7A">
        <w:rPr>
          <w:rStyle w:val="Refdenotaalpie"/>
          <w:rFonts w:ascii="Verdana" w:hAnsi="Verdana" w:cs="Verdana"/>
          <w:sz w:val="20"/>
          <w:szCs w:val="20"/>
          <w:lang w:val="en-US" w:eastAsia="es-ES"/>
        </w:rPr>
        <w:footnoteReference w:id="2"/>
      </w:r>
      <w:r w:rsidR="005F5B74" w:rsidRPr="00EA6C7A">
        <w:rPr>
          <w:rFonts w:ascii="Verdana" w:hAnsi="Verdana" w:cs="Verdana"/>
          <w:sz w:val="20"/>
          <w:szCs w:val="20"/>
          <w:lang w:val="en-US" w:eastAsia="es-ES"/>
        </w:rPr>
        <w:t xml:space="preserve"> </w:t>
      </w:r>
      <w:r w:rsidR="0096418F" w:rsidRPr="00EA6C7A">
        <w:rPr>
          <w:rFonts w:ascii="Verdana" w:hAnsi="Verdana" w:cs="Verdana"/>
          <w:sz w:val="20"/>
          <w:szCs w:val="20"/>
          <w:lang w:val="en-US" w:eastAsia="es-ES"/>
        </w:rPr>
        <w:t>the President of the Court</w:t>
      </w:r>
      <w:r w:rsidR="00780332" w:rsidRPr="00EA6C7A">
        <w:rPr>
          <w:rFonts w:ascii="Verdana" w:hAnsi="Verdana" w:cs="Verdana"/>
          <w:sz w:val="20"/>
          <w:szCs w:val="20"/>
          <w:lang w:val="en-US" w:eastAsia="es-ES"/>
        </w:rPr>
        <w:t xml:space="preserve">, </w:t>
      </w:r>
      <w:r w:rsidR="00780332" w:rsidRPr="00EA6C7A">
        <w:rPr>
          <w:rFonts w:ascii="Verdana" w:eastAsia="Calibri" w:hAnsi="Verdana" w:cs="Arial"/>
          <w:sz w:val="20"/>
          <w:szCs w:val="20"/>
          <w:lang w:val="en-US"/>
        </w:rPr>
        <w:t>(</w:t>
      </w:r>
      <w:r w:rsidR="0096418F" w:rsidRPr="00EA6C7A">
        <w:rPr>
          <w:rFonts w:ascii="Verdana" w:eastAsia="Calibri" w:hAnsi="Verdana" w:cs="Arial"/>
          <w:sz w:val="20"/>
          <w:szCs w:val="20"/>
          <w:lang w:val="en-US"/>
        </w:rPr>
        <w:t>hereinafter</w:t>
      </w:r>
      <w:r w:rsidR="00780332" w:rsidRPr="00EA6C7A">
        <w:rPr>
          <w:rFonts w:ascii="Verdana" w:eastAsia="Calibri" w:hAnsi="Verdana" w:cs="Arial"/>
          <w:sz w:val="20"/>
          <w:szCs w:val="20"/>
          <w:lang w:val="en-US"/>
        </w:rPr>
        <w:t xml:space="preserve"> “</w:t>
      </w:r>
      <w:r w:rsidR="0096418F" w:rsidRPr="00EA6C7A">
        <w:rPr>
          <w:rFonts w:ascii="Verdana" w:eastAsia="Calibri" w:hAnsi="Verdana" w:cs="Arial"/>
          <w:sz w:val="20"/>
          <w:szCs w:val="20"/>
          <w:lang w:val="en-US"/>
        </w:rPr>
        <w:t>the President</w:t>
      </w:r>
      <w:r w:rsidR="00780332" w:rsidRPr="00EA6C7A">
        <w:rPr>
          <w:rFonts w:ascii="Verdana" w:eastAsia="Calibri" w:hAnsi="Verdana" w:cs="Arial"/>
          <w:sz w:val="20"/>
          <w:szCs w:val="20"/>
          <w:lang w:val="en-US"/>
        </w:rPr>
        <w:t>”)</w:t>
      </w:r>
      <w:r w:rsidR="00780332" w:rsidRPr="00EA6C7A">
        <w:rPr>
          <w:rFonts w:ascii="Verdana" w:hAnsi="Verdana" w:cs="Verdana"/>
          <w:sz w:val="20"/>
          <w:szCs w:val="20"/>
          <w:lang w:val="en-US" w:eastAsia="es-ES"/>
        </w:rPr>
        <w:t xml:space="preserve"> </w:t>
      </w:r>
      <w:r w:rsidRPr="00EA6C7A">
        <w:rPr>
          <w:rFonts w:ascii="Verdana" w:hAnsi="Verdana" w:cs="Verdana"/>
          <w:sz w:val="20"/>
          <w:szCs w:val="20"/>
          <w:lang w:val="en-US" w:eastAsia="es-ES"/>
        </w:rPr>
        <w:t xml:space="preserve">called the parties to a public hearing, which was held in </w:t>
      </w:r>
      <w:r w:rsidR="005F5B74" w:rsidRPr="00EA6C7A">
        <w:rPr>
          <w:rFonts w:ascii="Verdana" w:hAnsi="Verdana" w:cs="Verdana"/>
          <w:sz w:val="20"/>
          <w:szCs w:val="20"/>
          <w:lang w:val="en-US" w:eastAsia="es-ES"/>
        </w:rPr>
        <w:t xml:space="preserve">Cartagena de </w:t>
      </w:r>
      <w:proofErr w:type="spellStart"/>
      <w:r w:rsidR="005F5B74" w:rsidRPr="00EA6C7A">
        <w:rPr>
          <w:rFonts w:ascii="Verdana" w:hAnsi="Verdana" w:cs="Verdana"/>
          <w:sz w:val="20"/>
          <w:szCs w:val="20"/>
          <w:lang w:val="en-US" w:eastAsia="es-ES"/>
        </w:rPr>
        <w:t>Indias</w:t>
      </w:r>
      <w:proofErr w:type="spellEnd"/>
      <w:r w:rsidR="005F5B74" w:rsidRPr="00EA6C7A">
        <w:rPr>
          <w:rFonts w:ascii="Verdana" w:hAnsi="Verdana" w:cs="Verdana"/>
          <w:sz w:val="20"/>
          <w:szCs w:val="20"/>
          <w:lang w:val="en-US" w:eastAsia="es-ES"/>
        </w:rPr>
        <w:t>, Colombia</w:t>
      </w:r>
      <w:r w:rsidRPr="00EA6C7A">
        <w:rPr>
          <w:rFonts w:ascii="Verdana" w:hAnsi="Verdana" w:cs="Verdana"/>
          <w:sz w:val="20"/>
          <w:szCs w:val="20"/>
          <w:lang w:val="en-US" w:eastAsia="es-ES"/>
        </w:rPr>
        <w:t>, on April 21 and 22,</w:t>
      </w:r>
      <w:r w:rsidR="005F5B74" w:rsidRPr="00EA6C7A">
        <w:rPr>
          <w:rFonts w:ascii="Verdana" w:hAnsi="Verdana" w:cs="Verdana"/>
          <w:sz w:val="20"/>
          <w:szCs w:val="20"/>
          <w:lang w:val="en-US" w:eastAsia="es-ES"/>
        </w:rPr>
        <w:t xml:space="preserve"> 2015</w:t>
      </w:r>
      <w:r w:rsidRPr="00EA6C7A">
        <w:rPr>
          <w:rFonts w:ascii="Verdana" w:hAnsi="Verdana" w:cs="Verdana"/>
          <w:sz w:val="20"/>
          <w:szCs w:val="20"/>
          <w:lang w:val="en-US" w:eastAsia="es-ES"/>
        </w:rPr>
        <w:t>, during the Court’s fifty-second special session,</w:t>
      </w:r>
      <w:r w:rsidR="00844BFB" w:rsidRPr="00EA6C7A">
        <w:rPr>
          <w:rStyle w:val="Refdenotaalpie"/>
          <w:rFonts w:ascii="Verdana" w:hAnsi="Verdana" w:cs="Verdana"/>
          <w:sz w:val="20"/>
          <w:szCs w:val="20"/>
          <w:lang w:val="en-US" w:eastAsia="es-ES"/>
        </w:rPr>
        <w:footnoteReference w:id="3"/>
      </w:r>
      <w:r w:rsidR="005F5B74" w:rsidRPr="00EA6C7A">
        <w:rPr>
          <w:rFonts w:ascii="Verdana" w:hAnsi="Verdana" w:cs="Verdana"/>
          <w:sz w:val="20"/>
          <w:szCs w:val="20"/>
          <w:lang w:val="en-US" w:eastAsia="es-ES"/>
        </w:rPr>
        <w:t xml:space="preserve"> </w:t>
      </w:r>
      <w:r w:rsidRPr="00EA6C7A">
        <w:rPr>
          <w:rFonts w:ascii="Verdana" w:hAnsi="Verdana" w:cs="Verdana"/>
          <w:sz w:val="20"/>
          <w:szCs w:val="20"/>
          <w:lang w:val="en-US" w:eastAsia="es-ES"/>
        </w:rPr>
        <w:t>and required several statements to be received in this case</w:t>
      </w:r>
      <w:r w:rsidR="005F5B74" w:rsidRPr="00EA6C7A">
        <w:rPr>
          <w:rFonts w:ascii="Verdana" w:hAnsi="Verdana" w:cs="Verdana"/>
          <w:sz w:val="20"/>
          <w:szCs w:val="20"/>
          <w:lang w:val="en-US" w:eastAsia="es-ES"/>
        </w:rPr>
        <w:t>.</w:t>
      </w:r>
    </w:p>
    <w:p w14:paraId="3A04E152" w14:textId="77777777" w:rsidR="005F5B74" w:rsidRPr="00EA6C7A" w:rsidRDefault="005F5B74" w:rsidP="005F5B74">
      <w:pPr>
        <w:pStyle w:val="Prrafodelista"/>
        <w:spacing w:after="0" w:line="240" w:lineRule="auto"/>
        <w:ind w:left="0"/>
        <w:jc w:val="both"/>
        <w:rPr>
          <w:rFonts w:ascii="Verdana" w:hAnsi="Verdana" w:cs="Verdana"/>
          <w:sz w:val="20"/>
          <w:szCs w:val="20"/>
          <w:lang w:val="en-US" w:eastAsia="es-ES"/>
        </w:rPr>
      </w:pPr>
    </w:p>
    <w:p w14:paraId="6844E86B" w14:textId="77777777" w:rsidR="005F5B74" w:rsidRPr="00EA6C7A" w:rsidRDefault="00D70069" w:rsidP="002E474F">
      <w:pPr>
        <w:pStyle w:val="Prrafodelista"/>
        <w:numPr>
          <w:ilvl w:val="0"/>
          <w:numId w:val="3"/>
        </w:numPr>
        <w:spacing w:after="0" w:line="240" w:lineRule="auto"/>
        <w:ind w:left="0" w:firstLine="0"/>
        <w:jc w:val="both"/>
        <w:rPr>
          <w:rFonts w:ascii="Verdana" w:hAnsi="Verdana" w:cs="Verdana"/>
          <w:sz w:val="20"/>
          <w:szCs w:val="20"/>
          <w:lang w:val="en-US" w:eastAsia="es-ES"/>
        </w:rPr>
      </w:pPr>
      <w:r w:rsidRPr="00EA6C7A">
        <w:rPr>
          <w:rFonts w:ascii="Verdana" w:hAnsi="Verdana" w:cs="Verdana"/>
          <w:i/>
          <w:sz w:val="20"/>
          <w:szCs w:val="20"/>
          <w:lang w:val="en-US" w:eastAsia="es-ES"/>
        </w:rPr>
        <w:t>Helpful evidence</w:t>
      </w:r>
      <w:r w:rsidR="008A37BB" w:rsidRPr="00EA6C7A">
        <w:rPr>
          <w:rFonts w:ascii="Verdana" w:hAnsi="Verdana" w:cs="Verdana"/>
          <w:i/>
          <w:sz w:val="20"/>
          <w:szCs w:val="20"/>
          <w:lang w:val="en-US" w:eastAsia="es-ES"/>
        </w:rPr>
        <w:t>.</w:t>
      </w:r>
      <w:r w:rsidR="005F5B74"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In the annexes to a brief of March 25, 2015, the State forwarded “the file documents containing the procedural actions taken from May 2012 to date,” that were requested</w:t>
      </w:r>
      <w:r w:rsidR="008A1494" w:rsidRPr="00EA6C7A">
        <w:rPr>
          <w:rFonts w:ascii="Verdana" w:hAnsi="Verdana" w:cs="Verdana"/>
          <w:sz w:val="20"/>
          <w:szCs w:val="20"/>
          <w:lang w:val="en-US" w:eastAsia="es-ES"/>
        </w:rPr>
        <w:t xml:space="preserve"> as helpful evidence</w:t>
      </w:r>
      <w:r w:rsidR="002E474F" w:rsidRPr="00EA6C7A">
        <w:rPr>
          <w:rFonts w:ascii="Verdana" w:hAnsi="Verdana" w:cs="Verdana"/>
          <w:sz w:val="20"/>
          <w:szCs w:val="20"/>
          <w:lang w:val="en-US" w:eastAsia="es-ES"/>
        </w:rPr>
        <w:t xml:space="preserve"> in an order </w:t>
      </w:r>
      <w:r w:rsidR="0096418F" w:rsidRPr="00EA6C7A">
        <w:rPr>
          <w:rFonts w:ascii="Verdana" w:hAnsi="Verdana" w:cs="Verdana"/>
          <w:sz w:val="20"/>
          <w:szCs w:val="20"/>
          <w:lang w:val="en-US" w:eastAsia="es-ES"/>
        </w:rPr>
        <w:t>of the President</w:t>
      </w:r>
      <w:r w:rsidR="005F5B74"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 xml:space="preserve">of March 19, </w:t>
      </w:r>
      <w:r w:rsidR="005F5B74" w:rsidRPr="00EA6C7A">
        <w:rPr>
          <w:rFonts w:ascii="Verdana" w:hAnsi="Verdana" w:cs="Verdana"/>
          <w:sz w:val="20"/>
          <w:szCs w:val="20"/>
          <w:lang w:val="en-US" w:eastAsia="es-ES"/>
        </w:rPr>
        <w:t>2015 (</w:t>
      </w:r>
      <w:r w:rsidR="005F5B74" w:rsidRPr="00EA6C7A">
        <w:rPr>
          <w:rFonts w:ascii="Verdana" w:hAnsi="Verdana" w:cs="Verdana"/>
          <w:i/>
          <w:sz w:val="20"/>
          <w:szCs w:val="20"/>
          <w:lang w:val="en-US" w:eastAsia="es-ES"/>
        </w:rPr>
        <w:t xml:space="preserve">supra </w:t>
      </w:r>
      <w:r w:rsidR="002F3848" w:rsidRPr="00EA6C7A">
        <w:rPr>
          <w:rFonts w:ascii="Verdana" w:hAnsi="Verdana" w:cs="Verdana"/>
          <w:sz w:val="20"/>
          <w:szCs w:val="20"/>
          <w:lang w:val="en-US" w:eastAsia="es-ES"/>
        </w:rPr>
        <w:t>para.</w:t>
      </w:r>
      <w:r w:rsidR="005F5B74" w:rsidRPr="00EA6C7A">
        <w:rPr>
          <w:rFonts w:ascii="Verdana" w:hAnsi="Verdana" w:cs="Verdana"/>
          <w:sz w:val="20"/>
          <w:szCs w:val="20"/>
          <w:lang w:val="en-US" w:eastAsia="es-ES"/>
        </w:rPr>
        <w:t xml:space="preserve"> </w:t>
      </w:r>
      <w:r w:rsidR="00780332" w:rsidRPr="00EA6C7A">
        <w:rPr>
          <w:rFonts w:ascii="Verdana" w:hAnsi="Verdana" w:cs="Verdana"/>
          <w:sz w:val="20"/>
          <w:szCs w:val="20"/>
          <w:lang w:val="en-US" w:eastAsia="es-ES"/>
        </w:rPr>
        <w:t>10</w:t>
      </w:r>
      <w:r w:rsidR="005F5B74" w:rsidRPr="00EA6C7A">
        <w:rPr>
          <w:rFonts w:ascii="Verdana" w:hAnsi="Verdana" w:cs="Verdana"/>
          <w:sz w:val="20"/>
          <w:szCs w:val="20"/>
          <w:lang w:val="en-US" w:eastAsia="es-ES"/>
        </w:rPr>
        <w:t>)</w:t>
      </w:r>
      <w:r w:rsidR="002E474F" w:rsidRPr="00EA6C7A">
        <w:rPr>
          <w:rFonts w:ascii="Verdana" w:hAnsi="Verdana" w:cs="Verdana"/>
          <w:sz w:val="20"/>
          <w:szCs w:val="20"/>
          <w:lang w:val="en-US" w:eastAsia="es-ES"/>
        </w:rPr>
        <w:t xml:space="preserve">. </w:t>
      </w:r>
    </w:p>
    <w:p w14:paraId="369544B6" w14:textId="77777777" w:rsidR="002E474F" w:rsidRPr="00EA6C7A" w:rsidRDefault="002E474F" w:rsidP="002E474F">
      <w:pPr>
        <w:pStyle w:val="Prrafodelista"/>
        <w:spacing w:after="0" w:line="240" w:lineRule="auto"/>
        <w:ind w:left="0"/>
        <w:jc w:val="both"/>
        <w:rPr>
          <w:rFonts w:ascii="Verdana" w:hAnsi="Verdana" w:cs="Verdana"/>
          <w:sz w:val="20"/>
          <w:szCs w:val="20"/>
          <w:lang w:val="en-US" w:eastAsia="es-ES"/>
        </w:rPr>
      </w:pPr>
    </w:p>
    <w:p w14:paraId="1779CCEA" w14:textId="77777777" w:rsidR="0022623F" w:rsidRPr="00EA6C7A" w:rsidRDefault="005F5B74" w:rsidP="0022623F">
      <w:pPr>
        <w:pStyle w:val="Prrafodelista"/>
        <w:numPr>
          <w:ilvl w:val="0"/>
          <w:numId w:val="3"/>
        </w:numPr>
        <w:spacing w:after="0" w:line="240" w:lineRule="auto"/>
        <w:ind w:left="0" w:firstLine="0"/>
        <w:jc w:val="both"/>
        <w:rPr>
          <w:rFonts w:ascii="Verdana" w:hAnsi="Verdana" w:cs="Arial"/>
          <w:color w:val="49494B"/>
          <w:lang w:val="en-US"/>
        </w:rPr>
      </w:pPr>
      <w:r w:rsidRPr="00EA6C7A">
        <w:rPr>
          <w:rFonts w:ascii="Verdana" w:hAnsi="Verdana" w:cs="Verdana"/>
          <w:i/>
          <w:sz w:val="20"/>
          <w:szCs w:val="20"/>
          <w:lang w:val="en-US" w:eastAsia="es-ES"/>
        </w:rPr>
        <w:t>Informa</w:t>
      </w:r>
      <w:r w:rsidR="002E474F" w:rsidRPr="00EA6C7A">
        <w:rPr>
          <w:rFonts w:ascii="Verdana" w:hAnsi="Verdana" w:cs="Verdana"/>
          <w:i/>
          <w:sz w:val="20"/>
          <w:szCs w:val="20"/>
          <w:lang w:val="en-US" w:eastAsia="es-ES"/>
        </w:rPr>
        <w:t xml:space="preserve">tion on the detention of a presumed victim </w:t>
      </w:r>
      <w:r w:rsidR="008A1494" w:rsidRPr="00EA6C7A">
        <w:rPr>
          <w:rFonts w:ascii="Verdana" w:hAnsi="Verdana" w:cs="Verdana"/>
          <w:i/>
          <w:sz w:val="20"/>
          <w:szCs w:val="20"/>
          <w:lang w:val="en-US" w:eastAsia="es-ES"/>
        </w:rPr>
        <w:t>following</w:t>
      </w:r>
      <w:r w:rsidR="002E474F" w:rsidRPr="00EA6C7A">
        <w:rPr>
          <w:rFonts w:ascii="Verdana" w:hAnsi="Verdana" w:cs="Verdana"/>
          <w:i/>
          <w:sz w:val="20"/>
          <w:szCs w:val="20"/>
          <w:lang w:val="en-US" w:eastAsia="es-ES"/>
        </w:rPr>
        <w:t xml:space="preserve"> the </w:t>
      </w:r>
      <w:r w:rsidR="00E43A75" w:rsidRPr="00EA6C7A">
        <w:rPr>
          <w:rFonts w:ascii="Verdana" w:hAnsi="Verdana" w:cs="Verdana"/>
          <w:i/>
          <w:sz w:val="20"/>
          <w:szCs w:val="20"/>
          <w:lang w:val="en-US" w:eastAsia="es-ES"/>
        </w:rPr>
        <w:t>public hearing</w:t>
      </w:r>
      <w:r w:rsidR="002E474F" w:rsidRPr="00EA6C7A">
        <w:rPr>
          <w:rFonts w:ascii="Verdana" w:hAnsi="Verdana" w:cs="Verdana"/>
          <w:sz w:val="20"/>
          <w:szCs w:val="20"/>
          <w:lang w:val="en-US" w:eastAsia="es-ES"/>
        </w:rPr>
        <w:t>.</w:t>
      </w:r>
      <w:r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In a communication of May</w:t>
      </w:r>
      <w:r w:rsidRPr="00EA6C7A">
        <w:rPr>
          <w:rFonts w:ascii="Verdana" w:hAnsi="Verdana" w:cs="Verdana"/>
          <w:sz w:val="20"/>
          <w:szCs w:val="20"/>
          <w:lang w:val="en-US" w:eastAsia="es-ES"/>
        </w:rPr>
        <w:t xml:space="preserve"> 18</w:t>
      </w:r>
      <w:r w:rsidR="002E474F" w:rsidRPr="00EA6C7A">
        <w:rPr>
          <w:rFonts w:ascii="Verdana" w:hAnsi="Verdana" w:cs="Verdana"/>
          <w:sz w:val="20"/>
          <w:szCs w:val="20"/>
          <w:lang w:val="en-US" w:eastAsia="es-ES"/>
        </w:rPr>
        <w:t xml:space="preserve">, </w:t>
      </w:r>
      <w:r w:rsidRPr="00EA6C7A">
        <w:rPr>
          <w:rFonts w:ascii="Verdana" w:hAnsi="Verdana" w:cs="Verdana"/>
          <w:sz w:val="20"/>
          <w:szCs w:val="20"/>
          <w:lang w:val="en-US" w:eastAsia="es-ES"/>
        </w:rPr>
        <w:t xml:space="preserve">2015, </w:t>
      </w:r>
      <w:r w:rsidR="00E43A75" w:rsidRPr="00EA6C7A">
        <w:rPr>
          <w:rFonts w:ascii="Verdana" w:hAnsi="Verdana" w:cs="Verdana"/>
          <w:sz w:val="20"/>
          <w:szCs w:val="20"/>
          <w:lang w:val="en-US" w:eastAsia="es-ES"/>
        </w:rPr>
        <w:t>the representatives</w:t>
      </w:r>
      <w:r w:rsidR="002E474F" w:rsidRPr="00EA6C7A">
        <w:rPr>
          <w:rFonts w:ascii="Verdana" w:hAnsi="Verdana" w:cs="Verdana"/>
          <w:sz w:val="20"/>
          <w:szCs w:val="20"/>
          <w:lang w:val="en-US" w:eastAsia="es-ES"/>
        </w:rPr>
        <w:t xml:space="preserve"> reported the “capture” of </w:t>
      </w:r>
      <w:r w:rsidRPr="00EA6C7A">
        <w:rPr>
          <w:rFonts w:ascii="Verdana" w:hAnsi="Verdana" w:cs="Verdana"/>
          <w:sz w:val="20"/>
          <w:szCs w:val="20"/>
          <w:lang w:val="en-US" w:eastAsia="es-ES"/>
        </w:rPr>
        <w:t xml:space="preserve">Jorge Rolando Velásquez </w:t>
      </w:r>
      <w:r w:rsidR="00BA09FB" w:rsidRPr="00EA6C7A">
        <w:rPr>
          <w:rFonts w:ascii="Verdana" w:hAnsi="Verdana" w:cs="Verdana"/>
          <w:sz w:val="20"/>
          <w:szCs w:val="20"/>
          <w:lang w:val="en-US" w:eastAsia="es-ES"/>
        </w:rPr>
        <w:t>Durá</w:t>
      </w:r>
      <w:r w:rsidR="00A109AA" w:rsidRPr="00EA6C7A">
        <w:rPr>
          <w:rFonts w:ascii="Verdana" w:hAnsi="Verdana" w:cs="Verdana"/>
          <w:sz w:val="20"/>
          <w:szCs w:val="20"/>
          <w:lang w:val="en-US" w:eastAsia="es-ES"/>
        </w:rPr>
        <w:t>n</w:t>
      </w:r>
      <w:r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as the alleged result of “</w:t>
      </w:r>
      <w:r w:rsidR="008A1494" w:rsidRPr="00EA6C7A">
        <w:rPr>
          <w:rFonts w:ascii="Verdana" w:hAnsi="Verdana" w:cs="Verdana"/>
          <w:sz w:val="20"/>
          <w:szCs w:val="20"/>
          <w:lang w:val="en-US" w:eastAsia="es-ES"/>
        </w:rPr>
        <w:t>his</w:t>
      </w:r>
      <w:r w:rsidR="002E474F" w:rsidRPr="00EA6C7A">
        <w:rPr>
          <w:rFonts w:ascii="Verdana" w:hAnsi="Verdana" w:cs="Verdana"/>
          <w:sz w:val="20"/>
          <w:szCs w:val="20"/>
          <w:lang w:val="en-US" w:eastAsia="es-ES"/>
        </w:rPr>
        <w:t xml:space="preserve"> state</w:t>
      </w:r>
      <w:r w:rsidR="008A1494" w:rsidRPr="00EA6C7A">
        <w:rPr>
          <w:rFonts w:ascii="Verdana" w:hAnsi="Verdana" w:cs="Verdana"/>
          <w:sz w:val="20"/>
          <w:szCs w:val="20"/>
          <w:lang w:val="en-US" w:eastAsia="es-ES"/>
        </w:rPr>
        <w:t>ments</w:t>
      </w:r>
      <w:r w:rsidR="002E474F" w:rsidRPr="00EA6C7A">
        <w:rPr>
          <w:rFonts w:ascii="Verdana" w:hAnsi="Verdana" w:cs="Verdana"/>
          <w:sz w:val="20"/>
          <w:szCs w:val="20"/>
          <w:lang w:val="en-US" w:eastAsia="es-ES"/>
        </w:rPr>
        <w:t xml:space="preserve"> during the </w:t>
      </w:r>
      <w:r w:rsidR="008A1494" w:rsidRPr="00EA6C7A">
        <w:rPr>
          <w:rFonts w:ascii="Verdana" w:hAnsi="Verdana" w:cs="Verdana"/>
          <w:sz w:val="20"/>
          <w:szCs w:val="20"/>
          <w:lang w:val="en-US" w:eastAsia="es-ES"/>
        </w:rPr>
        <w:t>[…]</w:t>
      </w:r>
      <w:r w:rsidR="002E474F" w:rsidRPr="00EA6C7A">
        <w:rPr>
          <w:rFonts w:ascii="Verdana" w:hAnsi="Verdana" w:cs="Arial"/>
          <w:color w:val="49494B"/>
          <w:lang w:val="en-US"/>
        </w:rPr>
        <w:t xml:space="preserve"> </w:t>
      </w:r>
      <w:r w:rsidR="00E43A75" w:rsidRPr="00EA6C7A">
        <w:rPr>
          <w:rFonts w:ascii="Verdana" w:hAnsi="Verdana" w:cs="Verdana"/>
          <w:sz w:val="20"/>
          <w:szCs w:val="20"/>
          <w:lang w:val="en-US" w:eastAsia="es-ES"/>
        </w:rPr>
        <w:t>public hearing</w:t>
      </w:r>
      <w:r w:rsidR="002E474F" w:rsidRPr="00EA6C7A">
        <w:rPr>
          <w:rFonts w:ascii="Verdana" w:hAnsi="Verdana" w:cs="Verdana"/>
          <w:sz w:val="20"/>
          <w:szCs w:val="20"/>
          <w:lang w:val="en-US" w:eastAsia="es-ES"/>
        </w:rPr>
        <w:t>.</w:t>
      </w:r>
      <w:r w:rsidRPr="00EA6C7A">
        <w:rPr>
          <w:rFonts w:ascii="Verdana" w:hAnsi="Verdana" w:cs="Verdana"/>
          <w:sz w:val="20"/>
          <w:szCs w:val="20"/>
          <w:lang w:val="en-US" w:eastAsia="es-ES"/>
        </w:rPr>
        <w:t>”</w:t>
      </w:r>
      <w:r w:rsidR="002E474F" w:rsidRPr="00EA6C7A">
        <w:rPr>
          <w:rFonts w:ascii="Verdana" w:hAnsi="Verdana" w:cs="Verdana"/>
          <w:sz w:val="20"/>
          <w:szCs w:val="20"/>
          <w:lang w:val="en-US" w:eastAsia="es-ES"/>
        </w:rPr>
        <w:t xml:space="preserve"> Consequently, they asked that, based on</w:t>
      </w:r>
      <w:r w:rsidRPr="00EA6C7A">
        <w:rPr>
          <w:rFonts w:ascii="Verdana" w:hAnsi="Verdana" w:cs="Verdana"/>
          <w:sz w:val="20"/>
          <w:szCs w:val="20"/>
          <w:lang w:val="en-US" w:eastAsia="es-ES"/>
        </w:rPr>
        <w:t xml:space="preserve"> </w:t>
      </w:r>
      <w:r w:rsidR="001914FC" w:rsidRPr="00EA6C7A">
        <w:rPr>
          <w:rFonts w:ascii="Verdana" w:hAnsi="Verdana" w:cs="Verdana"/>
          <w:sz w:val="20"/>
          <w:szCs w:val="20"/>
          <w:lang w:val="en-US" w:eastAsia="es-ES"/>
        </w:rPr>
        <w:t>Article</w:t>
      </w:r>
      <w:r w:rsidRPr="00EA6C7A">
        <w:rPr>
          <w:rFonts w:ascii="Verdana" w:hAnsi="Verdana" w:cs="Verdana"/>
          <w:sz w:val="20"/>
          <w:szCs w:val="20"/>
          <w:lang w:val="en-US" w:eastAsia="es-ES"/>
        </w:rPr>
        <w:t xml:space="preserve"> 53</w:t>
      </w:r>
      <w:r w:rsidR="0096418F" w:rsidRPr="00EA6C7A">
        <w:rPr>
          <w:rFonts w:ascii="Verdana" w:hAnsi="Verdana" w:cs="Verdana"/>
          <w:sz w:val="20"/>
          <w:szCs w:val="20"/>
          <w:lang w:val="en-US" w:eastAsia="es-ES"/>
        </w:rPr>
        <w:t xml:space="preserve"> of the Rules of Procedure</w:t>
      </w:r>
      <w:r w:rsidR="002E474F" w:rsidRPr="00EA6C7A">
        <w:rPr>
          <w:rFonts w:ascii="Verdana" w:hAnsi="Verdana" w:cs="Verdana"/>
          <w:sz w:val="20"/>
          <w:szCs w:val="20"/>
          <w:lang w:val="en-US" w:eastAsia="es-ES"/>
        </w:rPr>
        <w:t>, the Court “require</w:t>
      </w:r>
      <w:r w:rsidR="00B14DCF" w:rsidRPr="00EA6C7A">
        <w:rPr>
          <w:rFonts w:ascii="Verdana" w:hAnsi="Verdana" w:cs="Verdana"/>
          <w:sz w:val="20"/>
          <w:szCs w:val="20"/>
          <w:lang w:val="en-US" w:eastAsia="es-ES"/>
        </w:rPr>
        <w:t xml:space="preserve"> </w:t>
      </w:r>
      <w:r w:rsidRPr="00EA6C7A">
        <w:rPr>
          <w:rFonts w:ascii="Verdana" w:hAnsi="Verdana" w:cs="Verdana"/>
          <w:sz w:val="20"/>
          <w:szCs w:val="20"/>
          <w:lang w:val="en-US" w:eastAsia="es-ES"/>
        </w:rPr>
        <w:t>[…]</w:t>
      </w:r>
      <w:r w:rsidR="00E43A75" w:rsidRPr="00EA6C7A">
        <w:rPr>
          <w:rFonts w:ascii="Verdana" w:hAnsi="Verdana" w:cs="Verdana"/>
          <w:sz w:val="20"/>
          <w:szCs w:val="20"/>
          <w:lang w:val="en-US" w:eastAsia="es-ES"/>
        </w:rPr>
        <w:t xml:space="preserve"> the State</w:t>
      </w:r>
      <w:r w:rsidRPr="00EA6C7A">
        <w:rPr>
          <w:rFonts w:ascii="Verdana" w:hAnsi="Verdana" w:cs="Verdana"/>
          <w:sz w:val="20"/>
          <w:szCs w:val="20"/>
          <w:lang w:val="en-US" w:eastAsia="es-ES"/>
        </w:rPr>
        <w:t xml:space="preserve"> </w:t>
      </w:r>
      <w:r w:rsidR="002C36F2" w:rsidRPr="00EA6C7A">
        <w:rPr>
          <w:rFonts w:ascii="Verdana" w:hAnsi="Verdana" w:cs="Verdana"/>
          <w:sz w:val="20"/>
          <w:szCs w:val="20"/>
          <w:lang w:val="en-US" w:eastAsia="es-ES"/>
        </w:rPr>
        <w:t>[…]</w:t>
      </w:r>
      <w:r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to provide information on th</w:t>
      </w:r>
      <w:r w:rsidR="008A1494" w:rsidRPr="00EA6C7A">
        <w:rPr>
          <w:rFonts w:ascii="Verdana" w:hAnsi="Verdana" w:cs="Verdana"/>
          <w:sz w:val="20"/>
          <w:szCs w:val="20"/>
          <w:lang w:val="en-US" w:eastAsia="es-ES"/>
        </w:rPr>
        <w:t>is</w:t>
      </w:r>
      <w:r w:rsidR="002E474F" w:rsidRPr="00EA6C7A">
        <w:rPr>
          <w:rFonts w:ascii="Verdana" w:hAnsi="Verdana" w:cs="Verdana"/>
          <w:sz w:val="20"/>
          <w:szCs w:val="20"/>
          <w:lang w:val="en-US" w:eastAsia="es-ES"/>
        </w:rPr>
        <w:t xml:space="preserve"> </w:t>
      </w:r>
      <w:r w:rsidR="008A1494" w:rsidRPr="00EA6C7A">
        <w:rPr>
          <w:rFonts w:ascii="Verdana" w:hAnsi="Verdana" w:cs="Verdana"/>
          <w:sz w:val="20"/>
          <w:szCs w:val="20"/>
          <w:lang w:val="en-US" w:eastAsia="es-ES"/>
        </w:rPr>
        <w:t>fact</w:t>
      </w:r>
      <w:r w:rsidR="002E474F" w:rsidRPr="00EA6C7A">
        <w:rPr>
          <w:rFonts w:ascii="Verdana" w:hAnsi="Verdana" w:cs="Verdana"/>
          <w:sz w:val="20"/>
          <w:szCs w:val="20"/>
          <w:lang w:val="en-US" w:eastAsia="es-ES"/>
        </w:rPr>
        <w:t xml:space="preserve">.” In a note of the Secretariat of </w:t>
      </w:r>
      <w:r w:rsidR="001914FC" w:rsidRPr="00EA6C7A">
        <w:rPr>
          <w:rFonts w:ascii="Verdana" w:hAnsi="Verdana" w:cs="Verdana"/>
          <w:sz w:val="20"/>
          <w:szCs w:val="20"/>
          <w:lang w:val="en-US" w:eastAsia="es-ES"/>
        </w:rPr>
        <w:t>May 19,</w:t>
      </w:r>
      <w:r w:rsidRPr="00EA6C7A">
        <w:rPr>
          <w:rFonts w:ascii="Verdana" w:hAnsi="Verdana" w:cs="Verdana"/>
          <w:sz w:val="20"/>
          <w:szCs w:val="20"/>
          <w:lang w:val="en-US" w:eastAsia="es-ES"/>
        </w:rPr>
        <w:t xml:space="preserve"> 2015, </w:t>
      </w:r>
      <w:r w:rsidR="00E43A75" w:rsidRPr="00EA6C7A">
        <w:rPr>
          <w:rFonts w:ascii="Verdana" w:hAnsi="Verdana" w:cs="Verdana"/>
          <w:sz w:val="20"/>
          <w:szCs w:val="20"/>
          <w:lang w:val="en-US" w:eastAsia="es-ES"/>
        </w:rPr>
        <w:t>the State</w:t>
      </w:r>
      <w:r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 xml:space="preserve">was asked to remit its observations on the information presented by </w:t>
      </w:r>
      <w:r w:rsidR="00E43A75" w:rsidRPr="00EA6C7A">
        <w:rPr>
          <w:rFonts w:ascii="Verdana" w:hAnsi="Verdana" w:cs="Verdana"/>
          <w:sz w:val="20"/>
          <w:szCs w:val="20"/>
          <w:lang w:val="en-US" w:eastAsia="es-ES"/>
        </w:rPr>
        <w:t>the representatives</w:t>
      </w:r>
      <w:r w:rsidRPr="00EA6C7A">
        <w:rPr>
          <w:rFonts w:ascii="Verdana" w:hAnsi="Verdana" w:cs="Verdana"/>
          <w:sz w:val="20"/>
          <w:szCs w:val="20"/>
          <w:lang w:val="en-US" w:eastAsia="es-ES"/>
        </w:rPr>
        <w:t>.</w:t>
      </w:r>
      <w:r w:rsidRPr="00EA6C7A">
        <w:rPr>
          <w:rFonts w:ascii="Verdana" w:hAnsi="Verdana" w:cs="Verdana"/>
          <w:b/>
          <w:sz w:val="20"/>
          <w:szCs w:val="20"/>
          <w:lang w:val="en-US" w:eastAsia="es-ES"/>
        </w:rPr>
        <w:t xml:space="preserve"> </w:t>
      </w:r>
      <w:r w:rsidR="002E474F" w:rsidRPr="00EA6C7A">
        <w:rPr>
          <w:rFonts w:ascii="Verdana" w:hAnsi="Verdana" w:cs="Verdana"/>
          <w:sz w:val="20"/>
          <w:szCs w:val="20"/>
          <w:lang w:val="en-US" w:eastAsia="es-ES"/>
        </w:rPr>
        <w:t>In a brief of May 26,</w:t>
      </w:r>
      <w:r w:rsidRPr="00EA6C7A">
        <w:rPr>
          <w:rFonts w:ascii="Verdana" w:hAnsi="Verdana" w:cs="Verdana"/>
          <w:sz w:val="20"/>
          <w:szCs w:val="20"/>
          <w:lang w:val="en-US" w:eastAsia="es-ES"/>
        </w:rPr>
        <w:t xml:space="preserve"> 2015, </w:t>
      </w:r>
      <w:r w:rsidR="002F3848" w:rsidRPr="00EA6C7A">
        <w:rPr>
          <w:rFonts w:ascii="Verdana" w:hAnsi="Verdana" w:cs="Verdana"/>
          <w:sz w:val="20"/>
          <w:szCs w:val="20"/>
          <w:lang w:val="en-US" w:eastAsia="es-ES"/>
        </w:rPr>
        <w:t>the State</w:t>
      </w:r>
      <w:r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reported that</w:t>
      </w:r>
      <w:r w:rsidR="002C36F2" w:rsidRPr="00EA6C7A">
        <w:rPr>
          <w:rFonts w:ascii="Verdana" w:hAnsi="Verdana" w:cs="Verdana"/>
          <w:sz w:val="20"/>
          <w:szCs w:val="20"/>
          <w:lang w:val="en-US" w:eastAsia="es-ES"/>
        </w:rPr>
        <w:t xml:space="preserve"> </w:t>
      </w:r>
      <w:r w:rsidR="002E474F" w:rsidRPr="00EA6C7A">
        <w:rPr>
          <w:rFonts w:ascii="Verdana" w:hAnsi="Verdana" w:cs="Verdana"/>
          <w:sz w:val="20"/>
          <w:szCs w:val="20"/>
          <w:lang w:val="en-US" w:eastAsia="es-ES"/>
        </w:rPr>
        <w:t>the arrest and detention of Mr</w:t>
      </w:r>
      <w:r w:rsidR="008A1494" w:rsidRPr="00EA6C7A">
        <w:rPr>
          <w:rFonts w:ascii="Verdana" w:hAnsi="Verdana" w:cs="Verdana"/>
          <w:sz w:val="20"/>
          <w:szCs w:val="20"/>
          <w:lang w:val="en-US" w:eastAsia="es-ES"/>
        </w:rPr>
        <w:t>.</w:t>
      </w:r>
      <w:r w:rsidRPr="00EA6C7A">
        <w:rPr>
          <w:rFonts w:ascii="Verdana" w:hAnsi="Verdana" w:cs="Verdana"/>
          <w:sz w:val="20"/>
          <w:szCs w:val="20"/>
          <w:lang w:val="en-US" w:eastAsia="es-ES"/>
        </w:rPr>
        <w:t xml:space="preserve"> Velásquez</w:t>
      </w:r>
      <w:r w:rsidR="002E474F" w:rsidRPr="00EA6C7A">
        <w:rPr>
          <w:rFonts w:ascii="Verdana" w:hAnsi="Verdana" w:cs="Verdana"/>
          <w:sz w:val="20"/>
          <w:szCs w:val="20"/>
          <w:lang w:val="en-US" w:eastAsia="es-ES"/>
        </w:rPr>
        <w:t xml:space="preserve"> [had been] ordered </w:t>
      </w:r>
      <w:r w:rsidRPr="00EA6C7A">
        <w:rPr>
          <w:rFonts w:ascii="Verdana" w:hAnsi="Verdana" w:cs="Verdana"/>
          <w:sz w:val="20"/>
          <w:szCs w:val="20"/>
          <w:lang w:val="en-US" w:eastAsia="es-ES"/>
        </w:rPr>
        <w:t xml:space="preserve"> </w:t>
      </w:r>
      <w:r w:rsidR="002C36F2" w:rsidRPr="00EA6C7A">
        <w:rPr>
          <w:rFonts w:ascii="Verdana" w:hAnsi="Verdana" w:cs="Verdana"/>
          <w:sz w:val="20"/>
          <w:szCs w:val="20"/>
          <w:lang w:val="en-US" w:eastAsia="es-ES"/>
        </w:rPr>
        <w:t>[…]</w:t>
      </w:r>
      <w:r w:rsidRPr="00EA6C7A">
        <w:rPr>
          <w:rFonts w:ascii="Verdana" w:hAnsi="Verdana" w:cs="Verdana"/>
          <w:sz w:val="20"/>
          <w:szCs w:val="20"/>
          <w:lang w:val="en-US" w:eastAsia="es-ES"/>
        </w:rPr>
        <w:t xml:space="preserve"> </w:t>
      </w:r>
      <w:r w:rsidR="002C36F2" w:rsidRPr="00EA6C7A">
        <w:rPr>
          <w:rFonts w:ascii="Verdana" w:hAnsi="Verdana" w:cs="Verdana"/>
          <w:sz w:val="20"/>
          <w:szCs w:val="20"/>
          <w:lang w:val="en-US" w:eastAsia="es-ES"/>
        </w:rPr>
        <w:t>[</w:t>
      </w:r>
      <w:r w:rsidR="008A1494" w:rsidRPr="00EA6C7A">
        <w:rPr>
          <w:rFonts w:ascii="Verdana" w:hAnsi="Verdana" w:cs="Verdana"/>
          <w:sz w:val="20"/>
          <w:szCs w:val="20"/>
          <w:lang w:val="en-US" w:eastAsia="es-ES"/>
        </w:rPr>
        <w:t>because</w:t>
      </w:r>
      <w:r w:rsidRPr="00EA6C7A">
        <w:rPr>
          <w:rFonts w:ascii="Verdana" w:hAnsi="Verdana" w:cs="Verdana"/>
          <w:sz w:val="20"/>
          <w:szCs w:val="20"/>
          <w:lang w:val="en-US" w:eastAsia="es-ES"/>
        </w:rPr>
        <w:t>]</w:t>
      </w:r>
      <w:r w:rsidR="008A1494" w:rsidRPr="00EA6C7A">
        <w:rPr>
          <w:rFonts w:ascii="Verdana" w:hAnsi="Verdana" w:cs="Verdana"/>
          <w:sz w:val="20"/>
          <w:szCs w:val="20"/>
          <w:lang w:val="en-US" w:eastAsia="es-ES"/>
        </w:rPr>
        <w:t xml:space="preserve"> an action [had been]</w:t>
      </w:r>
      <w:r w:rsidRPr="00EA6C7A">
        <w:rPr>
          <w:rFonts w:ascii="Verdana" w:hAnsi="Verdana" w:cs="Verdana"/>
          <w:sz w:val="20"/>
          <w:szCs w:val="20"/>
          <w:lang w:val="en-US" w:eastAsia="es-ES"/>
        </w:rPr>
        <w:t xml:space="preserve"> </w:t>
      </w:r>
      <w:r w:rsidR="008A1494" w:rsidRPr="00EA6C7A">
        <w:rPr>
          <w:rFonts w:ascii="Verdana" w:hAnsi="Verdana" w:cs="Verdana"/>
          <w:sz w:val="20"/>
          <w:szCs w:val="20"/>
          <w:lang w:val="en-US" w:eastAsia="es-ES"/>
        </w:rPr>
        <w:t xml:space="preserve">opened </w:t>
      </w:r>
      <w:r w:rsidR="002E474F" w:rsidRPr="00EA6C7A">
        <w:rPr>
          <w:rFonts w:ascii="Verdana" w:hAnsi="Verdana" w:cs="Verdana"/>
          <w:sz w:val="20"/>
          <w:szCs w:val="20"/>
          <w:lang w:val="en-US" w:eastAsia="es-ES"/>
        </w:rPr>
        <w:t>against [him …] on September 11, 2001</w:t>
      </w:r>
      <w:r w:rsidR="0022623F" w:rsidRPr="00EA6C7A">
        <w:rPr>
          <w:rFonts w:ascii="Verdana" w:hAnsi="Verdana" w:cs="Verdana"/>
          <w:sz w:val="20"/>
          <w:szCs w:val="20"/>
          <w:lang w:val="en-US" w:eastAsia="es-ES"/>
        </w:rPr>
        <w:t xml:space="preserve">,” during which an order had been </w:t>
      </w:r>
      <w:r w:rsidR="008A1494" w:rsidRPr="00EA6C7A">
        <w:rPr>
          <w:rFonts w:ascii="Verdana" w:hAnsi="Verdana" w:cs="Verdana"/>
          <w:sz w:val="20"/>
          <w:szCs w:val="20"/>
          <w:lang w:val="en-US" w:eastAsia="es-ES"/>
        </w:rPr>
        <w:t>issued</w:t>
      </w:r>
      <w:r w:rsidR="0022623F" w:rsidRPr="00EA6C7A">
        <w:rPr>
          <w:rFonts w:ascii="Verdana" w:hAnsi="Verdana" w:cs="Verdana"/>
          <w:sz w:val="20"/>
          <w:szCs w:val="20"/>
          <w:lang w:val="en-US" w:eastAsia="es-ES"/>
        </w:rPr>
        <w:t xml:space="preserve"> annulling the warrant for his arrest</w:t>
      </w:r>
      <w:r w:rsidR="0022623F" w:rsidRPr="00EA6C7A">
        <w:rPr>
          <w:rFonts w:ascii="Verdana" w:hAnsi="Verdana" w:cs="Arial"/>
          <w:sz w:val="20"/>
          <w:szCs w:val="20"/>
          <w:lang w:val="en-US"/>
        </w:rPr>
        <w:t xml:space="preserve">; however, this had not been processed, </w:t>
      </w:r>
      <w:r w:rsidR="008A1494" w:rsidRPr="00EA6C7A">
        <w:rPr>
          <w:rFonts w:ascii="Verdana" w:hAnsi="Verdana" w:cs="Arial"/>
          <w:sz w:val="20"/>
          <w:szCs w:val="20"/>
          <w:lang w:val="en-US"/>
        </w:rPr>
        <w:t xml:space="preserve">leading </w:t>
      </w:r>
      <w:r w:rsidR="0022623F" w:rsidRPr="00EA6C7A">
        <w:rPr>
          <w:rFonts w:ascii="Verdana" w:hAnsi="Verdana" w:cs="Arial"/>
          <w:sz w:val="20"/>
          <w:szCs w:val="20"/>
          <w:lang w:val="en-US"/>
        </w:rPr>
        <w:t xml:space="preserve">to the detention of Mr. </w:t>
      </w:r>
      <w:r w:rsidRPr="00EA6C7A">
        <w:rPr>
          <w:rFonts w:ascii="Verdana" w:hAnsi="Verdana" w:cs="Verdana"/>
          <w:sz w:val="20"/>
          <w:szCs w:val="20"/>
          <w:lang w:val="en-US" w:eastAsia="es-ES"/>
        </w:rPr>
        <w:t xml:space="preserve">Velásquez. </w:t>
      </w:r>
      <w:r w:rsidR="0022623F" w:rsidRPr="00EA6C7A">
        <w:rPr>
          <w:rFonts w:ascii="Verdana" w:hAnsi="Verdana" w:cs="Verdana"/>
          <w:sz w:val="20"/>
          <w:szCs w:val="20"/>
          <w:lang w:val="en-US" w:eastAsia="es-ES"/>
        </w:rPr>
        <w:t>The</w:t>
      </w:r>
      <w:r w:rsidR="002F3848" w:rsidRPr="00EA6C7A">
        <w:rPr>
          <w:rFonts w:ascii="Verdana" w:hAnsi="Verdana" w:cs="Verdana"/>
          <w:sz w:val="20"/>
          <w:szCs w:val="20"/>
          <w:lang w:val="en-US" w:eastAsia="es-ES"/>
        </w:rPr>
        <w:t xml:space="preserve"> State</w:t>
      </w:r>
      <w:r w:rsidRPr="00EA6C7A">
        <w:rPr>
          <w:rFonts w:ascii="Verdana" w:hAnsi="Verdana" w:cs="Verdana"/>
          <w:sz w:val="20"/>
          <w:szCs w:val="20"/>
          <w:lang w:val="en-US" w:eastAsia="es-ES"/>
        </w:rPr>
        <w:t xml:space="preserve"> </w:t>
      </w:r>
      <w:r w:rsidR="0022623F" w:rsidRPr="00EA6C7A">
        <w:rPr>
          <w:rFonts w:ascii="Verdana" w:hAnsi="Verdana" w:cs="Verdana"/>
          <w:sz w:val="20"/>
          <w:szCs w:val="20"/>
          <w:lang w:val="en-US" w:eastAsia="es-ES"/>
        </w:rPr>
        <w:t xml:space="preserve">also indicated that, once “the legal situation of </w:t>
      </w:r>
      <w:r w:rsidRPr="00EA6C7A">
        <w:rPr>
          <w:rFonts w:ascii="Verdana" w:hAnsi="Verdana" w:cs="Verdana"/>
          <w:sz w:val="20"/>
          <w:szCs w:val="20"/>
          <w:lang w:val="en-US" w:eastAsia="es-ES"/>
        </w:rPr>
        <w:t>Jorge Rolando Velásquez</w:t>
      </w:r>
      <w:r w:rsidR="0022623F" w:rsidRPr="00EA6C7A">
        <w:rPr>
          <w:rFonts w:ascii="Verdana" w:hAnsi="Verdana" w:cs="Verdana"/>
          <w:sz w:val="20"/>
          <w:szCs w:val="20"/>
          <w:lang w:val="en-US" w:eastAsia="es-ES"/>
        </w:rPr>
        <w:t xml:space="preserve"> had been corroborated</w:t>
      </w:r>
      <w:r w:rsidRPr="00EA6C7A">
        <w:rPr>
          <w:rFonts w:ascii="Verdana" w:hAnsi="Verdana" w:cs="Verdana"/>
          <w:sz w:val="20"/>
          <w:szCs w:val="20"/>
          <w:lang w:val="en-US" w:eastAsia="es-ES"/>
        </w:rPr>
        <w:t xml:space="preserve">, </w:t>
      </w:r>
      <w:r w:rsidR="0022623F" w:rsidRPr="00EA6C7A">
        <w:rPr>
          <w:rFonts w:ascii="Verdana" w:hAnsi="Verdana" w:cs="Verdana"/>
          <w:sz w:val="20"/>
          <w:szCs w:val="20"/>
          <w:lang w:val="en-US" w:eastAsia="es-ES"/>
        </w:rPr>
        <w:t xml:space="preserve">he </w:t>
      </w:r>
      <w:r w:rsidR="008A1494" w:rsidRPr="00EA6C7A">
        <w:rPr>
          <w:rFonts w:ascii="Verdana" w:hAnsi="Verdana" w:cs="Verdana"/>
          <w:sz w:val="20"/>
          <w:szCs w:val="20"/>
          <w:lang w:val="en-US" w:eastAsia="es-ES"/>
        </w:rPr>
        <w:t>had been</w:t>
      </w:r>
      <w:r w:rsidR="0022623F" w:rsidRPr="00EA6C7A">
        <w:rPr>
          <w:rFonts w:ascii="Verdana" w:hAnsi="Verdana" w:cs="Verdana"/>
          <w:sz w:val="20"/>
          <w:szCs w:val="20"/>
          <w:lang w:val="en-US" w:eastAsia="es-ES"/>
        </w:rPr>
        <w:t xml:space="preserve"> released immediately</w:t>
      </w:r>
      <w:r w:rsidR="008A1494" w:rsidRPr="00EA6C7A">
        <w:rPr>
          <w:rFonts w:ascii="Verdana" w:hAnsi="Verdana" w:cs="Verdana"/>
          <w:sz w:val="20"/>
          <w:szCs w:val="20"/>
          <w:lang w:val="en-US" w:eastAsia="es-ES"/>
        </w:rPr>
        <w:t>.</w:t>
      </w:r>
      <w:r w:rsidR="0022623F" w:rsidRPr="00EA6C7A">
        <w:rPr>
          <w:rFonts w:ascii="Verdana" w:hAnsi="Verdana" w:cs="Verdana"/>
          <w:sz w:val="20"/>
          <w:szCs w:val="20"/>
          <w:lang w:val="en-US" w:eastAsia="es-ES"/>
        </w:rPr>
        <w:t xml:space="preserve">” </w:t>
      </w:r>
      <w:r w:rsidR="008A1494" w:rsidRPr="00EA6C7A">
        <w:rPr>
          <w:rFonts w:ascii="Verdana" w:hAnsi="Verdana" w:cs="Verdana"/>
          <w:sz w:val="20"/>
          <w:szCs w:val="20"/>
          <w:lang w:val="en-US" w:eastAsia="es-ES"/>
        </w:rPr>
        <w:t>The State</w:t>
      </w:r>
      <w:r w:rsidR="0022623F" w:rsidRPr="00EA6C7A">
        <w:rPr>
          <w:rFonts w:ascii="Verdana" w:hAnsi="Verdana" w:cs="Verdana"/>
          <w:sz w:val="20"/>
          <w:szCs w:val="20"/>
          <w:lang w:val="en-US" w:eastAsia="es-ES"/>
        </w:rPr>
        <w:t xml:space="preserve"> stressed that this was an isolated incident and that no reprisals of any kind were being taken against him. </w:t>
      </w:r>
      <w:r w:rsidR="00E43A75" w:rsidRPr="00EA6C7A">
        <w:rPr>
          <w:rFonts w:ascii="Verdana" w:hAnsi="Verdana" w:cs="Verdana"/>
          <w:sz w:val="20"/>
          <w:szCs w:val="20"/>
          <w:lang w:val="en-US" w:eastAsia="es-ES"/>
        </w:rPr>
        <w:t>The representatives</w:t>
      </w:r>
      <w:r w:rsidRPr="00EA6C7A">
        <w:rPr>
          <w:rFonts w:ascii="Verdana" w:hAnsi="Verdana" w:cs="Verdana"/>
          <w:sz w:val="20"/>
          <w:szCs w:val="20"/>
          <w:lang w:val="en-US" w:eastAsia="es-ES"/>
        </w:rPr>
        <w:t xml:space="preserve"> </w:t>
      </w:r>
      <w:r w:rsidR="0022623F" w:rsidRPr="00EA6C7A">
        <w:rPr>
          <w:rFonts w:ascii="Verdana" w:hAnsi="Verdana" w:cs="Verdana"/>
          <w:sz w:val="20"/>
          <w:szCs w:val="20"/>
          <w:lang w:val="en-US" w:eastAsia="es-ES"/>
        </w:rPr>
        <w:t>and</w:t>
      </w:r>
      <w:r w:rsidRPr="00EA6C7A">
        <w:rPr>
          <w:rFonts w:ascii="Verdana" w:hAnsi="Verdana" w:cs="Verdana"/>
          <w:sz w:val="20"/>
          <w:szCs w:val="20"/>
          <w:lang w:val="en-US" w:eastAsia="es-ES"/>
        </w:rPr>
        <w:t xml:space="preserve"> </w:t>
      </w:r>
      <w:r w:rsidR="0096418F" w:rsidRPr="00EA6C7A">
        <w:rPr>
          <w:rFonts w:ascii="Verdana" w:hAnsi="Verdana" w:cs="Verdana"/>
          <w:sz w:val="20"/>
          <w:szCs w:val="20"/>
          <w:lang w:val="en-US" w:eastAsia="es-ES"/>
        </w:rPr>
        <w:t>the Commission</w:t>
      </w:r>
      <w:r w:rsidRPr="00EA6C7A">
        <w:rPr>
          <w:rFonts w:ascii="Verdana" w:hAnsi="Verdana" w:cs="Verdana"/>
          <w:sz w:val="20"/>
          <w:szCs w:val="20"/>
          <w:lang w:val="en-US" w:eastAsia="es-ES"/>
        </w:rPr>
        <w:t xml:space="preserve"> </w:t>
      </w:r>
      <w:r w:rsidR="0022623F" w:rsidRPr="00EA6C7A">
        <w:rPr>
          <w:rFonts w:ascii="Verdana" w:hAnsi="Verdana" w:cs="Verdana"/>
          <w:sz w:val="20"/>
          <w:szCs w:val="20"/>
          <w:lang w:val="en-US" w:eastAsia="es-ES"/>
        </w:rPr>
        <w:t xml:space="preserve">forwarded their observations on the State’s brief on June 8 and 10, 2015, respectively. In this regard, </w:t>
      </w:r>
      <w:r w:rsidR="00E43A75" w:rsidRPr="00EA6C7A">
        <w:rPr>
          <w:rFonts w:ascii="Verdana" w:hAnsi="Verdana" w:cs="Verdana"/>
          <w:sz w:val="20"/>
          <w:szCs w:val="20"/>
          <w:lang w:val="en-US" w:eastAsia="es-ES"/>
        </w:rPr>
        <w:t>the representatives</w:t>
      </w:r>
      <w:r w:rsidR="00911A6B" w:rsidRPr="00EA6C7A">
        <w:rPr>
          <w:rFonts w:ascii="Verdana" w:hAnsi="Verdana" w:cs="Verdana"/>
          <w:sz w:val="20"/>
          <w:szCs w:val="20"/>
          <w:lang w:val="en-US" w:eastAsia="es-ES"/>
        </w:rPr>
        <w:t xml:space="preserve"> </w:t>
      </w:r>
      <w:r w:rsidR="0022623F" w:rsidRPr="00EA6C7A">
        <w:rPr>
          <w:rFonts w:ascii="Verdana" w:hAnsi="Verdana" w:cs="Verdana"/>
          <w:sz w:val="20"/>
          <w:szCs w:val="20"/>
          <w:lang w:val="en-US" w:eastAsia="es-ES"/>
        </w:rPr>
        <w:t xml:space="preserve">stated that, following </w:t>
      </w:r>
      <w:r w:rsidR="00911A6B" w:rsidRPr="00EA6C7A">
        <w:rPr>
          <w:rFonts w:ascii="Verdana" w:hAnsi="Verdana" w:cs="Verdana"/>
          <w:sz w:val="20"/>
          <w:szCs w:val="20"/>
          <w:lang w:val="en-US" w:eastAsia="es-ES"/>
        </w:rPr>
        <w:t>Jorge Velásquez Durán</w:t>
      </w:r>
      <w:r w:rsidR="0022623F" w:rsidRPr="00EA6C7A">
        <w:rPr>
          <w:rFonts w:ascii="Verdana" w:hAnsi="Verdana" w:cs="Verdana"/>
          <w:sz w:val="20"/>
          <w:szCs w:val="20"/>
          <w:lang w:val="en-US" w:eastAsia="es-ES"/>
        </w:rPr>
        <w:t xml:space="preserve">’s </w:t>
      </w:r>
      <w:r w:rsidR="0022623F" w:rsidRPr="00EA6C7A">
        <w:rPr>
          <w:rFonts w:ascii="Verdana" w:hAnsi="Verdana" w:cs="Verdana"/>
          <w:sz w:val="20"/>
          <w:szCs w:val="20"/>
          <w:lang w:val="en-US" w:eastAsia="es-ES"/>
        </w:rPr>
        <w:lastRenderedPageBreak/>
        <w:t xml:space="preserve">detention, an “oral hearing” had been held in which the judge ordered his “immediate release, […], conditional on the alternative measure of appearing before the original court” to clarify the situation. The following day, Mr. </w:t>
      </w:r>
      <w:r w:rsidR="00BF1D8D" w:rsidRPr="00EA6C7A">
        <w:rPr>
          <w:rFonts w:ascii="Verdana" w:hAnsi="Verdana" w:cs="Verdana"/>
          <w:sz w:val="20"/>
          <w:szCs w:val="20"/>
          <w:lang w:val="en-US" w:eastAsia="es-ES"/>
        </w:rPr>
        <w:t>Velásquez</w:t>
      </w:r>
      <w:r w:rsidR="00B149D1" w:rsidRPr="00EA6C7A">
        <w:rPr>
          <w:rFonts w:ascii="Verdana" w:hAnsi="Verdana" w:cs="Verdana"/>
          <w:sz w:val="20"/>
          <w:szCs w:val="20"/>
          <w:lang w:val="en-US" w:eastAsia="es-ES"/>
        </w:rPr>
        <w:t xml:space="preserve"> </w:t>
      </w:r>
      <w:r w:rsidR="0022623F" w:rsidRPr="00EA6C7A">
        <w:rPr>
          <w:rFonts w:ascii="Verdana" w:hAnsi="Verdana" w:cs="Verdana"/>
          <w:sz w:val="20"/>
          <w:szCs w:val="20"/>
          <w:lang w:val="en-US" w:eastAsia="es-ES"/>
        </w:rPr>
        <w:t xml:space="preserve">went to the Eighth </w:t>
      </w:r>
      <w:r w:rsidR="004554C7" w:rsidRPr="00EA6C7A">
        <w:rPr>
          <w:rFonts w:ascii="Verdana" w:hAnsi="Verdana" w:cs="Verdana"/>
          <w:sz w:val="20"/>
          <w:szCs w:val="20"/>
          <w:lang w:val="en-US" w:eastAsia="es-ES"/>
        </w:rPr>
        <w:t xml:space="preserve">Criminal </w:t>
      </w:r>
      <w:r w:rsidR="0022623F" w:rsidRPr="00EA6C7A">
        <w:rPr>
          <w:rFonts w:ascii="Verdana" w:hAnsi="Verdana" w:cs="Verdana"/>
          <w:sz w:val="20"/>
          <w:szCs w:val="20"/>
          <w:lang w:val="en-US" w:eastAsia="es-ES"/>
        </w:rPr>
        <w:t xml:space="preserve">Trial Court </w:t>
      </w:r>
      <w:r w:rsidR="004554C7" w:rsidRPr="00EA6C7A">
        <w:rPr>
          <w:rFonts w:ascii="Verdana" w:hAnsi="Verdana" w:cs="Verdana"/>
          <w:sz w:val="20"/>
          <w:szCs w:val="20"/>
          <w:lang w:val="en-US" w:eastAsia="es-ES"/>
        </w:rPr>
        <w:t xml:space="preserve">for </w:t>
      </w:r>
      <w:r w:rsidR="008A1494" w:rsidRPr="00EA6C7A">
        <w:rPr>
          <w:rFonts w:ascii="Verdana" w:hAnsi="Verdana" w:cs="Verdana"/>
          <w:sz w:val="20"/>
          <w:szCs w:val="20"/>
          <w:lang w:val="en-US" w:eastAsia="es-ES"/>
        </w:rPr>
        <w:t>d</w:t>
      </w:r>
      <w:r w:rsidR="004554C7" w:rsidRPr="00EA6C7A">
        <w:rPr>
          <w:rFonts w:ascii="Verdana" w:hAnsi="Verdana" w:cs="Verdana"/>
          <w:sz w:val="20"/>
          <w:szCs w:val="20"/>
          <w:lang w:val="en-US" w:eastAsia="es-ES"/>
        </w:rPr>
        <w:t xml:space="preserve">rug-trafficking and </w:t>
      </w:r>
      <w:r w:rsidR="008A1494" w:rsidRPr="00EA6C7A">
        <w:rPr>
          <w:rFonts w:ascii="Verdana" w:hAnsi="Verdana" w:cs="Verdana"/>
          <w:sz w:val="20"/>
          <w:szCs w:val="20"/>
          <w:lang w:val="en-US" w:eastAsia="es-ES"/>
        </w:rPr>
        <w:t>e</w:t>
      </w:r>
      <w:r w:rsidR="004554C7" w:rsidRPr="00EA6C7A">
        <w:rPr>
          <w:rFonts w:ascii="Verdana" w:hAnsi="Verdana" w:cs="Verdana"/>
          <w:sz w:val="20"/>
          <w:szCs w:val="20"/>
          <w:lang w:val="en-US" w:eastAsia="es-ES"/>
        </w:rPr>
        <w:t xml:space="preserve">nvironmental </w:t>
      </w:r>
      <w:r w:rsidR="008A1494" w:rsidRPr="00EA6C7A">
        <w:rPr>
          <w:rFonts w:ascii="Verdana" w:hAnsi="Verdana" w:cs="Verdana"/>
          <w:sz w:val="20"/>
          <w:szCs w:val="20"/>
          <w:lang w:val="en-US" w:eastAsia="es-ES"/>
        </w:rPr>
        <w:t>c</w:t>
      </w:r>
      <w:r w:rsidR="004554C7" w:rsidRPr="00EA6C7A">
        <w:rPr>
          <w:rFonts w:ascii="Verdana" w:hAnsi="Verdana" w:cs="Verdana"/>
          <w:sz w:val="20"/>
          <w:szCs w:val="20"/>
          <w:lang w:val="en-US" w:eastAsia="es-ES"/>
        </w:rPr>
        <w:t>rimes which verified that the arrest warrant was no longer in effect and reiterated its annulment.</w:t>
      </w:r>
    </w:p>
    <w:p w14:paraId="36B6FBD5" w14:textId="77777777" w:rsidR="005F5B74" w:rsidRPr="00EA6C7A" w:rsidRDefault="005F5B74" w:rsidP="005F5B74">
      <w:pPr>
        <w:pStyle w:val="Prrafodelista"/>
        <w:spacing w:after="0" w:line="240" w:lineRule="auto"/>
        <w:ind w:left="0"/>
        <w:jc w:val="both"/>
        <w:rPr>
          <w:rFonts w:ascii="Verdana" w:hAnsi="Verdana" w:cs="Verdana"/>
          <w:sz w:val="20"/>
          <w:szCs w:val="20"/>
          <w:lang w:val="en-US" w:eastAsia="es-ES"/>
        </w:rPr>
      </w:pPr>
    </w:p>
    <w:p w14:paraId="24E7F784" w14:textId="77777777" w:rsidR="005F5B74" w:rsidRPr="00EA6C7A" w:rsidRDefault="004554C7" w:rsidP="00E11A7C">
      <w:pPr>
        <w:pStyle w:val="Prrafodelista"/>
        <w:numPr>
          <w:ilvl w:val="0"/>
          <w:numId w:val="3"/>
        </w:numPr>
        <w:spacing w:after="0" w:line="240" w:lineRule="auto"/>
        <w:ind w:left="0" w:firstLine="0"/>
        <w:jc w:val="both"/>
        <w:rPr>
          <w:rFonts w:ascii="Verdana" w:eastAsia="Calibri" w:hAnsi="Verdana"/>
          <w:bCs/>
          <w:sz w:val="20"/>
          <w:szCs w:val="20"/>
          <w:lang w:val="en-US"/>
        </w:rPr>
      </w:pPr>
      <w:r w:rsidRPr="00EA6C7A">
        <w:rPr>
          <w:rFonts w:ascii="Verdana" w:hAnsi="Verdana" w:cs="Verdana"/>
          <w:i/>
          <w:sz w:val="20"/>
          <w:szCs w:val="20"/>
          <w:lang w:val="en-US" w:eastAsia="es-ES"/>
        </w:rPr>
        <w:t xml:space="preserve">Final written arguments and observations. </w:t>
      </w:r>
      <w:r w:rsidRPr="00EA6C7A">
        <w:rPr>
          <w:rFonts w:ascii="Verdana" w:hAnsi="Verdana" w:cs="Verdana"/>
          <w:sz w:val="20"/>
          <w:szCs w:val="20"/>
          <w:lang w:val="en-US" w:eastAsia="es-ES"/>
        </w:rPr>
        <w:t>On May 22,</w:t>
      </w:r>
      <w:r w:rsidR="005F5B74" w:rsidRPr="00EA6C7A">
        <w:rPr>
          <w:rFonts w:ascii="Verdana" w:hAnsi="Verdana" w:cs="Verdana"/>
          <w:sz w:val="20"/>
          <w:szCs w:val="20"/>
          <w:lang w:val="en-US" w:eastAsia="es-ES"/>
        </w:rPr>
        <w:t xml:space="preserve"> 2015</w:t>
      </w:r>
      <w:r w:rsidRPr="00EA6C7A">
        <w:rPr>
          <w:rFonts w:ascii="Verdana" w:hAnsi="Verdana" w:cs="Verdana"/>
          <w:sz w:val="20"/>
          <w:szCs w:val="20"/>
          <w:lang w:val="en-US" w:eastAsia="es-ES"/>
        </w:rPr>
        <w:t>,</w:t>
      </w:r>
      <w:r w:rsidR="005F5B74" w:rsidRPr="00EA6C7A">
        <w:rPr>
          <w:rFonts w:ascii="Verdana" w:hAnsi="Verdana" w:cs="Verdana"/>
          <w:sz w:val="20"/>
          <w:szCs w:val="20"/>
          <w:lang w:val="en-US" w:eastAsia="es-ES"/>
        </w:rPr>
        <w:t xml:space="preserve"> </w:t>
      </w:r>
      <w:r w:rsidR="002F3848" w:rsidRPr="00EA6C7A">
        <w:rPr>
          <w:rFonts w:ascii="Verdana" w:hAnsi="Verdana" w:cs="Verdana"/>
          <w:sz w:val="20"/>
          <w:szCs w:val="20"/>
          <w:lang w:val="en-US" w:eastAsia="es-ES"/>
        </w:rPr>
        <w:t>the State</w:t>
      </w:r>
      <w:r w:rsidR="005F5B74" w:rsidRPr="00EA6C7A">
        <w:rPr>
          <w:rFonts w:ascii="Verdana" w:hAnsi="Verdana" w:cs="Verdana"/>
          <w:sz w:val="20"/>
          <w:szCs w:val="20"/>
          <w:lang w:val="en-US" w:eastAsia="es-ES"/>
        </w:rPr>
        <w:t xml:space="preserve">, </w:t>
      </w:r>
      <w:r w:rsidR="00E43A75" w:rsidRPr="00EA6C7A">
        <w:rPr>
          <w:rFonts w:ascii="Verdana" w:hAnsi="Verdana" w:cs="Verdana"/>
          <w:sz w:val="20"/>
          <w:szCs w:val="20"/>
          <w:lang w:val="en-US" w:eastAsia="es-ES"/>
        </w:rPr>
        <w:t>the representatives</w:t>
      </w:r>
      <w:r w:rsidR="005F5B74" w:rsidRPr="00EA6C7A">
        <w:rPr>
          <w:rFonts w:ascii="Verdana" w:hAnsi="Verdana" w:cs="Verdana"/>
          <w:sz w:val="20"/>
          <w:szCs w:val="20"/>
          <w:lang w:val="en-US" w:eastAsia="es-ES"/>
        </w:rPr>
        <w:t xml:space="preserve"> </w:t>
      </w:r>
      <w:r w:rsidRPr="00EA6C7A">
        <w:rPr>
          <w:rFonts w:ascii="Verdana" w:hAnsi="Verdana" w:cs="Verdana"/>
          <w:sz w:val="20"/>
          <w:szCs w:val="20"/>
          <w:lang w:val="en-US" w:eastAsia="es-ES"/>
        </w:rPr>
        <w:t>and</w:t>
      </w:r>
      <w:r w:rsidR="005F5B74" w:rsidRPr="00EA6C7A">
        <w:rPr>
          <w:rFonts w:ascii="Verdana" w:hAnsi="Verdana" w:cs="Verdana"/>
          <w:sz w:val="20"/>
          <w:szCs w:val="20"/>
          <w:lang w:val="en-US" w:eastAsia="es-ES"/>
        </w:rPr>
        <w:t xml:space="preserve"> </w:t>
      </w:r>
      <w:r w:rsidR="0096418F" w:rsidRPr="00EA6C7A">
        <w:rPr>
          <w:rFonts w:ascii="Verdana" w:hAnsi="Verdana" w:cs="Verdana"/>
          <w:sz w:val="20"/>
          <w:szCs w:val="20"/>
          <w:lang w:val="en-US" w:eastAsia="es-ES"/>
        </w:rPr>
        <w:t>the Commission</w:t>
      </w:r>
      <w:r w:rsidR="005F5B74" w:rsidRPr="00EA6C7A">
        <w:rPr>
          <w:rFonts w:ascii="Verdana" w:hAnsi="Verdana" w:cs="Verdana"/>
          <w:sz w:val="20"/>
          <w:szCs w:val="20"/>
          <w:lang w:val="en-US" w:eastAsia="es-ES"/>
        </w:rPr>
        <w:t xml:space="preserve"> </w:t>
      </w:r>
      <w:r w:rsidRPr="00EA6C7A">
        <w:rPr>
          <w:rFonts w:ascii="Verdana" w:hAnsi="Verdana" w:cs="Verdana"/>
          <w:sz w:val="20"/>
          <w:szCs w:val="20"/>
          <w:lang w:val="en-US" w:eastAsia="es-ES"/>
        </w:rPr>
        <w:t xml:space="preserve">forwarded their final written arguments and observations, respectively. The State included annexes with its brief. On June 15 and 18, 2015, </w:t>
      </w:r>
      <w:r w:rsidR="00E43A75" w:rsidRPr="00EA6C7A">
        <w:rPr>
          <w:rFonts w:ascii="Verdana" w:eastAsia="Calibri" w:hAnsi="Verdana"/>
          <w:bCs/>
          <w:sz w:val="20"/>
          <w:szCs w:val="20"/>
          <w:lang w:val="en-US"/>
        </w:rPr>
        <w:t>the representatives</w:t>
      </w:r>
      <w:r w:rsidR="005F5B74" w:rsidRPr="00EA6C7A">
        <w:rPr>
          <w:rFonts w:ascii="Verdana" w:eastAsia="Calibri" w:hAnsi="Verdana"/>
          <w:bCs/>
          <w:sz w:val="20"/>
          <w:szCs w:val="20"/>
          <w:lang w:val="en-US"/>
        </w:rPr>
        <w:t xml:space="preserve"> </w:t>
      </w:r>
      <w:r w:rsidRPr="00EA6C7A">
        <w:rPr>
          <w:rFonts w:ascii="Verdana" w:eastAsia="Calibri" w:hAnsi="Verdana"/>
          <w:bCs/>
          <w:sz w:val="20"/>
          <w:szCs w:val="20"/>
          <w:lang w:val="en-US"/>
        </w:rPr>
        <w:t>and</w:t>
      </w:r>
      <w:r w:rsidR="005F5B74" w:rsidRPr="00EA6C7A">
        <w:rPr>
          <w:rFonts w:ascii="Verdana" w:eastAsia="Calibri" w:hAnsi="Verdana"/>
          <w:bCs/>
          <w:sz w:val="20"/>
          <w:szCs w:val="20"/>
          <w:lang w:val="en-US"/>
        </w:rPr>
        <w:t xml:space="preserve"> </w:t>
      </w:r>
      <w:r w:rsidR="0096418F" w:rsidRPr="00EA6C7A">
        <w:rPr>
          <w:rFonts w:ascii="Verdana" w:eastAsia="Calibri" w:hAnsi="Verdana"/>
          <w:bCs/>
          <w:sz w:val="20"/>
          <w:szCs w:val="20"/>
          <w:lang w:val="en-US"/>
        </w:rPr>
        <w:t>the Commission</w:t>
      </w:r>
      <w:r w:rsidR="005F5B74" w:rsidRPr="00EA6C7A">
        <w:rPr>
          <w:rFonts w:ascii="Verdana" w:eastAsia="Calibri" w:hAnsi="Verdana"/>
          <w:bCs/>
          <w:sz w:val="20"/>
          <w:szCs w:val="20"/>
          <w:lang w:val="en-US"/>
        </w:rPr>
        <w:t xml:space="preserve"> present</w:t>
      </w:r>
      <w:r w:rsidRPr="00EA6C7A">
        <w:rPr>
          <w:rFonts w:ascii="Verdana" w:eastAsia="Calibri" w:hAnsi="Verdana"/>
          <w:bCs/>
          <w:sz w:val="20"/>
          <w:szCs w:val="20"/>
          <w:lang w:val="en-US"/>
        </w:rPr>
        <w:t>ed their observations on the annexes submitted by the State with its final written arguments.</w:t>
      </w:r>
    </w:p>
    <w:p w14:paraId="720F5453" w14:textId="77777777" w:rsidR="005F5B74" w:rsidRPr="00EA6C7A" w:rsidRDefault="005F5B74" w:rsidP="005F5B74">
      <w:pPr>
        <w:pStyle w:val="Prrafodelista"/>
        <w:spacing w:after="0" w:line="240" w:lineRule="auto"/>
        <w:ind w:left="0"/>
        <w:jc w:val="both"/>
        <w:rPr>
          <w:rFonts w:ascii="Verdana" w:eastAsia="Calibri" w:hAnsi="Verdana"/>
          <w:bCs/>
          <w:sz w:val="20"/>
          <w:szCs w:val="20"/>
          <w:lang w:val="en-US"/>
        </w:rPr>
      </w:pPr>
    </w:p>
    <w:p w14:paraId="5122D808" w14:textId="77777777" w:rsidR="005F5B74" w:rsidRPr="00EA6C7A" w:rsidRDefault="005F5B74" w:rsidP="00E11A7C">
      <w:pPr>
        <w:pStyle w:val="Prrafodelista"/>
        <w:numPr>
          <w:ilvl w:val="0"/>
          <w:numId w:val="3"/>
        </w:numPr>
        <w:spacing w:after="0" w:line="240" w:lineRule="auto"/>
        <w:ind w:left="0" w:firstLine="0"/>
        <w:jc w:val="both"/>
        <w:rPr>
          <w:rFonts w:ascii="Verdana" w:eastAsia="Calibri" w:hAnsi="Verdana" w:cs="Verdana"/>
          <w:color w:val="000000"/>
          <w:sz w:val="20"/>
          <w:szCs w:val="20"/>
          <w:lang w:val="en-US" w:eastAsia="es-CR"/>
        </w:rPr>
      </w:pPr>
      <w:r w:rsidRPr="00EA6C7A">
        <w:rPr>
          <w:rFonts w:ascii="Verdana" w:eastAsia="Calibri" w:hAnsi="Verdana" w:cs="Verdana"/>
          <w:i/>
          <w:color w:val="000000"/>
          <w:sz w:val="20"/>
          <w:szCs w:val="20"/>
          <w:lang w:val="en-US" w:eastAsia="es-CR"/>
        </w:rPr>
        <w:t>Delibera</w:t>
      </w:r>
      <w:r w:rsidR="004554C7" w:rsidRPr="00EA6C7A">
        <w:rPr>
          <w:rFonts w:ascii="Verdana" w:eastAsia="Calibri" w:hAnsi="Verdana" w:cs="Verdana"/>
          <w:i/>
          <w:color w:val="000000"/>
          <w:sz w:val="20"/>
          <w:szCs w:val="20"/>
          <w:lang w:val="en-US" w:eastAsia="es-CR"/>
        </w:rPr>
        <w:t>tion of the case</w:t>
      </w:r>
      <w:r w:rsidRPr="00EA6C7A">
        <w:rPr>
          <w:rFonts w:ascii="Verdana" w:hAnsi="Verdana"/>
          <w:i/>
          <w:sz w:val="20"/>
          <w:szCs w:val="20"/>
          <w:lang w:val="en-US"/>
        </w:rPr>
        <w:t>.</w:t>
      </w:r>
      <w:r w:rsidRPr="00EA6C7A">
        <w:rPr>
          <w:rFonts w:ascii="Verdana" w:hAnsi="Verdana"/>
          <w:sz w:val="20"/>
          <w:szCs w:val="20"/>
          <w:lang w:val="en-US"/>
        </w:rPr>
        <w:t xml:space="preserve"> </w:t>
      </w:r>
      <w:r w:rsidR="0096418F" w:rsidRPr="00EA6C7A">
        <w:rPr>
          <w:rFonts w:ascii="Verdana" w:eastAsia="Calibri" w:hAnsi="Verdana" w:cs="Verdana"/>
          <w:color w:val="000000"/>
          <w:sz w:val="20"/>
          <w:szCs w:val="20"/>
          <w:lang w:val="en-US" w:eastAsia="es-CR"/>
        </w:rPr>
        <w:t>The Court</w:t>
      </w:r>
      <w:r w:rsidRPr="00EA6C7A">
        <w:rPr>
          <w:rFonts w:ascii="Verdana" w:eastAsia="Calibri" w:hAnsi="Verdana" w:cs="Verdana"/>
          <w:color w:val="000000"/>
          <w:sz w:val="20"/>
          <w:szCs w:val="20"/>
          <w:lang w:val="en-US" w:eastAsia="es-CR"/>
        </w:rPr>
        <w:t xml:space="preserve"> </w:t>
      </w:r>
      <w:r w:rsidR="004554C7" w:rsidRPr="00EA6C7A">
        <w:rPr>
          <w:rFonts w:ascii="Verdana" w:eastAsia="Calibri" w:hAnsi="Verdana" w:cs="Verdana"/>
          <w:color w:val="000000"/>
          <w:sz w:val="20"/>
          <w:szCs w:val="20"/>
          <w:lang w:val="en-US" w:eastAsia="es-CR"/>
        </w:rPr>
        <w:t>began deliberating th</w:t>
      </w:r>
      <w:r w:rsidR="008A1494" w:rsidRPr="00EA6C7A">
        <w:rPr>
          <w:rFonts w:ascii="Verdana" w:eastAsia="Calibri" w:hAnsi="Verdana" w:cs="Verdana"/>
          <w:color w:val="000000"/>
          <w:sz w:val="20"/>
          <w:szCs w:val="20"/>
          <w:lang w:val="en-US" w:eastAsia="es-CR"/>
        </w:rPr>
        <w:t>is</w:t>
      </w:r>
      <w:r w:rsidR="004554C7" w:rsidRPr="00EA6C7A">
        <w:rPr>
          <w:rFonts w:ascii="Verdana" w:eastAsia="Calibri" w:hAnsi="Verdana" w:cs="Verdana"/>
          <w:color w:val="000000"/>
          <w:sz w:val="20"/>
          <w:szCs w:val="20"/>
          <w:lang w:val="en-US" w:eastAsia="es-CR"/>
        </w:rPr>
        <w:t xml:space="preserve"> case on </w:t>
      </w:r>
      <w:r w:rsidR="001914FC" w:rsidRPr="00EA6C7A">
        <w:rPr>
          <w:rFonts w:ascii="Verdana" w:eastAsia="Calibri" w:hAnsi="Verdana" w:cs="Verdana"/>
          <w:color w:val="000000"/>
          <w:sz w:val="20"/>
          <w:szCs w:val="20"/>
          <w:lang w:val="en-US" w:eastAsia="es-CR"/>
        </w:rPr>
        <w:t>November 16,</w:t>
      </w:r>
      <w:r w:rsidRPr="00EA6C7A">
        <w:rPr>
          <w:rFonts w:ascii="Verdana" w:eastAsia="Calibri" w:hAnsi="Verdana" w:cs="Verdana"/>
          <w:color w:val="000000"/>
          <w:sz w:val="20"/>
          <w:szCs w:val="20"/>
          <w:lang w:val="en-US" w:eastAsia="es-CR"/>
        </w:rPr>
        <w:t xml:space="preserve"> 2015.</w:t>
      </w:r>
    </w:p>
    <w:p w14:paraId="40C689B1" w14:textId="77777777" w:rsidR="00FC08EC" w:rsidRPr="00EA6C7A" w:rsidRDefault="00FC08EC" w:rsidP="00FC08EC">
      <w:pPr>
        <w:pStyle w:val="Ttulo1"/>
        <w:spacing w:before="0" w:line="240" w:lineRule="auto"/>
        <w:rPr>
          <w:rFonts w:ascii="Verdana" w:hAnsi="Verdana" w:cs="Verdana"/>
          <w:caps/>
          <w:snapToGrid w:val="0"/>
          <w:szCs w:val="20"/>
          <w:lang w:val="en-US" w:eastAsia="es-ES"/>
        </w:rPr>
      </w:pPr>
      <w:bookmarkStart w:id="8" w:name="_Toc394313639"/>
    </w:p>
    <w:p w14:paraId="1B9D1C87" w14:textId="77777777" w:rsidR="005F5B74" w:rsidRPr="00EA6C7A" w:rsidRDefault="005F5B74" w:rsidP="00026CB6">
      <w:pPr>
        <w:pStyle w:val="Sentencia1"/>
        <w:rPr>
          <w:lang w:val="en-US"/>
        </w:rPr>
      </w:pPr>
      <w:bookmarkStart w:id="9" w:name="_Toc431801374"/>
      <w:bookmarkStart w:id="10" w:name="_Toc26002287"/>
      <w:r w:rsidRPr="00EA6C7A">
        <w:rPr>
          <w:rFonts w:cs="Verdana"/>
          <w:caps/>
          <w:snapToGrid w:val="0"/>
          <w:lang w:val="en-US" w:eastAsia="es-ES"/>
        </w:rPr>
        <w:t>III</w:t>
      </w:r>
      <w:r w:rsidRPr="00EA6C7A">
        <w:rPr>
          <w:rFonts w:cs="Verdana"/>
          <w:caps/>
          <w:snapToGrid w:val="0"/>
          <w:lang w:val="en-US" w:eastAsia="es-ES"/>
        </w:rPr>
        <w:br/>
      </w:r>
      <w:r w:rsidR="004554C7" w:rsidRPr="00EA6C7A">
        <w:rPr>
          <w:lang w:val="en-US"/>
        </w:rPr>
        <w:t>JURISDICTION</w:t>
      </w:r>
      <w:bookmarkEnd w:id="8"/>
      <w:bookmarkEnd w:id="9"/>
      <w:bookmarkEnd w:id="10"/>
    </w:p>
    <w:p w14:paraId="755C169F" w14:textId="77777777" w:rsidR="005F5B74" w:rsidRPr="00EA6C7A" w:rsidRDefault="005F5B74" w:rsidP="005F5B74">
      <w:pPr>
        <w:pStyle w:val="Prrafodelista"/>
        <w:spacing w:after="0" w:line="240" w:lineRule="auto"/>
        <w:ind w:left="0"/>
        <w:jc w:val="both"/>
        <w:rPr>
          <w:rFonts w:ascii="Verdana" w:hAnsi="Verdana"/>
          <w:sz w:val="20"/>
          <w:szCs w:val="20"/>
          <w:lang w:val="en-US"/>
        </w:rPr>
      </w:pPr>
    </w:p>
    <w:p w14:paraId="68DCB8B6" w14:textId="77777777" w:rsidR="005F5B74" w:rsidRPr="00EA6C7A" w:rsidRDefault="0096418F" w:rsidP="00E11A7C">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t>The Inter-American Court</w:t>
      </w:r>
      <w:r w:rsidR="005F5B74" w:rsidRPr="00EA6C7A">
        <w:rPr>
          <w:rFonts w:ascii="Verdana" w:hAnsi="Verdana"/>
          <w:sz w:val="20"/>
          <w:szCs w:val="20"/>
          <w:lang w:val="en-US"/>
        </w:rPr>
        <w:t xml:space="preserve"> </w:t>
      </w:r>
      <w:r w:rsidR="004554C7" w:rsidRPr="00EA6C7A">
        <w:rPr>
          <w:rFonts w:ascii="Verdana" w:hAnsi="Verdana"/>
          <w:sz w:val="20"/>
          <w:szCs w:val="20"/>
          <w:lang w:val="en-US"/>
        </w:rPr>
        <w:t xml:space="preserve">has jurisdiction to hear this case, pursuant to </w:t>
      </w:r>
      <w:r w:rsidR="001914FC" w:rsidRPr="00EA6C7A">
        <w:rPr>
          <w:rFonts w:ascii="Verdana" w:hAnsi="Verdana"/>
          <w:sz w:val="20"/>
          <w:szCs w:val="20"/>
          <w:lang w:val="en-US"/>
        </w:rPr>
        <w:t>Article</w:t>
      </w:r>
      <w:r w:rsidR="005F5B74" w:rsidRPr="00EA6C7A">
        <w:rPr>
          <w:rFonts w:ascii="Verdana" w:hAnsi="Verdana"/>
          <w:sz w:val="20"/>
          <w:szCs w:val="20"/>
          <w:lang w:val="en-US"/>
        </w:rPr>
        <w:t xml:space="preserve"> 62</w:t>
      </w:r>
      <w:r w:rsidR="004554C7" w:rsidRPr="00EA6C7A">
        <w:rPr>
          <w:rFonts w:ascii="Verdana" w:hAnsi="Verdana"/>
          <w:sz w:val="20"/>
          <w:szCs w:val="20"/>
          <w:lang w:val="en-US"/>
        </w:rPr>
        <w:t>(</w:t>
      </w:r>
      <w:r w:rsidR="005F5B74" w:rsidRPr="00EA6C7A">
        <w:rPr>
          <w:rFonts w:ascii="Verdana" w:hAnsi="Verdana"/>
          <w:sz w:val="20"/>
          <w:szCs w:val="20"/>
          <w:lang w:val="en-US"/>
        </w:rPr>
        <w:t>3</w:t>
      </w:r>
      <w:r w:rsidR="004554C7" w:rsidRPr="00EA6C7A">
        <w:rPr>
          <w:rFonts w:ascii="Verdana" w:hAnsi="Verdana"/>
          <w:sz w:val="20"/>
          <w:szCs w:val="20"/>
          <w:lang w:val="en-US"/>
        </w:rPr>
        <w:t>)</w:t>
      </w:r>
      <w:r w:rsidRPr="00EA6C7A">
        <w:rPr>
          <w:rFonts w:ascii="Verdana" w:hAnsi="Verdana"/>
          <w:sz w:val="20"/>
          <w:szCs w:val="20"/>
          <w:lang w:val="en-US"/>
        </w:rPr>
        <w:t xml:space="preserve"> of the American Convention</w:t>
      </w:r>
      <w:r w:rsidR="005F5B74" w:rsidRPr="00EA6C7A">
        <w:rPr>
          <w:rFonts w:ascii="Verdana" w:hAnsi="Verdana"/>
          <w:sz w:val="20"/>
          <w:szCs w:val="20"/>
          <w:lang w:val="en-US"/>
        </w:rPr>
        <w:t xml:space="preserve">, </w:t>
      </w:r>
      <w:r w:rsidR="004554C7" w:rsidRPr="00EA6C7A">
        <w:rPr>
          <w:rFonts w:ascii="Verdana" w:hAnsi="Verdana"/>
          <w:sz w:val="20"/>
          <w:szCs w:val="20"/>
          <w:lang w:val="en-US"/>
        </w:rPr>
        <w:t>because</w:t>
      </w:r>
      <w:r w:rsidR="005F5B74" w:rsidRPr="00EA6C7A">
        <w:rPr>
          <w:rFonts w:ascii="Verdana" w:hAnsi="Verdana"/>
          <w:sz w:val="20"/>
          <w:szCs w:val="20"/>
          <w:lang w:val="en-US"/>
        </w:rPr>
        <w:t xml:space="preserve"> Guatemala </w:t>
      </w:r>
      <w:r w:rsidR="004554C7" w:rsidRPr="00EA6C7A">
        <w:rPr>
          <w:rFonts w:ascii="Verdana" w:hAnsi="Verdana"/>
          <w:sz w:val="20"/>
          <w:szCs w:val="20"/>
          <w:lang w:val="en-US"/>
        </w:rPr>
        <w:t>has been a State Party to this instrument since May 25, 1978, and accepted the Court’s contentious jurisdiction on March 9, 1987.</w:t>
      </w:r>
    </w:p>
    <w:p w14:paraId="76A70E22" w14:textId="77777777" w:rsidR="00BF3E95" w:rsidRPr="00EA6C7A" w:rsidRDefault="00BF3E95" w:rsidP="00026CB6">
      <w:pPr>
        <w:pStyle w:val="Sentencia1"/>
        <w:rPr>
          <w:rFonts w:cs="Verdana"/>
          <w:caps/>
          <w:snapToGrid w:val="0"/>
          <w:lang w:val="en-US" w:eastAsia="es-ES"/>
        </w:rPr>
      </w:pPr>
      <w:bookmarkStart w:id="11" w:name="_Toc431801375"/>
    </w:p>
    <w:p w14:paraId="01D61D66" w14:textId="77777777" w:rsidR="00DD21BA" w:rsidRPr="00EA6C7A" w:rsidRDefault="00DD21BA" w:rsidP="00026CB6">
      <w:pPr>
        <w:pStyle w:val="Sentencia1"/>
        <w:rPr>
          <w:rFonts w:eastAsia="Calibri"/>
          <w:lang w:val="en-US"/>
        </w:rPr>
      </w:pPr>
      <w:bookmarkStart w:id="12" w:name="_Toc26002288"/>
      <w:r w:rsidRPr="00EA6C7A">
        <w:rPr>
          <w:rFonts w:cs="Verdana"/>
          <w:caps/>
          <w:snapToGrid w:val="0"/>
          <w:lang w:val="en-US" w:eastAsia="es-ES"/>
        </w:rPr>
        <w:t>IV</w:t>
      </w:r>
      <w:r w:rsidRPr="00EA6C7A">
        <w:rPr>
          <w:rFonts w:cs="Verdana"/>
          <w:caps/>
          <w:snapToGrid w:val="0"/>
          <w:lang w:val="en-US" w:eastAsia="es-ES"/>
        </w:rPr>
        <w:br/>
      </w:r>
      <w:r w:rsidR="00E43A75" w:rsidRPr="00EA6C7A">
        <w:rPr>
          <w:rFonts w:eastAsia="Calibri"/>
          <w:lang w:val="en-US"/>
        </w:rPr>
        <w:t>PRELIMINARY OBJECTIONS</w:t>
      </w:r>
      <w:bookmarkEnd w:id="11"/>
      <w:bookmarkEnd w:id="12"/>
    </w:p>
    <w:p w14:paraId="0E328D07" w14:textId="77777777" w:rsidR="00DD21BA" w:rsidRPr="00EA6C7A" w:rsidRDefault="00DD21BA" w:rsidP="00DD21BA">
      <w:pPr>
        <w:pStyle w:val="ColorfulList-Accent11"/>
        <w:spacing w:after="0" w:line="240" w:lineRule="auto"/>
        <w:ind w:left="0"/>
        <w:jc w:val="both"/>
        <w:rPr>
          <w:rFonts w:ascii="Verdana" w:eastAsia="Calibri" w:hAnsi="Verdana"/>
          <w:lang w:val="en-US"/>
        </w:rPr>
      </w:pPr>
    </w:p>
    <w:p w14:paraId="4458F726" w14:textId="77777777" w:rsidR="00DD21BA" w:rsidRPr="00EA6C7A" w:rsidRDefault="00DD21BA" w:rsidP="001E3D51">
      <w:pPr>
        <w:pStyle w:val="Sentencia2"/>
        <w:spacing w:line="240" w:lineRule="auto"/>
        <w:rPr>
          <w:rFonts w:eastAsia="Calibri"/>
          <w:lang w:val="en-US"/>
        </w:rPr>
      </w:pPr>
      <w:bookmarkStart w:id="13" w:name="_Toc431801376"/>
      <w:bookmarkStart w:id="14" w:name="_Toc26002289"/>
      <w:r w:rsidRPr="00EA6C7A">
        <w:rPr>
          <w:rFonts w:eastAsia="Calibri"/>
          <w:lang w:val="en-US"/>
        </w:rPr>
        <w:t>A</w:t>
      </w:r>
      <w:r w:rsidR="009919A3" w:rsidRPr="00EA6C7A">
        <w:rPr>
          <w:rFonts w:eastAsia="Calibri"/>
          <w:lang w:val="en-US"/>
        </w:rPr>
        <w:t>.</w:t>
      </w:r>
      <w:r w:rsidRPr="00EA6C7A">
        <w:rPr>
          <w:rFonts w:eastAsia="Calibri"/>
          <w:lang w:val="en-US"/>
        </w:rPr>
        <w:t xml:space="preserve"> </w:t>
      </w:r>
      <w:r w:rsidR="004554C7" w:rsidRPr="00EA6C7A">
        <w:rPr>
          <w:rFonts w:eastAsia="Calibri"/>
          <w:lang w:val="en-US"/>
        </w:rPr>
        <w:t>Preliminary objection concerning lack of material jurisdiction over</w:t>
      </w:r>
      <w:r w:rsidRPr="00EA6C7A">
        <w:rPr>
          <w:rFonts w:eastAsia="Calibri"/>
          <w:lang w:val="en-US"/>
        </w:rPr>
        <w:t xml:space="preserve"> </w:t>
      </w:r>
      <w:r w:rsidR="0096418F" w:rsidRPr="00EA6C7A">
        <w:rPr>
          <w:rFonts w:eastAsia="Calibri"/>
          <w:lang w:val="en-US"/>
        </w:rPr>
        <w:t>Article</w:t>
      </w:r>
      <w:r w:rsidRPr="00EA6C7A">
        <w:rPr>
          <w:rFonts w:eastAsia="Calibri"/>
          <w:lang w:val="en-US"/>
        </w:rPr>
        <w:t xml:space="preserve"> 7</w:t>
      </w:r>
      <w:r w:rsidR="0096418F" w:rsidRPr="00EA6C7A">
        <w:rPr>
          <w:rFonts w:eastAsia="Calibri"/>
          <w:lang w:val="en-US"/>
        </w:rPr>
        <w:t xml:space="preserve"> of the </w:t>
      </w:r>
      <w:r w:rsidR="004554C7" w:rsidRPr="00EA6C7A">
        <w:rPr>
          <w:rFonts w:eastAsia="Calibri"/>
          <w:lang w:val="en-US"/>
        </w:rPr>
        <w:t>Convention of Belém</w:t>
      </w:r>
      <w:r w:rsidRPr="00EA6C7A">
        <w:rPr>
          <w:rFonts w:eastAsia="Calibri"/>
          <w:lang w:val="en-US"/>
        </w:rPr>
        <w:t xml:space="preserve"> do Pará</w:t>
      </w:r>
      <w:bookmarkEnd w:id="13"/>
      <w:bookmarkEnd w:id="14"/>
    </w:p>
    <w:p w14:paraId="240E40BA" w14:textId="77777777" w:rsidR="00DD21BA" w:rsidRPr="00EA6C7A" w:rsidRDefault="00DD21BA" w:rsidP="00DD21BA">
      <w:pPr>
        <w:pStyle w:val="Prrafodelista"/>
        <w:spacing w:after="0" w:line="240" w:lineRule="auto"/>
        <w:ind w:left="0"/>
        <w:jc w:val="both"/>
        <w:rPr>
          <w:rFonts w:ascii="Verdana" w:eastAsia="Calibri" w:hAnsi="Verdana"/>
          <w:b/>
          <w:sz w:val="20"/>
          <w:szCs w:val="20"/>
          <w:lang w:val="en-US"/>
        </w:rPr>
      </w:pPr>
    </w:p>
    <w:p w14:paraId="51D5E3D4" w14:textId="77777777" w:rsidR="00DD21BA" w:rsidRPr="00EA6C7A" w:rsidRDefault="00DD21BA" w:rsidP="00026CB6">
      <w:pPr>
        <w:pStyle w:val="Sentencia3"/>
        <w:rPr>
          <w:rFonts w:eastAsia="Calibri"/>
          <w:lang w:val="en-US"/>
        </w:rPr>
      </w:pPr>
      <w:bookmarkStart w:id="15" w:name="_Toc26002290"/>
      <w:r w:rsidRPr="00EA6C7A">
        <w:rPr>
          <w:rFonts w:eastAsia="Calibri"/>
          <w:lang w:val="en-US"/>
        </w:rPr>
        <w:t xml:space="preserve">A.1. </w:t>
      </w:r>
      <w:r w:rsidR="004554C7" w:rsidRPr="00EA6C7A">
        <w:rPr>
          <w:rFonts w:eastAsia="Calibri"/>
          <w:lang w:val="en-US"/>
        </w:rPr>
        <w:t>Arguments of the parties and</w:t>
      </w:r>
      <w:r w:rsidRPr="00EA6C7A">
        <w:rPr>
          <w:rFonts w:eastAsia="Calibri"/>
          <w:lang w:val="en-US"/>
        </w:rPr>
        <w:t xml:space="preserve"> </w:t>
      </w:r>
      <w:r w:rsidR="0096418F" w:rsidRPr="00EA6C7A">
        <w:rPr>
          <w:rFonts w:eastAsia="Calibri"/>
          <w:lang w:val="en-US"/>
        </w:rPr>
        <w:t>the Commission</w:t>
      </w:r>
      <w:bookmarkEnd w:id="15"/>
      <w:r w:rsidR="00FE5252" w:rsidRPr="00EA6C7A">
        <w:rPr>
          <w:rFonts w:eastAsia="Calibri"/>
          <w:lang w:val="en-US"/>
        </w:rPr>
        <w:t xml:space="preserve"> </w:t>
      </w:r>
    </w:p>
    <w:p w14:paraId="15922811" w14:textId="77777777" w:rsidR="00DD21BA" w:rsidRPr="00EA6C7A" w:rsidRDefault="00DD21BA" w:rsidP="00DD21BA">
      <w:pPr>
        <w:spacing w:after="0" w:line="240" w:lineRule="auto"/>
        <w:jc w:val="both"/>
        <w:rPr>
          <w:rFonts w:ascii="Verdana" w:hAnsi="Verdana"/>
          <w:sz w:val="16"/>
          <w:szCs w:val="20"/>
          <w:lang w:val="en-US"/>
        </w:rPr>
      </w:pPr>
    </w:p>
    <w:p w14:paraId="2317C4CE" w14:textId="77777777" w:rsidR="00DD21BA" w:rsidRPr="00EA6C7A" w:rsidRDefault="006021E8" w:rsidP="00E11A7C">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eastAsia="Calibri" w:hAnsi="Verdana" w:cs="Arial"/>
          <w:sz w:val="20"/>
          <w:szCs w:val="20"/>
          <w:lang w:val="en-US"/>
        </w:rPr>
        <w:t>The</w:t>
      </w:r>
      <w:r w:rsidR="002F3848" w:rsidRPr="00EA6C7A">
        <w:rPr>
          <w:rFonts w:ascii="Verdana" w:hAnsi="Verdana"/>
          <w:b/>
          <w:bCs/>
          <w:i/>
          <w:iCs/>
          <w:sz w:val="20"/>
          <w:szCs w:val="20"/>
          <w:lang w:val="en-US"/>
        </w:rPr>
        <w:t xml:space="preserve"> State</w:t>
      </w:r>
      <w:r w:rsidR="00DD21BA" w:rsidRPr="00EA6C7A">
        <w:rPr>
          <w:rFonts w:ascii="Verdana" w:hAnsi="Verdana"/>
          <w:b/>
          <w:i/>
          <w:sz w:val="20"/>
          <w:szCs w:val="20"/>
          <w:lang w:val="en-US"/>
        </w:rPr>
        <w:t xml:space="preserve"> </w:t>
      </w:r>
      <w:r w:rsidR="004554C7" w:rsidRPr="00EA6C7A">
        <w:rPr>
          <w:rFonts w:ascii="Verdana" w:hAnsi="Verdana"/>
          <w:sz w:val="20"/>
          <w:szCs w:val="20"/>
          <w:lang w:val="en-US"/>
        </w:rPr>
        <w:t xml:space="preserve">affirmed that </w:t>
      </w:r>
      <w:r w:rsidR="0096418F" w:rsidRPr="00EA6C7A">
        <w:rPr>
          <w:rFonts w:ascii="Verdana" w:hAnsi="Verdana"/>
          <w:sz w:val="20"/>
          <w:szCs w:val="20"/>
          <w:lang w:val="en-US"/>
        </w:rPr>
        <w:t>the Court</w:t>
      </w:r>
      <w:r w:rsidR="00DD21BA" w:rsidRPr="00EA6C7A">
        <w:rPr>
          <w:rFonts w:ascii="Verdana" w:hAnsi="Verdana"/>
          <w:sz w:val="20"/>
          <w:szCs w:val="20"/>
          <w:lang w:val="en-US"/>
        </w:rPr>
        <w:t xml:space="preserve"> </w:t>
      </w:r>
      <w:r w:rsidR="004554C7" w:rsidRPr="00EA6C7A">
        <w:rPr>
          <w:rFonts w:ascii="Verdana" w:hAnsi="Verdana"/>
          <w:sz w:val="20"/>
          <w:szCs w:val="20"/>
          <w:lang w:val="en-US"/>
        </w:rPr>
        <w:t xml:space="preserve">was not competent to hear this case in relation to the presumed violations of the rights recognized in </w:t>
      </w:r>
      <w:r w:rsidR="0096418F" w:rsidRPr="00EA6C7A">
        <w:rPr>
          <w:rFonts w:ascii="Verdana" w:hAnsi="Verdana"/>
          <w:sz w:val="20"/>
          <w:szCs w:val="20"/>
          <w:lang w:val="en-US"/>
        </w:rPr>
        <w:t xml:space="preserve">the </w:t>
      </w:r>
      <w:r w:rsidR="004554C7" w:rsidRPr="00EA6C7A">
        <w:rPr>
          <w:rFonts w:ascii="Verdana" w:hAnsi="Verdana"/>
          <w:sz w:val="20"/>
          <w:szCs w:val="20"/>
          <w:lang w:val="en-US"/>
        </w:rPr>
        <w:t>Convention of Belém</w:t>
      </w:r>
      <w:r w:rsidR="00DD21BA" w:rsidRPr="00EA6C7A">
        <w:rPr>
          <w:rFonts w:ascii="Verdana" w:hAnsi="Verdana"/>
          <w:sz w:val="20"/>
          <w:szCs w:val="20"/>
          <w:lang w:val="en-US"/>
        </w:rPr>
        <w:t xml:space="preserve"> do Pará. </w:t>
      </w:r>
      <w:r w:rsidR="004554C7" w:rsidRPr="00EA6C7A">
        <w:rPr>
          <w:rFonts w:ascii="Verdana" w:hAnsi="Verdana"/>
          <w:sz w:val="20"/>
          <w:szCs w:val="20"/>
          <w:lang w:val="en-US"/>
        </w:rPr>
        <w:t xml:space="preserve">It argued that, when accepting the Court’s contentious jurisdiction, it had done so for cases “relating to the application or interpretation </w:t>
      </w:r>
      <w:r w:rsidR="0096418F" w:rsidRPr="00EA6C7A">
        <w:rPr>
          <w:rFonts w:ascii="Verdana" w:hAnsi="Verdana"/>
          <w:sz w:val="20"/>
          <w:szCs w:val="20"/>
          <w:lang w:val="en-US"/>
        </w:rPr>
        <w:t>of the American Convention</w:t>
      </w:r>
      <w:r w:rsidR="004554C7" w:rsidRPr="00EA6C7A">
        <w:rPr>
          <w:rFonts w:ascii="Verdana" w:hAnsi="Verdana"/>
          <w:sz w:val="20"/>
          <w:szCs w:val="20"/>
          <w:lang w:val="en-US"/>
        </w:rPr>
        <w:t>,</w:t>
      </w:r>
      <w:r w:rsidR="00DD21BA" w:rsidRPr="00EA6C7A">
        <w:rPr>
          <w:rFonts w:ascii="Verdana" w:hAnsi="Verdana"/>
          <w:sz w:val="20"/>
          <w:szCs w:val="20"/>
          <w:lang w:val="en-US"/>
        </w:rPr>
        <w:t>”</w:t>
      </w:r>
      <w:r w:rsidR="004554C7" w:rsidRPr="00EA6C7A">
        <w:rPr>
          <w:rFonts w:ascii="Verdana" w:hAnsi="Verdana"/>
          <w:sz w:val="20"/>
          <w:szCs w:val="20"/>
          <w:lang w:val="en-US"/>
        </w:rPr>
        <w:t xml:space="preserve"> and that it had never authorized the Court to he</w:t>
      </w:r>
      <w:r w:rsidR="00AF6868" w:rsidRPr="00EA6C7A">
        <w:rPr>
          <w:rFonts w:ascii="Verdana" w:hAnsi="Verdana"/>
          <w:sz w:val="20"/>
          <w:szCs w:val="20"/>
          <w:lang w:val="en-US"/>
        </w:rPr>
        <w:t>a</w:t>
      </w:r>
      <w:r w:rsidR="004554C7" w:rsidRPr="00EA6C7A">
        <w:rPr>
          <w:rFonts w:ascii="Verdana" w:hAnsi="Verdana"/>
          <w:sz w:val="20"/>
          <w:szCs w:val="20"/>
          <w:lang w:val="en-US"/>
        </w:rPr>
        <w:t>r cases relating to the application or interpretation of other international treaties. It indicated that</w:t>
      </w:r>
      <w:r w:rsidR="00DD21BA" w:rsidRPr="00EA6C7A">
        <w:rPr>
          <w:rFonts w:ascii="Verdana" w:hAnsi="Verdana"/>
          <w:sz w:val="20"/>
          <w:szCs w:val="20"/>
          <w:lang w:val="en-US"/>
        </w:rPr>
        <w:t xml:space="preserve"> </w:t>
      </w:r>
      <w:r w:rsidR="0096418F" w:rsidRPr="00EA6C7A">
        <w:rPr>
          <w:rFonts w:ascii="Verdana" w:hAnsi="Verdana"/>
          <w:sz w:val="20"/>
          <w:szCs w:val="20"/>
          <w:lang w:val="en-US"/>
        </w:rPr>
        <w:t>Article</w:t>
      </w:r>
      <w:r w:rsidR="00DD21BA" w:rsidRPr="00EA6C7A">
        <w:rPr>
          <w:rFonts w:ascii="Verdana" w:hAnsi="Verdana"/>
          <w:sz w:val="20"/>
          <w:szCs w:val="20"/>
          <w:lang w:val="en-US"/>
        </w:rPr>
        <w:t xml:space="preserve"> 12</w:t>
      </w:r>
      <w:r w:rsidR="0096418F" w:rsidRPr="00EA6C7A">
        <w:rPr>
          <w:rFonts w:ascii="Verdana" w:hAnsi="Verdana"/>
          <w:sz w:val="20"/>
          <w:szCs w:val="20"/>
          <w:lang w:val="en-US"/>
        </w:rPr>
        <w:t xml:space="preserve"> of the </w:t>
      </w:r>
      <w:r w:rsidR="004554C7" w:rsidRPr="00EA6C7A">
        <w:rPr>
          <w:rFonts w:ascii="Verdana" w:hAnsi="Verdana"/>
          <w:sz w:val="20"/>
          <w:szCs w:val="20"/>
          <w:lang w:val="en-US"/>
        </w:rPr>
        <w:t>Convention of Belém</w:t>
      </w:r>
      <w:r w:rsidR="00DD21BA" w:rsidRPr="00EA6C7A">
        <w:rPr>
          <w:rFonts w:ascii="Verdana" w:hAnsi="Verdana"/>
          <w:sz w:val="20"/>
          <w:szCs w:val="20"/>
          <w:lang w:val="en-US"/>
        </w:rPr>
        <w:t xml:space="preserve"> do Pará</w:t>
      </w:r>
      <w:r w:rsidR="009C0B8D" w:rsidRPr="00EA6C7A">
        <w:rPr>
          <w:rStyle w:val="Refdenotaalpie"/>
          <w:rFonts w:ascii="Verdana" w:hAnsi="Verdana"/>
          <w:sz w:val="20"/>
          <w:szCs w:val="20"/>
          <w:lang w:val="en-US"/>
        </w:rPr>
        <w:footnoteReference w:id="4"/>
      </w:r>
      <w:r w:rsidR="00DD21BA" w:rsidRPr="00EA6C7A">
        <w:rPr>
          <w:rFonts w:ascii="Verdana" w:hAnsi="Verdana"/>
          <w:sz w:val="20"/>
          <w:szCs w:val="20"/>
          <w:lang w:val="en-US"/>
        </w:rPr>
        <w:t xml:space="preserve"> </w:t>
      </w:r>
      <w:r w:rsidR="004554C7" w:rsidRPr="00EA6C7A">
        <w:rPr>
          <w:rFonts w:ascii="Verdana" w:hAnsi="Verdana"/>
          <w:sz w:val="20"/>
          <w:szCs w:val="20"/>
          <w:lang w:val="en-US"/>
        </w:rPr>
        <w:t xml:space="preserve">does not automatically imply that the Court has competence </w:t>
      </w:r>
      <w:r w:rsidR="00DD21BA" w:rsidRPr="00EA6C7A">
        <w:rPr>
          <w:rFonts w:ascii="Verdana" w:hAnsi="Verdana"/>
          <w:i/>
          <w:sz w:val="20"/>
          <w:szCs w:val="20"/>
          <w:lang w:val="en-US"/>
        </w:rPr>
        <w:t xml:space="preserve">ratione materiae </w:t>
      </w:r>
      <w:r w:rsidR="004554C7" w:rsidRPr="00EA6C7A">
        <w:rPr>
          <w:rFonts w:ascii="Verdana" w:hAnsi="Verdana"/>
          <w:sz w:val="20"/>
          <w:szCs w:val="20"/>
          <w:lang w:val="en-US"/>
        </w:rPr>
        <w:t xml:space="preserve">to hear and decide complaints based on that treaty because, for the Court to be able to rule on violations of rights contained in instruments other than </w:t>
      </w:r>
      <w:r w:rsidR="0096418F" w:rsidRPr="00EA6C7A">
        <w:rPr>
          <w:rFonts w:ascii="Verdana" w:hAnsi="Verdana"/>
          <w:sz w:val="20"/>
          <w:szCs w:val="20"/>
          <w:lang w:val="en-US"/>
        </w:rPr>
        <w:t>the American Convention</w:t>
      </w:r>
      <w:r w:rsidR="008D5402" w:rsidRPr="00EA6C7A">
        <w:rPr>
          <w:rFonts w:ascii="Verdana" w:hAnsi="Verdana"/>
          <w:sz w:val="20"/>
          <w:szCs w:val="20"/>
          <w:lang w:val="en-US"/>
        </w:rPr>
        <w:t>,</w:t>
      </w:r>
      <w:r w:rsidR="00DD21BA" w:rsidRPr="00EA6C7A">
        <w:rPr>
          <w:rFonts w:ascii="Verdana" w:hAnsi="Verdana"/>
          <w:sz w:val="20"/>
          <w:szCs w:val="20"/>
          <w:lang w:val="en-US"/>
        </w:rPr>
        <w:t xml:space="preserve"> </w:t>
      </w:r>
      <w:r w:rsidR="004554C7" w:rsidRPr="00EA6C7A">
        <w:rPr>
          <w:rFonts w:ascii="Verdana" w:hAnsi="Verdana"/>
          <w:sz w:val="20"/>
          <w:szCs w:val="20"/>
          <w:lang w:val="en-US"/>
        </w:rPr>
        <w:t>the State must have authorized this expressly.</w:t>
      </w:r>
    </w:p>
    <w:p w14:paraId="61E5E841" w14:textId="77777777" w:rsidR="00DD21BA" w:rsidRPr="00EA6C7A" w:rsidRDefault="00DD21BA" w:rsidP="00DD21BA">
      <w:pPr>
        <w:spacing w:after="0" w:line="240" w:lineRule="auto"/>
        <w:jc w:val="both"/>
        <w:rPr>
          <w:rFonts w:ascii="Verdana" w:hAnsi="Verdana"/>
          <w:sz w:val="20"/>
          <w:szCs w:val="20"/>
          <w:lang w:val="en-US"/>
        </w:rPr>
      </w:pPr>
    </w:p>
    <w:p w14:paraId="4C0BE226" w14:textId="77777777" w:rsidR="00143325" w:rsidRPr="00EA6C7A" w:rsidRDefault="006021E8" w:rsidP="00E11A7C">
      <w:pPr>
        <w:pStyle w:val="Prrafodelista"/>
        <w:numPr>
          <w:ilvl w:val="0"/>
          <w:numId w:val="3"/>
        </w:numPr>
        <w:spacing w:after="0" w:line="240" w:lineRule="auto"/>
        <w:ind w:left="0" w:hanging="11"/>
        <w:jc w:val="both"/>
        <w:rPr>
          <w:rFonts w:ascii="Verdana" w:hAnsi="Verdana"/>
          <w:b/>
          <w:sz w:val="20"/>
          <w:szCs w:val="20"/>
          <w:lang w:val="en-US"/>
        </w:rPr>
      </w:pPr>
      <w:r w:rsidRPr="00EA6C7A">
        <w:rPr>
          <w:rFonts w:ascii="Verdana" w:eastAsia="Calibri" w:hAnsi="Verdana" w:cs="Arial"/>
          <w:sz w:val="20"/>
          <w:szCs w:val="20"/>
          <w:lang w:val="en-US"/>
        </w:rPr>
        <w:t>The</w:t>
      </w:r>
      <w:r w:rsidRPr="00EA6C7A">
        <w:rPr>
          <w:rFonts w:ascii="Verdana" w:hAnsi="Verdana"/>
          <w:b/>
          <w:bCs/>
          <w:i/>
          <w:iCs/>
          <w:sz w:val="20"/>
          <w:szCs w:val="20"/>
          <w:lang w:val="en-US"/>
        </w:rPr>
        <w:t xml:space="preserve"> </w:t>
      </w:r>
      <w:r w:rsidR="0096418F" w:rsidRPr="00EA6C7A">
        <w:rPr>
          <w:rFonts w:ascii="Verdana" w:hAnsi="Verdana"/>
          <w:b/>
          <w:bCs/>
          <w:i/>
          <w:iCs/>
          <w:sz w:val="20"/>
          <w:szCs w:val="20"/>
          <w:lang w:val="en-US"/>
        </w:rPr>
        <w:t>Commission</w:t>
      </w:r>
      <w:r w:rsidR="00DD21BA" w:rsidRPr="00EA6C7A">
        <w:rPr>
          <w:rFonts w:ascii="Verdana" w:hAnsi="Verdana"/>
          <w:b/>
          <w:sz w:val="20"/>
          <w:szCs w:val="20"/>
          <w:lang w:val="en-US"/>
        </w:rPr>
        <w:t xml:space="preserve"> </w:t>
      </w:r>
      <w:r w:rsidR="00544298" w:rsidRPr="00EA6C7A">
        <w:rPr>
          <w:rFonts w:ascii="Verdana" w:hAnsi="Verdana"/>
          <w:sz w:val="20"/>
          <w:szCs w:val="20"/>
          <w:lang w:val="en-US"/>
        </w:rPr>
        <w:t>noted that</w:t>
      </w:r>
      <w:r w:rsidR="00DD21BA" w:rsidRPr="00EA6C7A">
        <w:rPr>
          <w:rFonts w:ascii="Verdana" w:hAnsi="Verdana"/>
          <w:sz w:val="20"/>
          <w:szCs w:val="20"/>
          <w:lang w:val="en-US"/>
        </w:rPr>
        <w:t xml:space="preserve"> </w:t>
      </w:r>
      <w:r w:rsidR="002F3848" w:rsidRPr="00EA6C7A">
        <w:rPr>
          <w:rFonts w:ascii="Verdana" w:hAnsi="Verdana"/>
          <w:sz w:val="20"/>
          <w:szCs w:val="20"/>
          <w:lang w:val="en-US"/>
        </w:rPr>
        <w:t>the State</w:t>
      </w:r>
      <w:r w:rsidR="00544298" w:rsidRPr="00EA6C7A">
        <w:rPr>
          <w:rFonts w:ascii="Verdana" w:hAnsi="Verdana"/>
          <w:sz w:val="20"/>
          <w:szCs w:val="20"/>
          <w:lang w:val="en-US"/>
        </w:rPr>
        <w:t xml:space="preserve"> had filed this objection in </w:t>
      </w:r>
      <w:r w:rsidR="007E6E93" w:rsidRPr="00EA6C7A">
        <w:rPr>
          <w:rFonts w:ascii="Verdana" w:hAnsi="Verdana"/>
          <w:sz w:val="20"/>
          <w:szCs w:val="20"/>
          <w:lang w:val="en-US"/>
        </w:rPr>
        <w:t>the case of</w:t>
      </w:r>
      <w:r w:rsidR="001914FC" w:rsidRPr="00EA6C7A">
        <w:rPr>
          <w:rFonts w:ascii="Verdana" w:hAnsi="Verdana"/>
          <w:i/>
          <w:sz w:val="20"/>
          <w:szCs w:val="20"/>
          <w:lang w:val="en-US"/>
        </w:rPr>
        <w:t xml:space="preserve"> </w:t>
      </w:r>
      <w:r w:rsidR="00DD21BA" w:rsidRPr="00EA6C7A">
        <w:rPr>
          <w:rFonts w:ascii="Verdana" w:hAnsi="Verdana"/>
          <w:i/>
          <w:sz w:val="20"/>
          <w:szCs w:val="20"/>
          <w:lang w:val="en-US"/>
        </w:rPr>
        <w:t xml:space="preserve">Veliz Franco </w:t>
      </w:r>
      <w:r w:rsidR="00544298" w:rsidRPr="00EA6C7A">
        <w:rPr>
          <w:rFonts w:ascii="Verdana" w:hAnsi="Verdana"/>
          <w:i/>
          <w:sz w:val="20"/>
          <w:szCs w:val="20"/>
          <w:lang w:val="en-US"/>
        </w:rPr>
        <w:t>et al.,</w:t>
      </w:r>
      <w:r w:rsidR="00DD21BA" w:rsidRPr="00EA6C7A">
        <w:rPr>
          <w:rFonts w:ascii="Verdana" w:hAnsi="Verdana"/>
          <w:sz w:val="20"/>
          <w:szCs w:val="20"/>
          <w:lang w:val="en-US"/>
        </w:rPr>
        <w:t xml:space="preserve"> </w:t>
      </w:r>
      <w:r w:rsidR="00544298" w:rsidRPr="00EA6C7A">
        <w:rPr>
          <w:rFonts w:ascii="Verdana" w:hAnsi="Verdana"/>
          <w:sz w:val="20"/>
          <w:szCs w:val="20"/>
          <w:lang w:val="en-US"/>
        </w:rPr>
        <w:t xml:space="preserve">and that </w:t>
      </w:r>
      <w:r w:rsidR="00AF6868" w:rsidRPr="00EA6C7A">
        <w:rPr>
          <w:rFonts w:ascii="Verdana" w:hAnsi="Verdana"/>
          <w:sz w:val="20"/>
          <w:szCs w:val="20"/>
          <w:lang w:val="en-US"/>
        </w:rPr>
        <w:t>the Court had</w:t>
      </w:r>
      <w:r w:rsidR="00544298" w:rsidRPr="00EA6C7A">
        <w:rPr>
          <w:rFonts w:ascii="Verdana" w:hAnsi="Verdana"/>
          <w:sz w:val="20"/>
          <w:szCs w:val="20"/>
          <w:lang w:val="en-US"/>
        </w:rPr>
        <w:t xml:space="preserve"> rejected </w:t>
      </w:r>
      <w:r w:rsidR="00AF6868" w:rsidRPr="00EA6C7A">
        <w:rPr>
          <w:rFonts w:ascii="Verdana" w:hAnsi="Verdana"/>
          <w:sz w:val="20"/>
          <w:szCs w:val="20"/>
          <w:lang w:val="en-US"/>
        </w:rPr>
        <w:t>it</w:t>
      </w:r>
      <w:r w:rsidR="00544298" w:rsidRPr="00EA6C7A">
        <w:rPr>
          <w:rFonts w:ascii="Verdana" w:hAnsi="Verdana"/>
          <w:sz w:val="20"/>
          <w:szCs w:val="20"/>
          <w:lang w:val="en-US"/>
        </w:rPr>
        <w:t xml:space="preserve"> based on its consistent case law </w:t>
      </w:r>
      <w:r w:rsidR="00AF6868" w:rsidRPr="00EA6C7A">
        <w:rPr>
          <w:rFonts w:ascii="Verdana" w:hAnsi="Verdana"/>
          <w:sz w:val="20"/>
          <w:szCs w:val="20"/>
          <w:lang w:val="en-US"/>
        </w:rPr>
        <w:t>under</w:t>
      </w:r>
      <w:r w:rsidR="00544298" w:rsidRPr="00EA6C7A">
        <w:rPr>
          <w:rFonts w:ascii="Verdana" w:hAnsi="Verdana"/>
          <w:sz w:val="20"/>
          <w:szCs w:val="20"/>
          <w:lang w:val="en-US"/>
        </w:rPr>
        <w:t xml:space="preserve"> which it has been applying </w:t>
      </w:r>
      <w:r w:rsidR="0096418F" w:rsidRPr="00EA6C7A">
        <w:rPr>
          <w:rFonts w:ascii="Verdana" w:hAnsi="Verdana"/>
          <w:sz w:val="20"/>
          <w:szCs w:val="20"/>
          <w:lang w:val="en-US"/>
        </w:rPr>
        <w:t>Article</w:t>
      </w:r>
      <w:r w:rsidR="00DD21BA" w:rsidRPr="00EA6C7A">
        <w:rPr>
          <w:rFonts w:ascii="Verdana" w:hAnsi="Verdana"/>
          <w:sz w:val="20"/>
          <w:szCs w:val="20"/>
          <w:lang w:val="en-US"/>
        </w:rPr>
        <w:t xml:space="preserve"> 7</w:t>
      </w:r>
      <w:r w:rsidR="0096418F" w:rsidRPr="00EA6C7A">
        <w:rPr>
          <w:rFonts w:ascii="Verdana" w:hAnsi="Verdana"/>
          <w:sz w:val="20"/>
          <w:szCs w:val="20"/>
          <w:lang w:val="en-US"/>
        </w:rPr>
        <w:t xml:space="preserve"> of the </w:t>
      </w:r>
      <w:r w:rsidR="004554C7" w:rsidRPr="00EA6C7A">
        <w:rPr>
          <w:rFonts w:ascii="Verdana" w:hAnsi="Verdana"/>
          <w:sz w:val="20"/>
          <w:szCs w:val="20"/>
          <w:lang w:val="en-US"/>
        </w:rPr>
        <w:t>Convention of Belém</w:t>
      </w:r>
      <w:r w:rsidR="00DD21BA" w:rsidRPr="00EA6C7A">
        <w:rPr>
          <w:rFonts w:ascii="Verdana" w:hAnsi="Verdana"/>
          <w:sz w:val="20"/>
          <w:szCs w:val="20"/>
          <w:lang w:val="en-US"/>
        </w:rPr>
        <w:t xml:space="preserve"> do Pará</w:t>
      </w:r>
      <w:r w:rsidR="00544298" w:rsidRPr="00EA6C7A">
        <w:rPr>
          <w:rFonts w:ascii="Verdana" w:hAnsi="Verdana"/>
          <w:sz w:val="20"/>
          <w:szCs w:val="20"/>
          <w:lang w:val="en-US"/>
        </w:rPr>
        <w:t xml:space="preserve"> directly, in the understanding that</w:t>
      </w:r>
      <w:r w:rsidR="00DD21BA" w:rsidRPr="00EA6C7A">
        <w:rPr>
          <w:rFonts w:ascii="Verdana" w:hAnsi="Verdana"/>
          <w:sz w:val="20"/>
          <w:szCs w:val="20"/>
          <w:lang w:val="en-US"/>
        </w:rPr>
        <w:t xml:space="preserve"> </w:t>
      </w:r>
      <w:r w:rsidR="0096418F" w:rsidRPr="00EA6C7A">
        <w:rPr>
          <w:rFonts w:ascii="Verdana" w:hAnsi="Verdana"/>
          <w:sz w:val="20"/>
          <w:szCs w:val="20"/>
          <w:lang w:val="en-US"/>
        </w:rPr>
        <w:t>Article</w:t>
      </w:r>
      <w:r w:rsidR="00DD21BA" w:rsidRPr="00EA6C7A">
        <w:rPr>
          <w:rFonts w:ascii="Verdana" w:hAnsi="Verdana"/>
          <w:sz w:val="20"/>
          <w:szCs w:val="20"/>
          <w:lang w:val="en-US"/>
        </w:rPr>
        <w:t xml:space="preserve"> 12 </w:t>
      </w:r>
      <w:r w:rsidR="00544298" w:rsidRPr="00EA6C7A">
        <w:rPr>
          <w:rFonts w:ascii="Verdana" w:hAnsi="Verdana"/>
          <w:sz w:val="20"/>
          <w:szCs w:val="20"/>
          <w:lang w:val="en-US"/>
        </w:rPr>
        <w:t xml:space="preserve">of this instrument incorporates a general clause of competence accepted by the States when ratifying or adhering to it. Therefore, it asked the Court to declare this </w:t>
      </w:r>
      <w:r w:rsidR="00544298" w:rsidRPr="00EA6C7A">
        <w:rPr>
          <w:rFonts w:ascii="Verdana" w:eastAsia="Calibri" w:hAnsi="Verdana"/>
          <w:sz w:val="20"/>
          <w:szCs w:val="20"/>
          <w:lang w:val="en-US"/>
        </w:rPr>
        <w:t>p</w:t>
      </w:r>
      <w:r w:rsidR="004554C7" w:rsidRPr="00EA6C7A">
        <w:rPr>
          <w:rFonts w:ascii="Verdana" w:eastAsia="Calibri" w:hAnsi="Verdana"/>
          <w:sz w:val="20"/>
          <w:szCs w:val="20"/>
          <w:lang w:val="en-US"/>
        </w:rPr>
        <w:t>reliminary objection</w:t>
      </w:r>
      <w:r w:rsidR="00544298" w:rsidRPr="00EA6C7A">
        <w:rPr>
          <w:rFonts w:ascii="Verdana" w:eastAsia="Calibri" w:hAnsi="Verdana"/>
          <w:sz w:val="20"/>
          <w:szCs w:val="20"/>
          <w:lang w:val="en-US"/>
        </w:rPr>
        <w:t xml:space="preserve"> inadmissible</w:t>
      </w:r>
      <w:r w:rsidR="00DD21BA" w:rsidRPr="00EA6C7A">
        <w:rPr>
          <w:rFonts w:ascii="Verdana" w:eastAsia="Calibri" w:hAnsi="Verdana"/>
          <w:sz w:val="20"/>
          <w:szCs w:val="20"/>
          <w:lang w:val="en-US"/>
        </w:rPr>
        <w:t>.</w:t>
      </w:r>
    </w:p>
    <w:p w14:paraId="7EEFB227" w14:textId="77777777" w:rsidR="00DD21BA" w:rsidRPr="00EA6C7A" w:rsidRDefault="00143325" w:rsidP="00DD21BA">
      <w:pPr>
        <w:autoSpaceDE w:val="0"/>
        <w:autoSpaceDN w:val="0"/>
        <w:adjustRightInd w:val="0"/>
        <w:spacing w:after="0" w:line="240" w:lineRule="auto"/>
        <w:jc w:val="both"/>
        <w:rPr>
          <w:rFonts w:ascii="Verdana" w:hAnsi="Verdana"/>
          <w:sz w:val="20"/>
          <w:szCs w:val="20"/>
          <w:lang w:val="en-US"/>
        </w:rPr>
      </w:pPr>
      <w:r w:rsidRPr="00EA6C7A" w:rsidDel="00143325">
        <w:rPr>
          <w:rFonts w:ascii="Verdana" w:hAnsi="Verdana"/>
          <w:sz w:val="20"/>
          <w:szCs w:val="20"/>
          <w:lang w:val="en-US"/>
        </w:rPr>
        <w:t xml:space="preserve"> </w:t>
      </w:r>
    </w:p>
    <w:p w14:paraId="4C928704" w14:textId="77777777" w:rsidR="00DD21BA" w:rsidRPr="00EA6C7A" w:rsidRDefault="006021E8" w:rsidP="00E11A7C">
      <w:pPr>
        <w:pStyle w:val="Prrafodelista"/>
        <w:numPr>
          <w:ilvl w:val="0"/>
          <w:numId w:val="3"/>
        </w:numPr>
        <w:spacing w:after="0" w:line="240" w:lineRule="auto"/>
        <w:ind w:left="0" w:hanging="11"/>
        <w:jc w:val="both"/>
        <w:rPr>
          <w:rFonts w:ascii="Verdana" w:hAnsi="Verdana"/>
          <w:i/>
          <w:sz w:val="20"/>
          <w:szCs w:val="20"/>
          <w:lang w:val="en-US"/>
        </w:rPr>
      </w:pPr>
      <w:r w:rsidRPr="00EA6C7A">
        <w:rPr>
          <w:rFonts w:ascii="Verdana" w:eastAsia="Calibri" w:hAnsi="Verdana" w:cs="Arial"/>
          <w:sz w:val="20"/>
          <w:szCs w:val="20"/>
          <w:lang w:val="en-US"/>
        </w:rPr>
        <w:lastRenderedPageBreak/>
        <w:t>The</w:t>
      </w:r>
      <w:r w:rsidR="00E43A75" w:rsidRPr="00EA6C7A">
        <w:rPr>
          <w:rFonts w:ascii="Verdana" w:hAnsi="Verdana"/>
          <w:b/>
          <w:bCs/>
          <w:i/>
          <w:iCs/>
          <w:sz w:val="20"/>
          <w:szCs w:val="20"/>
          <w:lang w:val="en-US"/>
        </w:rPr>
        <w:t xml:space="preserve"> representatives</w:t>
      </w:r>
      <w:r w:rsidR="00DD21BA" w:rsidRPr="00EA6C7A">
        <w:rPr>
          <w:rFonts w:ascii="Verdana" w:hAnsi="Verdana"/>
          <w:b/>
          <w:bCs/>
          <w:i/>
          <w:iCs/>
          <w:sz w:val="20"/>
          <w:szCs w:val="20"/>
          <w:lang w:val="en-US"/>
        </w:rPr>
        <w:t xml:space="preserve"> </w:t>
      </w:r>
      <w:r w:rsidR="00544298" w:rsidRPr="00EA6C7A">
        <w:rPr>
          <w:rFonts w:ascii="Verdana" w:hAnsi="Verdana"/>
          <w:sz w:val="20"/>
          <w:szCs w:val="20"/>
          <w:lang w:val="en-US"/>
        </w:rPr>
        <w:t>agreed with</w:t>
      </w:r>
      <w:r w:rsidR="00DD21BA" w:rsidRPr="00EA6C7A">
        <w:rPr>
          <w:rFonts w:ascii="Verdana" w:hAnsi="Verdana"/>
          <w:sz w:val="20"/>
          <w:szCs w:val="20"/>
          <w:lang w:val="en-US"/>
        </w:rPr>
        <w:t xml:space="preserve"> </w:t>
      </w:r>
      <w:r w:rsidR="0096418F" w:rsidRPr="00EA6C7A">
        <w:rPr>
          <w:rFonts w:ascii="Verdana" w:hAnsi="Verdana"/>
          <w:sz w:val="20"/>
          <w:szCs w:val="20"/>
          <w:lang w:val="en-US"/>
        </w:rPr>
        <w:t>the Commission</w:t>
      </w:r>
      <w:r w:rsidR="00DD21BA" w:rsidRPr="00EA6C7A">
        <w:rPr>
          <w:rFonts w:ascii="Verdana" w:hAnsi="Verdana"/>
          <w:sz w:val="20"/>
          <w:szCs w:val="20"/>
          <w:lang w:val="en-US"/>
        </w:rPr>
        <w:t xml:space="preserve"> </w:t>
      </w:r>
      <w:r w:rsidR="00544298" w:rsidRPr="00EA6C7A">
        <w:rPr>
          <w:rFonts w:ascii="Verdana" w:hAnsi="Verdana"/>
          <w:sz w:val="20"/>
          <w:szCs w:val="20"/>
          <w:lang w:val="en-US"/>
        </w:rPr>
        <w:t>and repeated the criteria established in the cases of</w:t>
      </w:r>
      <w:r w:rsidR="00DD21BA" w:rsidRPr="00EA6C7A">
        <w:rPr>
          <w:rFonts w:ascii="Verdana" w:hAnsi="Verdana"/>
          <w:sz w:val="20"/>
          <w:szCs w:val="20"/>
          <w:lang w:val="en-US"/>
        </w:rPr>
        <w:t xml:space="preserve"> </w:t>
      </w:r>
      <w:r w:rsidR="00DD21BA" w:rsidRPr="00EA6C7A">
        <w:rPr>
          <w:rFonts w:ascii="Verdana" w:hAnsi="Verdana"/>
          <w:i/>
          <w:sz w:val="20"/>
          <w:szCs w:val="20"/>
          <w:lang w:val="en-US"/>
        </w:rPr>
        <w:t xml:space="preserve">Veliz Franco </w:t>
      </w:r>
      <w:r w:rsidR="00544298" w:rsidRPr="00EA6C7A">
        <w:rPr>
          <w:rFonts w:ascii="Verdana" w:hAnsi="Verdana"/>
          <w:i/>
          <w:sz w:val="20"/>
          <w:szCs w:val="20"/>
          <w:lang w:val="en-US"/>
        </w:rPr>
        <w:t>et al.</w:t>
      </w:r>
      <w:r w:rsidR="00DD21BA" w:rsidRPr="00EA6C7A">
        <w:rPr>
          <w:rFonts w:ascii="Verdana" w:hAnsi="Verdana"/>
          <w:i/>
          <w:sz w:val="20"/>
          <w:szCs w:val="20"/>
          <w:lang w:val="en-US"/>
        </w:rPr>
        <w:t xml:space="preserve"> </w:t>
      </w:r>
      <w:r w:rsidR="00544298" w:rsidRPr="00EA6C7A">
        <w:rPr>
          <w:rFonts w:ascii="Verdana" w:hAnsi="Verdana"/>
          <w:sz w:val="20"/>
          <w:szCs w:val="20"/>
          <w:lang w:val="en-US"/>
        </w:rPr>
        <w:t>and</w:t>
      </w:r>
      <w:r w:rsidR="00AF6868" w:rsidRPr="00EA6C7A">
        <w:rPr>
          <w:rFonts w:ascii="Verdana" w:hAnsi="Verdana"/>
          <w:sz w:val="20"/>
          <w:szCs w:val="20"/>
          <w:lang w:val="en-US"/>
        </w:rPr>
        <w:t xml:space="preserve"> the</w:t>
      </w:r>
      <w:r w:rsidR="00DD21BA" w:rsidRPr="00EA6C7A">
        <w:rPr>
          <w:rFonts w:ascii="Verdana" w:hAnsi="Verdana"/>
          <w:sz w:val="20"/>
          <w:szCs w:val="20"/>
          <w:lang w:val="en-US"/>
        </w:rPr>
        <w:t xml:space="preserve"> </w:t>
      </w:r>
      <w:r w:rsidR="001914FC" w:rsidRPr="00EA6C7A">
        <w:rPr>
          <w:rFonts w:ascii="Verdana" w:hAnsi="Verdana"/>
          <w:i/>
          <w:sz w:val="20"/>
          <w:szCs w:val="20"/>
          <w:lang w:val="en-US"/>
        </w:rPr>
        <w:t>Cotton Field</w:t>
      </w:r>
      <w:r w:rsidR="00DD21BA" w:rsidRPr="00EA6C7A">
        <w:rPr>
          <w:rFonts w:ascii="Verdana" w:hAnsi="Verdana"/>
          <w:i/>
          <w:sz w:val="20"/>
          <w:szCs w:val="20"/>
          <w:lang w:val="en-US"/>
        </w:rPr>
        <w:t xml:space="preserve">. </w:t>
      </w:r>
      <w:r w:rsidR="00AF6868" w:rsidRPr="00EA6C7A">
        <w:rPr>
          <w:rFonts w:ascii="Verdana" w:eastAsia="Calibri" w:hAnsi="Verdana"/>
          <w:sz w:val="20"/>
          <w:szCs w:val="20"/>
          <w:lang w:val="en-US"/>
        </w:rPr>
        <w:t>T</w:t>
      </w:r>
      <w:r w:rsidR="00544298" w:rsidRPr="00EA6C7A">
        <w:rPr>
          <w:rFonts w:ascii="Verdana" w:eastAsia="Calibri" w:hAnsi="Verdana"/>
          <w:sz w:val="20"/>
          <w:szCs w:val="20"/>
          <w:lang w:val="en-US"/>
        </w:rPr>
        <w:t xml:space="preserve">hey added that it was false that the State had “never” accepted the Court’s competence to hear violations of the rights recognized in </w:t>
      </w:r>
      <w:r w:rsidR="0096418F" w:rsidRPr="00EA6C7A">
        <w:rPr>
          <w:rFonts w:ascii="Verdana" w:eastAsia="Calibri" w:hAnsi="Verdana"/>
          <w:sz w:val="20"/>
          <w:szCs w:val="20"/>
          <w:lang w:val="en-US"/>
        </w:rPr>
        <w:t xml:space="preserve">the </w:t>
      </w:r>
      <w:r w:rsidR="004554C7" w:rsidRPr="00EA6C7A">
        <w:rPr>
          <w:rFonts w:ascii="Verdana" w:eastAsia="Calibri" w:hAnsi="Verdana"/>
          <w:sz w:val="20"/>
          <w:szCs w:val="20"/>
          <w:lang w:val="en-US"/>
        </w:rPr>
        <w:t>Convention of Belém</w:t>
      </w:r>
      <w:r w:rsidR="00DD21BA" w:rsidRPr="00EA6C7A">
        <w:rPr>
          <w:rFonts w:ascii="Verdana" w:eastAsia="Calibri" w:hAnsi="Verdana"/>
          <w:sz w:val="20"/>
          <w:szCs w:val="20"/>
          <w:lang w:val="en-US"/>
        </w:rPr>
        <w:t xml:space="preserve"> do </w:t>
      </w:r>
      <w:r w:rsidR="007616FC" w:rsidRPr="00EA6C7A">
        <w:rPr>
          <w:rFonts w:ascii="Verdana" w:eastAsia="Calibri" w:hAnsi="Verdana"/>
          <w:sz w:val="20"/>
          <w:szCs w:val="20"/>
          <w:lang w:val="en-US"/>
        </w:rPr>
        <w:t>Pará</w:t>
      </w:r>
      <w:r w:rsidR="00544298" w:rsidRPr="00EA6C7A">
        <w:rPr>
          <w:rFonts w:ascii="Verdana" w:hAnsi="Verdana"/>
          <w:sz w:val="20"/>
          <w:szCs w:val="20"/>
          <w:lang w:val="en-US"/>
        </w:rPr>
        <w:t xml:space="preserve"> because, in the cases of the </w:t>
      </w:r>
      <w:r w:rsidR="00DD21BA" w:rsidRPr="00EA6C7A">
        <w:rPr>
          <w:rFonts w:ascii="Verdana" w:hAnsi="Verdana"/>
          <w:i/>
          <w:sz w:val="20"/>
          <w:szCs w:val="20"/>
          <w:lang w:val="en-US"/>
        </w:rPr>
        <w:t>Río Negro</w:t>
      </w:r>
      <w:r w:rsidR="00544298" w:rsidRPr="00EA6C7A">
        <w:rPr>
          <w:rFonts w:ascii="Verdana" w:hAnsi="Verdana"/>
          <w:i/>
          <w:sz w:val="20"/>
          <w:szCs w:val="20"/>
          <w:lang w:val="en-US"/>
        </w:rPr>
        <w:t xml:space="preserve"> Massacres </w:t>
      </w:r>
      <w:r w:rsidR="00544298" w:rsidRPr="00EA6C7A">
        <w:rPr>
          <w:rFonts w:ascii="Verdana" w:hAnsi="Verdana"/>
          <w:iCs/>
          <w:sz w:val="20"/>
          <w:szCs w:val="20"/>
          <w:lang w:val="en-US"/>
        </w:rPr>
        <w:t>and</w:t>
      </w:r>
      <w:r w:rsidR="00DD21BA" w:rsidRPr="00EA6C7A">
        <w:rPr>
          <w:rFonts w:ascii="Verdana" w:hAnsi="Verdana"/>
          <w:i/>
          <w:sz w:val="20"/>
          <w:szCs w:val="20"/>
          <w:lang w:val="en-US"/>
        </w:rPr>
        <w:t xml:space="preserve"> Gudiel Álvarez (Diario Militar)</w:t>
      </w:r>
      <w:r w:rsidR="00544298" w:rsidRPr="00EA6C7A">
        <w:rPr>
          <w:rFonts w:ascii="Verdana" w:hAnsi="Verdana"/>
          <w:i/>
          <w:sz w:val="20"/>
          <w:szCs w:val="20"/>
          <w:lang w:val="en-US"/>
        </w:rPr>
        <w:t>,</w:t>
      </w:r>
      <w:r w:rsidR="00DD21BA" w:rsidRPr="00EA6C7A">
        <w:rPr>
          <w:rFonts w:ascii="Verdana" w:hAnsi="Verdana"/>
          <w:sz w:val="20"/>
          <w:szCs w:val="20"/>
          <w:lang w:val="en-US"/>
        </w:rPr>
        <w:t xml:space="preserve"> </w:t>
      </w:r>
      <w:r w:rsidR="00544298" w:rsidRPr="00EA6C7A">
        <w:rPr>
          <w:rFonts w:ascii="Verdana" w:hAnsi="Verdana"/>
          <w:sz w:val="20"/>
          <w:szCs w:val="20"/>
          <w:lang w:val="en-US"/>
        </w:rPr>
        <w:t>the Court had declared that Guatemala was internationally responsible for violating</w:t>
      </w:r>
      <w:r w:rsidR="001914FC" w:rsidRPr="00EA6C7A">
        <w:rPr>
          <w:rFonts w:ascii="Verdana" w:eastAsia="Calibri" w:hAnsi="Verdana"/>
          <w:sz w:val="20"/>
          <w:szCs w:val="20"/>
          <w:lang w:val="en-US"/>
        </w:rPr>
        <w:t xml:space="preserve"> Article</w:t>
      </w:r>
      <w:r w:rsidR="00DD21BA" w:rsidRPr="00EA6C7A">
        <w:rPr>
          <w:rFonts w:ascii="Verdana" w:hAnsi="Verdana"/>
          <w:sz w:val="20"/>
          <w:szCs w:val="20"/>
          <w:lang w:val="en-US"/>
        </w:rPr>
        <w:t xml:space="preserve"> </w:t>
      </w:r>
      <w:r w:rsidR="00DD21BA" w:rsidRPr="00EA6C7A">
        <w:rPr>
          <w:rFonts w:ascii="Verdana" w:eastAsia="Calibri" w:hAnsi="Verdana"/>
          <w:sz w:val="20"/>
          <w:szCs w:val="20"/>
          <w:lang w:val="en-US"/>
        </w:rPr>
        <w:t>7</w:t>
      </w:r>
      <w:r w:rsidR="0096418F" w:rsidRPr="00EA6C7A">
        <w:rPr>
          <w:rFonts w:ascii="Verdana" w:eastAsia="Calibri" w:hAnsi="Verdana"/>
          <w:sz w:val="20"/>
          <w:szCs w:val="20"/>
          <w:lang w:val="en-US"/>
        </w:rPr>
        <w:t xml:space="preserve"> of the </w:t>
      </w:r>
      <w:r w:rsidR="004554C7" w:rsidRPr="00EA6C7A">
        <w:rPr>
          <w:rFonts w:ascii="Verdana" w:eastAsia="Calibri" w:hAnsi="Verdana"/>
          <w:sz w:val="20"/>
          <w:szCs w:val="20"/>
          <w:lang w:val="en-US"/>
        </w:rPr>
        <w:t>Convention of Belém</w:t>
      </w:r>
      <w:r w:rsidR="00DD21BA" w:rsidRPr="00EA6C7A">
        <w:rPr>
          <w:rFonts w:ascii="Verdana" w:eastAsia="Calibri" w:hAnsi="Verdana"/>
          <w:sz w:val="20"/>
          <w:szCs w:val="20"/>
          <w:lang w:val="en-US"/>
        </w:rPr>
        <w:t xml:space="preserve"> do Pará</w:t>
      </w:r>
      <w:r w:rsidR="00544298" w:rsidRPr="00EA6C7A">
        <w:rPr>
          <w:rFonts w:ascii="Verdana" w:eastAsia="Calibri" w:hAnsi="Verdana"/>
          <w:sz w:val="20"/>
          <w:szCs w:val="20"/>
          <w:lang w:val="en-US"/>
        </w:rPr>
        <w:t>,</w:t>
      </w:r>
      <w:r w:rsidR="009C0B8D" w:rsidRPr="00EA6C7A">
        <w:rPr>
          <w:rStyle w:val="Refdenotaalpie"/>
          <w:rFonts w:ascii="Verdana" w:eastAsia="Calibri" w:hAnsi="Verdana"/>
          <w:sz w:val="20"/>
          <w:szCs w:val="20"/>
          <w:lang w:val="en-US"/>
        </w:rPr>
        <w:footnoteReference w:id="5"/>
      </w:r>
      <w:r w:rsidR="00DD21BA" w:rsidRPr="00EA6C7A">
        <w:rPr>
          <w:rFonts w:ascii="Verdana" w:eastAsia="Calibri" w:hAnsi="Verdana"/>
          <w:sz w:val="20"/>
          <w:szCs w:val="20"/>
          <w:lang w:val="en-US"/>
        </w:rPr>
        <w:t xml:space="preserve"> “</w:t>
      </w:r>
      <w:r w:rsidR="00544298" w:rsidRPr="00EA6C7A">
        <w:rPr>
          <w:rFonts w:ascii="Verdana" w:eastAsia="Calibri" w:hAnsi="Verdana"/>
          <w:sz w:val="20"/>
          <w:szCs w:val="20"/>
          <w:lang w:val="en-US"/>
        </w:rPr>
        <w:t>a responsibility that was acknowledged by [</w:t>
      </w:r>
      <w:r w:rsidR="00AF6868" w:rsidRPr="00EA6C7A">
        <w:rPr>
          <w:rFonts w:ascii="Verdana" w:eastAsia="Calibri" w:hAnsi="Verdana"/>
          <w:sz w:val="20"/>
          <w:szCs w:val="20"/>
          <w:lang w:val="en-US"/>
        </w:rPr>
        <w:t xml:space="preserve">the </w:t>
      </w:r>
      <w:r w:rsidR="00544298" w:rsidRPr="00EA6C7A">
        <w:rPr>
          <w:rFonts w:ascii="Verdana" w:eastAsia="Calibri" w:hAnsi="Verdana"/>
          <w:sz w:val="20"/>
          <w:szCs w:val="20"/>
          <w:lang w:val="en-US"/>
        </w:rPr>
        <w:t>State] itself, without questioning the Court’s competence.”</w:t>
      </w:r>
    </w:p>
    <w:p w14:paraId="2C52803E" w14:textId="77777777" w:rsidR="00DD21BA" w:rsidRPr="00EA6C7A" w:rsidRDefault="00DD21BA" w:rsidP="00DD21BA">
      <w:pPr>
        <w:spacing w:after="0" w:line="240" w:lineRule="auto"/>
        <w:jc w:val="both"/>
        <w:rPr>
          <w:rFonts w:ascii="Verdana" w:eastAsia="Calibri" w:hAnsi="Verdana" w:cs="Arial"/>
          <w:sz w:val="20"/>
          <w:szCs w:val="20"/>
          <w:lang w:val="en-US"/>
        </w:rPr>
      </w:pPr>
    </w:p>
    <w:p w14:paraId="740E918D" w14:textId="77777777" w:rsidR="00DD21BA" w:rsidRPr="00EA6C7A" w:rsidRDefault="00DD21BA" w:rsidP="00026CB6">
      <w:pPr>
        <w:pStyle w:val="Sentencia3"/>
        <w:rPr>
          <w:lang w:val="en-US"/>
        </w:rPr>
      </w:pPr>
      <w:bookmarkStart w:id="16" w:name="_Toc394313645"/>
      <w:bookmarkStart w:id="17" w:name="_Toc425326658"/>
      <w:bookmarkStart w:id="18" w:name="_Toc425327573"/>
      <w:bookmarkStart w:id="19" w:name="_Toc431801377"/>
      <w:bookmarkStart w:id="20" w:name="_Toc26002291"/>
      <w:r w:rsidRPr="00EA6C7A">
        <w:rPr>
          <w:lang w:val="en-US"/>
        </w:rPr>
        <w:t>A.2</w:t>
      </w:r>
      <w:r w:rsidR="00FE5252" w:rsidRPr="00EA6C7A">
        <w:rPr>
          <w:lang w:val="en-US"/>
        </w:rPr>
        <w:t>.</w:t>
      </w:r>
      <w:r w:rsidRPr="00EA6C7A">
        <w:rPr>
          <w:lang w:val="en-US"/>
        </w:rPr>
        <w:t xml:space="preserve"> </w:t>
      </w:r>
      <w:r w:rsidR="008524CB" w:rsidRPr="00EA6C7A">
        <w:rPr>
          <w:lang w:val="en-US"/>
        </w:rPr>
        <w:t>Considerations of the</w:t>
      </w:r>
      <w:r w:rsidR="0096418F" w:rsidRPr="00EA6C7A">
        <w:rPr>
          <w:lang w:val="en-US"/>
        </w:rPr>
        <w:t xml:space="preserve"> Court</w:t>
      </w:r>
      <w:bookmarkEnd w:id="16"/>
      <w:bookmarkEnd w:id="17"/>
      <w:bookmarkEnd w:id="18"/>
      <w:bookmarkEnd w:id="19"/>
      <w:bookmarkEnd w:id="20"/>
    </w:p>
    <w:p w14:paraId="6DF2D5EA" w14:textId="77777777" w:rsidR="00DD21BA" w:rsidRPr="00EA6C7A" w:rsidRDefault="00DD21BA" w:rsidP="00DD21BA">
      <w:pPr>
        <w:pStyle w:val="Prrafodelista"/>
        <w:spacing w:after="0" w:line="240" w:lineRule="auto"/>
        <w:ind w:left="0"/>
        <w:jc w:val="both"/>
        <w:rPr>
          <w:rFonts w:ascii="Verdana" w:hAnsi="Verdana"/>
          <w:sz w:val="20"/>
          <w:szCs w:val="20"/>
          <w:lang w:val="en-US" w:eastAsia="es-CR"/>
        </w:rPr>
      </w:pPr>
    </w:p>
    <w:p w14:paraId="1805706A" w14:textId="77777777" w:rsidR="00DD21BA" w:rsidRPr="00EA6C7A" w:rsidRDefault="002F3848" w:rsidP="008B402D">
      <w:pPr>
        <w:pStyle w:val="Prrafodelista"/>
        <w:numPr>
          <w:ilvl w:val="0"/>
          <w:numId w:val="3"/>
        </w:numPr>
        <w:spacing w:after="0" w:line="240" w:lineRule="auto"/>
        <w:ind w:left="0" w:hanging="11"/>
        <w:jc w:val="both"/>
        <w:rPr>
          <w:rFonts w:ascii="Verdana" w:eastAsia="Calibri" w:hAnsi="Verdana" w:cs="Arial"/>
          <w:sz w:val="20"/>
          <w:szCs w:val="20"/>
          <w:lang w:val="en-US"/>
        </w:rPr>
      </w:pPr>
      <w:r w:rsidRPr="00EA6C7A">
        <w:rPr>
          <w:rFonts w:ascii="Verdana" w:eastAsia="Calibri" w:hAnsi="Verdana" w:cs="Arial"/>
          <w:sz w:val="20"/>
          <w:szCs w:val="20"/>
          <w:lang w:val="en-US"/>
        </w:rPr>
        <w:t>The State</w:t>
      </w:r>
      <w:r w:rsidR="00DD21BA" w:rsidRPr="00EA6C7A">
        <w:rPr>
          <w:rFonts w:ascii="Verdana" w:eastAsia="Calibri" w:hAnsi="Verdana" w:cs="Arial"/>
          <w:sz w:val="20"/>
          <w:szCs w:val="20"/>
          <w:lang w:val="en-US"/>
        </w:rPr>
        <w:t xml:space="preserve"> ratifi</w:t>
      </w:r>
      <w:r w:rsidR="008B402D" w:rsidRPr="00EA6C7A">
        <w:rPr>
          <w:rFonts w:ascii="Verdana" w:eastAsia="Calibri" w:hAnsi="Verdana" w:cs="Arial"/>
          <w:sz w:val="20"/>
          <w:szCs w:val="20"/>
          <w:lang w:val="en-US"/>
        </w:rPr>
        <w:t>ed</w:t>
      </w:r>
      <w:r w:rsidR="00DD21BA" w:rsidRPr="00EA6C7A">
        <w:rPr>
          <w:rFonts w:ascii="Verdana" w:eastAsia="Calibri" w:hAnsi="Verdana" w:cs="Arial"/>
          <w:sz w:val="20"/>
          <w:szCs w:val="20"/>
          <w:lang w:val="en-US"/>
        </w:rPr>
        <w:t xml:space="preserve"> </w:t>
      </w:r>
      <w:r w:rsidR="0096418F" w:rsidRPr="00EA6C7A">
        <w:rPr>
          <w:rFonts w:ascii="Verdana" w:eastAsia="Calibri" w:hAnsi="Verdana"/>
          <w:sz w:val="20"/>
          <w:szCs w:val="20"/>
          <w:lang w:val="en-US"/>
        </w:rPr>
        <w:t xml:space="preserve">the </w:t>
      </w:r>
      <w:r w:rsidR="008B402D" w:rsidRPr="00EA6C7A">
        <w:rPr>
          <w:rFonts w:ascii="Verdana" w:eastAsia="Calibri" w:hAnsi="Verdana"/>
          <w:sz w:val="20"/>
          <w:szCs w:val="20"/>
          <w:lang w:val="en-US"/>
        </w:rPr>
        <w:t>Inter-American Convention on the Prevention, Punishment and Eradication of Violence against Women</w:t>
      </w:r>
      <w:r w:rsidR="00DD21BA" w:rsidRPr="00EA6C7A">
        <w:rPr>
          <w:rFonts w:ascii="Verdana" w:eastAsia="Calibri" w:hAnsi="Verdana" w:cs="Arial"/>
          <w:sz w:val="20"/>
          <w:szCs w:val="20"/>
          <w:lang w:val="en-US"/>
        </w:rPr>
        <w:t xml:space="preserve"> (</w:t>
      </w:r>
      <w:r w:rsidR="0096418F" w:rsidRPr="00EA6C7A">
        <w:rPr>
          <w:rFonts w:ascii="Verdana" w:eastAsia="Calibri" w:hAnsi="Verdana" w:cs="Arial"/>
          <w:sz w:val="20"/>
          <w:szCs w:val="20"/>
          <w:lang w:val="en-US"/>
        </w:rPr>
        <w:t>hereinafter</w:t>
      </w:r>
      <w:r w:rsidR="00825806" w:rsidRPr="00EA6C7A">
        <w:rPr>
          <w:rFonts w:ascii="Verdana" w:eastAsia="Calibri" w:hAnsi="Verdana" w:cs="Arial"/>
          <w:sz w:val="20"/>
          <w:szCs w:val="20"/>
          <w:lang w:val="en-US"/>
        </w:rPr>
        <w:t xml:space="preserve"> </w:t>
      </w:r>
      <w:r w:rsidR="00F31FC8" w:rsidRPr="00EA6C7A">
        <w:rPr>
          <w:rFonts w:ascii="Verdana" w:eastAsia="Calibri" w:hAnsi="Verdana" w:cs="Arial"/>
          <w:sz w:val="20"/>
          <w:szCs w:val="20"/>
          <w:lang w:val="en-US"/>
        </w:rPr>
        <w:t>“</w:t>
      </w:r>
      <w:r w:rsidR="0096418F" w:rsidRPr="00EA6C7A">
        <w:rPr>
          <w:rFonts w:ascii="Verdana" w:eastAsia="Calibri" w:hAnsi="Verdana" w:cs="Arial"/>
          <w:sz w:val="20"/>
          <w:szCs w:val="20"/>
          <w:lang w:val="en-US"/>
        </w:rPr>
        <w:t xml:space="preserve">the </w:t>
      </w:r>
      <w:r w:rsidR="004554C7" w:rsidRPr="00EA6C7A">
        <w:rPr>
          <w:rFonts w:ascii="Verdana" w:eastAsia="Calibri" w:hAnsi="Verdana" w:cs="Arial"/>
          <w:sz w:val="20"/>
          <w:szCs w:val="20"/>
          <w:lang w:val="en-US"/>
        </w:rPr>
        <w:t>Convention of Belém</w:t>
      </w:r>
      <w:r w:rsidR="00DD21BA" w:rsidRPr="00EA6C7A">
        <w:rPr>
          <w:rFonts w:ascii="Verdana" w:eastAsia="Calibri" w:hAnsi="Verdana" w:cs="Arial"/>
          <w:sz w:val="20"/>
          <w:szCs w:val="20"/>
          <w:lang w:val="en-US"/>
        </w:rPr>
        <w:t xml:space="preserve"> do Pará</w:t>
      </w:r>
      <w:r w:rsidR="00F31FC8" w:rsidRPr="00EA6C7A">
        <w:rPr>
          <w:rFonts w:ascii="Verdana" w:eastAsia="Calibri" w:hAnsi="Verdana" w:cs="Arial"/>
          <w:sz w:val="20"/>
          <w:szCs w:val="20"/>
          <w:lang w:val="en-US"/>
        </w:rPr>
        <w:t>”</w:t>
      </w:r>
      <w:r w:rsidR="00DD21BA" w:rsidRPr="00EA6C7A">
        <w:rPr>
          <w:rFonts w:ascii="Verdana" w:eastAsia="Calibri" w:hAnsi="Verdana" w:cs="Arial"/>
          <w:sz w:val="20"/>
          <w:szCs w:val="20"/>
          <w:lang w:val="en-US"/>
        </w:rPr>
        <w:t xml:space="preserve">) </w:t>
      </w:r>
      <w:r w:rsidR="008B402D" w:rsidRPr="00EA6C7A">
        <w:rPr>
          <w:rFonts w:ascii="Verdana" w:eastAsia="Calibri" w:hAnsi="Verdana" w:cs="Arial"/>
          <w:sz w:val="20"/>
          <w:szCs w:val="20"/>
          <w:lang w:val="en-US"/>
        </w:rPr>
        <w:t xml:space="preserve">on January 4, </w:t>
      </w:r>
      <w:r w:rsidR="00DD21BA" w:rsidRPr="00EA6C7A">
        <w:rPr>
          <w:rFonts w:ascii="Verdana" w:eastAsia="Calibri" w:hAnsi="Verdana" w:cs="Arial"/>
          <w:sz w:val="20"/>
          <w:szCs w:val="20"/>
          <w:lang w:val="en-US"/>
        </w:rPr>
        <w:t>1995</w:t>
      </w:r>
      <w:r w:rsidR="008B402D" w:rsidRPr="00EA6C7A">
        <w:rPr>
          <w:rFonts w:ascii="Verdana" w:eastAsia="Calibri" w:hAnsi="Verdana" w:cs="Arial"/>
          <w:sz w:val="20"/>
          <w:szCs w:val="20"/>
          <w:lang w:val="en-US"/>
        </w:rPr>
        <w:t xml:space="preserve">, without any reservations or limitations. </w:t>
      </w:r>
      <w:r w:rsidR="0096418F" w:rsidRPr="00EA6C7A">
        <w:rPr>
          <w:rFonts w:ascii="Verdana" w:eastAsia="Calibri" w:hAnsi="Verdana" w:cs="Arial"/>
          <w:sz w:val="20"/>
          <w:szCs w:val="20"/>
          <w:lang w:val="en-US"/>
        </w:rPr>
        <w:t>Article</w:t>
      </w:r>
      <w:r w:rsidR="00DD21BA" w:rsidRPr="00EA6C7A">
        <w:rPr>
          <w:rFonts w:ascii="Verdana" w:eastAsia="Calibri" w:hAnsi="Verdana" w:cs="Arial"/>
          <w:sz w:val="20"/>
          <w:szCs w:val="20"/>
          <w:lang w:val="en-US"/>
        </w:rPr>
        <w:t xml:space="preserve"> 12 </w:t>
      </w:r>
      <w:r w:rsidR="008B402D" w:rsidRPr="00EA6C7A">
        <w:rPr>
          <w:rFonts w:ascii="Verdana" w:eastAsia="Calibri" w:hAnsi="Verdana" w:cs="Arial"/>
          <w:sz w:val="20"/>
          <w:szCs w:val="20"/>
          <w:lang w:val="en-US"/>
        </w:rPr>
        <w:t>of this treaty indicates the possibility of lodging “petitions” with</w:t>
      </w:r>
      <w:r w:rsidR="00DD21BA" w:rsidRPr="00EA6C7A">
        <w:rPr>
          <w:rFonts w:ascii="Verdana" w:eastAsia="Calibri" w:hAnsi="Verdana" w:cs="Arial"/>
          <w:sz w:val="20"/>
          <w:szCs w:val="20"/>
          <w:lang w:val="en-US"/>
        </w:rPr>
        <w:t xml:space="preserve"> </w:t>
      </w:r>
      <w:r w:rsidR="0096418F" w:rsidRPr="00EA6C7A">
        <w:rPr>
          <w:rFonts w:ascii="Verdana" w:eastAsia="Calibri" w:hAnsi="Verdana" w:cs="Arial"/>
          <w:sz w:val="20"/>
          <w:szCs w:val="20"/>
          <w:lang w:val="en-US"/>
        </w:rPr>
        <w:t>the Commission</w:t>
      </w:r>
      <w:r w:rsidR="00825806" w:rsidRPr="00EA6C7A">
        <w:rPr>
          <w:rFonts w:ascii="Verdana" w:eastAsia="Calibri" w:hAnsi="Verdana" w:cs="Arial"/>
          <w:sz w:val="20"/>
          <w:szCs w:val="20"/>
          <w:lang w:val="en-US"/>
        </w:rPr>
        <w:t>,</w:t>
      </w:r>
      <w:r w:rsidR="00DD21BA" w:rsidRPr="00EA6C7A">
        <w:rPr>
          <w:rFonts w:ascii="Verdana" w:eastAsia="Calibri" w:hAnsi="Verdana" w:cs="Arial"/>
          <w:sz w:val="20"/>
          <w:szCs w:val="20"/>
          <w:lang w:val="en-US"/>
        </w:rPr>
        <w:t xml:space="preserve"> </w:t>
      </w:r>
      <w:r w:rsidR="008B402D" w:rsidRPr="00EA6C7A">
        <w:rPr>
          <w:rFonts w:ascii="Verdana" w:eastAsia="Calibri" w:hAnsi="Verdana" w:cs="Arial"/>
          <w:sz w:val="20"/>
          <w:szCs w:val="20"/>
          <w:lang w:val="en-US"/>
        </w:rPr>
        <w:t xml:space="preserve">with “denunciations or complaints of violations of [its] </w:t>
      </w:r>
      <w:r w:rsidR="0096418F" w:rsidRPr="00EA6C7A">
        <w:rPr>
          <w:rFonts w:ascii="Verdana" w:eastAsia="Calibri" w:hAnsi="Verdana" w:cs="Arial"/>
          <w:sz w:val="20"/>
          <w:szCs w:val="20"/>
          <w:lang w:val="en-US"/>
        </w:rPr>
        <w:t>Article</w:t>
      </w:r>
      <w:r w:rsidR="00DD21BA" w:rsidRPr="00EA6C7A">
        <w:rPr>
          <w:rFonts w:ascii="Verdana" w:eastAsia="Calibri" w:hAnsi="Verdana" w:cs="Arial"/>
          <w:sz w:val="20"/>
          <w:szCs w:val="20"/>
          <w:lang w:val="en-US"/>
        </w:rPr>
        <w:t xml:space="preserve"> 7</w:t>
      </w:r>
      <w:r w:rsidR="008B402D" w:rsidRPr="00EA6C7A">
        <w:rPr>
          <w:rFonts w:ascii="Verdana" w:eastAsia="Calibri" w:hAnsi="Verdana" w:cs="Arial"/>
          <w:sz w:val="20"/>
          <w:szCs w:val="20"/>
          <w:lang w:val="en-US"/>
        </w:rPr>
        <w:t>,</w:t>
      </w:r>
      <w:r w:rsidR="00DD21BA" w:rsidRPr="00EA6C7A">
        <w:rPr>
          <w:rFonts w:ascii="Verdana" w:eastAsia="Calibri" w:hAnsi="Verdana" w:cs="Arial"/>
          <w:sz w:val="20"/>
          <w:szCs w:val="20"/>
          <w:lang w:val="en-US"/>
        </w:rPr>
        <w:t>” estab</w:t>
      </w:r>
      <w:r w:rsidR="008B402D" w:rsidRPr="00EA6C7A">
        <w:rPr>
          <w:rFonts w:ascii="Verdana" w:eastAsia="Calibri" w:hAnsi="Verdana" w:cs="Arial"/>
          <w:sz w:val="20"/>
          <w:szCs w:val="20"/>
          <w:lang w:val="en-US"/>
        </w:rPr>
        <w:t>lishing that</w:t>
      </w:r>
      <w:r w:rsidR="00DD21BA" w:rsidRPr="00EA6C7A">
        <w:rPr>
          <w:rFonts w:ascii="Verdana" w:eastAsia="Calibri" w:hAnsi="Verdana" w:cs="Arial"/>
          <w:sz w:val="20"/>
          <w:szCs w:val="20"/>
          <w:lang w:val="en-US"/>
        </w:rPr>
        <w:t xml:space="preserve"> “</w:t>
      </w:r>
      <w:r w:rsidR="0096418F" w:rsidRPr="00EA6C7A">
        <w:rPr>
          <w:rFonts w:ascii="Verdana" w:eastAsia="Calibri" w:hAnsi="Verdana" w:cs="Arial"/>
          <w:sz w:val="20"/>
          <w:szCs w:val="20"/>
          <w:lang w:val="en-US"/>
        </w:rPr>
        <w:t>the Commission</w:t>
      </w:r>
      <w:r w:rsidR="008B402D" w:rsidRPr="00EA6C7A">
        <w:rPr>
          <w:rFonts w:ascii="Verdana" w:eastAsia="Calibri" w:hAnsi="Verdana" w:cs="Arial"/>
          <w:sz w:val="20"/>
          <w:szCs w:val="20"/>
          <w:lang w:val="en-US"/>
        </w:rPr>
        <w:t xml:space="preserve"> </w:t>
      </w:r>
      <w:r w:rsidR="008B402D" w:rsidRPr="00EA6C7A">
        <w:rPr>
          <w:rFonts w:ascii="Verdana" w:hAnsi="Verdana" w:cs="Arial"/>
          <w:sz w:val="20"/>
          <w:szCs w:val="20"/>
          <w:lang w:val="en-US"/>
        </w:rPr>
        <w:t>shall consider such claims in accordance with the norms and procedures established by the American Convention on Human Rights and the Statutes and Rules of Procedure of the […] Commission.” As the Court has indicated in the cases of</w:t>
      </w:r>
      <w:r w:rsidR="008B402D" w:rsidRPr="00EA6C7A">
        <w:rPr>
          <w:rFonts w:ascii="Verdana" w:eastAsia="Calibri" w:hAnsi="Verdana" w:cs="Arial"/>
          <w:sz w:val="20"/>
          <w:szCs w:val="20"/>
          <w:lang w:val="en-US"/>
        </w:rPr>
        <w:t xml:space="preserve"> </w:t>
      </w:r>
      <w:r w:rsidR="008B402D" w:rsidRPr="00EA6C7A">
        <w:rPr>
          <w:rFonts w:ascii="Verdana" w:eastAsia="Calibri" w:hAnsi="Verdana"/>
          <w:i/>
          <w:sz w:val="20"/>
          <w:szCs w:val="20"/>
          <w:lang w:val="en-US"/>
        </w:rPr>
        <w:t>González et al.</w:t>
      </w:r>
      <w:r w:rsidR="00DD21BA" w:rsidRPr="00EA6C7A">
        <w:rPr>
          <w:rFonts w:ascii="Verdana" w:eastAsia="Calibri" w:hAnsi="Verdana"/>
          <w:i/>
          <w:sz w:val="20"/>
          <w:szCs w:val="20"/>
          <w:lang w:val="en-US"/>
        </w:rPr>
        <w:t xml:space="preserve"> (“</w:t>
      </w:r>
      <w:r w:rsidR="001914FC" w:rsidRPr="00EA6C7A">
        <w:rPr>
          <w:rFonts w:ascii="Verdana" w:eastAsia="Calibri" w:hAnsi="Verdana"/>
          <w:i/>
          <w:sz w:val="20"/>
          <w:szCs w:val="20"/>
          <w:lang w:val="en-US"/>
        </w:rPr>
        <w:t>Cotton Field</w:t>
      </w:r>
      <w:r w:rsidR="00DD21BA" w:rsidRPr="00EA6C7A">
        <w:rPr>
          <w:rFonts w:ascii="Verdana" w:eastAsia="Calibri" w:hAnsi="Verdana"/>
          <w:i/>
          <w:sz w:val="20"/>
          <w:szCs w:val="20"/>
          <w:lang w:val="en-US"/>
        </w:rPr>
        <w:t xml:space="preserve">”) </w:t>
      </w:r>
      <w:r w:rsidR="001914FC" w:rsidRPr="00EA6C7A">
        <w:rPr>
          <w:rFonts w:ascii="Verdana" w:eastAsia="Calibri" w:hAnsi="Verdana"/>
          <w:i/>
          <w:sz w:val="20"/>
          <w:szCs w:val="20"/>
          <w:lang w:val="en-US"/>
        </w:rPr>
        <w:t>v.</w:t>
      </w:r>
      <w:r w:rsidR="00DD21BA" w:rsidRPr="00EA6C7A">
        <w:rPr>
          <w:rFonts w:ascii="Verdana" w:eastAsia="Calibri" w:hAnsi="Verdana"/>
          <w:i/>
          <w:sz w:val="20"/>
          <w:szCs w:val="20"/>
          <w:lang w:val="en-US"/>
        </w:rPr>
        <w:t xml:space="preserve"> </w:t>
      </w:r>
      <w:r w:rsidR="001914FC" w:rsidRPr="00EA6C7A">
        <w:rPr>
          <w:rFonts w:ascii="Verdana" w:eastAsia="Calibri" w:hAnsi="Verdana"/>
          <w:i/>
          <w:sz w:val="20"/>
          <w:szCs w:val="20"/>
          <w:lang w:val="en-US"/>
        </w:rPr>
        <w:t>Mexico</w:t>
      </w:r>
      <w:r w:rsidR="00DD21BA" w:rsidRPr="00EA6C7A">
        <w:rPr>
          <w:rFonts w:ascii="Verdana" w:eastAsia="Calibri" w:hAnsi="Verdana" w:cs="Arial"/>
          <w:sz w:val="20"/>
          <w:szCs w:val="20"/>
          <w:lang w:val="en-US"/>
        </w:rPr>
        <w:t xml:space="preserve">, </w:t>
      </w:r>
      <w:r w:rsidR="00DD21BA" w:rsidRPr="00EA6C7A">
        <w:rPr>
          <w:rFonts w:ascii="Verdana" w:eastAsia="Calibri" w:hAnsi="Verdana"/>
          <w:i/>
          <w:sz w:val="20"/>
          <w:szCs w:val="20"/>
          <w:lang w:val="en-US"/>
        </w:rPr>
        <w:t xml:space="preserve">Véliz Franco </w:t>
      </w:r>
      <w:r w:rsidR="001914FC" w:rsidRPr="00EA6C7A">
        <w:rPr>
          <w:rFonts w:ascii="Verdana" w:eastAsia="Calibri" w:hAnsi="Verdana"/>
          <w:i/>
          <w:sz w:val="20"/>
          <w:szCs w:val="20"/>
          <w:lang w:val="en-US"/>
        </w:rPr>
        <w:t>v.</w:t>
      </w:r>
      <w:r w:rsidR="00DD21BA" w:rsidRPr="00EA6C7A">
        <w:rPr>
          <w:rFonts w:ascii="Verdana" w:eastAsia="Calibri" w:hAnsi="Verdana"/>
          <w:i/>
          <w:sz w:val="20"/>
          <w:szCs w:val="20"/>
          <w:lang w:val="en-US"/>
        </w:rPr>
        <w:t xml:space="preserve"> Guatemala </w:t>
      </w:r>
      <w:r w:rsidR="008B402D" w:rsidRPr="00EA6C7A">
        <w:rPr>
          <w:rFonts w:ascii="Verdana" w:eastAsia="Calibri" w:hAnsi="Verdana"/>
          <w:iCs/>
          <w:sz w:val="20"/>
          <w:szCs w:val="20"/>
          <w:lang w:val="en-US"/>
        </w:rPr>
        <w:t>and</w:t>
      </w:r>
      <w:r w:rsidR="001914FC" w:rsidRPr="00EA6C7A">
        <w:rPr>
          <w:rFonts w:ascii="Verdana" w:hAnsi="Verdana"/>
          <w:i/>
          <w:sz w:val="20"/>
          <w:szCs w:val="20"/>
          <w:lang w:val="en-US"/>
        </w:rPr>
        <w:t xml:space="preserve"> </w:t>
      </w:r>
      <w:r w:rsidR="00DD21BA" w:rsidRPr="00EA6C7A">
        <w:rPr>
          <w:rFonts w:ascii="Verdana" w:hAnsi="Verdana"/>
          <w:i/>
          <w:sz w:val="20"/>
          <w:szCs w:val="20"/>
          <w:lang w:val="en-US"/>
        </w:rPr>
        <w:t xml:space="preserve">Espinoza González </w:t>
      </w:r>
      <w:r w:rsidR="001914FC" w:rsidRPr="00EA6C7A">
        <w:rPr>
          <w:rFonts w:ascii="Verdana" w:hAnsi="Verdana"/>
          <w:i/>
          <w:sz w:val="20"/>
          <w:szCs w:val="20"/>
          <w:lang w:val="en-US"/>
        </w:rPr>
        <w:t>v.</w:t>
      </w:r>
      <w:r w:rsidR="00DD21BA" w:rsidRPr="00EA6C7A">
        <w:rPr>
          <w:rFonts w:ascii="Verdana" w:hAnsi="Verdana"/>
          <w:i/>
          <w:sz w:val="20"/>
          <w:szCs w:val="20"/>
          <w:lang w:val="en-US"/>
        </w:rPr>
        <w:t xml:space="preserve"> </w:t>
      </w:r>
      <w:r w:rsidR="001914FC" w:rsidRPr="00EA6C7A">
        <w:rPr>
          <w:rFonts w:ascii="Verdana" w:hAnsi="Verdana"/>
          <w:i/>
          <w:sz w:val="20"/>
          <w:szCs w:val="20"/>
          <w:lang w:val="en-US"/>
        </w:rPr>
        <w:t>Peru</w:t>
      </w:r>
      <w:r w:rsidR="00DD21BA" w:rsidRPr="00EA6C7A">
        <w:rPr>
          <w:rFonts w:ascii="Verdana" w:eastAsia="Calibri" w:hAnsi="Verdana"/>
          <w:i/>
          <w:sz w:val="20"/>
          <w:szCs w:val="20"/>
          <w:lang w:val="en-US"/>
        </w:rPr>
        <w:t>,</w:t>
      </w:r>
      <w:r w:rsidR="00DD21BA" w:rsidRPr="00EA6C7A">
        <w:rPr>
          <w:rFonts w:ascii="Verdana" w:eastAsia="Calibri" w:hAnsi="Verdana" w:cs="Arial"/>
          <w:sz w:val="20"/>
          <w:szCs w:val="20"/>
          <w:lang w:val="en-US"/>
        </w:rPr>
        <w:t xml:space="preserve"> “</w:t>
      </w:r>
      <w:r w:rsidR="008B402D" w:rsidRPr="00EA6C7A">
        <w:rPr>
          <w:rFonts w:ascii="Verdana" w:eastAsia="Calibri" w:hAnsi="Verdana" w:cs="Arial"/>
          <w:sz w:val="20"/>
          <w:szCs w:val="20"/>
          <w:lang w:val="en-US"/>
        </w:rPr>
        <w:t xml:space="preserve">it seems clear that the literal meaning </w:t>
      </w:r>
      <w:r w:rsidR="001914FC" w:rsidRPr="00EA6C7A">
        <w:rPr>
          <w:rFonts w:ascii="Verdana" w:eastAsia="Calibri" w:hAnsi="Verdana" w:cs="Arial"/>
          <w:sz w:val="20"/>
          <w:szCs w:val="20"/>
          <w:lang w:val="en-US"/>
        </w:rPr>
        <w:t>of Article</w:t>
      </w:r>
      <w:r w:rsidR="00DD21BA" w:rsidRPr="00EA6C7A">
        <w:rPr>
          <w:rFonts w:ascii="Verdana" w:eastAsia="Calibri" w:hAnsi="Verdana" w:cs="Arial"/>
          <w:sz w:val="20"/>
          <w:szCs w:val="20"/>
          <w:lang w:val="en-US"/>
        </w:rPr>
        <w:t xml:space="preserve"> 12</w:t>
      </w:r>
      <w:r w:rsidR="0096418F" w:rsidRPr="00EA6C7A">
        <w:rPr>
          <w:rFonts w:ascii="Verdana" w:eastAsia="Calibri" w:hAnsi="Verdana" w:cs="Arial"/>
          <w:sz w:val="20"/>
          <w:szCs w:val="20"/>
          <w:lang w:val="en-US"/>
        </w:rPr>
        <w:t xml:space="preserve"> of the </w:t>
      </w:r>
      <w:r w:rsidR="001914FC" w:rsidRPr="00EA6C7A">
        <w:rPr>
          <w:rFonts w:ascii="Verdana" w:eastAsia="Calibri" w:hAnsi="Verdana" w:cs="Arial"/>
          <w:sz w:val="20"/>
          <w:szCs w:val="20"/>
          <w:lang w:val="en-US"/>
        </w:rPr>
        <w:t>Belém do Pará Convention</w:t>
      </w:r>
      <w:r w:rsidR="00DD21BA" w:rsidRPr="00EA6C7A">
        <w:rPr>
          <w:rFonts w:ascii="Verdana" w:eastAsia="Calibri" w:hAnsi="Verdana" w:cs="Arial"/>
          <w:sz w:val="20"/>
          <w:szCs w:val="20"/>
          <w:lang w:val="en-US"/>
        </w:rPr>
        <w:t xml:space="preserve"> </w:t>
      </w:r>
      <w:r w:rsidR="008B402D" w:rsidRPr="00EA6C7A">
        <w:rPr>
          <w:rFonts w:ascii="Verdana" w:eastAsia="Calibri" w:hAnsi="Verdana" w:cs="Arial"/>
          <w:sz w:val="20"/>
          <w:szCs w:val="20"/>
          <w:lang w:val="en-US"/>
        </w:rPr>
        <w:t xml:space="preserve">grants competence to </w:t>
      </w:r>
      <w:r w:rsidR="0096418F" w:rsidRPr="00EA6C7A">
        <w:rPr>
          <w:rFonts w:ascii="Verdana" w:eastAsia="Calibri" w:hAnsi="Verdana" w:cs="Arial"/>
          <w:sz w:val="20"/>
          <w:szCs w:val="20"/>
          <w:lang w:val="en-US"/>
        </w:rPr>
        <w:t>the Court</w:t>
      </w:r>
      <w:r w:rsidR="00DD21BA" w:rsidRPr="00EA6C7A">
        <w:rPr>
          <w:rFonts w:ascii="Verdana" w:eastAsia="Calibri" w:hAnsi="Verdana" w:cs="Arial"/>
          <w:sz w:val="20"/>
          <w:szCs w:val="20"/>
          <w:lang w:val="en-US"/>
        </w:rPr>
        <w:t xml:space="preserve">, </w:t>
      </w:r>
      <w:r w:rsidR="008B402D" w:rsidRPr="00EA6C7A">
        <w:rPr>
          <w:rFonts w:ascii="Verdana" w:eastAsia="Calibri" w:hAnsi="Verdana" w:cs="Arial"/>
          <w:sz w:val="20"/>
          <w:szCs w:val="20"/>
          <w:lang w:val="en-US"/>
        </w:rPr>
        <w:t>by not excluding from its application any of the norms and procedural requirements for individual communications.</w:t>
      </w:r>
      <w:r w:rsidR="00DD21BA" w:rsidRPr="00EA6C7A">
        <w:rPr>
          <w:rFonts w:ascii="Verdana" w:eastAsia="Calibri" w:hAnsi="Verdana" w:cs="Arial"/>
          <w:sz w:val="20"/>
          <w:szCs w:val="20"/>
          <w:lang w:val="en-US"/>
        </w:rPr>
        <w:t>”</w:t>
      </w:r>
      <w:r w:rsidR="00DD21BA" w:rsidRPr="00EA6C7A">
        <w:rPr>
          <w:rFonts w:ascii="Verdana" w:eastAsia="Calibri" w:hAnsi="Verdana" w:cs="Arial"/>
          <w:sz w:val="20"/>
          <w:szCs w:val="20"/>
          <w:vertAlign w:val="superscript"/>
          <w:lang w:val="en-US"/>
        </w:rPr>
        <w:footnoteReference w:id="6"/>
      </w:r>
      <w:r w:rsidR="00DD21BA" w:rsidRPr="00EA6C7A">
        <w:rPr>
          <w:rFonts w:ascii="Verdana" w:eastAsia="Calibri" w:hAnsi="Verdana" w:cs="Arial"/>
          <w:sz w:val="20"/>
          <w:szCs w:val="20"/>
          <w:lang w:val="en-US"/>
        </w:rPr>
        <w:t xml:space="preserve"> </w:t>
      </w:r>
      <w:r w:rsidR="008B402D" w:rsidRPr="00EA6C7A">
        <w:rPr>
          <w:rFonts w:ascii="Verdana" w:eastAsia="Calibri" w:hAnsi="Verdana" w:cs="Arial"/>
          <w:sz w:val="20"/>
          <w:szCs w:val="20"/>
          <w:lang w:val="en-US"/>
        </w:rPr>
        <w:t xml:space="preserve">It is worth emphasizing that, in other contentious cases against </w:t>
      </w:r>
      <w:r w:rsidR="00DD21BA" w:rsidRPr="00EA6C7A">
        <w:rPr>
          <w:rFonts w:ascii="Verdana" w:eastAsia="Calibri" w:hAnsi="Verdana"/>
          <w:sz w:val="20"/>
          <w:szCs w:val="20"/>
          <w:lang w:val="en-US"/>
        </w:rPr>
        <w:t>Guatemala</w:t>
      </w:r>
      <w:r w:rsidR="008B402D" w:rsidRPr="00EA6C7A">
        <w:rPr>
          <w:rFonts w:ascii="Verdana" w:eastAsia="Calibri" w:hAnsi="Verdana"/>
          <w:sz w:val="20"/>
          <w:szCs w:val="20"/>
          <w:lang w:val="en-US"/>
        </w:rPr>
        <w:t>,</w:t>
      </w:r>
      <w:r w:rsidR="00DD21BA" w:rsidRPr="00EA6C7A">
        <w:rPr>
          <w:rFonts w:ascii="Verdana" w:eastAsia="Calibri" w:hAnsi="Verdana"/>
          <w:sz w:val="20"/>
          <w:szCs w:val="20"/>
          <w:vertAlign w:val="superscript"/>
          <w:lang w:val="en-US"/>
        </w:rPr>
        <w:footnoteReference w:id="7"/>
      </w:r>
      <w:r w:rsidR="00DD21BA"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the Court</w:t>
      </w:r>
      <w:r w:rsidR="00DD21BA" w:rsidRPr="00EA6C7A">
        <w:rPr>
          <w:rFonts w:ascii="Verdana" w:eastAsia="Calibri" w:hAnsi="Verdana"/>
          <w:sz w:val="20"/>
          <w:szCs w:val="20"/>
          <w:lang w:val="en-US"/>
        </w:rPr>
        <w:t xml:space="preserve"> </w:t>
      </w:r>
      <w:r w:rsidR="008B402D" w:rsidRPr="00EA6C7A">
        <w:rPr>
          <w:rFonts w:ascii="Verdana" w:eastAsia="Calibri" w:hAnsi="Verdana"/>
          <w:sz w:val="20"/>
          <w:szCs w:val="20"/>
          <w:lang w:val="en-US"/>
        </w:rPr>
        <w:t xml:space="preserve">has declared the State responsible for the violation </w:t>
      </w:r>
      <w:r w:rsidR="001914FC" w:rsidRPr="00EA6C7A">
        <w:rPr>
          <w:rFonts w:ascii="Verdana" w:eastAsia="Calibri" w:hAnsi="Verdana"/>
          <w:sz w:val="20"/>
          <w:szCs w:val="20"/>
          <w:lang w:val="en-US"/>
        </w:rPr>
        <w:t>of Article</w:t>
      </w:r>
      <w:r w:rsidR="00DD21BA" w:rsidRPr="00EA6C7A">
        <w:rPr>
          <w:rFonts w:ascii="Verdana" w:eastAsia="Calibri" w:hAnsi="Verdana"/>
          <w:sz w:val="20"/>
          <w:szCs w:val="20"/>
          <w:lang w:val="en-US"/>
        </w:rPr>
        <w:t xml:space="preserve"> 7</w:t>
      </w:r>
      <w:r w:rsidR="0096418F" w:rsidRPr="00EA6C7A">
        <w:rPr>
          <w:rFonts w:ascii="Verdana" w:eastAsia="Calibri" w:hAnsi="Verdana"/>
          <w:sz w:val="20"/>
          <w:szCs w:val="20"/>
          <w:lang w:val="en-US"/>
        </w:rPr>
        <w:t xml:space="preserve"> of the </w:t>
      </w:r>
      <w:r w:rsidR="004554C7" w:rsidRPr="00EA6C7A">
        <w:rPr>
          <w:rFonts w:ascii="Verdana" w:eastAsia="Calibri" w:hAnsi="Verdana"/>
          <w:sz w:val="20"/>
          <w:szCs w:val="20"/>
          <w:lang w:val="en-US"/>
        </w:rPr>
        <w:t>Convention of Belém</w:t>
      </w:r>
      <w:r w:rsidR="00DD21BA" w:rsidRPr="00EA6C7A">
        <w:rPr>
          <w:rFonts w:ascii="Verdana" w:eastAsia="Calibri" w:hAnsi="Verdana"/>
          <w:sz w:val="20"/>
          <w:szCs w:val="20"/>
          <w:lang w:val="en-US"/>
        </w:rPr>
        <w:t xml:space="preserve"> do Pará </w:t>
      </w:r>
      <w:r w:rsidR="008B402D" w:rsidRPr="00EA6C7A">
        <w:rPr>
          <w:rFonts w:ascii="Verdana" w:eastAsia="Calibri" w:hAnsi="Verdana"/>
          <w:sz w:val="20"/>
          <w:szCs w:val="20"/>
          <w:lang w:val="en-US"/>
        </w:rPr>
        <w:t>and it does not find any factors that would justify diverging from its case law. Accordingl</w:t>
      </w:r>
      <w:r w:rsidR="00DD21BA" w:rsidRPr="00EA6C7A">
        <w:rPr>
          <w:rFonts w:ascii="Verdana" w:eastAsia="Calibri" w:hAnsi="Verdana"/>
          <w:sz w:val="20"/>
          <w:szCs w:val="20"/>
          <w:lang w:val="en-US"/>
        </w:rPr>
        <w:t xml:space="preserve">y, </w:t>
      </w:r>
      <w:r w:rsidR="0096418F" w:rsidRPr="00EA6C7A">
        <w:rPr>
          <w:rFonts w:ascii="Verdana" w:eastAsia="Calibri" w:hAnsi="Verdana"/>
          <w:sz w:val="20"/>
          <w:szCs w:val="20"/>
          <w:lang w:val="en-US"/>
        </w:rPr>
        <w:t>the Court</w:t>
      </w:r>
      <w:r w:rsidR="00DD21BA" w:rsidRPr="00EA6C7A">
        <w:rPr>
          <w:rFonts w:ascii="Verdana" w:eastAsia="Calibri" w:hAnsi="Verdana"/>
          <w:sz w:val="20"/>
          <w:szCs w:val="20"/>
          <w:lang w:val="en-US"/>
        </w:rPr>
        <w:t xml:space="preserve"> </w:t>
      </w:r>
      <w:r w:rsidR="008B402D" w:rsidRPr="00EA6C7A">
        <w:rPr>
          <w:rFonts w:ascii="Verdana" w:eastAsia="Calibri" w:hAnsi="Verdana"/>
          <w:sz w:val="20"/>
          <w:szCs w:val="20"/>
          <w:lang w:val="en-US"/>
        </w:rPr>
        <w:t>rejects the</w:t>
      </w:r>
      <w:r w:rsidR="00DD21BA" w:rsidRPr="00EA6C7A">
        <w:rPr>
          <w:rFonts w:ascii="Verdana" w:eastAsia="Calibri" w:hAnsi="Verdana"/>
          <w:b/>
          <w:sz w:val="20"/>
          <w:szCs w:val="20"/>
          <w:lang w:val="en-US"/>
        </w:rPr>
        <w:t xml:space="preserve"> </w:t>
      </w:r>
      <w:r w:rsidR="008B402D" w:rsidRPr="00EA6C7A">
        <w:rPr>
          <w:rFonts w:ascii="Verdana" w:eastAsia="Calibri" w:hAnsi="Verdana"/>
          <w:sz w:val="20"/>
          <w:szCs w:val="20"/>
          <w:lang w:val="en-US"/>
        </w:rPr>
        <w:t>p</w:t>
      </w:r>
      <w:r w:rsidR="004554C7" w:rsidRPr="00EA6C7A">
        <w:rPr>
          <w:rFonts w:ascii="Verdana" w:eastAsia="Calibri" w:hAnsi="Verdana"/>
          <w:sz w:val="20"/>
          <w:szCs w:val="20"/>
          <w:lang w:val="en-US"/>
        </w:rPr>
        <w:t>reliminary objection</w:t>
      </w:r>
      <w:r w:rsidR="00DD21BA" w:rsidRPr="00EA6C7A">
        <w:rPr>
          <w:rFonts w:ascii="Verdana" w:eastAsia="Calibri" w:hAnsi="Verdana"/>
          <w:b/>
          <w:sz w:val="20"/>
          <w:szCs w:val="20"/>
          <w:lang w:val="en-US"/>
        </w:rPr>
        <w:t xml:space="preserve"> </w:t>
      </w:r>
      <w:r w:rsidR="008B402D" w:rsidRPr="00EA6C7A">
        <w:rPr>
          <w:rFonts w:ascii="Verdana" w:eastAsia="Calibri" w:hAnsi="Verdana"/>
          <w:sz w:val="20"/>
          <w:szCs w:val="20"/>
          <w:lang w:val="en-US"/>
        </w:rPr>
        <w:t>of its lack of jurisdiction to rule on</w:t>
      </w:r>
      <w:r w:rsidR="00DD21BA"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w:t>
      </w:r>
      <w:r w:rsidR="00DD21BA" w:rsidRPr="00EA6C7A">
        <w:rPr>
          <w:rFonts w:ascii="Verdana" w:eastAsia="Calibri" w:hAnsi="Verdana"/>
          <w:sz w:val="20"/>
          <w:szCs w:val="20"/>
          <w:lang w:val="en-US"/>
        </w:rPr>
        <w:t xml:space="preserve"> 7</w:t>
      </w:r>
      <w:r w:rsidR="0096418F" w:rsidRPr="00EA6C7A">
        <w:rPr>
          <w:rFonts w:ascii="Verdana" w:eastAsia="Calibri" w:hAnsi="Verdana"/>
          <w:sz w:val="20"/>
          <w:szCs w:val="20"/>
          <w:lang w:val="en-US"/>
        </w:rPr>
        <w:t xml:space="preserve"> of the </w:t>
      </w:r>
      <w:r w:rsidR="004554C7" w:rsidRPr="00EA6C7A">
        <w:rPr>
          <w:rFonts w:ascii="Verdana" w:eastAsia="Calibri" w:hAnsi="Verdana"/>
          <w:sz w:val="20"/>
          <w:szCs w:val="20"/>
          <w:lang w:val="en-US"/>
        </w:rPr>
        <w:t>Convention of Belém</w:t>
      </w:r>
      <w:r w:rsidR="00DD21BA" w:rsidRPr="00EA6C7A">
        <w:rPr>
          <w:rFonts w:ascii="Verdana" w:eastAsia="Calibri" w:hAnsi="Verdana"/>
          <w:sz w:val="20"/>
          <w:szCs w:val="20"/>
          <w:lang w:val="en-US"/>
        </w:rPr>
        <w:t xml:space="preserve"> do Pará.</w:t>
      </w:r>
    </w:p>
    <w:p w14:paraId="23B65678" w14:textId="77777777" w:rsidR="00DD21BA" w:rsidRPr="00EA6C7A" w:rsidRDefault="00DD21BA" w:rsidP="00026CB6">
      <w:pPr>
        <w:pStyle w:val="Sentencia2"/>
        <w:rPr>
          <w:rFonts w:eastAsia="Calibri"/>
          <w:lang w:val="en-US"/>
        </w:rPr>
      </w:pPr>
    </w:p>
    <w:p w14:paraId="252009C5" w14:textId="77777777" w:rsidR="00DD21BA" w:rsidRPr="00EA6C7A" w:rsidRDefault="00DD21BA" w:rsidP="00026CB6">
      <w:pPr>
        <w:pStyle w:val="Sentencia2"/>
        <w:rPr>
          <w:rFonts w:eastAsia="Calibri"/>
          <w:lang w:val="en-US"/>
        </w:rPr>
      </w:pPr>
      <w:bookmarkStart w:id="21" w:name="_Toc431801378"/>
      <w:bookmarkStart w:id="22" w:name="_Toc26002292"/>
      <w:r w:rsidRPr="00EA6C7A">
        <w:rPr>
          <w:rFonts w:eastAsia="Calibri"/>
          <w:lang w:val="en-US"/>
        </w:rPr>
        <w:t>B</w:t>
      </w:r>
      <w:r w:rsidR="009919A3" w:rsidRPr="00EA6C7A">
        <w:rPr>
          <w:rFonts w:eastAsia="Calibri"/>
          <w:lang w:val="en-US"/>
        </w:rPr>
        <w:t>.</w:t>
      </w:r>
      <w:r w:rsidR="00A109AA" w:rsidRPr="00EA6C7A">
        <w:rPr>
          <w:rFonts w:eastAsia="Calibri"/>
          <w:lang w:val="en-US"/>
        </w:rPr>
        <w:t xml:space="preserve"> </w:t>
      </w:r>
      <w:r w:rsidR="008B402D" w:rsidRPr="00EA6C7A">
        <w:rPr>
          <w:rFonts w:eastAsia="Calibri"/>
          <w:lang w:val="en-US"/>
        </w:rPr>
        <w:t>Objection of failure to exhaust domestic remedies</w:t>
      </w:r>
      <w:bookmarkEnd w:id="21"/>
      <w:bookmarkEnd w:id="22"/>
    </w:p>
    <w:p w14:paraId="59238BAE" w14:textId="77777777" w:rsidR="00DD21BA" w:rsidRPr="00EA6C7A" w:rsidRDefault="00DD21BA" w:rsidP="00DD21BA">
      <w:pPr>
        <w:pStyle w:val="ColorfulList-Accent11"/>
        <w:spacing w:after="0" w:line="240" w:lineRule="auto"/>
        <w:ind w:left="0"/>
        <w:jc w:val="both"/>
        <w:rPr>
          <w:rFonts w:ascii="Verdana" w:eastAsia="Calibri" w:hAnsi="Verdana"/>
          <w:b/>
          <w:lang w:val="en-US"/>
        </w:rPr>
      </w:pPr>
    </w:p>
    <w:p w14:paraId="43B26621" w14:textId="77777777" w:rsidR="00DD21BA" w:rsidRPr="00EA6C7A" w:rsidRDefault="00DD21BA" w:rsidP="00026CB6">
      <w:pPr>
        <w:pStyle w:val="Sentencia3"/>
        <w:rPr>
          <w:rFonts w:eastAsia="Calibri"/>
          <w:lang w:val="en-US"/>
        </w:rPr>
      </w:pPr>
      <w:bookmarkStart w:id="23" w:name="_Toc26002293"/>
      <w:r w:rsidRPr="00EA6C7A">
        <w:rPr>
          <w:rFonts w:eastAsia="Calibri"/>
          <w:lang w:val="en-US"/>
        </w:rPr>
        <w:t xml:space="preserve">B.1. </w:t>
      </w:r>
      <w:r w:rsidR="004554C7" w:rsidRPr="00EA6C7A">
        <w:rPr>
          <w:rFonts w:eastAsia="Calibri"/>
          <w:lang w:val="en-US"/>
        </w:rPr>
        <w:t>Arguments of the parties and</w:t>
      </w:r>
      <w:r w:rsidR="00FE5252" w:rsidRPr="00EA6C7A">
        <w:rPr>
          <w:rFonts w:eastAsia="Calibri"/>
          <w:lang w:val="en-US"/>
        </w:rPr>
        <w:t xml:space="preserve"> </w:t>
      </w:r>
      <w:r w:rsidR="0096418F" w:rsidRPr="00EA6C7A">
        <w:rPr>
          <w:rFonts w:eastAsia="Calibri"/>
          <w:lang w:val="en-US"/>
        </w:rPr>
        <w:t>the Commission</w:t>
      </w:r>
      <w:bookmarkEnd w:id="23"/>
    </w:p>
    <w:p w14:paraId="2E04EA9D" w14:textId="77777777" w:rsidR="00DD21BA" w:rsidRPr="00EA6C7A" w:rsidRDefault="00DD21BA" w:rsidP="00DD21BA">
      <w:pPr>
        <w:spacing w:after="0" w:line="240" w:lineRule="auto"/>
        <w:rPr>
          <w:rFonts w:ascii="Verdana" w:hAnsi="Verdana"/>
          <w:sz w:val="20"/>
          <w:szCs w:val="20"/>
          <w:lang w:val="en-US"/>
        </w:rPr>
      </w:pPr>
    </w:p>
    <w:p w14:paraId="0DA94EB9" w14:textId="77777777" w:rsidR="008B402D" w:rsidRPr="00EA6C7A" w:rsidRDefault="006021E8" w:rsidP="00E11A7C">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eastAsia="Calibri" w:hAnsi="Verdana" w:cs="Arial"/>
          <w:sz w:val="20"/>
          <w:szCs w:val="20"/>
          <w:lang w:val="en-US"/>
        </w:rPr>
        <w:t>The</w:t>
      </w:r>
      <w:r w:rsidR="002F3848" w:rsidRPr="00EA6C7A">
        <w:rPr>
          <w:rFonts w:ascii="Verdana" w:eastAsia="Calibri" w:hAnsi="Verdana" w:cs="Arial"/>
          <w:b/>
          <w:bCs/>
          <w:i/>
          <w:iCs/>
          <w:sz w:val="20"/>
          <w:szCs w:val="20"/>
          <w:lang w:val="en-US"/>
        </w:rPr>
        <w:t xml:space="preserve"> State</w:t>
      </w:r>
      <w:r w:rsidR="00DD21BA" w:rsidRPr="00EA6C7A">
        <w:rPr>
          <w:rFonts w:ascii="Verdana" w:hAnsi="Verdana"/>
          <w:sz w:val="20"/>
          <w:szCs w:val="20"/>
          <w:lang w:val="en-US"/>
        </w:rPr>
        <w:t xml:space="preserve"> a</w:t>
      </w:r>
      <w:r w:rsidR="008B402D" w:rsidRPr="00EA6C7A">
        <w:rPr>
          <w:rFonts w:ascii="Verdana" w:hAnsi="Verdana"/>
          <w:sz w:val="20"/>
          <w:szCs w:val="20"/>
          <w:lang w:val="en-US"/>
        </w:rPr>
        <w:t xml:space="preserve">rgued that this case should not have been submitted to the consideration of the Court because domestic remedies had not been exhausted. It asserted that the exceptions contained in paragraphs (a), (b) and (c) </w:t>
      </w:r>
      <w:r w:rsidR="001914FC" w:rsidRPr="00EA6C7A">
        <w:rPr>
          <w:rFonts w:ascii="Verdana" w:hAnsi="Verdana"/>
          <w:sz w:val="20"/>
          <w:szCs w:val="20"/>
          <w:lang w:val="en-US"/>
        </w:rPr>
        <w:t>of Article</w:t>
      </w:r>
      <w:r w:rsidR="00AF7E34" w:rsidRPr="00EA6C7A">
        <w:rPr>
          <w:rFonts w:ascii="Verdana" w:hAnsi="Verdana"/>
          <w:sz w:val="20"/>
          <w:szCs w:val="20"/>
          <w:lang w:val="en-US"/>
        </w:rPr>
        <w:t xml:space="preserve"> 46</w:t>
      </w:r>
      <w:r w:rsidR="008B402D" w:rsidRPr="00EA6C7A">
        <w:rPr>
          <w:rFonts w:ascii="Verdana" w:hAnsi="Verdana"/>
          <w:sz w:val="20"/>
          <w:szCs w:val="20"/>
          <w:lang w:val="en-US"/>
        </w:rPr>
        <w:t>(</w:t>
      </w:r>
      <w:r w:rsidR="00DD21BA" w:rsidRPr="00EA6C7A">
        <w:rPr>
          <w:rFonts w:ascii="Verdana" w:hAnsi="Verdana"/>
          <w:sz w:val="20"/>
          <w:szCs w:val="20"/>
          <w:lang w:val="en-US"/>
        </w:rPr>
        <w:t>2</w:t>
      </w:r>
      <w:r w:rsidR="008B402D" w:rsidRPr="00EA6C7A">
        <w:rPr>
          <w:rFonts w:ascii="Verdana" w:hAnsi="Verdana"/>
          <w:sz w:val="20"/>
          <w:szCs w:val="20"/>
          <w:lang w:val="en-US"/>
        </w:rPr>
        <w:t xml:space="preserve">) </w:t>
      </w:r>
      <w:r w:rsidR="0096418F" w:rsidRPr="00EA6C7A">
        <w:rPr>
          <w:rFonts w:ascii="Verdana" w:hAnsi="Verdana"/>
          <w:sz w:val="20"/>
          <w:szCs w:val="20"/>
          <w:lang w:val="en-US"/>
        </w:rPr>
        <w:t>of the American Convention</w:t>
      </w:r>
      <w:r w:rsidR="008B402D" w:rsidRPr="00EA6C7A">
        <w:rPr>
          <w:rFonts w:ascii="Verdana" w:hAnsi="Verdana"/>
          <w:sz w:val="20"/>
          <w:szCs w:val="20"/>
          <w:lang w:val="en-US"/>
        </w:rPr>
        <w:t xml:space="preserve"> had not been met,</w:t>
      </w:r>
      <w:r w:rsidR="009C0B8D" w:rsidRPr="00EA6C7A">
        <w:rPr>
          <w:rStyle w:val="Refdenotaalpie"/>
          <w:rFonts w:ascii="Verdana" w:hAnsi="Verdana"/>
          <w:sz w:val="20"/>
          <w:szCs w:val="20"/>
          <w:lang w:val="en-US"/>
        </w:rPr>
        <w:footnoteReference w:id="8"/>
      </w:r>
      <w:r w:rsidR="008B402D" w:rsidRPr="00EA6C7A">
        <w:rPr>
          <w:rFonts w:ascii="Verdana" w:hAnsi="Verdana"/>
          <w:sz w:val="20"/>
          <w:szCs w:val="20"/>
          <w:lang w:val="en-US"/>
        </w:rPr>
        <w:t xml:space="preserve"> because the presumed victim’s next of kin had never been denied access to justice</w:t>
      </w:r>
      <w:r w:rsidR="002B174A" w:rsidRPr="00EA6C7A">
        <w:rPr>
          <w:rFonts w:ascii="Verdana" w:hAnsi="Verdana"/>
          <w:sz w:val="20"/>
          <w:szCs w:val="20"/>
          <w:lang w:val="en-US"/>
        </w:rPr>
        <w:t>;</w:t>
      </w:r>
      <w:r w:rsidR="008B402D" w:rsidRPr="00EA6C7A">
        <w:rPr>
          <w:rFonts w:ascii="Verdana" w:hAnsi="Verdana"/>
          <w:sz w:val="20"/>
          <w:szCs w:val="20"/>
          <w:lang w:val="en-US"/>
        </w:rPr>
        <w:t xml:space="preserve"> a</w:t>
      </w:r>
      <w:r w:rsidR="002B174A" w:rsidRPr="00EA6C7A">
        <w:rPr>
          <w:rFonts w:ascii="Verdana" w:hAnsi="Verdana"/>
          <w:sz w:val="20"/>
          <w:szCs w:val="20"/>
          <w:lang w:val="en-US"/>
        </w:rPr>
        <w:t>lso</w:t>
      </w:r>
      <w:r w:rsidR="008B402D" w:rsidRPr="00EA6C7A">
        <w:rPr>
          <w:rFonts w:ascii="Verdana" w:hAnsi="Verdana"/>
          <w:sz w:val="20"/>
          <w:szCs w:val="20"/>
          <w:lang w:val="en-US"/>
        </w:rPr>
        <w:t xml:space="preserve"> the case remained under investigation</w:t>
      </w:r>
      <w:r w:rsidR="00DD21BA" w:rsidRPr="00EA6C7A">
        <w:rPr>
          <w:rFonts w:ascii="Verdana" w:hAnsi="Verdana"/>
          <w:sz w:val="20"/>
          <w:szCs w:val="20"/>
          <w:lang w:val="en-US"/>
        </w:rPr>
        <w:t xml:space="preserve"> </w:t>
      </w:r>
      <w:r w:rsidR="002B174A" w:rsidRPr="00EA6C7A">
        <w:rPr>
          <w:rFonts w:ascii="Verdana" w:hAnsi="Verdana"/>
          <w:sz w:val="20"/>
          <w:szCs w:val="20"/>
          <w:lang w:val="en-US"/>
        </w:rPr>
        <w:t>and they had not availed themselves of the legally established remedies. In this regard, the State indicated, first, that domestic law establishe</w:t>
      </w:r>
      <w:r w:rsidR="00AF6868" w:rsidRPr="00EA6C7A">
        <w:rPr>
          <w:rFonts w:ascii="Verdana" w:hAnsi="Verdana"/>
          <w:sz w:val="20"/>
          <w:szCs w:val="20"/>
          <w:lang w:val="en-US"/>
        </w:rPr>
        <w:t>d</w:t>
      </w:r>
      <w:r w:rsidR="002B174A" w:rsidRPr="00EA6C7A">
        <w:rPr>
          <w:rFonts w:ascii="Verdana" w:hAnsi="Verdana"/>
          <w:sz w:val="20"/>
          <w:szCs w:val="20"/>
          <w:lang w:val="en-US"/>
        </w:rPr>
        <w:t xml:space="preserve"> the due process that should be exhausted, and mentioned the State’s domestic procedural laws; consequently, individuals considered victims in criminal proceedings ha</w:t>
      </w:r>
      <w:r w:rsidR="00AF6868" w:rsidRPr="00EA6C7A">
        <w:rPr>
          <w:rFonts w:ascii="Verdana" w:hAnsi="Verdana"/>
          <w:sz w:val="20"/>
          <w:szCs w:val="20"/>
          <w:lang w:val="en-US"/>
        </w:rPr>
        <w:t>d</w:t>
      </w:r>
      <w:r w:rsidR="002B174A" w:rsidRPr="00EA6C7A">
        <w:rPr>
          <w:rFonts w:ascii="Verdana" w:hAnsi="Verdana"/>
          <w:sz w:val="20"/>
          <w:szCs w:val="20"/>
          <w:lang w:val="en-US"/>
        </w:rPr>
        <w:t xml:space="preserve"> a series of recognized guarantees and rights to promote and advance the investigation or the judicial proceedings. They are also able to exercise the control of the proceedings if they consider that these have been ineffective, inconsistent or mismanaged, or if there has been an unjustified delay, either at the investigation stage or during the judicial proceedings. Second, the State asserted that, the presumed victim’s next of kin had never been denied access to justice, nor had they been prevented from exhausting the domestic remedies, and that the fact that it had not been possible to identify the individual responsible for the death was not due to </w:t>
      </w:r>
      <w:r w:rsidR="00AF6868" w:rsidRPr="00EA6C7A">
        <w:rPr>
          <w:rFonts w:ascii="Verdana" w:hAnsi="Verdana"/>
          <w:sz w:val="20"/>
          <w:szCs w:val="20"/>
          <w:lang w:val="en-US"/>
        </w:rPr>
        <w:t>the State’s</w:t>
      </w:r>
      <w:r w:rsidR="002B174A" w:rsidRPr="00EA6C7A">
        <w:rPr>
          <w:rFonts w:ascii="Verdana" w:hAnsi="Verdana"/>
          <w:sz w:val="20"/>
          <w:szCs w:val="20"/>
          <w:lang w:val="en-US"/>
        </w:rPr>
        <w:t xml:space="preserve"> lack of willingness, but rather to the complexity of the case. Third, it indicated that the reasonable time had not been violated, because the case was complex</w:t>
      </w:r>
      <w:r w:rsidR="00AF6868" w:rsidRPr="00EA6C7A">
        <w:rPr>
          <w:rFonts w:ascii="Verdana" w:hAnsi="Verdana"/>
          <w:sz w:val="20"/>
          <w:szCs w:val="20"/>
          <w:lang w:val="en-US"/>
        </w:rPr>
        <w:t>; that</w:t>
      </w:r>
      <w:r w:rsidR="002B174A" w:rsidRPr="00EA6C7A">
        <w:rPr>
          <w:rFonts w:ascii="Verdana" w:hAnsi="Verdana"/>
          <w:sz w:val="20"/>
          <w:szCs w:val="20"/>
          <w:lang w:val="en-US"/>
        </w:rPr>
        <w:t xml:space="preserve"> there had been no inactivity during the investigation, and </w:t>
      </w:r>
      <w:r w:rsidR="00AF6868" w:rsidRPr="00EA6C7A">
        <w:rPr>
          <w:rFonts w:ascii="Verdana" w:hAnsi="Verdana"/>
          <w:sz w:val="20"/>
          <w:szCs w:val="20"/>
          <w:lang w:val="en-US"/>
        </w:rPr>
        <w:t xml:space="preserve">that </w:t>
      </w:r>
      <w:r w:rsidR="002B174A" w:rsidRPr="00EA6C7A">
        <w:rPr>
          <w:rFonts w:ascii="Verdana" w:hAnsi="Verdana"/>
          <w:sz w:val="20"/>
          <w:szCs w:val="20"/>
          <w:lang w:val="en-US"/>
        </w:rPr>
        <w:t>the actual Code of Criminal Procedure established a series of rights and tools which allow the next of kin to provide information and play an active role in the investigation.</w:t>
      </w:r>
    </w:p>
    <w:p w14:paraId="333DBFD6" w14:textId="77777777" w:rsidR="00DD21BA" w:rsidRPr="00EA6C7A" w:rsidRDefault="00DD21BA" w:rsidP="00DD21BA">
      <w:pPr>
        <w:spacing w:after="0" w:line="240" w:lineRule="auto"/>
        <w:jc w:val="both"/>
        <w:rPr>
          <w:rFonts w:ascii="Verdana" w:eastAsia="Calibri" w:hAnsi="Verdana"/>
          <w:sz w:val="20"/>
          <w:szCs w:val="20"/>
          <w:lang w:val="en-US"/>
        </w:rPr>
      </w:pPr>
    </w:p>
    <w:p w14:paraId="62F54A29" w14:textId="77777777" w:rsidR="00DD21BA" w:rsidRPr="00EA6C7A" w:rsidRDefault="006021E8" w:rsidP="00FC4DF2">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eastAsia="Calibri" w:hAnsi="Verdana" w:cs="Arial"/>
          <w:sz w:val="20"/>
          <w:szCs w:val="20"/>
          <w:lang w:val="en-US"/>
        </w:rPr>
        <w:t>The</w:t>
      </w:r>
      <w:r w:rsidR="0096418F" w:rsidRPr="00EA6C7A">
        <w:rPr>
          <w:rFonts w:ascii="Verdana" w:eastAsia="Calibri" w:hAnsi="Verdana" w:cs="Arial"/>
          <w:b/>
          <w:bCs/>
          <w:i/>
          <w:iCs/>
          <w:sz w:val="20"/>
          <w:szCs w:val="20"/>
          <w:lang w:val="en-US"/>
        </w:rPr>
        <w:t xml:space="preserve"> Commission</w:t>
      </w:r>
      <w:r w:rsidR="00DD21BA" w:rsidRPr="00EA6C7A">
        <w:rPr>
          <w:rFonts w:ascii="Verdana" w:hAnsi="Verdana"/>
          <w:i/>
          <w:sz w:val="20"/>
          <w:szCs w:val="20"/>
          <w:lang w:val="en-US"/>
        </w:rPr>
        <w:t xml:space="preserve"> </w:t>
      </w:r>
      <w:r w:rsidR="00DD21BA" w:rsidRPr="00EA6C7A">
        <w:rPr>
          <w:rFonts w:ascii="Verdana" w:hAnsi="Verdana"/>
          <w:sz w:val="20"/>
          <w:szCs w:val="20"/>
          <w:lang w:val="en-US"/>
        </w:rPr>
        <w:t>confirm</w:t>
      </w:r>
      <w:r w:rsidR="002B174A" w:rsidRPr="00EA6C7A">
        <w:rPr>
          <w:rFonts w:ascii="Verdana" w:hAnsi="Verdana"/>
          <w:sz w:val="20"/>
          <w:szCs w:val="20"/>
          <w:lang w:val="en-US"/>
        </w:rPr>
        <w:t>ed that</w:t>
      </w:r>
      <w:r w:rsidR="00DD21BA" w:rsidRPr="00EA6C7A">
        <w:rPr>
          <w:rFonts w:ascii="Verdana" w:hAnsi="Verdana"/>
          <w:sz w:val="20"/>
          <w:szCs w:val="20"/>
          <w:lang w:val="en-US"/>
        </w:rPr>
        <w:t xml:space="preserve"> </w:t>
      </w:r>
      <w:r w:rsidR="002F3848" w:rsidRPr="00EA6C7A">
        <w:rPr>
          <w:rFonts w:ascii="Verdana" w:hAnsi="Verdana"/>
          <w:sz w:val="20"/>
          <w:szCs w:val="20"/>
          <w:lang w:val="en-US"/>
        </w:rPr>
        <w:t>the State</w:t>
      </w:r>
      <w:r w:rsidR="00DD21BA" w:rsidRPr="00EA6C7A">
        <w:rPr>
          <w:rFonts w:ascii="Verdana" w:hAnsi="Verdana"/>
          <w:sz w:val="20"/>
          <w:szCs w:val="20"/>
          <w:lang w:val="en-US"/>
        </w:rPr>
        <w:t xml:space="preserve"> </w:t>
      </w:r>
      <w:r w:rsidR="002B174A" w:rsidRPr="00EA6C7A">
        <w:rPr>
          <w:rFonts w:ascii="Verdana" w:hAnsi="Verdana"/>
          <w:sz w:val="20"/>
          <w:szCs w:val="20"/>
          <w:lang w:val="en-US"/>
        </w:rPr>
        <w:t xml:space="preserve">had filed this objection at the appropriate time during the admissibility stage before it and that, in response, in paragraphs 29 to 31 of its Admissibility Report, it had taken note that the investigation remained open and </w:t>
      </w:r>
      <w:r w:rsidR="00FC4DF2" w:rsidRPr="00EA6C7A">
        <w:rPr>
          <w:rFonts w:ascii="Verdana" w:hAnsi="Verdana"/>
          <w:sz w:val="20"/>
          <w:szCs w:val="20"/>
          <w:lang w:val="en-US"/>
        </w:rPr>
        <w:t xml:space="preserve">had </w:t>
      </w:r>
      <w:r w:rsidR="002B174A" w:rsidRPr="00EA6C7A">
        <w:rPr>
          <w:rFonts w:ascii="Verdana" w:hAnsi="Verdana"/>
          <w:sz w:val="20"/>
          <w:szCs w:val="20"/>
          <w:lang w:val="en-US"/>
        </w:rPr>
        <w:t xml:space="preserve">applied the exception of an unjustified delay established in </w:t>
      </w:r>
      <w:r w:rsidR="0096418F" w:rsidRPr="00EA6C7A">
        <w:rPr>
          <w:rFonts w:ascii="Verdana" w:hAnsi="Verdana"/>
          <w:sz w:val="20"/>
          <w:szCs w:val="20"/>
          <w:lang w:val="en-US"/>
        </w:rPr>
        <w:t>Article</w:t>
      </w:r>
      <w:r w:rsidR="00DD21BA" w:rsidRPr="00EA6C7A">
        <w:rPr>
          <w:rFonts w:ascii="Verdana" w:hAnsi="Verdana"/>
          <w:sz w:val="20"/>
          <w:szCs w:val="20"/>
          <w:lang w:val="en-US"/>
        </w:rPr>
        <w:t xml:space="preserve"> 46</w:t>
      </w:r>
      <w:r w:rsidR="002B174A" w:rsidRPr="00EA6C7A">
        <w:rPr>
          <w:rFonts w:ascii="Verdana" w:hAnsi="Verdana"/>
          <w:sz w:val="20"/>
          <w:szCs w:val="20"/>
          <w:lang w:val="en-US"/>
        </w:rPr>
        <w:t>(</w:t>
      </w:r>
      <w:r w:rsidR="00DD21BA" w:rsidRPr="00EA6C7A">
        <w:rPr>
          <w:rFonts w:ascii="Verdana" w:hAnsi="Verdana"/>
          <w:sz w:val="20"/>
          <w:szCs w:val="20"/>
          <w:lang w:val="en-US"/>
        </w:rPr>
        <w:t>2</w:t>
      </w:r>
      <w:r w:rsidR="00FC4DF2" w:rsidRPr="00EA6C7A">
        <w:rPr>
          <w:rFonts w:ascii="Verdana" w:hAnsi="Verdana"/>
          <w:sz w:val="20"/>
          <w:szCs w:val="20"/>
          <w:lang w:val="en-US"/>
        </w:rPr>
        <w:t>)(</w:t>
      </w:r>
      <w:r w:rsidR="00DD21BA" w:rsidRPr="00EA6C7A">
        <w:rPr>
          <w:rFonts w:ascii="Verdana" w:hAnsi="Verdana"/>
          <w:sz w:val="20"/>
          <w:szCs w:val="20"/>
          <w:lang w:val="en-US"/>
        </w:rPr>
        <w:t>c</w:t>
      </w:r>
      <w:r w:rsidR="00FC4DF2" w:rsidRPr="00EA6C7A">
        <w:rPr>
          <w:rFonts w:ascii="Verdana" w:hAnsi="Verdana"/>
          <w:sz w:val="20"/>
          <w:szCs w:val="20"/>
          <w:lang w:val="en-US"/>
        </w:rPr>
        <w:t>)</w:t>
      </w:r>
      <w:r w:rsidR="0096418F" w:rsidRPr="00EA6C7A">
        <w:rPr>
          <w:rFonts w:ascii="Verdana" w:hAnsi="Verdana"/>
          <w:sz w:val="20"/>
          <w:szCs w:val="20"/>
          <w:lang w:val="en-US"/>
        </w:rPr>
        <w:t xml:space="preserve"> of the American Convention</w:t>
      </w:r>
      <w:r w:rsidR="008C2FAD" w:rsidRPr="00EA6C7A">
        <w:rPr>
          <w:rFonts w:ascii="Verdana" w:hAnsi="Verdana"/>
          <w:sz w:val="20"/>
          <w:szCs w:val="20"/>
          <w:lang w:val="en-US"/>
        </w:rPr>
        <w:t>,</w:t>
      </w:r>
      <w:r w:rsidR="00DD21BA" w:rsidRPr="00EA6C7A">
        <w:rPr>
          <w:rFonts w:ascii="Verdana" w:hAnsi="Verdana"/>
          <w:sz w:val="20"/>
          <w:szCs w:val="20"/>
          <w:lang w:val="en-US"/>
        </w:rPr>
        <w:t xml:space="preserve"> </w:t>
      </w:r>
      <w:r w:rsidR="00FC4DF2" w:rsidRPr="00EA6C7A">
        <w:rPr>
          <w:rFonts w:ascii="Verdana" w:hAnsi="Verdana"/>
          <w:sz w:val="20"/>
          <w:szCs w:val="20"/>
          <w:lang w:val="en-US"/>
        </w:rPr>
        <w:t xml:space="preserve">based on the fact that five years had passed since </w:t>
      </w:r>
      <w:r w:rsidR="00E43A75" w:rsidRPr="00EA6C7A">
        <w:rPr>
          <w:rFonts w:ascii="Verdana" w:hAnsi="Verdana"/>
          <w:sz w:val="20"/>
          <w:szCs w:val="20"/>
          <w:lang w:val="en-US"/>
        </w:rPr>
        <w:t>the presumed victim</w:t>
      </w:r>
      <w:r w:rsidR="00FC4DF2" w:rsidRPr="00EA6C7A">
        <w:rPr>
          <w:rFonts w:ascii="Verdana" w:hAnsi="Verdana"/>
          <w:sz w:val="20"/>
          <w:szCs w:val="20"/>
          <w:lang w:val="en-US"/>
        </w:rPr>
        <w:t xml:space="preserve">’s death without the State having </w:t>
      </w:r>
      <w:r w:rsidR="00551CA7" w:rsidRPr="00EA6C7A">
        <w:rPr>
          <w:rFonts w:ascii="Verdana" w:hAnsi="Verdana"/>
          <w:sz w:val="20"/>
          <w:szCs w:val="20"/>
          <w:lang w:val="en-US"/>
        </w:rPr>
        <w:t xml:space="preserve">advised that the proceeding had concluded, </w:t>
      </w:r>
      <w:r w:rsidR="00FC4DF2" w:rsidRPr="00EA6C7A">
        <w:rPr>
          <w:rFonts w:ascii="Verdana" w:hAnsi="Verdana"/>
          <w:sz w:val="20"/>
          <w:szCs w:val="20"/>
          <w:lang w:val="en-US"/>
        </w:rPr>
        <w:t xml:space="preserve">or </w:t>
      </w:r>
      <w:r w:rsidR="00551CA7" w:rsidRPr="00EA6C7A">
        <w:rPr>
          <w:rFonts w:ascii="Verdana" w:hAnsi="Verdana"/>
          <w:sz w:val="20"/>
          <w:szCs w:val="20"/>
          <w:lang w:val="en-US"/>
        </w:rPr>
        <w:t>provided information on</w:t>
      </w:r>
      <w:r w:rsidR="00FC4DF2" w:rsidRPr="00EA6C7A">
        <w:rPr>
          <w:rFonts w:ascii="Verdana" w:hAnsi="Verdana"/>
          <w:sz w:val="20"/>
          <w:szCs w:val="20"/>
          <w:lang w:val="en-US"/>
        </w:rPr>
        <w:t xml:space="preserve"> the measures established to </w:t>
      </w:r>
      <w:r w:rsidR="00551CA7" w:rsidRPr="00EA6C7A">
        <w:rPr>
          <w:rFonts w:ascii="Verdana" w:hAnsi="Verdana"/>
          <w:sz w:val="20"/>
          <w:szCs w:val="20"/>
          <w:lang w:val="en-US"/>
        </w:rPr>
        <w:t>advance</w:t>
      </w:r>
      <w:r w:rsidR="00FC4DF2" w:rsidRPr="00EA6C7A">
        <w:rPr>
          <w:rFonts w:ascii="Verdana" w:hAnsi="Verdana"/>
          <w:sz w:val="20"/>
          <w:szCs w:val="20"/>
          <w:lang w:val="en-US"/>
        </w:rPr>
        <w:t xml:space="preserve"> beyond the initial stage of investigation, or on any recent procedures conducted or progress that would lead to elucidating the facts and to punishing those responsible, and </w:t>
      </w:r>
      <w:r w:rsidR="00AB5100" w:rsidRPr="00EA6C7A">
        <w:rPr>
          <w:rFonts w:ascii="Verdana" w:hAnsi="Verdana"/>
          <w:sz w:val="20"/>
          <w:szCs w:val="20"/>
          <w:lang w:val="en-US"/>
        </w:rPr>
        <w:t xml:space="preserve">without presenting information that would allow it to be concluded that the investigation was appropriate and effective. All of this in an alleged context of the impunity of violence against women in Guatemala. It indicated that, under </w:t>
      </w:r>
      <w:r w:rsidR="0096418F" w:rsidRPr="00EA6C7A">
        <w:rPr>
          <w:rFonts w:ascii="Verdana" w:hAnsi="Verdana"/>
          <w:sz w:val="20"/>
          <w:szCs w:val="20"/>
          <w:lang w:val="en-US"/>
        </w:rPr>
        <w:t>the American Convention</w:t>
      </w:r>
      <w:r w:rsidR="00AB5100" w:rsidRPr="00EA6C7A">
        <w:rPr>
          <w:rFonts w:ascii="Verdana" w:hAnsi="Verdana"/>
          <w:sz w:val="20"/>
          <w:szCs w:val="20"/>
          <w:lang w:val="en-US"/>
        </w:rPr>
        <w:t xml:space="preserve">, </w:t>
      </w:r>
      <w:r w:rsidR="00551CA7" w:rsidRPr="00EA6C7A">
        <w:rPr>
          <w:rFonts w:ascii="Verdana" w:hAnsi="Verdana"/>
          <w:sz w:val="20"/>
          <w:szCs w:val="20"/>
          <w:lang w:val="en-US"/>
        </w:rPr>
        <w:t>the Commission</w:t>
      </w:r>
      <w:r w:rsidR="00AB5100" w:rsidRPr="00EA6C7A">
        <w:rPr>
          <w:rFonts w:ascii="Verdana" w:hAnsi="Verdana"/>
          <w:sz w:val="20"/>
          <w:szCs w:val="20"/>
          <w:lang w:val="en-US"/>
        </w:rPr>
        <w:t xml:space="preserve"> has the authority to take decisions concerning admissibility, and such decisions are taken based on the information available at the time. It noted that the evidence taken into account in the Admissibility Report was “fully confirmed” at the merits stage, because it had concluded that the State was responsible for the denial of justice in accordance with</w:t>
      </w:r>
      <w:r w:rsidR="00DD21BA" w:rsidRPr="00EA6C7A">
        <w:rPr>
          <w:rFonts w:ascii="Verdana" w:hAnsi="Verdana"/>
          <w:sz w:val="20"/>
          <w:szCs w:val="20"/>
          <w:lang w:val="en-US"/>
        </w:rPr>
        <w:t xml:space="preserve"> </w:t>
      </w:r>
      <w:r w:rsidR="0096418F" w:rsidRPr="00EA6C7A">
        <w:rPr>
          <w:rFonts w:ascii="Verdana" w:hAnsi="Verdana"/>
          <w:sz w:val="20"/>
          <w:szCs w:val="20"/>
          <w:lang w:val="en-US"/>
        </w:rPr>
        <w:t>Articles</w:t>
      </w:r>
      <w:r w:rsidR="00DD21BA" w:rsidRPr="00EA6C7A">
        <w:rPr>
          <w:rFonts w:ascii="Verdana" w:hAnsi="Verdana"/>
          <w:sz w:val="20"/>
          <w:szCs w:val="20"/>
          <w:lang w:val="en-US"/>
        </w:rPr>
        <w:t xml:space="preserve"> 8 </w:t>
      </w:r>
      <w:r w:rsidR="00AB5100" w:rsidRPr="00EA6C7A">
        <w:rPr>
          <w:rFonts w:ascii="Verdana" w:hAnsi="Verdana"/>
          <w:sz w:val="20"/>
          <w:szCs w:val="20"/>
          <w:lang w:val="en-US"/>
        </w:rPr>
        <w:t>and</w:t>
      </w:r>
      <w:r w:rsidR="00DD21BA" w:rsidRPr="00EA6C7A">
        <w:rPr>
          <w:rFonts w:ascii="Verdana" w:hAnsi="Verdana"/>
          <w:sz w:val="20"/>
          <w:szCs w:val="20"/>
          <w:lang w:val="en-US"/>
        </w:rPr>
        <w:t xml:space="preserve"> 25</w:t>
      </w:r>
      <w:r w:rsidR="0096418F" w:rsidRPr="00EA6C7A">
        <w:rPr>
          <w:rFonts w:ascii="Verdana" w:hAnsi="Verdana"/>
          <w:sz w:val="20"/>
          <w:szCs w:val="20"/>
          <w:lang w:val="en-US"/>
        </w:rPr>
        <w:t xml:space="preserve"> of the Convention</w:t>
      </w:r>
      <w:r w:rsidR="00DD21BA" w:rsidRPr="00EA6C7A">
        <w:rPr>
          <w:rFonts w:ascii="Verdana" w:hAnsi="Verdana"/>
          <w:sz w:val="20"/>
          <w:szCs w:val="20"/>
          <w:lang w:val="en-US"/>
        </w:rPr>
        <w:t>.</w:t>
      </w:r>
    </w:p>
    <w:p w14:paraId="772AE36E" w14:textId="77777777" w:rsidR="00DD21BA" w:rsidRPr="00EA6C7A" w:rsidRDefault="00DD21BA" w:rsidP="00DD21BA">
      <w:pPr>
        <w:spacing w:after="0" w:line="240" w:lineRule="auto"/>
        <w:jc w:val="both"/>
        <w:rPr>
          <w:rFonts w:ascii="Verdana" w:eastAsia="Calibri" w:hAnsi="Verdana"/>
          <w:sz w:val="20"/>
          <w:szCs w:val="20"/>
          <w:lang w:val="en-US"/>
        </w:rPr>
      </w:pPr>
    </w:p>
    <w:p w14:paraId="4363D950" w14:textId="77777777" w:rsidR="006405CA" w:rsidRPr="00EA6C7A" w:rsidRDefault="00E43A75" w:rsidP="00B44DED">
      <w:pPr>
        <w:pStyle w:val="Prrafodelista"/>
        <w:numPr>
          <w:ilvl w:val="0"/>
          <w:numId w:val="3"/>
        </w:numPr>
        <w:spacing w:after="0" w:line="240" w:lineRule="auto"/>
        <w:ind w:left="11" w:hanging="11"/>
        <w:jc w:val="both"/>
        <w:rPr>
          <w:rFonts w:ascii="Verdana" w:hAnsi="Verdana"/>
          <w:sz w:val="20"/>
          <w:szCs w:val="20"/>
          <w:lang w:val="en-US"/>
        </w:rPr>
      </w:pPr>
      <w:r w:rsidRPr="00EA6C7A">
        <w:rPr>
          <w:rFonts w:ascii="Verdana" w:eastAsia="Calibri" w:hAnsi="Verdana" w:cs="Arial"/>
          <w:sz w:val="20"/>
          <w:szCs w:val="20"/>
          <w:lang w:val="en-US"/>
        </w:rPr>
        <w:t>The</w:t>
      </w:r>
      <w:r w:rsidRPr="00EA6C7A">
        <w:rPr>
          <w:rFonts w:ascii="Verdana" w:eastAsia="Calibri" w:hAnsi="Verdana" w:cs="Arial"/>
          <w:b/>
          <w:bCs/>
          <w:i/>
          <w:iCs/>
          <w:sz w:val="20"/>
          <w:szCs w:val="20"/>
          <w:lang w:val="en-US"/>
        </w:rPr>
        <w:t xml:space="preserve"> representatives</w:t>
      </w:r>
      <w:r w:rsidR="00DD21BA" w:rsidRPr="00EA6C7A">
        <w:rPr>
          <w:rFonts w:ascii="Verdana" w:hAnsi="Verdana"/>
          <w:b/>
          <w:i/>
          <w:sz w:val="20"/>
          <w:szCs w:val="20"/>
          <w:lang w:val="en-US"/>
        </w:rPr>
        <w:t xml:space="preserve"> </w:t>
      </w:r>
      <w:r w:rsidR="00AB5100" w:rsidRPr="00EA6C7A">
        <w:rPr>
          <w:rFonts w:ascii="Verdana" w:hAnsi="Verdana"/>
          <w:sz w:val="20"/>
          <w:szCs w:val="20"/>
          <w:lang w:val="en-US"/>
        </w:rPr>
        <w:t>agreed with</w:t>
      </w:r>
      <w:r w:rsidR="00DD21BA" w:rsidRPr="00EA6C7A">
        <w:rPr>
          <w:rFonts w:ascii="Verdana" w:hAnsi="Verdana"/>
          <w:sz w:val="20"/>
          <w:szCs w:val="20"/>
          <w:lang w:val="en-US"/>
        </w:rPr>
        <w:t xml:space="preserve"> </w:t>
      </w:r>
      <w:r w:rsidR="0096418F" w:rsidRPr="00EA6C7A">
        <w:rPr>
          <w:rFonts w:ascii="Verdana" w:hAnsi="Verdana"/>
          <w:sz w:val="20"/>
          <w:szCs w:val="20"/>
          <w:lang w:val="en-US"/>
        </w:rPr>
        <w:t>the Commission</w:t>
      </w:r>
      <w:r w:rsidR="00DD21BA" w:rsidRPr="00EA6C7A">
        <w:rPr>
          <w:rFonts w:ascii="Verdana" w:hAnsi="Verdana"/>
          <w:sz w:val="20"/>
          <w:szCs w:val="20"/>
          <w:lang w:val="en-US"/>
        </w:rPr>
        <w:t xml:space="preserve">. </w:t>
      </w:r>
      <w:r w:rsidR="00AB5100" w:rsidRPr="00EA6C7A">
        <w:rPr>
          <w:rFonts w:ascii="Verdana" w:hAnsi="Verdana"/>
          <w:sz w:val="20"/>
          <w:szCs w:val="20"/>
          <w:lang w:val="en-US"/>
        </w:rPr>
        <w:t xml:space="preserve">They added that the moments </w:t>
      </w:r>
      <w:r w:rsidR="00551CA7" w:rsidRPr="00EA6C7A">
        <w:rPr>
          <w:rFonts w:ascii="Verdana" w:hAnsi="Verdana"/>
          <w:sz w:val="20"/>
          <w:szCs w:val="20"/>
          <w:lang w:val="en-US"/>
        </w:rPr>
        <w:t>at which</w:t>
      </w:r>
      <w:r w:rsidR="00AB5100" w:rsidRPr="00EA6C7A">
        <w:rPr>
          <w:rFonts w:ascii="Verdana" w:hAnsi="Verdana"/>
          <w:sz w:val="20"/>
          <w:szCs w:val="20"/>
          <w:lang w:val="en-US"/>
        </w:rPr>
        <w:t xml:space="preserve"> the investigation had been most active, without this relating to effective actions, coincided with key stages in the processing of the case before the inter-American system and, in any </w:t>
      </w:r>
      <w:r w:rsidR="00AB5100" w:rsidRPr="00EA6C7A">
        <w:rPr>
          <w:rFonts w:ascii="Verdana" w:hAnsi="Verdana"/>
          <w:sz w:val="20"/>
          <w:szCs w:val="20"/>
          <w:lang w:val="en-US"/>
        </w:rPr>
        <w:lastRenderedPageBreak/>
        <w:t>case, resulted from the impetus given to the proceedings by</w:t>
      </w:r>
      <w:r w:rsidR="00DD21BA" w:rsidRPr="00EA6C7A">
        <w:rPr>
          <w:rFonts w:ascii="Verdana" w:hAnsi="Verdana"/>
          <w:sz w:val="20"/>
          <w:szCs w:val="20"/>
          <w:lang w:val="en-US"/>
        </w:rPr>
        <w:t xml:space="preserve"> Jorge Rolando Velásquez Durán</w:t>
      </w:r>
      <w:r w:rsidR="00395A49" w:rsidRPr="00EA6C7A">
        <w:rPr>
          <w:rFonts w:ascii="Verdana" w:hAnsi="Verdana"/>
          <w:sz w:val="20"/>
          <w:szCs w:val="20"/>
          <w:lang w:val="en-US"/>
        </w:rPr>
        <w:t xml:space="preserve">, </w:t>
      </w:r>
      <w:r w:rsidRPr="00EA6C7A">
        <w:rPr>
          <w:rFonts w:ascii="Verdana" w:hAnsi="Verdana"/>
          <w:sz w:val="20"/>
          <w:szCs w:val="20"/>
          <w:lang w:val="en-US"/>
        </w:rPr>
        <w:t>the presumed victim</w:t>
      </w:r>
      <w:r w:rsidR="00AB5100" w:rsidRPr="00EA6C7A">
        <w:rPr>
          <w:rFonts w:ascii="Verdana" w:hAnsi="Verdana"/>
          <w:sz w:val="20"/>
          <w:szCs w:val="20"/>
          <w:lang w:val="en-US"/>
        </w:rPr>
        <w:t>’s father</w:t>
      </w:r>
      <w:r w:rsidR="00395A49" w:rsidRPr="00EA6C7A">
        <w:rPr>
          <w:rFonts w:ascii="Verdana" w:hAnsi="Verdana"/>
          <w:sz w:val="20"/>
          <w:szCs w:val="20"/>
          <w:lang w:val="en-US"/>
        </w:rPr>
        <w:t>,</w:t>
      </w:r>
      <w:r w:rsidR="00DD21BA" w:rsidRPr="00EA6C7A">
        <w:rPr>
          <w:rFonts w:ascii="Verdana" w:hAnsi="Verdana"/>
          <w:sz w:val="20"/>
          <w:szCs w:val="20"/>
          <w:lang w:val="en-US"/>
        </w:rPr>
        <w:t xml:space="preserve"> </w:t>
      </w:r>
      <w:r w:rsidR="00AB5100" w:rsidRPr="00EA6C7A">
        <w:rPr>
          <w:rFonts w:ascii="Verdana" w:hAnsi="Verdana"/>
          <w:sz w:val="20"/>
          <w:szCs w:val="20"/>
          <w:lang w:val="en-US"/>
        </w:rPr>
        <w:t xml:space="preserve">in his capacity as joint </w:t>
      </w:r>
      <w:r w:rsidR="00B44DED" w:rsidRPr="00EA6C7A">
        <w:rPr>
          <w:rFonts w:ascii="Verdana" w:hAnsi="Verdana"/>
          <w:sz w:val="20"/>
          <w:szCs w:val="20"/>
          <w:lang w:val="en-US"/>
        </w:rPr>
        <w:t xml:space="preserve">complainant. They argued that the alleged complexity was the result of the State’s actions, because serious errors had been committed when handling the crime scene, and years had passed before routine investigation procedures </w:t>
      </w:r>
      <w:r w:rsidR="00551CA7" w:rsidRPr="00EA6C7A">
        <w:rPr>
          <w:rFonts w:ascii="Verdana" w:hAnsi="Verdana"/>
          <w:sz w:val="20"/>
          <w:szCs w:val="20"/>
          <w:lang w:val="en-US"/>
        </w:rPr>
        <w:t>had been</w:t>
      </w:r>
      <w:r w:rsidR="00B44DED" w:rsidRPr="00EA6C7A">
        <w:rPr>
          <w:rFonts w:ascii="Verdana" w:hAnsi="Verdana"/>
          <w:sz w:val="20"/>
          <w:szCs w:val="20"/>
          <w:lang w:val="en-US"/>
        </w:rPr>
        <w:t xml:space="preserve"> conducted. They also stressed that, despite the constant </w:t>
      </w:r>
      <w:r w:rsidR="00551CA7" w:rsidRPr="00EA6C7A">
        <w:rPr>
          <w:rFonts w:ascii="Verdana" w:hAnsi="Verdana"/>
          <w:sz w:val="20"/>
          <w:szCs w:val="20"/>
          <w:lang w:val="en-US"/>
        </w:rPr>
        <w:t>indifference</w:t>
      </w:r>
      <w:r w:rsidR="00B44DED" w:rsidRPr="00EA6C7A">
        <w:rPr>
          <w:rFonts w:ascii="Verdana" w:hAnsi="Verdana"/>
          <w:sz w:val="20"/>
          <w:szCs w:val="20"/>
          <w:lang w:val="en-US"/>
        </w:rPr>
        <w:t xml:space="preserve"> and resistance of the Public Prosecution Service, the continuous efforts of Mr. </w:t>
      </w:r>
      <w:r w:rsidR="00395A49" w:rsidRPr="00EA6C7A">
        <w:rPr>
          <w:rFonts w:ascii="Verdana" w:hAnsi="Verdana"/>
          <w:sz w:val="20"/>
          <w:szCs w:val="20"/>
          <w:lang w:val="en-US"/>
        </w:rPr>
        <w:t xml:space="preserve">Velásquez Durán </w:t>
      </w:r>
      <w:r w:rsidR="00DD21BA" w:rsidRPr="00EA6C7A">
        <w:rPr>
          <w:rFonts w:ascii="Verdana" w:hAnsi="Verdana"/>
          <w:sz w:val="20"/>
          <w:szCs w:val="20"/>
          <w:lang w:val="en-US"/>
        </w:rPr>
        <w:t>ha</w:t>
      </w:r>
      <w:r w:rsidR="00B44DED" w:rsidRPr="00EA6C7A">
        <w:rPr>
          <w:rFonts w:ascii="Verdana" w:hAnsi="Verdana"/>
          <w:sz w:val="20"/>
          <w:szCs w:val="20"/>
          <w:lang w:val="en-US"/>
        </w:rPr>
        <w:t>d resulted in “most of the evidence and lines of investigation,” as well as the procedures presented by the State as evidence of its supposed diligence.</w:t>
      </w:r>
    </w:p>
    <w:p w14:paraId="6894B0B2" w14:textId="77777777" w:rsidR="006405CA" w:rsidRPr="00EA6C7A" w:rsidRDefault="006405CA" w:rsidP="009B1764">
      <w:pPr>
        <w:pStyle w:val="Prrafodelista"/>
        <w:spacing w:after="0" w:line="240" w:lineRule="auto"/>
        <w:ind w:left="731"/>
        <w:rPr>
          <w:rFonts w:ascii="Verdana" w:hAnsi="Verdana"/>
          <w:sz w:val="20"/>
          <w:szCs w:val="20"/>
          <w:lang w:val="en-US"/>
        </w:rPr>
      </w:pPr>
    </w:p>
    <w:p w14:paraId="2B4B8651" w14:textId="77777777" w:rsidR="006405CA" w:rsidRPr="00EA6C7A" w:rsidRDefault="006405CA" w:rsidP="009B1764">
      <w:pPr>
        <w:pStyle w:val="Sentencia3"/>
        <w:spacing w:line="240" w:lineRule="auto"/>
        <w:ind w:left="731"/>
        <w:rPr>
          <w:lang w:val="en-US"/>
        </w:rPr>
      </w:pPr>
      <w:bookmarkStart w:id="24" w:name="_Toc26002294"/>
      <w:r w:rsidRPr="00EA6C7A">
        <w:rPr>
          <w:lang w:val="en-US"/>
        </w:rPr>
        <w:t xml:space="preserve">B.2. </w:t>
      </w:r>
      <w:r w:rsidR="008524CB" w:rsidRPr="00EA6C7A">
        <w:rPr>
          <w:lang w:val="en-US"/>
        </w:rPr>
        <w:t>Considerations of the</w:t>
      </w:r>
      <w:r w:rsidR="0096418F" w:rsidRPr="00EA6C7A">
        <w:rPr>
          <w:lang w:val="en-US"/>
        </w:rPr>
        <w:t xml:space="preserve"> Court</w:t>
      </w:r>
      <w:bookmarkEnd w:id="24"/>
    </w:p>
    <w:p w14:paraId="0B6C8940" w14:textId="77777777" w:rsidR="00026CB6" w:rsidRPr="00EA6C7A" w:rsidRDefault="00026CB6" w:rsidP="00B44DED">
      <w:pPr>
        <w:spacing w:after="0" w:line="240" w:lineRule="auto"/>
        <w:jc w:val="both"/>
        <w:rPr>
          <w:rFonts w:ascii="Verdana" w:eastAsia="Calibri" w:hAnsi="Verdana"/>
          <w:lang w:val="en-US"/>
        </w:rPr>
      </w:pPr>
    </w:p>
    <w:p w14:paraId="5DDA1C16" w14:textId="77777777" w:rsidR="00BF224C" w:rsidRPr="00EA6C7A" w:rsidRDefault="0096418F" w:rsidP="00B44DED">
      <w:pPr>
        <w:pStyle w:val="Prrafodelista"/>
        <w:numPr>
          <w:ilvl w:val="0"/>
          <w:numId w:val="3"/>
        </w:numPr>
        <w:spacing w:after="0" w:line="240" w:lineRule="auto"/>
        <w:ind w:left="11" w:hanging="11"/>
        <w:jc w:val="both"/>
        <w:rPr>
          <w:rFonts w:ascii="Verdana" w:hAnsi="Verdana"/>
          <w:sz w:val="20"/>
          <w:szCs w:val="20"/>
          <w:lang w:val="en-US"/>
        </w:rPr>
      </w:pPr>
      <w:r w:rsidRPr="00EA6C7A">
        <w:rPr>
          <w:rFonts w:ascii="Verdana" w:hAnsi="Verdana"/>
          <w:sz w:val="20"/>
          <w:szCs w:val="20"/>
          <w:lang w:val="en-US"/>
        </w:rPr>
        <w:t>Article</w:t>
      </w:r>
      <w:r w:rsidR="00BF224C" w:rsidRPr="00EA6C7A">
        <w:rPr>
          <w:rFonts w:ascii="Verdana" w:hAnsi="Verdana"/>
          <w:sz w:val="20"/>
          <w:szCs w:val="20"/>
          <w:lang w:val="en-US"/>
        </w:rPr>
        <w:t xml:space="preserve"> 46</w:t>
      </w:r>
      <w:r w:rsidR="00B44DED" w:rsidRPr="00EA6C7A">
        <w:rPr>
          <w:rFonts w:ascii="Verdana" w:hAnsi="Verdana"/>
          <w:sz w:val="20"/>
          <w:szCs w:val="20"/>
          <w:lang w:val="en-US"/>
        </w:rPr>
        <w:t>(</w:t>
      </w:r>
      <w:r w:rsidR="00BF224C" w:rsidRPr="00EA6C7A">
        <w:rPr>
          <w:rFonts w:ascii="Verdana" w:hAnsi="Verdana"/>
          <w:sz w:val="20"/>
          <w:szCs w:val="20"/>
          <w:lang w:val="en-US"/>
        </w:rPr>
        <w:t>1</w:t>
      </w:r>
      <w:r w:rsidR="00B44DED" w:rsidRPr="00EA6C7A">
        <w:rPr>
          <w:rFonts w:ascii="Verdana" w:hAnsi="Verdana"/>
          <w:sz w:val="20"/>
          <w:szCs w:val="20"/>
          <w:lang w:val="en-US"/>
        </w:rPr>
        <w:t>)(</w:t>
      </w:r>
      <w:r w:rsidR="00BF224C" w:rsidRPr="00EA6C7A">
        <w:rPr>
          <w:rFonts w:ascii="Verdana" w:hAnsi="Verdana"/>
          <w:sz w:val="20"/>
          <w:szCs w:val="20"/>
          <w:lang w:val="en-US"/>
        </w:rPr>
        <w:t xml:space="preserve">a) </w:t>
      </w:r>
      <w:r w:rsidR="00B44DED" w:rsidRPr="00EA6C7A">
        <w:rPr>
          <w:rFonts w:ascii="Verdana" w:hAnsi="Verdana"/>
          <w:sz w:val="20"/>
          <w:szCs w:val="20"/>
          <w:lang w:val="en-US"/>
        </w:rPr>
        <w:t>of the American Convention establishes that one of the requirements for “[a]dmission by the Commission of a petition or communication” is “that the remedies under domestic law have been pursued and exhausted in accordance with generally recognized principles of international law.” One of the exception to that requirement, established in paragraph (2)(c) of Article 46, occurs when “there has been unwarranted delay in rendering a final judgment under the aforementioned remedies</w:t>
      </w:r>
      <w:r w:rsidR="00613E79" w:rsidRPr="00EA6C7A">
        <w:rPr>
          <w:rFonts w:ascii="Verdana" w:hAnsi="Verdana"/>
          <w:sz w:val="20"/>
          <w:szCs w:val="20"/>
          <w:lang w:val="en-US"/>
        </w:rPr>
        <w:t>.” In th</w:t>
      </w:r>
      <w:r w:rsidR="00551CA7" w:rsidRPr="00EA6C7A">
        <w:rPr>
          <w:rFonts w:ascii="Verdana" w:hAnsi="Verdana"/>
          <w:sz w:val="20"/>
          <w:szCs w:val="20"/>
          <w:lang w:val="en-US"/>
        </w:rPr>
        <w:t>e instant</w:t>
      </w:r>
      <w:r w:rsidR="00613E79" w:rsidRPr="00EA6C7A">
        <w:rPr>
          <w:rFonts w:ascii="Verdana" w:hAnsi="Verdana"/>
          <w:sz w:val="20"/>
          <w:szCs w:val="20"/>
          <w:lang w:val="en-US"/>
        </w:rPr>
        <w:t xml:space="preserve"> case, in the initial petition of December 10, 2007, Article 46(2) of the Convention was cited to indicate that prior exhaustion of domestic remedies was not appropriate. Meanwhile, during the admissibility procedure before the Commission and in a communication of May 17, 2010, the State argued that the requirement of exhaustion of domestic remedies had not been met.</w:t>
      </w:r>
      <w:r w:rsidR="00BF224C" w:rsidRPr="00EA6C7A">
        <w:rPr>
          <w:rStyle w:val="Refdenotaalpie"/>
          <w:rFonts w:ascii="Verdana" w:hAnsi="Verdana"/>
          <w:sz w:val="20"/>
          <w:szCs w:val="20"/>
          <w:lang w:val="en-US"/>
        </w:rPr>
        <w:footnoteReference w:id="9"/>
      </w:r>
      <w:r w:rsidR="00BF224C" w:rsidRPr="00EA6C7A">
        <w:rPr>
          <w:rFonts w:ascii="Verdana" w:hAnsi="Verdana"/>
          <w:sz w:val="20"/>
          <w:szCs w:val="20"/>
          <w:lang w:val="en-US"/>
        </w:rPr>
        <w:t xml:space="preserve"> </w:t>
      </w:r>
      <w:r w:rsidR="00613E79" w:rsidRPr="00EA6C7A">
        <w:rPr>
          <w:rFonts w:ascii="Verdana" w:hAnsi="Verdana"/>
          <w:sz w:val="20"/>
          <w:szCs w:val="20"/>
          <w:lang w:val="en-US"/>
        </w:rPr>
        <w:t>Therefore, this p</w:t>
      </w:r>
      <w:r w:rsidR="004554C7" w:rsidRPr="00EA6C7A">
        <w:rPr>
          <w:rFonts w:ascii="Verdana" w:hAnsi="Verdana"/>
          <w:sz w:val="20"/>
          <w:szCs w:val="20"/>
          <w:lang w:val="en-US"/>
        </w:rPr>
        <w:t>reliminary objection</w:t>
      </w:r>
      <w:r w:rsidR="001836AA" w:rsidRPr="00EA6C7A">
        <w:rPr>
          <w:rFonts w:ascii="Verdana" w:hAnsi="Verdana"/>
          <w:sz w:val="20"/>
          <w:szCs w:val="20"/>
          <w:lang w:val="en-US"/>
        </w:rPr>
        <w:t xml:space="preserve"> </w:t>
      </w:r>
      <w:r w:rsidR="00613E79" w:rsidRPr="00EA6C7A">
        <w:rPr>
          <w:rFonts w:ascii="Verdana" w:hAnsi="Verdana"/>
          <w:sz w:val="20"/>
          <w:szCs w:val="20"/>
          <w:lang w:val="en-US"/>
        </w:rPr>
        <w:t xml:space="preserve">was filed at the proper procedural moment. In the Admissibility Report of October 4, </w:t>
      </w:r>
      <w:r w:rsidR="00BF224C" w:rsidRPr="00EA6C7A">
        <w:rPr>
          <w:rFonts w:ascii="Verdana" w:hAnsi="Verdana"/>
          <w:sz w:val="20"/>
          <w:szCs w:val="20"/>
          <w:lang w:val="en-US"/>
        </w:rPr>
        <w:t xml:space="preserve">2010, </w:t>
      </w:r>
      <w:r w:rsidRPr="00EA6C7A">
        <w:rPr>
          <w:rFonts w:ascii="Verdana" w:hAnsi="Verdana"/>
          <w:sz w:val="20"/>
          <w:szCs w:val="20"/>
          <w:lang w:val="en-US"/>
        </w:rPr>
        <w:t>the Commission</w:t>
      </w:r>
      <w:r w:rsidR="00BF224C" w:rsidRPr="00EA6C7A">
        <w:rPr>
          <w:rFonts w:ascii="Verdana" w:hAnsi="Verdana"/>
          <w:sz w:val="20"/>
          <w:szCs w:val="20"/>
          <w:lang w:val="en-US"/>
        </w:rPr>
        <w:t xml:space="preserve"> ap</w:t>
      </w:r>
      <w:r w:rsidR="00613E79" w:rsidRPr="00EA6C7A">
        <w:rPr>
          <w:rFonts w:ascii="Verdana" w:hAnsi="Verdana"/>
          <w:sz w:val="20"/>
          <w:szCs w:val="20"/>
          <w:lang w:val="en-US"/>
        </w:rPr>
        <w:t xml:space="preserve">plied the exception to the requirement of exhaustion of domestic remedies established in </w:t>
      </w:r>
      <w:r w:rsidRPr="00EA6C7A">
        <w:rPr>
          <w:rFonts w:ascii="Verdana" w:hAnsi="Verdana"/>
          <w:sz w:val="20"/>
          <w:szCs w:val="20"/>
          <w:lang w:val="en-US"/>
        </w:rPr>
        <w:t>Article</w:t>
      </w:r>
      <w:r w:rsidR="00BF224C" w:rsidRPr="00EA6C7A">
        <w:rPr>
          <w:rFonts w:ascii="Verdana" w:hAnsi="Verdana"/>
          <w:sz w:val="20"/>
          <w:szCs w:val="20"/>
          <w:lang w:val="en-US"/>
        </w:rPr>
        <w:t xml:space="preserve"> 46</w:t>
      </w:r>
      <w:r w:rsidR="00613E79" w:rsidRPr="00EA6C7A">
        <w:rPr>
          <w:rFonts w:ascii="Verdana" w:hAnsi="Verdana"/>
          <w:sz w:val="20"/>
          <w:szCs w:val="20"/>
          <w:lang w:val="en-US"/>
        </w:rPr>
        <w:t>(2)(</w:t>
      </w:r>
      <w:r w:rsidR="00BF224C" w:rsidRPr="00EA6C7A">
        <w:rPr>
          <w:rFonts w:ascii="Verdana" w:hAnsi="Verdana"/>
          <w:sz w:val="20"/>
          <w:szCs w:val="20"/>
          <w:lang w:val="en-US"/>
        </w:rPr>
        <w:t>c</w:t>
      </w:r>
      <w:r w:rsidR="00613E79" w:rsidRPr="00EA6C7A">
        <w:rPr>
          <w:rFonts w:ascii="Verdana" w:hAnsi="Verdana"/>
          <w:sz w:val="20"/>
          <w:szCs w:val="20"/>
          <w:lang w:val="en-US"/>
        </w:rPr>
        <w:t>)</w:t>
      </w:r>
      <w:r w:rsidRPr="00EA6C7A">
        <w:rPr>
          <w:rFonts w:ascii="Verdana" w:hAnsi="Verdana"/>
          <w:sz w:val="20"/>
          <w:szCs w:val="20"/>
          <w:lang w:val="en-US"/>
        </w:rPr>
        <w:t xml:space="preserve"> of the Convention</w:t>
      </w:r>
      <w:r w:rsidR="00BF224C" w:rsidRPr="00EA6C7A">
        <w:rPr>
          <w:rFonts w:ascii="Verdana" w:hAnsi="Verdana"/>
          <w:sz w:val="20"/>
          <w:szCs w:val="20"/>
          <w:lang w:val="en-US"/>
        </w:rPr>
        <w:t xml:space="preserve">, </w:t>
      </w:r>
      <w:r w:rsidR="00613E79" w:rsidRPr="00EA6C7A">
        <w:rPr>
          <w:rFonts w:ascii="Verdana" w:hAnsi="Verdana"/>
          <w:sz w:val="20"/>
          <w:szCs w:val="20"/>
          <w:lang w:val="en-US"/>
        </w:rPr>
        <w:t>because it had “verifie[d] an unjustified delay by the Guatemalan jurisdictional organs in relation to the reported facts.</w:t>
      </w:r>
      <w:r w:rsidR="00BF224C" w:rsidRPr="00EA6C7A">
        <w:rPr>
          <w:rFonts w:ascii="Verdana" w:hAnsi="Verdana"/>
          <w:sz w:val="20"/>
          <w:szCs w:val="20"/>
          <w:lang w:val="en-US"/>
        </w:rPr>
        <w:t>”</w:t>
      </w:r>
      <w:r w:rsidR="002C5D40" w:rsidRPr="00EA6C7A">
        <w:rPr>
          <w:rStyle w:val="Refdenotaalpie"/>
          <w:rFonts w:ascii="Verdana" w:hAnsi="Verdana"/>
          <w:sz w:val="20"/>
          <w:szCs w:val="20"/>
          <w:lang w:val="en-US"/>
        </w:rPr>
        <w:footnoteReference w:id="10"/>
      </w:r>
    </w:p>
    <w:p w14:paraId="13746EE8" w14:textId="77777777" w:rsidR="00BF224C" w:rsidRPr="00EA6C7A" w:rsidRDefault="00BF224C" w:rsidP="00DD21BA">
      <w:pPr>
        <w:pStyle w:val="Prrafodelista"/>
        <w:spacing w:line="240" w:lineRule="auto"/>
        <w:ind w:left="0"/>
        <w:rPr>
          <w:rFonts w:ascii="Verdana" w:hAnsi="Verdana"/>
          <w:sz w:val="20"/>
          <w:szCs w:val="20"/>
          <w:lang w:val="en-US"/>
        </w:rPr>
      </w:pPr>
    </w:p>
    <w:p w14:paraId="74CF77DF" w14:textId="77777777" w:rsidR="00B2617D" w:rsidRPr="00EA6C7A" w:rsidRDefault="0096418F" w:rsidP="00613E79">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t>The Court</w:t>
      </w:r>
      <w:r w:rsidR="00DD21BA" w:rsidRPr="00EA6C7A">
        <w:rPr>
          <w:rFonts w:ascii="Verdana" w:hAnsi="Verdana"/>
          <w:sz w:val="20"/>
          <w:szCs w:val="20"/>
          <w:lang w:val="en-US"/>
        </w:rPr>
        <w:t xml:space="preserve"> rec</w:t>
      </w:r>
      <w:r w:rsidR="00613E79" w:rsidRPr="00EA6C7A">
        <w:rPr>
          <w:rFonts w:ascii="Verdana" w:hAnsi="Verdana"/>
          <w:sz w:val="20"/>
          <w:szCs w:val="20"/>
          <w:lang w:val="en-US"/>
        </w:rPr>
        <w:t>alls that, for the p</w:t>
      </w:r>
      <w:r w:rsidR="004554C7" w:rsidRPr="00EA6C7A">
        <w:rPr>
          <w:rFonts w:ascii="Verdana" w:hAnsi="Verdana"/>
          <w:sz w:val="20"/>
          <w:szCs w:val="20"/>
          <w:lang w:val="en-US"/>
        </w:rPr>
        <w:t>reliminary objection</w:t>
      </w:r>
      <w:r w:rsidR="00DD21BA" w:rsidRPr="00EA6C7A">
        <w:rPr>
          <w:rFonts w:ascii="Verdana" w:hAnsi="Verdana"/>
          <w:sz w:val="20"/>
          <w:szCs w:val="20"/>
          <w:lang w:val="en-US"/>
        </w:rPr>
        <w:t xml:space="preserve"> </w:t>
      </w:r>
      <w:r w:rsidR="00613E79" w:rsidRPr="00EA6C7A">
        <w:rPr>
          <w:rFonts w:ascii="Verdana" w:hAnsi="Verdana"/>
          <w:sz w:val="20"/>
          <w:szCs w:val="20"/>
          <w:lang w:val="en-US"/>
        </w:rPr>
        <w:t>of failure to exhaust domestic resources to be admissible, the State that presents this objection must specify the domestic remedies that have not been exhausted and prove that these remedies were available and adequate, appropriate and effective.</w:t>
      </w:r>
      <w:r w:rsidR="00FE4E96" w:rsidRPr="00EA6C7A">
        <w:rPr>
          <w:rStyle w:val="Refdenotaalpie"/>
          <w:rFonts w:ascii="Verdana" w:hAnsi="Verdana"/>
          <w:sz w:val="20"/>
          <w:szCs w:val="20"/>
          <w:lang w:val="en-US"/>
        </w:rPr>
        <w:footnoteReference w:id="11"/>
      </w:r>
      <w:r w:rsidR="00613E79" w:rsidRPr="00EA6C7A">
        <w:rPr>
          <w:rFonts w:ascii="Verdana" w:hAnsi="Verdana"/>
          <w:sz w:val="20"/>
          <w:szCs w:val="20"/>
          <w:lang w:val="en-US"/>
        </w:rPr>
        <w:t xml:space="preserve"> Thus, it is not the task of the Court, or the </w:t>
      </w:r>
      <w:r w:rsidRPr="00EA6C7A">
        <w:rPr>
          <w:rFonts w:ascii="Verdana" w:hAnsi="Verdana"/>
          <w:sz w:val="20"/>
          <w:szCs w:val="20"/>
          <w:lang w:val="en-US"/>
        </w:rPr>
        <w:t>Commission</w:t>
      </w:r>
      <w:r w:rsidR="00DD21BA" w:rsidRPr="00EA6C7A">
        <w:rPr>
          <w:rFonts w:ascii="Verdana" w:hAnsi="Verdana"/>
          <w:sz w:val="20"/>
          <w:szCs w:val="20"/>
          <w:lang w:val="en-US"/>
        </w:rPr>
        <w:t xml:space="preserve">, </w:t>
      </w:r>
      <w:r w:rsidR="00613E79" w:rsidRPr="00EA6C7A">
        <w:rPr>
          <w:rFonts w:ascii="Verdana" w:hAnsi="Verdana"/>
          <w:sz w:val="20"/>
          <w:szCs w:val="20"/>
          <w:lang w:val="en-US"/>
        </w:rPr>
        <w:t xml:space="preserve">to </w:t>
      </w:r>
      <w:r w:rsidR="00DD21BA" w:rsidRPr="00EA6C7A">
        <w:rPr>
          <w:rFonts w:ascii="Verdana" w:hAnsi="Verdana"/>
          <w:sz w:val="20"/>
          <w:szCs w:val="20"/>
          <w:lang w:val="en-US"/>
        </w:rPr>
        <w:t>identif</w:t>
      </w:r>
      <w:r w:rsidR="00613E79" w:rsidRPr="00EA6C7A">
        <w:rPr>
          <w:rFonts w:ascii="Verdana" w:hAnsi="Verdana"/>
          <w:sz w:val="20"/>
          <w:szCs w:val="20"/>
          <w:lang w:val="en-US"/>
        </w:rPr>
        <w:t>y</w:t>
      </w:r>
      <w:r w:rsidR="00DD21BA" w:rsidRPr="00EA6C7A">
        <w:rPr>
          <w:rFonts w:ascii="Verdana" w:hAnsi="Verdana"/>
          <w:sz w:val="20"/>
          <w:szCs w:val="20"/>
          <w:lang w:val="en-US"/>
        </w:rPr>
        <w:t xml:space="preserve"> </w:t>
      </w:r>
      <w:r w:rsidR="00DD21BA" w:rsidRPr="00EA6C7A">
        <w:rPr>
          <w:rFonts w:ascii="Verdana" w:hAnsi="Verdana"/>
          <w:i/>
          <w:iCs/>
          <w:sz w:val="20"/>
          <w:szCs w:val="20"/>
          <w:lang w:val="en-US"/>
        </w:rPr>
        <w:t xml:space="preserve">ex officio </w:t>
      </w:r>
      <w:r w:rsidR="00613E79" w:rsidRPr="00EA6C7A">
        <w:rPr>
          <w:rFonts w:ascii="Verdana" w:hAnsi="Verdana"/>
          <w:sz w:val="20"/>
          <w:szCs w:val="20"/>
          <w:lang w:val="en-US"/>
        </w:rPr>
        <w:t>the</w:t>
      </w:r>
      <w:r w:rsidR="00680E95" w:rsidRPr="00EA6C7A">
        <w:rPr>
          <w:rFonts w:ascii="Verdana" w:hAnsi="Verdana"/>
          <w:sz w:val="20"/>
          <w:szCs w:val="20"/>
          <w:lang w:val="en-US"/>
        </w:rPr>
        <w:t xml:space="preserve"> domestic remedies that remain to be exhausted. T</w:t>
      </w:r>
      <w:r w:rsidR="00613E79" w:rsidRPr="00EA6C7A">
        <w:rPr>
          <w:rFonts w:ascii="Verdana" w:hAnsi="Verdana"/>
          <w:sz w:val="20"/>
          <w:szCs w:val="20"/>
          <w:lang w:val="en-US"/>
        </w:rPr>
        <w:t>he Court underlines that it is not incumbent on the international organs to rectify the lack of precision of the State’s arguments</w:t>
      </w:r>
      <w:r w:rsidR="00DD21BA" w:rsidRPr="00EA6C7A">
        <w:rPr>
          <w:rFonts w:ascii="Verdana" w:hAnsi="Verdana"/>
          <w:sz w:val="20"/>
          <w:szCs w:val="20"/>
          <w:lang w:val="en-US"/>
        </w:rPr>
        <w:t>.</w:t>
      </w:r>
      <w:r w:rsidR="00DC043B" w:rsidRPr="00EA6C7A">
        <w:rPr>
          <w:rStyle w:val="Refdenotaalpie"/>
          <w:rFonts w:ascii="Verdana" w:hAnsi="Verdana"/>
          <w:sz w:val="20"/>
          <w:szCs w:val="20"/>
          <w:lang w:val="en-US"/>
        </w:rPr>
        <w:footnoteReference w:id="12"/>
      </w:r>
      <w:r w:rsidR="00465CFA" w:rsidRPr="00EA6C7A">
        <w:rPr>
          <w:rFonts w:ascii="Verdana" w:hAnsi="Verdana"/>
          <w:sz w:val="20"/>
          <w:szCs w:val="20"/>
          <w:lang w:val="en-US"/>
        </w:rPr>
        <w:t xml:space="preserve"> </w:t>
      </w:r>
    </w:p>
    <w:p w14:paraId="56368BB0" w14:textId="77777777" w:rsidR="0035365B" w:rsidRPr="00EA6C7A" w:rsidRDefault="0035365B" w:rsidP="0035365B">
      <w:pPr>
        <w:pStyle w:val="Prrafodelista"/>
        <w:rPr>
          <w:rFonts w:ascii="Verdana" w:hAnsi="Verdana"/>
          <w:sz w:val="20"/>
          <w:szCs w:val="20"/>
          <w:lang w:val="en-US"/>
        </w:rPr>
      </w:pPr>
    </w:p>
    <w:p w14:paraId="0599CB83" w14:textId="77777777" w:rsidR="00613E79" w:rsidRPr="00EA6C7A" w:rsidRDefault="00613E79" w:rsidP="00E11A7C">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t>Furthermore</w:t>
      </w:r>
      <w:r w:rsidR="0035365B" w:rsidRPr="00EA6C7A">
        <w:rPr>
          <w:rFonts w:ascii="Verdana" w:hAnsi="Verdana"/>
          <w:sz w:val="20"/>
          <w:szCs w:val="20"/>
          <w:lang w:val="en-US"/>
        </w:rPr>
        <w:t xml:space="preserve">, </w:t>
      </w:r>
      <w:r w:rsidR="0096418F" w:rsidRPr="00EA6C7A">
        <w:rPr>
          <w:rFonts w:ascii="Verdana" w:hAnsi="Verdana"/>
          <w:sz w:val="20"/>
          <w:szCs w:val="20"/>
          <w:lang w:val="en-US"/>
        </w:rPr>
        <w:t>Article</w:t>
      </w:r>
      <w:r w:rsidR="0035365B" w:rsidRPr="00EA6C7A">
        <w:rPr>
          <w:rFonts w:ascii="Verdana" w:hAnsi="Verdana"/>
          <w:sz w:val="20"/>
          <w:szCs w:val="20"/>
          <w:lang w:val="en-US"/>
        </w:rPr>
        <w:t xml:space="preserve"> 46</w:t>
      </w:r>
      <w:r w:rsidRPr="00EA6C7A">
        <w:rPr>
          <w:rFonts w:ascii="Verdana" w:hAnsi="Verdana"/>
          <w:sz w:val="20"/>
          <w:szCs w:val="20"/>
          <w:lang w:val="en-US"/>
        </w:rPr>
        <w:t>(</w:t>
      </w:r>
      <w:r w:rsidR="0035365B" w:rsidRPr="00EA6C7A">
        <w:rPr>
          <w:rFonts w:ascii="Verdana" w:hAnsi="Verdana"/>
          <w:sz w:val="20"/>
          <w:szCs w:val="20"/>
          <w:lang w:val="en-US"/>
        </w:rPr>
        <w:t>2</w:t>
      </w:r>
      <w:r w:rsidRPr="00EA6C7A">
        <w:rPr>
          <w:rFonts w:ascii="Verdana" w:hAnsi="Verdana"/>
          <w:sz w:val="20"/>
          <w:szCs w:val="20"/>
          <w:lang w:val="en-US"/>
        </w:rPr>
        <w:t>)</w:t>
      </w:r>
      <w:r w:rsidR="0096418F" w:rsidRPr="00EA6C7A">
        <w:rPr>
          <w:rFonts w:ascii="Verdana" w:hAnsi="Verdana"/>
          <w:sz w:val="20"/>
          <w:szCs w:val="20"/>
          <w:lang w:val="en-US"/>
        </w:rPr>
        <w:t xml:space="preserve"> of the Convention</w:t>
      </w:r>
      <w:r w:rsidR="0035365B" w:rsidRPr="00EA6C7A">
        <w:rPr>
          <w:rFonts w:ascii="Verdana" w:hAnsi="Verdana"/>
          <w:sz w:val="20"/>
          <w:szCs w:val="20"/>
          <w:lang w:val="en-US"/>
        </w:rPr>
        <w:t xml:space="preserve"> </w:t>
      </w:r>
      <w:r w:rsidRPr="00EA6C7A">
        <w:rPr>
          <w:rFonts w:ascii="Verdana" w:hAnsi="Verdana"/>
          <w:sz w:val="20"/>
          <w:szCs w:val="20"/>
          <w:lang w:val="en-US"/>
        </w:rPr>
        <w:t>stipulates</w:t>
      </w:r>
      <w:r w:rsidR="00680E95" w:rsidRPr="00EA6C7A">
        <w:rPr>
          <w:rFonts w:ascii="Verdana" w:hAnsi="Verdana"/>
          <w:sz w:val="20"/>
          <w:szCs w:val="20"/>
          <w:lang w:val="en-US"/>
        </w:rPr>
        <w:t xml:space="preserve"> </w:t>
      </w:r>
      <w:r w:rsidRPr="00EA6C7A">
        <w:rPr>
          <w:rFonts w:ascii="Verdana" w:hAnsi="Verdana"/>
          <w:sz w:val="20"/>
          <w:szCs w:val="20"/>
          <w:lang w:val="en-US"/>
        </w:rPr>
        <w:t>that the requirement of prior exhaustion of domestic remedies is not ap</w:t>
      </w:r>
      <w:r w:rsidR="00680E95" w:rsidRPr="00EA6C7A">
        <w:rPr>
          <w:rFonts w:ascii="Verdana" w:hAnsi="Verdana"/>
          <w:sz w:val="20"/>
          <w:szCs w:val="20"/>
          <w:lang w:val="en-US"/>
        </w:rPr>
        <w:t>p</w:t>
      </w:r>
      <w:r w:rsidRPr="00EA6C7A">
        <w:rPr>
          <w:rFonts w:ascii="Verdana" w:hAnsi="Verdana"/>
          <w:sz w:val="20"/>
          <w:szCs w:val="20"/>
          <w:lang w:val="en-US"/>
        </w:rPr>
        <w:t>licable when: (a)</w:t>
      </w:r>
      <w:r w:rsidR="00680E95" w:rsidRPr="00EA6C7A">
        <w:rPr>
          <w:rFonts w:ascii="Verdana" w:hAnsi="Verdana"/>
          <w:sz w:val="20"/>
          <w:szCs w:val="20"/>
          <w:lang w:val="en-US"/>
        </w:rPr>
        <w:t xml:space="preserve">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 In this regard, the Court has indicated that it is not required to exhaust ineffective remedies:</w:t>
      </w:r>
    </w:p>
    <w:p w14:paraId="78211BA1" w14:textId="77777777" w:rsidR="0035365B" w:rsidRPr="00EA6C7A" w:rsidRDefault="0035365B" w:rsidP="00680E95">
      <w:pPr>
        <w:autoSpaceDE w:val="0"/>
        <w:autoSpaceDN w:val="0"/>
        <w:adjustRightInd w:val="0"/>
        <w:spacing w:after="0" w:line="240" w:lineRule="auto"/>
        <w:jc w:val="both"/>
        <w:rPr>
          <w:rFonts w:ascii="Verdana" w:eastAsia="Calibri" w:hAnsi="Verdana" w:cs="BookAntiqua,Italic"/>
          <w:iCs/>
          <w:sz w:val="16"/>
          <w:szCs w:val="16"/>
          <w:lang w:val="en-US"/>
        </w:rPr>
      </w:pPr>
    </w:p>
    <w:p w14:paraId="292DF4CA" w14:textId="77777777" w:rsidR="00BB5015" w:rsidRPr="00EA6C7A" w:rsidRDefault="001D5AFA" w:rsidP="0035365B">
      <w:pPr>
        <w:autoSpaceDE w:val="0"/>
        <w:autoSpaceDN w:val="0"/>
        <w:adjustRightInd w:val="0"/>
        <w:spacing w:after="0" w:line="240" w:lineRule="auto"/>
        <w:ind w:left="706"/>
        <w:jc w:val="both"/>
        <w:rPr>
          <w:rFonts w:ascii="Verdana" w:hAnsi="Verdana" w:cs="Arial"/>
          <w:sz w:val="18"/>
          <w:szCs w:val="18"/>
          <w:lang w:val="en-US"/>
        </w:rPr>
      </w:pPr>
      <w:r w:rsidRPr="00EA6C7A">
        <w:rPr>
          <w:rFonts w:ascii="Verdana" w:eastAsia="Calibri" w:hAnsi="Verdana" w:cs="BookAntiqua,Italic"/>
          <w:iCs/>
          <w:sz w:val="18"/>
          <w:szCs w:val="18"/>
          <w:lang w:val="en-US"/>
        </w:rPr>
        <w:t>[</w:t>
      </w:r>
      <w:r w:rsidR="00551CA7" w:rsidRPr="00EA6C7A">
        <w:rPr>
          <w:rFonts w:ascii="Verdana" w:eastAsia="Calibri" w:hAnsi="Verdana" w:cs="BookAntiqua,Italic"/>
          <w:iCs/>
          <w:sz w:val="18"/>
          <w:szCs w:val="18"/>
          <w:lang w:val="en-US"/>
        </w:rPr>
        <w:t>T</w:t>
      </w:r>
      <w:r w:rsidR="00680E95" w:rsidRPr="00EA6C7A">
        <w:rPr>
          <w:rFonts w:ascii="Verdana" w:eastAsia="Calibri" w:hAnsi="Verdana" w:cs="BookAntiqua,Italic"/>
          <w:iCs/>
          <w:sz w:val="18"/>
          <w:szCs w:val="18"/>
          <w:lang w:val="en-US"/>
        </w:rPr>
        <w:t>he remedy</w:t>
      </w:r>
      <w:r w:rsidRPr="00EA6C7A">
        <w:rPr>
          <w:rFonts w:ascii="Verdana" w:eastAsia="Calibri" w:hAnsi="Verdana" w:cs="BookAntiqua,Italic"/>
          <w:iCs/>
          <w:sz w:val="18"/>
          <w:szCs w:val="18"/>
          <w:lang w:val="en-US"/>
        </w:rPr>
        <w:t>]</w:t>
      </w:r>
      <w:r w:rsidR="0035365B" w:rsidRPr="00EA6C7A">
        <w:rPr>
          <w:rFonts w:ascii="Verdana" w:eastAsia="Calibri" w:hAnsi="Verdana" w:cs="BookAntiqua,Italic"/>
          <w:iCs/>
          <w:sz w:val="18"/>
          <w:szCs w:val="18"/>
          <w:lang w:val="en-US"/>
        </w:rPr>
        <w:t xml:space="preserve"> </w:t>
      </w:r>
      <w:r w:rsidR="00680E95" w:rsidRPr="00EA6C7A">
        <w:rPr>
          <w:rFonts w:ascii="Verdana" w:eastAsia="Calibri" w:hAnsi="Verdana" w:cs="BookAntiqua,Italic"/>
          <w:iCs/>
          <w:sz w:val="18"/>
          <w:szCs w:val="18"/>
          <w:lang w:val="en-US"/>
        </w:rPr>
        <w:t>must be truly effective in establishing whether there has been a violation of human rights and in providing redress</w:t>
      </w:r>
      <w:r w:rsidR="0035365B" w:rsidRPr="00EA6C7A">
        <w:rPr>
          <w:rFonts w:ascii="Verdana" w:eastAsia="Calibri" w:hAnsi="Verdana" w:cs="BookAntiqua,Italic"/>
          <w:iCs/>
          <w:sz w:val="18"/>
          <w:szCs w:val="18"/>
          <w:lang w:val="en-US"/>
        </w:rPr>
        <w:t xml:space="preserve">. </w:t>
      </w:r>
      <w:r w:rsidR="00680E95" w:rsidRPr="00EA6C7A">
        <w:rPr>
          <w:rFonts w:ascii="Verdana" w:hAnsi="Verdana" w:cs="Arial"/>
          <w:sz w:val="18"/>
          <w:szCs w:val="18"/>
          <w:lang w:val="en-US"/>
        </w:rPr>
        <w:t xml:space="preserve">A remedy which proves illusory because of the general conditions prevailing in the country, or even in the particular circumstances of a given case, cannot be </w:t>
      </w:r>
      <w:r w:rsidR="00680E95" w:rsidRPr="00EA6C7A">
        <w:rPr>
          <w:rFonts w:ascii="Verdana" w:hAnsi="Verdana" w:cs="Arial"/>
          <w:sz w:val="18"/>
          <w:szCs w:val="18"/>
          <w:lang w:val="en-US"/>
        </w:rPr>
        <w:lastRenderedPageBreak/>
        <w:t>considered effective.</w:t>
      </w:r>
      <w:r w:rsidR="00A950A4" w:rsidRPr="00EA6C7A">
        <w:rPr>
          <w:rStyle w:val="Refdenotaalpie"/>
          <w:rFonts w:ascii="Verdana" w:eastAsia="Calibri" w:hAnsi="Verdana" w:cs="BookAntiqua,Italic"/>
          <w:iCs/>
          <w:sz w:val="18"/>
          <w:szCs w:val="18"/>
          <w:lang w:val="en-US"/>
        </w:rPr>
        <w:footnoteReference w:id="13"/>
      </w:r>
      <w:r w:rsidR="00A950A4" w:rsidRPr="00EA6C7A">
        <w:rPr>
          <w:rFonts w:ascii="Verdana" w:eastAsia="Calibri" w:hAnsi="Verdana" w:cs="BookAntiqua,Italic"/>
          <w:iCs/>
          <w:sz w:val="18"/>
          <w:szCs w:val="18"/>
          <w:lang w:val="en-US"/>
        </w:rPr>
        <w:t xml:space="preserve"> </w:t>
      </w:r>
      <w:r w:rsidR="00BB5015" w:rsidRPr="00EA6C7A">
        <w:rPr>
          <w:rFonts w:ascii="Verdana" w:hAnsi="Verdana" w:cs="Arial"/>
          <w:sz w:val="18"/>
          <w:szCs w:val="18"/>
          <w:lang w:val="en-US"/>
        </w:rPr>
        <w:t>That could be the case, for example, when practice has shown its ineffectiveness, […] or in any other situation that constitutes a denial of justice,</w:t>
      </w:r>
      <w:r w:rsidR="00BB5015" w:rsidRPr="00EA6C7A">
        <w:rPr>
          <w:rStyle w:val="Refdenotaalpie"/>
          <w:rFonts w:ascii="Verdana" w:eastAsia="Calibri" w:hAnsi="Verdana" w:cs="BookAntiqua,Italic"/>
          <w:iCs/>
          <w:sz w:val="18"/>
          <w:szCs w:val="18"/>
          <w:lang w:val="en-US"/>
        </w:rPr>
        <w:footnoteReference w:id="14"/>
      </w:r>
      <w:r w:rsidR="00BB5015" w:rsidRPr="00EA6C7A">
        <w:rPr>
          <w:rFonts w:ascii="Verdana" w:hAnsi="Verdana" w:cs="Arial"/>
          <w:sz w:val="18"/>
          <w:szCs w:val="18"/>
          <w:lang w:val="en-US"/>
        </w:rPr>
        <w:t xml:space="preserve"> as when there is an unjustified delay in the decision.</w:t>
      </w:r>
    </w:p>
    <w:p w14:paraId="6314A240" w14:textId="77777777" w:rsidR="00B2617D" w:rsidRPr="00EA6C7A" w:rsidRDefault="00B2617D" w:rsidP="00B2617D">
      <w:pPr>
        <w:pStyle w:val="Prrafodelista"/>
        <w:rPr>
          <w:rFonts w:ascii="Verdana" w:hAnsi="Verdana"/>
          <w:sz w:val="16"/>
          <w:szCs w:val="20"/>
          <w:lang w:val="en-US"/>
        </w:rPr>
      </w:pPr>
    </w:p>
    <w:p w14:paraId="29A16C49" w14:textId="77777777" w:rsidR="008D013F" w:rsidRPr="00EA6C7A" w:rsidRDefault="00BB5015" w:rsidP="00E11A7C">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t xml:space="preserve">In this regard, and as already indicated, in their initial petition before </w:t>
      </w:r>
      <w:r w:rsidR="0096418F" w:rsidRPr="00EA6C7A">
        <w:rPr>
          <w:rFonts w:ascii="Verdana" w:hAnsi="Verdana"/>
          <w:sz w:val="20"/>
          <w:szCs w:val="20"/>
          <w:lang w:val="en-US"/>
        </w:rPr>
        <w:t>the Commission</w:t>
      </w:r>
      <w:r w:rsidR="008D013F" w:rsidRPr="00EA6C7A">
        <w:rPr>
          <w:rFonts w:ascii="Verdana" w:hAnsi="Verdana"/>
          <w:sz w:val="20"/>
          <w:szCs w:val="20"/>
          <w:lang w:val="en-US"/>
        </w:rPr>
        <w:t xml:space="preserve">, </w:t>
      </w:r>
      <w:r w:rsidR="00E43A75" w:rsidRPr="00EA6C7A">
        <w:rPr>
          <w:rFonts w:ascii="Verdana" w:hAnsi="Verdana"/>
          <w:sz w:val="20"/>
          <w:szCs w:val="20"/>
          <w:lang w:val="en-US"/>
        </w:rPr>
        <w:t>the representatives</w:t>
      </w:r>
      <w:r w:rsidR="008D013F" w:rsidRPr="00EA6C7A">
        <w:rPr>
          <w:rFonts w:ascii="Verdana" w:hAnsi="Verdana"/>
          <w:sz w:val="20"/>
          <w:szCs w:val="20"/>
          <w:lang w:val="en-US"/>
        </w:rPr>
        <w:t xml:space="preserve"> </w:t>
      </w:r>
      <w:r w:rsidRPr="00EA6C7A">
        <w:rPr>
          <w:rFonts w:ascii="Verdana" w:hAnsi="Verdana"/>
          <w:sz w:val="20"/>
          <w:szCs w:val="20"/>
          <w:lang w:val="en-US"/>
        </w:rPr>
        <w:t xml:space="preserve">affirmed that the rule of prior exhaustion of domestic remedies was not applicable in this case based on </w:t>
      </w:r>
      <w:r w:rsidR="001914FC" w:rsidRPr="00EA6C7A">
        <w:rPr>
          <w:rFonts w:ascii="Verdana" w:hAnsi="Verdana"/>
          <w:sz w:val="20"/>
          <w:szCs w:val="20"/>
          <w:lang w:val="en-US"/>
        </w:rPr>
        <w:t>Article</w:t>
      </w:r>
      <w:r w:rsidR="008D013F" w:rsidRPr="00EA6C7A">
        <w:rPr>
          <w:rFonts w:ascii="Verdana" w:hAnsi="Verdana"/>
          <w:sz w:val="20"/>
          <w:szCs w:val="20"/>
          <w:lang w:val="en-US"/>
        </w:rPr>
        <w:t xml:space="preserve"> 46</w:t>
      </w:r>
      <w:r w:rsidRPr="00EA6C7A">
        <w:rPr>
          <w:rFonts w:ascii="Verdana" w:hAnsi="Verdana"/>
          <w:sz w:val="20"/>
          <w:szCs w:val="20"/>
          <w:lang w:val="en-US"/>
        </w:rPr>
        <w:t>(</w:t>
      </w:r>
      <w:r w:rsidR="008D013F" w:rsidRPr="00EA6C7A">
        <w:rPr>
          <w:rFonts w:ascii="Verdana" w:hAnsi="Verdana"/>
          <w:sz w:val="20"/>
          <w:szCs w:val="20"/>
          <w:lang w:val="en-US"/>
        </w:rPr>
        <w:t>2</w:t>
      </w:r>
      <w:r w:rsidRPr="00EA6C7A">
        <w:rPr>
          <w:rFonts w:ascii="Verdana" w:hAnsi="Verdana"/>
          <w:sz w:val="20"/>
          <w:szCs w:val="20"/>
          <w:lang w:val="en-US"/>
        </w:rPr>
        <w:t>)</w:t>
      </w:r>
      <w:r w:rsidR="0096418F" w:rsidRPr="00EA6C7A">
        <w:rPr>
          <w:rFonts w:ascii="Verdana" w:hAnsi="Verdana"/>
          <w:sz w:val="20"/>
          <w:szCs w:val="20"/>
          <w:lang w:val="en-US"/>
        </w:rPr>
        <w:t xml:space="preserve"> of the Convention</w:t>
      </w:r>
      <w:r w:rsidR="008D013F" w:rsidRPr="00EA6C7A">
        <w:rPr>
          <w:rFonts w:ascii="Verdana" w:hAnsi="Verdana"/>
          <w:sz w:val="20"/>
          <w:szCs w:val="20"/>
          <w:lang w:val="en-US"/>
        </w:rPr>
        <w:t xml:space="preserve">, </w:t>
      </w:r>
      <w:r w:rsidRPr="00EA6C7A">
        <w:rPr>
          <w:rFonts w:ascii="Verdana" w:hAnsi="Verdana"/>
          <w:sz w:val="20"/>
          <w:szCs w:val="20"/>
          <w:lang w:val="en-US"/>
        </w:rPr>
        <w:t>because, despite the efforts of the father of</w:t>
      </w:r>
      <w:r w:rsidR="008D013F" w:rsidRPr="00EA6C7A">
        <w:rPr>
          <w:rFonts w:ascii="Verdana" w:hAnsi="Verdana"/>
          <w:sz w:val="20"/>
          <w:szCs w:val="20"/>
          <w:lang w:val="en-US"/>
        </w:rPr>
        <w:t xml:space="preserve"> Claudina Velásquez </w:t>
      </w:r>
      <w:r w:rsidRPr="00EA6C7A">
        <w:rPr>
          <w:rFonts w:ascii="Verdana" w:hAnsi="Verdana"/>
          <w:sz w:val="20"/>
          <w:szCs w:val="20"/>
          <w:lang w:val="en-US"/>
        </w:rPr>
        <w:t>as joint complainant</w:t>
      </w:r>
      <w:r w:rsidR="008D013F" w:rsidRPr="00EA6C7A">
        <w:rPr>
          <w:rFonts w:ascii="Verdana" w:hAnsi="Verdana"/>
          <w:sz w:val="20"/>
          <w:szCs w:val="20"/>
          <w:lang w:val="en-US"/>
        </w:rPr>
        <w:t>:</w:t>
      </w:r>
    </w:p>
    <w:p w14:paraId="30C3E9BD" w14:textId="77777777" w:rsidR="008D013F" w:rsidRPr="00EA6C7A" w:rsidRDefault="008D013F" w:rsidP="008D013F">
      <w:pPr>
        <w:pStyle w:val="Prrafodelista"/>
        <w:spacing w:after="0" w:line="240" w:lineRule="auto"/>
        <w:jc w:val="both"/>
        <w:rPr>
          <w:rFonts w:ascii="Verdana" w:hAnsi="Verdana"/>
          <w:sz w:val="12"/>
          <w:szCs w:val="20"/>
          <w:lang w:val="en-US"/>
        </w:rPr>
      </w:pPr>
    </w:p>
    <w:p w14:paraId="66EABA7F" w14:textId="77777777" w:rsidR="008D013F" w:rsidRPr="00EA6C7A" w:rsidRDefault="00BB5015" w:rsidP="00BB5015">
      <w:pPr>
        <w:autoSpaceDE w:val="0"/>
        <w:autoSpaceDN w:val="0"/>
        <w:adjustRightInd w:val="0"/>
        <w:spacing w:after="0" w:line="240" w:lineRule="auto"/>
        <w:ind w:left="720"/>
        <w:jc w:val="both"/>
        <w:rPr>
          <w:rFonts w:ascii="Verdana" w:hAnsi="Verdana"/>
          <w:sz w:val="18"/>
          <w:szCs w:val="18"/>
          <w:lang w:val="en-US"/>
        </w:rPr>
      </w:pPr>
      <w:r w:rsidRPr="00EA6C7A">
        <w:rPr>
          <w:rFonts w:ascii="Verdana" w:hAnsi="Verdana"/>
          <w:sz w:val="18"/>
          <w:szCs w:val="18"/>
          <w:lang w:val="en-US"/>
        </w:rPr>
        <w:t>He has found it almost impossible to obtain substantial progress in the investigations. […] On several occasions, Mr. Velásquez Durán has asked the Public Prosecution Service to conduct investigation procedures that require</w:t>
      </w:r>
      <w:r w:rsidR="001D59C3" w:rsidRPr="00EA6C7A">
        <w:rPr>
          <w:rFonts w:ascii="Verdana" w:hAnsi="Verdana"/>
          <w:sz w:val="18"/>
          <w:szCs w:val="18"/>
          <w:lang w:val="en-US"/>
        </w:rPr>
        <w:t>d</w:t>
      </w:r>
      <w:r w:rsidRPr="00EA6C7A">
        <w:rPr>
          <w:rFonts w:ascii="Verdana" w:hAnsi="Verdana"/>
          <w:sz w:val="18"/>
          <w:szCs w:val="18"/>
          <w:lang w:val="en-US"/>
        </w:rPr>
        <w:t xml:space="preserve"> judicial authorization […]. Even though some of these have been carried out, this has been extremely belatedly, thus </w:t>
      </w:r>
      <w:r w:rsidR="001D59C3" w:rsidRPr="00EA6C7A">
        <w:rPr>
          <w:rFonts w:ascii="Verdana" w:hAnsi="Verdana"/>
          <w:sz w:val="18"/>
          <w:szCs w:val="18"/>
          <w:lang w:val="en-US"/>
        </w:rPr>
        <w:t>resulting in</w:t>
      </w:r>
      <w:r w:rsidRPr="00EA6C7A">
        <w:rPr>
          <w:rFonts w:ascii="Verdana" w:hAnsi="Verdana"/>
          <w:sz w:val="18"/>
          <w:szCs w:val="18"/>
          <w:lang w:val="en-US"/>
        </w:rPr>
        <w:t xml:space="preserve"> their ineffectiveness. […] In view of the failings of the Public Prosecution Service, Mr. Velásquez filed a complaint before the Supervisor General of this organ to obtain the sanction of those responsible for the violations of due process […]. Even though the Supervisor concluded that th</w:t>
      </w:r>
      <w:r w:rsidR="001D59C3" w:rsidRPr="00EA6C7A">
        <w:rPr>
          <w:rFonts w:ascii="Verdana" w:hAnsi="Verdana"/>
          <w:sz w:val="18"/>
          <w:szCs w:val="18"/>
          <w:lang w:val="en-US"/>
        </w:rPr>
        <w:t>e</w:t>
      </w:r>
      <w:r w:rsidRPr="00EA6C7A">
        <w:rPr>
          <w:rFonts w:ascii="Verdana" w:hAnsi="Verdana"/>
          <w:sz w:val="18"/>
          <w:szCs w:val="18"/>
          <w:lang w:val="en-US"/>
        </w:rPr>
        <w:t xml:space="preserve"> procedure had provided ‘inadequate treatment to the victim, her parents and next of kin […],’ it merely made a couple of recommendations. […] Meanwhile, in a resolution of July 20, 2006, the Ombudsman declared that the internal procedures of the </w:t>
      </w:r>
      <w:r w:rsidRPr="00EA6C7A">
        <w:rPr>
          <w:rFonts w:ascii="Verdana" w:hAnsi="Verdana" w:cs="Arial"/>
          <w:sz w:val="18"/>
          <w:szCs w:val="18"/>
          <w:lang w:val="en-US"/>
        </w:rPr>
        <w:t xml:space="preserve">Public Prosecution Service had been inadequate to protect the rights of Mr. Velásquez </w:t>
      </w:r>
      <w:r w:rsidR="00B409D1" w:rsidRPr="00EA6C7A">
        <w:rPr>
          <w:rFonts w:ascii="Verdana" w:hAnsi="Verdana" w:cs="Arial"/>
          <w:sz w:val="18"/>
          <w:szCs w:val="18"/>
          <w:lang w:val="en-US"/>
        </w:rPr>
        <w:t xml:space="preserve">Durán. </w:t>
      </w:r>
      <w:r w:rsidRPr="00EA6C7A">
        <w:rPr>
          <w:rFonts w:ascii="Verdana" w:hAnsi="Verdana" w:cs="Arial"/>
          <w:sz w:val="18"/>
          <w:szCs w:val="18"/>
          <w:lang w:val="en-US"/>
        </w:rPr>
        <w:t xml:space="preserve">Accordingly, the negligence, the flaws in the investigation, the delay in conducting procedures, and the humiliating treatment had not been subject to disciplinary or administrative reprimands within the </w:t>
      </w:r>
      <w:r w:rsidR="00B3248B" w:rsidRPr="00EA6C7A">
        <w:rPr>
          <w:rFonts w:ascii="Verdana" w:hAnsi="Verdana" w:cs="Arial"/>
          <w:sz w:val="18"/>
          <w:szCs w:val="18"/>
          <w:lang w:val="en-US"/>
        </w:rPr>
        <w:t>Public Prosecution Service</w:t>
      </w:r>
      <w:r w:rsidR="00B409D1" w:rsidRPr="00EA6C7A">
        <w:rPr>
          <w:rFonts w:ascii="Verdana" w:hAnsi="Verdana" w:cs="Arial"/>
          <w:sz w:val="18"/>
          <w:szCs w:val="18"/>
          <w:lang w:val="en-US"/>
        </w:rPr>
        <w:t xml:space="preserve">, </w:t>
      </w:r>
      <w:r w:rsidRPr="00EA6C7A">
        <w:rPr>
          <w:rFonts w:ascii="Verdana" w:hAnsi="Verdana" w:cs="Arial"/>
          <w:sz w:val="18"/>
          <w:szCs w:val="18"/>
          <w:lang w:val="en-US"/>
        </w:rPr>
        <w:t xml:space="preserve">thus </w:t>
      </w:r>
      <w:r w:rsidR="001D59C3" w:rsidRPr="00EA6C7A">
        <w:rPr>
          <w:rFonts w:ascii="Verdana" w:hAnsi="Verdana" w:cs="Arial"/>
          <w:sz w:val="18"/>
          <w:szCs w:val="18"/>
          <w:lang w:val="en-US"/>
        </w:rPr>
        <w:t>reveali</w:t>
      </w:r>
      <w:r w:rsidRPr="00EA6C7A">
        <w:rPr>
          <w:rFonts w:ascii="Verdana" w:hAnsi="Verdana" w:cs="Arial"/>
          <w:sz w:val="18"/>
          <w:szCs w:val="18"/>
          <w:lang w:val="en-US"/>
        </w:rPr>
        <w:t>ng a pattern of tolerance towards such practices</w:t>
      </w:r>
      <w:r w:rsidR="00B409D1" w:rsidRPr="00EA6C7A">
        <w:rPr>
          <w:rFonts w:ascii="Verdana" w:hAnsi="Verdana" w:cs="Arial"/>
          <w:sz w:val="18"/>
          <w:szCs w:val="18"/>
          <w:lang w:val="en-US"/>
        </w:rPr>
        <w:t>.</w:t>
      </w:r>
    </w:p>
    <w:p w14:paraId="560174E0" w14:textId="77777777" w:rsidR="008D013F" w:rsidRPr="00EA6C7A" w:rsidRDefault="008D013F" w:rsidP="008D013F">
      <w:pPr>
        <w:pStyle w:val="Prrafodelista"/>
        <w:spacing w:after="0" w:line="240" w:lineRule="auto"/>
        <w:ind w:left="0"/>
        <w:jc w:val="both"/>
        <w:rPr>
          <w:rFonts w:ascii="Verdana" w:hAnsi="Verdana"/>
          <w:sz w:val="18"/>
          <w:szCs w:val="18"/>
          <w:lang w:val="en-US"/>
        </w:rPr>
      </w:pPr>
    </w:p>
    <w:p w14:paraId="10ED8DF2" w14:textId="77777777" w:rsidR="004C527B" w:rsidRPr="00EA6C7A" w:rsidRDefault="00E011E2" w:rsidP="00E011E2">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t xml:space="preserve">Regarding the investigation into the death of Claudina Velásquez, the State indicated, in </w:t>
      </w:r>
      <w:r w:rsidR="00B15877" w:rsidRPr="00EA6C7A">
        <w:rPr>
          <w:rFonts w:ascii="Verdana" w:hAnsi="Verdana"/>
          <w:sz w:val="20"/>
          <w:szCs w:val="20"/>
          <w:lang w:val="en-US"/>
        </w:rPr>
        <w:t>this</w:t>
      </w:r>
      <w:r w:rsidRPr="00EA6C7A">
        <w:rPr>
          <w:rFonts w:ascii="Verdana" w:hAnsi="Verdana"/>
          <w:sz w:val="20"/>
          <w:szCs w:val="20"/>
          <w:lang w:val="en-US"/>
        </w:rPr>
        <w:t xml:space="preserve"> communication of May 17, 2010, that “the agents of justice who</w:t>
      </w:r>
      <w:r w:rsidR="001D59C3" w:rsidRPr="00EA6C7A">
        <w:rPr>
          <w:rFonts w:ascii="Verdana" w:hAnsi="Verdana"/>
          <w:sz w:val="20"/>
          <w:szCs w:val="20"/>
          <w:lang w:val="en-US"/>
        </w:rPr>
        <w:t xml:space="preserve"> were</w:t>
      </w:r>
      <w:r w:rsidRPr="00EA6C7A">
        <w:rPr>
          <w:rFonts w:ascii="Verdana" w:hAnsi="Verdana"/>
          <w:sz w:val="20"/>
          <w:szCs w:val="20"/>
          <w:lang w:val="en-US"/>
        </w:rPr>
        <w:t xml:space="preserve"> </w:t>
      </w:r>
      <w:r w:rsidR="001D59C3" w:rsidRPr="00EA6C7A">
        <w:rPr>
          <w:rFonts w:ascii="Verdana" w:hAnsi="Verdana"/>
          <w:sz w:val="20"/>
          <w:szCs w:val="20"/>
          <w:lang w:val="en-US"/>
        </w:rPr>
        <w:t>investigating</w:t>
      </w:r>
      <w:r w:rsidRPr="00EA6C7A">
        <w:rPr>
          <w:rFonts w:ascii="Verdana" w:hAnsi="Verdana"/>
          <w:sz w:val="20"/>
          <w:szCs w:val="20"/>
          <w:lang w:val="en-US"/>
        </w:rPr>
        <w:t xml:space="preserve"> the </w:t>
      </w:r>
      <w:r w:rsidR="001D59C3" w:rsidRPr="00EA6C7A">
        <w:rPr>
          <w:rFonts w:ascii="Verdana" w:hAnsi="Verdana"/>
          <w:sz w:val="20"/>
          <w:szCs w:val="20"/>
          <w:lang w:val="en-US"/>
        </w:rPr>
        <w:t xml:space="preserve">incident </w:t>
      </w:r>
      <w:r w:rsidRPr="00EA6C7A">
        <w:rPr>
          <w:rFonts w:ascii="Verdana" w:hAnsi="Verdana"/>
          <w:sz w:val="20"/>
          <w:szCs w:val="20"/>
          <w:lang w:val="en-US"/>
        </w:rPr>
        <w:t xml:space="preserve">in 2005 took emergency measures to collect evidence that were viewed negatively by the </w:t>
      </w:r>
      <w:r w:rsidR="004C527B" w:rsidRPr="00EA6C7A">
        <w:rPr>
          <w:rFonts w:ascii="Verdana" w:hAnsi="Verdana"/>
          <w:sz w:val="20"/>
          <w:szCs w:val="20"/>
          <w:lang w:val="en-US"/>
        </w:rPr>
        <w:t>Velásquez Paiz</w:t>
      </w:r>
      <w:r w:rsidRPr="00EA6C7A">
        <w:rPr>
          <w:rFonts w:ascii="Verdana" w:hAnsi="Verdana"/>
          <w:sz w:val="20"/>
          <w:szCs w:val="20"/>
          <w:lang w:val="en-US"/>
        </w:rPr>
        <w:t xml:space="preserve"> family</w:t>
      </w:r>
      <w:r w:rsidR="001D59C3" w:rsidRPr="00EA6C7A">
        <w:rPr>
          <w:rFonts w:ascii="Verdana" w:hAnsi="Verdana"/>
          <w:sz w:val="20"/>
          <w:szCs w:val="20"/>
          <w:lang w:val="en-US"/>
        </w:rPr>
        <w:t xml:space="preserve"> and, therefore,</w:t>
      </w:r>
      <w:r w:rsidRPr="00EA6C7A">
        <w:rPr>
          <w:rFonts w:ascii="Verdana" w:hAnsi="Verdana"/>
          <w:sz w:val="20"/>
          <w:szCs w:val="20"/>
          <w:lang w:val="en-US"/>
        </w:rPr>
        <w:t xml:space="preserve"> the agents of justice were issued </w:t>
      </w:r>
      <w:r w:rsidR="00B15877" w:rsidRPr="00EA6C7A">
        <w:rPr>
          <w:rFonts w:ascii="Verdana" w:hAnsi="Verdana"/>
          <w:sz w:val="20"/>
          <w:szCs w:val="20"/>
          <w:lang w:val="en-US"/>
        </w:rPr>
        <w:t xml:space="preserve">with </w:t>
      </w:r>
      <w:r w:rsidRPr="00EA6C7A">
        <w:rPr>
          <w:rFonts w:ascii="Verdana" w:hAnsi="Verdana"/>
          <w:sz w:val="20"/>
          <w:szCs w:val="20"/>
          <w:lang w:val="en-US"/>
        </w:rPr>
        <w:t>the corresponding sanctions.” It also indicated that: (i) “it continue[d] to monitor all the investigati</w:t>
      </w:r>
      <w:r w:rsidR="001D59C3" w:rsidRPr="00EA6C7A">
        <w:rPr>
          <w:rFonts w:ascii="Verdana" w:hAnsi="Verdana"/>
          <w:sz w:val="20"/>
          <w:szCs w:val="20"/>
          <w:lang w:val="en-US"/>
        </w:rPr>
        <w:t>ve</w:t>
      </w:r>
      <w:r w:rsidRPr="00EA6C7A">
        <w:rPr>
          <w:rFonts w:ascii="Verdana" w:hAnsi="Verdana"/>
          <w:sz w:val="20"/>
          <w:szCs w:val="20"/>
          <w:lang w:val="en-US"/>
        </w:rPr>
        <w:t xml:space="preserve"> actions through the </w:t>
      </w:r>
      <w:r w:rsidR="00B3248B" w:rsidRPr="00EA6C7A">
        <w:rPr>
          <w:rFonts w:ascii="Verdana" w:hAnsi="Verdana"/>
          <w:sz w:val="20"/>
          <w:szCs w:val="20"/>
          <w:lang w:val="en-US"/>
        </w:rPr>
        <w:t>Public Prosecution Service</w:t>
      </w:r>
      <w:r w:rsidR="00DD21BA" w:rsidRPr="00EA6C7A">
        <w:rPr>
          <w:rFonts w:ascii="Verdana" w:hAnsi="Verdana"/>
          <w:sz w:val="20"/>
          <w:szCs w:val="20"/>
          <w:lang w:val="en-US"/>
        </w:rPr>
        <w:t>”</w:t>
      </w:r>
      <w:r w:rsidR="00CF3CA5" w:rsidRPr="00EA6C7A">
        <w:rPr>
          <w:rFonts w:ascii="Verdana" w:hAnsi="Verdana"/>
          <w:sz w:val="20"/>
          <w:szCs w:val="20"/>
          <w:lang w:val="en-US"/>
        </w:rPr>
        <w:t>;</w:t>
      </w:r>
      <w:r w:rsidR="004C527B" w:rsidRPr="00EA6C7A">
        <w:rPr>
          <w:rFonts w:ascii="Verdana" w:hAnsi="Verdana"/>
          <w:sz w:val="20"/>
          <w:szCs w:val="20"/>
          <w:lang w:val="en-US"/>
        </w:rPr>
        <w:t xml:space="preserve"> </w:t>
      </w:r>
      <w:r w:rsidRPr="00EA6C7A">
        <w:rPr>
          <w:rFonts w:ascii="Verdana" w:hAnsi="Verdana"/>
          <w:sz w:val="20"/>
          <w:szCs w:val="20"/>
          <w:lang w:val="en-US"/>
        </w:rPr>
        <w:t>(</w:t>
      </w:r>
      <w:r w:rsidR="004C527B" w:rsidRPr="00EA6C7A">
        <w:rPr>
          <w:rFonts w:ascii="Verdana" w:hAnsi="Verdana"/>
          <w:sz w:val="20"/>
          <w:szCs w:val="20"/>
          <w:lang w:val="en-US"/>
        </w:rPr>
        <w:t xml:space="preserve">ii) </w:t>
      </w:r>
      <w:r w:rsidRPr="00EA6C7A">
        <w:rPr>
          <w:rFonts w:ascii="Verdana" w:hAnsi="Verdana"/>
          <w:sz w:val="20"/>
          <w:szCs w:val="20"/>
          <w:lang w:val="en-US"/>
        </w:rPr>
        <w:t>the “investigation [… had] not concluded</w:t>
      </w:r>
      <w:r w:rsidR="004C527B" w:rsidRPr="00EA6C7A">
        <w:rPr>
          <w:rFonts w:ascii="Verdana" w:hAnsi="Verdana"/>
          <w:sz w:val="20"/>
          <w:szCs w:val="20"/>
          <w:lang w:val="en-US"/>
        </w:rPr>
        <w:t xml:space="preserve">”; </w:t>
      </w:r>
      <w:r w:rsidRPr="00EA6C7A">
        <w:rPr>
          <w:rFonts w:ascii="Verdana" w:hAnsi="Verdana"/>
          <w:sz w:val="20"/>
          <w:szCs w:val="20"/>
          <w:lang w:val="en-US"/>
        </w:rPr>
        <w:t>(</w:t>
      </w:r>
      <w:r w:rsidR="004C527B" w:rsidRPr="00EA6C7A">
        <w:rPr>
          <w:rFonts w:ascii="Verdana" w:hAnsi="Verdana"/>
          <w:sz w:val="20"/>
          <w:szCs w:val="20"/>
          <w:lang w:val="en-US"/>
        </w:rPr>
        <w:t xml:space="preserve">iii) </w:t>
      </w:r>
      <w:r w:rsidRPr="00EA6C7A">
        <w:rPr>
          <w:rFonts w:ascii="Verdana" w:hAnsi="Verdana"/>
          <w:sz w:val="20"/>
          <w:szCs w:val="20"/>
          <w:lang w:val="en-US"/>
        </w:rPr>
        <w:t xml:space="preserve">“under the line of investigation that the </w:t>
      </w:r>
      <w:r w:rsidR="00B3248B" w:rsidRPr="00EA6C7A">
        <w:rPr>
          <w:rFonts w:ascii="Verdana" w:hAnsi="Verdana"/>
          <w:sz w:val="20"/>
          <w:szCs w:val="20"/>
          <w:lang w:val="en-US"/>
        </w:rPr>
        <w:t>Public Prosecution Service</w:t>
      </w:r>
      <w:r w:rsidRPr="00EA6C7A">
        <w:rPr>
          <w:rFonts w:ascii="Verdana" w:hAnsi="Verdana"/>
          <w:sz w:val="20"/>
          <w:szCs w:val="20"/>
          <w:lang w:val="en-US"/>
        </w:rPr>
        <w:t xml:space="preserve"> [was] currently following</w:t>
      </w:r>
      <w:r w:rsidR="004C527B" w:rsidRPr="00EA6C7A">
        <w:rPr>
          <w:rFonts w:ascii="Verdana" w:hAnsi="Verdana"/>
          <w:sz w:val="20"/>
          <w:szCs w:val="20"/>
          <w:lang w:val="en-US"/>
        </w:rPr>
        <w:t xml:space="preserve">, </w:t>
      </w:r>
      <w:r w:rsidRPr="00EA6C7A">
        <w:rPr>
          <w:rFonts w:ascii="Verdana" w:hAnsi="Verdana"/>
          <w:sz w:val="20"/>
          <w:szCs w:val="20"/>
          <w:lang w:val="en-US"/>
        </w:rPr>
        <w:t xml:space="preserve">information had surface of presumed suspects, against whom a possible accusation could be filed,” and (iv) “the petition [was] inadmissible because </w:t>
      </w:r>
      <w:r w:rsidR="00AC51BB" w:rsidRPr="00EA6C7A">
        <w:rPr>
          <w:rFonts w:ascii="Verdana" w:hAnsi="Verdana"/>
          <w:sz w:val="20"/>
          <w:szCs w:val="20"/>
          <w:lang w:val="en-US"/>
        </w:rPr>
        <w:t xml:space="preserve">the </w:t>
      </w:r>
      <w:r w:rsidRPr="00EA6C7A">
        <w:rPr>
          <w:rFonts w:ascii="Verdana" w:hAnsi="Verdana"/>
          <w:sz w:val="20"/>
          <w:szCs w:val="20"/>
          <w:lang w:val="en-US"/>
        </w:rPr>
        <w:t xml:space="preserve">domestic remedies had not </w:t>
      </w:r>
      <w:r w:rsidR="00AC51BB" w:rsidRPr="00EA6C7A">
        <w:rPr>
          <w:rFonts w:ascii="Verdana" w:hAnsi="Verdana"/>
          <w:sz w:val="20"/>
          <w:szCs w:val="20"/>
          <w:lang w:val="en-US"/>
        </w:rPr>
        <w:t>yet been filed and exhausted.</w:t>
      </w:r>
      <w:r w:rsidR="00DD21BA" w:rsidRPr="00EA6C7A">
        <w:rPr>
          <w:rFonts w:ascii="Verdana" w:hAnsi="Verdana"/>
          <w:sz w:val="20"/>
          <w:szCs w:val="20"/>
          <w:lang w:val="en-US"/>
        </w:rPr>
        <w:t>”</w:t>
      </w:r>
    </w:p>
    <w:p w14:paraId="046B24DB" w14:textId="77777777" w:rsidR="004C527B" w:rsidRPr="00EA6C7A" w:rsidRDefault="004C527B" w:rsidP="004C527B">
      <w:pPr>
        <w:pStyle w:val="Prrafodelista"/>
        <w:spacing w:after="0" w:line="240" w:lineRule="auto"/>
        <w:ind w:left="0"/>
        <w:jc w:val="both"/>
        <w:rPr>
          <w:rFonts w:ascii="Verdana" w:hAnsi="Verdana"/>
          <w:sz w:val="20"/>
          <w:szCs w:val="20"/>
          <w:lang w:val="en-US"/>
        </w:rPr>
      </w:pPr>
    </w:p>
    <w:p w14:paraId="1D7191EB" w14:textId="77777777" w:rsidR="00DD21BA" w:rsidRPr="00EA6C7A" w:rsidRDefault="00AC51BB" w:rsidP="00AC51BB">
      <w:pPr>
        <w:pStyle w:val="Prrafodelista"/>
        <w:numPr>
          <w:ilvl w:val="0"/>
          <w:numId w:val="3"/>
        </w:numPr>
        <w:spacing w:after="0" w:line="240" w:lineRule="auto"/>
        <w:ind w:left="0" w:hanging="11"/>
        <w:jc w:val="both"/>
        <w:rPr>
          <w:rFonts w:ascii="Verdana" w:eastAsia="Calibri" w:hAnsi="Verdana"/>
          <w:sz w:val="20"/>
          <w:szCs w:val="20"/>
          <w:lang w:val="en-US"/>
        </w:rPr>
      </w:pPr>
      <w:r w:rsidRPr="00EA6C7A">
        <w:rPr>
          <w:rFonts w:ascii="Verdana" w:hAnsi="Verdana"/>
          <w:sz w:val="20"/>
          <w:szCs w:val="20"/>
          <w:lang w:val="en-US"/>
        </w:rPr>
        <w:t>In this regard</w:t>
      </w:r>
      <w:r w:rsidR="004C527B" w:rsidRPr="00EA6C7A">
        <w:rPr>
          <w:rFonts w:ascii="Verdana" w:hAnsi="Verdana"/>
          <w:sz w:val="20"/>
          <w:szCs w:val="20"/>
          <w:lang w:val="en-US"/>
        </w:rPr>
        <w:t xml:space="preserve">, </w:t>
      </w:r>
      <w:r w:rsidR="0096418F" w:rsidRPr="00EA6C7A">
        <w:rPr>
          <w:rFonts w:ascii="Verdana" w:hAnsi="Verdana"/>
          <w:sz w:val="20"/>
          <w:szCs w:val="20"/>
          <w:lang w:val="en-US"/>
        </w:rPr>
        <w:t>the Court</w:t>
      </w:r>
      <w:r w:rsidR="004C527B" w:rsidRPr="00EA6C7A">
        <w:rPr>
          <w:rFonts w:ascii="Verdana" w:hAnsi="Verdana"/>
          <w:sz w:val="20"/>
          <w:szCs w:val="20"/>
          <w:lang w:val="en-US"/>
        </w:rPr>
        <w:t xml:space="preserve"> consider</w:t>
      </w:r>
      <w:r w:rsidRPr="00EA6C7A">
        <w:rPr>
          <w:rFonts w:ascii="Verdana" w:hAnsi="Verdana"/>
          <w:sz w:val="20"/>
          <w:szCs w:val="20"/>
          <w:lang w:val="en-US"/>
        </w:rPr>
        <w:t xml:space="preserve">s that, in its brief, the State had accepted that, to date, “the agents of justice” had taken actions that warranted sanction, implicitly admitting the possibility that, at the time the petition was lodged, the domestic remedies suffered from unjustified delays </w:t>
      </w:r>
      <w:r w:rsidR="00365111" w:rsidRPr="00EA6C7A">
        <w:rPr>
          <w:rFonts w:ascii="Verdana" w:hAnsi="Verdana"/>
          <w:sz w:val="20"/>
          <w:szCs w:val="20"/>
          <w:lang w:val="en-US"/>
        </w:rPr>
        <w:t>and</w:t>
      </w:r>
      <w:r w:rsidRPr="00EA6C7A">
        <w:rPr>
          <w:rFonts w:ascii="Verdana" w:hAnsi="Verdana"/>
          <w:sz w:val="20"/>
          <w:szCs w:val="20"/>
          <w:lang w:val="en-US"/>
        </w:rPr>
        <w:t xml:space="preserve"> lack of effectiveness</w:t>
      </w:r>
      <w:r w:rsidR="0021602B" w:rsidRPr="00EA6C7A">
        <w:rPr>
          <w:rFonts w:ascii="Verdana" w:hAnsi="Verdana"/>
          <w:sz w:val="20"/>
          <w:szCs w:val="20"/>
          <w:lang w:val="en-US"/>
        </w:rPr>
        <w:t xml:space="preserve"> (</w:t>
      </w:r>
      <w:r w:rsidR="0021602B" w:rsidRPr="00EA6C7A">
        <w:rPr>
          <w:rFonts w:ascii="Verdana" w:hAnsi="Verdana"/>
          <w:i/>
          <w:sz w:val="20"/>
          <w:szCs w:val="20"/>
          <w:lang w:val="en-US"/>
        </w:rPr>
        <w:t xml:space="preserve">supra </w:t>
      </w:r>
      <w:r w:rsidR="002F3848" w:rsidRPr="00EA6C7A">
        <w:rPr>
          <w:rFonts w:ascii="Verdana" w:hAnsi="Verdana"/>
          <w:sz w:val="20"/>
          <w:szCs w:val="20"/>
          <w:lang w:val="en-US"/>
        </w:rPr>
        <w:t>para.</w:t>
      </w:r>
      <w:r w:rsidR="0021602B" w:rsidRPr="00EA6C7A">
        <w:rPr>
          <w:rFonts w:ascii="Verdana" w:hAnsi="Verdana"/>
          <w:sz w:val="20"/>
          <w:szCs w:val="20"/>
          <w:lang w:val="en-US"/>
        </w:rPr>
        <w:t xml:space="preserve"> 27)</w:t>
      </w:r>
      <w:r w:rsidR="00D77BA2" w:rsidRPr="00EA6C7A">
        <w:rPr>
          <w:rFonts w:ascii="Verdana" w:hAnsi="Verdana"/>
          <w:sz w:val="20"/>
          <w:szCs w:val="20"/>
          <w:lang w:val="en-US"/>
        </w:rPr>
        <w:t>.</w:t>
      </w:r>
      <w:r w:rsidR="00F9460E" w:rsidRPr="00EA6C7A">
        <w:rPr>
          <w:rFonts w:ascii="Verdana" w:hAnsi="Verdana"/>
          <w:sz w:val="20"/>
          <w:szCs w:val="20"/>
          <w:lang w:val="en-US"/>
        </w:rPr>
        <w:t xml:space="preserve"> </w:t>
      </w:r>
      <w:r w:rsidRPr="00EA6C7A">
        <w:rPr>
          <w:rFonts w:ascii="Verdana" w:hAnsi="Verdana"/>
          <w:sz w:val="20"/>
          <w:szCs w:val="20"/>
          <w:lang w:val="en-US"/>
        </w:rPr>
        <w:t>The file contain</w:t>
      </w:r>
      <w:r w:rsidR="00365111" w:rsidRPr="00EA6C7A">
        <w:rPr>
          <w:rFonts w:ascii="Verdana" w:hAnsi="Verdana"/>
          <w:sz w:val="20"/>
          <w:szCs w:val="20"/>
          <w:lang w:val="en-US"/>
        </w:rPr>
        <w:t>ed</w:t>
      </w:r>
      <w:r w:rsidRPr="00EA6C7A">
        <w:rPr>
          <w:rFonts w:ascii="Verdana" w:hAnsi="Verdana"/>
          <w:sz w:val="20"/>
          <w:szCs w:val="20"/>
          <w:lang w:val="en-US"/>
        </w:rPr>
        <w:t xml:space="preserve"> a resolution dated July 20, 2006 – in other words</w:t>
      </w:r>
      <w:r w:rsidRPr="00EA6C7A">
        <w:rPr>
          <w:rFonts w:ascii="Verdana" w:eastAsia="Calibri" w:hAnsi="Verdana"/>
          <w:sz w:val="20"/>
          <w:szCs w:val="20"/>
          <w:lang w:val="en-US"/>
        </w:rPr>
        <w:t xml:space="preserve">, before the initial petition was lodged and before the above-mentioned State brief – in which the Guatemalan Ombudsman declared “the violation of the obligation to respect and </w:t>
      </w:r>
      <w:r w:rsidR="00365111" w:rsidRPr="00EA6C7A">
        <w:rPr>
          <w:rFonts w:ascii="Verdana" w:eastAsia="Calibri" w:hAnsi="Verdana"/>
          <w:sz w:val="20"/>
          <w:szCs w:val="20"/>
          <w:lang w:val="en-US"/>
        </w:rPr>
        <w:t xml:space="preserve">to </w:t>
      </w:r>
      <w:r w:rsidRPr="00EA6C7A">
        <w:rPr>
          <w:rFonts w:ascii="Verdana" w:eastAsia="Calibri" w:hAnsi="Verdana"/>
          <w:sz w:val="20"/>
          <w:szCs w:val="20"/>
          <w:lang w:val="en-US"/>
        </w:rPr>
        <w:t>ensure the rights to life, personal safety</w:t>
      </w:r>
      <w:r w:rsidR="00365111" w:rsidRPr="00EA6C7A">
        <w:rPr>
          <w:rFonts w:ascii="Verdana" w:eastAsia="Calibri" w:hAnsi="Verdana"/>
          <w:sz w:val="20"/>
          <w:szCs w:val="20"/>
          <w:lang w:val="en-US"/>
        </w:rPr>
        <w:t xml:space="preserve"> and</w:t>
      </w:r>
      <w:r w:rsidRPr="00EA6C7A">
        <w:rPr>
          <w:rFonts w:ascii="Verdana" w:eastAsia="Calibri" w:hAnsi="Verdana"/>
          <w:sz w:val="20"/>
          <w:szCs w:val="20"/>
          <w:lang w:val="en-US"/>
        </w:rPr>
        <w:t xml:space="preserve"> justice within a reasonable time, and the right to effective judicial protection of </w:t>
      </w:r>
      <w:r w:rsidR="00F80F26" w:rsidRPr="00EA6C7A">
        <w:rPr>
          <w:rFonts w:ascii="Verdana" w:hAnsi="Verdana"/>
          <w:sz w:val="20"/>
          <w:szCs w:val="20"/>
          <w:lang w:val="en-US"/>
        </w:rPr>
        <w:t xml:space="preserve">Claudina Isabel Velásquez Paiz </w:t>
      </w:r>
      <w:r w:rsidRPr="00EA6C7A">
        <w:rPr>
          <w:rFonts w:ascii="Verdana" w:hAnsi="Verdana"/>
          <w:sz w:val="20"/>
          <w:szCs w:val="20"/>
          <w:lang w:val="en-US"/>
        </w:rPr>
        <w:t>and her next of kin,” as well as the “violation of the right to be treated with dignity and respect of the next of kin of the victim who are seeking justice.</w:t>
      </w:r>
      <w:r w:rsidR="00F80F26" w:rsidRPr="00EA6C7A">
        <w:rPr>
          <w:rFonts w:ascii="Verdana" w:hAnsi="Verdana"/>
          <w:sz w:val="20"/>
          <w:szCs w:val="20"/>
          <w:lang w:val="en-US"/>
        </w:rPr>
        <w:t>”</w:t>
      </w:r>
      <w:r w:rsidR="00825B22" w:rsidRPr="00EA6C7A">
        <w:rPr>
          <w:rStyle w:val="Refdenotaalpie"/>
          <w:rFonts w:ascii="Verdana" w:hAnsi="Verdana"/>
          <w:sz w:val="20"/>
          <w:szCs w:val="20"/>
          <w:lang w:val="en-US"/>
        </w:rPr>
        <w:footnoteReference w:id="15"/>
      </w:r>
      <w:r w:rsidRPr="00EA6C7A">
        <w:rPr>
          <w:rFonts w:ascii="Verdana" w:hAnsi="Verdana"/>
          <w:sz w:val="20"/>
          <w:szCs w:val="20"/>
          <w:lang w:val="en-US"/>
        </w:rPr>
        <w:t xml:space="preserve"> Moreover, it is </w:t>
      </w:r>
      <w:r w:rsidR="00365111" w:rsidRPr="00EA6C7A">
        <w:rPr>
          <w:rFonts w:ascii="Verdana" w:hAnsi="Verdana"/>
          <w:sz w:val="20"/>
          <w:szCs w:val="20"/>
          <w:lang w:val="en-US"/>
        </w:rPr>
        <w:t>admissible</w:t>
      </w:r>
      <w:r w:rsidRPr="00EA6C7A">
        <w:rPr>
          <w:rFonts w:ascii="Verdana" w:hAnsi="Verdana"/>
          <w:sz w:val="20"/>
          <w:szCs w:val="20"/>
          <w:lang w:val="en-US"/>
        </w:rPr>
        <w:t xml:space="preserve"> to </w:t>
      </w:r>
      <w:r w:rsidR="00365111" w:rsidRPr="00EA6C7A">
        <w:rPr>
          <w:rFonts w:ascii="Verdana" w:hAnsi="Verdana"/>
          <w:sz w:val="20"/>
          <w:szCs w:val="20"/>
          <w:lang w:val="en-US"/>
        </w:rPr>
        <w:t>take into consideration</w:t>
      </w:r>
      <w:r w:rsidRPr="00EA6C7A">
        <w:rPr>
          <w:rFonts w:ascii="Verdana" w:hAnsi="Verdana"/>
          <w:sz w:val="20"/>
          <w:szCs w:val="20"/>
          <w:lang w:val="en-US"/>
        </w:rPr>
        <w:t xml:space="preserve"> that, although the State indicated</w:t>
      </w:r>
      <w:r w:rsidR="00365111" w:rsidRPr="00EA6C7A">
        <w:rPr>
          <w:rFonts w:ascii="Verdana" w:hAnsi="Verdana"/>
          <w:sz w:val="20"/>
          <w:szCs w:val="20"/>
          <w:lang w:val="en-US"/>
        </w:rPr>
        <w:t>,</w:t>
      </w:r>
      <w:r w:rsidRPr="00EA6C7A">
        <w:rPr>
          <w:rFonts w:ascii="Verdana" w:hAnsi="Verdana"/>
          <w:sz w:val="20"/>
          <w:szCs w:val="20"/>
          <w:lang w:val="en-US"/>
        </w:rPr>
        <w:t xml:space="preserve"> in its brief of May 17, </w:t>
      </w:r>
      <w:r w:rsidR="004D6739" w:rsidRPr="00EA6C7A">
        <w:rPr>
          <w:rFonts w:ascii="Verdana" w:hAnsi="Verdana"/>
          <w:sz w:val="20"/>
          <w:szCs w:val="20"/>
          <w:lang w:val="en-US"/>
        </w:rPr>
        <w:t>2010,</w:t>
      </w:r>
      <w:r w:rsidR="00836CEB" w:rsidRPr="00EA6C7A">
        <w:rPr>
          <w:rFonts w:ascii="Verdana" w:hAnsi="Verdana"/>
          <w:sz w:val="20"/>
          <w:szCs w:val="20"/>
          <w:lang w:val="en-US"/>
        </w:rPr>
        <w:t xml:space="preserve"> </w:t>
      </w:r>
      <w:r w:rsidRPr="00EA6C7A">
        <w:rPr>
          <w:rFonts w:ascii="Verdana" w:hAnsi="Verdana"/>
          <w:sz w:val="20"/>
          <w:szCs w:val="20"/>
          <w:lang w:val="en-US"/>
        </w:rPr>
        <w:t xml:space="preserve">answering the initial petition, that domestic remedies had not been exhausted, it made no mention whatsoever </w:t>
      </w:r>
      <w:r w:rsidRPr="00EA6C7A">
        <w:rPr>
          <w:rFonts w:ascii="Verdana" w:hAnsi="Verdana"/>
          <w:sz w:val="20"/>
          <w:szCs w:val="20"/>
          <w:lang w:val="en-US"/>
        </w:rPr>
        <w:lastRenderedPageBreak/>
        <w:t>of the remedies that had not been exhausted and failed to prove that those that were available were adequate, appropriate and effective. Based on the foregoing, the Court rejects the</w:t>
      </w:r>
      <w:r w:rsidRPr="00EA6C7A">
        <w:rPr>
          <w:rFonts w:ascii="Verdana" w:eastAsia="Calibri" w:hAnsi="Verdana"/>
          <w:sz w:val="20"/>
          <w:szCs w:val="20"/>
          <w:lang w:val="en-US"/>
        </w:rPr>
        <w:t xml:space="preserve"> preliminary </w:t>
      </w:r>
      <w:r w:rsidR="004554C7" w:rsidRPr="00EA6C7A">
        <w:rPr>
          <w:rFonts w:ascii="Verdana" w:eastAsia="Calibri" w:hAnsi="Verdana"/>
          <w:sz w:val="20"/>
          <w:szCs w:val="20"/>
          <w:lang w:val="en-US" w:eastAsia="es-ES"/>
        </w:rPr>
        <w:t>objection</w:t>
      </w:r>
      <w:r w:rsidR="00DD21BA" w:rsidRPr="00EA6C7A">
        <w:rPr>
          <w:rFonts w:ascii="Verdana" w:eastAsia="Calibri" w:hAnsi="Verdana"/>
          <w:sz w:val="20"/>
          <w:szCs w:val="20"/>
          <w:lang w:val="en-US" w:eastAsia="es-ES"/>
        </w:rPr>
        <w:t xml:space="preserve"> </w:t>
      </w:r>
      <w:r w:rsidRPr="00EA6C7A">
        <w:rPr>
          <w:rFonts w:ascii="Verdana" w:eastAsia="Calibri" w:hAnsi="Verdana"/>
          <w:sz w:val="20"/>
          <w:szCs w:val="20"/>
          <w:lang w:val="en-US" w:eastAsia="es-ES"/>
        </w:rPr>
        <w:t>filed by</w:t>
      </w:r>
      <w:r w:rsidR="00DD21BA" w:rsidRPr="00EA6C7A">
        <w:rPr>
          <w:rFonts w:ascii="Verdana" w:eastAsia="Calibri" w:hAnsi="Verdana"/>
          <w:sz w:val="20"/>
          <w:szCs w:val="20"/>
          <w:lang w:val="en-US" w:eastAsia="es-ES"/>
        </w:rPr>
        <w:t xml:space="preserve"> </w:t>
      </w:r>
      <w:r w:rsidR="002F3848" w:rsidRPr="00EA6C7A">
        <w:rPr>
          <w:rFonts w:ascii="Verdana" w:eastAsia="Calibri" w:hAnsi="Verdana"/>
          <w:sz w:val="20"/>
          <w:szCs w:val="20"/>
          <w:lang w:val="en-US" w:eastAsia="es-ES"/>
        </w:rPr>
        <w:t>the State</w:t>
      </w:r>
      <w:r w:rsidR="00DD21BA" w:rsidRPr="00EA6C7A">
        <w:rPr>
          <w:rFonts w:ascii="Verdana" w:eastAsia="Calibri" w:hAnsi="Verdana"/>
          <w:sz w:val="20"/>
          <w:szCs w:val="20"/>
          <w:lang w:val="en-US" w:eastAsia="es-ES"/>
        </w:rPr>
        <w:t>.</w:t>
      </w:r>
      <w:r w:rsidR="00D77BA2" w:rsidRPr="00EA6C7A">
        <w:rPr>
          <w:rFonts w:ascii="Verdana" w:eastAsia="Calibri" w:hAnsi="Verdana"/>
          <w:sz w:val="20"/>
          <w:szCs w:val="20"/>
          <w:lang w:val="en-US" w:eastAsia="es-ES"/>
        </w:rPr>
        <w:t xml:space="preserve"> </w:t>
      </w:r>
    </w:p>
    <w:p w14:paraId="28F7AC3B" w14:textId="77777777" w:rsidR="006F6755" w:rsidRPr="00EA6C7A" w:rsidRDefault="006F6755" w:rsidP="00FC08EC">
      <w:pPr>
        <w:spacing w:after="0" w:line="240" w:lineRule="auto"/>
        <w:contextualSpacing/>
        <w:rPr>
          <w:rFonts w:ascii="Verdana" w:hAnsi="Verdana"/>
          <w:lang w:val="en-US"/>
        </w:rPr>
      </w:pPr>
    </w:p>
    <w:p w14:paraId="40970E54" w14:textId="77777777" w:rsidR="00165633" w:rsidRPr="00EA6C7A" w:rsidRDefault="00165633" w:rsidP="00026CB6">
      <w:pPr>
        <w:pStyle w:val="Sentencia1"/>
        <w:rPr>
          <w:lang w:val="en-US"/>
        </w:rPr>
      </w:pPr>
      <w:bookmarkStart w:id="25" w:name="_Toc431801379"/>
      <w:bookmarkStart w:id="26" w:name="_Toc431804747"/>
      <w:bookmarkStart w:id="27" w:name="_Toc431806174"/>
      <w:bookmarkStart w:id="28" w:name="_Toc432677750"/>
      <w:bookmarkStart w:id="29" w:name="_Toc437425651"/>
      <w:bookmarkStart w:id="30" w:name="_Toc26002295"/>
      <w:r w:rsidRPr="00EA6C7A">
        <w:rPr>
          <w:lang w:val="en-US"/>
        </w:rPr>
        <w:t>V</w:t>
      </w:r>
      <w:bookmarkEnd w:id="25"/>
      <w:bookmarkEnd w:id="26"/>
      <w:bookmarkEnd w:id="27"/>
      <w:bookmarkEnd w:id="28"/>
      <w:bookmarkEnd w:id="29"/>
      <w:bookmarkEnd w:id="30"/>
    </w:p>
    <w:p w14:paraId="7E0D7D82" w14:textId="77777777" w:rsidR="00165633" w:rsidRPr="00EA6C7A" w:rsidRDefault="008524CB" w:rsidP="00026CB6">
      <w:pPr>
        <w:pStyle w:val="Sentencia1"/>
        <w:rPr>
          <w:lang w:val="en-US"/>
        </w:rPr>
      </w:pPr>
      <w:bookmarkStart w:id="31" w:name="_Toc26002296"/>
      <w:r w:rsidRPr="00EA6C7A">
        <w:rPr>
          <w:lang w:val="en-US"/>
        </w:rPr>
        <w:t>EVIDENCE</w:t>
      </w:r>
      <w:bookmarkEnd w:id="31"/>
    </w:p>
    <w:p w14:paraId="6694F1FD" w14:textId="77777777" w:rsidR="00165633" w:rsidRPr="00EA6C7A" w:rsidRDefault="00165633" w:rsidP="00FC08EC">
      <w:pPr>
        <w:keepNext/>
        <w:keepLines/>
        <w:spacing w:after="0" w:line="240" w:lineRule="auto"/>
        <w:contextualSpacing/>
        <w:outlineLvl w:val="1"/>
        <w:rPr>
          <w:rFonts w:ascii="Verdana" w:eastAsia="Calibri" w:hAnsi="Verdana"/>
          <w:i/>
          <w:sz w:val="20"/>
          <w:szCs w:val="20"/>
          <w:lang w:val="en-US" w:eastAsia="es-ES"/>
        </w:rPr>
      </w:pPr>
    </w:p>
    <w:p w14:paraId="7B146A39" w14:textId="77777777" w:rsidR="00165633" w:rsidRPr="00EA6C7A" w:rsidRDefault="001E0BF3" w:rsidP="00E11A7C">
      <w:pPr>
        <w:pStyle w:val="Sentencia2"/>
        <w:numPr>
          <w:ilvl w:val="7"/>
          <w:numId w:val="2"/>
        </w:numPr>
        <w:ind w:left="0" w:firstLine="0"/>
        <w:rPr>
          <w:lang w:val="en-US" w:eastAsia="es-ES"/>
        </w:rPr>
      </w:pPr>
      <w:bookmarkStart w:id="32" w:name="_Toc26002297"/>
      <w:r w:rsidRPr="00EA6C7A">
        <w:rPr>
          <w:lang w:val="en-US" w:eastAsia="es-ES"/>
        </w:rPr>
        <w:t>Documentary, testimonial and expert evidence</w:t>
      </w:r>
      <w:bookmarkEnd w:id="32"/>
    </w:p>
    <w:p w14:paraId="593BFB73" w14:textId="77777777" w:rsidR="00165633" w:rsidRPr="00EA6C7A" w:rsidRDefault="00165633" w:rsidP="00FC08EC">
      <w:pPr>
        <w:spacing w:after="0" w:line="240" w:lineRule="auto"/>
        <w:ind w:right="18"/>
        <w:contextualSpacing/>
        <w:jc w:val="both"/>
        <w:rPr>
          <w:rFonts w:ascii="Verdana" w:eastAsia="Calibri" w:hAnsi="Verdana" w:cs="Arial"/>
          <w:sz w:val="16"/>
          <w:szCs w:val="20"/>
          <w:lang w:val="en-US" w:eastAsia="es-ES"/>
        </w:rPr>
      </w:pPr>
    </w:p>
    <w:p w14:paraId="6D2A5699" w14:textId="77777777" w:rsidR="00165633" w:rsidRPr="00EA6C7A" w:rsidRDefault="00A72E15" w:rsidP="00E11A7C">
      <w:pPr>
        <w:pStyle w:val="Prrafodelista"/>
        <w:numPr>
          <w:ilvl w:val="0"/>
          <w:numId w:val="3"/>
        </w:numPr>
        <w:spacing w:after="0" w:line="240" w:lineRule="auto"/>
        <w:ind w:left="0" w:hanging="11"/>
        <w:jc w:val="both"/>
        <w:rPr>
          <w:rFonts w:ascii="Verdana" w:hAnsi="Verdana"/>
          <w:bCs/>
          <w:sz w:val="20"/>
          <w:szCs w:val="20"/>
          <w:lang w:val="en-US"/>
        </w:rPr>
      </w:pPr>
      <w:r w:rsidRPr="00EA6C7A">
        <w:rPr>
          <w:rFonts w:ascii="Verdana" w:hAnsi="Verdana"/>
          <w:sz w:val="20"/>
          <w:szCs w:val="20"/>
          <w:lang w:val="en-US"/>
        </w:rPr>
        <w:t>The Court has received various documents submitted as evidence by</w:t>
      </w:r>
      <w:r w:rsidR="00165633" w:rsidRPr="00EA6C7A">
        <w:rPr>
          <w:rFonts w:ascii="Verdana" w:hAnsi="Verdana"/>
          <w:sz w:val="20"/>
          <w:szCs w:val="20"/>
          <w:lang w:val="en-US"/>
        </w:rPr>
        <w:t xml:space="preserve"> </w:t>
      </w:r>
      <w:r w:rsidR="0096418F" w:rsidRPr="00EA6C7A">
        <w:rPr>
          <w:rFonts w:ascii="Verdana" w:hAnsi="Verdana"/>
          <w:sz w:val="20"/>
          <w:szCs w:val="20"/>
          <w:lang w:val="en-US"/>
        </w:rPr>
        <w:t>the Commission</w:t>
      </w:r>
      <w:r w:rsidR="00165633" w:rsidRPr="00EA6C7A">
        <w:rPr>
          <w:rFonts w:ascii="Verdana" w:hAnsi="Verdana"/>
          <w:sz w:val="20"/>
          <w:szCs w:val="20"/>
          <w:lang w:val="en-US"/>
        </w:rPr>
        <w:t xml:space="preserve"> </w:t>
      </w:r>
      <w:r w:rsidRPr="00EA6C7A">
        <w:rPr>
          <w:rFonts w:ascii="Verdana" w:hAnsi="Verdana"/>
          <w:sz w:val="20"/>
          <w:szCs w:val="20"/>
          <w:lang w:val="en-US"/>
        </w:rPr>
        <w:t xml:space="preserve">and the parties attached to their main briefs </w:t>
      </w:r>
      <w:r w:rsidR="00165633" w:rsidRPr="00EA6C7A">
        <w:rPr>
          <w:rFonts w:ascii="Verdana" w:hAnsi="Verdana"/>
          <w:sz w:val="20"/>
          <w:szCs w:val="20"/>
          <w:lang w:val="en-US"/>
        </w:rPr>
        <w:t>(</w:t>
      </w:r>
      <w:r w:rsidR="00165633" w:rsidRPr="00EA6C7A">
        <w:rPr>
          <w:rFonts w:ascii="Verdana" w:hAnsi="Verdana"/>
          <w:i/>
          <w:sz w:val="20"/>
          <w:szCs w:val="20"/>
          <w:lang w:val="en-US"/>
        </w:rPr>
        <w:t xml:space="preserve">supra </w:t>
      </w:r>
      <w:r w:rsidR="008524CB" w:rsidRPr="00EA6C7A">
        <w:rPr>
          <w:rFonts w:ascii="Verdana" w:hAnsi="Verdana"/>
          <w:sz w:val="20"/>
          <w:szCs w:val="20"/>
          <w:lang w:val="en-US"/>
        </w:rPr>
        <w:t>paras.</w:t>
      </w:r>
      <w:r w:rsidR="00165633" w:rsidRPr="00EA6C7A">
        <w:rPr>
          <w:rFonts w:ascii="Verdana" w:hAnsi="Verdana"/>
          <w:sz w:val="20"/>
          <w:szCs w:val="20"/>
          <w:lang w:val="en-US"/>
        </w:rPr>
        <w:t xml:space="preserve"> </w:t>
      </w:r>
      <w:r w:rsidR="00585974" w:rsidRPr="00EA6C7A">
        <w:rPr>
          <w:rFonts w:ascii="Verdana" w:hAnsi="Verdana"/>
          <w:sz w:val="20"/>
          <w:szCs w:val="20"/>
          <w:lang w:val="en-US"/>
        </w:rPr>
        <w:t xml:space="preserve">4, 7 </w:t>
      </w:r>
      <w:r w:rsidRPr="00EA6C7A">
        <w:rPr>
          <w:rFonts w:ascii="Verdana" w:hAnsi="Verdana"/>
          <w:sz w:val="20"/>
          <w:szCs w:val="20"/>
          <w:lang w:val="en-US"/>
        </w:rPr>
        <w:t>and</w:t>
      </w:r>
      <w:r w:rsidR="00585974" w:rsidRPr="00EA6C7A">
        <w:rPr>
          <w:rFonts w:ascii="Verdana" w:hAnsi="Verdana"/>
          <w:sz w:val="20"/>
          <w:szCs w:val="20"/>
          <w:lang w:val="en-US"/>
        </w:rPr>
        <w:t xml:space="preserve"> 8). </w:t>
      </w:r>
      <w:r w:rsidRPr="00EA6C7A">
        <w:rPr>
          <w:rFonts w:ascii="Verdana" w:hAnsi="Verdana"/>
          <w:sz w:val="20"/>
          <w:szCs w:val="20"/>
          <w:lang w:val="en-US"/>
        </w:rPr>
        <w:t>The</w:t>
      </w:r>
      <w:r w:rsidR="0096418F" w:rsidRPr="00EA6C7A">
        <w:rPr>
          <w:rFonts w:ascii="Verdana" w:hAnsi="Verdana"/>
          <w:sz w:val="20"/>
          <w:szCs w:val="20"/>
          <w:lang w:val="en-US"/>
        </w:rPr>
        <w:t xml:space="preserve"> </w:t>
      </w:r>
      <w:r w:rsidRPr="00EA6C7A">
        <w:rPr>
          <w:rFonts w:ascii="Verdana" w:hAnsi="Verdana"/>
          <w:sz w:val="20"/>
          <w:szCs w:val="20"/>
          <w:lang w:val="en-US"/>
        </w:rPr>
        <w:t xml:space="preserve"> has also received from the State documents requested as helpful evidence pursuant to </w:t>
      </w:r>
      <w:r w:rsidR="0096418F" w:rsidRPr="00EA6C7A">
        <w:rPr>
          <w:rFonts w:ascii="Verdana" w:hAnsi="Verdana"/>
          <w:sz w:val="20"/>
          <w:szCs w:val="20"/>
          <w:lang w:val="en-US"/>
        </w:rPr>
        <w:t>Article</w:t>
      </w:r>
      <w:r w:rsidR="00165633" w:rsidRPr="00EA6C7A">
        <w:rPr>
          <w:rFonts w:ascii="Verdana" w:hAnsi="Verdana"/>
          <w:sz w:val="20"/>
          <w:szCs w:val="20"/>
          <w:lang w:val="en-US"/>
        </w:rPr>
        <w:t xml:space="preserve"> 58</w:t>
      </w:r>
      <w:r w:rsidR="0096418F" w:rsidRPr="00EA6C7A">
        <w:rPr>
          <w:rFonts w:ascii="Verdana" w:hAnsi="Verdana"/>
          <w:sz w:val="20"/>
          <w:szCs w:val="20"/>
          <w:lang w:val="en-US"/>
        </w:rPr>
        <w:t xml:space="preserve"> of the Rules of Procedure</w:t>
      </w:r>
      <w:r w:rsidR="008D443C" w:rsidRPr="00EA6C7A">
        <w:rPr>
          <w:rFonts w:ascii="Verdana" w:hAnsi="Verdana"/>
          <w:sz w:val="20"/>
          <w:szCs w:val="20"/>
          <w:lang w:val="en-US"/>
        </w:rPr>
        <w:t xml:space="preserve"> (</w:t>
      </w:r>
      <w:r w:rsidR="008D443C" w:rsidRPr="00EA6C7A">
        <w:rPr>
          <w:rFonts w:ascii="Verdana" w:hAnsi="Verdana"/>
          <w:i/>
          <w:sz w:val="20"/>
          <w:szCs w:val="20"/>
          <w:lang w:val="en-US"/>
        </w:rPr>
        <w:t>supra</w:t>
      </w:r>
      <w:r w:rsidR="008D443C" w:rsidRPr="00EA6C7A">
        <w:rPr>
          <w:rFonts w:ascii="Verdana" w:hAnsi="Verdana"/>
          <w:sz w:val="20"/>
          <w:szCs w:val="20"/>
          <w:lang w:val="en-US"/>
        </w:rPr>
        <w:t xml:space="preserve"> </w:t>
      </w:r>
      <w:r w:rsidR="002F3848" w:rsidRPr="00EA6C7A">
        <w:rPr>
          <w:rFonts w:ascii="Verdana" w:hAnsi="Verdana"/>
          <w:sz w:val="20"/>
          <w:szCs w:val="20"/>
          <w:lang w:val="en-US"/>
        </w:rPr>
        <w:t>para.</w:t>
      </w:r>
      <w:r w:rsidR="008D443C" w:rsidRPr="00EA6C7A">
        <w:rPr>
          <w:rFonts w:ascii="Verdana" w:hAnsi="Verdana"/>
          <w:sz w:val="20"/>
          <w:szCs w:val="20"/>
          <w:lang w:val="en-US"/>
        </w:rPr>
        <w:t xml:space="preserve"> 11)</w:t>
      </w:r>
      <w:r w:rsidR="00165633" w:rsidRPr="00EA6C7A">
        <w:rPr>
          <w:rFonts w:ascii="Verdana" w:hAnsi="Verdana"/>
          <w:sz w:val="20"/>
          <w:szCs w:val="20"/>
          <w:lang w:val="en-US"/>
        </w:rPr>
        <w:t xml:space="preserve">. </w:t>
      </w:r>
      <w:r w:rsidRPr="00EA6C7A">
        <w:rPr>
          <w:rFonts w:ascii="Verdana" w:hAnsi="Verdana"/>
          <w:sz w:val="20"/>
          <w:szCs w:val="20"/>
          <w:lang w:val="en-US"/>
        </w:rPr>
        <w:t xml:space="preserve">In addition, </w:t>
      </w:r>
      <w:r w:rsidR="0096418F" w:rsidRPr="00EA6C7A">
        <w:rPr>
          <w:rFonts w:ascii="Verdana" w:hAnsi="Verdana"/>
          <w:sz w:val="20"/>
          <w:szCs w:val="20"/>
          <w:lang w:val="en-US"/>
        </w:rPr>
        <w:t>the Court</w:t>
      </w:r>
      <w:r w:rsidR="00165633" w:rsidRPr="00EA6C7A">
        <w:rPr>
          <w:rFonts w:ascii="Verdana" w:hAnsi="Verdana"/>
          <w:sz w:val="20"/>
          <w:szCs w:val="20"/>
          <w:lang w:val="en-US"/>
        </w:rPr>
        <w:t xml:space="preserve"> </w:t>
      </w:r>
      <w:r w:rsidRPr="00EA6C7A">
        <w:rPr>
          <w:rFonts w:ascii="Verdana" w:hAnsi="Verdana"/>
          <w:sz w:val="20"/>
          <w:szCs w:val="20"/>
          <w:lang w:val="en-US"/>
        </w:rPr>
        <w:t xml:space="preserve">has received the affidavits of </w:t>
      </w:r>
      <w:r w:rsidR="00E43A75" w:rsidRPr="00EA6C7A">
        <w:rPr>
          <w:rFonts w:ascii="Verdana" w:hAnsi="Verdana"/>
          <w:sz w:val="20"/>
          <w:szCs w:val="20"/>
          <w:lang w:val="en-US"/>
        </w:rPr>
        <w:t>presumed victims</w:t>
      </w:r>
      <w:r w:rsidR="00165633" w:rsidRPr="00EA6C7A">
        <w:rPr>
          <w:rFonts w:ascii="Verdana" w:hAnsi="Verdana"/>
          <w:sz w:val="20"/>
          <w:szCs w:val="20"/>
          <w:lang w:val="en-US"/>
        </w:rPr>
        <w:t xml:space="preserve"> </w:t>
      </w:r>
      <w:r w:rsidR="00165633" w:rsidRPr="00EA6C7A">
        <w:rPr>
          <w:rFonts w:ascii="Verdana" w:hAnsi="Verdana"/>
          <w:bCs/>
          <w:sz w:val="20"/>
          <w:szCs w:val="20"/>
          <w:lang w:val="en-US"/>
        </w:rPr>
        <w:t xml:space="preserve">Elsa Claudina Paiz Vidal </w:t>
      </w:r>
      <w:r w:rsidRPr="00EA6C7A">
        <w:rPr>
          <w:rFonts w:ascii="Verdana" w:hAnsi="Verdana"/>
          <w:bCs/>
          <w:sz w:val="20"/>
          <w:szCs w:val="20"/>
          <w:lang w:val="en-US"/>
        </w:rPr>
        <w:t>and</w:t>
      </w:r>
      <w:r w:rsidR="00165633" w:rsidRPr="00EA6C7A">
        <w:rPr>
          <w:rFonts w:ascii="Verdana" w:hAnsi="Verdana"/>
          <w:bCs/>
          <w:sz w:val="20"/>
          <w:szCs w:val="20"/>
          <w:lang w:val="en-US"/>
        </w:rPr>
        <w:t xml:space="preserve"> Pablo Andrés Velásquez Paiz, </w:t>
      </w:r>
      <w:r w:rsidRPr="00EA6C7A">
        <w:rPr>
          <w:rFonts w:ascii="Verdana" w:hAnsi="Verdana"/>
          <w:bCs/>
          <w:sz w:val="20"/>
          <w:szCs w:val="20"/>
          <w:lang w:val="en-US"/>
        </w:rPr>
        <w:t>witness</w:t>
      </w:r>
      <w:r w:rsidR="00165633" w:rsidRPr="00EA6C7A">
        <w:rPr>
          <w:rFonts w:ascii="Verdana" w:hAnsi="Verdana"/>
          <w:bCs/>
          <w:sz w:val="20"/>
          <w:szCs w:val="20"/>
          <w:lang w:val="en-US"/>
        </w:rPr>
        <w:t xml:space="preserve"> Andrea Cristina Utrera Martínez, </w:t>
      </w:r>
      <w:r w:rsidRPr="00EA6C7A">
        <w:rPr>
          <w:rFonts w:ascii="Verdana" w:hAnsi="Verdana"/>
          <w:bCs/>
          <w:sz w:val="20"/>
          <w:szCs w:val="20"/>
          <w:lang w:val="en-US"/>
        </w:rPr>
        <w:t xml:space="preserve">and expert witnesses </w:t>
      </w:r>
      <w:r w:rsidR="00165633" w:rsidRPr="00EA6C7A">
        <w:rPr>
          <w:rFonts w:ascii="Verdana" w:hAnsi="Verdana"/>
          <w:sz w:val="20"/>
          <w:szCs w:val="20"/>
          <w:lang w:val="en-US"/>
        </w:rPr>
        <w:t xml:space="preserve">Karen Musalo </w:t>
      </w:r>
      <w:r w:rsidRPr="00EA6C7A">
        <w:rPr>
          <w:rFonts w:ascii="Verdana" w:hAnsi="Verdana"/>
          <w:sz w:val="20"/>
          <w:szCs w:val="20"/>
          <w:lang w:val="en-US"/>
        </w:rPr>
        <w:t>and</w:t>
      </w:r>
      <w:r w:rsidR="00165633" w:rsidRPr="00EA6C7A">
        <w:rPr>
          <w:rFonts w:ascii="Verdana" w:hAnsi="Verdana"/>
          <w:sz w:val="20"/>
          <w:szCs w:val="20"/>
          <w:lang w:val="en-US"/>
        </w:rPr>
        <w:t xml:space="preserve"> Alberto Bovino, </w:t>
      </w:r>
      <w:r w:rsidRPr="00EA6C7A">
        <w:rPr>
          <w:rFonts w:ascii="Verdana" w:hAnsi="Verdana"/>
          <w:sz w:val="20"/>
          <w:szCs w:val="20"/>
          <w:lang w:val="en-US"/>
        </w:rPr>
        <w:t>all offered by</w:t>
      </w:r>
      <w:r w:rsidR="00165633" w:rsidRPr="00EA6C7A">
        <w:rPr>
          <w:rFonts w:ascii="Verdana" w:hAnsi="Verdana"/>
          <w:bCs/>
          <w:sz w:val="20"/>
          <w:szCs w:val="20"/>
          <w:lang w:val="en-US"/>
        </w:rPr>
        <w:t xml:space="preserve"> </w:t>
      </w:r>
      <w:r w:rsidR="00E43A75" w:rsidRPr="00EA6C7A">
        <w:rPr>
          <w:rFonts w:ascii="Verdana" w:hAnsi="Verdana"/>
          <w:bCs/>
          <w:sz w:val="20"/>
          <w:szCs w:val="20"/>
          <w:lang w:val="en-US"/>
        </w:rPr>
        <w:t>the representatives</w:t>
      </w:r>
      <w:r w:rsidRPr="00EA6C7A">
        <w:rPr>
          <w:rFonts w:ascii="Verdana" w:hAnsi="Verdana"/>
          <w:bCs/>
          <w:sz w:val="20"/>
          <w:szCs w:val="20"/>
          <w:lang w:val="en-US"/>
        </w:rPr>
        <w:t>.</w:t>
      </w:r>
      <w:r w:rsidR="00C404AB" w:rsidRPr="00EA6C7A">
        <w:rPr>
          <w:rStyle w:val="Refdenotaalpie"/>
          <w:rFonts w:ascii="Verdana" w:hAnsi="Verdana"/>
          <w:sz w:val="20"/>
          <w:szCs w:val="20"/>
          <w:lang w:val="en-US"/>
        </w:rPr>
        <w:footnoteReference w:id="16"/>
      </w:r>
      <w:r w:rsidR="00165633" w:rsidRPr="00EA6C7A">
        <w:rPr>
          <w:rFonts w:ascii="Verdana" w:hAnsi="Verdana"/>
          <w:bCs/>
          <w:sz w:val="20"/>
          <w:szCs w:val="20"/>
          <w:lang w:val="en-US"/>
        </w:rPr>
        <w:t xml:space="preserve"> </w:t>
      </w:r>
      <w:r w:rsidRPr="00EA6C7A">
        <w:rPr>
          <w:rFonts w:ascii="Verdana" w:hAnsi="Verdana"/>
          <w:bCs/>
          <w:sz w:val="20"/>
          <w:szCs w:val="20"/>
          <w:lang w:val="en-US"/>
        </w:rPr>
        <w:t xml:space="preserve">It has received the opinions of expert witnesses </w:t>
      </w:r>
      <w:r w:rsidRPr="00EA6C7A">
        <w:rPr>
          <w:rFonts w:ascii="Verdana" w:hAnsi="Verdana" w:cs="Arial"/>
          <w:sz w:val="20"/>
          <w:szCs w:val="20"/>
          <w:lang w:val="en-US"/>
        </w:rPr>
        <w:t xml:space="preserve">Paloma Soria Montañez and </w:t>
      </w:r>
      <w:r w:rsidRPr="00EA6C7A">
        <w:rPr>
          <w:rFonts w:ascii="Verdana" w:hAnsi="Verdana"/>
          <w:sz w:val="20"/>
          <w:szCs w:val="20"/>
          <w:lang w:val="en-US"/>
        </w:rPr>
        <w:t>Christine Mary Chinkin offered by</w:t>
      </w:r>
      <w:r w:rsidR="0096418F" w:rsidRPr="00EA6C7A">
        <w:rPr>
          <w:rFonts w:ascii="Verdana" w:hAnsi="Verdana"/>
          <w:bCs/>
          <w:sz w:val="20"/>
          <w:szCs w:val="20"/>
          <w:lang w:val="en-US"/>
        </w:rPr>
        <w:t xml:space="preserve"> the Commission</w:t>
      </w:r>
      <w:r w:rsidR="00165633" w:rsidRPr="00EA6C7A">
        <w:rPr>
          <w:rFonts w:ascii="Verdana" w:hAnsi="Verdana"/>
          <w:sz w:val="20"/>
          <w:szCs w:val="20"/>
          <w:lang w:val="en-US"/>
        </w:rPr>
        <w:t>. I</w:t>
      </w:r>
      <w:r w:rsidRPr="00EA6C7A">
        <w:rPr>
          <w:rFonts w:ascii="Verdana" w:hAnsi="Verdana"/>
          <w:sz w:val="20"/>
          <w:szCs w:val="20"/>
          <w:lang w:val="en-US"/>
        </w:rPr>
        <w:t xml:space="preserve">t has also received the statement of the witness offered by </w:t>
      </w:r>
      <w:r w:rsidR="002F3848" w:rsidRPr="00EA6C7A">
        <w:rPr>
          <w:rFonts w:ascii="Verdana" w:hAnsi="Verdana"/>
          <w:sz w:val="20"/>
          <w:szCs w:val="20"/>
          <w:lang w:val="en-US"/>
        </w:rPr>
        <w:t>the State</w:t>
      </w:r>
      <w:r w:rsidRPr="00EA6C7A">
        <w:rPr>
          <w:rFonts w:ascii="Verdana" w:hAnsi="Verdana"/>
          <w:sz w:val="20"/>
          <w:szCs w:val="20"/>
          <w:lang w:val="en-US"/>
        </w:rPr>
        <w:t>, Víctor Manuel Boror</w:t>
      </w:r>
      <w:r w:rsidR="00D5307F" w:rsidRPr="00EA6C7A">
        <w:rPr>
          <w:rFonts w:ascii="Verdana" w:hAnsi="Verdana"/>
          <w:sz w:val="20"/>
          <w:szCs w:val="20"/>
          <w:lang w:val="en-US"/>
        </w:rPr>
        <w:t xml:space="preserve"> </w:t>
      </w:r>
      <w:r w:rsidR="00B15877" w:rsidRPr="00EA6C7A">
        <w:rPr>
          <w:rFonts w:ascii="Verdana" w:hAnsi="Verdana"/>
          <w:sz w:val="20"/>
          <w:szCs w:val="20"/>
          <w:lang w:val="en-US"/>
        </w:rPr>
        <w:t>de la</w:t>
      </w:r>
      <w:r w:rsidR="00D5307F" w:rsidRPr="00EA6C7A">
        <w:rPr>
          <w:rFonts w:ascii="Verdana" w:hAnsi="Verdana"/>
          <w:sz w:val="20"/>
          <w:szCs w:val="20"/>
          <w:lang w:val="en-US"/>
        </w:rPr>
        <w:t xml:space="preserve"> </w:t>
      </w:r>
      <w:r w:rsidRPr="00EA6C7A">
        <w:rPr>
          <w:rFonts w:ascii="Verdana" w:hAnsi="Verdana"/>
          <w:sz w:val="20"/>
          <w:szCs w:val="20"/>
          <w:lang w:val="en-US"/>
        </w:rPr>
        <w:t>Rosa.</w:t>
      </w:r>
      <w:r w:rsidR="00165633" w:rsidRPr="00EA6C7A">
        <w:rPr>
          <w:rFonts w:ascii="Verdana" w:hAnsi="Verdana"/>
          <w:sz w:val="20"/>
          <w:szCs w:val="20"/>
          <w:lang w:val="en-US"/>
        </w:rPr>
        <w:t xml:space="preserve"> </w:t>
      </w:r>
      <w:r w:rsidRPr="00EA6C7A">
        <w:rPr>
          <w:rFonts w:ascii="Verdana" w:hAnsi="Verdana"/>
          <w:sz w:val="20"/>
          <w:szCs w:val="20"/>
          <w:lang w:val="en-US"/>
        </w:rPr>
        <w:t xml:space="preserve">Regarding the evidence provided during the </w:t>
      </w:r>
      <w:r w:rsidR="00E43A75" w:rsidRPr="00EA6C7A">
        <w:rPr>
          <w:rFonts w:ascii="Verdana" w:hAnsi="Verdana" w:cs="Arial"/>
          <w:sz w:val="20"/>
          <w:szCs w:val="20"/>
          <w:lang w:val="en-US"/>
        </w:rPr>
        <w:t>public hearing</w:t>
      </w:r>
      <w:r w:rsidR="00165633" w:rsidRPr="00EA6C7A">
        <w:rPr>
          <w:rFonts w:ascii="Verdana" w:hAnsi="Verdana" w:cs="Arial"/>
          <w:sz w:val="20"/>
          <w:szCs w:val="20"/>
          <w:lang w:val="en-US"/>
        </w:rPr>
        <w:t xml:space="preserve">, </w:t>
      </w:r>
      <w:r w:rsidR="0096418F" w:rsidRPr="00EA6C7A">
        <w:rPr>
          <w:rFonts w:ascii="Verdana" w:hAnsi="Verdana" w:cs="Arial"/>
          <w:sz w:val="20"/>
          <w:szCs w:val="20"/>
          <w:lang w:val="en-US"/>
        </w:rPr>
        <w:t>the Court</w:t>
      </w:r>
      <w:r w:rsidR="00165633" w:rsidRPr="00EA6C7A">
        <w:rPr>
          <w:rFonts w:ascii="Verdana" w:hAnsi="Verdana" w:cs="Arial"/>
          <w:sz w:val="20"/>
          <w:szCs w:val="20"/>
          <w:lang w:val="en-US"/>
        </w:rPr>
        <w:t xml:space="preserve"> </w:t>
      </w:r>
      <w:r w:rsidR="00502650" w:rsidRPr="00EA6C7A">
        <w:rPr>
          <w:rFonts w:ascii="Verdana" w:hAnsi="Verdana" w:cs="Arial"/>
          <w:sz w:val="20"/>
          <w:szCs w:val="20"/>
          <w:lang w:val="en-US"/>
        </w:rPr>
        <w:t>heard</w:t>
      </w:r>
      <w:r w:rsidRPr="00EA6C7A">
        <w:rPr>
          <w:rFonts w:ascii="Verdana" w:hAnsi="Verdana" w:cs="Arial"/>
          <w:sz w:val="20"/>
          <w:szCs w:val="20"/>
          <w:lang w:val="en-US"/>
        </w:rPr>
        <w:t xml:space="preserve"> the statement of</w:t>
      </w:r>
      <w:r w:rsidR="00E43A75" w:rsidRPr="00EA6C7A">
        <w:rPr>
          <w:rFonts w:ascii="Verdana" w:hAnsi="Verdana" w:cs="Arial"/>
          <w:sz w:val="20"/>
          <w:szCs w:val="20"/>
          <w:lang w:val="en-US"/>
        </w:rPr>
        <w:t xml:space="preserve"> presumed victim</w:t>
      </w:r>
      <w:r w:rsidR="00165633" w:rsidRPr="00EA6C7A">
        <w:rPr>
          <w:rFonts w:ascii="Verdana" w:hAnsi="Verdana" w:cs="Arial"/>
          <w:sz w:val="20"/>
          <w:szCs w:val="20"/>
          <w:lang w:val="en-US"/>
        </w:rPr>
        <w:t xml:space="preserve"> </w:t>
      </w:r>
      <w:r w:rsidR="00165633" w:rsidRPr="00EA6C7A">
        <w:rPr>
          <w:rFonts w:ascii="Verdana" w:hAnsi="Verdana"/>
          <w:bCs/>
          <w:sz w:val="20"/>
          <w:szCs w:val="20"/>
          <w:lang w:val="en-US"/>
        </w:rPr>
        <w:t>Jorge Rolando Velásquez Durán</w:t>
      </w:r>
      <w:r w:rsidR="00165633" w:rsidRPr="00EA6C7A">
        <w:rPr>
          <w:rFonts w:ascii="Verdana" w:hAnsi="Verdana"/>
          <w:sz w:val="20"/>
          <w:szCs w:val="20"/>
          <w:lang w:val="en-US"/>
        </w:rPr>
        <w:t xml:space="preserve"> </w:t>
      </w:r>
      <w:r w:rsidRPr="00EA6C7A">
        <w:rPr>
          <w:rFonts w:ascii="Verdana" w:hAnsi="Verdana"/>
          <w:sz w:val="20"/>
          <w:szCs w:val="20"/>
          <w:lang w:val="en-US"/>
        </w:rPr>
        <w:t xml:space="preserve">and the opinion of expert witness </w:t>
      </w:r>
      <w:r w:rsidR="00165633" w:rsidRPr="00EA6C7A">
        <w:rPr>
          <w:rFonts w:ascii="Verdana" w:hAnsi="Verdana"/>
          <w:sz w:val="20"/>
          <w:szCs w:val="20"/>
          <w:lang w:val="en-US"/>
        </w:rPr>
        <w:t>Claudia González Orellana</w:t>
      </w:r>
      <w:r w:rsidRPr="00EA6C7A">
        <w:rPr>
          <w:rFonts w:ascii="Verdana" w:hAnsi="Verdana"/>
          <w:sz w:val="20"/>
          <w:szCs w:val="20"/>
          <w:lang w:val="en-US"/>
        </w:rPr>
        <w:t>,</w:t>
      </w:r>
      <w:r w:rsidR="00B953B3" w:rsidRPr="00EA6C7A">
        <w:rPr>
          <w:rStyle w:val="Refdenotaalpie"/>
          <w:rFonts w:ascii="Verdana" w:hAnsi="Verdana"/>
          <w:sz w:val="20"/>
          <w:szCs w:val="20"/>
          <w:lang w:val="en-US"/>
        </w:rPr>
        <w:footnoteReference w:id="17"/>
      </w:r>
      <w:r w:rsidR="00000070" w:rsidRPr="00EA6C7A">
        <w:rPr>
          <w:rFonts w:ascii="Verdana" w:hAnsi="Verdana"/>
          <w:sz w:val="20"/>
          <w:szCs w:val="20"/>
          <w:lang w:val="en-US"/>
        </w:rPr>
        <w:t xml:space="preserve"> both offered by </w:t>
      </w:r>
      <w:r w:rsidR="00165633" w:rsidRPr="00EA6C7A">
        <w:rPr>
          <w:rFonts w:ascii="Verdana" w:hAnsi="Verdana"/>
          <w:sz w:val="20"/>
          <w:szCs w:val="20"/>
          <w:lang w:val="en-US"/>
        </w:rPr>
        <w:t xml:space="preserve"> </w:t>
      </w:r>
      <w:r w:rsidR="00E43A75" w:rsidRPr="00EA6C7A">
        <w:rPr>
          <w:rFonts w:ascii="Verdana" w:hAnsi="Verdana"/>
          <w:sz w:val="20"/>
          <w:szCs w:val="20"/>
          <w:lang w:val="en-US"/>
        </w:rPr>
        <w:t>the representatives</w:t>
      </w:r>
      <w:r w:rsidR="00165633" w:rsidRPr="00EA6C7A">
        <w:rPr>
          <w:rFonts w:ascii="Verdana" w:hAnsi="Verdana"/>
          <w:sz w:val="20"/>
          <w:szCs w:val="20"/>
          <w:lang w:val="en-US"/>
        </w:rPr>
        <w:t xml:space="preserve">. </w:t>
      </w:r>
      <w:r w:rsidR="00000070" w:rsidRPr="00EA6C7A">
        <w:rPr>
          <w:rFonts w:ascii="Verdana" w:hAnsi="Verdana"/>
          <w:sz w:val="20"/>
          <w:szCs w:val="20"/>
          <w:lang w:val="en-US"/>
        </w:rPr>
        <w:t>Lastly</w:t>
      </w:r>
      <w:r w:rsidR="00165633" w:rsidRPr="00EA6C7A">
        <w:rPr>
          <w:rFonts w:ascii="Verdana" w:hAnsi="Verdana" w:cs="Arial"/>
          <w:sz w:val="20"/>
          <w:szCs w:val="20"/>
          <w:lang w:val="en-US" w:eastAsia="es-ES"/>
        </w:rPr>
        <w:t xml:space="preserve">, </w:t>
      </w:r>
      <w:r w:rsidR="0096418F" w:rsidRPr="00EA6C7A">
        <w:rPr>
          <w:rFonts w:ascii="Verdana" w:hAnsi="Verdana" w:cs="Arial"/>
          <w:sz w:val="20"/>
          <w:szCs w:val="20"/>
          <w:lang w:val="en-US" w:eastAsia="es-ES"/>
        </w:rPr>
        <w:t>the Court</w:t>
      </w:r>
      <w:r w:rsidR="00165633" w:rsidRPr="00EA6C7A">
        <w:rPr>
          <w:rFonts w:ascii="Verdana" w:hAnsi="Verdana" w:cs="Arial"/>
          <w:sz w:val="20"/>
          <w:szCs w:val="20"/>
          <w:lang w:val="en-US"/>
        </w:rPr>
        <w:t xml:space="preserve"> </w:t>
      </w:r>
      <w:r w:rsidR="00000070" w:rsidRPr="00EA6C7A">
        <w:rPr>
          <w:rFonts w:ascii="Verdana" w:hAnsi="Verdana" w:cs="Arial"/>
          <w:sz w:val="20"/>
          <w:szCs w:val="20"/>
          <w:lang w:val="en-US"/>
        </w:rPr>
        <w:t>received various documents submitted with the State’s final written arguments</w:t>
      </w:r>
      <w:r w:rsidR="00165633" w:rsidRPr="00EA6C7A">
        <w:rPr>
          <w:rFonts w:ascii="Verdana" w:hAnsi="Verdana" w:cs="Arial"/>
          <w:sz w:val="20"/>
          <w:szCs w:val="20"/>
          <w:lang w:val="en-US" w:eastAsia="es-ES"/>
        </w:rPr>
        <w:t>.</w:t>
      </w:r>
    </w:p>
    <w:p w14:paraId="0C491409" w14:textId="77777777" w:rsidR="00165633" w:rsidRPr="00EA6C7A" w:rsidRDefault="00165633" w:rsidP="00165633">
      <w:pPr>
        <w:spacing w:after="0" w:line="240" w:lineRule="auto"/>
        <w:contextualSpacing/>
        <w:jc w:val="both"/>
        <w:rPr>
          <w:rFonts w:ascii="Verdana" w:hAnsi="Verdana" w:cs="Arial"/>
          <w:sz w:val="20"/>
          <w:szCs w:val="20"/>
          <w:lang w:val="en-US" w:eastAsia="es-ES"/>
        </w:rPr>
      </w:pPr>
    </w:p>
    <w:p w14:paraId="6A9258D6" w14:textId="77777777" w:rsidR="00165633" w:rsidRPr="00EA6C7A" w:rsidRDefault="00C91952" w:rsidP="00E11A7C">
      <w:pPr>
        <w:pStyle w:val="Sentencia2"/>
        <w:numPr>
          <w:ilvl w:val="7"/>
          <w:numId w:val="2"/>
        </w:numPr>
        <w:ind w:left="0" w:firstLine="0"/>
        <w:rPr>
          <w:lang w:val="en-US"/>
        </w:rPr>
      </w:pPr>
      <w:bookmarkStart w:id="33" w:name="_Toc26002298"/>
      <w:r w:rsidRPr="00EA6C7A">
        <w:rPr>
          <w:lang w:val="en-US"/>
        </w:rPr>
        <w:t>Admission of the evidence</w:t>
      </w:r>
      <w:bookmarkEnd w:id="33"/>
      <w:r w:rsidR="00165633" w:rsidRPr="00EA6C7A">
        <w:rPr>
          <w:lang w:val="en-US"/>
        </w:rPr>
        <w:t xml:space="preserve"> </w:t>
      </w:r>
    </w:p>
    <w:p w14:paraId="0B66F318" w14:textId="77777777" w:rsidR="00165633" w:rsidRPr="00EA6C7A" w:rsidRDefault="00165633" w:rsidP="00794BCC">
      <w:pPr>
        <w:spacing w:after="0" w:line="240" w:lineRule="auto"/>
        <w:rPr>
          <w:rFonts w:ascii="Verdana" w:hAnsi="Verdana"/>
          <w:sz w:val="16"/>
          <w:szCs w:val="20"/>
          <w:lang w:val="en-US"/>
        </w:rPr>
      </w:pPr>
    </w:p>
    <w:p w14:paraId="0788A209" w14:textId="77777777" w:rsidR="00165633" w:rsidRPr="00EA6C7A" w:rsidRDefault="00165633" w:rsidP="00026CB6">
      <w:pPr>
        <w:pStyle w:val="Sentencia3"/>
        <w:rPr>
          <w:rFonts w:eastAsia="Verdana"/>
          <w:lang w:val="en-US"/>
        </w:rPr>
      </w:pPr>
      <w:bookmarkStart w:id="34" w:name="_Toc26002299"/>
      <w:r w:rsidRPr="00EA6C7A">
        <w:rPr>
          <w:rFonts w:eastAsia="Verdana"/>
          <w:lang w:val="en-US"/>
        </w:rPr>
        <w:t>B.1</w:t>
      </w:r>
      <w:r w:rsidR="00E15499" w:rsidRPr="00EA6C7A">
        <w:rPr>
          <w:rFonts w:eastAsia="Verdana"/>
          <w:lang w:val="en-US"/>
        </w:rPr>
        <w:t>.</w:t>
      </w:r>
      <w:r w:rsidRPr="00EA6C7A">
        <w:rPr>
          <w:rFonts w:eastAsia="Verdana"/>
          <w:lang w:val="en-US"/>
        </w:rPr>
        <w:tab/>
      </w:r>
      <w:r w:rsidR="00C91952" w:rsidRPr="00EA6C7A">
        <w:rPr>
          <w:rFonts w:eastAsia="Verdana"/>
          <w:lang w:val="en-US"/>
        </w:rPr>
        <w:t>Admission of the documentary evidence</w:t>
      </w:r>
      <w:bookmarkEnd w:id="34"/>
      <w:r w:rsidRPr="00EA6C7A">
        <w:rPr>
          <w:rFonts w:eastAsia="Verdana"/>
          <w:lang w:val="en-US"/>
        </w:rPr>
        <w:t xml:space="preserve"> </w:t>
      </w:r>
    </w:p>
    <w:p w14:paraId="1FBCDD3B" w14:textId="77777777" w:rsidR="00165633" w:rsidRPr="00EA6C7A" w:rsidRDefault="00165633" w:rsidP="005C2115">
      <w:pPr>
        <w:pStyle w:val="Prrafodelista"/>
        <w:autoSpaceDE w:val="0"/>
        <w:autoSpaceDN w:val="0"/>
        <w:adjustRightInd w:val="0"/>
        <w:spacing w:after="0" w:line="240" w:lineRule="auto"/>
        <w:ind w:left="0"/>
        <w:jc w:val="both"/>
        <w:rPr>
          <w:rFonts w:ascii="Verdana" w:hAnsi="Verdana" w:cs="Arial"/>
          <w:sz w:val="16"/>
          <w:szCs w:val="20"/>
          <w:lang w:val="en-US" w:eastAsia="es-ES"/>
        </w:rPr>
      </w:pPr>
    </w:p>
    <w:p w14:paraId="2B7FEF7C" w14:textId="77777777" w:rsidR="00165633" w:rsidRPr="00EA6C7A" w:rsidRDefault="00C91952" w:rsidP="00C91952">
      <w:pPr>
        <w:pStyle w:val="Prrafodelista"/>
        <w:numPr>
          <w:ilvl w:val="0"/>
          <w:numId w:val="3"/>
        </w:numPr>
        <w:spacing w:after="0" w:line="240" w:lineRule="auto"/>
        <w:ind w:left="0" w:hanging="11"/>
        <w:jc w:val="both"/>
        <w:rPr>
          <w:rFonts w:ascii="Verdana" w:eastAsia="Batang" w:hAnsi="Verdana" w:cs="Arial"/>
          <w:sz w:val="20"/>
          <w:szCs w:val="20"/>
          <w:lang w:val="en-US" w:eastAsia="es-ES"/>
        </w:rPr>
      </w:pPr>
      <w:r w:rsidRPr="00EA6C7A">
        <w:rPr>
          <w:rFonts w:ascii="Verdana" w:hAnsi="Verdana" w:cs="Arial"/>
          <w:sz w:val="20"/>
          <w:szCs w:val="20"/>
          <w:lang w:val="en-US" w:eastAsia="es-ES"/>
        </w:rPr>
        <w:t xml:space="preserve">The Court admits the documents presented by the parties and </w:t>
      </w:r>
      <w:r w:rsidR="0096418F" w:rsidRPr="00EA6C7A">
        <w:rPr>
          <w:rFonts w:ascii="Verdana" w:hAnsi="Verdana" w:cs="Arial"/>
          <w:sz w:val="20"/>
          <w:szCs w:val="20"/>
          <w:lang w:val="en-US" w:eastAsia="es-ES"/>
        </w:rPr>
        <w:t>the Commission</w:t>
      </w:r>
      <w:r w:rsidRPr="00EA6C7A">
        <w:rPr>
          <w:rFonts w:ascii="Verdana" w:hAnsi="Verdana" w:cs="Arial"/>
          <w:sz w:val="20"/>
          <w:szCs w:val="20"/>
          <w:lang w:val="en-US" w:eastAsia="es-ES"/>
        </w:rPr>
        <w:t xml:space="preserve"> at the appropriate procedural opportunity that were not contested or </w:t>
      </w:r>
      <w:r w:rsidR="00502650" w:rsidRPr="00EA6C7A">
        <w:rPr>
          <w:rFonts w:ascii="Verdana" w:hAnsi="Verdana" w:cs="Arial"/>
          <w:sz w:val="20"/>
          <w:szCs w:val="20"/>
          <w:lang w:val="en-US" w:eastAsia="es-ES"/>
        </w:rPr>
        <w:t>challeng</w:t>
      </w:r>
      <w:r w:rsidRPr="00EA6C7A">
        <w:rPr>
          <w:rFonts w:ascii="Verdana" w:hAnsi="Verdana" w:cs="Arial"/>
          <w:sz w:val="20"/>
          <w:szCs w:val="20"/>
          <w:lang w:val="en-US" w:eastAsia="es-ES"/>
        </w:rPr>
        <w:t>ed,</w:t>
      </w:r>
      <w:r w:rsidR="00165633" w:rsidRPr="00EA6C7A">
        <w:rPr>
          <w:rFonts w:ascii="Verdana" w:hAnsi="Verdana" w:cs="Arial"/>
          <w:sz w:val="20"/>
          <w:szCs w:val="20"/>
          <w:vertAlign w:val="superscript"/>
          <w:lang w:val="en-US"/>
        </w:rPr>
        <w:footnoteReference w:id="18"/>
      </w:r>
      <w:r w:rsidRPr="00EA6C7A">
        <w:rPr>
          <w:rFonts w:ascii="Verdana" w:hAnsi="Verdana" w:cs="Arial"/>
          <w:sz w:val="20"/>
          <w:szCs w:val="20"/>
          <w:lang w:val="en-US" w:eastAsia="es-ES"/>
        </w:rPr>
        <w:t xml:space="preserve"> and also the documents obtained and incorporated, </w:t>
      </w:r>
      <w:r w:rsidRPr="00EA6C7A">
        <w:rPr>
          <w:rFonts w:ascii="Verdana" w:hAnsi="Verdana" w:cs="Arial"/>
          <w:i/>
          <w:iCs/>
          <w:sz w:val="20"/>
          <w:szCs w:val="20"/>
          <w:lang w:val="en-US" w:eastAsia="es-ES"/>
        </w:rPr>
        <w:t>ex officio</w:t>
      </w:r>
      <w:r w:rsidRPr="00EA6C7A">
        <w:rPr>
          <w:rFonts w:ascii="Verdana" w:hAnsi="Verdana" w:cs="Arial"/>
          <w:sz w:val="20"/>
          <w:szCs w:val="20"/>
          <w:lang w:val="en-US" w:eastAsia="es-ES"/>
        </w:rPr>
        <w:t>, by the Court.</w:t>
      </w:r>
      <w:r w:rsidR="00DC2039" w:rsidRPr="00EA6C7A">
        <w:rPr>
          <w:rStyle w:val="Refdenotaalpie"/>
          <w:rFonts w:ascii="Verdana" w:hAnsi="Verdana" w:cs="Arial"/>
          <w:sz w:val="20"/>
          <w:szCs w:val="20"/>
          <w:lang w:val="en-US" w:eastAsia="es-ES"/>
        </w:rPr>
        <w:footnoteReference w:id="19"/>
      </w:r>
      <w:bookmarkStart w:id="35" w:name="_Ref340672620"/>
      <w:r w:rsidR="0093542D" w:rsidRPr="00EA6C7A">
        <w:rPr>
          <w:rFonts w:ascii="Verdana" w:hAnsi="Verdana" w:cs="Arial"/>
          <w:sz w:val="20"/>
          <w:szCs w:val="20"/>
          <w:lang w:val="en-US" w:eastAsia="es-ES"/>
        </w:rPr>
        <w:t xml:space="preserve"> Re</w:t>
      </w:r>
      <w:r w:rsidRPr="00EA6C7A">
        <w:rPr>
          <w:rFonts w:ascii="Verdana" w:hAnsi="Verdana" w:cs="Arial"/>
          <w:sz w:val="20"/>
          <w:szCs w:val="20"/>
          <w:lang w:val="en-US" w:eastAsia="es-ES"/>
        </w:rPr>
        <w:t xml:space="preserve">garding some documents indicated by the parties and the Commission by means of electronic links, the Court has established that if a party provides, at least, the direct electronic link to the document that it cites as evidence and it is possible to access this, neither legal certainty </w:t>
      </w:r>
      <w:r w:rsidR="00502650" w:rsidRPr="00EA6C7A">
        <w:rPr>
          <w:rFonts w:ascii="Verdana" w:hAnsi="Verdana" w:cs="Arial"/>
          <w:sz w:val="20"/>
          <w:szCs w:val="20"/>
          <w:lang w:val="en-US" w:eastAsia="es-ES"/>
        </w:rPr>
        <w:t>n</w:t>
      </w:r>
      <w:r w:rsidRPr="00EA6C7A">
        <w:rPr>
          <w:rFonts w:ascii="Verdana" w:hAnsi="Verdana" w:cs="Arial"/>
          <w:sz w:val="20"/>
          <w:szCs w:val="20"/>
          <w:lang w:val="en-US" w:eastAsia="es-ES"/>
        </w:rPr>
        <w:t>or procedural balance is affected because it can be located immediately by the Court and the other parties.</w:t>
      </w:r>
      <w:r w:rsidR="0093542D" w:rsidRPr="00EA6C7A">
        <w:rPr>
          <w:rFonts w:ascii="Verdana" w:hAnsi="Verdana" w:cs="Arial"/>
          <w:sz w:val="20"/>
          <w:szCs w:val="20"/>
          <w:vertAlign w:val="superscript"/>
          <w:lang w:val="en-US" w:eastAsia="es-ES"/>
        </w:rPr>
        <w:footnoteReference w:id="20"/>
      </w:r>
      <w:r w:rsidRPr="00EA6C7A">
        <w:rPr>
          <w:rFonts w:ascii="Verdana" w:hAnsi="Verdana" w:cs="Arial"/>
          <w:sz w:val="20"/>
          <w:szCs w:val="20"/>
          <w:lang w:val="en-US" w:eastAsia="es-ES"/>
        </w:rPr>
        <w:t xml:space="preserve"> In this case, neither the other parties </w:t>
      </w:r>
      <w:r w:rsidR="00502650" w:rsidRPr="00EA6C7A">
        <w:rPr>
          <w:rFonts w:ascii="Verdana" w:hAnsi="Verdana" w:cs="Arial"/>
          <w:sz w:val="20"/>
          <w:szCs w:val="20"/>
          <w:lang w:val="en-US" w:eastAsia="es-ES"/>
        </w:rPr>
        <w:t>n</w:t>
      </w:r>
      <w:r w:rsidRPr="00EA6C7A">
        <w:rPr>
          <w:rFonts w:ascii="Verdana" w:hAnsi="Verdana" w:cs="Arial"/>
          <w:sz w:val="20"/>
          <w:szCs w:val="20"/>
          <w:lang w:val="en-US" w:eastAsia="es-ES"/>
        </w:rPr>
        <w:t xml:space="preserve">or the Commission contested or commented on the content and authenticity of </w:t>
      </w:r>
      <w:r w:rsidR="00502650" w:rsidRPr="00EA6C7A">
        <w:rPr>
          <w:rFonts w:ascii="Verdana" w:hAnsi="Verdana" w:cs="Arial"/>
          <w:sz w:val="20"/>
          <w:szCs w:val="20"/>
          <w:lang w:val="en-US" w:eastAsia="es-ES"/>
        </w:rPr>
        <w:t xml:space="preserve">such </w:t>
      </w:r>
      <w:r w:rsidRPr="00EA6C7A">
        <w:rPr>
          <w:rFonts w:ascii="Verdana" w:hAnsi="Verdana" w:cs="Arial"/>
          <w:sz w:val="20"/>
          <w:szCs w:val="20"/>
          <w:lang w:val="en-US" w:eastAsia="es-ES"/>
        </w:rPr>
        <w:t>documents.</w:t>
      </w:r>
      <w:bookmarkEnd w:id="35"/>
    </w:p>
    <w:p w14:paraId="661333B9" w14:textId="77777777" w:rsidR="00165633" w:rsidRPr="00EA6C7A" w:rsidRDefault="00165633" w:rsidP="00077D21">
      <w:pPr>
        <w:pStyle w:val="PrrafodeSentencia"/>
        <w:numPr>
          <w:ilvl w:val="0"/>
          <w:numId w:val="0"/>
        </w:numPr>
        <w:rPr>
          <w:lang w:val="en-US"/>
        </w:rPr>
      </w:pPr>
    </w:p>
    <w:p w14:paraId="09B42B95" w14:textId="77777777" w:rsidR="00165633" w:rsidRPr="00EA6C7A" w:rsidRDefault="00655308" w:rsidP="00E11A7C">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lastRenderedPageBreak/>
        <w:t>Regarding the procedural opportunity for submi</w:t>
      </w:r>
      <w:r w:rsidR="00510AEC" w:rsidRPr="00EA6C7A">
        <w:rPr>
          <w:rFonts w:ascii="Verdana" w:hAnsi="Verdana"/>
          <w:sz w:val="20"/>
          <w:szCs w:val="20"/>
          <w:lang w:val="en-US"/>
        </w:rPr>
        <w:t>tting</w:t>
      </w:r>
      <w:r w:rsidRPr="00EA6C7A">
        <w:rPr>
          <w:rFonts w:ascii="Verdana" w:hAnsi="Verdana"/>
          <w:sz w:val="20"/>
          <w:szCs w:val="20"/>
          <w:lang w:val="en-US"/>
        </w:rPr>
        <w:t xml:space="preserve"> documentary evidence, according to </w:t>
      </w:r>
      <w:r w:rsidR="0096418F" w:rsidRPr="00EA6C7A">
        <w:rPr>
          <w:rFonts w:ascii="Verdana" w:hAnsi="Verdana"/>
          <w:sz w:val="20"/>
          <w:szCs w:val="20"/>
          <w:lang w:val="en-US"/>
        </w:rPr>
        <w:t>Article</w:t>
      </w:r>
      <w:r w:rsidR="00165633" w:rsidRPr="00EA6C7A">
        <w:rPr>
          <w:rFonts w:ascii="Verdana" w:hAnsi="Verdana"/>
          <w:sz w:val="20"/>
          <w:szCs w:val="20"/>
          <w:lang w:val="en-US"/>
        </w:rPr>
        <w:t xml:space="preserve"> 5</w:t>
      </w:r>
      <w:r w:rsidR="00F53A2E" w:rsidRPr="00EA6C7A">
        <w:rPr>
          <w:rFonts w:ascii="Verdana" w:hAnsi="Verdana"/>
          <w:sz w:val="20"/>
          <w:szCs w:val="20"/>
          <w:lang w:val="en-US"/>
        </w:rPr>
        <w:t>7</w:t>
      </w:r>
      <w:r w:rsidRPr="00EA6C7A">
        <w:rPr>
          <w:rFonts w:ascii="Verdana" w:hAnsi="Verdana"/>
          <w:sz w:val="20"/>
          <w:szCs w:val="20"/>
          <w:lang w:val="en-US"/>
        </w:rPr>
        <w:t>(</w:t>
      </w:r>
      <w:r w:rsidR="00F53A2E" w:rsidRPr="00EA6C7A">
        <w:rPr>
          <w:rFonts w:ascii="Verdana" w:hAnsi="Verdana"/>
          <w:sz w:val="20"/>
          <w:szCs w:val="20"/>
          <w:lang w:val="en-US"/>
        </w:rPr>
        <w:t>2</w:t>
      </w:r>
      <w:r w:rsidRPr="00EA6C7A">
        <w:rPr>
          <w:rFonts w:ascii="Verdana" w:hAnsi="Verdana"/>
          <w:sz w:val="20"/>
          <w:szCs w:val="20"/>
          <w:lang w:val="en-US"/>
        </w:rPr>
        <w:t>)</w:t>
      </w:r>
      <w:r w:rsidR="0096418F" w:rsidRPr="00EA6C7A">
        <w:rPr>
          <w:rFonts w:ascii="Verdana" w:hAnsi="Verdana"/>
          <w:sz w:val="20"/>
          <w:szCs w:val="20"/>
          <w:lang w:val="en-US"/>
        </w:rPr>
        <w:t xml:space="preserve"> of the Rules of Procedure</w:t>
      </w:r>
      <w:r w:rsidR="00165633" w:rsidRPr="00EA6C7A">
        <w:rPr>
          <w:rFonts w:ascii="Verdana" w:hAnsi="Verdana"/>
          <w:sz w:val="20"/>
          <w:szCs w:val="20"/>
          <w:lang w:val="en-US"/>
        </w:rPr>
        <w:t xml:space="preserve">, </w:t>
      </w:r>
      <w:r w:rsidRPr="00EA6C7A">
        <w:rPr>
          <w:rFonts w:ascii="Verdana" w:hAnsi="Verdana"/>
          <w:sz w:val="20"/>
          <w:szCs w:val="20"/>
          <w:lang w:val="en-US"/>
        </w:rPr>
        <w:t xml:space="preserve">in general, this must be presented together with the briefs submitting the case, with motions and </w:t>
      </w:r>
      <w:r w:rsidR="00AF34C7" w:rsidRPr="00EA6C7A">
        <w:rPr>
          <w:rFonts w:ascii="Verdana" w:hAnsi="Verdana"/>
          <w:sz w:val="20"/>
          <w:szCs w:val="20"/>
          <w:lang w:val="en-US"/>
        </w:rPr>
        <w:t>pleadings,</w:t>
      </w:r>
      <w:r w:rsidRPr="00EA6C7A">
        <w:rPr>
          <w:rFonts w:ascii="Verdana" w:hAnsi="Verdana"/>
          <w:sz w:val="20"/>
          <w:szCs w:val="20"/>
          <w:lang w:val="en-US"/>
        </w:rPr>
        <w:t xml:space="preserve"> or answering the submission of the case, as app</w:t>
      </w:r>
      <w:r w:rsidR="00510AEC" w:rsidRPr="00EA6C7A">
        <w:rPr>
          <w:rFonts w:ascii="Verdana" w:hAnsi="Verdana"/>
          <w:sz w:val="20"/>
          <w:szCs w:val="20"/>
          <w:lang w:val="en-US"/>
        </w:rPr>
        <w:t>licabl</w:t>
      </w:r>
      <w:r w:rsidRPr="00EA6C7A">
        <w:rPr>
          <w:rFonts w:ascii="Verdana" w:hAnsi="Verdana"/>
          <w:sz w:val="20"/>
          <w:szCs w:val="20"/>
          <w:lang w:val="en-US"/>
        </w:rPr>
        <w:t xml:space="preserve">e. Evidence remitted outside the proper procedural opportunities is not admissible, unless it relates to the exceptions established in the said </w:t>
      </w:r>
      <w:r w:rsidR="0096418F" w:rsidRPr="00EA6C7A">
        <w:rPr>
          <w:rFonts w:ascii="Verdana" w:hAnsi="Verdana"/>
          <w:sz w:val="20"/>
          <w:szCs w:val="20"/>
          <w:lang w:val="en-US"/>
        </w:rPr>
        <w:t>Article</w:t>
      </w:r>
      <w:r w:rsidR="00165633" w:rsidRPr="00EA6C7A">
        <w:rPr>
          <w:rFonts w:ascii="Verdana" w:hAnsi="Verdana"/>
          <w:sz w:val="20"/>
          <w:szCs w:val="20"/>
          <w:lang w:val="en-US"/>
        </w:rPr>
        <w:t xml:space="preserve"> 57</w:t>
      </w:r>
      <w:r w:rsidRPr="00EA6C7A">
        <w:rPr>
          <w:rFonts w:ascii="Verdana" w:hAnsi="Verdana"/>
          <w:sz w:val="20"/>
          <w:szCs w:val="20"/>
          <w:lang w:val="en-US"/>
        </w:rPr>
        <w:t>(</w:t>
      </w:r>
      <w:r w:rsidR="00165633" w:rsidRPr="00EA6C7A">
        <w:rPr>
          <w:rFonts w:ascii="Verdana" w:hAnsi="Verdana"/>
          <w:sz w:val="20"/>
          <w:szCs w:val="20"/>
          <w:lang w:val="en-US"/>
        </w:rPr>
        <w:t>2</w:t>
      </w:r>
      <w:r w:rsidRPr="00EA6C7A">
        <w:rPr>
          <w:rFonts w:ascii="Verdana" w:hAnsi="Verdana"/>
          <w:sz w:val="20"/>
          <w:szCs w:val="20"/>
          <w:lang w:val="en-US"/>
        </w:rPr>
        <w:t>)</w:t>
      </w:r>
      <w:r w:rsidR="0096418F" w:rsidRPr="00EA6C7A">
        <w:rPr>
          <w:rFonts w:ascii="Verdana" w:hAnsi="Verdana"/>
          <w:sz w:val="20"/>
          <w:szCs w:val="20"/>
          <w:lang w:val="en-US"/>
        </w:rPr>
        <w:t xml:space="preserve"> of the Rules of Procedure</w:t>
      </w:r>
      <w:r w:rsidRPr="00EA6C7A">
        <w:rPr>
          <w:rFonts w:ascii="Verdana" w:hAnsi="Verdana"/>
          <w:sz w:val="20"/>
          <w:szCs w:val="20"/>
          <w:lang w:val="en-US"/>
        </w:rPr>
        <w:t xml:space="preserve">: namely, </w:t>
      </w:r>
      <w:r w:rsidRPr="00EA6C7A">
        <w:rPr>
          <w:rFonts w:ascii="Verdana" w:hAnsi="Verdana"/>
          <w:i/>
          <w:iCs/>
          <w:sz w:val="20"/>
          <w:szCs w:val="20"/>
          <w:lang w:val="en-US"/>
        </w:rPr>
        <w:t>force majeure</w:t>
      </w:r>
      <w:r w:rsidRPr="00EA6C7A">
        <w:rPr>
          <w:rFonts w:ascii="Verdana" w:hAnsi="Verdana"/>
          <w:sz w:val="20"/>
          <w:szCs w:val="20"/>
          <w:lang w:val="en-US"/>
        </w:rPr>
        <w:t>, serious impediment, or if it refers to a fact that has occurred following the</w:t>
      </w:r>
      <w:r w:rsidR="00510AEC" w:rsidRPr="00EA6C7A">
        <w:rPr>
          <w:rFonts w:ascii="Verdana" w:hAnsi="Verdana"/>
          <w:sz w:val="20"/>
          <w:szCs w:val="20"/>
          <w:lang w:val="en-US"/>
        </w:rPr>
        <w:t>se</w:t>
      </w:r>
      <w:r w:rsidRPr="00EA6C7A">
        <w:rPr>
          <w:rFonts w:ascii="Verdana" w:hAnsi="Verdana"/>
          <w:sz w:val="20"/>
          <w:szCs w:val="20"/>
          <w:lang w:val="en-US"/>
        </w:rPr>
        <w:t xml:space="preserve"> procedural moments</w:t>
      </w:r>
      <w:r w:rsidR="00165633" w:rsidRPr="00EA6C7A">
        <w:rPr>
          <w:rFonts w:ascii="Verdana" w:hAnsi="Verdana"/>
          <w:sz w:val="20"/>
          <w:szCs w:val="20"/>
          <w:lang w:val="en-US"/>
        </w:rPr>
        <w:t>.</w:t>
      </w:r>
    </w:p>
    <w:p w14:paraId="5FF8B1C4" w14:textId="77777777" w:rsidR="00165633" w:rsidRPr="00EA6C7A" w:rsidRDefault="00165633" w:rsidP="00794BCC">
      <w:pPr>
        <w:pStyle w:val="Prrafodelista"/>
        <w:autoSpaceDE w:val="0"/>
        <w:autoSpaceDN w:val="0"/>
        <w:adjustRightInd w:val="0"/>
        <w:spacing w:after="0" w:line="240" w:lineRule="auto"/>
        <w:ind w:left="0"/>
        <w:jc w:val="both"/>
        <w:rPr>
          <w:rFonts w:ascii="Verdana" w:hAnsi="Verdana" w:cs="Arial"/>
          <w:sz w:val="20"/>
          <w:szCs w:val="20"/>
          <w:lang w:val="en-US" w:eastAsia="es-ES"/>
        </w:rPr>
      </w:pPr>
    </w:p>
    <w:p w14:paraId="62C8A6B6" w14:textId="77777777" w:rsidR="00165633" w:rsidRPr="00EA6C7A" w:rsidRDefault="002F3848" w:rsidP="00AF34C7">
      <w:pPr>
        <w:pStyle w:val="Prrafodelista"/>
        <w:numPr>
          <w:ilvl w:val="0"/>
          <w:numId w:val="3"/>
        </w:numPr>
        <w:spacing w:after="0" w:line="240" w:lineRule="auto"/>
        <w:ind w:left="0" w:hanging="11"/>
        <w:jc w:val="both"/>
        <w:rPr>
          <w:rFonts w:ascii="Verdana" w:hAnsi="Verdana"/>
          <w:sz w:val="20"/>
          <w:szCs w:val="20"/>
          <w:lang w:val="en-US"/>
        </w:rPr>
      </w:pPr>
      <w:r w:rsidRPr="00EA6C7A">
        <w:rPr>
          <w:rFonts w:ascii="Verdana" w:hAnsi="Verdana"/>
          <w:sz w:val="20"/>
          <w:szCs w:val="20"/>
          <w:lang w:val="en-US"/>
        </w:rPr>
        <w:t>The State</w:t>
      </w:r>
      <w:r w:rsidR="00165633" w:rsidRPr="00EA6C7A">
        <w:rPr>
          <w:rFonts w:ascii="Verdana" w:hAnsi="Verdana"/>
          <w:sz w:val="20"/>
          <w:szCs w:val="20"/>
          <w:lang w:val="en-US"/>
        </w:rPr>
        <w:t xml:space="preserve"> </w:t>
      </w:r>
      <w:r w:rsidR="00AF34C7" w:rsidRPr="00EA6C7A">
        <w:rPr>
          <w:rFonts w:ascii="Verdana" w:hAnsi="Verdana"/>
          <w:sz w:val="20"/>
          <w:szCs w:val="20"/>
          <w:lang w:val="en-US"/>
        </w:rPr>
        <w:t xml:space="preserve">contested the admissibility of the documents presented by </w:t>
      </w:r>
      <w:r w:rsidR="0096418F" w:rsidRPr="00EA6C7A">
        <w:rPr>
          <w:rFonts w:ascii="Verdana" w:hAnsi="Verdana"/>
          <w:sz w:val="20"/>
          <w:szCs w:val="20"/>
          <w:lang w:val="en-US"/>
        </w:rPr>
        <w:t>the Commission</w:t>
      </w:r>
      <w:r w:rsidR="00165633" w:rsidRPr="00EA6C7A">
        <w:rPr>
          <w:rFonts w:ascii="Verdana" w:hAnsi="Verdana"/>
          <w:sz w:val="20"/>
          <w:szCs w:val="20"/>
          <w:lang w:val="en-US"/>
        </w:rPr>
        <w:t xml:space="preserve"> </w:t>
      </w:r>
      <w:r w:rsidR="00AF34C7" w:rsidRPr="00EA6C7A">
        <w:rPr>
          <w:rFonts w:ascii="Verdana" w:hAnsi="Verdana"/>
          <w:sz w:val="20"/>
          <w:szCs w:val="20"/>
          <w:lang w:val="en-US"/>
        </w:rPr>
        <w:t>with its Merits Report that did not come from public institutions or individuals</w:t>
      </w:r>
      <w:r w:rsidR="00510AEC" w:rsidRPr="00EA6C7A">
        <w:rPr>
          <w:rFonts w:ascii="Verdana" w:hAnsi="Verdana"/>
          <w:sz w:val="20"/>
          <w:szCs w:val="20"/>
          <w:lang w:val="en-US"/>
        </w:rPr>
        <w:t xml:space="preserve"> with authority to certify documents</w:t>
      </w:r>
      <w:r w:rsidR="00165633" w:rsidRPr="00EA6C7A">
        <w:rPr>
          <w:rFonts w:ascii="Verdana" w:hAnsi="Verdana"/>
          <w:sz w:val="20"/>
          <w:szCs w:val="20"/>
          <w:lang w:val="en-US"/>
        </w:rPr>
        <w:t xml:space="preserve">, </w:t>
      </w:r>
      <w:r w:rsidR="00AF34C7" w:rsidRPr="00EA6C7A">
        <w:rPr>
          <w:rFonts w:ascii="Verdana" w:hAnsi="Verdana"/>
          <w:sz w:val="20"/>
          <w:szCs w:val="20"/>
          <w:lang w:val="en-US"/>
        </w:rPr>
        <w:t xml:space="preserve">because it </w:t>
      </w:r>
      <w:r w:rsidR="006755D2" w:rsidRPr="00EA6C7A">
        <w:rPr>
          <w:rFonts w:ascii="Verdana" w:hAnsi="Verdana"/>
          <w:sz w:val="20"/>
          <w:szCs w:val="20"/>
          <w:lang w:val="en-US"/>
        </w:rPr>
        <w:t>was not</w:t>
      </w:r>
      <w:r w:rsidR="00AF34C7" w:rsidRPr="00EA6C7A">
        <w:rPr>
          <w:rFonts w:ascii="Verdana" w:hAnsi="Verdana"/>
          <w:sz w:val="20"/>
          <w:szCs w:val="20"/>
          <w:lang w:val="en-US"/>
        </w:rPr>
        <w:t xml:space="preserve"> possible to confirm the truth of the facts they contained </w:t>
      </w:r>
      <w:r w:rsidR="006755D2" w:rsidRPr="00EA6C7A">
        <w:rPr>
          <w:rFonts w:ascii="Verdana" w:hAnsi="Verdana"/>
          <w:sz w:val="20"/>
          <w:szCs w:val="20"/>
          <w:lang w:val="en-US"/>
        </w:rPr>
        <w:t>due</w:t>
      </w:r>
      <w:r w:rsidR="00AF34C7" w:rsidRPr="00EA6C7A">
        <w:rPr>
          <w:rFonts w:ascii="Verdana" w:hAnsi="Verdana"/>
          <w:sz w:val="20"/>
          <w:szCs w:val="20"/>
          <w:lang w:val="en-US"/>
        </w:rPr>
        <w:t xml:space="preserve"> to the absence of sources that proved them.</w:t>
      </w:r>
      <w:r w:rsidR="00165633" w:rsidRPr="00EA6C7A">
        <w:rPr>
          <w:rStyle w:val="Refdenotaalpie"/>
          <w:rFonts w:ascii="Verdana" w:hAnsi="Verdana"/>
          <w:sz w:val="20"/>
          <w:szCs w:val="20"/>
          <w:lang w:val="en-US"/>
        </w:rPr>
        <w:footnoteReference w:id="21"/>
      </w:r>
      <w:r w:rsidR="00AF34C7" w:rsidRPr="00EA6C7A">
        <w:rPr>
          <w:rFonts w:ascii="Verdana" w:hAnsi="Verdana"/>
          <w:sz w:val="20"/>
          <w:szCs w:val="20"/>
          <w:lang w:val="en-US"/>
        </w:rPr>
        <w:t xml:space="preserve"> Regarding the documents presented by </w:t>
      </w:r>
      <w:r w:rsidR="00E43A75" w:rsidRPr="00EA6C7A">
        <w:rPr>
          <w:rFonts w:ascii="Verdana" w:hAnsi="Verdana"/>
          <w:sz w:val="20"/>
          <w:szCs w:val="20"/>
          <w:lang w:val="en-US"/>
        </w:rPr>
        <w:t>the representatives</w:t>
      </w:r>
      <w:r w:rsidR="00165633" w:rsidRPr="00EA6C7A">
        <w:rPr>
          <w:rFonts w:ascii="Verdana" w:hAnsi="Verdana"/>
          <w:sz w:val="20"/>
          <w:szCs w:val="20"/>
          <w:lang w:val="en-US"/>
        </w:rPr>
        <w:t xml:space="preserve"> </w:t>
      </w:r>
      <w:r w:rsidR="00AF34C7" w:rsidRPr="00EA6C7A">
        <w:rPr>
          <w:rFonts w:ascii="Verdana" w:hAnsi="Verdana"/>
          <w:sz w:val="20"/>
          <w:szCs w:val="20"/>
          <w:lang w:val="en-US"/>
        </w:rPr>
        <w:t>with their</w:t>
      </w:r>
      <w:r w:rsidR="00165633" w:rsidRPr="00EA6C7A">
        <w:rPr>
          <w:rFonts w:ascii="Verdana" w:hAnsi="Verdana"/>
          <w:sz w:val="20"/>
          <w:szCs w:val="20"/>
          <w:lang w:val="en-US"/>
        </w:rPr>
        <w:t xml:space="preserve"> </w:t>
      </w:r>
      <w:r w:rsidR="00E43A75" w:rsidRPr="00EA6C7A">
        <w:rPr>
          <w:rFonts w:ascii="Verdana" w:hAnsi="Verdana"/>
          <w:sz w:val="20"/>
          <w:szCs w:val="20"/>
          <w:lang w:val="en-US"/>
        </w:rPr>
        <w:t>motions and pleadings brief</w:t>
      </w:r>
      <w:r w:rsidR="00165633" w:rsidRPr="00EA6C7A">
        <w:rPr>
          <w:rFonts w:ascii="Verdana" w:hAnsi="Verdana"/>
          <w:sz w:val="20"/>
          <w:szCs w:val="20"/>
          <w:lang w:val="en-US"/>
        </w:rPr>
        <w:t xml:space="preserve">, </w:t>
      </w:r>
      <w:r w:rsidRPr="00EA6C7A">
        <w:rPr>
          <w:rFonts w:ascii="Verdana" w:hAnsi="Verdana"/>
          <w:sz w:val="20"/>
          <w:szCs w:val="20"/>
          <w:lang w:val="en-US"/>
        </w:rPr>
        <w:t>the State</w:t>
      </w:r>
      <w:r w:rsidR="00165633" w:rsidRPr="00EA6C7A">
        <w:rPr>
          <w:rFonts w:ascii="Verdana" w:hAnsi="Verdana"/>
          <w:sz w:val="20"/>
          <w:szCs w:val="20"/>
          <w:lang w:val="en-US"/>
        </w:rPr>
        <w:t xml:space="preserve"> </w:t>
      </w:r>
      <w:r w:rsidR="00AF34C7" w:rsidRPr="00EA6C7A">
        <w:rPr>
          <w:rFonts w:ascii="Verdana" w:hAnsi="Verdana"/>
          <w:sz w:val="20"/>
          <w:szCs w:val="20"/>
          <w:lang w:val="en-US"/>
        </w:rPr>
        <w:t xml:space="preserve">contested the admissibility of Annex 12 </w:t>
      </w:r>
      <w:r w:rsidR="006755D2" w:rsidRPr="00EA6C7A">
        <w:rPr>
          <w:rFonts w:ascii="Verdana" w:hAnsi="Verdana"/>
          <w:sz w:val="20"/>
          <w:szCs w:val="20"/>
          <w:lang w:val="en-US"/>
        </w:rPr>
        <w:t>on</w:t>
      </w:r>
      <w:r w:rsidR="00AF34C7" w:rsidRPr="00EA6C7A">
        <w:rPr>
          <w:rFonts w:ascii="Verdana" w:hAnsi="Verdana"/>
          <w:sz w:val="20"/>
          <w:szCs w:val="20"/>
          <w:lang w:val="en-US"/>
        </w:rPr>
        <w:t xml:space="preserve"> the calculation of Jorge Rolando Velásquez Durán’s loss of earnings, considering that it had not been proved that the victim’s father had suffered from any physical or mental illness owing to the facts of </w:t>
      </w:r>
      <w:r w:rsidR="006755D2" w:rsidRPr="00EA6C7A">
        <w:rPr>
          <w:rFonts w:ascii="Verdana" w:hAnsi="Verdana"/>
          <w:sz w:val="20"/>
          <w:szCs w:val="20"/>
          <w:lang w:val="en-US"/>
        </w:rPr>
        <w:t>t</w:t>
      </w:r>
      <w:r w:rsidR="00AF34C7" w:rsidRPr="00EA6C7A">
        <w:rPr>
          <w:rFonts w:ascii="Verdana" w:hAnsi="Verdana"/>
          <w:sz w:val="20"/>
          <w:szCs w:val="20"/>
          <w:lang w:val="en-US"/>
        </w:rPr>
        <w:t xml:space="preserve">his case </w:t>
      </w:r>
      <w:r w:rsidR="006755D2" w:rsidRPr="00EA6C7A">
        <w:rPr>
          <w:rFonts w:ascii="Verdana" w:hAnsi="Verdana"/>
          <w:sz w:val="20"/>
          <w:szCs w:val="20"/>
          <w:lang w:val="en-US"/>
        </w:rPr>
        <w:t>which</w:t>
      </w:r>
      <w:r w:rsidR="00AF34C7" w:rsidRPr="00EA6C7A">
        <w:rPr>
          <w:rFonts w:ascii="Verdana" w:hAnsi="Verdana"/>
          <w:sz w:val="20"/>
          <w:szCs w:val="20"/>
          <w:lang w:val="en-US"/>
        </w:rPr>
        <w:t xml:space="preserve"> would have prevented him from exercising his profession and working regularly following his daughter</w:t>
      </w:r>
      <w:r w:rsidR="006755D2" w:rsidRPr="00EA6C7A">
        <w:rPr>
          <w:rFonts w:ascii="Verdana" w:hAnsi="Verdana"/>
          <w:sz w:val="20"/>
          <w:szCs w:val="20"/>
          <w:lang w:val="en-US"/>
        </w:rPr>
        <w:t>’s death</w:t>
      </w:r>
      <w:r w:rsidR="00AF34C7" w:rsidRPr="00EA6C7A">
        <w:rPr>
          <w:rFonts w:ascii="Verdana" w:hAnsi="Verdana"/>
          <w:sz w:val="20"/>
          <w:szCs w:val="20"/>
          <w:lang w:val="en-US"/>
        </w:rPr>
        <w:t xml:space="preserve">. It also contested the press releases issued in 2006 and 2007 </w:t>
      </w:r>
      <w:r w:rsidR="006755D2" w:rsidRPr="00EA6C7A">
        <w:rPr>
          <w:rFonts w:ascii="Verdana" w:hAnsi="Verdana"/>
          <w:sz w:val="20"/>
          <w:szCs w:val="20"/>
          <w:lang w:val="en-US"/>
        </w:rPr>
        <w:t>contained</w:t>
      </w:r>
      <w:r w:rsidR="00AF34C7" w:rsidRPr="00EA6C7A">
        <w:rPr>
          <w:rFonts w:ascii="Verdana" w:hAnsi="Verdana"/>
          <w:sz w:val="20"/>
          <w:szCs w:val="20"/>
          <w:lang w:val="en-US"/>
        </w:rPr>
        <w:t xml:space="preserve"> in Annex 31, considering that they were not a reliable means of presenting the facts</w:t>
      </w:r>
      <w:r w:rsidR="006755D2" w:rsidRPr="00EA6C7A">
        <w:rPr>
          <w:rFonts w:ascii="Verdana" w:hAnsi="Verdana"/>
          <w:sz w:val="20"/>
          <w:szCs w:val="20"/>
          <w:lang w:val="en-US"/>
        </w:rPr>
        <w:t xml:space="preserve"> objectively</w:t>
      </w:r>
      <w:r w:rsidR="00AF34C7" w:rsidRPr="00EA6C7A">
        <w:rPr>
          <w:rFonts w:ascii="Verdana" w:hAnsi="Verdana"/>
          <w:sz w:val="20"/>
          <w:szCs w:val="20"/>
          <w:lang w:val="en-US"/>
        </w:rPr>
        <w:t xml:space="preserve">. In addition, it contested the admissibility of Annex 36 </w:t>
      </w:r>
      <w:r w:rsidR="006755D2" w:rsidRPr="00EA6C7A">
        <w:rPr>
          <w:rFonts w:ascii="Verdana" w:hAnsi="Verdana"/>
          <w:sz w:val="20"/>
          <w:szCs w:val="20"/>
          <w:lang w:val="en-US"/>
        </w:rPr>
        <w:t>on</w:t>
      </w:r>
      <w:r w:rsidR="00AF34C7" w:rsidRPr="00EA6C7A">
        <w:rPr>
          <w:rFonts w:ascii="Verdana" w:hAnsi="Verdana"/>
          <w:sz w:val="20"/>
          <w:szCs w:val="20"/>
          <w:lang w:val="en-US"/>
        </w:rPr>
        <w:t xml:space="preserve"> the psychological assessment of the next of kin of Claudina Velásquez Paiz because, according to the State, the a</w:t>
      </w:r>
      <w:r w:rsidR="006755D2" w:rsidRPr="00EA6C7A">
        <w:rPr>
          <w:rFonts w:ascii="Verdana" w:hAnsi="Verdana"/>
          <w:sz w:val="20"/>
          <w:szCs w:val="20"/>
          <w:lang w:val="en-US"/>
        </w:rPr>
        <w:t>ppraisal</w:t>
      </w:r>
      <w:r w:rsidR="00AF34C7" w:rsidRPr="00EA6C7A">
        <w:rPr>
          <w:rFonts w:ascii="Verdana" w:hAnsi="Verdana"/>
          <w:sz w:val="20"/>
          <w:szCs w:val="20"/>
          <w:lang w:val="en-US"/>
        </w:rPr>
        <w:t xml:space="preserve"> was biased. In this regard, the Court </w:t>
      </w:r>
      <w:r w:rsidR="007B7FCE" w:rsidRPr="00EA6C7A">
        <w:rPr>
          <w:rFonts w:ascii="Verdana" w:hAnsi="Verdana"/>
          <w:sz w:val="20"/>
          <w:szCs w:val="20"/>
          <w:lang w:val="en-US"/>
        </w:rPr>
        <w:t>finds that the State’s arguments relate to the probative weight and scope of the contested evidence, but does not affect its admissibility as part of the body of evidence. Therefore, the Court finds it in order to admit the said documents. Regarding the press releases submitted, the Court has considered that they may be evaluated when they refer to well-known public events or to declarations by State officials, or when they corroborate aspects related to the case.</w:t>
      </w:r>
      <w:r w:rsidR="00165633" w:rsidRPr="00EA6C7A">
        <w:rPr>
          <w:rFonts w:ascii="Verdana" w:hAnsi="Verdana"/>
          <w:sz w:val="20"/>
          <w:szCs w:val="20"/>
          <w:vertAlign w:val="superscript"/>
          <w:lang w:val="en-US"/>
        </w:rPr>
        <w:footnoteReference w:id="22"/>
      </w:r>
      <w:r w:rsidR="00165633" w:rsidRPr="00EA6C7A">
        <w:rPr>
          <w:rFonts w:ascii="Verdana" w:hAnsi="Verdana"/>
          <w:sz w:val="20"/>
          <w:szCs w:val="20"/>
          <w:lang w:val="en-US"/>
        </w:rPr>
        <w:t xml:space="preserve"> </w:t>
      </w:r>
    </w:p>
    <w:p w14:paraId="46B06D48" w14:textId="77777777" w:rsidR="00165633" w:rsidRPr="00EA6C7A" w:rsidRDefault="00165633" w:rsidP="00794BCC">
      <w:pPr>
        <w:pStyle w:val="Prrafodelista"/>
        <w:autoSpaceDE w:val="0"/>
        <w:autoSpaceDN w:val="0"/>
        <w:adjustRightInd w:val="0"/>
        <w:spacing w:after="0" w:line="240" w:lineRule="auto"/>
        <w:ind w:left="0"/>
        <w:jc w:val="both"/>
        <w:rPr>
          <w:rFonts w:ascii="Verdana" w:hAnsi="Verdana" w:cs="Arial"/>
          <w:sz w:val="20"/>
          <w:szCs w:val="20"/>
          <w:lang w:val="en-US" w:eastAsia="es-ES"/>
        </w:rPr>
      </w:pPr>
    </w:p>
    <w:p w14:paraId="795D42D6" w14:textId="77777777" w:rsidR="007B7FCE" w:rsidRPr="00EA6C7A" w:rsidRDefault="007B7FCE" w:rsidP="00E11A7C">
      <w:pPr>
        <w:pStyle w:val="Prrafodelista"/>
        <w:numPr>
          <w:ilvl w:val="0"/>
          <w:numId w:val="3"/>
        </w:numPr>
        <w:spacing w:after="0" w:line="240" w:lineRule="auto"/>
        <w:ind w:left="0" w:hanging="11"/>
        <w:jc w:val="both"/>
        <w:rPr>
          <w:rFonts w:ascii="Verdana" w:hAnsi="Verdana" w:cs="Arial"/>
          <w:sz w:val="20"/>
          <w:szCs w:val="20"/>
          <w:lang w:val="en-US" w:eastAsia="es-ES"/>
        </w:rPr>
      </w:pPr>
      <w:r w:rsidRPr="00EA6C7A">
        <w:rPr>
          <w:rFonts w:ascii="Verdana" w:hAnsi="Verdana" w:cs="Arial"/>
          <w:sz w:val="20"/>
          <w:szCs w:val="20"/>
          <w:lang w:val="en-US" w:eastAsia="es-ES"/>
        </w:rPr>
        <w:t xml:space="preserve">Meanwhile, </w:t>
      </w:r>
      <w:r w:rsidR="00E43A75" w:rsidRPr="00EA6C7A">
        <w:rPr>
          <w:rFonts w:ascii="Verdana" w:hAnsi="Verdana" w:cs="Arial"/>
          <w:sz w:val="20"/>
          <w:szCs w:val="20"/>
          <w:lang w:val="en-US" w:eastAsia="es-ES"/>
        </w:rPr>
        <w:t>the representatives</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 xml:space="preserve">contested the evidence presented by the State on March 25, </w:t>
      </w:r>
      <w:r w:rsidR="00165633" w:rsidRPr="00EA6C7A">
        <w:rPr>
          <w:rFonts w:ascii="Verdana" w:hAnsi="Verdana" w:cs="Arial"/>
          <w:sz w:val="20"/>
          <w:szCs w:val="20"/>
          <w:lang w:val="en-US" w:eastAsia="es-ES"/>
        </w:rPr>
        <w:t>2015</w:t>
      </w:r>
      <w:r w:rsidR="00C76151" w:rsidRPr="00EA6C7A">
        <w:rPr>
          <w:rFonts w:ascii="Verdana" w:hAnsi="Verdana" w:cs="Arial"/>
          <w:sz w:val="20"/>
          <w:szCs w:val="20"/>
          <w:lang w:val="en-US" w:eastAsia="es-ES"/>
        </w:rPr>
        <w:t xml:space="preserve"> (</w:t>
      </w:r>
      <w:r w:rsidR="00C76151" w:rsidRPr="00EA6C7A">
        <w:rPr>
          <w:rFonts w:ascii="Verdana" w:hAnsi="Verdana" w:cs="Arial"/>
          <w:i/>
          <w:sz w:val="20"/>
          <w:szCs w:val="20"/>
          <w:lang w:val="en-US" w:eastAsia="es-ES"/>
        </w:rPr>
        <w:t>supra</w:t>
      </w:r>
      <w:r w:rsidR="00C76151" w:rsidRPr="00EA6C7A">
        <w:rPr>
          <w:rFonts w:ascii="Verdana" w:hAnsi="Verdana" w:cs="Arial"/>
          <w:sz w:val="20"/>
          <w:szCs w:val="20"/>
          <w:lang w:val="en-US" w:eastAsia="es-ES"/>
        </w:rPr>
        <w:t xml:space="preserve"> </w:t>
      </w:r>
      <w:r w:rsidR="002F3848" w:rsidRPr="00EA6C7A">
        <w:rPr>
          <w:rFonts w:ascii="Verdana" w:hAnsi="Verdana" w:cs="Arial"/>
          <w:sz w:val="20"/>
          <w:szCs w:val="20"/>
          <w:lang w:val="en-US" w:eastAsia="es-ES"/>
        </w:rPr>
        <w:t>para.</w:t>
      </w:r>
      <w:r w:rsidR="00C76151" w:rsidRPr="00EA6C7A">
        <w:rPr>
          <w:rFonts w:ascii="Verdana" w:hAnsi="Verdana" w:cs="Arial"/>
          <w:sz w:val="20"/>
          <w:szCs w:val="20"/>
          <w:lang w:val="en-US" w:eastAsia="es-ES"/>
        </w:rPr>
        <w:t xml:space="preserve"> 11)</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 xml:space="preserve">considering that it contravened </w:t>
      </w:r>
      <w:r w:rsidR="0096418F" w:rsidRPr="00EA6C7A">
        <w:rPr>
          <w:rFonts w:ascii="Verdana" w:hAnsi="Verdana" w:cs="Arial"/>
          <w:sz w:val="20"/>
          <w:szCs w:val="20"/>
          <w:lang w:val="en-US" w:eastAsia="es-ES"/>
        </w:rPr>
        <w:t>Article</w:t>
      </w:r>
      <w:r w:rsidR="00165633" w:rsidRPr="00EA6C7A">
        <w:rPr>
          <w:rFonts w:ascii="Verdana" w:hAnsi="Verdana" w:cs="Arial"/>
          <w:sz w:val="20"/>
          <w:szCs w:val="20"/>
          <w:lang w:val="en-US" w:eastAsia="es-ES"/>
        </w:rPr>
        <w:t xml:space="preserve"> 41</w:t>
      </w:r>
      <w:r w:rsidR="0096418F" w:rsidRPr="00EA6C7A">
        <w:rPr>
          <w:rFonts w:ascii="Verdana" w:hAnsi="Verdana" w:cs="Arial"/>
          <w:sz w:val="20"/>
          <w:szCs w:val="20"/>
          <w:lang w:val="en-US" w:eastAsia="es-ES"/>
        </w:rPr>
        <w:t xml:space="preserve"> of the Rules of Procedure</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because</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t</w:t>
      </w:r>
      <w:r w:rsidR="00165633" w:rsidRPr="00EA6C7A">
        <w:rPr>
          <w:rFonts w:ascii="Verdana" w:hAnsi="Verdana" w:cs="Arial"/>
          <w:sz w:val="20"/>
          <w:szCs w:val="20"/>
          <w:lang w:val="en-US" w:eastAsia="es-ES"/>
        </w:rPr>
        <w:t>]</w:t>
      </w:r>
      <w:r w:rsidRPr="00EA6C7A">
        <w:rPr>
          <w:rFonts w:ascii="Verdana" w:hAnsi="Verdana" w:cs="Arial"/>
          <w:sz w:val="20"/>
          <w:szCs w:val="20"/>
          <w:lang w:val="en-US" w:eastAsia="es-ES"/>
        </w:rPr>
        <w:t>he State ha[d] ample time to include evidence on the investigati</w:t>
      </w:r>
      <w:r w:rsidR="00E71D3A" w:rsidRPr="00EA6C7A">
        <w:rPr>
          <w:rFonts w:ascii="Verdana" w:hAnsi="Verdana" w:cs="Arial"/>
          <w:sz w:val="20"/>
          <w:szCs w:val="20"/>
          <w:lang w:val="en-US" w:eastAsia="es-ES"/>
        </w:rPr>
        <w:t>ve</w:t>
      </w:r>
      <w:r w:rsidRPr="00EA6C7A">
        <w:rPr>
          <w:rFonts w:ascii="Verdana" w:hAnsi="Verdana" w:cs="Arial"/>
          <w:sz w:val="20"/>
          <w:szCs w:val="20"/>
          <w:lang w:val="en-US" w:eastAsia="es-ES"/>
        </w:rPr>
        <w:t xml:space="preserve"> actions and procedures.” In this regard, in the order of March 19, </w:t>
      </w:r>
      <w:r w:rsidR="00165633" w:rsidRPr="00EA6C7A">
        <w:rPr>
          <w:rFonts w:ascii="Verdana" w:hAnsi="Verdana"/>
          <w:sz w:val="20"/>
          <w:szCs w:val="20"/>
          <w:lang w:val="en-US"/>
        </w:rPr>
        <w:t>2015</w:t>
      </w:r>
      <w:r w:rsidR="00CE69C6" w:rsidRPr="00EA6C7A">
        <w:rPr>
          <w:rFonts w:ascii="Verdana" w:hAnsi="Verdana"/>
          <w:sz w:val="20"/>
          <w:szCs w:val="20"/>
          <w:lang w:val="en-US"/>
        </w:rPr>
        <w:t xml:space="preserve"> (</w:t>
      </w:r>
      <w:r w:rsidR="00CE69C6" w:rsidRPr="00EA6C7A">
        <w:rPr>
          <w:rFonts w:ascii="Verdana" w:hAnsi="Verdana"/>
          <w:i/>
          <w:sz w:val="20"/>
          <w:szCs w:val="20"/>
          <w:lang w:val="en-US"/>
        </w:rPr>
        <w:t xml:space="preserve">supra </w:t>
      </w:r>
      <w:r w:rsidR="002F3848" w:rsidRPr="00EA6C7A">
        <w:rPr>
          <w:rFonts w:ascii="Verdana" w:hAnsi="Verdana"/>
          <w:sz w:val="20"/>
          <w:szCs w:val="20"/>
          <w:lang w:val="en-US"/>
        </w:rPr>
        <w:t>para.</w:t>
      </w:r>
      <w:r w:rsidR="00CE69C6" w:rsidRPr="00EA6C7A">
        <w:rPr>
          <w:rFonts w:ascii="Verdana" w:hAnsi="Verdana"/>
          <w:sz w:val="20"/>
          <w:szCs w:val="20"/>
          <w:lang w:val="en-US"/>
        </w:rPr>
        <w:t xml:space="preserve"> 10)</w:t>
      </w:r>
      <w:r w:rsidR="00165633" w:rsidRPr="00EA6C7A">
        <w:rPr>
          <w:rFonts w:ascii="Verdana" w:hAnsi="Verdana"/>
          <w:sz w:val="20"/>
          <w:szCs w:val="20"/>
          <w:lang w:val="en-US"/>
        </w:rPr>
        <w:t>,</w:t>
      </w:r>
      <w:r w:rsidR="00165633" w:rsidRPr="00EA6C7A">
        <w:rPr>
          <w:rFonts w:ascii="Verdana" w:hAnsi="Verdana" w:cs="Arial"/>
          <w:sz w:val="20"/>
          <w:szCs w:val="20"/>
          <w:lang w:val="en-US" w:eastAsia="es-ES"/>
        </w:rPr>
        <w:t xml:space="preserve"> </w:t>
      </w:r>
      <w:r w:rsidR="0096418F" w:rsidRPr="00EA6C7A">
        <w:rPr>
          <w:rFonts w:ascii="Verdana" w:hAnsi="Verdana" w:cs="Arial"/>
          <w:sz w:val="20"/>
          <w:szCs w:val="20"/>
          <w:lang w:val="en-US" w:eastAsia="es-ES"/>
        </w:rPr>
        <w:t>the President of the Court</w:t>
      </w:r>
      <w:r w:rsidR="00165633" w:rsidRPr="00EA6C7A">
        <w:rPr>
          <w:rFonts w:ascii="Verdana" w:hAnsi="Verdana" w:cs="Arial"/>
          <w:sz w:val="20"/>
          <w:szCs w:val="20"/>
          <w:lang w:val="en-US" w:eastAsia="es-ES"/>
        </w:rPr>
        <w:t xml:space="preserve"> </w:t>
      </w:r>
      <w:r w:rsidR="00E71D3A" w:rsidRPr="00EA6C7A">
        <w:rPr>
          <w:rFonts w:ascii="Verdana" w:hAnsi="Verdana" w:cs="Arial"/>
          <w:sz w:val="20"/>
          <w:szCs w:val="20"/>
          <w:lang w:val="en-US" w:eastAsia="es-ES"/>
        </w:rPr>
        <w:t xml:space="preserve">had </w:t>
      </w:r>
      <w:r w:rsidRPr="00EA6C7A">
        <w:rPr>
          <w:rFonts w:ascii="Verdana" w:hAnsi="Verdana" w:cs="Arial"/>
          <w:sz w:val="20"/>
          <w:szCs w:val="20"/>
          <w:lang w:val="en-US" w:eastAsia="es-ES"/>
        </w:rPr>
        <w:t>asked</w:t>
      </w:r>
      <w:r w:rsidR="00E43A75" w:rsidRPr="00EA6C7A">
        <w:rPr>
          <w:rFonts w:ascii="Verdana" w:hAnsi="Verdana" w:cs="Arial"/>
          <w:sz w:val="20"/>
          <w:szCs w:val="20"/>
          <w:lang w:val="en-US" w:eastAsia="es-ES"/>
        </w:rPr>
        <w:t xml:space="preserve"> the State</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rPr>
        <w:t>to forward</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 xml:space="preserve">the file documents containing the procedural actions taken from May 2012 to date” as helpful evidence. Accordingly, the evidence provided by the State in response to the request made under Article 58(b) of the Rules of Procedure, which authorizes the Court to </w:t>
      </w:r>
      <w:r w:rsidR="00E71D3A" w:rsidRPr="00EA6C7A">
        <w:rPr>
          <w:rFonts w:ascii="Verdana" w:hAnsi="Verdana" w:cs="Arial"/>
          <w:sz w:val="20"/>
          <w:szCs w:val="20"/>
          <w:lang w:val="en-US" w:eastAsia="es-ES"/>
        </w:rPr>
        <w:t>ask</w:t>
      </w:r>
      <w:r w:rsidRPr="00EA6C7A">
        <w:rPr>
          <w:rFonts w:ascii="Verdana" w:hAnsi="Verdana" w:cs="Arial"/>
          <w:sz w:val="20"/>
          <w:szCs w:val="20"/>
          <w:lang w:val="en-US" w:eastAsia="es-ES"/>
        </w:rPr>
        <w:t xml:space="preserve"> the parties to provide evidence at any stage of the case, was admitted</w:t>
      </w:r>
    </w:p>
    <w:p w14:paraId="09DA0A3A" w14:textId="77777777" w:rsidR="00165633" w:rsidRPr="00EA6C7A" w:rsidRDefault="00165633" w:rsidP="00077D21">
      <w:pPr>
        <w:pStyle w:val="PrrafodeSentencia"/>
        <w:numPr>
          <w:ilvl w:val="0"/>
          <w:numId w:val="0"/>
        </w:numPr>
        <w:rPr>
          <w:lang w:val="en-US"/>
        </w:rPr>
      </w:pPr>
    </w:p>
    <w:p w14:paraId="0CC6F790" w14:textId="77777777" w:rsidR="00165633" w:rsidRPr="00EA6C7A" w:rsidRDefault="002F3848" w:rsidP="00E11A7C">
      <w:pPr>
        <w:pStyle w:val="Prrafodelista"/>
        <w:numPr>
          <w:ilvl w:val="0"/>
          <w:numId w:val="3"/>
        </w:numPr>
        <w:spacing w:after="0" w:line="240" w:lineRule="auto"/>
        <w:ind w:left="0" w:hanging="11"/>
        <w:jc w:val="both"/>
        <w:rPr>
          <w:rFonts w:ascii="Verdana" w:hAnsi="Verdana" w:cs="Arial"/>
          <w:sz w:val="20"/>
          <w:szCs w:val="20"/>
          <w:lang w:val="en-US" w:eastAsia="es-ES"/>
        </w:rPr>
      </w:pPr>
      <w:r w:rsidRPr="00EA6C7A">
        <w:rPr>
          <w:rFonts w:ascii="Verdana" w:hAnsi="Verdana"/>
          <w:sz w:val="20"/>
          <w:szCs w:val="20"/>
          <w:lang w:val="en-US"/>
        </w:rPr>
        <w:t>The State</w:t>
      </w:r>
      <w:r w:rsidR="00165633" w:rsidRPr="00EA6C7A">
        <w:rPr>
          <w:rFonts w:ascii="Verdana" w:hAnsi="Verdana"/>
          <w:sz w:val="20"/>
          <w:szCs w:val="20"/>
          <w:lang w:val="en-US"/>
        </w:rPr>
        <w:t xml:space="preserve"> </w:t>
      </w:r>
      <w:r w:rsidR="007B7FCE" w:rsidRPr="00EA6C7A">
        <w:rPr>
          <w:rFonts w:ascii="Verdana" w:hAnsi="Verdana"/>
          <w:sz w:val="20"/>
          <w:szCs w:val="20"/>
          <w:lang w:val="en-US"/>
        </w:rPr>
        <w:t xml:space="preserve">forwarded five annexes with its final written arguments. The Court noted that these documents were sent in response to questions that the judges </w:t>
      </w:r>
      <w:r w:rsidR="00E71D3A" w:rsidRPr="00EA6C7A">
        <w:rPr>
          <w:rFonts w:ascii="Verdana" w:hAnsi="Verdana"/>
          <w:sz w:val="20"/>
          <w:szCs w:val="20"/>
          <w:lang w:val="en-US"/>
        </w:rPr>
        <w:t xml:space="preserve">had </w:t>
      </w:r>
      <w:r w:rsidR="007B7FCE" w:rsidRPr="00EA6C7A">
        <w:rPr>
          <w:rFonts w:ascii="Verdana" w:hAnsi="Verdana"/>
          <w:sz w:val="20"/>
          <w:szCs w:val="20"/>
          <w:lang w:val="en-US"/>
        </w:rPr>
        <w:t xml:space="preserve">asked the State during the </w:t>
      </w:r>
      <w:r w:rsidR="00E43A75" w:rsidRPr="00EA6C7A">
        <w:rPr>
          <w:rFonts w:ascii="Verdana" w:hAnsi="Verdana"/>
          <w:sz w:val="20"/>
          <w:szCs w:val="20"/>
          <w:lang w:val="en-US"/>
        </w:rPr>
        <w:t>public hearing</w:t>
      </w:r>
      <w:r w:rsidR="00165633" w:rsidRPr="00EA6C7A">
        <w:rPr>
          <w:rFonts w:ascii="Verdana" w:hAnsi="Verdana"/>
          <w:sz w:val="20"/>
          <w:szCs w:val="20"/>
          <w:lang w:val="en-US"/>
        </w:rPr>
        <w:t>. N</w:t>
      </w:r>
      <w:r w:rsidR="007B7FCE" w:rsidRPr="00EA6C7A">
        <w:rPr>
          <w:rFonts w:ascii="Verdana" w:hAnsi="Verdana"/>
          <w:sz w:val="20"/>
          <w:szCs w:val="20"/>
          <w:lang w:val="en-US"/>
        </w:rPr>
        <w:t>either</w:t>
      </w:r>
      <w:r w:rsidR="00165633" w:rsidRPr="00EA6C7A">
        <w:rPr>
          <w:rFonts w:ascii="Verdana" w:hAnsi="Verdana"/>
          <w:sz w:val="20"/>
          <w:szCs w:val="20"/>
          <w:lang w:val="en-US"/>
        </w:rPr>
        <w:t xml:space="preserve"> </w:t>
      </w:r>
      <w:r w:rsidR="0096418F" w:rsidRPr="00EA6C7A">
        <w:rPr>
          <w:rFonts w:ascii="Verdana" w:hAnsi="Verdana"/>
          <w:sz w:val="20"/>
          <w:szCs w:val="20"/>
          <w:lang w:val="en-US"/>
        </w:rPr>
        <w:t>the Commission</w:t>
      </w:r>
      <w:r w:rsidR="00165633" w:rsidRPr="00EA6C7A">
        <w:rPr>
          <w:rFonts w:ascii="Verdana" w:hAnsi="Verdana"/>
          <w:sz w:val="20"/>
          <w:szCs w:val="20"/>
          <w:lang w:val="en-US"/>
        </w:rPr>
        <w:t xml:space="preserve"> n</w:t>
      </w:r>
      <w:r w:rsidR="007B7FCE" w:rsidRPr="00EA6C7A">
        <w:rPr>
          <w:rFonts w:ascii="Verdana" w:hAnsi="Verdana"/>
          <w:sz w:val="20"/>
          <w:szCs w:val="20"/>
          <w:lang w:val="en-US"/>
        </w:rPr>
        <w:t>or</w:t>
      </w:r>
      <w:r w:rsidR="00165633" w:rsidRPr="00EA6C7A">
        <w:rPr>
          <w:rFonts w:ascii="Verdana" w:hAnsi="Verdana"/>
          <w:sz w:val="20"/>
          <w:szCs w:val="20"/>
          <w:lang w:val="en-US"/>
        </w:rPr>
        <w:t xml:space="preserve"> </w:t>
      </w:r>
      <w:r w:rsidR="00E43A75" w:rsidRPr="00EA6C7A">
        <w:rPr>
          <w:rFonts w:ascii="Verdana" w:hAnsi="Verdana"/>
          <w:sz w:val="20"/>
          <w:szCs w:val="20"/>
          <w:lang w:val="en-US"/>
        </w:rPr>
        <w:t>the representatives</w:t>
      </w:r>
      <w:r w:rsidR="00165633" w:rsidRPr="00EA6C7A">
        <w:rPr>
          <w:rFonts w:ascii="Verdana" w:hAnsi="Verdana"/>
          <w:sz w:val="20"/>
          <w:szCs w:val="20"/>
          <w:lang w:val="en-US"/>
        </w:rPr>
        <w:t xml:space="preserve"> </w:t>
      </w:r>
      <w:r w:rsidR="007B7FCE" w:rsidRPr="00EA6C7A">
        <w:rPr>
          <w:rFonts w:ascii="Verdana" w:hAnsi="Verdana"/>
          <w:sz w:val="20"/>
          <w:szCs w:val="20"/>
          <w:lang w:val="en-US"/>
        </w:rPr>
        <w:t>contested the</w:t>
      </w:r>
      <w:r w:rsidR="00D10759" w:rsidRPr="00EA6C7A">
        <w:rPr>
          <w:rFonts w:ascii="Verdana" w:hAnsi="Verdana"/>
          <w:sz w:val="20"/>
          <w:szCs w:val="20"/>
          <w:lang w:val="en-US"/>
        </w:rPr>
        <w:t xml:space="preserve">ir admissibility. Therefore, pursuant to </w:t>
      </w:r>
      <w:r w:rsidR="0096418F" w:rsidRPr="00EA6C7A">
        <w:rPr>
          <w:rFonts w:ascii="Verdana" w:hAnsi="Verdana" w:cs="Arial"/>
          <w:sz w:val="20"/>
          <w:szCs w:val="20"/>
          <w:lang w:val="en-US" w:eastAsia="es-ES"/>
        </w:rPr>
        <w:t>Article</w:t>
      </w:r>
      <w:r w:rsidR="00165633" w:rsidRPr="00EA6C7A">
        <w:rPr>
          <w:rFonts w:ascii="Verdana" w:hAnsi="Verdana" w:cs="Arial"/>
          <w:sz w:val="20"/>
          <w:szCs w:val="20"/>
          <w:lang w:val="en-US" w:eastAsia="es-ES"/>
        </w:rPr>
        <w:t xml:space="preserve"> 58</w:t>
      </w:r>
      <w:r w:rsidR="00D10759" w:rsidRPr="00EA6C7A">
        <w:rPr>
          <w:rFonts w:ascii="Verdana" w:hAnsi="Verdana" w:cs="Arial"/>
          <w:sz w:val="20"/>
          <w:szCs w:val="20"/>
          <w:lang w:val="en-US" w:eastAsia="es-ES"/>
        </w:rPr>
        <w:t>(</w:t>
      </w:r>
      <w:r w:rsidR="00165633" w:rsidRPr="00EA6C7A">
        <w:rPr>
          <w:rFonts w:ascii="Verdana" w:hAnsi="Verdana" w:cs="Arial"/>
          <w:sz w:val="20"/>
          <w:szCs w:val="20"/>
          <w:lang w:val="en-US" w:eastAsia="es-ES"/>
        </w:rPr>
        <w:t>b</w:t>
      </w:r>
      <w:r w:rsidR="00D10759" w:rsidRPr="00EA6C7A">
        <w:rPr>
          <w:rFonts w:ascii="Verdana" w:hAnsi="Verdana" w:cs="Arial"/>
          <w:sz w:val="20"/>
          <w:szCs w:val="20"/>
          <w:lang w:val="en-US" w:eastAsia="es-ES"/>
        </w:rPr>
        <w:t>)</w:t>
      </w:r>
      <w:r w:rsidR="0096418F" w:rsidRPr="00EA6C7A">
        <w:rPr>
          <w:rFonts w:ascii="Verdana" w:hAnsi="Verdana" w:cs="Arial"/>
          <w:sz w:val="20"/>
          <w:szCs w:val="20"/>
          <w:lang w:val="en-US" w:eastAsia="es-ES"/>
        </w:rPr>
        <w:t xml:space="preserve"> of the Rules of Procedure</w:t>
      </w:r>
      <w:r w:rsidR="00165633" w:rsidRPr="00EA6C7A">
        <w:rPr>
          <w:rFonts w:ascii="Verdana" w:hAnsi="Verdana" w:cs="Arial"/>
          <w:sz w:val="20"/>
          <w:szCs w:val="20"/>
          <w:lang w:val="en-US" w:eastAsia="es-ES"/>
        </w:rPr>
        <w:t xml:space="preserve">, </w:t>
      </w:r>
      <w:r w:rsidR="0096418F" w:rsidRPr="00EA6C7A">
        <w:rPr>
          <w:rFonts w:ascii="Verdana" w:hAnsi="Verdana" w:cs="Arial"/>
          <w:sz w:val="20"/>
          <w:szCs w:val="20"/>
          <w:lang w:val="en-US" w:eastAsia="es-ES"/>
        </w:rPr>
        <w:t>the Court</w:t>
      </w:r>
      <w:r w:rsidR="00165633" w:rsidRPr="00EA6C7A">
        <w:rPr>
          <w:rFonts w:ascii="Verdana" w:hAnsi="Verdana" w:cs="Arial"/>
          <w:sz w:val="20"/>
          <w:szCs w:val="20"/>
          <w:lang w:val="en-US" w:eastAsia="es-ES"/>
        </w:rPr>
        <w:t xml:space="preserve"> </w:t>
      </w:r>
      <w:r w:rsidR="00D10759" w:rsidRPr="00EA6C7A">
        <w:rPr>
          <w:rFonts w:ascii="Verdana" w:hAnsi="Verdana" w:cs="Arial"/>
          <w:sz w:val="20"/>
          <w:szCs w:val="20"/>
          <w:lang w:val="en-US" w:eastAsia="es-ES"/>
        </w:rPr>
        <w:t>admits these documents.</w:t>
      </w:r>
    </w:p>
    <w:p w14:paraId="48141465" w14:textId="77777777" w:rsidR="00165633" w:rsidRPr="00EA6C7A" w:rsidRDefault="00165633" w:rsidP="00026CB6">
      <w:pPr>
        <w:pStyle w:val="Sentencia3"/>
        <w:rPr>
          <w:sz w:val="16"/>
          <w:lang w:val="en-US" w:eastAsia="es-ES"/>
        </w:rPr>
      </w:pPr>
    </w:p>
    <w:p w14:paraId="455F52AA" w14:textId="77777777" w:rsidR="00165633" w:rsidRPr="00EA6C7A" w:rsidRDefault="00165633" w:rsidP="00026CB6">
      <w:pPr>
        <w:pStyle w:val="Sentencia3"/>
        <w:rPr>
          <w:rFonts w:eastAsia="Verdana" w:cs="Verdana"/>
          <w:lang w:val="en-US"/>
        </w:rPr>
      </w:pPr>
      <w:bookmarkStart w:id="36" w:name="_Toc26002300"/>
      <w:r w:rsidRPr="00EA6C7A">
        <w:rPr>
          <w:lang w:val="en-US"/>
        </w:rPr>
        <w:t xml:space="preserve">B.2. </w:t>
      </w:r>
      <w:r w:rsidR="00C91952" w:rsidRPr="00EA6C7A">
        <w:rPr>
          <w:rFonts w:eastAsia="Verdana" w:cs="Verdana"/>
          <w:lang w:val="en-US"/>
        </w:rPr>
        <w:t xml:space="preserve">Admission of the </w:t>
      </w:r>
      <w:r w:rsidR="00D10759" w:rsidRPr="00EA6C7A">
        <w:rPr>
          <w:rFonts w:eastAsia="Verdana" w:cs="Verdana"/>
          <w:lang w:val="en-US"/>
        </w:rPr>
        <w:t>testimonial and expert evidence</w:t>
      </w:r>
      <w:bookmarkEnd w:id="36"/>
    </w:p>
    <w:p w14:paraId="74F313C7" w14:textId="77777777" w:rsidR="00165633" w:rsidRPr="00EA6C7A" w:rsidRDefault="00165633" w:rsidP="005C2115">
      <w:pPr>
        <w:spacing w:after="0" w:line="240" w:lineRule="auto"/>
        <w:rPr>
          <w:rFonts w:ascii="Verdana" w:hAnsi="Verdana" w:cs="Arial"/>
          <w:sz w:val="16"/>
          <w:szCs w:val="20"/>
          <w:lang w:val="en-US"/>
        </w:rPr>
      </w:pPr>
    </w:p>
    <w:p w14:paraId="2C4AB932" w14:textId="77777777" w:rsidR="00F541CA" w:rsidRPr="00EA6C7A" w:rsidRDefault="0096418F" w:rsidP="00E11A7C">
      <w:pPr>
        <w:pStyle w:val="Prrafodelista"/>
        <w:numPr>
          <w:ilvl w:val="0"/>
          <w:numId w:val="3"/>
        </w:numPr>
        <w:spacing w:after="0" w:line="240" w:lineRule="auto"/>
        <w:ind w:left="0" w:hanging="11"/>
        <w:jc w:val="both"/>
        <w:rPr>
          <w:rFonts w:ascii="Verdana" w:hAnsi="Verdana"/>
          <w:sz w:val="20"/>
          <w:szCs w:val="20"/>
          <w:lang w:val="en-US"/>
        </w:rPr>
      </w:pPr>
      <w:bookmarkStart w:id="37" w:name="_Ref314000400"/>
      <w:r w:rsidRPr="00EA6C7A">
        <w:rPr>
          <w:rFonts w:ascii="Verdana" w:hAnsi="Verdana"/>
          <w:sz w:val="20"/>
          <w:szCs w:val="20"/>
          <w:lang w:val="en-US"/>
        </w:rPr>
        <w:t>The Court</w:t>
      </w:r>
      <w:r w:rsidR="00F541CA" w:rsidRPr="00EA6C7A">
        <w:rPr>
          <w:rFonts w:ascii="Verdana" w:hAnsi="Verdana"/>
          <w:sz w:val="20"/>
          <w:szCs w:val="20"/>
          <w:lang w:val="en-US"/>
        </w:rPr>
        <w:t xml:space="preserve"> </w:t>
      </w:r>
      <w:r w:rsidR="00D10759" w:rsidRPr="00EA6C7A">
        <w:rPr>
          <w:rFonts w:ascii="Verdana" w:hAnsi="Verdana"/>
          <w:sz w:val="20"/>
          <w:szCs w:val="20"/>
          <w:lang w:val="en-US"/>
        </w:rPr>
        <w:t xml:space="preserve">finds it pertinent to admit the statements of the </w:t>
      </w:r>
      <w:r w:rsidR="00E43A75" w:rsidRPr="00EA6C7A">
        <w:rPr>
          <w:rFonts w:ascii="Verdana" w:hAnsi="Verdana"/>
          <w:sz w:val="20"/>
          <w:szCs w:val="20"/>
          <w:lang w:val="en-US"/>
        </w:rPr>
        <w:t xml:space="preserve">presumed </w:t>
      </w:r>
      <w:r w:rsidR="00E71D3A" w:rsidRPr="00EA6C7A">
        <w:rPr>
          <w:rFonts w:ascii="Verdana" w:hAnsi="Verdana"/>
          <w:sz w:val="20"/>
          <w:szCs w:val="20"/>
          <w:lang w:val="en-US"/>
        </w:rPr>
        <w:t>victims</w:t>
      </w:r>
      <w:r w:rsidR="00D10759" w:rsidRPr="00EA6C7A">
        <w:rPr>
          <w:rFonts w:ascii="Verdana" w:hAnsi="Verdana"/>
          <w:sz w:val="20"/>
          <w:szCs w:val="20"/>
          <w:lang w:val="en-US"/>
        </w:rPr>
        <w:t xml:space="preserve"> and witnesses, and</w:t>
      </w:r>
      <w:r w:rsidR="00E71D3A" w:rsidRPr="00EA6C7A">
        <w:rPr>
          <w:rFonts w:ascii="Verdana" w:hAnsi="Verdana"/>
          <w:sz w:val="20"/>
          <w:szCs w:val="20"/>
          <w:lang w:val="en-US"/>
        </w:rPr>
        <w:t xml:space="preserve"> also</w:t>
      </w:r>
      <w:r w:rsidR="00D10759" w:rsidRPr="00EA6C7A">
        <w:rPr>
          <w:rFonts w:ascii="Verdana" w:hAnsi="Verdana"/>
          <w:sz w:val="20"/>
          <w:szCs w:val="20"/>
          <w:lang w:val="en-US"/>
        </w:rPr>
        <w:t xml:space="preserve"> the expert opinions provided during the </w:t>
      </w:r>
      <w:r w:rsidR="00E43A75" w:rsidRPr="00EA6C7A">
        <w:rPr>
          <w:rFonts w:ascii="Verdana" w:hAnsi="Verdana"/>
          <w:sz w:val="20"/>
          <w:szCs w:val="20"/>
          <w:lang w:val="en-US"/>
        </w:rPr>
        <w:t>public hearing</w:t>
      </w:r>
      <w:r w:rsidR="00F541CA" w:rsidRPr="00EA6C7A">
        <w:rPr>
          <w:rFonts w:ascii="Verdana" w:hAnsi="Verdana"/>
          <w:sz w:val="20"/>
          <w:szCs w:val="20"/>
          <w:lang w:val="en-US"/>
        </w:rPr>
        <w:t xml:space="preserve"> </w:t>
      </w:r>
      <w:r w:rsidR="00D10759" w:rsidRPr="00EA6C7A">
        <w:rPr>
          <w:rFonts w:ascii="Verdana" w:hAnsi="Verdana"/>
          <w:sz w:val="20"/>
          <w:szCs w:val="20"/>
          <w:lang w:val="en-US"/>
        </w:rPr>
        <w:t xml:space="preserve">and by affidavit that were not contested, insofar as they are in keeping with the purpose defined by the President in the order requiring them </w:t>
      </w:r>
      <w:r w:rsidR="00F541CA" w:rsidRPr="00EA6C7A">
        <w:rPr>
          <w:rFonts w:ascii="Verdana" w:hAnsi="Verdana"/>
          <w:sz w:val="20"/>
          <w:szCs w:val="20"/>
          <w:lang w:val="en-US"/>
        </w:rPr>
        <w:t>(</w:t>
      </w:r>
      <w:r w:rsidR="00F541CA" w:rsidRPr="00EA6C7A">
        <w:rPr>
          <w:rFonts w:ascii="Verdana" w:eastAsia="Batang" w:hAnsi="Verdana"/>
          <w:i/>
          <w:sz w:val="20"/>
          <w:szCs w:val="20"/>
          <w:lang w:val="en-US"/>
        </w:rPr>
        <w:t>supra</w:t>
      </w:r>
      <w:r w:rsidR="00F541CA" w:rsidRPr="00EA6C7A">
        <w:rPr>
          <w:rFonts w:ascii="Verdana" w:eastAsia="Batang" w:hAnsi="Verdana"/>
          <w:sz w:val="20"/>
          <w:szCs w:val="20"/>
          <w:lang w:val="en-US"/>
        </w:rPr>
        <w:t xml:space="preserve"> </w:t>
      </w:r>
      <w:r w:rsidR="002F3848" w:rsidRPr="00EA6C7A">
        <w:rPr>
          <w:rFonts w:ascii="Verdana" w:eastAsia="Batang" w:hAnsi="Verdana"/>
          <w:sz w:val="20"/>
          <w:szCs w:val="20"/>
          <w:lang w:val="en-US"/>
        </w:rPr>
        <w:t>para.</w:t>
      </w:r>
      <w:r w:rsidR="0033115D" w:rsidRPr="00EA6C7A">
        <w:rPr>
          <w:rFonts w:ascii="Verdana" w:hAnsi="Verdana"/>
          <w:sz w:val="20"/>
          <w:szCs w:val="20"/>
          <w:lang w:val="en-US"/>
        </w:rPr>
        <w:t xml:space="preserve"> 10</w:t>
      </w:r>
      <w:r w:rsidR="00F541CA" w:rsidRPr="00EA6C7A">
        <w:rPr>
          <w:rFonts w:ascii="Verdana" w:eastAsia="Batang" w:hAnsi="Verdana"/>
          <w:sz w:val="20"/>
          <w:szCs w:val="20"/>
          <w:lang w:val="en-US"/>
        </w:rPr>
        <w:t>)</w:t>
      </w:r>
      <w:r w:rsidR="00F541CA" w:rsidRPr="00EA6C7A">
        <w:rPr>
          <w:rFonts w:ascii="Verdana" w:hAnsi="Verdana"/>
          <w:sz w:val="20"/>
          <w:szCs w:val="20"/>
          <w:lang w:val="en-US"/>
        </w:rPr>
        <w:t>.</w:t>
      </w:r>
      <w:bookmarkEnd w:id="37"/>
    </w:p>
    <w:p w14:paraId="49AF8F67" w14:textId="77777777" w:rsidR="00F541CA" w:rsidRPr="00EA6C7A" w:rsidRDefault="00F541CA" w:rsidP="00EF201C">
      <w:pPr>
        <w:pStyle w:val="Prrafodelista"/>
        <w:autoSpaceDE w:val="0"/>
        <w:autoSpaceDN w:val="0"/>
        <w:adjustRightInd w:val="0"/>
        <w:spacing w:after="0" w:line="240" w:lineRule="auto"/>
        <w:ind w:left="0"/>
        <w:jc w:val="both"/>
        <w:rPr>
          <w:rFonts w:ascii="Verdana" w:hAnsi="Verdana"/>
          <w:b/>
          <w:sz w:val="20"/>
          <w:szCs w:val="20"/>
          <w:lang w:val="en-US"/>
        </w:rPr>
      </w:pPr>
    </w:p>
    <w:p w14:paraId="6F1D2CE5" w14:textId="77777777" w:rsidR="00165633" w:rsidRPr="00EA6C7A" w:rsidRDefault="00C016A8" w:rsidP="00C016A8">
      <w:pPr>
        <w:pStyle w:val="Prrafodelista"/>
        <w:numPr>
          <w:ilvl w:val="0"/>
          <w:numId w:val="3"/>
        </w:numPr>
        <w:spacing w:after="0" w:line="240" w:lineRule="auto"/>
        <w:ind w:left="0" w:hanging="11"/>
        <w:jc w:val="both"/>
        <w:rPr>
          <w:rFonts w:ascii="Verdana" w:hAnsi="Verdana"/>
          <w:b/>
          <w:sz w:val="20"/>
          <w:szCs w:val="20"/>
          <w:lang w:val="en-US"/>
        </w:rPr>
      </w:pPr>
      <w:r w:rsidRPr="00EA6C7A">
        <w:rPr>
          <w:rFonts w:ascii="Verdana" w:hAnsi="Verdana" w:cs="Arial"/>
          <w:sz w:val="20"/>
          <w:szCs w:val="20"/>
          <w:lang w:val="en-US" w:eastAsia="es-ES"/>
        </w:rPr>
        <w:lastRenderedPageBreak/>
        <w:t>In its final written arguments</w:t>
      </w:r>
      <w:r w:rsidR="00165633" w:rsidRPr="00EA6C7A">
        <w:rPr>
          <w:rFonts w:ascii="Verdana" w:hAnsi="Verdana" w:cs="Arial"/>
          <w:sz w:val="20"/>
          <w:szCs w:val="20"/>
          <w:lang w:val="en-US" w:eastAsia="es-ES"/>
        </w:rPr>
        <w:t xml:space="preserve">, </w:t>
      </w:r>
      <w:r w:rsidR="002F3848" w:rsidRPr="00EA6C7A">
        <w:rPr>
          <w:rFonts w:ascii="Verdana" w:hAnsi="Verdana" w:cs="Arial"/>
          <w:sz w:val="20"/>
          <w:szCs w:val="20"/>
          <w:lang w:val="en-US" w:eastAsia="es-ES"/>
        </w:rPr>
        <w:t>the State</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indicated that expert witness</w:t>
      </w:r>
      <w:r w:rsidR="00165633" w:rsidRPr="00EA6C7A">
        <w:rPr>
          <w:rFonts w:ascii="Verdana" w:hAnsi="Verdana"/>
          <w:sz w:val="20"/>
          <w:szCs w:val="20"/>
          <w:lang w:val="en-US"/>
        </w:rPr>
        <w:t xml:space="preserve"> </w:t>
      </w:r>
      <w:r w:rsidR="00CE69C6" w:rsidRPr="00EA6C7A">
        <w:rPr>
          <w:rFonts w:ascii="Verdana" w:hAnsi="Verdana"/>
          <w:sz w:val="20"/>
          <w:szCs w:val="20"/>
          <w:lang w:val="en-US"/>
        </w:rPr>
        <w:t>Claudia González Orellana</w:t>
      </w:r>
      <w:r w:rsidR="00165633" w:rsidRPr="00EA6C7A">
        <w:rPr>
          <w:rFonts w:ascii="Verdana" w:hAnsi="Verdana"/>
          <w:sz w:val="20"/>
          <w:szCs w:val="20"/>
          <w:lang w:val="en-US"/>
        </w:rPr>
        <w:t xml:space="preserve">, </w:t>
      </w:r>
      <w:r w:rsidRPr="00EA6C7A">
        <w:rPr>
          <w:rFonts w:ascii="Verdana" w:hAnsi="Verdana"/>
          <w:sz w:val="20"/>
          <w:szCs w:val="20"/>
          <w:lang w:val="en-US"/>
        </w:rPr>
        <w:t>was never either</w:t>
      </w:r>
      <w:r w:rsidR="00165633" w:rsidRPr="00EA6C7A">
        <w:rPr>
          <w:rFonts w:ascii="Verdana" w:hAnsi="Verdana"/>
          <w:sz w:val="20"/>
          <w:szCs w:val="20"/>
          <w:lang w:val="en-US"/>
        </w:rPr>
        <w:t xml:space="preserve"> </w:t>
      </w:r>
      <w:r w:rsidR="009A4205" w:rsidRPr="00EA6C7A">
        <w:rPr>
          <w:rFonts w:ascii="Verdana" w:hAnsi="Verdana"/>
          <w:sz w:val="20"/>
          <w:szCs w:val="20"/>
          <w:lang w:val="en-US"/>
        </w:rPr>
        <w:t>“[</w:t>
      </w:r>
      <w:proofErr w:type="spellStart"/>
      <w:r w:rsidR="00CE69C6" w:rsidRPr="00EA6C7A">
        <w:rPr>
          <w:rFonts w:ascii="Verdana" w:hAnsi="Verdana"/>
          <w:sz w:val="20"/>
          <w:szCs w:val="20"/>
          <w:lang w:val="en-US"/>
        </w:rPr>
        <w:t>im</w:t>
      </w:r>
      <w:proofErr w:type="spellEnd"/>
      <w:r w:rsidR="009A4205" w:rsidRPr="00EA6C7A">
        <w:rPr>
          <w:rFonts w:ascii="Verdana" w:hAnsi="Verdana"/>
          <w:sz w:val="20"/>
          <w:szCs w:val="20"/>
          <w:lang w:val="en-US"/>
        </w:rPr>
        <w:t>]</w:t>
      </w:r>
      <w:r w:rsidR="00165633" w:rsidRPr="00EA6C7A">
        <w:rPr>
          <w:rFonts w:ascii="Verdana" w:hAnsi="Verdana"/>
          <w:sz w:val="20"/>
          <w:szCs w:val="20"/>
          <w:lang w:val="en-US"/>
        </w:rPr>
        <w:t>par</w:t>
      </w:r>
      <w:r w:rsidRPr="00EA6C7A">
        <w:rPr>
          <w:rFonts w:ascii="Verdana" w:hAnsi="Verdana"/>
          <w:sz w:val="20"/>
          <w:szCs w:val="20"/>
          <w:lang w:val="en-US"/>
        </w:rPr>
        <w:t xml:space="preserve">tial or objective,” and that her opinion went beyond the purpose established by the President. It also argued that the expert opinion of </w:t>
      </w:r>
      <w:r w:rsidR="00165633" w:rsidRPr="00EA6C7A">
        <w:rPr>
          <w:rFonts w:ascii="Verdana" w:hAnsi="Verdana"/>
          <w:bCs/>
          <w:sz w:val="20"/>
          <w:szCs w:val="20"/>
          <w:lang w:val="en-US"/>
        </w:rPr>
        <w:t>Christine Mary Chinkin</w:t>
      </w:r>
      <w:r w:rsidR="00165633" w:rsidRPr="00EA6C7A">
        <w:rPr>
          <w:rFonts w:ascii="Verdana" w:hAnsi="Verdana"/>
          <w:sz w:val="20"/>
          <w:szCs w:val="20"/>
          <w:lang w:val="en-US"/>
        </w:rPr>
        <w:t xml:space="preserve"> </w:t>
      </w:r>
      <w:r w:rsidRPr="00EA6C7A">
        <w:rPr>
          <w:rFonts w:ascii="Verdana" w:hAnsi="Verdana"/>
          <w:sz w:val="20"/>
          <w:szCs w:val="20"/>
          <w:lang w:val="en-US"/>
        </w:rPr>
        <w:t>was characterized by an eviden</w:t>
      </w:r>
      <w:r w:rsidR="00E71D3A" w:rsidRPr="00EA6C7A">
        <w:rPr>
          <w:rFonts w:ascii="Verdana" w:hAnsi="Verdana"/>
          <w:sz w:val="20"/>
          <w:szCs w:val="20"/>
          <w:lang w:val="en-US"/>
        </w:rPr>
        <w:t>t</w:t>
      </w:r>
      <w:r w:rsidRPr="00EA6C7A">
        <w:rPr>
          <w:rFonts w:ascii="Verdana" w:hAnsi="Verdana"/>
          <w:sz w:val="20"/>
          <w:szCs w:val="20"/>
          <w:lang w:val="en-US"/>
        </w:rPr>
        <w:t xml:space="preserve"> bias and lack of objectivity</w:t>
      </w:r>
      <w:r w:rsidR="00165633" w:rsidRPr="00EA6C7A">
        <w:rPr>
          <w:rFonts w:ascii="Verdana" w:hAnsi="Verdana"/>
          <w:sz w:val="20"/>
          <w:szCs w:val="20"/>
          <w:lang w:val="en-US"/>
        </w:rPr>
        <w:t>,</w:t>
      </w:r>
      <w:r w:rsidRPr="00EA6C7A">
        <w:rPr>
          <w:rFonts w:ascii="Verdana" w:hAnsi="Verdana"/>
          <w:sz w:val="20"/>
          <w:szCs w:val="20"/>
          <w:lang w:val="en-US"/>
        </w:rPr>
        <w:t xml:space="preserve"> did</w:t>
      </w:r>
      <w:r w:rsidR="00165633" w:rsidRPr="00EA6C7A">
        <w:rPr>
          <w:rFonts w:ascii="Verdana" w:hAnsi="Verdana"/>
          <w:sz w:val="20"/>
          <w:szCs w:val="20"/>
          <w:lang w:val="en-US"/>
        </w:rPr>
        <w:t xml:space="preserve"> “no</w:t>
      </w:r>
      <w:r w:rsidRPr="00EA6C7A">
        <w:rPr>
          <w:rFonts w:ascii="Verdana" w:hAnsi="Verdana"/>
          <w:sz w:val="20"/>
          <w:szCs w:val="20"/>
          <w:lang w:val="en-US"/>
        </w:rPr>
        <w:t>t</w:t>
      </w:r>
      <w:r w:rsidR="00165633" w:rsidRPr="00EA6C7A">
        <w:rPr>
          <w:rFonts w:ascii="Verdana" w:hAnsi="Verdana"/>
          <w:sz w:val="20"/>
          <w:szCs w:val="20"/>
          <w:lang w:val="en-US"/>
        </w:rPr>
        <w:t xml:space="preserve"> respond</w:t>
      </w:r>
      <w:r w:rsidRPr="00EA6C7A">
        <w:rPr>
          <w:rFonts w:ascii="Verdana" w:hAnsi="Verdana"/>
          <w:sz w:val="20"/>
          <w:szCs w:val="20"/>
          <w:lang w:val="en-US"/>
        </w:rPr>
        <w:t xml:space="preserve"> expressly to the questions</w:t>
      </w:r>
      <w:r w:rsidR="00E71D3A" w:rsidRPr="00EA6C7A">
        <w:rPr>
          <w:rFonts w:ascii="Verdana" w:hAnsi="Verdana"/>
          <w:sz w:val="20"/>
          <w:szCs w:val="20"/>
          <w:lang w:val="en-US"/>
        </w:rPr>
        <w:t>,</w:t>
      </w:r>
      <w:r w:rsidRPr="00EA6C7A">
        <w:rPr>
          <w:rFonts w:ascii="Verdana" w:hAnsi="Verdana"/>
          <w:sz w:val="20"/>
          <w:szCs w:val="20"/>
          <w:lang w:val="en-US"/>
        </w:rPr>
        <w:t>” and “was not grounded on specific or proven facts, but rather o</w:t>
      </w:r>
      <w:r w:rsidR="00E71D3A" w:rsidRPr="00EA6C7A">
        <w:rPr>
          <w:rFonts w:ascii="Verdana" w:hAnsi="Verdana"/>
          <w:sz w:val="20"/>
          <w:szCs w:val="20"/>
          <w:lang w:val="en-US"/>
        </w:rPr>
        <w:t>n</w:t>
      </w:r>
      <w:r w:rsidRPr="00EA6C7A">
        <w:rPr>
          <w:rFonts w:ascii="Verdana" w:hAnsi="Verdana"/>
          <w:sz w:val="20"/>
          <w:szCs w:val="20"/>
          <w:lang w:val="en-US"/>
        </w:rPr>
        <w:t xml:space="preserve"> suppositions, data and statistics that the expert witness herself </w:t>
      </w:r>
      <w:r w:rsidR="00E71D3A" w:rsidRPr="00EA6C7A">
        <w:rPr>
          <w:rFonts w:ascii="Verdana" w:hAnsi="Verdana"/>
          <w:sz w:val="20"/>
          <w:szCs w:val="20"/>
          <w:lang w:val="en-US"/>
        </w:rPr>
        <w:t>had acknowledged</w:t>
      </w:r>
      <w:r w:rsidRPr="00EA6C7A">
        <w:rPr>
          <w:rFonts w:ascii="Verdana" w:hAnsi="Verdana"/>
          <w:sz w:val="20"/>
          <w:szCs w:val="20"/>
          <w:lang w:val="en-US"/>
        </w:rPr>
        <w:t xml:space="preserve"> were not reliable.”  Consequently, Guatemala expressed its disagreement wit</w:t>
      </w:r>
      <w:r w:rsidR="00E71D3A" w:rsidRPr="00EA6C7A">
        <w:rPr>
          <w:rFonts w:ascii="Verdana" w:hAnsi="Verdana"/>
          <w:sz w:val="20"/>
          <w:szCs w:val="20"/>
          <w:lang w:val="en-US"/>
        </w:rPr>
        <w:t>h</w:t>
      </w:r>
      <w:r w:rsidRPr="00EA6C7A">
        <w:rPr>
          <w:rFonts w:ascii="Verdana" w:hAnsi="Verdana"/>
          <w:sz w:val="20"/>
          <w:szCs w:val="20"/>
          <w:lang w:val="en-US"/>
        </w:rPr>
        <w:t xml:space="preserve"> the opinions of expert witnesses</w:t>
      </w:r>
      <w:r w:rsidRPr="00EA6C7A">
        <w:rPr>
          <w:rFonts w:ascii="Verdana" w:hAnsi="Verdana"/>
          <w:b/>
          <w:sz w:val="20"/>
          <w:szCs w:val="20"/>
          <w:lang w:val="en-US"/>
        </w:rPr>
        <w:t xml:space="preserve"> </w:t>
      </w:r>
      <w:r w:rsidR="00165633" w:rsidRPr="00EA6C7A">
        <w:rPr>
          <w:rFonts w:ascii="Verdana" w:hAnsi="Verdana"/>
          <w:sz w:val="20"/>
          <w:szCs w:val="20"/>
          <w:lang w:val="en-US"/>
        </w:rPr>
        <w:t>González</w:t>
      </w:r>
      <w:r w:rsidR="00D948A1" w:rsidRPr="00EA6C7A">
        <w:rPr>
          <w:rFonts w:ascii="Verdana" w:hAnsi="Verdana"/>
          <w:sz w:val="20"/>
          <w:szCs w:val="20"/>
          <w:lang w:val="en-US"/>
        </w:rPr>
        <w:t xml:space="preserve"> and </w:t>
      </w:r>
      <w:r w:rsidR="00165633" w:rsidRPr="00EA6C7A">
        <w:rPr>
          <w:rFonts w:ascii="Verdana" w:hAnsi="Verdana"/>
          <w:sz w:val="20"/>
          <w:szCs w:val="20"/>
          <w:lang w:val="en-US"/>
        </w:rPr>
        <w:t xml:space="preserve">Chinkin </w:t>
      </w:r>
      <w:r w:rsidRPr="00EA6C7A">
        <w:rPr>
          <w:rFonts w:ascii="Verdana" w:hAnsi="Verdana"/>
          <w:sz w:val="20"/>
          <w:szCs w:val="20"/>
          <w:lang w:val="en-US"/>
        </w:rPr>
        <w:t xml:space="preserve">being used as evidence in this case. The Court considers that these objections relate to the probative weight and scope of the said expert opinions, but did not affect their admissibility as part of the body of evidence. Accordingly, the Court finds it in order to admit them in the terms established in the said order </w:t>
      </w:r>
      <w:r w:rsidR="0096418F" w:rsidRPr="00EA6C7A">
        <w:rPr>
          <w:rFonts w:ascii="Verdana" w:hAnsi="Verdana"/>
          <w:sz w:val="20"/>
          <w:szCs w:val="20"/>
          <w:lang w:val="en-US"/>
        </w:rPr>
        <w:t>of the President</w:t>
      </w:r>
      <w:r w:rsidR="00165633" w:rsidRPr="00EA6C7A">
        <w:rPr>
          <w:rFonts w:ascii="Verdana" w:hAnsi="Verdana"/>
          <w:sz w:val="20"/>
          <w:szCs w:val="20"/>
          <w:lang w:val="en-US"/>
        </w:rPr>
        <w:t>.</w:t>
      </w:r>
    </w:p>
    <w:p w14:paraId="4D503C29" w14:textId="77777777" w:rsidR="00165633" w:rsidRPr="00EA6C7A" w:rsidRDefault="00165633" w:rsidP="00794BCC">
      <w:pPr>
        <w:pStyle w:val="Prrafodelista"/>
        <w:autoSpaceDE w:val="0"/>
        <w:autoSpaceDN w:val="0"/>
        <w:adjustRightInd w:val="0"/>
        <w:spacing w:after="0" w:line="240" w:lineRule="auto"/>
        <w:ind w:left="0"/>
        <w:jc w:val="both"/>
        <w:rPr>
          <w:rFonts w:ascii="Verdana" w:hAnsi="Verdana"/>
          <w:b/>
          <w:sz w:val="20"/>
          <w:szCs w:val="20"/>
          <w:lang w:val="en-US"/>
        </w:rPr>
      </w:pPr>
    </w:p>
    <w:p w14:paraId="1A20CB30" w14:textId="77777777" w:rsidR="00165633" w:rsidRPr="00EA6C7A" w:rsidRDefault="002414E4" w:rsidP="002414E4">
      <w:pPr>
        <w:pStyle w:val="Prrafodelista"/>
        <w:numPr>
          <w:ilvl w:val="0"/>
          <w:numId w:val="3"/>
        </w:numPr>
        <w:spacing w:after="0" w:line="240" w:lineRule="auto"/>
        <w:ind w:left="0" w:hanging="11"/>
        <w:jc w:val="both"/>
        <w:rPr>
          <w:rFonts w:ascii="Verdana" w:hAnsi="Verdana" w:cs="Arial"/>
          <w:sz w:val="20"/>
          <w:szCs w:val="20"/>
          <w:lang w:val="en-US" w:eastAsia="es-ES"/>
        </w:rPr>
      </w:pPr>
      <w:r w:rsidRPr="00EA6C7A">
        <w:rPr>
          <w:rFonts w:ascii="Verdana" w:hAnsi="Verdana" w:cs="Arial"/>
          <w:sz w:val="20"/>
          <w:szCs w:val="20"/>
          <w:lang w:val="en-US" w:eastAsia="es-ES"/>
        </w:rPr>
        <w:t>In addition, in a communication of April 6,</w:t>
      </w:r>
      <w:r w:rsidR="00165633" w:rsidRPr="00EA6C7A">
        <w:rPr>
          <w:rFonts w:ascii="Verdana" w:hAnsi="Verdana" w:cs="Arial"/>
          <w:sz w:val="20"/>
          <w:szCs w:val="20"/>
          <w:lang w:val="en-US" w:eastAsia="es-ES"/>
        </w:rPr>
        <w:t xml:space="preserve"> 2015, </w:t>
      </w:r>
      <w:r w:rsidR="00E43A75" w:rsidRPr="00EA6C7A">
        <w:rPr>
          <w:rFonts w:ascii="Verdana" w:hAnsi="Verdana" w:cs="Arial"/>
          <w:sz w:val="20"/>
          <w:szCs w:val="20"/>
          <w:lang w:val="en-US" w:eastAsia="es-ES"/>
        </w:rPr>
        <w:t>the representatives</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 xml:space="preserve">presented an objection to the scope of the purpose of the statement of witness </w:t>
      </w:r>
      <w:r w:rsidR="0033115D" w:rsidRPr="00EA6C7A">
        <w:rPr>
          <w:rFonts w:ascii="Verdana" w:hAnsi="Verdana" w:cs="Arial"/>
          <w:sz w:val="20"/>
          <w:szCs w:val="20"/>
          <w:lang w:val="en-US" w:eastAsia="es-ES"/>
        </w:rPr>
        <w:t xml:space="preserve">Víctor Manuel </w:t>
      </w:r>
      <w:r w:rsidR="00165633" w:rsidRPr="00EA6C7A">
        <w:rPr>
          <w:rFonts w:ascii="Verdana" w:hAnsi="Verdana" w:cs="Arial"/>
          <w:sz w:val="20"/>
          <w:szCs w:val="20"/>
          <w:lang w:val="en-US" w:eastAsia="es-ES"/>
        </w:rPr>
        <w:t>Boror</w:t>
      </w:r>
      <w:r w:rsidR="00D5307F" w:rsidRPr="00EA6C7A">
        <w:rPr>
          <w:rFonts w:ascii="Verdana" w:hAnsi="Verdana" w:cs="Arial"/>
          <w:sz w:val="20"/>
          <w:szCs w:val="20"/>
          <w:lang w:val="en-US" w:eastAsia="es-ES"/>
        </w:rPr>
        <w:t xml:space="preserve"> </w:t>
      </w:r>
      <w:r w:rsidR="00E71D3A" w:rsidRPr="00EA6C7A">
        <w:rPr>
          <w:rFonts w:ascii="Verdana" w:hAnsi="Verdana" w:cs="Arial"/>
          <w:sz w:val="20"/>
          <w:szCs w:val="20"/>
          <w:lang w:val="en-US" w:eastAsia="es-ES"/>
        </w:rPr>
        <w:t>de la</w:t>
      </w:r>
      <w:r w:rsidR="00D5307F" w:rsidRPr="00EA6C7A">
        <w:rPr>
          <w:rFonts w:ascii="Verdana" w:hAnsi="Verdana" w:cs="Arial"/>
          <w:sz w:val="20"/>
          <w:szCs w:val="20"/>
          <w:lang w:val="en-US" w:eastAsia="es-ES"/>
        </w:rPr>
        <w:t xml:space="preserve"> </w:t>
      </w:r>
      <w:r w:rsidR="00165633" w:rsidRPr="00EA6C7A">
        <w:rPr>
          <w:rFonts w:ascii="Verdana" w:hAnsi="Verdana" w:cs="Arial"/>
          <w:sz w:val="20"/>
          <w:szCs w:val="20"/>
          <w:lang w:val="en-US" w:eastAsia="es-ES"/>
        </w:rPr>
        <w:t>Rosa</w:t>
      </w:r>
      <w:r w:rsidR="00BE5B52" w:rsidRPr="00EA6C7A">
        <w:rPr>
          <w:rFonts w:ascii="Verdana" w:hAnsi="Verdana" w:cs="Arial"/>
          <w:sz w:val="20"/>
          <w:szCs w:val="20"/>
          <w:lang w:val="en-US" w:eastAsia="es-ES"/>
        </w:rPr>
        <w:t>,</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because</w:t>
      </w:r>
      <w:r w:rsidR="00E71D3A" w:rsidRPr="00EA6C7A">
        <w:rPr>
          <w:rFonts w:ascii="Verdana" w:hAnsi="Verdana" w:cs="Arial"/>
          <w:sz w:val="20"/>
          <w:szCs w:val="20"/>
          <w:lang w:val="en-US" w:eastAsia="es-ES"/>
        </w:rPr>
        <w:t>,</w:t>
      </w:r>
      <w:r w:rsidRPr="00EA6C7A">
        <w:rPr>
          <w:rFonts w:ascii="Verdana" w:hAnsi="Verdana" w:cs="Arial"/>
          <w:sz w:val="20"/>
          <w:szCs w:val="20"/>
          <w:lang w:val="en-US" w:eastAsia="es-ES"/>
        </w:rPr>
        <w:t xml:space="preserve"> “</w:t>
      </w:r>
      <w:r w:rsidR="00E71D3A" w:rsidRPr="00EA6C7A">
        <w:rPr>
          <w:rFonts w:ascii="Verdana" w:hAnsi="Verdana" w:cs="Arial"/>
          <w:sz w:val="20"/>
          <w:szCs w:val="20"/>
          <w:lang w:val="en-US" w:eastAsia="es-ES"/>
        </w:rPr>
        <w:t>after</w:t>
      </w:r>
      <w:r w:rsidRPr="00EA6C7A">
        <w:rPr>
          <w:rFonts w:ascii="Verdana" w:hAnsi="Verdana" w:cs="Arial"/>
          <w:sz w:val="20"/>
          <w:szCs w:val="20"/>
          <w:lang w:val="en-US" w:eastAsia="es-ES"/>
        </w:rPr>
        <w:t xml:space="preserve"> review</w:t>
      </w:r>
      <w:r w:rsidR="00E71D3A" w:rsidRPr="00EA6C7A">
        <w:rPr>
          <w:rFonts w:ascii="Verdana" w:hAnsi="Verdana" w:cs="Arial"/>
          <w:sz w:val="20"/>
          <w:szCs w:val="20"/>
          <w:lang w:val="en-US" w:eastAsia="es-ES"/>
        </w:rPr>
        <w:t>ing</w:t>
      </w:r>
      <w:r w:rsidRPr="00EA6C7A">
        <w:rPr>
          <w:rFonts w:ascii="Verdana" w:hAnsi="Verdana" w:cs="Arial"/>
          <w:sz w:val="20"/>
          <w:szCs w:val="20"/>
          <w:lang w:val="en-US" w:eastAsia="es-ES"/>
        </w:rPr>
        <w:t xml:space="preserve"> all the documents presented by the State [at the Court’s request</w:t>
      </w:r>
      <w:r w:rsidR="00E71D3A" w:rsidRPr="00EA6C7A">
        <w:rPr>
          <w:rFonts w:ascii="Verdana" w:hAnsi="Verdana" w:cs="Arial"/>
          <w:sz w:val="20"/>
          <w:szCs w:val="20"/>
          <w:lang w:val="en-US" w:eastAsia="es-ES"/>
        </w:rPr>
        <w:t xml:space="preserve"> – in</w:t>
      </w:r>
      <w:r w:rsidRPr="00EA6C7A">
        <w:rPr>
          <w:rFonts w:ascii="Verdana" w:hAnsi="Verdana" w:cs="Arial"/>
          <w:sz w:val="20"/>
          <w:szCs w:val="20"/>
          <w:lang w:val="en-US" w:eastAsia="es-ES"/>
        </w:rPr>
        <w:t xml:space="preserve"> other words, the file documents containing the procedural actions from May 2012 to date], [they had] only found four documents dated 2014.” Consequently, they asked the Court to “instruct the witness […], when referring to the investigati</w:t>
      </w:r>
      <w:r w:rsidR="00E71D3A" w:rsidRPr="00EA6C7A">
        <w:rPr>
          <w:rFonts w:ascii="Verdana" w:hAnsi="Verdana" w:cs="Arial"/>
          <w:sz w:val="20"/>
          <w:szCs w:val="20"/>
          <w:lang w:val="en-US" w:eastAsia="es-ES"/>
        </w:rPr>
        <w:t>ve</w:t>
      </w:r>
      <w:r w:rsidRPr="00EA6C7A">
        <w:rPr>
          <w:rFonts w:ascii="Verdana" w:hAnsi="Verdana" w:cs="Arial"/>
          <w:sz w:val="20"/>
          <w:szCs w:val="20"/>
          <w:lang w:val="en-US" w:eastAsia="es-ES"/>
        </w:rPr>
        <w:t xml:space="preserve"> actions and procedures from 2014 to date in his statement, to adhere strictly to the facts contained in the [said four documents].” They also considered that admitting this testimony offered by the State, in the </w:t>
      </w:r>
      <w:r w:rsidR="00E71D3A" w:rsidRPr="00EA6C7A">
        <w:rPr>
          <w:rFonts w:ascii="Verdana" w:hAnsi="Verdana" w:cs="Arial"/>
          <w:sz w:val="20"/>
          <w:szCs w:val="20"/>
          <w:lang w:val="en-US" w:eastAsia="es-ES"/>
        </w:rPr>
        <w:t>above-mentioned</w:t>
      </w:r>
      <w:r w:rsidRPr="00EA6C7A">
        <w:rPr>
          <w:rFonts w:ascii="Verdana" w:hAnsi="Verdana" w:cs="Arial"/>
          <w:sz w:val="20"/>
          <w:szCs w:val="20"/>
          <w:lang w:val="en-US" w:eastAsia="es-ES"/>
        </w:rPr>
        <w:t xml:space="preserve"> terms and without sharing with the parties the documentary grounds on which the testimony would mainly be based, would </w:t>
      </w:r>
      <w:r w:rsidR="00E71D3A" w:rsidRPr="00EA6C7A">
        <w:rPr>
          <w:rFonts w:ascii="Verdana" w:hAnsi="Verdana" w:cs="Arial"/>
          <w:sz w:val="20"/>
          <w:szCs w:val="20"/>
          <w:lang w:val="en-US" w:eastAsia="es-ES"/>
        </w:rPr>
        <w:t>contravene</w:t>
      </w:r>
      <w:r w:rsidRPr="00EA6C7A">
        <w:rPr>
          <w:rFonts w:ascii="Verdana" w:hAnsi="Verdana" w:cs="Arial"/>
          <w:sz w:val="20"/>
          <w:szCs w:val="20"/>
          <w:lang w:val="en-US" w:eastAsia="es-ES"/>
        </w:rPr>
        <w:t xml:space="preserve"> the right to adversarial proceedings in relation to evidence</w:t>
      </w:r>
      <w:r w:rsidR="00E71D3A" w:rsidRPr="00EA6C7A">
        <w:rPr>
          <w:rFonts w:ascii="Verdana" w:hAnsi="Verdana" w:cs="Arial"/>
          <w:sz w:val="20"/>
          <w:szCs w:val="20"/>
          <w:lang w:val="en-US" w:eastAsia="es-ES"/>
        </w:rPr>
        <w:t>,</w:t>
      </w:r>
      <w:r w:rsidRPr="00EA6C7A">
        <w:rPr>
          <w:rFonts w:ascii="Verdana" w:hAnsi="Verdana" w:cs="Arial"/>
          <w:sz w:val="20"/>
          <w:szCs w:val="20"/>
          <w:lang w:val="en-US" w:eastAsia="es-ES"/>
        </w:rPr>
        <w:t xml:space="preserve"> and the principle of the equality of arms. They also indicated that the State </w:t>
      </w:r>
      <w:r w:rsidR="00E71D3A" w:rsidRPr="00EA6C7A">
        <w:rPr>
          <w:rFonts w:ascii="Verdana" w:hAnsi="Verdana" w:cs="Arial"/>
          <w:sz w:val="20"/>
          <w:szCs w:val="20"/>
          <w:lang w:val="en-US" w:eastAsia="es-ES"/>
        </w:rPr>
        <w:t>was</w:t>
      </w:r>
      <w:r w:rsidRPr="00EA6C7A">
        <w:rPr>
          <w:rFonts w:ascii="Verdana" w:hAnsi="Verdana" w:cs="Arial"/>
          <w:sz w:val="20"/>
          <w:szCs w:val="20"/>
          <w:lang w:val="en-US" w:eastAsia="es-ES"/>
        </w:rPr>
        <w:t xml:space="preserve"> t</w:t>
      </w:r>
      <w:r w:rsidR="00841561" w:rsidRPr="00EA6C7A">
        <w:rPr>
          <w:rFonts w:ascii="Verdana" w:hAnsi="Verdana" w:cs="Arial"/>
          <w:sz w:val="20"/>
          <w:szCs w:val="20"/>
          <w:lang w:val="en-US" w:eastAsia="es-ES"/>
        </w:rPr>
        <w:t>r</w:t>
      </w:r>
      <w:r w:rsidRPr="00EA6C7A">
        <w:rPr>
          <w:rFonts w:ascii="Verdana" w:hAnsi="Verdana" w:cs="Arial"/>
          <w:sz w:val="20"/>
          <w:szCs w:val="20"/>
          <w:lang w:val="en-US" w:eastAsia="es-ES"/>
        </w:rPr>
        <w:t xml:space="preserve">ying to introduce new evidence after the time limits established in </w:t>
      </w:r>
      <w:r w:rsidR="0096418F" w:rsidRPr="00EA6C7A">
        <w:rPr>
          <w:rFonts w:ascii="Verdana" w:eastAsia="Calibri" w:hAnsi="Verdana"/>
          <w:sz w:val="20"/>
          <w:szCs w:val="20"/>
          <w:lang w:val="en-US"/>
        </w:rPr>
        <w:t>Articles</w:t>
      </w:r>
      <w:r w:rsidR="00165633" w:rsidRPr="00EA6C7A">
        <w:rPr>
          <w:rFonts w:ascii="Verdana" w:eastAsia="Calibri" w:hAnsi="Verdana"/>
          <w:sz w:val="20"/>
          <w:szCs w:val="20"/>
          <w:lang w:val="en-US"/>
        </w:rPr>
        <w:t xml:space="preserve"> 41 </w:t>
      </w:r>
      <w:r w:rsidR="00841561" w:rsidRPr="00EA6C7A">
        <w:rPr>
          <w:rFonts w:ascii="Verdana" w:eastAsia="Calibri" w:hAnsi="Verdana"/>
          <w:sz w:val="20"/>
          <w:szCs w:val="20"/>
          <w:lang w:val="en-US"/>
        </w:rPr>
        <w:t>and</w:t>
      </w:r>
      <w:r w:rsidR="00165633" w:rsidRPr="00EA6C7A">
        <w:rPr>
          <w:rFonts w:ascii="Verdana" w:eastAsia="Calibri" w:hAnsi="Verdana"/>
          <w:sz w:val="20"/>
          <w:szCs w:val="20"/>
          <w:lang w:val="en-US"/>
        </w:rPr>
        <w:t xml:space="preserve"> 28</w:t>
      </w:r>
      <w:r w:rsidR="0096418F" w:rsidRPr="00EA6C7A">
        <w:rPr>
          <w:rFonts w:ascii="Verdana" w:eastAsia="Calibri" w:hAnsi="Verdana"/>
          <w:sz w:val="20"/>
          <w:szCs w:val="20"/>
          <w:lang w:val="en-US"/>
        </w:rPr>
        <w:t xml:space="preserve"> of the Rules of Procedure of the Court</w:t>
      </w:r>
      <w:r w:rsidR="00E71D3A" w:rsidRPr="00EA6C7A">
        <w:rPr>
          <w:rFonts w:ascii="Verdana" w:eastAsia="Calibri" w:hAnsi="Verdana"/>
          <w:sz w:val="20"/>
          <w:szCs w:val="20"/>
          <w:lang w:val="en-US"/>
        </w:rPr>
        <w:t xml:space="preserve"> had expired</w:t>
      </w:r>
      <w:r w:rsidR="00165633" w:rsidRPr="00EA6C7A">
        <w:rPr>
          <w:rFonts w:ascii="Verdana" w:eastAsia="Calibri" w:hAnsi="Verdana"/>
          <w:sz w:val="20"/>
          <w:szCs w:val="20"/>
          <w:lang w:val="en-US"/>
        </w:rPr>
        <w:t>.</w:t>
      </w:r>
    </w:p>
    <w:p w14:paraId="771F9F31" w14:textId="77777777" w:rsidR="00165633" w:rsidRPr="00EA6C7A" w:rsidRDefault="00165633" w:rsidP="00794BCC">
      <w:pPr>
        <w:pStyle w:val="Prrafodelista"/>
        <w:spacing w:after="0" w:line="240" w:lineRule="auto"/>
        <w:rPr>
          <w:rFonts w:ascii="Verdana" w:hAnsi="Verdana" w:cs="Arial"/>
          <w:sz w:val="20"/>
          <w:szCs w:val="20"/>
          <w:lang w:val="en-US" w:eastAsia="es-ES"/>
        </w:rPr>
      </w:pPr>
    </w:p>
    <w:p w14:paraId="132B01D5" w14:textId="77777777" w:rsidR="00165633" w:rsidRPr="00EA6C7A" w:rsidRDefault="00841561" w:rsidP="00E11A7C">
      <w:pPr>
        <w:pStyle w:val="Prrafodelista"/>
        <w:numPr>
          <w:ilvl w:val="0"/>
          <w:numId w:val="3"/>
        </w:numPr>
        <w:spacing w:after="0" w:line="240" w:lineRule="auto"/>
        <w:ind w:left="0" w:hanging="11"/>
        <w:jc w:val="both"/>
        <w:rPr>
          <w:rFonts w:ascii="Verdana" w:hAnsi="Verdana" w:cs="Arial"/>
          <w:sz w:val="20"/>
          <w:szCs w:val="20"/>
          <w:lang w:val="en-US" w:eastAsia="es-ES"/>
        </w:rPr>
      </w:pPr>
      <w:r w:rsidRPr="00EA6C7A">
        <w:rPr>
          <w:rFonts w:ascii="Verdana" w:hAnsi="Verdana" w:cs="Arial"/>
          <w:sz w:val="20"/>
          <w:szCs w:val="20"/>
          <w:lang w:val="en-US" w:eastAsia="es-ES"/>
        </w:rPr>
        <w:t>In this regard</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the order</w:t>
      </w:r>
      <w:r w:rsidR="0096418F" w:rsidRPr="00EA6C7A">
        <w:rPr>
          <w:rFonts w:ascii="Verdana" w:hAnsi="Verdana" w:cs="Arial"/>
          <w:sz w:val="20"/>
          <w:szCs w:val="20"/>
          <w:lang w:val="en-US" w:eastAsia="es-ES"/>
        </w:rPr>
        <w:t xml:space="preserve"> of the President</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of</w:t>
      </w:r>
      <w:r w:rsidR="00165633" w:rsidRPr="00EA6C7A">
        <w:rPr>
          <w:rFonts w:ascii="Verdana" w:hAnsi="Verdana" w:cs="Arial"/>
          <w:sz w:val="20"/>
          <w:szCs w:val="20"/>
          <w:lang w:val="en-US" w:eastAsia="es-ES"/>
        </w:rPr>
        <w:t xml:space="preserve"> </w:t>
      </w:r>
      <w:r w:rsidR="002414E4" w:rsidRPr="00EA6C7A">
        <w:rPr>
          <w:rFonts w:ascii="Verdana" w:hAnsi="Verdana"/>
          <w:sz w:val="20"/>
          <w:szCs w:val="20"/>
          <w:lang w:val="en-US"/>
        </w:rPr>
        <w:t>March 19,</w:t>
      </w:r>
      <w:r w:rsidR="00165633" w:rsidRPr="00EA6C7A">
        <w:rPr>
          <w:rFonts w:ascii="Verdana" w:hAnsi="Verdana"/>
          <w:sz w:val="20"/>
          <w:szCs w:val="20"/>
          <w:lang w:val="en-US"/>
        </w:rPr>
        <w:t xml:space="preserve"> 2015</w:t>
      </w:r>
      <w:r w:rsidR="00917CDE" w:rsidRPr="00EA6C7A">
        <w:rPr>
          <w:rFonts w:ascii="Verdana" w:hAnsi="Verdana"/>
          <w:sz w:val="20"/>
          <w:szCs w:val="20"/>
          <w:lang w:val="en-US"/>
        </w:rPr>
        <w:t xml:space="preserve"> (</w:t>
      </w:r>
      <w:r w:rsidR="00917CDE" w:rsidRPr="00EA6C7A">
        <w:rPr>
          <w:rFonts w:ascii="Verdana" w:eastAsia="Batang" w:hAnsi="Verdana"/>
          <w:i/>
          <w:sz w:val="20"/>
          <w:szCs w:val="20"/>
          <w:lang w:val="en-US"/>
        </w:rPr>
        <w:t>supra</w:t>
      </w:r>
      <w:r w:rsidR="00917CDE" w:rsidRPr="00EA6C7A">
        <w:rPr>
          <w:rFonts w:ascii="Verdana" w:eastAsia="Batang" w:hAnsi="Verdana"/>
          <w:sz w:val="20"/>
          <w:szCs w:val="20"/>
          <w:lang w:val="en-US"/>
        </w:rPr>
        <w:t xml:space="preserve"> </w:t>
      </w:r>
      <w:r w:rsidR="002F3848" w:rsidRPr="00EA6C7A">
        <w:rPr>
          <w:rFonts w:ascii="Verdana" w:eastAsia="Batang" w:hAnsi="Verdana"/>
          <w:sz w:val="20"/>
          <w:szCs w:val="20"/>
          <w:lang w:val="en-US"/>
        </w:rPr>
        <w:t>para.</w:t>
      </w:r>
      <w:r w:rsidR="00917CDE" w:rsidRPr="00EA6C7A">
        <w:rPr>
          <w:rFonts w:ascii="Verdana" w:hAnsi="Verdana"/>
          <w:sz w:val="20"/>
          <w:szCs w:val="20"/>
          <w:lang w:val="en-US"/>
        </w:rPr>
        <w:t xml:space="preserve"> 10</w:t>
      </w:r>
      <w:r w:rsidR="00917CDE" w:rsidRPr="00EA6C7A">
        <w:rPr>
          <w:rFonts w:ascii="Verdana" w:eastAsia="Batang" w:hAnsi="Verdana"/>
          <w:sz w:val="20"/>
          <w:szCs w:val="20"/>
          <w:lang w:val="en-US"/>
        </w:rPr>
        <w:t>)</w:t>
      </w:r>
      <w:r w:rsidR="00165633" w:rsidRPr="00EA6C7A">
        <w:rPr>
          <w:rFonts w:ascii="Verdana" w:hAnsi="Verdana" w:cs="Arial"/>
          <w:sz w:val="20"/>
          <w:szCs w:val="20"/>
          <w:lang w:val="en-US" w:eastAsia="es-ES"/>
        </w:rPr>
        <w:t xml:space="preserve"> establ</w:t>
      </w:r>
      <w:r w:rsidRPr="00EA6C7A">
        <w:rPr>
          <w:rFonts w:ascii="Verdana" w:hAnsi="Verdana" w:cs="Arial"/>
          <w:sz w:val="20"/>
          <w:szCs w:val="20"/>
          <w:lang w:val="en-US" w:eastAsia="es-ES"/>
        </w:rPr>
        <w:t xml:space="preserve">ished that </w:t>
      </w:r>
      <w:r w:rsidR="003F31B4" w:rsidRPr="00EA6C7A">
        <w:rPr>
          <w:rFonts w:ascii="Verdana" w:hAnsi="Verdana" w:cs="Arial"/>
          <w:sz w:val="20"/>
          <w:szCs w:val="20"/>
          <w:lang w:val="en-US" w:eastAsia="es-ES"/>
        </w:rPr>
        <w:t xml:space="preserve">it would limit </w:t>
      </w:r>
      <w:r w:rsidRPr="00EA6C7A">
        <w:rPr>
          <w:rFonts w:ascii="Verdana" w:hAnsi="Verdana" w:cs="Arial"/>
          <w:sz w:val="20"/>
          <w:szCs w:val="20"/>
          <w:lang w:val="en-US" w:eastAsia="es-ES"/>
        </w:rPr>
        <w:t xml:space="preserve">the statement by </w:t>
      </w:r>
      <w:r w:rsidR="002414E4" w:rsidRPr="00EA6C7A">
        <w:rPr>
          <w:rFonts w:ascii="Verdana" w:hAnsi="Verdana" w:cs="Arial"/>
          <w:sz w:val="20"/>
          <w:szCs w:val="20"/>
          <w:lang w:val="en-US" w:eastAsia="es-ES"/>
        </w:rPr>
        <w:t>witness</w:t>
      </w:r>
      <w:r w:rsidR="00165633" w:rsidRPr="00EA6C7A">
        <w:rPr>
          <w:rFonts w:ascii="Verdana" w:hAnsi="Verdana" w:cs="Arial"/>
          <w:sz w:val="20"/>
          <w:szCs w:val="20"/>
          <w:lang w:val="en-US" w:eastAsia="es-ES"/>
        </w:rPr>
        <w:t xml:space="preserve"> Boror</w:t>
      </w:r>
      <w:r w:rsidR="00D5307F" w:rsidRPr="00EA6C7A">
        <w:rPr>
          <w:rFonts w:ascii="Verdana" w:hAnsi="Verdana" w:cs="Arial"/>
          <w:sz w:val="20"/>
          <w:szCs w:val="20"/>
          <w:lang w:val="en-US" w:eastAsia="es-ES"/>
        </w:rPr>
        <w:t xml:space="preserve"> </w:t>
      </w:r>
      <w:r w:rsidR="00E71D3A" w:rsidRPr="00EA6C7A">
        <w:rPr>
          <w:rFonts w:ascii="Verdana" w:hAnsi="Verdana" w:cs="Arial"/>
          <w:sz w:val="20"/>
          <w:szCs w:val="20"/>
          <w:lang w:val="en-US" w:eastAsia="es-ES"/>
        </w:rPr>
        <w:t>de la</w:t>
      </w:r>
      <w:r w:rsidR="00D5307F" w:rsidRPr="00EA6C7A">
        <w:rPr>
          <w:rFonts w:ascii="Verdana" w:hAnsi="Verdana" w:cs="Arial"/>
          <w:sz w:val="20"/>
          <w:szCs w:val="20"/>
          <w:lang w:val="en-US" w:eastAsia="es-ES"/>
        </w:rPr>
        <w:t xml:space="preserve"> </w:t>
      </w:r>
      <w:r w:rsidR="00165633" w:rsidRPr="00EA6C7A">
        <w:rPr>
          <w:rFonts w:ascii="Verdana" w:hAnsi="Verdana" w:cs="Arial"/>
          <w:sz w:val="20"/>
          <w:szCs w:val="20"/>
          <w:lang w:val="en-US" w:eastAsia="es-ES"/>
        </w:rPr>
        <w:t xml:space="preserve">Rosa </w:t>
      </w:r>
      <w:r w:rsidRPr="00EA6C7A">
        <w:rPr>
          <w:rFonts w:ascii="Verdana" w:hAnsi="Verdana" w:cs="Arial"/>
          <w:sz w:val="20"/>
          <w:szCs w:val="20"/>
          <w:lang w:val="en-US" w:eastAsia="es-ES"/>
        </w:rPr>
        <w:t>if the State failed to forward the investigation file with the procedural actions conducted “to date”</w:t>
      </w:r>
      <w:r w:rsidR="003F31B4" w:rsidRPr="00EA6C7A">
        <w:rPr>
          <w:rFonts w:ascii="Verdana" w:hAnsi="Verdana" w:cs="Arial"/>
          <w:sz w:val="20"/>
          <w:szCs w:val="20"/>
          <w:lang w:val="en-US" w:eastAsia="es-ES"/>
        </w:rPr>
        <w:t xml:space="preserve"> within a certain timeframe.</w:t>
      </w:r>
      <w:r w:rsidRPr="00EA6C7A">
        <w:rPr>
          <w:rFonts w:ascii="Verdana" w:hAnsi="Verdana" w:cs="Arial"/>
          <w:sz w:val="20"/>
          <w:szCs w:val="20"/>
          <w:lang w:val="en-US" w:eastAsia="es-ES"/>
        </w:rPr>
        <w:t xml:space="preserve"> In a brief of March 25,</w:t>
      </w:r>
      <w:r w:rsidR="00165633" w:rsidRPr="00EA6C7A">
        <w:rPr>
          <w:rFonts w:ascii="Verdana" w:hAnsi="Verdana" w:cs="Arial"/>
          <w:sz w:val="20"/>
          <w:szCs w:val="20"/>
          <w:lang w:val="en-US" w:eastAsia="es-ES"/>
        </w:rPr>
        <w:t xml:space="preserve"> 2015</w:t>
      </w:r>
      <w:r w:rsidR="00A62D08" w:rsidRPr="00EA6C7A">
        <w:rPr>
          <w:rFonts w:ascii="Verdana" w:hAnsi="Verdana" w:cs="Arial"/>
          <w:sz w:val="20"/>
          <w:szCs w:val="20"/>
          <w:lang w:val="en-US" w:eastAsia="es-ES"/>
        </w:rPr>
        <w:t xml:space="preserve"> </w:t>
      </w:r>
      <w:r w:rsidR="00A62D08" w:rsidRPr="00EA6C7A">
        <w:rPr>
          <w:rFonts w:ascii="Verdana" w:hAnsi="Verdana"/>
          <w:sz w:val="20"/>
          <w:szCs w:val="20"/>
          <w:lang w:val="en-US"/>
        </w:rPr>
        <w:t>(</w:t>
      </w:r>
      <w:r w:rsidR="00A62D08" w:rsidRPr="00EA6C7A">
        <w:rPr>
          <w:rFonts w:ascii="Verdana" w:eastAsia="Batang" w:hAnsi="Verdana"/>
          <w:i/>
          <w:sz w:val="20"/>
          <w:szCs w:val="20"/>
          <w:lang w:val="en-US"/>
        </w:rPr>
        <w:t>supra</w:t>
      </w:r>
      <w:r w:rsidR="00A62D08" w:rsidRPr="00EA6C7A">
        <w:rPr>
          <w:rFonts w:ascii="Verdana" w:eastAsia="Batang" w:hAnsi="Verdana"/>
          <w:sz w:val="20"/>
          <w:szCs w:val="20"/>
          <w:lang w:val="en-US"/>
        </w:rPr>
        <w:t xml:space="preserve"> </w:t>
      </w:r>
      <w:r w:rsidR="002F3848" w:rsidRPr="00EA6C7A">
        <w:rPr>
          <w:rFonts w:ascii="Verdana" w:eastAsia="Batang" w:hAnsi="Verdana"/>
          <w:sz w:val="20"/>
          <w:szCs w:val="20"/>
          <w:lang w:val="en-US"/>
        </w:rPr>
        <w:t>para.</w:t>
      </w:r>
      <w:r w:rsidR="00A62D08" w:rsidRPr="00EA6C7A">
        <w:rPr>
          <w:rFonts w:ascii="Verdana" w:hAnsi="Verdana"/>
          <w:sz w:val="20"/>
          <w:szCs w:val="20"/>
          <w:lang w:val="en-US"/>
        </w:rPr>
        <w:t xml:space="preserve"> 11</w:t>
      </w:r>
      <w:r w:rsidR="00A62D08" w:rsidRPr="00EA6C7A">
        <w:rPr>
          <w:rFonts w:ascii="Verdana" w:eastAsia="Batang" w:hAnsi="Verdana"/>
          <w:sz w:val="20"/>
          <w:szCs w:val="20"/>
          <w:lang w:val="en-US"/>
        </w:rPr>
        <w:t>)</w:t>
      </w:r>
      <w:r w:rsidR="00165633" w:rsidRPr="00EA6C7A">
        <w:rPr>
          <w:rFonts w:ascii="Verdana" w:hAnsi="Verdana" w:cs="Arial"/>
          <w:sz w:val="20"/>
          <w:szCs w:val="20"/>
          <w:lang w:val="en-US" w:eastAsia="es-ES"/>
        </w:rPr>
        <w:t xml:space="preserve">, </w:t>
      </w:r>
      <w:r w:rsidR="002F3848" w:rsidRPr="00EA6C7A">
        <w:rPr>
          <w:rFonts w:ascii="Verdana" w:hAnsi="Verdana" w:cs="Arial"/>
          <w:sz w:val="20"/>
          <w:szCs w:val="20"/>
          <w:lang w:val="en-US" w:eastAsia="es-ES"/>
        </w:rPr>
        <w:t>the State</w:t>
      </w:r>
      <w:r w:rsidR="00165633" w:rsidRPr="00EA6C7A">
        <w:rPr>
          <w:rFonts w:ascii="Verdana" w:hAnsi="Verdana" w:cs="Arial"/>
          <w:sz w:val="20"/>
          <w:szCs w:val="20"/>
          <w:lang w:val="en-US" w:eastAsia="es-ES"/>
        </w:rPr>
        <w:t xml:space="preserve"> </w:t>
      </w:r>
      <w:r w:rsidRPr="00EA6C7A">
        <w:rPr>
          <w:rFonts w:ascii="Verdana" w:hAnsi="Verdana" w:cs="Arial"/>
          <w:sz w:val="20"/>
          <w:szCs w:val="20"/>
          <w:lang w:val="en-US" w:eastAsia="es-ES"/>
        </w:rPr>
        <w:t xml:space="preserve">complied with this requirement by forwarding “three documents identified as Investigation Procedures,” which </w:t>
      </w:r>
      <w:r w:rsidR="003F31B4" w:rsidRPr="00EA6C7A">
        <w:rPr>
          <w:rFonts w:ascii="Verdana" w:hAnsi="Verdana" w:cs="Arial"/>
          <w:sz w:val="20"/>
          <w:szCs w:val="20"/>
          <w:lang w:val="en-US" w:eastAsia="es-ES"/>
        </w:rPr>
        <w:t>were</w:t>
      </w:r>
      <w:r w:rsidRPr="00EA6C7A">
        <w:rPr>
          <w:rFonts w:ascii="Verdana" w:hAnsi="Verdana" w:cs="Arial"/>
          <w:sz w:val="20"/>
          <w:szCs w:val="20"/>
          <w:lang w:val="en-US" w:eastAsia="es-ES"/>
        </w:rPr>
        <w:t xml:space="preserve"> part of the investigation file up until March </w:t>
      </w:r>
      <w:r w:rsidR="00165633" w:rsidRPr="00EA6C7A">
        <w:rPr>
          <w:rFonts w:ascii="Verdana" w:hAnsi="Verdana" w:cs="Arial"/>
          <w:sz w:val="20"/>
          <w:szCs w:val="20"/>
          <w:lang w:val="en-US" w:eastAsia="es-ES"/>
        </w:rPr>
        <w:t xml:space="preserve">2014. </w:t>
      </w:r>
      <w:r w:rsidR="0096418F" w:rsidRPr="00EA6C7A">
        <w:rPr>
          <w:rFonts w:ascii="Verdana" w:hAnsi="Verdana" w:cs="Arial"/>
          <w:sz w:val="20"/>
          <w:szCs w:val="20"/>
          <w:lang w:val="en-US" w:eastAsia="es-ES"/>
        </w:rPr>
        <w:t>The Court</w:t>
      </w:r>
      <w:r w:rsidR="00165633" w:rsidRPr="00EA6C7A">
        <w:rPr>
          <w:rFonts w:ascii="Verdana" w:hAnsi="Verdana" w:cs="Arial"/>
          <w:sz w:val="20"/>
          <w:szCs w:val="20"/>
          <w:lang w:val="en-US" w:eastAsia="es-ES"/>
        </w:rPr>
        <w:t xml:space="preserve"> t</w:t>
      </w:r>
      <w:r w:rsidRPr="00EA6C7A">
        <w:rPr>
          <w:rFonts w:ascii="Verdana" w:hAnsi="Verdana" w:cs="Arial"/>
          <w:sz w:val="20"/>
          <w:szCs w:val="20"/>
          <w:lang w:val="en-US" w:eastAsia="es-ES"/>
        </w:rPr>
        <w:t xml:space="preserve">ook note of the </w:t>
      </w:r>
      <w:r w:rsidR="00E43A75" w:rsidRPr="00EA6C7A">
        <w:rPr>
          <w:rFonts w:ascii="Verdana" w:hAnsi="Verdana" w:cs="Arial"/>
          <w:sz w:val="20"/>
          <w:szCs w:val="20"/>
          <w:lang w:val="en-US" w:eastAsia="es-ES"/>
        </w:rPr>
        <w:t>representatives</w:t>
      </w:r>
      <w:r w:rsidR="003F31B4" w:rsidRPr="00EA6C7A">
        <w:rPr>
          <w:rFonts w:ascii="Verdana" w:hAnsi="Verdana" w:cs="Arial"/>
          <w:sz w:val="20"/>
          <w:szCs w:val="20"/>
          <w:lang w:val="en-US" w:eastAsia="es-ES"/>
        </w:rPr>
        <w:t>’ observations</w:t>
      </w:r>
      <w:r w:rsidR="00165633" w:rsidRPr="00EA6C7A">
        <w:rPr>
          <w:rFonts w:ascii="Verdana" w:hAnsi="Verdana" w:cs="Arial"/>
          <w:sz w:val="20"/>
          <w:szCs w:val="20"/>
          <w:lang w:val="en-US" w:eastAsia="es-ES"/>
        </w:rPr>
        <w:t xml:space="preserve"> </w:t>
      </w:r>
      <w:r w:rsidR="003F31B4" w:rsidRPr="00EA6C7A">
        <w:rPr>
          <w:rFonts w:ascii="Verdana" w:hAnsi="Verdana" w:cs="Arial"/>
          <w:sz w:val="20"/>
          <w:szCs w:val="20"/>
          <w:lang w:val="en-US" w:eastAsia="es-ES"/>
        </w:rPr>
        <w:t>on</w:t>
      </w:r>
      <w:r w:rsidRPr="00EA6C7A">
        <w:rPr>
          <w:rFonts w:ascii="Verdana" w:hAnsi="Verdana" w:cs="Arial"/>
          <w:sz w:val="20"/>
          <w:szCs w:val="20"/>
          <w:lang w:val="en-US" w:eastAsia="es-ES"/>
        </w:rPr>
        <w:t xml:space="preserve"> the</w:t>
      </w:r>
      <w:r w:rsidR="003F31B4" w:rsidRPr="00EA6C7A">
        <w:rPr>
          <w:rFonts w:ascii="Verdana" w:hAnsi="Verdana" w:cs="Arial"/>
          <w:sz w:val="20"/>
          <w:szCs w:val="20"/>
          <w:lang w:val="en-US" w:eastAsia="es-ES"/>
        </w:rPr>
        <w:t>se</w:t>
      </w:r>
      <w:r w:rsidRPr="00EA6C7A">
        <w:rPr>
          <w:rFonts w:ascii="Verdana" w:hAnsi="Verdana" w:cs="Arial"/>
          <w:sz w:val="20"/>
          <w:szCs w:val="20"/>
          <w:lang w:val="en-US" w:eastAsia="es-ES"/>
        </w:rPr>
        <w:t xml:space="preserve"> investigation procedures forwarded by the State; however, th</w:t>
      </w:r>
      <w:r w:rsidR="003F31B4" w:rsidRPr="00EA6C7A">
        <w:rPr>
          <w:rFonts w:ascii="Verdana" w:hAnsi="Verdana" w:cs="Arial"/>
          <w:sz w:val="20"/>
          <w:szCs w:val="20"/>
          <w:lang w:val="en-US" w:eastAsia="es-ES"/>
        </w:rPr>
        <w:t>eir</w:t>
      </w:r>
      <w:r w:rsidRPr="00EA6C7A">
        <w:rPr>
          <w:rFonts w:ascii="Verdana" w:hAnsi="Verdana" w:cs="Arial"/>
          <w:sz w:val="20"/>
          <w:szCs w:val="20"/>
          <w:lang w:val="en-US" w:eastAsia="es-ES"/>
        </w:rPr>
        <w:t xml:space="preserve"> objection relate</w:t>
      </w:r>
      <w:r w:rsidR="003F31B4" w:rsidRPr="00EA6C7A">
        <w:rPr>
          <w:rFonts w:ascii="Verdana" w:hAnsi="Verdana" w:cs="Arial"/>
          <w:sz w:val="20"/>
          <w:szCs w:val="20"/>
          <w:lang w:val="en-US" w:eastAsia="es-ES"/>
        </w:rPr>
        <w:t>d</w:t>
      </w:r>
      <w:r w:rsidRPr="00EA6C7A">
        <w:rPr>
          <w:rFonts w:ascii="Verdana" w:hAnsi="Verdana" w:cs="Arial"/>
          <w:sz w:val="20"/>
          <w:szCs w:val="20"/>
          <w:lang w:val="en-US" w:eastAsia="es-ES"/>
        </w:rPr>
        <w:t xml:space="preserve"> to the probative weight and scope of the testimony of Mr. </w:t>
      </w:r>
      <w:r w:rsidR="00165633" w:rsidRPr="00EA6C7A">
        <w:rPr>
          <w:rFonts w:ascii="Verdana" w:hAnsi="Verdana" w:cs="Arial"/>
          <w:sz w:val="20"/>
          <w:szCs w:val="20"/>
          <w:lang w:val="en-US" w:eastAsia="es-ES"/>
        </w:rPr>
        <w:t>Boror</w:t>
      </w:r>
      <w:r w:rsidR="00D5307F" w:rsidRPr="00EA6C7A">
        <w:rPr>
          <w:rFonts w:ascii="Verdana" w:hAnsi="Verdana" w:cs="Arial"/>
          <w:sz w:val="20"/>
          <w:szCs w:val="20"/>
          <w:lang w:val="en-US" w:eastAsia="es-ES"/>
        </w:rPr>
        <w:t xml:space="preserve"> </w:t>
      </w:r>
      <w:r w:rsidR="00E71D3A" w:rsidRPr="00EA6C7A">
        <w:rPr>
          <w:rFonts w:ascii="Verdana" w:hAnsi="Verdana" w:cs="Arial"/>
          <w:sz w:val="20"/>
          <w:szCs w:val="20"/>
          <w:lang w:val="en-US" w:eastAsia="es-ES"/>
        </w:rPr>
        <w:t>de la</w:t>
      </w:r>
      <w:r w:rsidR="00D5307F" w:rsidRPr="00EA6C7A">
        <w:rPr>
          <w:rFonts w:ascii="Verdana" w:hAnsi="Verdana" w:cs="Arial"/>
          <w:sz w:val="20"/>
          <w:szCs w:val="20"/>
          <w:lang w:val="en-US" w:eastAsia="es-ES"/>
        </w:rPr>
        <w:t xml:space="preserve"> </w:t>
      </w:r>
      <w:r w:rsidR="00165633" w:rsidRPr="00EA6C7A">
        <w:rPr>
          <w:rFonts w:ascii="Verdana" w:hAnsi="Verdana" w:cs="Arial"/>
          <w:sz w:val="20"/>
          <w:szCs w:val="20"/>
          <w:lang w:val="en-US" w:eastAsia="es-ES"/>
        </w:rPr>
        <w:t>Rosa,</w:t>
      </w:r>
      <w:r w:rsidR="00165633" w:rsidRPr="00EA6C7A">
        <w:rPr>
          <w:rFonts w:ascii="Verdana" w:hAnsi="Verdana"/>
          <w:sz w:val="20"/>
          <w:szCs w:val="20"/>
          <w:lang w:val="en-US" w:eastAsia="es-ES"/>
        </w:rPr>
        <w:t xml:space="preserve"> </w:t>
      </w:r>
      <w:r w:rsidRPr="00EA6C7A">
        <w:rPr>
          <w:rFonts w:ascii="Verdana" w:hAnsi="Verdana"/>
          <w:sz w:val="20"/>
          <w:szCs w:val="20"/>
          <w:lang w:val="en-US" w:eastAsia="es-ES"/>
        </w:rPr>
        <w:t xml:space="preserve">but did not affect its admissibility as part of the body of evidence. Accordingly, the Court finds it in order to admit the statement of the </w:t>
      </w:r>
      <w:r w:rsidR="002414E4" w:rsidRPr="00EA6C7A">
        <w:rPr>
          <w:rFonts w:ascii="Verdana" w:hAnsi="Verdana"/>
          <w:sz w:val="20"/>
          <w:szCs w:val="20"/>
          <w:lang w:val="en-US"/>
        </w:rPr>
        <w:t>witness</w:t>
      </w:r>
      <w:r w:rsidR="00165633" w:rsidRPr="00EA6C7A">
        <w:rPr>
          <w:rFonts w:ascii="Verdana" w:hAnsi="Verdana"/>
          <w:sz w:val="20"/>
          <w:szCs w:val="20"/>
          <w:lang w:val="en-US"/>
        </w:rPr>
        <w:t xml:space="preserve"> </w:t>
      </w:r>
      <w:r w:rsidRPr="00EA6C7A">
        <w:rPr>
          <w:rFonts w:ascii="Verdana" w:hAnsi="Verdana"/>
          <w:sz w:val="20"/>
          <w:szCs w:val="20"/>
          <w:lang w:val="en-US"/>
        </w:rPr>
        <w:t>in the terms established in the President’s order.</w:t>
      </w:r>
    </w:p>
    <w:p w14:paraId="73F1F290" w14:textId="77777777" w:rsidR="008C4440" w:rsidRPr="00EA6C7A" w:rsidRDefault="008C4440" w:rsidP="00794BCC">
      <w:pPr>
        <w:pStyle w:val="Prrafodelista"/>
        <w:autoSpaceDE w:val="0"/>
        <w:autoSpaceDN w:val="0"/>
        <w:adjustRightInd w:val="0"/>
        <w:spacing w:after="0" w:line="240" w:lineRule="auto"/>
        <w:ind w:left="0"/>
        <w:jc w:val="both"/>
        <w:rPr>
          <w:rFonts w:ascii="Verdana" w:hAnsi="Verdana"/>
          <w:sz w:val="20"/>
          <w:szCs w:val="20"/>
          <w:lang w:val="en-US" w:eastAsia="es-ES"/>
        </w:rPr>
      </w:pPr>
    </w:p>
    <w:p w14:paraId="23F36245" w14:textId="77777777" w:rsidR="00165633" w:rsidRPr="00EA6C7A" w:rsidRDefault="00165633" w:rsidP="00026CB6">
      <w:pPr>
        <w:pStyle w:val="Sentencia2"/>
        <w:rPr>
          <w:rFonts w:eastAsia="Verdana"/>
          <w:lang w:val="en-US"/>
        </w:rPr>
      </w:pPr>
      <w:bookmarkStart w:id="38" w:name="_Toc26002301"/>
      <w:r w:rsidRPr="00EA6C7A">
        <w:rPr>
          <w:rFonts w:eastAsia="Verdana"/>
          <w:lang w:val="en-US"/>
        </w:rPr>
        <w:t>C</w:t>
      </w:r>
      <w:r w:rsidR="00E15499" w:rsidRPr="00EA6C7A">
        <w:rPr>
          <w:rFonts w:eastAsia="Verdana"/>
          <w:lang w:val="en-US"/>
        </w:rPr>
        <w:t>.</w:t>
      </w:r>
      <w:r w:rsidRPr="00EA6C7A">
        <w:rPr>
          <w:rFonts w:eastAsia="Verdana"/>
          <w:lang w:val="en-US"/>
        </w:rPr>
        <w:tab/>
      </w:r>
      <w:r w:rsidR="00841561" w:rsidRPr="00EA6C7A">
        <w:rPr>
          <w:rFonts w:eastAsia="Verdana"/>
          <w:lang w:val="en-US"/>
        </w:rPr>
        <w:t>Assessment of the evidence</w:t>
      </w:r>
      <w:bookmarkEnd w:id="38"/>
    </w:p>
    <w:p w14:paraId="4B0DB088" w14:textId="77777777" w:rsidR="00165633" w:rsidRPr="00EA6C7A" w:rsidRDefault="00165633" w:rsidP="007B4CFA">
      <w:pPr>
        <w:spacing w:after="0" w:line="240" w:lineRule="auto"/>
        <w:rPr>
          <w:rFonts w:ascii="Verdana" w:eastAsia="Calibri" w:hAnsi="Verdana"/>
          <w:sz w:val="20"/>
          <w:szCs w:val="20"/>
          <w:lang w:val="en-US"/>
        </w:rPr>
      </w:pPr>
    </w:p>
    <w:p w14:paraId="673A2579" w14:textId="77777777" w:rsidR="00FF7EF5" w:rsidRPr="00EA6C7A" w:rsidRDefault="00841561" w:rsidP="002A1997">
      <w:pPr>
        <w:pStyle w:val="Prrafodelista"/>
        <w:numPr>
          <w:ilvl w:val="0"/>
          <w:numId w:val="3"/>
        </w:numPr>
        <w:spacing w:after="0" w:line="240" w:lineRule="auto"/>
        <w:ind w:left="0" w:hanging="11"/>
        <w:jc w:val="both"/>
        <w:rPr>
          <w:rFonts w:ascii="Verdana" w:eastAsia="Calibri" w:hAnsi="Verdana"/>
          <w:sz w:val="20"/>
          <w:szCs w:val="20"/>
          <w:lang w:val="en-US"/>
        </w:rPr>
      </w:pPr>
      <w:r w:rsidRPr="00EA6C7A">
        <w:rPr>
          <w:rFonts w:ascii="Verdana" w:hAnsi="Verdana"/>
          <w:sz w:val="20"/>
          <w:szCs w:val="20"/>
          <w:lang w:val="en-US"/>
        </w:rPr>
        <w:t xml:space="preserve">As established in </w:t>
      </w:r>
      <w:r w:rsidR="0096418F" w:rsidRPr="00EA6C7A">
        <w:rPr>
          <w:rFonts w:ascii="Verdana" w:hAnsi="Verdana"/>
          <w:sz w:val="20"/>
          <w:szCs w:val="20"/>
          <w:lang w:val="en-US"/>
        </w:rPr>
        <w:t>Articles</w:t>
      </w:r>
      <w:r w:rsidR="00165633" w:rsidRPr="00EA6C7A">
        <w:rPr>
          <w:rFonts w:ascii="Verdana" w:hAnsi="Verdana"/>
          <w:sz w:val="20"/>
          <w:szCs w:val="20"/>
          <w:lang w:val="en-US"/>
        </w:rPr>
        <w:t xml:space="preserve"> 46, 47, 48, 50, 51, 57 </w:t>
      </w:r>
      <w:r w:rsidRPr="00EA6C7A">
        <w:rPr>
          <w:rFonts w:ascii="Verdana" w:hAnsi="Verdana"/>
          <w:sz w:val="20"/>
          <w:szCs w:val="20"/>
          <w:lang w:val="en-US"/>
        </w:rPr>
        <w:t>and</w:t>
      </w:r>
      <w:r w:rsidR="00165633" w:rsidRPr="00EA6C7A">
        <w:rPr>
          <w:rFonts w:ascii="Verdana" w:hAnsi="Verdana"/>
          <w:sz w:val="20"/>
          <w:szCs w:val="20"/>
          <w:lang w:val="en-US"/>
        </w:rPr>
        <w:t xml:space="preserve"> 58</w:t>
      </w:r>
      <w:r w:rsidR="0096418F" w:rsidRPr="00EA6C7A">
        <w:rPr>
          <w:rFonts w:ascii="Verdana" w:hAnsi="Verdana"/>
          <w:sz w:val="20"/>
          <w:szCs w:val="20"/>
          <w:lang w:val="en-US"/>
        </w:rPr>
        <w:t xml:space="preserve"> of the Rules of Procedure</w:t>
      </w:r>
      <w:r w:rsidR="00165633" w:rsidRPr="00EA6C7A">
        <w:rPr>
          <w:rFonts w:ascii="Verdana" w:hAnsi="Verdana"/>
          <w:sz w:val="20"/>
          <w:szCs w:val="20"/>
          <w:lang w:val="en-US"/>
        </w:rPr>
        <w:t>, as</w:t>
      </w:r>
      <w:r w:rsidRPr="00EA6C7A">
        <w:rPr>
          <w:rFonts w:ascii="Verdana" w:hAnsi="Verdana"/>
          <w:sz w:val="20"/>
          <w:szCs w:val="20"/>
          <w:lang w:val="en-US"/>
        </w:rPr>
        <w:t xml:space="preserve"> well as in its consistent case law concerning evidence and its assessment, the Court will examine and evaluate the documentary probative elements forwarded by the parties and the Commission, the statements, testimony and expert opinions, and the helpful evidence requested and incorporated by the Court</w:t>
      </w:r>
      <w:r w:rsidR="003F31B4" w:rsidRPr="00EA6C7A">
        <w:rPr>
          <w:rFonts w:ascii="Verdana" w:hAnsi="Verdana"/>
          <w:sz w:val="20"/>
          <w:szCs w:val="20"/>
          <w:lang w:val="en-US"/>
        </w:rPr>
        <w:t xml:space="preserve"> in order</w:t>
      </w:r>
      <w:r w:rsidRPr="00EA6C7A">
        <w:rPr>
          <w:rFonts w:ascii="Verdana" w:hAnsi="Verdana"/>
          <w:sz w:val="20"/>
          <w:szCs w:val="20"/>
          <w:lang w:val="en-US"/>
        </w:rPr>
        <w:t xml:space="preserve"> to establish the facts of the case and to rule on the merits. To this end, it will abide</w:t>
      </w:r>
      <w:r w:rsidR="00D948A1" w:rsidRPr="00EA6C7A">
        <w:rPr>
          <w:rFonts w:ascii="Verdana" w:hAnsi="Verdana"/>
          <w:sz w:val="20"/>
          <w:szCs w:val="20"/>
          <w:lang w:val="en-US"/>
        </w:rPr>
        <w:t xml:space="preserve"> </w:t>
      </w:r>
      <w:r w:rsidR="003F31B4" w:rsidRPr="00EA6C7A">
        <w:rPr>
          <w:rFonts w:ascii="Verdana" w:hAnsi="Verdana"/>
          <w:sz w:val="20"/>
          <w:szCs w:val="20"/>
          <w:lang w:val="en-US"/>
        </w:rPr>
        <w:t>by</w:t>
      </w:r>
      <w:r w:rsidR="00D948A1" w:rsidRPr="00EA6C7A">
        <w:rPr>
          <w:rFonts w:ascii="Verdana" w:hAnsi="Verdana"/>
          <w:sz w:val="20"/>
          <w:szCs w:val="20"/>
          <w:lang w:val="en-US"/>
        </w:rPr>
        <w:t xml:space="preserve"> </w:t>
      </w:r>
      <w:r w:rsidRPr="00EA6C7A">
        <w:rPr>
          <w:rFonts w:ascii="Verdana" w:hAnsi="Verdana"/>
          <w:sz w:val="20"/>
          <w:szCs w:val="20"/>
          <w:lang w:val="en-US"/>
        </w:rPr>
        <w:t>the principles of sound judicial discretion, within the corresponding normative framework, taking into account the whole body of evidence and the arguments submitted in the case.</w:t>
      </w:r>
      <w:r w:rsidR="00B167E3" w:rsidRPr="00EA6C7A">
        <w:rPr>
          <w:rStyle w:val="Refdenotaalpie"/>
          <w:rFonts w:ascii="Verdana" w:hAnsi="Verdana"/>
          <w:sz w:val="20"/>
          <w:szCs w:val="20"/>
          <w:lang w:val="en-US"/>
        </w:rPr>
        <w:footnoteReference w:id="23"/>
      </w:r>
      <w:r w:rsidR="00165633" w:rsidRPr="00EA6C7A">
        <w:rPr>
          <w:rFonts w:ascii="Verdana" w:hAnsi="Verdana"/>
          <w:sz w:val="20"/>
          <w:szCs w:val="20"/>
          <w:lang w:val="en-US"/>
        </w:rPr>
        <w:t xml:space="preserve"> </w:t>
      </w:r>
      <w:r w:rsidRPr="00EA6C7A">
        <w:rPr>
          <w:rFonts w:ascii="Verdana" w:hAnsi="Verdana"/>
          <w:sz w:val="20"/>
          <w:szCs w:val="20"/>
          <w:lang w:val="en-US"/>
        </w:rPr>
        <w:t xml:space="preserve">Based on the Court’s case law, the statements of </w:t>
      </w:r>
      <w:r w:rsidR="00E43A75" w:rsidRPr="00EA6C7A">
        <w:rPr>
          <w:rFonts w:ascii="Verdana" w:eastAsia="Verdana" w:hAnsi="Verdana" w:cs="Verdana"/>
          <w:sz w:val="20"/>
          <w:szCs w:val="20"/>
          <w:lang w:val="en-US"/>
        </w:rPr>
        <w:t>the presumed victims</w:t>
      </w:r>
      <w:r w:rsidR="00165633" w:rsidRPr="00EA6C7A">
        <w:rPr>
          <w:rFonts w:ascii="Verdana" w:eastAsia="Verdana" w:hAnsi="Verdana" w:cs="Verdana"/>
          <w:sz w:val="20"/>
          <w:szCs w:val="20"/>
          <w:lang w:val="en-US"/>
        </w:rPr>
        <w:t xml:space="preserve"> </w:t>
      </w:r>
      <w:r w:rsidRPr="00EA6C7A">
        <w:rPr>
          <w:rFonts w:ascii="Verdana" w:eastAsia="Verdana" w:hAnsi="Verdana" w:cs="Verdana"/>
          <w:sz w:val="20"/>
          <w:szCs w:val="20"/>
          <w:lang w:val="en-US"/>
        </w:rPr>
        <w:t xml:space="preserve">cannot be assessed in isolation, but rather in the context of all the evidence in the proceedings, insofar as they </w:t>
      </w:r>
      <w:r w:rsidR="003F31B4" w:rsidRPr="00EA6C7A">
        <w:rPr>
          <w:rFonts w:ascii="Verdana" w:eastAsia="Verdana" w:hAnsi="Verdana" w:cs="Verdana"/>
          <w:sz w:val="20"/>
          <w:szCs w:val="20"/>
          <w:lang w:val="en-US"/>
        </w:rPr>
        <w:t>may</w:t>
      </w:r>
      <w:r w:rsidRPr="00EA6C7A">
        <w:rPr>
          <w:rFonts w:ascii="Verdana" w:eastAsia="Verdana" w:hAnsi="Verdana" w:cs="Verdana"/>
          <w:sz w:val="20"/>
          <w:szCs w:val="20"/>
          <w:lang w:val="en-US"/>
        </w:rPr>
        <w:t xml:space="preserve"> provide further information on the presumed violations and the consequences.</w:t>
      </w:r>
      <w:r w:rsidR="00B167E3" w:rsidRPr="00EA6C7A">
        <w:rPr>
          <w:rStyle w:val="Refdenotaalpie"/>
          <w:rFonts w:ascii="Verdana" w:hAnsi="Verdana"/>
          <w:sz w:val="20"/>
          <w:lang w:val="en-US"/>
        </w:rPr>
        <w:footnoteReference w:id="24"/>
      </w:r>
      <w:r w:rsidR="00165633" w:rsidRPr="00EA6C7A">
        <w:rPr>
          <w:rFonts w:ascii="Verdana" w:eastAsia="Verdana" w:hAnsi="Verdana" w:cs="Verdana"/>
          <w:sz w:val="20"/>
          <w:szCs w:val="20"/>
          <w:lang w:val="en-US"/>
        </w:rPr>
        <w:t xml:space="preserve"> </w:t>
      </w:r>
    </w:p>
    <w:p w14:paraId="3CBC8B84" w14:textId="77777777" w:rsidR="00CD09AF" w:rsidRPr="00EA6C7A" w:rsidRDefault="00CD09AF" w:rsidP="00CD09AF">
      <w:pPr>
        <w:keepNext/>
        <w:keepLines/>
        <w:spacing w:after="0" w:line="240" w:lineRule="auto"/>
        <w:jc w:val="center"/>
        <w:outlineLvl w:val="0"/>
        <w:rPr>
          <w:rFonts w:ascii="Verdana" w:eastAsia="Calibri" w:hAnsi="Verdana"/>
          <w:b/>
          <w:bCs/>
          <w:sz w:val="20"/>
          <w:szCs w:val="20"/>
          <w:lang w:val="en-US"/>
        </w:rPr>
      </w:pPr>
      <w:bookmarkStart w:id="39" w:name="_Toc431801383"/>
      <w:bookmarkStart w:id="40" w:name="_Toc431804754"/>
      <w:bookmarkStart w:id="41" w:name="_Toc431806181"/>
      <w:bookmarkStart w:id="42" w:name="_Toc432677757"/>
      <w:bookmarkStart w:id="43" w:name="_Toc437425658"/>
      <w:bookmarkStart w:id="44" w:name="_Toc26002302"/>
      <w:bookmarkStart w:id="45" w:name="_Toc406580659"/>
      <w:bookmarkStart w:id="46" w:name="_Toc402459687"/>
      <w:bookmarkStart w:id="47" w:name="_Toc402461071"/>
      <w:bookmarkStart w:id="48" w:name="_Toc402799452"/>
      <w:r w:rsidRPr="00EA6C7A">
        <w:rPr>
          <w:rFonts w:ascii="Verdana" w:eastAsia="Calibri" w:hAnsi="Verdana"/>
          <w:b/>
          <w:bCs/>
          <w:sz w:val="20"/>
          <w:szCs w:val="20"/>
          <w:lang w:val="en-US"/>
        </w:rPr>
        <w:lastRenderedPageBreak/>
        <w:t>VI</w:t>
      </w:r>
      <w:bookmarkEnd w:id="39"/>
      <w:bookmarkEnd w:id="40"/>
      <w:bookmarkEnd w:id="41"/>
      <w:bookmarkEnd w:id="42"/>
      <w:bookmarkEnd w:id="43"/>
      <w:bookmarkEnd w:id="44"/>
    </w:p>
    <w:p w14:paraId="28412AC2" w14:textId="77777777" w:rsidR="00CD09AF" w:rsidRPr="00EA6C7A" w:rsidRDefault="00DB7DA5" w:rsidP="00CD09AF">
      <w:pPr>
        <w:keepNext/>
        <w:keepLines/>
        <w:spacing w:after="0" w:line="240" w:lineRule="auto"/>
        <w:jc w:val="center"/>
        <w:outlineLvl w:val="0"/>
        <w:rPr>
          <w:rFonts w:ascii="Verdana" w:eastAsia="Calibri" w:hAnsi="Verdana"/>
          <w:b/>
          <w:bCs/>
          <w:sz w:val="20"/>
          <w:szCs w:val="20"/>
          <w:lang w:val="en-US"/>
        </w:rPr>
      </w:pPr>
      <w:bookmarkStart w:id="49" w:name="_Toc26002303"/>
      <w:r w:rsidRPr="00EA6C7A">
        <w:rPr>
          <w:rFonts w:ascii="Verdana" w:eastAsia="Calibri" w:hAnsi="Verdana"/>
          <w:b/>
          <w:bCs/>
          <w:sz w:val="20"/>
          <w:szCs w:val="20"/>
          <w:lang w:val="en-US"/>
        </w:rPr>
        <w:t>FACTS</w:t>
      </w:r>
      <w:bookmarkEnd w:id="49"/>
    </w:p>
    <w:p w14:paraId="67122C37" w14:textId="77777777" w:rsidR="00CD09AF" w:rsidRPr="00EA6C7A" w:rsidRDefault="00CD09AF" w:rsidP="00CD09AF">
      <w:pPr>
        <w:spacing w:after="0" w:line="240" w:lineRule="auto"/>
        <w:rPr>
          <w:rFonts w:ascii="Verdana" w:eastAsia="Calibri" w:hAnsi="Verdana"/>
          <w:sz w:val="20"/>
          <w:lang w:val="en-US"/>
        </w:rPr>
      </w:pPr>
    </w:p>
    <w:bookmarkEnd w:id="45"/>
    <w:bookmarkEnd w:id="46"/>
    <w:bookmarkEnd w:id="47"/>
    <w:bookmarkEnd w:id="48"/>
    <w:p w14:paraId="3F372EB8" w14:textId="77777777" w:rsidR="00CD09AF" w:rsidRPr="00EA6C7A" w:rsidRDefault="00DB7DA5" w:rsidP="00DB7DA5">
      <w:pPr>
        <w:numPr>
          <w:ilvl w:val="0"/>
          <w:numId w:val="3"/>
        </w:numPr>
        <w:spacing w:after="0" w:line="240" w:lineRule="auto"/>
        <w:ind w:left="0" w:hanging="11"/>
        <w:contextualSpacing/>
        <w:jc w:val="both"/>
        <w:rPr>
          <w:rFonts w:ascii="Verdana" w:eastAsia="Batang" w:hAnsi="Verdana"/>
          <w:sz w:val="20"/>
          <w:szCs w:val="20"/>
          <w:lang w:val="en-US"/>
        </w:rPr>
      </w:pPr>
      <w:r w:rsidRPr="00EA6C7A">
        <w:rPr>
          <w:rFonts w:ascii="Verdana" w:eastAsia="Calibri" w:hAnsi="Verdana"/>
          <w:sz w:val="20"/>
          <w:szCs w:val="20"/>
          <w:lang w:val="en-US"/>
        </w:rPr>
        <w:t xml:space="preserve">In this chapter, the Court will examine, first, the context in which the facts of the case occurred and, second, the facts of the case concerning </w:t>
      </w:r>
      <w:r w:rsidR="00CD09AF" w:rsidRPr="00EA6C7A">
        <w:rPr>
          <w:rFonts w:ascii="Verdana" w:eastAsia="Calibri" w:hAnsi="Verdana"/>
          <w:sz w:val="20"/>
          <w:szCs w:val="20"/>
          <w:lang w:val="en-US"/>
        </w:rPr>
        <w:t xml:space="preserve">Claudina Isabel Velásquez Paiz, </w:t>
      </w:r>
      <w:r w:rsidRPr="00EA6C7A">
        <w:rPr>
          <w:rFonts w:ascii="Verdana" w:eastAsia="Calibri" w:hAnsi="Verdana"/>
          <w:sz w:val="20"/>
          <w:szCs w:val="20"/>
          <w:lang w:val="en-US"/>
        </w:rPr>
        <w:t>which include: (i) the report of her disappearance; (ii) the discovery of her corpse and the initial procedures conducted; (iii) the criminal investigation opened into her death; (iv) the investigation</w:t>
      </w:r>
      <w:r w:rsidR="003F31B4" w:rsidRPr="00EA6C7A">
        <w:rPr>
          <w:rFonts w:ascii="Verdana" w:eastAsia="Calibri" w:hAnsi="Verdana"/>
          <w:sz w:val="20"/>
          <w:szCs w:val="20"/>
          <w:lang w:val="en-US"/>
        </w:rPr>
        <w:t xml:space="preserve"> into the facts of the case o</w:t>
      </w:r>
      <w:r w:rsidRPr="00EA6C7A">
        <w:rPr>
          <w:rFonts w:ascii="Verdana" w:eastAsia="Calibri" w:hAnsi="Verdana"/>
          <w:sz w:val="20"/>
          <w:szCs w:val="20"/>
          <w:lang w:val="en-US"/>
        </w:rPr>
        <w:t xml:space="preserve">pened by the Guatemalan Ombudsman; (v) the disciplinary proceedings opened in </w:t>
      </w:r>
      <w:r w:rsidRPr="00EA6C7A">
        <w:rPr>
          <w:rFonts w:ascii="Verdana" w:eastAsia="Batang" w:hAnsi="Verdana"/>
          <w:sz w:val="20"/>
          <w:szCs w:val="20"/>
          <w:lang w:val="en-US"/>
        </w:rPr>
        <w:t xml:space="preserve">the Head Office for the Prosecution of Crimes against Life and Integrity, </w:t>
      </w:r>
      <w:r w:rsidR="003E2012" w:rsidRPr="00EA6C7A">
        <w:rPr>
          <w:rFonts w:ascii="Verdana" w:eastAsia="Batang" w:hAnsi="Verdana"/>
          <w:sz w:val="20"/>
          <w:szCs w:val="20"/>
          <w:lang w:val="en-US"/>
        </w:rPr>
        <w:t xml:space="preserve">and the </w:t>
      </w:r>
      <w:r w:rsidR="003F31B4" w:rsidRPr="00EA6C7A">
        <w:rPr>
          <w:rFonts w:ascii="Verdana" w:eastAsia="Batang" w:hAnsi="Verdana"/>
          <w:sz w:val="20"/>
          <w:szCs w:val="20"/>
          <w:lang w:val="en-US"/>
        </w:rPr>
        <w:t xml:space="preserve">Criminal Investigation Department </w:t>
      </w:r>
      <w:r w:rsidR="00CD09AF" w:rsidRPr="00EA6C7A">
        <w:rPr>
          <w:rFonts w:ascii="Verdana" w:eastAsia="Batang" w:hAnsi="Verdana"/>
          <w:sz w:val="20"/>
          <w:szCs w:val="20"/>
          <w:lang w:val="en-US"/>
        </w:rPr>
        <w:t xml:space="preserve"> </w:t>
      </w:r>
      <w:r w:rsidR="003E2012" w:rsidRPr="00EA6C7A">
        <w:rPr>
          <w:rFonts w:ascii="Verdana" w:eastAsia="Batang" w:hAnsi="Verdana"/>
          <w:sz w:val="20"/>
          <w:szCs w:val="20"/>
          <w:lang w:val="en-US"/>
        </w:rPr>
        <w:t>of the Public</w:t>
      </w:r>
      <w:r w:rsidR="00B3248B" w:rsidRPr="00EA6C7A">
        <w:rPr>
          <w:rFonts w:ascii="Verdana" w:eastAsia="Batang" w:hAnsi="Verdana"/>
          <w:sz w:val="20"/>
          <w:szCs w:val="20"/>
          <w:lang w:val="en-US"/>
        </w:rPr>
        <w:t xml:space="preserve"> Prosecution Service</w:t>
      </w:r>
      <w:r w:rsidR="00CD09AF" w:rsidRPr="00EA6C7A">
        <w:rPr>
          <w:rFonts w:ascii="Verdana" w:eastAsia="Batang" w:hAnsi="Verdana"/>
          <w:sz w:val="20"/>
          <w:szCs w:val="20"/>
          <w:lang w:val="en-US"/>
        </w:rPr>
        <w:t xml:space="preserve">, </w:t>
      </w:r>
      <w:r w:rsidR="003E2012" w:rsidRPr="00EA6C7A">
        <w:rPr>
          <w:rFonts w:ascii="Verdana" w:eastAsia="Batang" w:hAnsi="Verdana"/>
          <w:sz w:val="20"/>
          <w:szCs w:val="20"/>
          <w:lang w:val="en-US"/>
        </w:rPr>
        <w:t>and</w:t>
      </w:r>
      <w:r w:rsidR="00CD09AF" w:rsidRPr="00EA6C7A">
        <w:rPr>
          <w:rFonts w:ascii="Verdana" w:eastAsia="Batang" w:hAnsi="Verdana"/>
          <w:sz w:val="20"/>
          <w:szCs w:val="20"/>
          <w:lang w:val="en-US"/>
        </w:rPr>
        <w:t xml:space="preserve"> </w:t>
      </w:r>
      <w:r w:rsidR="003E2012" w:rsidRPr="00EA6C7A">
        <w:rPr>
          <w:rFonts w:ascii="Verdana" w:eastAsia="Batang" w:hAnsi="Verdana"/>
          <w:sz w:val="20"/>
          <w:szCs w:val="20"/>
          <w:lang w:val="en-US"/>
        </w:rPr>
        <w:t>(</w:t>
      </w:r>
      <w:r w:rsidR="00CD09AF" w:rsidRPr="00EA6C7A">
        <w:rPr>
          <w:rFonts w:ascii="Verdana" w:eastAsia="Batang" w:hAnsi="Verdana"/>
          <w:sz w:val="20"/>
          <w:szCs w:val="20"/>
          <w:lang w:val="en-US"/>
        </w:rPr>
        <w:t xml:space="preserve">vi) </w:t>
      </w:r>
      <w:r w:rsidR="003E2012" w:rsidRPr="00EA6C7A">
        <w:rPr>
          <w:rFonts w:ascii="Verdana" w:eastAsia="Batang" w:hAnsi="Verdana"/>
          <w:sz w:val="20"/>
          <w:szCs w:val="20"/>
          <w:lang w:val="en-US"/>
        </w:rPr>
        <w:t xml:space="preserve">the disciplinary proceeding opened in the Disciplinary Regime Unit </w:t>
      </w:r>
      <w:r w:rsidR="003B7AB8" w:rsidRPr="00EA6C7A">
        <w:rPr>
          <w:rFonts w:ascii="Verdana" w:eastAsia="Batang" w:hAnsi="Verdana"/>
          <w:sz w:val="20"/>
          <w:szCs w:val="20"/>
          <w:lang w:val="en-US"/>
        </w:rPr>
        <w:t>of the Judiciary’s Human Resources System</w:t>
      </w:r>
      <w:r w:rsidR="00CD09AF" w:rsidRPr="00EA6C7A">
        <w:rPr>
          <w:rFonts w:ascii="Verdana" w:eastAsia="Batang" w:hAnsi="Verdana"/>
          <w:sz w:val="20"/>
          <w:szCs w:val="20"/>
          <w:lang w:val="en-US"/>
        </w:rPr>
        <w:t>.</w:t>
      </w:r>
    </w:p>
    <w:p w14:paraId="43082288" w14:textId="77777777" w:rsidR="00CD09AF" w:rsidRPr="00EA6C7A" w:rsidRDefault="00CD09AF" w:rsidP="00CD09AF">
      <w:pPr>
        <w:tabs>
          <w:tab w:val="left" w:pos="567"/>
        </w:tabs>
        <w:spacing w:after="0" w:line="240" w:lineRule="auto"/>
        <w:ind w:left="360"/>
        <w:jc w:val="both"/>
        <w:rPr>
          <w:rFonts w:ascii="Verdana" w:eastAsia="Batang" w:hAnsi="Verdana"/>
          <w:sz w:val="20"/>
          <w:szCs w:val="20"/>
          <w:lang w:val="en-US" w:eastAsia="es-MX"/>
        </w:rPr>
      </w:pPr>
    </w:p>
    <w:p w14:paraId="2A21A582" w14:textId="77777777" w:rsidR="00CD09AF" w:rsidRPr="00EA6C7A" w:rsidRDefault="003E2012" w:rsidP="00E11A7C">
      <w:pPr>
        <w:keepNext/>
        <w:keepLines/>
        <w:numPr>
          <w:ilvl w:val="0"/>
          <w:numId w:val="8"/>
        </w:numPr>
        <w:spacing w:after="0"/>
        <w:outlineLvl w:val="1"/>
        <w:rPr>
          <w:rFonts w:ascii="Verdana" w:eastAsia="Calibri" w:hAnsi="Verdana"/>
          <w:b/>
          <w:bCs/>
          <w:sz w:val="20"/>
          <w:szCs w:val="26"/>
          <w:lang w:val="en-US"/>
        </w:rPr>
      </w:pPr>
      <w:bookmarkStart w:id="50" w:name="_Toc26002304"/>
      <w:r w:rsidRPr="00EA6C7A">
        <w:rPr>
          <w:rFonts w:ascii="Verdana" w:eastAsia="Calibri" w:hAnsi="Verdana"/>
          <w:b/>
          <w:bCs/>
          <w:sz w:val="20"/>
          <w:szCs w:val="26"/>
          <w:lang w:val="en-US"/>
        </w:rPr>
        <w:t>Context in which the facts of the case occurred</w:t>
      </w:r>
      <w:bookmarkEnd w:id="50"/>
      <w:r w:rsidRPr="00EA6C7A">
        <w:rPr>
          <w:rFonts w:ascii="Verdana" w:eastAsia="Calibri" w:hAnsi="Verdana"/>
          <w:b/>
          <w:bCs/>
          <w:sz w:val="20"/>
          <w:szCs w:val="26"/>
          <w:lang w:val="en-US"/>
        </w:rPr>
        <w:t xml:space="preserve"> </w:t>
      </w:r>
    </w:p>
    <w:p w14:paraId="67D7277E" w14:textId="77777777" w:rsidR="00CD09AF" w:rsidRPr="00EA6C7A" w:rsidRDefault="00CD09AF" w:rsidP="00CD09AF">
      <w:pPr>
        <w:spacing w:after="0" w:line="240" w:lineRule="auto"/>
        <w:jc w:val="both"/>
        <w:rPr>
          <w:rFonts w:ascii="Verdana" w:eastAsia="Calibri" w:hAnsi="Verdana"/>
          <w:sz w:val="16"/>
          <w:szCs w:val="20"/>
          <w:lang w:val="en-US"/>
        </w:rPr>
      </w:pPr>
    </w:p>
    <w:p w14:paraId="4413009D" w14:textId="77777777" w:rsidR="00CD09AF" w:rsidRPr="00EA6C7A" w:rsidRDefault="0096418F" w:rsidP="003E2012">
      <w:pPr>
        <w:numPr>
          <w:ilvl w:val="0"/>
          <w:numId w:val="3"/>
        </w:numPr>
        <w:spacing w:after="0" w:line="240" w:lineRule="auto"/>
        <w:ind w:left="0" w:hanging="11"/>
        <w:contextualSpacing/>
        <w:jc w:val="both"/>
        <w:rPr>
          <w:rFonts w:ascii="Verdana" w:eastAsia="Calibri" w:hAnsi="Verdana"/>
          <w:sz w:val="20"/>
          <w:szCs w:val="20"/>
          <w:lang w:val="en-US"/>
        </w:rPr>
      </w:pPr>
      <w:r w:rsidRPr="00EA6C7A">
        <w:rPr>
          <w:rFonts w:ascii="Verdana" w:eastAsia="Calibri" w:hAnsi="Verdana"/>
          <w:sz w:val="20"/>
          <w:szCs w:val="20"/>
          <w:lang w:val="en-US"/>
        </w:rPr>
        <w:t xml:space="preserve">The </w:t>
      </w:r>
      <w:r w:rsidRPr="00EA6C7A">
        <w:rPr>
          <w:rFonts w:ascii="Verdana" w:eastAsia="Calibri" w:hAnsi="Verdana"/>
          <w:b/>
          <w:bCs/>
          <w:i/>
          <w:iCs/>
          <w:sz w:val="20"/>
          <w:szCs w:val="20"/>
          <w:lang w:val="en-US"/>
        </w:rPr>
        <w:t>Commission</w:t>
      </w:r>
      <w:r w:rsidR="00CD09AF" w:rsidRPr="00EA6C7A">
        <w:rPr>
          <w:rFonts w:ascii="Verdana" w:eastAsia="Calibri" w:hAnsi="Verdana"/>
          <w:sz w:val="20"/>
          <w:szCs w:val="20"/>
          <w:lang w:val="en-US"/>
        </w:rPr>
        <w:t xml:space="preserve"> </w:t>
      </w:r>
      <w:r w:rsidR="003E2012" w:rsidRPr="00EA6C7A">
        <w:rPr>
          <w:rFonts w:ascii="Verdana" w:eastAsia="Calibri" w:hAnsi="Verdana"/>
          <w:sz w:val="20"/>
          <w:szCs w:val="20"/>
          <w:lang w:val="en-US"/>
        </w:rPr>
        <w:t>and</w:t>
      </w:r>
      <w:r w:rsidR="00CD09AF" w:rsidRPr="00EA6C7A">
        <w:rPr>
          <w:rFonts w:ascii="Verdana" w:eastAsia="Calibri" w:hAnsi="Verdana"/>
          <w:sz w:val="20"/>
          <w:szCs w:val="20"/>
          <w:lang w:val="en-US"/>
        </w:rPr>
        <w:t xml:space="preserve"> </w:t>
      </w:r>
      <w:r w:rsidR="00E43A75" w:rsidRPr="00EA6C7A">
        <w:rPr>
          <w:rFonts w:ascii="Verdana" w:eastAsia="Calibri" w:hAnsi="Verdana"/>
          <w:sz w:val="20"/>
          <w:szCs w:val="20"/>
          <w:lang w:val="en-US"/>
        </w:rPr>
        <w:t xml:space="preserve">the </w:t>
      </w:r>
      <w:r w:rsidR="00E43A75" w:rsidRPr="00EA6C7A">
        <w:rPr>
          <w:rFonts w:ascii="Verdana" w:eastAsia="Calibri" w:hAnsi="Verdana"/>
          <w:b/>
          <w:bCs/>
          <w:i/>
          <w:iCs/>
          <w:sz w:val="20"/>
          <w:szCs w:val="20"/>
          <w:lang w:val="en-US"/>
        </w:rPr>
        <w:t>representatives</w:t>
      </w:r>
      <w:r w:rsidR="00CD09AF" w:rsidRPr="00EA6C7A">
        <w:rPr>
          <w:rFonts w:ascii="Verdana" w:eastAsia="Calibri" w:hAnsi="Verdana"/>
          <w:sz w:val="20"/>
          <w:szCs w:val="20"/>
          <w:lang w:val="en-US"/>
        </w:rPr>
        <w:t xml:space="preserve"> </w:t>
      </w:r>
      <w:r w:rsidR="003E2012" w:rsidRPr="00EA6C7A">
        <w:rPr>
          <w:rFonts w:ascii="Verdana" w:eastAsia="Calibri" w:hAnsi="Verdana"/>
          <w:sz w:val="20"/>
          <w:szCs w:val="20"/>
          <w:lang w:val="en-US"/>
        </w:rPr>
        <w:t xml:space="preserve">asserted that this case </w:t>
      </w:r>
      <w:r w:rsidR="006021E8" w:rsidRPr="00EA6C7A">
        <w:rPr>
          <w:rFonts w:ascii="Verdana" w:eastAsia="Calibri" w:hAnsi="Verdana"/>
          <w:sz w:val="20"/>
          <w:szCs w:val="20"/>
          <w:lang w:val="en-US"/>
        </w:rPr>
        <w:t>formed part of</w:t>
      </w:r>
      <w:r w:rsidR="003E2012" w:rsidRPr="00EA6C7A">
        <w:rPr>
          <w:rFonts w:ascii="Verdana" w:eastAsia="Calibri" w:hAnsi="Verdana"/>
          <w:sz w:val="20"/>
          <w:szCs w:val="20"/>
          <w:lang w:val="en-US"/>
        </w:rPr>
        <w:t xml:space="preserve"> a context of high levels of acts of violence against women and girls in Guatemala, as well as of the general impunity</w:t>
      </w:r>
      <w:r w:rsidR="003F31B4" w:rsidRPr="00EA6C7A">
        <w:rPr>
          <w:rFonts w:ascii="Verdana" w:eastAsia="Calibri" w:hAnsi="Verdana"/>
          <w:sz w:val="20"/>
          <w:szCs w:val="20"/>
          <w:lang w:val="en-US"/>
        </w:rPr>
        <w:t xml:space="preserve"> of such </w:t>
      </w:r>
      <w:r w:rsidR="006021E8" w:rsidRPr="00EA6C7A">
        <w:rPr>
          <w:rFonts w:ascii="Verdana" w:eastAsia="Calibri" w:hAnsi="Verdana"/>
          <w:sz w:val="20"/>
          <w:szCs w:val="20"/>
          <w:lang w:val="en-US"/>
        </w:rPr>
        <w:t>acts</w:t>
      </w:r>
      <w:r w:rsidR="003E2012" w:rsidRPr="00EA6C7A">
        <w:rPr>
          <w:rFonts w:ascii="Verdana" w:eastAsia="Calibri" w:hAnsi="Verdana"/>
          <w:sz w:val="20"/>
          <w:szCs w:val="20"/>
          <w:lang w:val="en-US"/>
        </w:rPr>
        <w:t xml:space="preserve">. In particular, the </w:t>
      </w:r>
      <w:r w:rsidR="003E2012" w:rsidRPr="00EA6C7A">
        <w:rPr>
          <w:rFonts w:ascii="Verdana" w:eastAsia="Calibri" w:hAnsi="Verdana"/>
          <w:b/>
          <w:bCs/>
          <w:i/>
          <w:iCs/>
          <w:sz w:val="20"/>
          <w:szCs w:val="20"/>
          <w:lang w:val="en-US"/>
        </w:rPr>
        <w:t>Commission</w:t>
      </w:r>
      <w:r w:rsidR="003E2012" w:rsidRPr="00EA6C7A">
        <w:rPr>
          <w:rFonts w:ascii="Verdana" w:eastAsia="Calibri" w:hAnsi="Verdana"/>
          <w:sz w:val="20"/>
          <w:szCs w:val="20"/>
          <w:lang w:val="en-US"/>
        </w:rPr>
        <w:t xml:space="preserve"> affirmed that, since 2001, both national and international agencies, </w:t>
      </w:r>
      <w:r w:rsidR="006021E8" w:rsidRPr="00EA6C7A">
        <w:rPr>
          <w:rFonts w:ascii="Verdana" w:eastAsia="Calibri" w:hAnsi="Verdana"/>
          <w:sz w:val="20"/>
          <w:szCs w:val="20"/>
          <w:lang w:val="en-US"/>
        </w:rPr>
        <w:t>and also</w:t>
      </w:r>
      <w:r w:rsidR="003E2012" w:rsidRPr="00EA6C7A">
        <w:rPr>
          <w:rFonts w:ascii="Verdana" w:eastAsia="Calibri" w:hAnsi="Verdana"/>
          <w:sz w:val="20"/>
          <w:szCs w:val="20"/>
          <w:lang w:val="en-US"/>
        </w:rPr>
        <w:t xml:space="preserve"> non-governmental organizations had expressed concern owing to the State’s failure to comply with due diligence to prevent, investigate and punish acts of violence against women, and </w:t>
      </w:r>
      <w:r w:rsidR="006021E8" w:rsidRPr="00EA6C7A">
        <w:rPr>
          <w:rFonts w:ascii="Verdana" w:eastAsia="Calibri" w:hAnsi="Verdana"/>
          <w:sz w:val="20"/>
          <w:szCs w:val="20"/>
          <w:lang w:val="en-US"/>
        </w:rPr>
        <w:t>with regard to the</w:t>
      </w:r>
      <w:r w:rsidR="003E2012" w:rsidRPr="00EA6C7A">
        <w:rPr>
          <w:rFonts w:ascii="Verdana" w:eastAsia="Calibri" w:hAnsi="Verdana"/>
          <w:sz w:val="20"/>
          <w:szCs w:val="20"/>
          <w:lang w:val="en-US"/>
        </w:rPr>
        <w:t xml:space="preserve"> context in which this was intensifying in Guatemala. In addition, it indicated that </w:t>
      </w:r>
      <w:r w:rsidR="006021E8" w:rsidRPr="00EA6C7A">
        <w:rPr>
          <w:rFonts w:ascii="Verdana" w:eastAsia="Calibri" w:hAnsi="Verdana"/>
          <w:sz w:val="20"/>
          <w:szCs w:val="20"/>
          <w:lang w:val="en-US"/>
        </w:rPr>
        <w:t xml:space="preserve">there was </w:t>
      </w:r>
      <w:r w:rsidR="003E2012" w:rsidRPr="00EA6C7A">
        <w:rPr>
          <w:rFonts w:ascii="Verdana" w:eastAsia="Calibri" w:hAnsi="Verdana"/>
          <w:sz w:val="20"/>
          <w:szCs w:val="20"/>
          <w:lang w:val="en-US"/>
        </w:rPr>
        <w:t xml:space="preserve">consensus that, despite the existence of several parallel institutions promoting the advancement of women, their mandates overlapped and, consequently, they suffered from weak coordination by the State and a lack of resources to implement their programs. It also underlined that the situation in Guatemala had not changed since the time of the facts of the </w:t>
      </w:r>
      <w:r w:rsidR="006021E8" w:rsidRPr="00EA6C7A">
        <w:rPr>
          <w:rFonts w:ascii="Verdana" w:hAnsi="Verdana"/>
          <w:iCs/>
          <w:sz w:val="20"/>
          <w:szCs w:val="20"/>
          <w:lang w:val="en-US"/>
        </w:rPr>
        <w:t>c</w:t>
      </w:r>
      <w:r w:rsidR="001914FC" w:rsidRPr="00EA6C7A">
        <w:rPr>
          <w:rFonts w:ascii="Verdana" w:hAnsi="Verdana"/>
          <w:iCs/>
          <w:sz w:val="20"/>
          <w:szCs w:val="20"/>
          <w:lang w:val="en-US"/>
        </w:rPr>
        <w:t>ase</w:t>
      </w:r>
      <w:r w:rsidR="006021E8" w:rsidRPr="00EA6C7A">
        <w:rPr>
          <w:rFonts w:ascii="Verdana" w:hAnsi="Verdana"/>
          <w:iCs/>
          <w:sz w:val="20"/>
          <w:szCs w:val="20"/>
          <w:lang w:val="en-US"/>
        </w:rPr>
        <w:t>s</w:t>
      </w:r>
      <w:r w:rsidR="001914FC" w:rsidRPr="00EA6C7A">
        <w:rPr>
          <w:rFonts w:ascii="Verdana" w:hAnsi="Verdana"/>
          <w:iCs/>
          <w:sz w:val="20"/>
          <w:szCs w:val="20"/>
          <w:lang w:val="en-US"/>
        </w:rPr>
        <w:t xml:space="preserve"> of</w:t>
      </w:r>
      <w:r w:rsidR="001914FC" w:rsidRPr="00EA6C7A">
        <w:rPr>
          <w:rFonts w:ascii="Verdana" w:hAnsi="Verdana"/>
          <w:i/>
          <w:sz w:val="20"/>
          <w:szCs w:val="20"/>
          <w:lang w:val="en-US"/>
        </w:rPr>
        <w:t xml:space="preserve"> </w:t>
      </w:r>
      <w:r w:rsidR="00CD09AF" w:rsidRPr="00EA6C7A">
        <w:rPr>
          <w:rFonts w:ascii="Verdana" w:hAnsi="Verdana"/>
          <w:i/>
          <w:sz w:val="20"/>
          <w:szCs w:val="20"/>
          <w:lang w:val="en-US"/>
        </w:rPr>
        <w:t xml:space="preserve">Veliz Franco </w:t>
      </w:r>
      <w:r w:rsidR="003E2012" w:rsidRPr="00EA6C7A">
        <w:rPr>
          <w:rFonts w:ascii="Verdana" w:hAnsi="Verdana"/>
          <w:i/>
          <w:sz w:val="20"/>
          <w:szCs w:val="20"/>
          <w:lang w:val="en-US"/>
        </w:rPr>
        <w:t>et al.</w:t>
      </w:r>
      <w:r w:rsidR="00CD09AF" w:rsidRPr="00EA6C7A">
        <w:rPr>
          <w:rFonts w:ascii="Verdana" w:hAnsi="Verdana"/>
          <w:sz w:val="20"/>
          <w:szCs w:val="20"/>
          <w:lang w:val="en-US"/>
        </w:rPr>
        <w:t xml:space="preserve"> (2001) </w:t>
      </w:r>
      <w:r w:rsidR="003E2012" w:rsidRPr="00EA6C7A">
        <w:rPr>
          <w:rFonts w:ascii="Verdana" w:hAnsi="Verdana"/>
          <w:sz w:val="20"/>
          <w:szCs w:val="20"/>
          <w:lang w:val="en-US"/>
        </w:rPr>
        <w:t>and</w:t>
      </w:r>
      <w:r w:rsidR="001914FC" w:rsidRPr="00EA6C7A">
        <w:rPr>
          <w:rFonts w:ascii="Verdana" w:hAnsi="Verdana"/>
          <w:i/>
          <w:sz w:val="20"/>
          <w:szCs w:val="20"/>
          <w:lang w:val="en-US"/>
        </w:rPr>
        <w:t xml:space="preserve"> </w:t>
      </w:r>
      <w:r w:rsidR="00CD09AF" w:rsidRPr="00EA6C7A">
        <w:rPr>
          <w:rFonts w:ascii="Verdana" w:hAnsi="Verdana"/>
          <w:i/>
          <w:sz w:val="20"/>
          <w:szCs w:val="20"/>
          <w:lang w:val="en-US"/>
        </w:rPr>
        <w:t xml:space="preserve">Velásquez Paiz </w:t>
      </w:r>
      <w:r w:rsidR="003E2012" w:rsidRPr="00EA6C7A">
        <w:rPr>
          <w:rFonts w:ascii="Verdana" w:hAnsi="Verdana"/>
          <w:i/>
          <w:sz w:val="20"/>
          <w:szCs w:val="20"/>
          <w:lang w:val="en-US"/>
        </w:rPr>
        <w:t>et al.</w:t>
      </w:r>
      <w:r w:rsidR="00CD09AF" w:rsidRPr="00EA6C7A">
        <w:rPr>
          <w:rFonts w:ascii="Verdana" w:hAnsi="Verdana"/>
          <w:sz w:val="20"/>
          <w:szCs w:val="20"/>
          <w:lang w:val="en-US"/>
        </w:rPr>
        <w:t xml:space="preserve"> (2005). </w:t>
      </w:r>
      <w:r w:rsidR="006719FB" w:rsidRPr="00EA6C7A">
        <w:rPr>
          <w:rFonts w:ascii="Verdana" w:hAnsi="Verdana"/>
          <w:sz w:val="20"/>
          <w:szCs w:val="20"/>
          <w:lang w:val="en-US"/>
        </w:rPr>
        <w:t>It asserted that “the evidence points to a marked increase in the rates of violent deaths of women with specific signs of gender-based violence.”</w:t>
      </w:r>
      <w:r w:rsidR="00CD09AF" w:rsidRPr="00EA6C7A">
        <w:rPr>
          <w:rFonts w:ascii="Verdana" w:hAnsi="Verdana"/>
          <w:b/>
          <w:sz w:val="20"/>
          <w:szCs w:val="20"/>
          <w:lang w:val="en-US"/>
        </w:rPr>
        <w:t xml:space="preserve"> </w:t>
      </w:r>
    </w:p>
    <w:p w14:paraId="280B59D5" w14:textId="77777777" w:rsidR="00CD09AF" w:rsidRPr="00EA6C7A" w:rsidRDefault="00CD09AF" w:rsidP="00CD09AF">
      <w:pPr>
        <w:spacing w:after="0" w:line="240" w:lineRule="auto"/>
        <w:contextualSpacing/>
        <w:jc w:val="both"/>
        <w:rPr>
          <w:rFonts w:ascii="Verdana" w:eastAsia="Calibri" w:hAnsi="Verdana"/>
          <w:sz w:val="20"/>
          <w:szCs w:val="20"/>
          <w:lang w:val="en-US"/>
        </w:rPr>
      </w:pPr>
    </w:p>
    <w:p w14:paraId="56820F34" w14:textId="77777777" w:rsidR="00CD09AF" w:rsidRPr="00EA6C7A" w:rsidRDefault="002F3848" w:rsidP="006719FB">
      <w:pPr>
        <w:numPr>
          <w:ilvl w:val="0"/>
          <w:numId w:val="3"/>
        </w:numPr>
        <w:spacing w:after="0" w:line="240" w:lineRule="auto"/>
        <w:ind w:left="0" w:hanging="11"/>
        <w:contextualSpacing/>
        <w:jc w:val="both"/>
        <w:rPr>
          <w:rFonts w:ascii="Verdana" w:eastAsia="Calibri" w:hAnsi="Verdana"/>
          <w:sz w:val="20"/>
          <w:szCs w:val="20"/>
          <w:lang w:val="en-US"/>
        </w:rPr>
      </w:pPr>
      <w:r w:rsidRPr="00EA6C7A">
        <w:rPr>
          <w:rFonts w:ascii="Verdana" w:eastAsia="Calibri" w:hAnsi="Verdana"/>
          <w:sz w:val="20"/>
          <w:szCs w:val="20"/>
          <w:lang w:val="en-US"/>
        </w:rPr>
        <w:t xml:space="preserve">The </w:t>
      </w:r>
      <w:r w:rsidRPr="00EA6C7A">
        <w:rPr>
          <w:rFonts w:ascii="Verdana" w:eastAsia="Calibri" w:hAnsi="Verdana"/>
          <w:b/>
          <w:bCs/>
          <w:i/>
          <w:iCs/>
          <w:sz w:val="20"/>
          <w:szCs w:val="20"/>
          <w:lang w:val="en-US"/>
        </w:rPr>
        <w:t>State</w:t>
      </w:r>
      <w:r w:rsidR="00CD09AF" w:rsidRPr="00EA6C7A">
        <w:rPr>
          <w:rFonts w:ascii="Verdana" w:eastAsia="Calibri" w:hAnsi="Verdana" w:cs="Arial"/>
          <w:b/>
          <w:i/>
          <w:sz w:val="20"/>
          <w:szCs w:val="20"/>
          <w:lang w:val="en-US"/>
        </w:rPr>
        <w:t xml:space="preserve"> </w:t>
      </w:r>
      <w:r w:rsidR="006719FB" w:rsidRPr="00EA6C7A">
        <w:rPr>
          <w:rFonts w:ascii="Verdana" w:eastAsia="Calibri" w:hAnsi="Verdana" w:cs="Arial"/>
          <w:sz w:val="20"/>
          <w:szCs w:val="20"/>
          <w:lang w:val="en-US"/>
        </w:rPr>
        <w:t>indicated that it was still necessary that both the petitioners and the Commission establish why the facts of this case conformed to the specific elements of gender</w:t>
      </w:r>
      <w:r w:rsidR="001F1DFA" w:rsidRPr="00EA6C7A">
        <w:rPr>
          <w:rFonts w:ascii="Verdana" w:eastAsia="Calibri" w:hAnsi="Verdana" w:cs="Arial"/>
          <w:sz w:val="20"/>
          <w:szCs w:val="20"/>
          <w:lang w:val="en-US"/>
        </w:rPr>
        <w:t>-based</w:t>
      </w:r>
      <w:r w:rsidR="006719FB" w:rsidRPr="00EA6C7A">
        <w:rPr>
          <w:rFonts w:ascii="Verdana" w:eastAsia="Calibri" w:hAnsi="Verdana" w:cs="Arial"/>
          <w:sz w:val="20"/>
          <w:szCs w:val="20"/>
          <w:lang w:val="en-US"/>
        </w:rPr>
        <w:t xml:space="preserve"> violence. In this regard, it asserted that, in this case, it had not been proved that there were signs that the physical integrity of Claudina Velásquez had been violated before her death and</w:t>
      </w:r>
      <w:r w:rsidR="007E6E93" w:rsidRPr="00EA6C7A">
        <w:rPr>
          <w:rFonts w:ascii="Verdana" w:eastAsia="Calibri" w:hAnsi="Verdana" w:cs="Arial"/>
          <w:sz w:val="20"/>
          <w:szCs w:val="20"/>
          <w:lang w:val="en-US"/>
        </w:rPr>
        <w:t>, in particular,</w:t>
      </w:r>
      <w:r w:rsidR="006719FB" w:rsidRPr="00EA6C7A">
        <w:rPr>
          <w:rFonts w:ascii="Verdana" w:eastAsia="Calibri" w:hAnsi="Verdana" w:cs="Arial"/>
          <w:sz w:val="20"/>
          <w:szCs w:val="20"/>
          <w:lang w:val="en-US"/>
        </w:rPr>
        <w:t xml:space="preserve"> that she had been a victim of sexual violence</w:t>
      </w:r>
      <w:r w:rsidR="007E6E93" w:rsidRPr="00EA6C7A">
        <w:rPr>
          <w:rFonts w:ascii="Verdana" w:eastAsia="Calibri" w:hAnsi="Verdana" w:cs="Arial"/>
          <w:sz w:val="20"/>
          <w:szCs w:val="20"/>
          <w:lang w:val="en-US"/>
        </w:rPr>
        <w:t>.</w:t>
      </w:r>
      <w:r w:rsidR="006719FB" w:rsidRPr="00EA6C7A">
        <w:rPr>
          <w:rFonts w:ascii="Verdana" w:eastAsia="Calibri" w:hAnsi="Verdana" w:cs="Arial"/>
          <w:sz w:val="20"/>
          <w:szCs w:val="20"/>
          <w:lang w:val="en-US"/>
        </w:rPr>
        <w:t xml:space="preserve"> </w:t>
      </w:r>
      <w:r w:rsidR="007E6E93" w:rsidRPr="00EA6C7A">
        <w:rPr>
          <w:rFonts w:ascii="Verdana" w:eastAsia="Calibri" w:hAnsi="Verdana" w:cs="Arial"/>
          <w:sz w:val="20"/>
          <w:szCs w:val="20"/>
          <w:lang w:val="en-US"/>
        </w:rPr>
        <w:t>T</w:t>
      </w:r>
      <w:r w:rsidR="006719FB" w:rsidRPr="00EA6C7A">
        <w:rPr>
          <w:rFonts w:ascii="Verdana" w:eastAsia="Calibri" w:hAnsi="Verdana" w:cs="Arial"/>
          <w:sz w:val="20"/>
          <w:szCs w:val="20"/>
          <w:lang w:val="en-US"/>
        </w:rPr>
        <w:t xml:space="preserve">hus, as established in the record of the removal of her body and the examinations performed by the Judiciary’s forensic physician and experts from the Technical Department </w:t>
      </w:r>
      <w:r w:rsidR="003E2012" w:rsidRPr="00EA6C7A">
        <w:rPr>
          <w:rFonts w:ascii="Verdana" w:eastAsia="Calibri" w:hAnsi="Verdana" w:cs="Arial"/>
          <w:sz w:val="20"/>
          <w:szCs w:val="20"/>
          <w:lang w:val="en-US"/>
        </w:rPr>
        <w:t>of the Public</w:t>
      </w:r>
      <w:r w:rsidR="00B3248B" w:rsidRPr="00EA6C7A">
        <w:rPr>
          <w:rFonts w:ascii="Verdana" w:eastAsia="Calibri" w:hAnsi="Verdana" w:cs="Arial"/>
          <w:sz w:val="20"/>
          <w:szCs w:val="20"/>
          <w:lang w:val="en-US"/>
        </w:rPr>
        <w:t xml:space="preserve"> Prosecution Service</w:t>
      </w:r>
      <w:r w:rsidR="00CD09AF" w:rsidRPr="00EA6C7A">
        <w:rPr>
          <w:rFonts w:ascii="Verdana" w:eastAsia="Calibri" w:hAnsi="Verdana" w:cs="Arial"/>
          <w:sz w:val="20"/>
          <w:szCs w:val="20"/>
          <w:lang w:val="en-US"/>
        </w:rPr>
        <w:t>, “</w:t>
      </w:r>
      <w:r w:rsidR="006719FB" w:rsidRPr="00EA6C7A">
        <w:rPr>
          <w:rFonts w:ascii="Verdana" w:eastAsia="Calibri" w:hAnsi="Verdana" w:cs="Arial"/>
          <w:sz w:val="20"/>
          <w:szCs w:val="20"/>
          <w:lang w:val="en-US"/>
        </w:rPr>
        <w:t>Claudina’s death</w:t>
      </w:r>
      <w:r w:rsidR="007E6E93" w:rsidRPr="00EA6C7A">
        <w:rPr>
          <w:rFonts w:ascii="Verdana" w:eastAsia="Calibri" w:hAnsi="Verdana" w:cs="Arial"/>
          <w:sz w:val="20"/>
          <w:szCs w:val="20"/>
          <w:lang w:val="en-US"/>
        </w:rPr>
        <w:t xml:space="preserve"> cannot be considered to</w:t>
      </w:r>
      <w:r w:rsidR="006719FB" w:rsidRPr="00EA6C7A">
        <w:rPr>
          <w:rFonts w:ascii="Verdana" w:eastAsia="Calibri" w:hAnsi="Verdana" w:cs="Arial"/>
          <w:sz w:val="20"/>
          <w:szCs w:val="20"/>
          <w:lang w:val="en-US"/>
        </w:rPr>
        <w:t xml:space="preserve"> </w:t>
      </w:r>
      <w:r w:rsidR="006A51FD" w:rsidRPr="00EA6C7A">
        <w:rPr>
          <w:rFonts w:ascii="Verdana" w:eastAsia="Calibri" w:hAnsi="Verdana" w:cs="Arial"/>
          <w:sz w:val="20"/>
          <w:szCs w:val="20"/>
          <w:lang w:val="en-US"/>
        </w:rPr>
        <w:t>fall within the context of violence against women.” It also stated that the statistics indicate</w:t>
      </w:r>
      <w:r w:rsidR="007E6E93" w:rsidRPr="00EA6C7A">
        <w:rPr>
          <w:rFonts w:ascii="Verdana" w:eastAsia="Calibri" w:hAnsi="Verdana" w:cs="Arial"/>
          <w:sz w:val="20"/>
          <w:szCs w:val="20"/>
          <w:lang w:val="en-US"/>
        </w:rPr>
        <w:t>d</w:t>
      </w:r>
      <w:r w:rsidR="006A51FD" w:rsidRPr="00EA6C7A">
        <w:rPr>
          <w:rFonts w:ascii="Verdana" w:eastAsia="Calibri" w:hAnsi="Verdana" w:cs="Arial"/>
          <w:sz w:val="20"/>
          <w:szCs w:val="20"/>
          <w:lang w:val="en-US"/>
        </w:rPr>
        <w:t xml:space="preserve"> that “men are the victims </w:t>
      </w:r>
      <w:r w:rsidR="007E6E93" w:rsidRPr="00EA6C7A">
        <w:rPr>
          <w:rFonts w:ascii="Verdana" w:eastAsia="Calibri" w:hAnsi="Verdana" w:cs="Arial"/>
          <w:sz w:val="20"/>
          <w:szCs w:val="20"/>
          <w:lang w:val="en-US"/>
        </w:rPr>
        <w:t>in</w:t>
      </w:r>
      <w:r w:rsidR="006A51FD" w:rsidRPr="00EA6C7A">
        <w:rPr>
          <w:rFonts w:ascii="Verdana" w:eastAsia="Calibri" w:hAnsi="Verdana" w:cs="Arial"/>
          <w:sz w:val="20"/>
          <w:szCs w:val="20"/>
          <w:lang w:val="en-US"/>
        </w:rPr>
        <w:t xml:space="preserve"> more than 80% of the violent deaths in the country.”</w:t>
      </w:r>
    </w:p>
    <w:p w14:paraId="568E1B07" w14:textId="77777777" w:rsidR="00CD09AF" w:rsidRPr="00EA6C7A" w:rsidRDefault="00CD09AF" w:rsidP="00CD09AF">
      <w:pPr>
        <w:spacing w:after="0" w:line="240" w:lineRule="auto"/>
        <w:rPr>
          <w:rFonts w:ascii="Verdana" w:hAnsi="Verdana"/>
          <w:sz w:val="20"/>
          <w:szCs w:val="20"/>
          <w:lang w:val="en-US"/>
        </w:rPr>
      </w:pPr>
    </w:p>
    <w:p w14:paraId="24AFACEB" w14:textId="77777777" w:rsidR="00CD09AF" w:rsidRPr="00EA6C7A" w:rsidRDefault="006A51FD" w:rsidP="006A51FD">
      <w:pPr>
        <w:numPr>
          <w:ilvl w:val="0"/>
          <w:numId w:val="3"/>
        </w:numPr>
        <w:spacing w:after="0" w:line="240" w:lineRule="auto"/>
        <w:ind w:left="0" w:hanging="11"/>
        <w:contextualSpacing/>
        <w:jc w:val="both"/>
        <w:rPr>
          <w:rFonts w:ascii="Verdana" w:eastAsia="Calibri" w:hAnsi="Verdana"/>
          <w:sz w:val="20"/>
          <w:szCs w:val="20"/>
          <w:lang w:val="en-US"/>
        </w:rPr>
      </w:pPr>
      <w:r w:rsidRPr="00EA6C7A">
        <w:rPr>
          <w:rFonts w:ascii="Verdana" w:hAnsi="Verdana"/>
          <w:sz w:val="20"/>
          <w:szCs w:val="20"/>
          <w:lang w:val="en-US"/>
        </w:rPr>
        <w:t xml:space="preserve">In the exercise of its contentious jurisdiction, the Court has examined </w:t>
      </w:r>
      <w:r w:rsidR="007E6E93" w:rsidRPr="00EA6C7A">
        <w:rPr>
          <w:rFonts w:ascii="Verdana" w:hAnsi="Verdana"/>
          <w:sz w:val="20"/>
          <w:szCs w:val="20"/>
          <w:lang w:val="en-US"/>
        </w:rPr>
        <w:t xml:space="preserve">the </w:t>
      </w:r>
      <w:r w:rsidRPr="00EA6C7A">
        <w:rPr>
          <w:rFonts w:ascii="Verdana" w:hAnsi="Verdana"/>
          <w:sz w:val="20"/>
          <w:szCs w:val="20"/>
          <w:lang w:val="en-US"/>
        </w:rPr>
        <w:t xml:space="preserve">different historical, social and political contexts </w:t>
      </w:r>
      <w:r w:rsidR="007E6E93" w:rsidRPr="00EA6C7A">
        <w:rPr>
          <w:rFonts w:ascii="Verdana" w:hAnsi="Verdana"/>
          <w:sz w:val="20"/>
          <w:szCs w:val="20"/>
          <w:lang w:val="en-US"/>
        </w:rPr>
        <w:t>that situated</w:t>
      </w:r>
      <w:r w:rsidRPr="00EA6C7A">
        <w:rPr>
          <w:rFonts w:ascii="Verdana" w:hAnsi="Verdana"/>
          <w:sz w:val="20"/>
          <w:szCs w:val="20"/>
          <w:lang w:val="en-US"/>
        </w:rPr>
        <w:t xml:space="preserve"> the facts that allegedly violated the American Convention within the framework of the specific circumstances in which they occurred. In some cases, the context made it possible to characterize the facts as part of a systematic pattern of human rights violations, as a practice applied or tolerated by the State, or as part of massive</w:t>
      </w:r>
      <w:r w:rsidR="007E6E93" w:rsidRPr="00EA6C7A">
        <w:rPr>
          <w:rFonts w:ascii="Verdana" w:hAnsi="Verdana"/>
          <w:sz w:val="20"/>
          <w:szCs w:val="20"/>
          <w:lang w:val="en-US"/>
        </w:rPr>
        <w:t>,</w:t>
      </w:r>
      <w:r w:rsidRPr="00EA6C7A">
        <w:rPr>
          <w:rFonts w:ascii="Verdana" w:hAnsi="Verdana"/>
          <w:sz w:val="20"/>
          <w:szCs w:val="20"/>
          <w:lang w:val="en-US"/>
        </w:rPr>
        <w:t xml:space="preserve"> and systematic or generalized attacks on some sector of the population. The context has also been taken into account to</w:t>
      </w:r>
      <w:r w:rsidR="007E6E93" w:rsidRPr="00EA6C7A">
        <w:rPr>
          <w:rFonts w:ascii="Verdana" w:hAnsi="Verdana"/>
          <w:sz w:val="20"/>
          <w:szCs w:val="20"/>
          <w:lang w:val="en-US"/>
        </w:rPr>
        <w:t xml:space="preserve"> understand and assess the evidence, and to</w:t>
      </w:r>
      <w:r w:rsidRPr="00EA6C7A">
        <w:rPr>
          <w:rFonts w:ascii="Verdana" w:hAnsi="Verdana"/>
          <w:sz w:val="20"/>
          <w:szCs w:val="20"/>
          <w:lang w:val="en-US"/>
        </w:rPr>
        <w:t xml:space="preserve"> determine the State’s international responsibility, </w:t>
      </w:r>
      <w:r w:rsidRPr="00EA6C7A">
        <w:rPr>
          <w:rFonts w:ascii="Verdana" w:hAnsi="Verdana" w:cs="Calibri"/>
          <w:bCs/>
          <w:sz w:val="20"/>
          <w:szCs w:val="20"/>
          <w:lang w:val="en-US"/>
        </w:rPr>
        <w:t>the appropriateness of certain measures of reparation, and the standards established with regard to the obligation to investigate such cases.</w:t>
      </w:r>
      <w:r w:rsidR="00CD09AF" w:rsidRPr="00EA6C7A">
        <w:rPr>
          <w:rFonts w:ascii="Verdana" w:hAnsi="Verdana"/>
          <w:sz w:val="20"/>
          <w:szCs w:val="20"/>
          <w:vertAlign w:val="superscript"/>
          <w:lang w:val="en-US"/>
        </w:rPr>
        <w:footnoteReference w:id="25"/>
      </w:r>
    </w:p>
    <w:p w14:paraId="028970E4" w14:textId="77777777" w:rsidR="00CD09AF" w:rsidRPr="00EA6C7A" w:rsidRDefault="00CD09AF" w:rsidP="00CD09AF">
      <w:pPr>
        <w:spacing w:after="0" w:line="240" w:lineRule="auto"/>
        <w:ind w:left="720"/>
        <w:contextualSpacing/>
        <w:rPr>
          <w:rFonts w:ascii="Verdana" w:eastAsia="Calibri" w:hAnsi="Verdana"/>
          <w:sz w:val="20"/>
          <w:szCs w:val="20"/>
          <w:lang w:val="en-US"/>
        </w:rPr>
      </w:pPr>
    </w:p>
    <w:p w14:paraId="6DBC932C" w14:textId="77777777" w:rsidR="00577D56" w:rsidRPr="00EA6C7A" w:rsidRDefault="006A51FD" w:rsidP="00E11A7C">
      <w:pPr>
        <w:numPr>
          <w:ilvl w:val="0"/>
          <w:numId w:val="3"/>
        </w:numPr>
        <w:spacing w:after="0" w:line="240" w:lineRule="auto"/>
        <w:ind w:left="0" w:hanging="11"/>
        <w:contextualSpacing/>
        <w:jc w:val="both"/>
        <w:rPr>
          <w:rFonts w:ascii="Verdana" w:eastAsia="Calibri" w:hAnsi="Verdana"/>
          <w:sz w:val="20"/>
          <w:szCs w:val="20"/>
          <w:lang w:val="en-US"/>
        </w:rPr>
      </w:pPr>
      <w:r w:rsidRPr="00EA6C7A">
        <w:rPr>
          <w:rFonts w:ascii="Verdana" w:eastAsia="Calibri" w:hAnsi="Verdana"/>
          <w:sz w:val="20"/>
          <w:szCs w:val="20"/>
          <w:lang w:val="en-US"/>
        </w:rPr>
        <w:lastRenderedPageBreak/>
        <w:t>In this case</w:t>
      </w:r>
      <w:r w:rsidR="00CD09AF"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the Commission</w:t>
      </w:r>
      <w:r w:rsidR="00CD09AF" w:rsidRPr="00EA6C7A">
        <w:rPr>
          <w:rFonts w:ascii="Verdana" w:eastAsia="Calibri" w:hAnsi="Verdana"/>
          <w:sz w:val="20"/>
          <w:szCs w:val="20"/>
          <w:lang w:val="en-US"/>
        </w:rPr>
        <w:t xml:space="preserve"> </w:t>
      </w:r>
      <w:r w:rsidRPr="00EA6C7A">
        <w:rPr>
          <w:rFonts w:ascii="Verdana" w:eastAsia="Calibri" w:hAnsi="Verdana"/>
          <w:sz w:val="20"/>
          <w:szCs w:val="20"/>
          <w:lang w:val="en-US"/>
        </w:rPr>
        <w:t>and</w:t>
      </w:r>
      <w:r w:rsidR="00CD09AF" w:rsidRPr="00EA6C7A">
        <w:rPr>
          <w:rFonts w:ascii="Verdana" w:eastAsia="Calibri" w:hAnsi="Verdana"/>
          <w:sz w:val="20"/>
          <w:szCs w:val="20"/>
          <w:lang w:val="en-US"/>
        </w:rPr>
        <w:t xml:space="preserve"> </w:t>
      </w:r>
      <w:r w:rsidR="00E43A75" w:rsidRPr="00EA6C7A">
        <w:rPr>
          <w:rFonts w:ascii="Verdana" w:eastAsia="Calibri" w:hAnsi="Verdana"/>
          <w:sz w:val="20"/>
          <w:szCs w:val="20"/>
          <w:lang w:val="en-US"/>
        </w:rPr>
        <w:t>the representatives</w:t>
      </w:r>
      <w:r w:rsidRPr="00EA6C7A">
        <w:rPr>
          <w:rFonts w:ascii="Verdana" w:eastAsia="Calibri" w:hAnsi="Verdana"/>
          <w:b/>
          <w:sz w:val="20"/>
          <w:szCs w:val="20"/>
          <w:lang w:val="en-US"/>
        </w:rPr>
        <w:t xml:space="preserve"> </w:t>
      </w:r>
      <w:r w:rsidRPr="00EA6C7A">
        <w:rPr>
          <w:rFonts w:ascii="Verdana" w:eastAsia="Calibri" w:hAnsi="Verdana"/>
          <w:sz w:val="20"/>
          <w:szCs w:val="20"/>
          <w:lang w:val="en-US"/>
        </w:rPr>
        <w:t xml:space="preserve">based their arguments on the alleged context of violence against women in </w:t>
      </w:r>
      <w:r w:rsidR="00CD09AF" w:rsidRPr="00EA6C7A">
        <w:rPr>
          <w:rFonts w:ascii="Verdana" w:eastAsia="Calibri" w:hAnsi="Verdana"/>
          <w:sz w:val="20"/>
          <w:szCs w:val="20"/>
          <w:lang w:val="en-US"/>
        </w:rPr>
        <w:t xml:space="preserve">Guatemala, </w:t>
      </w:r>
      <w:r w:rsidRPr="00EA6C7A">
        <w:rPr>
          <w:rFonts w:ascii="Verdana" w:eastAsia="Calibri" w:hAnsi="Verdana"/>
          <w:sz w:val="20"/>
          <w:szCs w:val="20"/>
          <w:lang w:val="en-US"/>
        </w:rPr>
        <w:t>referring to the</w:t>
      </w:r>
      <w:r w:rsidR="00CD09AF" w:rsidRPr="00EA6C7A">
        <w:rPr>
          <w:rFonts w:ascii="Verdana" w:eastAsia="Calibri" w:hAnsi="Verdana"/>
          <w:sz w:val="20"/>
          <w:szCs w:val="20"/>
          <w:lang w:val="en-US"/>
        </w:rPr>
        <w:t xml:space="preserve"> </w:t>
      </w:r>
      <w:r w:rsidR="007E6E93" w:rsidRPr="00EA6C7A">
        <w:rPr>
          <w:rFonts w:ascii="Verdana" w:hAnsi="Verdana"/>
          <w:iCs/>
          <w:sz w:val="20"/>
          <w:szCs w:val="20"/>
          <w:lang w:val="en-US"/>
        </w:rPr>
        <w:t>c</w:t>
      </w:r>
      <w:r w:rsidR="001914FC" w:rsidRPr="00EA6C7A">
        <w:rPr>
          <w:rFonts w:ascii="Verdana" w:hAnsi="Verdana"/>
          <w:iCs/>
          <w:sz w:val="20"/>
          <w:szCs w:val="20"/>
          <w:lang w:val="en-US"/>
        </w:rPr>
        <w:t>ase of</w:t>
      </w:r>
      <w:r w:rsidR="001914FC" w:rsidRPr="00EA6C7A">
        <w:rPr>
          <w:rFonts w:ascii="Verdana" w:hAnsi="Verdana"/>
          <w:i/>
          <w:sz w:val="20"/>
          <w:szCs w:val="20"/>
          <w:lang w:val="en-US"/>
        </w:rPr>
        <w:t xml:space="preserve"> </w:t>
      </w:r>
      <w:r w:rsidR="00CD09AF" w:rsidRPr="00EA6C7A">
        <w:rPr>
          <w:rFonts w:ascii="Verdana" w:hAnsi="Verdana"/>
          <w:i/>
          <w:sz w:val="20"/>
          <w:szCs w:val="20"/>
          <w:lang w:val="en-US"/>
        </w:rPr>
        <w:t xml:space="preserve">Veliz Franco </w:t>
      </w:r>
      <w:r w:rsidRPr="00EA6C7A">
        <w:rPr>
          <w:rFonts w:ascii="Verdana" w:hAnsi="Verdana"/>
          <w:i/>
          <w:sz w:val="20"/>
          <w:szCs w:val="20"/>
          <w:lang w:val="en-US"/>
        </w:rPr>
        <w:t>et al.</w:t>
      </w:r>
      <w:r w:rsidR="00CD09AF" w:rsidRPr="00EA6C7A">
        <w:rPr>
          <w:rFonts w:ascii="Verdana" w:eastAsia="Calibri" w:hAnsi="Verdana"/>
          <w:sz w:val="20"/>
          <w:szCs w:val="20"/>
          <w:lang w:val="en-US"/>
        </w:rPr>
        <w:t>, as</w:t>
      </w:r>
      <w:r w:rsidR="00577D56" w:rsidRPr="00EA6C7A">
        <w:rPr>
          <w:rFonts w:ascii="Verdana" w:eastAsia="Calibri" w:hAnsi="Verdana"/>
          <w:sz w:val="20"/>
          <w:szCs w:val="20"/>
          <w:lang w:val="en-US"/>
        </w:rPr>
        <w:t xml:space="preserve"> well as to documents of national and international agencies and non-governmental organizations. Meanwhile, the State asserted that, in the judgment in the</w:t>
      </w:r>
      <w:r w:rsidR="00CD09AF" w:rsidRPr="00EA6C7A">
        <w:rPr>
          <w:rFonts w:ascii="Verdana" w:hAnsi="Verdana"/>
          <w:sz w:val="20"/>
          <w:szCs w:val="20"/>
          <w:lang w:val="en-US"/>
        </w:rPr>
        <w:t xml:space="preserve"> </w:t>
      </w:r>
      <w:r w:rsidR="007E6E93" w:rsidRPr="00EA6C7A">
        <w:rPr>
          <w:rFonts w:ascii="Verdana" w:hAnsi="Verdana"/>
          <w:iCs/>
          <w:sz w:val="20"/>
          <w:szCs w:val="20"/>
          <w:lang w:val="en-US"/>
        </w:rPr>
        <w:t>c</w:t>
      </w:r>
      <w:r w:rsidR="001914FC" w:rsidRPr="00EA6C7A">
        <w:rPr>
          <w:rFonts w:ascii="Verdana" w:hAnsi="Verdana"/>
          <w:iCs/>
          <w:sz w:val="20"/>
          <w:szCs w:val="20"/>
          <w:lang w:val="en-US"/>
        </w:rPr>
        <w:t>ase of</w:t>
      </w:r>
      <w:r w:rsidR="001914FC" w:rsidRPr="00EA6C7A">
        <w:rPr>
          <w:rFonts w:ascii="Verdana" w:hAnsi="Verdana"/>
          <w:i/>
          <w:sz w:val="20"/>
          <w:szCs w:val="20"/>
          <w:lang w:val="en-US"/>
        </w:rPr>
        <w:t xml:space="preserve"> </w:t>
      </w:r>
      <w:r w:rsidR="00CD09AF" w:rsidRPr="00EA6C7A">
        <w:rPr>
          <w:rFonts w:ascii="Verdana" w:hAnsi="Verdana"/>
          <w:i/>
          <w:sz w:val="20"/>
          <w:szCs w:val="20"/>
          <w:lang w:val="en-US"/>
        </w:rPr>
        <w:t xml:space="preserve">Veliz Franco </w:t>
      </w:r>
      <w:r w:rsidRPr="00EA6C7A">
        <w:rPr>
          <w:rFonts w:ascii="Verdana" w:hAnsi="Verdana"/>
          <w:i/>
          <w:sz w:val="20"/>
          <w:szCs w:val="20"/>
          <w:lang w:val="en-US"/>
        </w:rPr>
        <w:t>et al.</w:t>
      </w:r>
      <w:r w:rsidR="00CD09AF" w:rsidRPr="00EA6C7A">
        <w:rPr>
          <w:rFonts w:ascii="Verdana" w:hAnsi="Verdana"/>
          <w:sz w:val="20"/>
          <w:szCs w:val="20"/>
          <w:lang w:val="en-US"/>
        </w:rPr>
        <w:t xml:space="preserve">, </w:t>
      </w:r>
      <w:r w:rsidR="0096418F" w:rsidRPr="00EA6C7A">
        <w:rPr>
          <w:rFonts w:ascii="Verdana" w:hAnsi="Verdana"/>
          <w:sz w:val="20"/>
          <w:szCs w:val="20"/>
          <w:lang w:val="en-US"/>
        </w:rPr>
        <w:t>the Court</w:t>
      </w:r>
      <w:r w:rsidR="00CD09AF" w:rsidRPr="00EA6C7A">
        <w:rPr>
          <w:rFonts w:ascii="Verdana" w:hAnsi="Verdana"/>
          <w:sz w:val="20"/>
          <w:szCs w:val="20"/>
          <w:lang w:val="en-US"/>
        </w:rPr>
        <w:t xml:space="preserve"> </w:t>
      </w:r>
      <w:r w:rsidR="00577D56" w:rsidRPr="00EA6C7A">
        <w:rPr>
          <w:rFonts w:ascii="Verdana" w:hAnsi="Verdana"/>
          <w:sz w:val="20"/>
          <w:szCs w:val="20"/>
          <w:lang w:val="en-US"/>
        </w:rPr>
        <w:t xml:space="preserve">had recognized that “before and after the facts [of </w:t>
      </w:r>
      <w:r w:rsidR="007E6E93" w:rsidRPr="00EA6C7A">
        <w:rPr>
          <w:rFonts w:ascii="Verdana" w:hAnsi="Verdana"/>
          <w:sz w:val="20"/>
          <w:szCs w:val="20"/>
          <w:lang w:val="en-US"/>
        </w:rPr>
        <w:t>that</w:t>
      </w:r>
      <w:r w:rsidR="00577D56" w:rsidRPr="00EA6C7A">
        <w:rPr>
          <w:rFonts w:ascii="Verdana" w:hAnsi="Verdana"/>
          <w:sz w:val="20"/>
          <w:szCs w:val="20"/>
          <w:lang w:val="en-US"/>
        </w:rPr>
        <w:t>] case,</w:t>
      </w:r>
      <w:r w:rsidR="00CD09AF" w:rsidRPr="00EA6C7A">
        <w:rPr>
          <w:rFonts w:ascii="Verdana" w:hAnsi="Verdana"/>
          <w:bCs/>
          <w:iCs/>
          <w:sz w:val="20"/>
          <w:szCs w:val="20"/>
          <w:lang w:val="en-US"/>
        </w:rPr>
        <w:t xml:space="preserve"> [</w:t>
      </w:r>
      <w:r w:rsidR="002F3848" w:rsidRPr="00EA6C7A">
        <w:rPr>
          <w:rFonts w:ascii="Verdana" w:hAnsi="Verdana"/>
          <w:bCs/>
          <w:iCs/>
          <w:sz w:val="20"/>
          <w:szCs w:val="20"/>
          <w:lang w:val="en-US"/>
        </w:rPr>
        <w:t>the State</w:t>
      </w:r>
      <w:r w:rsidR="00CD09AF" w:rsidRPr="00EA6C7A">
        <w:rPr>
          <w:rFonts w:ascii="Verdana" w:hAnsi="Verdana"/>
          <w:bCs/>
          <w:iCs/>
          <w:sz w:val="20"/>
          <w:szCs w:val="20"/>
          <w:lang w:val="en-US"/>
        </w:rPr>
        <w:t>] ha[</w:t>
      </w:r>
      <w:r w:rsidR="00577D56" w:rsidRPr="00EA6C7A">
        <w:rPr>
          <w:rFonts w:ascii="Verdana" w:hAnsi="Verdana"/>
          <w:bCs/>
          <w:iCs/>
          <w:sz w:val="20"/>
          <w:szCs w:val="20"/>
          <w:lang w:val="en-US"/>
        </w:rPr>
        <w:t>d</w:t>
      </w:r>
      <w:r w:rsidR="00CD09AF" w:rsidRPr="00EA6C7A">
        <w:rPr>
          <w:rFonts w:ascii="Verdana" w:hAnsi="Verdana"/>
          <w:bCs/>
          <w:iCs/>
          <w:sz w:val="20"/>
          <w:szCs w:val="20"/>
          <w:lang w:val="en-US"/>
        </w:rPr>
        <w:t>] adopt</w:t>
      </w:r>
      <w:r w:rsidR="00577D56" w:rsidRPr="00EA6C7A">
        <w:rPr>
          <w:rFonts w:ascii="Verdana" w:hAnsi="Verdana"/>
          <w:bCs/>
          <w:iCs/>
          <w:sz w:val="20"/>
          <w:szCs w:val="20"/>
          <w:lang w:val="en-US"/>
        </w:rPr>
        <w:t>ed diverse measures aimed at combating discrimination and violence against women</w:t>
      </w:r>
      <w:r w:rsidR="00CD09AF" w:rsidRPr="00EA6C7A">
        <w:rPr>
          <w:rFonts w:ascii="Verdana" w:hAnsi="Verdana"/>
          <w:bCs/>
          <w:iCs/>
          <w:sz w:val="20"/>
          <w:szCs w:val="20"/>
          <w:lang w:val="en-US"/>
        </w:rPr>
        <w:t xml:space="preserve">. </w:t>
      </w:r>
      <w:r w:rsidR="00577D56" w:rsidRPr="00EA6C7A">
        <w:rPr>
          <w:rFonts w:ascii="Verdana" w:hAnsi="Verdana"/>
          <w:bCs/>
          <w:iCs/>
          <w:sz w:val="20"/>
          <w:szCs w:val="20"/>
          <w:lang w:val="en-US"/>
        </w:rPr>
        <w:t>Thus, it</w:t>
      </w:r>
      <w:r w:rsidR="007E6E93" w:rsidRPr="00EA6C7A">
        <w:rPr>
          <w:rFonts w:ascii="Verdana" w:hAnsi="Verdana"/>
          <w:bCs/>
          <w:iCs/>
          <w:sz w:val="20"/>
          <w:szCs w:val="20"/>
          <w:lang w:val="en-US"/>
        </w:rPr>
        <w:t xml:space="preserve"> wa</w:t>
      </w:r>
      <w:r w:rsidR="00577D56" w:rsidRPr="00EA6C7A">
        <w:rPr>
          <w:rFonts w:ascii="Verdana" w:hAnsi="Verdana"/>
          <w:bCs/>
          <w:iCs/>
          <w:sz w:val="20"/>
          <w:szCs w:val="20"/>
          <w:lang w:val="en-US"/>
        </w:rPr>
        <w:t xml:space="preserve">s worth noting the Law for the Prevention, Punishment and </w:t>
      </w:r>
      <w:r w:rsidR="002327A1" w:rsidRPr="00EA6C7A">
        <w:rPr>
          <w:rFonts w:ascii="Verdana" w:hAnsi="Verdana"/>
          <w:bCs/>
          <w:iCs/>
          <w:sz w:val="20"/>
          <w:szCs w:val="20"/>
          <w:lang w:val="en-US"/>
        </w:rPr>
        <w:t>Eradication of Domestic Violence</w:t>
      </w:r>
      <w:r w:rsidR="00577D56" w:rsidRPr="00EA6C7A">
        <w:rPr>
          <w:rFonts w:ascii="Verdana" w:hAnsi="Verdana"/>
          <w:bCs/>
          <w:iCs/>
          <w:sz w:val="20"/>
          <w:szCs w:val="20"/>
          <w:lang w:val="en-US"/>
        </w:rPr>
        <w:t xml:space="preserve"> of November 28, 1996, as well as the </w:t>
      </w:r>
      <w:r w:rsidR="007E6E93" w:rsidRPr="00EA6C7A">
        <w:rPr>
          <w:rFonts w:ascii="Verdana" w:hAnsi="Verdana"/>
          <w:bCs/>
          <w:iCs/>
          <w:sz w:val="20"/>
          <w:szCs w:val="20"/>
          <w:lang w:val="en-US"/>
        </w:rPr>
        <w:t xml:space="preserve">Law </w:t>
      </w:r>
      <w:r w:rsidR="00577D56" w:rsidRPr="00EA6C7A">
        <w:rPr>
          <w:rFonts w:ascii="Verdana" w:hAnsi="Verdana"/>
          <w:bCs/>
          <w:iCs/>
          <w:sz w:val="20"/>
          <w:szCs w:val="20"/>
          <w:lang w:val="en-US"/>
        </w:rPr>
        <w:t>against Femicide and Other Forms of Violence against Women enacted in 2008.”</w:t>
      </w:r>
      <w:r w:rsidR="00CD09AF" w:rsidRPr="00EA6C7A">
        <w:rPr>
          <w:rFonts w:ascii="Verdana" w:hAnsi="Verdana"/>
          <w:sz w:val="20"/>
          <w:szCs w:val="20"/>
          <w:lang w:val="en-US"/>
        </w:rPr>
        <w:t xml:space="preserve"> A</w:t>
      </w:r>
      <w:r w:rsidR="00577D56" w:rsidRPr="00EA6C7A">
        <w:rPr>
          <w:rFonts w:ascii="Verdana" w:hAnsi="Verdana"/>
          <w:sz w:val="20"/>
          <w:szCs w:val="20"/>
          <w:lang w:val="en-US"/>
        </w:rPr>
        <w:t>dded to this, it indicated that, in the said judgment, the Court had acknowledged that “</w:t>
      </w:r>
      <w:r w:rsidR="007E6E93" w:rsidRPr="00EA6C7A">
        <w:rPr>
          <w:rFonts w:ascii="Verdana" w:hAnsi="Verdana"/>
          <w:sz w:val="20"/>
          <w:szCs w:val="20"/>
          <w:lang w:val="en-US"/>
        </w:rPr>
        <w:t xml:space="preserve">the </w:t>
      </w:r>
      <w:r w:rsidR="00577D56" w:rsidRPr="00EA6C7A">
        <w:rPr>
          <w:rFonts w:ascii="Verdana" w:hAnsi="Verdana"/>
          <w:sz w:val="20"/>
          <w:szCs w:val="20"/>
          <w:lang w:val="en-US"/>
        </w:rPr>
        <w:t xml:space="preserve">State </w:t>
      </w:r>
      <w:r w:rsidR="007E6E93" w:rsidRPr="00EA6C7A">
        <w:rPr>
          <w:rFonts w:ascii="Verdana" w:hAnsi="Verdana"/>
          <w:sz w:val="20"/>
          <w:szCs w:val="20"/>
          <w:lang w:val="en-US"/>
        </w:rPr>
        <w:t xml:space="preserve">had taken measures </w:t>
      </w:r>
      <w:r w:rsidR="00577D56" w:rsidRPr="00EA6C7A">
        <w:rPr>
          <w:rFonts w:ascii="Verdana" w:hAnsi="Verdana"/>
          <w:sz w:val="20"/>
          <w:szCs w:val="20"/>
          <w:lang w:val="en-US"/>
        </w:rPr>
        <w:t xml:space="preserve">to deal with the problems affecting women.” The Court will use these documents as a fundamental part of the evidence of the </w:t>
      </w:r>
      <w:r w:rsidR="004B7AF7" w:rsidRPr="00EA6C7A">
        <w:rPr>
          <w:rFonts w:ascii="Verdana" w:hAnsi="Verdana"/>
          <w:sz w:val="20"/>
          <w:szCs w:val="20"/>
          <w:lang w:val="en-US"/>
        </w:rPr>
        <w:t>contemporary historical and political context of the facts of this case. On this point, the Court will take into account the arguments on the context submitted by the State, and also its comments on the evidence.</w:t>
      </w:r>
    </w:p>
    <w:p w14:paraId="7666EF9A" w14:textId="77777777" w:rsidR="00CD09AF" w:rsidRPr="00EA6C7A" w:rsidRDefault="00CD09AF" w:rsidP="00CD09AF">
      <w:pPr>
        <w:spacing w:after="0" w:line="240" w:lineRule="auto"/>
        <w:contextualSpacing/>
        <w:rPr>
          <w:rFonts w:ascii="Verdana" w:eastAsia="Calibri" w:hAnsi="Verdana"/>
          <w:sz w:val="20"/>
          <w:szCs w:val="20"/>
          <w:lang w:val="en-US"/>
        </w:rPr>
      </w:pPr>
      <w:bookmarkStart w:id="51" w:name="_Toc406580661"/>
    </w:p>
    <w:p w14:paraId="6602D803" w14:textId="77777777" w:rsidR="00CD09AF" w:rsidRPr="00EA6C7A" w:rsidRDefault="00CD09AF" w:rsidP="00CD09AF">
      <w:pPr>
        <w:spacing w:after="0" w:line="240" w:lineRule="auto"/>
        <w:contextualSpacing/>
        <w:jc w:val="both"/>
        <w:rPr>
          <w:rFonts w:ascii="Verdana" w:eastAsia="Calibri" w:hAnsi="Verdana"/>
          <w:b/>
          <w:sz w:val="20"/>
          <w:szCs w:val="20"/>
          <w:lang w:val="en-US"/>
        </w:rPr>
      </w:pPr>
      <w:r w:rsidRPr="00EA6C7A">
        <w:rPr>
          <w:rFonts w:ascii="Verdana" w:eastAsia="Calibri" w:hAnsi="Verdana"/>
          <w:b/>
          <w:sz w:val="20"/>
          <w:szCs w:val="20"/>
          <w:lang w:val="en-US"/>
        </w:rPr>
        <w:t xml:space="preserve">A.1. </w:t>
      </w:r>
      <w:r w:rsidR="004B7AF7" w:rsidRPr="00EA6C7A">
        <w:rPr>
          <w:rFonts w:ascii="Verdana" w:eastAsia="Calibri" w:hAnsi="Verdana"/>
          <w:b/>
          <w:sz w:val="20"/>
          <w:szCs w:val="20"/>
          <w:lang w:val="en-US"/>
        </w:rPr>
        <w:t>Homicidal violence in</w:t>
      </w:r>
      <w:r w:rsidRPr="00EA6C7A">
        <w:rPr>
          <w:rFonts w:ascii="Verdana" w:eastAsia="Calibri" w:hAnsi="Verdana"/>
          <w:b/>
          <w:sz w:val="20"/>
          <w:szCs w:val="20"/>
          <w:lang w:val="en-US"/>
        </w:rPr>
        <w:t xml:space="preserve"> Guatemala, </w:t>
      </w:r>
      <w:r w:rsidR="004B7AF7" w:rsidRPr="00EA6C7A">
        <w:rPr>
          <w:rFonts w:ascii="Verdana" w:eastAsia="Calibri" w:hAnsi="Verdana"/>
          <w:b/>
          <w:sz w:val="20"/>
          <w:szCs w:val="20"/>
          <w:lang w:val="en-US"/>
        </w:rPr>
        <w:t>its specificity and evolution in relation to women victims, and State actions in the investigation of the murder of women</w:t>
      </w:r>
    </w:p>
    <w:bookmarkEnd w:id="51"/>
    <w:p w14:paraId="1625C8AE" w14:textId="77777777" w:rsidR="00CD09AF" w:rsidRPr="00EA6C7A" w:rsidRDefault="00CD09AF" w:rsidP="00CD09AF">
      <w:pPr>
        <w:spacing w:after="0" w:line="240" w:lineRule="auto"/>
        <w:contextualSpacing/>
        <w:jc w:val="both"/>
        <w:rPr>
          <w:rFonts w:ascii="Verdana" w:hAnsi="Verdana"/>
          <w:sz w:val="20"/>
          <w:szCs w:val="20"/>
          <w:lang w:val="en-US"/>
        </w:rPr>
      </w:pPr>
    </w:p>
    <w:p w14:paraId="429069AB" w14:textId="77777777" w:rsidR="00CD09AF" w:rsidRPr="00EA6C7A" w:rsidRDefault="004B7AF7" w:rsidP="008847F5">
      <w:pPr>
        <w:numPr>
          <w:ilvl w:val="0"/>
          <w:numId w:val="3"/>
        </w:numPr>
        <w:spacing w:after="0" w:line="240" w:lineRule="auto"/>
        <w:ind w:left="0" w:hanging="11"/>
        <w:contextualSpacing/>
        <w:jc w:val="both"/>
        <w:rPr>
          <w:rFonts w:ascii="Verdana" w:eastAsia="Batang" w:hAnsi="Verdana"/>
          <w:sz w:val="20"/>
          <w:szCs w:val="20"/>
          <w:u w:val="single"/>
          <w:lang w:val="en-US" w:eastAsia="es-MX"/>
        </w:rPr>
      </w:pPr>
      <w:r w:rsidRPr="00EA6C7A">
        <w:rPr>
          <w:rFonts w:ascii="Verdana" w:eastAsia="Batang" w:hAnsi="Verdana"/>
          <w:sz w:val="20"/>
          <w:szCs w:val="20"/>
          <w:lang w:val="en-US" w:eastAsia="es-MX"/>
        </w:rPr>
        <w:t>The report</w:t>
      </w:r>
      <w:r w:rsidR="00CD09AF" w:rsidRPr="00EA6C7A">
        <w:rPr>
          <w:rFonts w:ascii="Verdana" w:eastAsia="Batang" w:hAnsi="Verdana"/>
          <w:sz w:val="20"/>
          <w:szCs w:val="20"/>
          <w:lang w:val="en-US" w:eastAsia="es-MX"/>
        </w:rPr>
        <w:t xml:space="preserve"> “</w:t>
      </w:r>
      <w:r w:rsidR="00CD09AF" w:rsidRPr="00EA6C7A">
        <w:rPr>
          <w:rFonts w:ascii="Verdana" w:eastAsia="Batang" w:hAnsi="Verdana"/>
          <w:i/>
          <w:iCs/>
          <w:sz w:val="20"/>
          <w:szCs w:val="20"/>
          <w:lang w:val="en-US" w:eastAsia="es-MX"/>
        </w:rPr>
        <w:t>Guatemala: Memoria del Silencio</w:t>
      </w:r>
      <w:r w:rsidR="00CD09AF" w:rsidRPr="00EA6C7A">
        <w:rPr>
          <w:rFonts w:ascii="Verdana" w:eastAsia="Batang" w:hAnsi="Verdana"/>
          <w:sz w:val="20"/>
          <w:szCs w:val="20"/>
          <w:lang w:val="en-US" w:eastAsia="es-MX"/>
        </w:rPr>
        <w:t>”</w:t>
      </w:r>
      <w:r w:rsidR="0096418F" w:rsidRPr="00EA6C7A">
        <w:rPr>
          <w:rFonts w:ascii="Verdana" w:eastAsia="Batang" w:hAnsi="Verdana"/>
          <w:sz w:val="20"/>
          <w:szCs w:val="20"/>
          <w:lang w:val="en-US" w:eastAsia="es-MX"/>
        </w:rPr>
        <w:t xml:space="preserve"> of the Commission</w:t>
      </w:r>
      <w:r w:rsidRPr="00EA6C7A">
        <w:rPr>
          <w:rFonts w:ascii="Verdana" w:eastAsia="Batang" w:hAnsi="Verdana"/>
          <w:sz w:val="20"/>
          <w:szCs w:val="20"/>
          <w:lang w:val="en-US" w:eastAsia="es-MX"/>
        </w:rPr>
        <w:t xml:space="preserve"> for Historical Clarification</w:t>
      </w:r>
      <w:r w:rsidR="00CD09AF"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hereinafter</w:t>
      </w:r>
      <w:r w:rsidR="00CD09AF" w:rsidRPr="00EA6C7A">
        <w:rPr>
          <w:rFonts w:ascii="Verdana" w:eastAsia="Batang" w:hAnsi="Verdana"/>
          <w:sz w:val="20"/>
          <w:szCs w:val="20"/>
          <w:lang w:val="en-US" w:eastAsia="es-MX"/>
        </w:rPr>
        <w:t xml:space="preserve"> “CEH”) </w:t>
      </w:r>
      <w:r w:rsidRPr="00EA6C7A">
        <w:rPr>
          <w:rFonts w:ascii="Verdana" w:eastAsia="Batang" w:hAnsi="Verdana"/>
          <w:sz w:val="20"/>
          <w:szCs w:val="20"/>
          <w:lang w:val="en-US" w:eastAsia="es-MX"/>
        </w:rPr>
        <w:t>stated that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w:t>
      </w:r>
      <w:r w:rsidR="00CD09AF"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omen were victims of all forms of human rights violations during the armed conflict, but they also suffered from specific forms of gender-based violence.” The CEH reached the conviction that the devaluation of women was absolute and allowed members of the Army to attack them with total impunity, and it concluded that, during the internal armed conflict, the courts of justice revealed themselves to be incapable of </w:t>
      </w:r>
      <w:r w:rsidR="008847F5" w:rsidRPr="00EA6C7A">
        <w:rPr>
          <w:rFonts w:ascii="Verdana" w:eastAsia="Batang" w:hAnsi="Verdana"/>
          <w:sz w:val="20"/>
          <w:szCs w:val="20"/>
          <w:lang w:val="en-US" w:eastAsia="es-MX"/>
        </w:rPr>
        <w:t>investigating, processing, prosecuting and punishing those responsible.</w:t>
      </w:r>
      <w:r w:rsidR="00CD09AF" w:rsidRPr="00EA6C7A">
        <w:rPr>
          <w:rFonts w:ascii="Verdana" w:eastAsia="Batang" w:hAnsi="Verdana"/>
          <w:sz w:val="20"/>
          <w:szCs w:val="20"/>
          <w:vertAlign w:val="superscript"/>
          <w:lang w:val="en-US" w:eastAsia="es-MX"/>
        </w:rPr>
        <w:footnoteReference w:id="26"/>
      </w:r>
      <w:bookmarkStart w:id="52" w:name="_Toc375560917"/>
      <w:r w:rsidR="00CD09AF" w:rsidRPr="00EA6C7A">
        <w:rPr>
          <w:rFonts w:ascii="Verdana" w:eastAsia="Batang" w:hAnsi="Verdana"/>
          <w:sz w:val="20"/>
          <w:szCs w:val="20"/>
          <w:lang w:val="en-US" w:eastAsia="es-MX"/>
        </w:rPr>
        <w:t xml:space="preserve"> </w:t>
      </w:r>
      <w:r w:rsidR="008847F5" w:rsidRPr="00EA6C7A">
        <w:rPr>
          <w:rFonts w:ascii="Verdana" w:eastAsia="Batang" w:hAnsi="Verdana"/>
          <w:sz w:val="20"/>
          <w:szCs w:val="20"/>
          <w:lang w:val="en-US" w:eastAsia="es-MX"/>
        </w:rPr>
        <w:t xml:space="preserve">In </w:t>
      </w:r>
      <w:r w:rsidR="007E6E93" w:rsidRPr="00EA6C7A">
        <w:rPr>
          <w:rFonts w:ascii="Verdana" w:eastAsia="Batang" w:hAnsi="Verdana"/>
          <w:sz w:val="20"/>
          <w:szCs w:val="20"/>
          <w:lang w:val="en-US" w:eastAsia="es-MX"/>
        </w:rPr>
        <w:t>the case of</w:t>
      </w:r>
      <w:r w:rsidR="001914FC" w:rsidRPr="00EA6C7A">
        <w:rPr>
          <w:rFonts w:ascii="Verdana" w:eastAsia="Batang" w:hAnsi="Verdana"/>
          <w:i/>
          <w:sz w:val="20"/>
          <w:szCs w:val="20"/>
          <w:lang w:val="en-US" w:eastAsia="es-MX"/>
        </w:rPr>
        <w:t xml:space="preserve"> </w:t>
      </w:r>
      <w:r w:rsidR="00CD09AF" w:rsidRPr="00EA6C7A">
        <w:rPr>
          <w:rFonts w:ascii="Verdana" w:eastAsia="Batang" w:hAnsi="Verdana"/>
          <w:i/>
          <w:sz w:val="20"/>
          <w:szCs w:val="20"/>
          <w:lang w:val="en-US" w:eastAsia="es-MX"/>
        </w:rPr>
        <w:t xml:space="preserve">Veliz Franco </w:t>
      </w:r>
      <w:r w:rsidR="006A51FD" w:rsidRPr="00EA6C7A">
        <w:rPr>
          <w:rFonts w:ascii="Verdana" w:eastAsia="Batang" w:hAnsi="Verdana"/>
          <w:i/>
          <w:sz w:val="20"/>
          <w:szCs w:val="20"/>
          <w:lang w:val="en-US" w:eastAsia="es-MX"/>
        </w:rPr>
        <w:t>et al.</w:t>
      </w:r>
      <w:r w:rsidR="00CD09AF" w:rsidRPr="00EA6C7A">
        <w:rPr>
          <w:rFonts w:ascii="Verdana" w:eastAsia="Batang" w:hAnsi="Verdana"/>
          <w:sz w:val="20"/>
          <w:szCs w:val="20"/>
          <w:lang w:val="en-US" w:eastAsia="es-MX"/>
        </w:rPr>
        <w:t xml:space="preserve">, </w:t>
      </w:r>
      <w:r w:rsidR="008847F5" w:rsidRPr="00EA6C7A">
        <w:rPr>
          <w:rFonts w:ascii="Verdana" w:eastAsia="Batang" w:hAnsi="Verdana"/>
          <w:sz w:val="20"/>
          <w:szCs w:val="20"/>
          <w:lang w:val="en-US" w:eastAsia="es-MX"/>
        </w:rPr>
        <w:t>in its judgment of</w:t>
      </w:r>
      <w:r w:rsidR="00CD09AF" w:rsidRPr="00EA6C7A">
        <w:rPr>
          <w:rFonts w:ascii="Verdana" w:eastAsia="Batang" w:hAnsi="Verdana"/>
          <w:sz w:val="20"/>
          <w:szCs w:val="20"/>
          <w:lang w:val="en-US" w:eastAsia="es-MX"/>
        </w:rPr>
        <w:t xml:space="preserve"> </w:t>
      </w:r>
      <w:r w:rsidR="001914FC" w:rsidRPr="00EA6C7A">
        <w:rPr>
          <w:rFonts w:ascii="Verdana" w:eastAsia="Batang" w:hAnsi="Verdana"/>
          <w:sz w:val="20"/>
          <w:szCs w:val="20"/>
          <w:lang w:val="en-US" w:eastAsia="es-MX"/>
        </w:rPr>
        <w:t>May 19,</w:t>
      </w:r>
      <w:r w:rsidR="00CD09AF" w:rsidRPr="00EA6C7A">
        <w:rPr>
          <w:rFonts w:ascii="Verdana" w:eastAsia="Batang" w:hAnsi="Verdana"/>
          <w:sz w:val="20"/>
          <w:szCs w:val="20"/>
          <w:lang w:val="en-US" w:eastAsia="es-MX"/>
        </w:rPr>
        <w:t xml:space="preserve"> 2014, </w:t>
      </w:r>
      <w:r w:rsidR="0096418F" w:rsidRPr="00EA6C7A">
        <w:rPr>
          <w:rFonts w:ascii="Verdana" w:eastAsia="Batang" w:hAnsi="Verdana"/>
          <w:sz w:val="20"/>
          <w:szCs w:val="20"/>
          <w:lang w:val="en-US" w:eastAsia="es-MX"/>
        </w:rPr>
        <w:t>the Court</w:t>
      </w:r>
      <w:r w:rsidR="00CD09AF" w:rsidRPr="00EA6C7A">
        <w:rPr>
          <w:rFonts w:ascii="Verdana" w:eastAsia="Batang" w:hAnsi="Verdana"/>
          <w:sz w:val="20"/>
          <w:szCs w:val="20"/>
          <w:lang w:val="en-US" w:eastAsia="es-MX"/>
        </w:rPr>
        <w:t xml:space="preserve"> </w:t>
      </w:r>
      <w:r w:rsidR="008847F5" w:rsidRPr="00EA6C7A">
        <w:rPr>
          <w:rFonts w:ascii="Verdana" w:eastAsia="Batang" w:hAnsi="Verdana"/>
          <w:sz w:val="20"/>
          <w:szCs w:val="20"/>
          <w:lang w:val="en-US" w:eastAsia="es-MX"/>
        </w:rPr>
        <w:t xml:space="preserve">indicated that this situation had persisted following the end of the armed conflict and that it was reflected in a culture of violence that </w:t>
      </w:r>
      <w:r w:rsidR="00DB25B4" w:rsidRPr="00EA6C7A">
        <w:rPr>
          <w:rFonts w:ascii="Verdana" w:eastAsia="Batang" w:hAnsi="Verdana"/>
          <w:sz w:val="20"/>
          <w:szCs w:val="20"/>
          <w:lang w:val="en-US" w:eastAsia="es-MX"/>
        </w:rPr>
        <w:t xml:space="preserve">had </w:t>
      </w:r>
      <w:r w:rsidR="008847F5" w:rsidRPr="00EA6C7A">
        <w:rPr>
          <w:rFonts w:ascii="Verdana" w:eastAsia="Batang" w:hAnsi="Verdana"/>
          <w:sz w:val="20"/>
          <w:szCs w:val="20"/>
          <w:lang w:val="en-US" w:eastAsia="es-MX"/>
        </w:rPr>
        <w:t xml:space="preserve">continued over the years </w:t>
      </w:r>
      <w:r w:rsidR="00DB25B4" w:rsidRPr="00EA6C7A">
        <w:rPr>
          <w:rFonts w:ascii="Verdana" w:eastAsia="Batang" w:hAnsi="Verdana"/>
          <w:sz w:val="20"/>
          <w:szCs w:val="20"/>
          <w:lang w:val="en-US" w:eastAsia="es-MX"/>
        </w:rPr>
        <w:t xml:space="preserve">and </w:t>
      </w:r>
      <w:r w:rsidR="008847F5" w:rsidRPr="00EA6C7A">
        <w:rPr>
          <w:rFonts w:ascii="Verdana" w:eastAsia="Batang" w:hAnsi="Verdana"/>
          <w:sz w:val="20"/>
          <w:szCs w:val="20"/>
          <w:lang w:val="en-US" w:eastAsia="es-MX"/>
        </w:rPr>
        <w:t>that included a</w:t>
      </w:r>
      <w:r w:rsidR="00DB25B4" w:rsidRPr="00EA6C7A">
        <w:rPr>
          <w:rFonts w:ascii="Verdana" w:eastAsia="Batang" w:hAnsi="Verdana"/>
          <w:sz w:val="20"/>
          <w:szCs w:val="20"/>
          <w:lang w:val="en-US" w:eastAsia="es-MX"/>
        </w:rPr>
        <w:t xml:space="preserve"> substructure </w:t>
      </w:r>
      <w:r w:rsidR="008847F5" w:rsidRPr="00EA6C7A">
        <w:rPr>
          <w:rFonts w:ascii="Verdana" w:eastAsia="Batang" w:hAnsi="Verdana"/>
          <w:sz w:val="20"/>
          <w:szCs w:val="20"/>
          <w:lang w:val="en-US" w:eastAsia="es-MX"/>
        </w:rPr>
        <w:t xml:space="preserve">of violence that especially affected women. In this regard, the Court noted that, although it was difficult to pinpoint the exact moment when this started, in any case, in December 2001, </w:t>
      </w:r>
      <w:r w:rsidR="00DB25B4" w:rsidRPr="00EA6C7A">
        <w:rPr>
          <w:rFonts w:ascii="Verdana" w:eastAsia="Batang" w:hAnsi="Verdana"/>
          <w:sz w:val="20"/>
          <w:szCs w:val="20"/>
          <w:lang w:val="en-US" w:eastAsia="es-MX"/>
        </w:rPr>
        <w:t xml:space="preserve">there was </w:t>
      </w:r>
      <w:r w:rsidR="00E8740D" w:rsidRPr="00EA6C7A">
        <w:rPr>
          <w:rFonts w:ascii="Verdana" w:eastAsia="Batang" w:hAnsi="Verdana"/>
          <w:sz w:val="20"/>
          <w:szCs w:val="20"/>
          <w:lang w:val="en-US" w:eastAsia="es-MX"/>
        </w:rPr>
        <w:t>a</w:t>
      </w:r>
      <w:r w:rsidR="008847F5" w:rsidRPr="00EA6C7A">
        <w:rPr>
          <w:rFonts w:ascii="Verdana" w:eastAsia="Batang" w:hAnsi="Verdana"/>
          <w:sz w:val="20"/>
          <w:szCs w:val="20"/>
          <w:lang w:val="en-US" w:eastAsia="es-MX"/>
        </w:rPr>
        <w:t xml:space="preserve"> context of an </w:t>
      </w:r>
      <w:r w:rsidR="00AD1D9E" w:rsidRPr="00EA6C7A">
        <w:rPr>
          <w:rFonts w:ascii="Verdana" w:eastAsia="Batang" w:hAnsi="Verdana"/>
          <w:sz w:val="20"/>
          <w:szCs w:val="20"/>
          <w:lang w:val="en-US" w:eastAsia="es-MX"/>
        </w:rPr>
        <w:t>escalation of</w:t>
      </w:r>
      <w:r w:rsidR="00E8740D" w:rsidRPr="00EA6C7A">
        <w:rPr>
          <w:rFonts w:ascii="Verdana" w:eastAsia="Batang" w:hAnsi="Verdana"/>
          <w:sz w:val="20"/>
          <w:szCs w:val="20"/>
          <w:lang w:val="en-US" w:eastAsia="es-MX"/>
        </w:rPr>
        <w:t xml:space="preserve"> homicidal violence against women in Guatemala and</w:t>
      </w:r>
      <w:r w:rsidR="00031FDF" w:rsidRPr="00EA6C7A">
        <w:rPr>
          <w:rFonts w:ascii="Verdana" w:eastAsia="Batang" w:hAnsi="Verdana"/>
          <w:sz w:val="20"/>
          <w:szCs w:val="20"/>
          <w:lang w:val="en-US" w:eastAsia="es-MX"/>
        </w:rPr>
        <w:t xml:space="preserve"> there were</w:t>
      </w:r>
      <w:r w:rsidR="00E8740D" w:rsidRPr="00EA6C7A">
        <w:rPr>
          <w:rFonts w:ascii="Verdana" w:eastAsia="Batang" w:hAnsi="Verdana"/>
          <w:sz w:val="20"/>
          <w:szCs w:val="20"/>
          <w:lang w:val="en-US" w:eastAsia="es-MX"/>
        </w:rPr>
        <w:t xml:space="preserve"> indications that the State was aware of this. Also, “among all the violent deaths of women that occurred in 2001 in Guatemala, the existence of gender-based homicides was not exceptional.</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27"/>
      </w:r>
      <w:r w:rsidR="00E8740D" w:rsidRPr="00EA6C7A">
        <w:rPr>
          <w:rFonts w:ascii="Verdana" w:eastAsia="Batang" w:hAnsi="Verdana"/>
          <w:sz w:val="20"/>
          <w:szCs w:val="20"/>
          <w:lang w:val="en-US" w:eastAsia="es-MX"/>
        </w:rPr>
        <w:t xml:space="preserve"> Furthermore, the </w:t>
      </w:r>
      <w:r w:rsidR="00AD1D9E" w:rsidRPr="00EA6C7A">
        <w:rPr>
          <w:rFonts w:ascii="Verdana" w:eastAsia="Batang" w:hAnsi="Verdana"/>
          <w:sz w:val="20"/>
          <w:szCs w:val="20"/>
          <w:lang w:val="en-US" w:eastAsia="es-MX"/>
        </w:rPr>
        <w:t>escalation of</w:t>
      </w:r>
      <w:r w:rsidR="00E8740D" w:rsidRPr="00EA6C7A">
        <w:rPr>
          <w:rFonts w:ascii="Verdana" w:eastAsia="Batang" w:hAnsi="Verdana"/>
          <w:sz w:val="20"/>
          <w:szCs w:val="20"/>
          <w:lang w:val="en-US" w:eastAsia="es-MX"/>
        </w:rPr>
        <w:t xml:space="preserve"> homicidal violence against women increased throughout the country in 2004 and 2005, and the evidence provided in this case indicates that high levels of this type of violence</w:t>
      </w:r>
      <w:r w:rsidR="00DB25B4" w:rsidRPr="00EA6C7A">
        <w:rPr>
          <w:rFonts w:ascii="Verdana" w:eastAsia="Batang" w:hAnsi="Verdana"/>
          <w:sz w:val="20"/>
          <w:szCs w:val="20"/>
          <w:lang w:val="en-US" w:eastAsia="es-MX"/>
        </w:rPr>
        <w:t xml:space="preserve"> </w:t>
      </w:r>
      <w:r w:rsidR="00E8740D" w:rsidRPr="00EA6C7A">
        <w:rPr>
          <w:rFonts w:ascii="Verdana" w:eastAsia="Batang" w:hAnsi="Verdana"/>
          <w:sz w:val="20"/>
          <w:szCs w:val="20"/>
          <w:lang w:val="en-US" w:eastAsia="es-MX"/>
        </w:rPr>
        <w:t>continue.</w:t>
      </w:r>
      <w:r w:rsidR="00CD09AF" w:rsidRPr="00EA6C7A">
        <w:rPr>
          <w:rFonts w:ascii="Verdana" w:eastAsia="Calibri" w:hAnsi="Verdana"/>
          <w:sz w:val="20"/>
          <w:szCs w:val="20"/>
          <w:vertAlign w:val="superscript"/>
          <w:lang w:val="en-US" w:eastAsia="es-MX"/>
        </w:rPr>
        <w:footnoteReference w:id="28"/>
      </w:r>
    </w:p>
    <w:p w14:paraId="39329046" w14:textId="77777777" w:rsidR="00CD09AF" w:rsidRPr="00EA6C7A" w:rsidRDefault="00CD09AF" w:rsidP="00CD09AF">
      <w:pPr>
        <w:tabs>
          <w:tab w:val="left" w:pos="567"/>
        </w:tabs>
        <w:spacing w:after="0" w:line="240" w:lineRule="auto"/>
        <w:jc w:val="both"/>
        <w:rPr>
          <w:rFonts w:ascii="Verdana" w:eastAsia="Batang" w:hAnsi="Verdana"/>
          <w:sz w:val="20"/>
          <w:szCs w:val="20"/>
          <w:u w:val="single"/>
          <w:lang w:val="en-US" w:eastAsia="es-MX"/>
        </w:rPr>
      </w:pPr>
    </w:p>
    <w:p w14:paraId="63D5AE63" w14:textId="77777777" w:rsidR="00CD09AF" w:rsidRPr="00EA6C7A" w:rsidRDefault="00644036" w:rsidP="00F67563">
      <w:pPr>
        <w:numPr>
          <w:ilvl w:val="0"/>
          <w:numId w:val="3"/>
        </w:numPr>
        <w:spacing w:after="0" w:line="240" w:lineRule="auto"/>
        <w:ind w:left="0" w:hanging="11"/>
        <w:contextualSpacing/>
        <w:jc w:val="both"/>
        <w:rPr>
          <w:rFonts w:ascii="Verdana" w:eastAsia="Calibri" w:hAnsi="Verdana"/>
          <w:b/>
          <w:sz w:val="20"/>
          <w:szCs w:val="20"/>
          <w:lang w:val="en-US" w:eastAsia="es-MX"/>
        </w:rPr>
      </w:pPr>
      <w:r w:rsidRPr="00EA6C7A">
        <w:rPr>
          <w:rFonts w:ascii="Verdana" w:eastAsia="Batang" w:hAnsi="Verdana"/>
          <w:sz w:val="20"/>
          <w:szCs w:val="20"/>
          <w:lang w:val="en-US" w:eastAsia="es-MX"/>
        </w:rPr>
        <w:t xml:space="preserve">Specifically, in </w:t>
      </w:r>
      <w:r w:rsidR="007E6E93" w:rsidRPr="00EA6C7A">
        <w:rPr>
          <w:rFonts w:ascii="Verdana" w:eastAsia="Batang" w:hAnsi="Verdana"/>
          <w:sz w:val="20"/>
          <w:szCs w:val="20"/>
          <w:lang w:val="en-US" w:eastAsia="es-MX"/>
        </w:rPr>
        <w:t>the case of</w:t>
      </w:r>
      <w:r w:rsidR="001914FC" w:rsidRPr="00EA6C7A">
        <w:rPr>
          <w:rFonts w:ascii="Verdana" w:eastAsia="Batang" w:hAnsi="Verdana"/>
          <w:i/>
          <w:sz w:val="20"/>
          <w:szCs w:val="20"/>
          <w:lang w:val="en-US" w:eastAsia="es-MX"/>
        </w:rPr>
        <w:t xml:space="preserve"> </w:t>
      </w:r>
      <w:r w:rsidR="00CD09AF" w:rsidRPr="00EA6C7A">
        <w:rPr>
          <w:rFonts w:ascii="Verdana" w:eastAsia="Batang" w:hAnsi="Verdana"/>
          <w:i/>
          <w:sz w:val="20"/>
          <w:szCs w:val="20"/>
          <w:lang w:val="en-US" w:eastAsia="es-MX"/>
        </w:rPr>
        <w:t xml:space="preserve">Veliz Franco </w:t>
      </w:r>
      <w:r w:rsidR="006A51FD" w:rsidRPr="00EA6C7A">
        <w:rPr>
          <w:rFonts w:ascii="Verdana" w:eastAsia="Batang" w:hAnsi="Verdana"/>
          <w:i/>
          <w:sz w:val="20"/>
          <w:szCs w:val="20"/>
          <w:lang w:val="en-US" w:eastAsia="es-MX"/>
        </w:rPr>
        <w:t>et al.</w:t>
      </w:r>
      <w:r w:rsidRPr="00EA6C7A">
        <w:rPr>
          <w:rFonts w:ascii="Verdana" w:eastAsia="Batang" w:hAnsi="Verdana"/>
          <w:i/>
          <w:sz w:val="20"/>
          <w:szCs w:val="20"/>
          <w:lang w:val="en-US" w:eastAsia="es-MX"/>
        </w:rPr>
        <w:t>,</w:t>
      </w:r>
      <w:r w:rsidR="00CD09AF"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Court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noted that, according to the Guatemalan Judiciary, “official figures” revealed that there had been a “sustainable increase in violent deaths of women at the national level from 2001 to 2011.” Also, the same document state</w:t>
      </w:r>
      <w:r w:rsidR="007954C8" w:rsidRPr="00EA6C7A">
        <w:rPr>
          <w:rFonts w:ascii="Verdana" w:eastAsia="Batang" w:hAnsi="Verdana"/>
          <w:sz w:val="20"/>
          <w:szCs w:val="20"/>
          <w:lang w:val="en-US" w:eastAsia="es-MX"/>
        </w:rPr>
        <w:t>d</w:t>
      </w:r>
      <w:r w:rsidRPr="00EA6C7A">
        <w:rPr>
          <w:rFonts w:ascii="Verdana" w:eastAsia="Batang" w:hAnsi="Verdana"/>
          <w:sz w:val="20"/>
          <w:szCs w:val="20"/>
          <w:lang w:val="en-US" w:eastAsia="es-MX"/>
        </w:rPr>
        <w:t xml:space="preserve"> that, “according to a report,” in 20</w:t>
      </w:r>
      <w:r w:rsidR="00F67563" w:rsidRPr="00EA6C7A">
        <w:rPr>
          <w:rFonts w:ascii="Verdana" w:eastAsia="Batang" w:hAnsi="Verdana"/>
          <w:sz w:val="20"/>
          <w:szCs w:val="20"/>
          <w:lang w:val="en-US" w:eastAsia="es-MX"/>
        </w:rPr>
        <w:t>12, “Guatemala occupied third place at the global level for violent deaths of women, with a rate of 9.7 femicides per 100,000 inhabitants</w:t>
      </w:r>
      <w:r w:rsidR="00F67563" w:rsidRPr="00EA6C7A">
        <w:rPr>
          <w:rFonts w:ascii="Verdana" w:eastAsia="Calibri" w:hAnsi="Verdana"/>
          <w:bCs/>
          <w:sz w:val="20"/>
          <w:szCs w:val="20"/>
          <w:lang w:val="en-US" w:eastAsia="es-MX"/>
        </w:rPr>
        <w:t>.</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29"/>
      </w:r>
      <w:r w:rsidR="00F67563" w:rsidRPr="00EA6C7A">
        <w:rPr>
          <w:rFonts w:ascii="Verdana" w:eastAsia="Batang" w:hAnsi="Verdana"/>
          <w:sz w:val="20"/>
          <w:szCs w:val="20"/>
          <w:lang w:val="en-US" w:eastAsia="es-MX"/>
        </w:rPr>
        <w:t xml:space="preserve"> Similarly, according to data from the National Institute for Statistics collected by the Monitoring Mechanism for</w:t>
      </w:r>
      <w:r w:rsidR="00F67563" w:rsidRPr="00EA6C7A">
        <w:rPr>
          <w:rFonts w:ascii="Verdana" w:eastAsia="Calibri" w:hAnsi="Verdana"/>
          <w:b/>
          <w:sz w:val="20"/>
          <w:szCs w:val="20"/>
          <w:lang w:val="en-US" w:eastAsia="es-MX"/>
        </w:rPr>
        <w:t xml:space="preserve"> </w:t>
      </w:r>
      <w:r w:rsidR="0096418F" w:rsidRPr="00EA6C7A">
        <w:rPr>
          <w:rFonts w:ascii="Verdana" w:hAnsi="Verdana" w:cs="Arial"/>
          <w:sz w:val="20"/>
          <w:szCs w:val="20"/>
          <w:shd w:val="clear" w:color="auto" w:fill="FFFFFF"/>
          <w:lang w:val="en-US"/>
        </w:rPr>
        <w:t xml:space="preserve">the </w:t>
      </w:r>
      <w:r w:rsidR="004554C7" w:rsidRPr="00EA6C7A">
        <w:rPr>
          <w:rFonts w:ascii="Verdana" w:hAnsi="Verdana" w:cs="Arial"/>
          <w:sz w:val="20"/>
          <w:szCs w:val="20"/>
          <w:shd w:val="clear" w:color="auto" w:fill="FFFFFF"/>
          <w:lang w:val="en-US"/>
        </w:rPr>
        <w:t>Convention of Belém</w:t>
      </w:r>
      <w:r w:rsidR="00CD09AF" w:rsidRPr="00EA6C7A">
        <w:rPr>
          <w:rFonts w:ascii="Verdana" w:hAnsi="Verdana" w:cs="Arial"/>
          <w:sz w:val="20"/>
          <w:szCs w:val="20"/>
          <w:shd w:val="clear" w:color="auto" w:fill="FFFFFF"/>
          <w:lang w:val="en-US"/>
        </w:rPr>
        <w:t xml:space="preserve"> do Pará (</w:t>
      </w:r>
      <w:r w:rsidR="00CD09AF" w:rsidRPr="00EA6C7A">
        <w:rPr>
          <w:rFonts w:ascii="Verdana" w:eastAsia="Batang" w:hAnsi="Verdana"/>
          <w:sz w:val="20"/>
          <w:szCs w:val="20"/>
          <w:lang w:val="en-US" w:eastAsia="es-MX"/>
        </w:rPr>
        <w:t xml:space="preserve">MESECVI), </w:t>
      </w:r>
      <w:r w:rsidR="00F67563" w:rsidRPr="00EA6C7A">
        <w:rPr>
          <w:rFonts w:ascii="Verdana" w:eastAsia="Batang" w:hAnsi="Verdana"/>
          <w:sz w:val="20"/>
          <w:szCs w:val="20"/>
          <w:lang w:val="en-US" w:eastAsia="es-MX"/>
        </w:rPr>
        <w:t xml:space="preserve">the number of murders of women in the country evolved as follows: </w:t>
      </w:r>
      <w:r w:rsidR="00CD09AF" w:rsidRPr="00EA6C7A">
        <w:rPr>
          <w:rFonts w:ascii="Verdana" w:eastAsia="Batang" w:hAnsi="Verdana"/>
          <w:sz w:val="20"/>
          <w:szCs w:val="20"/>
          <w:lang w:val="en-US" w:eastAsia="es-MX"/>
        </w:rPr>
        <w:t>1995: 150; 1996: 163; 1997: 249; 1998: 190; 1999: 179; 2000: 213; 2001: 215; 2002: 266; 2003: 282</w:t>
      </w:r>
      <w:r w:rsidR="00F67563" w:rsidRPr="00EA6C7A">
        <w:rPr>
          <w:rFonts w:ascii="Verdana" w:eastAsia="Batang" w:hAnsi="Verdana"/>
          <w:sz w:val="20"/>
          <w:szCs w:val="20"/>
          <w:lang w:val="en-US" w:eastAsia="es-MX"/>
        </w:rPr>
        <w:t>, and</w:t>
      </w:r>
      <w:r w:rsidR="00CD09AF" w:rsidRPr="00EA6C7A">
        <w:rPr>
          <w:rFonts w:ascii="Verdana" w:eastAsia="Batang" w:hAnsi="Verdana"/>
          <w:sz w:val="20"/>
          <w:szCs w:val="20"/>
          <w:lang w:val="en-US" w:eastAsia="es-MX"/>
        </w:rPr>
        <w:t xml:space="preserve"> 2004: 286</w:t>
      </w:r>
      <w:r w:rsidR="00CD09AF" w:rsidRPr="00EA6C7A">
        <w:rPr>
          <w:rFonts w:ascii="Verdana" w:eastAsia="Batang" w:hAnsi="Verdana" w:cs="GillSansMT"/>
          <w:sz w:val="20"/>
          <w:szCs w:val="20"/>
          <w:lang w:val="en-US" w:eastAsia="es-MX"/>
        </w:rPr>
        <w:t>.</w:t>
      </w:r>
      <w:r w:rsidR="00CD09AF" w:rsidRPr="00EA6C7A">
        <w:rPr>
          <w:rFonts w:ascii="Verdana" w:eastAsia="Batang" w:hAnsi="Verdana"/>
          <w:sz w:val="20"/>
          <w:szCs w:val="20"/>
          <w:lang w:val="en-US" w:eastAsia="es-MX"/>
        </w:rPr>
        <w:t xml:space="preserve"> </w:t>
      </w:r>
      <w:r w:rsidR="00F67563" w:rsidRPr="00EA6C7A">
        <w:rPr>
          <w:rFonts w:ascii="Verdana" w:eastAsia="Batang" w:hAnsi="Verdana"/>
          <w:sz w:val="20"/>
          <w:szCs w:val="20"/>
          <w:lang w:val="en-US" w:eastAsia="es-MX"/>
        </w:rPr>
        <w:t>In addition,</w:t>
      </w:r>
      <w:r w:rsidR="00CD09AF"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Inter-American Commission</w:t>
      </w:r>
      <w:r w:rsidR="00CD09AF" w:rsidRPr="00EA6C7A">
        <w:rPr>
          <w:rFonts w:ascii="Verdana" w:eastAsia="Batang" w:hAnsi="Verdana"/>
          <w:sz w:val="20"/>
          <w:szCs w:val="20"/>
          <w:lang w:val="en-US" w:eastAsia="es-MX"/>
        </w:rPr>
        <w:t xml:space="preserve"> </w:t>
      </w:r>
      <w:r w:rsidR="00F67563" w:rsidRPr="00EA6C7A">
        <w:rPr>
          <w:rFonts w:ascii="Verdana" w:eastAsia="Batang" w:hAnsi="Verdana"/>
          <w:sz w:val="20"/>
          <w:szCs w:val="20"/>
          <w:lang w:val="en-US" w:eastAsia="es-MX"/>
        </w:rPr>
        <w:t>asserted that State sources ha</w:t>
      </w:r>
      <w:r w:rsidR="007954C8" w:rsidRPr="00EA6C7A">
        <w:rPr>
          <w:rFonts w:ascii="Verdana" w:eastAsia="Batang" w:hAnsi="Verdana"/>
          <w:sz w:val="20"/>
          <w:szCs w:val="20"/>
          <w:lang w:val="en-US" w:eastAsia="es-MX"/>
        </w:rPr>
        <w:t>d</w:t>
      </w:r>
      <w:r w:rsidR="00F67563" w:rsidRPr="00EA6C7A">
        <w:rPr>
          <w:rFonts w:ascii="Verdana" w:eastAsia="Batang" w:hAnsi="Verdana"/>
          <w:sz w:val="20"/>
          <w:szCs w:val="20"/>
          <w:lang w:val="en-US" w:eastAsia="es-MX"/>
        </w:rPr>
        <w:t xml:space="preserve"> confirmed that “from 2001 to 2004, 1,188 women were murdered, [and that] different sources confirm that […] the level of violence and brutality used on the bodies of the victims increased.</w:t>
      </w:r>
      <w:r w:rsidR="00F67563" w:rsidRPr="00EA6C7A">
        <w:rPr>
          <w:rFonts w:ascii="Verdana" w:eastAsia="Calibri" w:hAnsi="Verdana"/>
          <w:bCs/>
          <w:sz w:val="20"/>
          <w:szCs w:val="20"/>
          <w:lang w:val="en-US" w:eastAsia="es-MX"/>
        </w:rPr>
        <w:t>”</w:t>
      </w:r>
      <w:r w:rsidR="00CD09AF" w:rsidRPr="00EA6C7A">
        <w:rPr>
          <w:rFonts w:ascii="Verdana" w:eastAsia="Batang" w:hAnsi="Verdana"/>
          <w:sz w:val="20"/>
          <w:szCs w:val="20"/>
          <w:vertAlign w:val="superscript"/>
          <w:lang w:val="en-US" w:eastAsia="es-MX"/>
        </w:rPr>
        <w:footnoteReference w:id="30"/>
      </w:r>
      <w:r w:rsidR="00F67563" w:rsidRPr="00EA6C7A">
        <w:rPr>
          <w:rFonts w:ascii="Verdana" w:eastAsia="Calibri" w:hAnsi="Verdana"/>
          <w:bCs/>
          <w:sz w:val="20"/>
          <w:szCs w:val="20"/>
          <w:lang w:val="en-US" w:eastAsia="es-MX"/>
        </w:rPr>
        <w:t xml:space="preserve"> The evidence presented in this case is consistent with the increase in the number of murders of women in the country because, according to </w:t>
      </w:r>
      <w:r w:rsidR="003E2012" w:rsidRPr="00EA6C7A">
        <w:rPr>
          <w:rFonts w:ascii="Verdana" w:eastAsia="Calibri" w:hAnsi="Verdana"/>
          <w:sz w:val="20"/>
          <w:szCs w:val="20"/>
          <w:lang w:val="en-US" w:eastAsia="es-MX"/>
        </w:rPr>
        <w:t>the Public</w:t>
      </w:r>
      <w:r w:rsidR="00B3248B" w:rsidRPr="00EA6C7A">
        <w:rPr>
          <w:rFonts w:ascii="Verdana" w:eastAsia="Calibri" w:hAnsi="Verdana"/>
          <w:sz w:val="20"/>
          <w:szCs w:val="20"/>
          <w:lang w:val="en-US" w:eastAsia="es-MX"/>
        </w:rPr>
        <w:t xml:space="preserve"> Prosecution Service</w:t>
      </w:r>
      <w:r w:rsidR="00F67563" w:rsidRPr="00EA6C7A">
        <w:rPr>
          <w:rFonts w:ascii="Verdana" w:eastAsia="Calibri" w:hAnsi="Verdana"/>
          <w:sz w:val="20"/>
          <w:szCs w:val="20"/>
          <w:lang w:val="en-US" w:eastAsia="es-MX"/>
        </w:rPr>
        <w:t>’s statistical data</w:t>
      </w:r>
      <w:r w:rsidR="00CD09AF" w:rsidRPr="00EA6C7A">
        <w:rPr>
          <w:rFonts w:ascii="Verdana" w:eastAsia="Calibri" w:hAnsi="Verdana"/>
          <w:sz w:val="20"/>
          <w:szCs w:val="20"/>
          <w:lang w:val="en-US" w:eastAsia="es-MX"/>
        </w:rPr>
        <w:t xml:space="preserve"> </w:t>
      </w:r>
      <w:r w:rsidR="00F67563" w:rsidRPr="00EA6C7A">
        <w:rPr>
          <w:rFonts w:ascii="Verdana" w:eastAsia="Calibri" w:hAnsi="Verdana"/>
          <w:sz w:val="20"/>
          <w:szCs w:val="20"/>
          <w:lang w:val="en-US" w:eastAsia="es-MX"/>
        </w:rPr>
        <w:t>provided by</w:t>
      </w:r>
      <w:r w:rsidR="00CD09AF" w:rsidRPr="00EA6C7A">
        <w:rPr>
          <w:rFonts w:ascii="Verdana" w:eastAsia="Calibri" w:hAnsi="Verdana"/>
          <w:sz w:val="20"/>
          <w:szCs w:val="20"/>
          <w:lang w:val="en-US" w:eastAsia="es-MX"/>
        </w:rPr>
        <w:t xml:space="preserve"> </w:t>
      </w:r>
      <w:r w:rsidR="002F3848" w:rsidRPr="00EA6C7A">
        <w:rPr>
          <w:rFonts w:ascii="Verdana" w:eastAsia="Calibri" w:hAnsi="Verdana"/>
          <w:sz w:val="20"/>
          <w:szCs w:val="20"/>
          <w:lang w:val="en-US" w:eastAsia="es-MX"/>
        </w:rPr>
        <w:t>the State</w:t>
      </w:r>
      <w:r w:rsidR="00CD09AF" w:rsidRPr="00EA6C7A">
        <w:rPr>
          <w:rFonts w:ascii="Verdana" w:eastAsia="Calibri" w:hAnsi="Verdana"/>
          <w:sz w:val="20"/>
          <w:szCs w:val="20"/>
          <w:lang w:val="en-US" w:eastAsia="es-MX"/>
        </w:rPr>
        <w:t xml:space="preserve">, </w:t>
      </w:r>
      <w:r w:rsidR="00F67563" w:rsidRPr="00EA6C7A">
        <w:rPr>
          <w:rFonts w:ascii="Verdana" w:eastAsia="Calibri" w:hAnsi="Verdana"/>
          <w:sz w:val="20"/>
          <w:szCs w:val="20"/>
          <w:lang w:val="en-US" w:eastAsia="es-MX"/>
        </w:rPr>
        <w:t xml:space="preserve">the evolution is as follows: </w:t>
      </w:r>
      <w:r w:rsidR="00CD09AF" w:rsidRPr="00EA6C7A">
        <w:rPr>
          <w:rFonts w:ascii="Verdana" w:eastAsia="Calibri" w:hAnsi="Verdana"/>
          <w:sz w:val="20"/>
          <w:szCs w:val="20"/>
          <w:lang w:val="en-US" w:eastAsia="es-MX"/>
        </w:rPr>
        <w:t xml:space="preserve">2005: 920; 2006: 1035; 2007:1036; 2008: 1029; 2009; 981; 2010: 943; 2011: 704; 2012: 860; 2013: 784; 2014: 769, </w:t>
      </w:r>
      <w:r w:rsidR="00F67563" w:rsidRPr="00EA6C7A">
        <w:rPr>
          <w:rFonts w:ascii="Verdana" w:eastAsia="Calibri" w:hAnsi="Verdana"/>
          <w:sz w:val="20"/>
          <w:szCs w:val="20"/>
          <w:lang w:val="en-US" w:eastAsia="es-MX"/>
        </w:rPr>
        <w:t xml:space="preserve">and up until April </w:t>
      </w:r>
      <w:r w:rsidR="00CD09AF" w:rsidRPr="00EA6C7A">
        <w:rPr>
          <w:rFonts w:ascii="Verdana" w:eastAsia="Calibri" w:hAnsi="Verdana"/>
          <w:sz w:val="20"/>
          <w:szCs w:val="20"/>
          <w:lang w:val="en-US" w:eastAsia="es-MX"/>
        </w:rPr>
        <w:t>2015: 249</w:t>
      </w:r>
      <w:r w:rsidR="00F67563" w:rsidRPr="00EA6C7A">
        <w:rPr>
          <w:rFonts w:ascii="Verdana" w:eastAsia="Calibri"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31"/>
      </w:r>
      <w:r w:rsidR="00CD09AF" w:rsidRPr="00EA6C7A">
        <w:rPr>
          <w:rFonts w:ascii="Verdana" w:eastAsia="Calibri" w:hAnsi="Verdana"/>
          <w:b/>
          <w:sz w:val="20"/>
          <w:szCs w:val="20"/>
          <w:lang w:val="en-US" w:eastAsia="es-MX"/>
        </w:rPr>
        <w:t xml:space="preserve"> </w:t>
      </w:r>
    </w:p>
    <w:p w14:paraId="178FE775" w14:textId="77777777" w:rsidR="00CD09AF" w:rsidRPr="00EA6C7A" w:rsidRDefault="00CD09AF" w:rsidP="00CD09AF">
      <w:pPr>
        <w:tabs>
          <w:tab w:val="left" w:pos="567"/>
        </w:tabs>
        <w:spacing w:after="0" w:line="240" w:lineRule="auto"/>
        <w:jc w:val="both"/>
        <w:rPr>
          <w:rFonts w:ascii="Verdana" w:eastAsia="Batang" w:hAnsi="Verdana"/>
          <w:b/>
          <w:sz w:val="20"/>
          <w:szCs w:val="20"/>
          <w:lang w:val="en-US" w:eastAsia="es-MX"/>
        </w:rPr>
      </w:pPr>
    </w:p>
    <w:p w14:paraId="06AF1EAB" w14:textId="77777777" w:rsidR="00CD09AF" w:rsidRPr="00EA6C7A" w:rsidRDefault="00F67563" w:rsidP="00020704">
      <w:pPr>
        <w:numPr>
          <w:ilvl w:val="0"/>
          <w:numId w:val="3"/>
        </w:numPr>
        <w:spacing w:after="0" w:line="240" w:lineRule="auto"/>
        <w:ind w:left="0" w:hanging="11"/>
        <w:contextualSpacing/>
        <w:jc w:val="both"/>
        <w:rPr>
          <w:rFonts w:ascii="Verdana" w:eastAsia="Calibri" w:hAnsi="Verdana"/>
          <w:sz w:val="20"/>
          <w:szCs w:val="20"/>
          <w:lang w:val="en-US" w:eastAsia="es-MX"/>
        </w:rPr>
      </w:pPr>
      <w:r w:rsidRPr="00EA6C7A">
        <w:rPr>
          <w:rFonts w:ascii="Verdana" w:eastAsia="Batang" w:hAnsi="Verdana"/>
          <w:sz w:val="20"/>
          <w:szCs w:val="20"/>
          <w:lang w:val="en-US" w:eastAsia="es-MX"/>
        </w:rPr>
        <w:t xml:space="preserve">That said, over and above the increase in the number of killings of women, in </w:t>
      </w:r>
      <w:r w:rsidR="007E6E93" w:rsidRPr="00EA6C7A">
        <w:rPr>
          <w:rFonts w:ascii="Verdana" w:eastAsia="Batang" w:hAnsi="Verdana"/>
          <w:sz w:val="20"/>
          <w:szCs w:val="20"/>
          <w:lang w:val="en-US" w:eastAsia="es-MX"/>
        </w:rPr>
        <w:t>the case of</w:t>
      </w:r>
      <w:r w:rsidR="001914FC" w:rsidRPr="00EA6C7A">
        <w:rPr>
          <w:rFonts w:ascii="Verdana" w:eastAsia="Batang" w:hAnsi="Verdana"/>
          <w:i/>
          <w:sz w:val="20"/>
          <w:szCs w:val="20"/>
          <w:lang w:val="en-US" w:eastAsia="es-MX"/>
        </w:rPr>
        <w:t xml:space="preserve"> </w:t>
      </w:r>
      <w:r w:rsidR="00CD09AF" w:rsidRPr="00EA6C7A">
        <w:rPr>
          <w:rFonts w:ascii="Verdana" w:eastAsia="Batang" w:hAnsi="Verdana"/>
          <w:i/>
          <w:sz w:val="20"/>
          <w:szCs w:val="20"/>
          <w:lang w:val="en-US" w:eastAsia="es-MX"/>
        </w:rPr>
        <w:t xml:space="preserve">Veliz Franco </w:t>
      </w:r>
      <w:r w:rsidR="006A51FD" w:rsidRPr="00EA6C7A">
        <w:rPr>
          <w:rFonts w:ascii="Verdana" w:eastAsia="Batang" w:hAnsi="Verdana"/>
          <w:i/>
          <w:sz w:val="20"/>
          <w:szCs w:val="20"/>
          <w:lang w:val="en-US" w:eastAsia="es-MX"/>
        </w:rPr>
        <w:t>et al.</w:t>
      </w:r>
      <w:r w:rsidR="007954C8"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 xml:space="preserve">the Court received different information </w:t>
      </w:r>
      <w:r w:rsidR="00020704" w:rsidRPr="00EA6C7A">
        <w:rPr>
          <w:rFonts w:ascii="Verdana" w:eastAsia="Batang" w:hAnsi="Verdana" w:cs="Arial"/>
          <w:sz w:val="20"/>
          <w:szCs w:val="20"/>
          <w:lang w:val="en-US" w:eastAsia="es-MX"/>
        </w:rPr>
        <w:t>as regards the p</w:t>
      </w:r>
      <w:r w:rsidR="007954C8" w:rsidRPr="00EA6C7A">
        <w:rPr>
          <w:rFonts w:ascii="Verdana" w:eastAsia="Batang" w:hAnsi="Verdana" w:cs="Arial"/>
          <w:sz w:val="20"/>
          <w:szCs w:val="20"/>
          <w:lang w:val="en-US" w:eastAsia="es-MX"/>
        </w:rPr>
        <w:t>ercentage</w:t>
      </w:r>
      <w:r w:rsidR="00020704" w:rsidRPr="00EA6C7A">
        <w:rPr>
          <w:rFonts w:ascii="Verdana" w:eastAsia="Batang" w:hAnsi="Verdana" w:cs="Arial"/>
          <w:sz w:val="20"/>
          <w:szCs w:val="20"/>
          <w:lang w:val="en-US" w:eastAsia="es-MX"/>
        </w:rPr>
        <w:t xml:space="preserve"> of murders of women compared to those of men, and regarding the growth of this proportion. On the one hand, it was informed that, from 2001 to 2006, almost 10% of murders were committed against women. This percentage is similar if the period from 1986 to 2008 </w:t>
      </w:r>
      <w:r w:rsidR="007954C8" w:rsidRPr="00EA6C7A">
        <w:rPr>
          <w:rFonts w:ascii="Verdana" w:eastAsia="Batang" w:hAnsi="Verdana" w:cs="Arial"/>
          <w:sz w:val="20"/>
          <w:szCs w:val="20"/>
          <w:lang w:val="en-US" w:eastAsia="es-MX"/>
        </w:rPr>
        <w:t>is</w:t>
      </w:r>
      <w:r w:rsidR="00020704" w:rsidRPr="00EA6C7A">
        <w:rPr>
          <w:rFonts w:ascii="Verdana" w:eastAsia="Batang" w:hAnsi="Verdana" w:cs="Arial"/>
          <w:sz w:val="20"/>
          <w:szCs w:val="20"/>
          <w:lang w:val="en-US" w:eastAsia="es-MX"/>
        </w:rPr>
        <w:t xml:space="preserve"> considered, or </w:t>
      </w:r>
      <w:r w:rsidR="007954C8" w:rsidRPr="00EA6C7A">
        <w:rPr>
          <w:rFonts w:ascii="Verdana" w:eastAsia="Batang" w:hAnsi="Verdana" w:cs="Arial"/>
          <w:sz w:val="20"/>
          <w:szCs w:val="20"/>
          <w:lang w:val="en-US" w:eastAsia="es-MX"/>
        </w:rPr>
        <w:t xml:space="preserve">the period </w:t>
      </w:r>
      <w:r w:rsidR="00020704" w:rsidRPr="00EA6C7A">
        <w:rPr>
          <w:rFonts w:ascii="Verdana" w:eastAsia="Batang" w:hAnsi="Verdana" w:cs="Arial"/>
          <w:sz w:val="20"/>
          <w:szCs w:val="20"/>
          <w:lang w:val="en-US" w:eastAsia="es-MX"/>
        </w:rPr>
        <w:t>from 2002 to 2012. It was over 10%</w:t>
      </w:r>
      <w:r w:rsidR="007954C8" w:rsidRPr="00EA6C7A">
        <w:rPr>
          <w:rFonts w:ascii="Verdana" w:eastAsia="Batang" w:hAnsi="Verdana" w:cs="Arial"/>
          <w:sz w:val="20"/>
          <w:szCs w:val="20"/>
          <w:lang w:val="en-US" w:eastAsia="es-MX"/>
        </w:rPr>
        <w:t>,</w:t>
      </w:r>
      <w:r w:rsidR="00020704" w:rsidRPr="00EA6C7A">
        <w:rPr>
          <w:rFonts w:ascii="Verdana" w:eastAsia="Batang" w:hAnsi="Verdana" w:cs="Arial"/>
          <w:sz w:val="20"/>
          <w:szCs w:val="20"/>
          <w:lang w:val="en-US" w:eastAsia="es-MX"/>
        </w:rPr>
        <w:t xml:space="preserve"> at least</w:t>
      </w:r>
      <w:r w:rsidR="007954C8" w:rsidRPr="00EA6C7A">
        <w:rPr>
          <w:rFonts w:ascii="Verdana" w:eastAsia="Batang" w:hAnsi="Verdana" w:cs="Arial"/>
          <w:sz w:val="20"/>
          <w:szCs w:val="20"/>
          <w:lang w:val="en-US" w:eastAsia="es-MX"/>
        </w:rPr>
        <w:t>,</w:t>
      </w:r>
      <w:r w:rsidR="00020704" w:rsidRPr="00EA6C7A">
        <w:rPr>
          <w:rFonts w:ascii="Verdana" w:eastAsia="Batang" w:hAnsi="Verdana" w:cs="Arial"/>
          <w:sz w:val="20"/>
          <w:szCs w:val="20"/>
          <w:lang w:val="en-US" w:eastAsia="es-MX"/>
        </w:rPr>
        <w:t xml:space="preserve"> in 2003 and 2004, years in which it had been </w:t>
      </w:r>
      <w:r w:rsidR="007954C8" w:rsidRPr="00EA6C7A">
        <w:rPr>
          <w:rFonts w:ascii="Verdana" w:eastAsia="Batang" w:hAnsi="Verdana" w:cs="Arial"/>
          <w:sz w:val="20"/>
          <w:szCs w:val="20"/>
          <w:lang w:val="en-US" w:eastAsia="es-MX"/>
        </w:rPr>
        <w:t>more than</w:t>
      </w:r>
      <w:r w:rsidR="00020704" w:rsidRPr="00EA6C7A">
        <w:rPr>
          <w:rFonts w:ascii="Verdana" w:eastAsia="Batang" w:hAnsi="Verdana" w:cs="Arial"/>
          <w:sz w:val="20"/>
          <w:szCs w:val="20"/>
          <w:lang w:val="en-US" w:eastAsia="es-MX"/>
        </w:rPr>
        <w:t xml:space="preserve"> 11% and 12%, respectively. Moreover, information also exists that, from 1995 to 2004, the increase in the growth rate of the killing of women was almost double that of the killing of men and that</w:t>
      </w:r>
      <w:r w:rsidR="007954C8" w:rsidRPr="00EA6C7A">
        <w:rPr>
          <w:rFonts w:ascii="Verdana" w:eastAsia="Batang" w:hAnsi="Verdana" w:cs="Arial"/>
          <w:sz w:val="20"/>
          <w:szCs w:val="20"/>
          <w:lang w:val="en-US" w:eastAsia="es-MX"/>
        </w:rPr>
        <w:t>,</w:t>
      </w:r>
      <w:r w:rsidR="00020704" w:rsidRPr="00EA6C7A">
        <w:rPr>
          <w:rFonts w:ascii="Verdana" w:eastAsia="Batang" w:hAnsi="Verdana" w:cs="Arial"/>
          <w:sz w:val="20"/>
          <w:szCs w:val="20"/>
          <w:lang w:val="en-US" w:eastAsia="es-MX"/>
        </w:rPr>
        <w:t xml:space="preserve"> in 2004 “the number of violent deaths of women had increased by 20% more than the number of </w:t>
      </w:r>
      <w:r w:rsidR="007954C8" w:rsidRPr="00EA6C7A">
        <w:rPr>
          <w:rFonts w:ascii="Verdana" w:eastAsia="Batang" w:hAnsi="Verdana" w:cs="Arial"/>
          <w:sz w:val="20"/>
          <w:szCs w:val="20"/>
          <w:lang w:val="en-US" w:eastAsia="es-MX"/>
        </w:rPr>
        <w:t xml:space="preserve">violent deaths of </w:t>
      </w:r>
      <w:r w:rsidR="00020704" w:rsidRPr="00EA6C7A">
        <w:rPr>
          <w:rFonts w:ascii="Verdana" w:eastAsia="Batang" w:hAnsi="Verdana" w:cs="Arial"/>
          <w:sz w:val="20"/>
          <w:szCs w:val="20"/>
          <w:lang w:val="en-US" w:eastAsia="es-MX"/>
        </w:rPr>
        <w:t>men.</w:t>
      </w:r>
      <w:r w:rsidR="00CD09AF" w:rsidRPr="00EA6C7A">
        <w:rPr>
          <w:rFonts w:ascii="Verdana" w:eastAsia="Batang" w:hAnsi="Verdana" w:cs="Arial"/>
          <w:sz w:val="20"/>
          <w:szCs w:val="20"/>
          <w:lang w:val="en-US" w:eastAsia="es-MX"/>
        </w:rPr>
        <w:t>”</w:t>
      </w:r>
      <w:r w:rsidR="00CD09AF" w:rsidRPr="00EA6C7A">
        <w:rPr>
          <w:rFonts w:ascii="Verdana" w:eastAsia="Batang" w:hAnsi="Verdana" w:cs="Arial"/>
          <w:sz w:val="20"/>
          <w:szCs w:val="20"/>
          <w:vertAlign w:val="superscript"/>
          <w:lang w:val="en-US" w:eastAsia="es-MX"/>
        </w:rPr>
        <w:footnoteReference w:id="32"/>
      </w:r>
    </w:p>
    <w:p w14:paraId="07382B37" w14:textId="77777777" w:rsidR="00CD09AF" w:rsidRPr="00EA6C7A" w:rsidRDefault="00CD09AF" w:rsidP="00CD09AF">
      <w:pPr>
        <w:spacing w:after="0" w:line="240" w:lineRule="auto"/>
        <w:contextualSpacing/>
        <w:rPr>
          <w:rFonts w:ascii="Verdana" w:hAnsi="Verdana"/>
          <w:b/>
          <w:sz w:val="20"/>
          <w:szCs w:val="20"/>
          <w:lang w:val="en-US"/>
        </w:rPr>
      </w:pPr>
    </w:p>
    <w:p w14:paraId="10DE8D16" w14:textId="77777777" w:rsidR="00CD09AF" w:rsidRPr="00EA6C7A" w:rsidRDefault="00020704" w:rsidP="00E11A7C">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Furthermore, in this case, the evidence is consistent as regards the </w:t>
      </w:r>
      <w:r w:rsidR="007954C8" w:rsidRPr="00EA6C7A">
        <w:rPr>
          <w:rFonts w:ascii="Verdana" w:eastAsia="Batang" w:hAnsi="Verdana"/>
          <w:sz w:val="20"/>
          <w:szCs w:val="20"/>
          <w:lang w:val="en-US" w:eastAsia="es-MX"/>
        </w:rPr>
        <w:t>exacerbation</w:t>
      </w:r>
      <w:r w:rsidRPr="00EA6C7A">
        <w:rPr>
          <w:rFonts w:ascii="Verdana" w:eastAsia="Batang" w:hAnsi="Verdana"/>
          <w:sz w:val="20"/>
          <w:szCs w:val="20"/>
          <w:lang w:val="en-US" w:eastAsia="es-MX"/>
        </w:rPr>
        <w:t xml:space="preserve"> of the degree of violence against the women and the brutality used against the bodies of many of the </w:t>
      </w:r>
      <w:r w:rsidR="00530F3D" w:rsidRPr="00EA6C7A">
        <w:rPr>
          <w:rFonts w:ascii="Verdana" w:eastAsia="Batang" w:hAnsi="Verdana"/>
          <w:sz w:val="20"/>
          <w:szCs w:val="20"/>
          <w:lang w:val="en-US" w:eastAsia="es-MX"/>
        </w:rPr>
        <w:t>v</w:t>
      </w:r>
      <w:r w:rsidRPr="00EA6C7A">
        <w:rPr>
          <w:rFonts w:ascii="Verdana" w:eastAsia="Batang" w:hAnsi="Verdana"/>
          <w:sz w:val="20"/>
          <w:szCs w:val="20"/>
          <w:lang w:val="en-US" w:eastAsia="es-MX"/>
        </w:rPr>
        <w:t>ictims. It also reveals that the murders of women in Guatemala occurred in a context of different forms of violence against them, such as violence within the family, and domestic violence, rape and violation, harassment, exploitation and others forms of sexual violence.</w:t>
      </w:r>
      <w:r w:rsidR="00CD09AF" w:rsidRPr="00EA6C7A">
        <w:rPr>
          <w:rFonts w:ascii="Verdana" w:eastAsia="Batang" w:hAnsi="Verdana"/>
          <w:sz w:val="20"/>
          <w:szCs w:val="20"/>
          <w:vertAlign w:val="superscript"/>
          <w:lang w:val="en-US" w:eastAsia="es-MX"/>
        </w:rPr>
        <w:footnoteReference w:id="33"/>
      </w:r>
      <w:r w:rsidR="00CD09AF" w:rsidRPr="00EA6C7A">
        <w:rPr>
          <w:rFonts w:ascii="Verdana" w:eastAsia="Batang" w:hAnsi="Verdana"/>
          <w:sz w:val="20"/>
          <w:szCs w:val="20"/>
          <w:lang w:val="en-US" w:eastAsia="es-MX"/>
        </w:rPr>
        <w:t xml:space="preserve"> </w:t>
      </w:r>
    </w:p>
    <w:p w14:paraId="44D74FFF" w14:textId="77777777" w:rsidR="00CD09AF" w:rsidRPr="00EA6C7A" w:rsidRDefault="00CD09AF" w:rsidP="00CD09AF">
      <w:pPr>
        <w:spacing w:after="0" w:line="240" w:lineRule="auto"/>
        <w:ind w:left="720"/>
        <w:contextualSpacing/>
        <w:rPr>
          <w:rFonts w:ascii="Verdana" w:hAnsi="Verdana"/>
          <w:lang w:val="en-US"/>
        </w:rPr>
      </w:pPr>
    </w:p>
    <w:p w14:paraId="1324BCA9" w14:textId="77777777" w:rsidR="00CD09AF" w:rsidRPr="00EA6C7A" w:rsidRDefault="00530F3D" w:rsidP="00530F3D">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In addition, in the above-mentioned judgment in </w:t>
      </w:r>
      <w:r w:rsidR="007E6E93" w:rsidRPr="00EA6C7A">
        <w:rPr>
          <w:rFonts w:ascii="Verdana" w:eastAsia="Batang" w:hAnsi="Verdana"/>
          <w:sz w:val="20"/>
          <w:szCs w:val="20"/>
          <w:lang w:val="en-US" w:eastAsia="es-MX"/>
        </w:rPr>
        <w:t>the case of</w:t>
      </w:r>
      <w:r w:rsidR="001914FC" w:rsidRPr="00EA6C7A">
        <w:rPr>
          <w:rFonts w:ascii="Verdana" w:eastAsia="Batang" w:hAnsi="Verdana"/>
          <w:i/>
          <w:sz w:val="20"/>
          <w:szCs w:val="20"/>
          <w:lang w:val="en-US" w:eastAsia="es-MX"/>
        </w:rPr>
        <w:t xml:space="preserve"> </w:t>
      </w:r>
      <w:r w:rsidR="007F2B95" w:rsidRPr="00EA6C7A">
        <w:rPr>
          <w:rFonts w:ascii="Verdana" w:eastAsia="Batang" w:hAnsi="Verdana"/>
          <w:i/>
          <w:sz w:val="20"/>
          <w:szCs w:val="20"/>
          <w:lang w:val="en-US" w:eastAsia="es-MX"/>
        </w:rPr>
        <w:t>Ve</w:t>
      </w:r>
      <w:r w:rsidR="00CD09AF" w:rsidRPr="00EA6C7A">
        <w:rPr>
          <w:rFonts w:ascii="Verdana" w:eastAsia="Batang" w:hAnsi="Verdana"/>
          <w:i/>
          <w:sz w:val="20"/>
          <w:szCs w:val="20"/>
          <w:lang w:val="en-US" w:eastAsia="es-MX"/>
        </w:rPr>
        <w:t xml:space="preserve">liz Franco </w:t>
      </w:r>
      <w:r w:rsidR="006A51FD" w:rsidRPr="00EA6C7A">
        <w:rPr>
          <w:rFonts w:ascii="Verdana" w:eastAsia="Batang" w:hAnsi="Verdana"/>
          <w:i/>
          <w:sz w:val="20"/>
          <w:szCs w:val="20"/>
          <w:lang w:val="en-US" w:eastAsia="es-MX"/>
        </w:rPr>
        <w:t>et al.</w:t>
      </w:r>
      <w:r w:rsidR="00CD09AF" w:rsidRPr="00EA6C7A">
        <w:rPr>
          <w:rFonts w:ascii="Verdana" w:eastAsia="Batang" w:hAnsi="Verdana"/>
          <w:i/>
          <w:sz w:val="20"/>
          <w:szCs w:val="20"/>
          <w:lang w:val="en-US" w:eastAsia="es-MX"/>
        </w:rPr>
        <w:t xml:space="preserve">, </w:t>
      </w:r>
      <w:r w:rsidRPr="00EA6C7A">
        <w:rPr>
          <w:rFonts w:ascii="Verdana" w:eastAsia="Batang" w:hAnsi="Verdana"/>
          <w:sz w:val="20"/>
          <w:szCs w:val="20"/>
          <w:lang w:val="en-US" w:eastAsia="es-MX"/>
        </w:rPr>
        <w:t>this Court considered that, in December 2001, as well as in the following years, there was a high rate of general impunity in the State; in other words, relating to different types of crimes and victims. In this context, most violent acts that led to the death of women remained unpunished, and that situation, both the general one and the specific one as regards violent acts against women, has not changed substantially up until t</w:t>
      </w:r>
      <w:r w:rsidR="00893BAF" w:rsidRPr="00EA6C7A">
        <w:rPr>
          <w:rFonts w:ascii="Verdana" w:eastAsia="Batang" w:hAnsi="Verdana"/>
          <w:sz w:val="20"/>
          <w:szCs w:val="20"/>
          <w:lang w:val="en-US" w:eastAsia="es-MX"/>
        </w:rPr>
        <w:t>he present</w:t>
      </w:r>
      <w:r w:rsidRPr="00EA6C7A">
        <w:rPr>
          <w:rFonts w:ascii="Verdana" w:eastAsia="Batang" w:hAnsi="Verdana"/>
          <w:sz w:val="20"/>
          <w:szCs w:val="20"/>
          <w:lang w:val="en-US" w:eastAsia="es-MX"/>
        </w:rPr>
        <w:t>.</w:t>
      </w:r>
      <w:r w:rsidR="00CD09AF" w:rsidRPr="00EA6C7A">
        <w:rPr>
          <w:rFonts w:ascii="Verdana" w:eastAsia="Calibri" w:hAnsi="Verdana"/>
          <w:sz w:val="20"/>
          <w:szCs w:val="20"/>
          <w:vertAlign w:val="superscript"/>
          <w:lang w:val="en-US" w:eastAsia="es-MX"/>
        </w:rPr>
        <w:footnoteReference w:id="34"/>
      </w:r>
      <w:r w:rsidR="00CD09AF" w:rsidRPr="00EA6C7A">
        <w:rPr>
          <w:rFonts w:ascii="Verdana" w:eastAsia="Calibri" w:hAnsi="Verdana"/>
          <w:sz w:val="20"/>
          <w:szCs w:val="20"/>
          <w:lang w:val="en-US" w:eastAsia="es-MX"/>
        </w:rPr>
        <w:t xml:space="preserve"> </w:t>
      </w:r>
      <w:r w:rsidRPr="00EA6C7A">
        <w:rPr>
          <w:rFonts w:ascii="Verdana" w:eastAsia="Batang" w:hAnsi="Verdana"/>
          <w:sz w:val="20"/>
          <w:szCs w:val="20"/>
          <w:lang w:val="en-US" w:eastAsia="es-MX"/>
        </w:rPr>
        <w:t>The Court also noted that a high proportion of</w:t>
      </w:r>
      <w:r w:rsidR="00893BAF" w:rsidRPr="00EA6C7A">
        <w:rPr>
          <w:rFonts w:ascii="Verdana" w:eastAsia="Batang" w:hAnsi="Verdana"/>
          <w:sz w:val="20"/>
          <w:szCs w:val="20"/>
          <w:lang w:val="en-US" w:eastAsia="es-MX"/>
        </w:rPr>
        <w:t xml:space="preserve"> such</w:t>
      </w:r>
      <w:r w:rsidRPr="00EA6C7A">
        <w:rPr>
          <w:rFonts w:ascii="Verdana" w:eastAsia="Batang" w:hAnsi="Verdana"/>
          <w:sz w:val="20"/>
          <w:szCs w:val="20"/>
          <w:lang w:val="en-US" w:eastAsia="es-MX"/>
        </w:rPr>
        <w:t xml:space="preserve"> crimes are not reported</w:t>
      </w:r>
      <w:r w:rsidR="00CD09AF" w:rsidRPr="00EA6C7A">
        <w:rPr>
          <w:rFonts w:ascii="Verdana" w:eastAsia="Batang" w:hAnsi="Verdana"/>
          <w:sz w:val="20"/>
          <w:szCs w:val="20"/>
          <w:vertAlign w:val="superscript"/>
          <w:lang w:val="en-US" w:eastAsia="es-MX"/>
        </w:rPr>
        <w:footnoteReference w:id="35"/>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and that the absence of the effective punishment of crime in general may be linked to </w:t>
      </w:r>
      <w:r w:rsidR="00893BAF" w:rsidRPr="00EA6C7A">
        <w:rPr>
          <w:rFonts w:ascii="Verdana" w:eastAsia="Batang" w:hAnsi="Verdana"/>
          <w:sz w:val="20"/>
          <w:szCs w:val="20"/>
          <w:lang w:val="en-US" w:eastAsia="es-MX"/>
        </w:rPr>
        <w:t xml:space="preserve">the flaws </w:t>
      </w:r>
      <w:r w:rsidRPr="00EA6C7A">
        <w:rPr>
          <w:rFonts w:ascii="Verdana" w:eastAsia="Batang" w:hAnsi="Verdana"/>
          <w:sz w:val="20"/>
          <w:szCs w:val="20"/>
          <w:lang w:val="en-US" w:eastAsia="es-MX"/>
        </w:rPr>
        <w:t>in the investigations.</w:t>
      </w:r>
      <w:r w:rsidR="00CD09AF" w:rsidRPr="00EA6C7A">
        <w:rPr>
          <w:rFonts w:ascii="Verdana" w:eastAsia="Batang" w:hAnsi="Verdana"/>
          <w:sz w:val="20"/>
          <w:szCs w:val="20"/>
          <w:vertAlign w:val="superscript"/>
          <w:lang w:val="en-US" w:eastAsia="es-MX"/>
        </w:rPr>
        <w:footnoteReference w:id="36"/>
      </w:r>
      <w:r w:rsidRPr="00EA6C7A">
        <w:rPr>
          <w:rFonts w:ascii="Verdana" w:eastAsia="Batang" w:hAnsi="Verdana"/>
          <w:sz w:val="20"/>
          <w:szCs w:val="20"/>
          <w:lang w:val="en-US" w:eastAsia="es-MX"/>
        </w:rPr>
        <w:t xml:space="preserve"> Added to this, </w:t>
      </w:r>
      <w:r w:rsidR="00893BAF" w:rsidRPr="00EA6C7A">
        <w:rPr>
          <w:rFonts w:ascii="Verdana" w:eastAsia="Batang" w:hAnsi="Verdana"/>
          <w:sz w:val="20"/>
          <w:szCs w:val="20"/>
          <w:lang w:val="en-US" w:eastAsia="es-MX"/>
        </w:rPr>
        <w:t>the Court</w:t>
      </w:r>
      <w:r w:rsidRPr="00EA6C7A">
        <w:rPr>
          <w:rFonts w:ascii="Verdana" w:eastAsia="Batang" w:hAnsi="Verdana"/>
          <w:sz w:val="20"/>
          <w:szCs w:val="20"/>
          <w:lang w:val="en-US" w:eastAsia="es-MX"/>
        </w:rPr>
        <w:t xml:space="preserve"> referred to reports and the testimony of women survivors and their families that </w:t>
      </w:r>
      <w:r w:rsidR="00893BAF" w:rsidRPr="00EA6C7A">
        <w:rPr>
          <w:rFonts w:ascii="Verdana" w:eastAsia="Batang" w:hAnsi="Verdana"/>
          <w:sz w:val="20"/>
          <w:szCs w:val="20"/>
          <w:lang w:val="en-US" w:eastAsia="es-MX"/>
        </w:rPr>
        <w:t>mention</w:t>
      </w:r>
      <w:r w:rsidRPr="00EA6C7A">
        <w:rPr>
          <w:rFonts w:ascii="Verdana" w:eastAsia="Batang" w:hAnsi="Verdana"/>
          <w:sz w:val="20"/>
          <w:szCs w:val="20"/>
          <w:lang w:val="en-US" w:eastAsia="es-MX"/>
        </w:rPr>
        <w:t xml:space="preserve"> the “tendency of investigators to discredit the victims and to blame them for their lifestyle or </w:t>
      </w:r>
      <w:r w:rsidR="00893BAF" w:rsidRPr="00EA6C7A">
        <w:rPr>
          <w:rFonts w:ascii="Verdana" w:eastAsia="Batang" w:hAnsi="Verdana"/>
          <w:sz w:val="20"/>
          <w:szCs w:val="20"/>
          <w:lang w:val="en-US" w:eastAsia="es-MX"/>
        </w:rPr>
        <w:t xml:space="preserve">their </w:t>
      </w:r>
      <w:r w:rsidRPr="00EA6C7A">
        <w:rPr>
          <w:rFonts w:ascii="Verdana" w:eastAsia="Batang" w:hAnsi="Verdana"/>
          <w:sz w:val="20"/>
          <w:szCs w:val="20"/>
          <w:lang w:val="en-US" w:eastAsia="es-MX"/>
        </w:rPr>
        <w:t>clothes”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and to question the victims on aspects </w:t>
      </w:r>
      <w:r w:rsidR="00893BAF" w:rsidRPr="00EA6C7A">
        <w:rPr>
          <w:rFonts w:ascii="Verdana" w:eastAsia="Batang" w:hAnsi="Verdana"/>
          <w:sz w:val="20"/>
          <w:szCs w:val="20"/>
          <w:lang w:val="en-US" w:eastAsia="es-MX"/>
        </w:rPr>
        <w:t>of</w:t>
      </w:r>
      <w:r w:rsidRPr="00EA6C7A">
        <w:rPr>
          <w:rFonts w:ascii="Verdana" w:eastAsia="Batang" w:hAnsi="Verdana"/>
          <w:sz w:val="20"/>
          <w:szCs w:val="20"/>
          <w:lang w:val="en-US" w:eastAsia="es-MX"/>
        </w:rPr>
        <w:t xml:space="preserve"> their personal and sexual relationships.</w:t>
      </w:r>
      <w:r w:rsidR="00CD09AF" w:rsidRPr="00EA6C7A">
        <w:rPr>
          <w:rFonts w:ascii="Verdana" w:eastAsia="Batang" w:hAnsi="Verdana"/>
          <w:sz w:val="20"/>
          <w:szCs w:val="20"/>
          <w:vertAlign w:val="superscript"/>
          <w:lang w:val="en-US" w:eastAsia="es-MX"/>
        </w:rPr>
        <w:footnoteReference w:id="37"/>
      </w:r>
      <w:r w:rsidRPr="00EA6C7A">
        <w:rPr>
          <w:rFonts w:ascii="Verdana" w:eastAsia="Batang" w:hAnsi="Verdana"/>
          <w:sz w:val="20"/>
          <w:szCs w:val="20"/>
          <w:lang w:val="en-US" w:eastAsia="es-MX"/>
        </w:rPr>
        <w:t xml:space="preserve"> Information provided in this case indicates that, in investigations of crimes against women, the authorities and investigators still often tend to </w:t>
      </w:r>
      <w:r w:rsidR="0039425B" w:rsidRPr="00EA6C7A">
        <w:rPr>
          <w:rFonts w:ascii="Verdana" w:eastAsia="Batang" w:hAnsi="Verdana"/>
          <w:sz w:val="20"/>
          <w:szCs w:val="20"/>
          <w:lang w:val="en-US" w:eastAsia="es-MX"/>
        </w:rPr>
        <w:t>have</w:t>
      </w:r>
      <w:r w:rsidRPr="00EA6C7A">
        <w:rPr>
          <w:rFonts w:ascii="Verdana" w:eastAsia="Batang" w:hAnsi="Verdana"/>
          <w:sz w:val="20"/>
          <w:szCs w:val="20"/>
          <w:lang w:val="en-US" w:eastAsia="es-MX"/>
        </w:rPr>
        <w:t xml:space="preserve"> this type of attitude.</w:t>
      </w:r>
      <w:r w:rsidR="00CD09AF" w:rsidRPr="00EA6C7A">
        <w:rPr>
          <w:rFonts w:ascii="Verdana" w:eastAsia="Batang" w:hAnsi="Verdana"/>
          <w:sz w:val="20"/>
          <w:szCs w:val="20"/>
          <w:vertAlign w:val="superscript"/>
          <w:lang w:val="en-US" w:eastAsia="es-MX"/>
        </w:rPr>
        <w:footnoteReference w:id="38"/>
      </w:r>
      <w:bookmarkEnd w:id="52"/>
    </w:p>
    <w:p w14:paraId="03665CC4" w14:textId="77777777" w:rsidR="00CD09AF" w:rsidRPr="00EA6C7A" w:rsidRDefault="00CD09AF" w:rsidP="00CD09AF">
      <w:pPr>
        <w:spacing w:after="0" w:line="240" w:lineRule="auto"/>
        <w:contextualSpacing/>
        <w:jc w:val="both"/>
        <w:rPr>
          <w:rFonts w:ascii="Verdana" w:hAnsi="Verdana"/>
          <w:sz w:val="20"/>
          <w:szCs w:val="20"/>
          <w:lang w:val="en-US"/>
        </w:rPr>
      </w:pPr>
    </w:p>
    <w:p w14:paraId="0901759E" w14:textId="77777777" w:rsidR="00CD09AF" w:rsidRPr="00EA6C7A" w:rsidRDefault="0096418F" w:rsidP="00553B49">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CD09AF" w:rsidRPr="00EA6C7A">
        <w:rPr>
          <w:rFonts w:ascii="Verdana" w:eastAsia="Batang" w:hAnsi="Verdana"/>
          <w:sz w:val="20"/>
          <w:szCs w:val="20"/>
          <w:lang w:val="en-US" w:eastAsia="es-MX"/>
        </w:rPr>
        <w:t xml:space="preserve"> </w:t>
      </w:r>
      <w:r w:rsidR="00553B49" w:rsidRPr="00EA6C7A">
        <w:rPr>
          <w:rFonts w:ascii="Verdana" w:eastAsia="Batang" w:hAnsi="Verdana"/>
          <w:sz w:val="20"/>
          <w:szCs w:val="20"/>
          <w:lang w:val="en-US" w:eastAsia="es-MX"/>
        </w:rPr>
        <w:t xml:space="preserve">will not analyze the alleged facts in this case in isolation, but rather in the context described, in order to make it possible to understand the evidence and reach a precise determination of the facts. </w:t>
      </w:r>
      <w:r w:rsidR="00286035" w:rsidRPr="00EA6C7A">
        <w:rPr>
          <w:rFonts w:ascii="Verdana" w:eastAsia="Batang" w:hAnsi="Verdana"/>
          <w:sz w:val="20"/>
          <w:szCs w:val="20"/>
          <w:lang w:val="en-US" w:eastAsia="es-MX"/>
        </w:rPr>
        <w:t>It</w:t>
      </w:r>
      <w:r w:rsidR="00553B49" w:rsidRPr="00EA6C7A">
        <w:rPr>
          <w:rFonts w:ascii="Verdana" w:eastAsia="Batang" w:hAnsi="Verdana"/>
          <w:sz w:val="20"/>
          <w:szCs w:val="20"/>
          <w:lang w:val="en-US" w:eastAsia="es-MX"/>
        </w:rPr>
        <w:t xml:space="preserve"> will </w:t>
      </w:r>
      <w:r w:rsidR="00286035" w:rsidRPr="00EA6C7A">
        <w:rPr>
          <w:rFonts w:ascii="Verdana" w:eastAsia="Batang" w:hAnsi="Verdana"/>
          <w:sz w:val="20"/>
          <w:szCs w:val="20"/>
          <w:lang w:val="en-US" w:eastAsia="es-MX"/>
        </w:rPr>
        <w:t xml:space="preserve">also </w:t>
      </w:r>
      <w:r w:rsidR="00553B49" w:rsidRPr="00EA6C7A">
        <w:rPr>
          <w:rFonts w:ascii="Verdana" w:eastAsia="Batang" w:hAnsi="Verdana"/>
          <w:sz w:val="20"/>
          <w:szCs w:val="20"/>
          <w:lang w:val="en-US" w:eastAsia="es-MX"/>
        </w:rPr>
        <w:t xml:space="preserve">use this context to assess whether specific standards </w:t>
      </w:r>
      <w:r w:rsidR="00286035" w:rsidRPr="00EA6C7A">
        <w:rPr>
          <w:rFonts w:ascii="Verdana" w:eastAsia="Batang" w:hAnsi="Verdana"/>
          <w:sz w:val="20"/>
          <w:szCs w:val="20"/>
          <w:lang w:val="en-US" w:eastAsia="es-MX"/>
        </w:rPr>
        <w:t>for</w:t>
      </w:r>
      <w:r w:rsidR="00553B49" w:rsidRPr="00EA6C7A">
        <w:rPr>
          <w:rFonts w:ascii="Verdana" w:eastAsia="Batang" w:hAnsi="Verdana"/>
          <w:sz w:val="20"/>
          <w:szCs w:val="20"/>
          <w:lang w:val="en-US" w:eastAsia="es-MX"/>
        </w:rPr>
        <w:t xml:space="preserve"> the obligations to prevent and to investigate human rights violations should be applied in this case. Lastly, th</w:t>
      </w:r>
      <w:r w:rsidR="00286035" w:rsidRPr="00EA6C7A">
        <w:rPr>
          <w:rFonts w:ascii="Verdana" w:eastAsia="Batang" w:hAnsi="Verdana"/>
          <w:sz w:val="20"/>
          <w:szCs w:val="20"/>
          <w:lang w:val="en-US" w:eastAsia="es-MX"/>
        </w:rPr>
        <w:t>e</w:t>
      </w:r>
      <w:r w:rsidR="00553B49" w:rsidRPr="00EA6C7A">
        <w:rPr>
          <w:rFonts w:ascii="Verdana" w:eastAsia="Batang" w:hAnsi="Verdana"/>
          <w:sz w:val="20"/>
          <w:szCs w:val="20"/>
          <w:lang w:val="en-US" w:eastAsia="es-MX"/>
        </w:rPr>
        <w:t xml:space="preserve"> context will be taken into account, if appropriate, when establishing measures of reparation, specifically with regard to the obligation to investigate and the guarantees of non-repetition</w:t>
      </w:r>
      <w:r w:rsidR="00CD09AF" w:rsidRPr="00EA6C7A">
        <w:rPr>
          <w:rFonts w:ascii="Verdana" w:eastAsia="Batang" w:hAnsi="Verdana" w:cs="Calibri"/>
          <w:bCs/>
          <w:sz w:val="20"/>
          <w:szCs w:val="20"/>
          <w:lang w:val="en-US" w:eastAsia="es-MX"/>
        </w:rPr>
        <w:t xml:space="preserve"> </w:t>
      </w:r>
      <w:r w:rsidR="00CD09AF" w:rsidRPr="00EA6C7A">
        <w:rPr>
          <w:rFonts w:ascii="Verdana" w:eastAsia="Calibri" w:hAnsi="Verdana"/>
          <w:sz w:val="20"/>
          <w:szCs w:val="20"/>
          <w:lang w:val="en-US" w:eastAsia="es-MX"/>
        </w:rPr>
        <w:t>(</w:t>
      </w:r>
      <w:r w:rsidR="00CD09AF" w:rsidRPr="00EA6C7A">
        <w:rPr>
          <w:rFonts w:ascii="Verdana" w:eastAsia="Calibri" w:hAnsi="Verdana"/>
          <w:i/>
          <w:sz w:val="20"/>
          <w:szCs w:val="20"/>
          <w:lang w:val="en-US" w:eastAsia="es-MX"/>
        </w:rPr>
        <w:t>infra</w:t>
      </w:r>
      <w:r w:rsidR="00E92ADD" w:rsidRPr="00EA6C7A">
        <w:rPr>
          <w:rFonts w:ascii="Verdana" w:eastAsia="Calibri" w:hAnsi="Verdana"/>
          <w:sz w:val="20"/>
          <w:szCs w:val="20"/>
          <w:lang w:val="en-US" w:eastAsia="es-MX"/>
        </w:rPr>
        <w:t xml:space="preserve"> </w:t>
      </w:r>
      <w:r w:rsidR="00553B49" w:rsidRPr="00EA6C7A">
        <w:rPr>
          <w:rFonts w:ascii="Verdana" w:eastAsia="Calibri" w:hAnsi="Verdana"/>
          <w:sz w:val="20"/>
          <w:szCs w:val="20"/>
          <w:lang w:val="en-US" w:eastAsia="es-MX"/>
        </w:rPr>
        <w:t>Chapters</w:t>
      </w:r>
      <w:r w:rsidR="00CD09AF" w:rsidRPr="00EA6C7A">
        <w:rPr>
          <w:rFonts w:ascii="Verdana" w:eastAsia="Calibri" w:hAnsi="Verdana"/>
          <w:sz w:val="20"/>
          <w:szCs w:val="20"/>
          <w:lang w:val="en-US" w:eastAsia="es-MX"/>
        </w:rPr>
        <w:t xml:space="preserve"> VII.I, VII.II </w:t>
      </w:r>
      <w:r w:rsidR="00553B49" w:rsidRPr="00EA6C7A">
        <w:rPr>
          <w:rFonts w:ascii="Verdana" w:eastAsia="Calibri" w:hAnsi="Verdana"/>
          <w:sz w:val="20"/>
          <w:szCs w:val="20"/>
          <w:lang w:val="en-US" w:eastAsia="es-MX"/>
        </w:rPr>
        <w:t>and</w:t>
      </w:r>
      <w:r w:rsidR="00CD09AF" w:rsidRPr="00EA6C7A">
        <w:rPr>
          <w:rFonts w:ascii="Verdana" w:eastAsia="Calibri" w:hAnsi="Verdana"/>
          <w:sz w:val="20"/>
          <w:szCs w:val="20"/>
          <w:lang w:val="en-US" w:eastAsia="es-MX"/>
        </w:rPr>
        <w:t xml:space="preserve"> VIII).</w:t>
      </w:r>
    </w:p>
    <w:p w14:paraId="1809DA89" w14:textId="77777777" w:rsidR="00CD09AF" w:rsidRPr="00EA6C7A" w:rsidRDefault="00CD09AF" w:rsidP="00CD09AF">
      <w:pPr>
        <w:spacing w:after="0" w:line="240" w:lineRule="auto"/>
        <w:contextualSpacing/>
        <w:jc w:val="both"/>
        <w:rPr>
          <w:rFonts w:ascii="Verdana" w:eastAsia="Calibri" w:hAnsi="Verdana"/>
          <w:sz w:val="20"/>
          <w:szCs w:val="20"/>
          <w:lang w:val="en-US"/>
        </w:rPr>
      </w:pPr>
    </w:p>
    <w:p w14:paraId="4D116CB8" w14:textId="77777777" w:rsidR="00CD09AF" w:rsidRPr="00EA6C7A" w:rsidRDefault="00553B49" w:rsidP="00E11A7C">
      <w:pPr>
        <w:keepNext/>
        <w:keepLines/>
        <w:numPr>
          <w:ilvl w:val="0"/>
          <w:numId w:val="8"/>
        </w:numPr>
        <w:spacing w:after="0"/>
        <w:outlineLvl w:val="1"/>
        <w:rPr>
          <w:rFonts w:ascii="Verdana" w:eastAsia="Calibri" w:hAnsi="Verdana"/>
          <w:b/>
          <w:bCs/>
          <w:sz w:val="20"/>
          <w:szCs w:val="26"/>
          <w:lang w:val="en-US"/>
        </w:rPr>
      </w:pPr>
      <w:bookmarkStart w:id="53" w:name="_Toc431801386"/>
      <w:bookmarkStart w:id="54" w:name="_Toc26002305"/>
      <w:r w:rsidRPr="00EA6C7A">
        <w:rPr>
          <w:rFonts w:ascii="Verdana" w:eastAsia="Calibri" w:hAnsi="Verdana"/>
          <w:b/>
          <w:bCs/>
          <w:sz w:val="20"/>
          <w:szCs w:val="26"/>
          <w:lang w:val="en-US"/>
        </w:rPr>
        <w:t>Facts of the case concerning</w:t>
      </w:r>
      <w:r w:rsidR="00CD09AF" w:rsidRPr="00EA6C7A">
        <w:rPr>
          <w:rFonts w:ascii="Verdana" w:eastAsia="Calibri" w:hAnsi="Verdana"/>
          <w:b/>
          <w:bCs/>
          <w:sz w:val="20"/>
          <w:szCs w:val="26"/>
          <w:lang w:val="en-US"/>
        </w:rPr>
        <w:t xml:space="preserve"> Claudina Isabel Velásquez Paiz</w:t>
      </w:r>
      <w:bookmarkEnd w:id="53"/>
      <w:bookmarkEnd w:id="54"/>
    </w:p>
    <w:p w14:paraId="3084BC77" w14:textId="77777777" w:rsidR="00CD09AF" w:rsidRPr="00EA6C7A" w:rsidRDefault="00CD09AF" w:rsidP="00CD09AF">
      <w:pPr>
        <w:spacing w:after="0" w:line="240" w:lineRule="auto"/>
        <w:jc w:val="both"/>
        <w:rPr>
          <w:rFonts w:ascii="Verdana" w:hAnsi="Verdana"/>
          <w:sz w:val="20"/>
          <w:szCs w:val="20"/>
          <w:lang w:val="en-US"/>
        </w:rPr>
      </w:pPr>
    </w:p>
    <w:p w14:paraId="6F3EF11A" w14:textId="77777777" w:rsidR="00CD09AF" w:rsidRPr="00EA6C7A" w:rsidRDefault="00CD09AF" w:rsidP="00E11A7C">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Claudina Velásquez </w:t>
      </w:r>
      <w:r w:rsidR="00553B49" w:rsidRPr="00EA6C7A">
        <w:rPr>
          <w:rFonts w:ascii="Verdana" w:eastAsia="Batang" w:hAnsi="Verdana"/>
          <w:sz w:val="20"/>
          <w:szCs w:val="20"/>
          <w:lang w:val="en-US" w:eastAsia="es-MX"/>
        </w:rPr>
        <w:t xml:space="preserve">was born on November 21, </w:t>
      </w:r>
      <w:r w:rsidRPr="00EA6C7A">
        <w:rPr>
          <w:rFonts w:ascii="Verdana" w:eastAsia="Batang" w:hAnsi="Verdana"/>
          <w:sz w:val="20"/>
          <w:szCs w:val="20"/>
          <w:lang w:val="en-US" w:eastAsia="es-MX"/>
        </w:rPr>
        <w:t>1985</w:t>
      </w:r>
      <w:r w:rsidR="00553B49" w:rsidRPr="00EA6C7A">
        <w:rPr>
          <w:rFonts w:ascii="Verdana" w:eastAsia="Batang" w:hAnsi="Verdana"/>
          <w:sz w:val="20"/>
          <w:szCs w:val="20"/>
          <w:lang w:val="en-US" w:eastAsia="es-MX"/>
        </w:rPr>
        <w:t xml:space="preserve">, in Guatemala City, the daughter of </w:t>
      </w:r>
      <w:r w:rsidRPr="00EA6C7A">
        <w:rPr>
          <w:rFonts w:ascii="Verdana" w:eastAsia="Batang" w:hAnsi="Verdana"/>
          <w:sz w:val="20"/>
          <w:szCs w:val="20"/>
          <w:lang w:val="en-US" w:eastAsia="es-MX"/>
        </w:rPr>
        <w:t xml:space="preserve">Elsa Claudina Paiz Vidal </w:t>
      </w:r>
      <w:r w:rsidR="00553B49" w:rsidRPr="00EA6C7A">
        <w:rPr>
          <w:rFonts w:ascii="Verdana" w:eastAsia="Batang" w:hAnsi="Verdana"/>
          <w:sz w:val="20"/>
          <w:szCs w:val="20"/>
          <w:lang w:val="en-US" w:eastAsia="es-MX"/>
        </w:rPr>
        <w:t>and</w:t>
      </w:r>
      <w:r w:rsidRPr="00EA6C7A">
        <w:rPr>
          <w:rFonts w:ascii="Verdana" w:eastAsia="Batang" w:hAnsi="Verdana"/>
          <w:sz w:val="20"/>
          <w:szCs w:val="20"/>
          <w:lang w:val="en-US" w:eastAsia="es-MX"/>
        </w:rPr>
        <w:t xml:space="preserve"> </w:t>
      </w:r>
      <w:r w:rsidRPr="00EA6C7A">
        <w:rPr>
          <w:rFonts w:ascii="Verdana" w:eastAsia="Verdana" w:hAnsi="Verdana" w:cs="Verdana"/>
          <w:sz w:val="20"/>
          <w:szCs w:val="20"/>
          <w:lang w:val="en-US" w:eastAsia="es-MX"/>
        </w:rPr>
        <w:t>Jorge</w:t>
      </w:r>
      <w:r w:rsidRPr="00EA6C7A">
        <w:rPr>
          <w:rFonts w:ascii="Verdana" w:eastAsia="Batang" w:hAnsi="Verdana"/>
          <w:sz w:val="20"/>
          <w:szCs w:val="20"/>
          <w:lang w:val="en-US" w:eastAsia="es-MX"/>
        </w:rPr>
        <w:t xml:space="preserve"> Rolando Velásquez Durán, </w:t>
      </w:r>
      <w:r w:rsidR="00553B49" w:rsidRPr="00EA6C7A">
        <w:rPr>
          <w:rFonts w:ascii="Verdana" w:eastAsia="Batang" w:hAnsi="Verdana"/>
          <w:sz w:val="20"/>
          <w:szCs w:val="20"/>
          <w:lang w:val="en-US" w:eastAsia="es-MX"/>
        </w:rPr>
        <w:t xml:space="preserve">and younger sister of </w:t>
      </w:r>
      <w:r w:rsidRPr="00EA6C7A">
        <w:rPr>
          <w:rFonts w:ascii="Verdana" w:eastAsia="Batang" w:hAnsi="Verdana"/>
          <w:sz w:val="20"/>
          <w:szCs w:val="20"/>
          <w:lang w:val="en-US" w:eastAsia="es-MX"/>
        </w:rPr>
        <w:t>Pablo Andrés Velásquez Paiz</w:t>
      </w:r>
      <w:r w:rsidR="00553B49" w:rsidRPr="00EA6C7A">
        <w:rPr>
          <w:rFonts w:ascii="Verdana" w:eastAsia="Batang" w:hAnsi="Verdana"/>
          <w:sz w:val="20"/>
          <w:szCs w:val="20"/>
          <w:lang w:val="en-US" w:eastAsia="es-MX"/>
        </w:rPr>
        <w:t>.</w:t>
      </w:r>
      <w:r w:rsidRPr="00EA6C7A">
        <w:rPr>
          <w:rFonts w:ascii="Verdana" w:eastAsia="Batang" w:hAnsi="Verdana"/>
          <w:sz w:val="20"/>
          <w:szCs w:val="20"/>
          <w:vertAlign w:val="superscript"/>
          <w:lang w:val="en-US" w:eastAsia="es-MX"/>
        </w:rPr>
        <w:footnoteReference w:id="39"/>
      </w:r>
      <w:r w:rsidR="00553B49" w:rsidRPr="00EA6C7A">
        <w:rPr>
          <w:rFonts w:ascii="Verdana" w:eastAsia="Batang" w:hAnsi="Verdana"/>
          <w:sz w:val="20"/>
          <w:szCs w:val="20"/>
          <w:lang w:val="en-US" w:eastAsia="es-MX"/>
        </w:rPr>
        <w:t xml:space="preserve"> At the time of the facts of this case she was 19 years of age and was studying for a degre</w:t>
      </w:r>
      <w:r w:rsidR="00286035" w:rsidRPr="00EA6C7A">
        <w:rPr>
          <w:rFonts w:ascii="Verdana" w:eastAsia="Batang" w:hAnsi="Verdana"/>
          <w:sz w:val="20"/>
          <w:szCs w:val="20"/>
          <w:lang w:val="en-US" w:eastAsia="es-MX"/>
        </w:rPr>
        <w:t>e</w:t>
      </w:r>
      <w:r w:rsidR="00553B49" w:rsidRPr="00EA6C7A">
        <w:rPr>
          <w:rFonts w:ascii="Verdana" w:eastAsia="Batang" w:hAnsi="Verdana"/>
          <w:sz w:val="20"/>
          <w:szCs w:val="20"/>
          <w:lang w:val="en-US" w:eastAsia="es-MX"/>
        </w:rPr>
        <w:t xml:space="preserve"> in Social and Legal Sciences in the Faculty of Social and Legal Sciences of the  </w:t>
      </w:r>
      <w:r w:rsidRPr="00EA6C7A">
        <w:rPr>
          <w:rFonts w:ascii="Verdana" w:eastAsia="Batang" w:hAnsi="Verdana"/>
          <w:sz w:val="20"/>
          <w:szCs w:val="20"/>
          <w:lang w:val="en-US" w:eastAsia="es-MX"/>
        </w:rPr>
        <w:t>Universidad de San Carlos de Guatemala</w:t>
      </w:r>
      <w:r w:rsidR="00553B49" w:rsidRPr="00EA6C7A">
        <w:rPr>
          <w:rFonts w:ascii="Verdana" w:eastAsia="Batang" w:hAnsi="Verdana"/>
          <w:sz w:val="20"/>
          <w:szCs w:val="20"/>
          <w:lang w:val="en-US" w:eastAsia="es-MX"/>
        </w:rPr>
        <w:t>.</w:t>
      </w:r>
      <w:r w:rsidRPr="00EA6C7A">
        <w:rPr>
          <w:rFonts w:ascii="Verdana" w:eastAsia="Batang" w:hAnsi="Verdana"/>
          <w:sz w:val="20"/>
          <w:szCs w:val="20"/>
          <w:vertAlign w:val="superscript"/>
          <w:lang w:val="en-US" w:eastAsia="es-MX"/>
        </w:rPr>
        <w:footnoteReference w:id="40"/>
      </w:r>
    </w:p>
    <w:p w14:paraId="5CB46469" w14:textId="77777777" w:rsidR="00CD09AF" w:rsidRPr="00EA6C7A" w:rsidRDefault="00CD09AF" w:rsidP="00CD09AF">
      <w:pPr>
        <w:spacing w:after="0" w:line="240" w:lineRule="auto"/>
        <w:contextualSpacing/>
        <w:jc w:val="both"/>
        <w:rPr>
          <w:rFonts w:ascii="Verdana" w:hAnsi="Verdana"/>
          <w:sz w:val="20"/>
          <w:szCs w:val="20"/>
          <w:lang w:val="en-US"/>
        </w:rPr>
      </w:pPr>
    </w:p>
    <w:p w14:paraId="0F7CF4A0" w14:textId="77777777" w:rsidR="00CD09AF" w:rsidRPr="00EA6C7A" w:rsidRDefault="00553B49" w:rsidP="00553B49">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It is an uncontested fact that, at approximately </w:t>
      </w:r>
      <w:r w:rsidR="00CD09AF" w:rsidRPr="00EA6C7A">
        <w:rPr>
          <w:rFonts w:ascii="Verdana" w:eastAsia="Batang" w:hAnsi="Verdana"/>
          <w:sz w:val="20"/>
          <w:szCs w:val="20"/>
          <w:lang w:val="en-US" w:eastAsia="es-MX"/>
        </w:rPr>
        <w:t>8</w:t>
      </w:r>
      <w:r w:rsidR="00286035"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30 a.m. </w:t>
      </w:r>
      <w:r w:rsidRPr="00EA6C7A">
        <w:rPr>
          <w:rFonts w:ascii="Verdana" w:eastAsia="Batang" w:hAnsi="Verdana"/>
          <w:sz w:val="20"/>
          <w:szCs w:val="20"/>
          <w:lang w:val="en-US" w:eastAsia="es-MX"/>
        </w:rPr>
        <w:t>on August</w:t>
      </w:r>
      <w:r w:rsidR="00CD09AF" w:rsidRPr="00EA6C7A">
        <w:rPr>
          <w:rFonts w:ascii="Verdana" w:eastAsia="Batang" w:hAnsi="Verdana"/>
          <w:sz w:val="20"/>
          <w:szCs w:val="20"/>
          <w:lang w:val="en-US" w:eastAsia="es-MX"/>
        </w:rPr>
        <w:t xml:space="preserve"> 12</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2005, Claudina Velásquez </w:t>
      </w:r>
      <w:r w:rsidRPr="00EA6C7A">
        <w:rPr>
          <w:rFonts w:ascii="Verdana" w:eastAsia="Batang" w:hAnsi="Verdana"/>
          <w:sz w:val="20"/>
          <w:szCs w:val="20"/>
          <w:lang w:val="en-US" w:eastAsia="es-MX"/>
        </w:rPr>
        <w:t xml:space="preserve">left for the university with her brother. In the evening, she made and received several calls on her mobile phone, with both members of her family and other </w:t>
      </w:r>
      <w:r w:rsidR="00286035" w:rsidRPr="00EA6C7A">
        <w:rPr>
          <w:rFonts w:ascii="Verdana" w:eastAsia="Batang" w:hAnsi="Verdana"/>
          <w:sz w:val="20"/>
          <w:szCs w:val="20"/>
          <w:lang w:val="en-US" w:eastAsia="es-MX"/>
        </w:rPr>
        <w:t>person</w:t>
      </w:r>
      <w:r w:rsidRPr="00EA6C7A">
        <w:rPr>
          <w:rFonts w:ascii="Verdana" w:eastAsia="Batang" w:hAnsi="Verdana"/>
          <w:sz w:val="20"/>
          <w:szCs w:val="20"/>
          <w:lang w:val="en-US" w:eastAsia="es-MX"/>
        </w:rPr>
        <w:t>s. According to her family, after Claudina had informed them that she was at a party, they had a final telephone conversation with her</w:t>
      </w:r>
      <w:r w:rsidR="00286035" w:rsidRPr="00EA6C7A">
        <w:rPr>
          <w:rFonts w:ascii="Verdana" w:eastAsia="Batang" w:hAnsi="Verdana"/>
          <w:sz w:val="20"/>
          <w:szCs w:val="20"/>
          <w:lang w:val="en-US" w:eastAsia="es-MX"/>
        </w:rPr>
        <w:t xml:space="preserve"> at around 11.45 p.m.</w:t>
      </w:r>
      <w:r w:rsidRPr="00EA6C7A">
        <w:rPr>
          <w:rFonts w:ascii="Verdana" w:eastAsia="Batang" w:hAnsi="Verdana"/>
          <w:sz w:val="20"/>
          <w:szCs w:val="20"/>
          <w:lang w:val="en-US" w:eastAsia="es-MX"/>
        </w:rPr>
        <w:t xml:space="preserve"> and, subsequently, lost contact with their daughter, who failed to return home. The parents of </w:t>
      </w:r>
      <w:r w:rsidR="005344F8" w:rsidRPr="00EA6C7A">
        <w:rPr>
          <w:rFonts w:ascii="Verdana" w:eastAsia="Batang" w:hAnsi="Verdana"/>
          <w:sz w:val="20"/>
          <w:szCs w:val="20"/>
          <w:lang w:val="en-US" w:eastAsia="es-MX"/>
        </w:rPr>
        <w:t xml:space="preserve">Claudina Velásquez </w:t>
      </w:r>
      <w:r w:rsidRPr="00EA6C7A">
        <w:rPr>
          <w:rFonts w:ascii="Verdana" w:eastAsia="Batang" w:hAnsi="Verdana"/>
          <w:sz w:val="20"/>
          <w:szCs w:val="20"/>
          <w:lang w:val="en-US" w:eastAsia="es-MX"/>
        </w:rPr>
        <w:t>began to search for her when they were advised, at around 2 a.m., that she could be in danger by someone who said that they had been in telephone contact with Claudina and who went directly to the family home to alert them to this situation. At 2.12 a.m., the National Civil Police</w:t>
      </w:r>
      <w:r w:rsidR="0043541D"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hereinafter</w:t>
      </w:r>
      <w:r w:rsidR="0043541D" w:rsidRPr="00EA6C7A">
        <w:rPr>
          <w:rFonts w:ascii="Verdana" w:eastAsia="Batang" w:hAnsi="Verdana"/>
          <w:sz w:val="20"/>
          <w:szCs w:val="20"/>
          <w:lang w:val="en-US" w:eastAsia="es-MX"/>
        </w:rPr>
        <w:t xml:space="preserve"> “PNC”) rec</w:t>
      </w:r>
      <w:r w:rsidRPr="00EA6C7A">
        <w:rPr>
          <w:rFonts w:ascii="Verdana" w:eastAsia="Batang" w:hAnsi="Verdana"/>
          <w:sz w:val="20"/>
          <w:szCs w:val="20"/>
          <w:lang w:val="en-US" w:eastAsia="es-MX"/>
        </w:rPr>
        <w:t xml:space="preserve">eived a report by the 110 number of a possible </w:t>
      </w:r>
      <w:r w:rsidR="00286035" w:rsidRPr="00EA6C7A">
        <w:rPr>
          <w:rFonts w:ascii="Verdana" w:eastAsia="Batang" w:hAnsi="Verdana"/>
          <w:sz w:val="20"/>
          <w:szCs w:val="20"/>
          <w:lang w:val="en-US" w:eastAsia="es-MX"/>
        </w:rPr>
        <w:t>sexual assault</w:t>
      </w:r>
      <w:r w:rsidRPr="00EA6C7A">
        <w:rPr>
          <w:rFonts w:ascii="Verdana" w:eastAsia="Batang" w:hAnsi="Verdana"/>
          <w:sz w:val="20"/>
          <w:szCs w:val="20"/>
          <w:lang w:val="en-US" w:eastAsia="es-MX"/>
        </w:rPr>
        <w:t xml:space="preserve"> in </w:t>
      </w:r>
      <w:r w:rsidR="0043541D" w:rsidRPr="00EA6C7A">
        <w:rPr>
          <w:rFonts w:ascii="Verdana" w:eastAsia="Batang" w:hAnsi="Verdana"/>
          <w:sz w:val="20"/>
          <w:szCs w:val="20"/>
          <w:lang w:val="en-US" w:eastAsia="es-MX"/>
        </w:rPr>
        <w:t>Colonia Roosevelt.</w:t>
      </w:r>
    </w:p>
    <w:p w14:paraId="47C167DB" w14:textId="77777777" w:rsidR="00CD09AF" w:rsidRPr="00EA6C7A" w:rsidRDefault="00CD09AF" w:rsidP="00CD09AF">
      <w:pPr>
        <w:spacing w:after="0" w:line="240" w:lineRule="auto"/>
        <w:jc w:val="both"/>
        <w:rPr>
          <w:rFonts w:ascii="Verdana" w:hAnsi="Verdana"/>
          <w:lang w:val="en-US"/>
        </w:rPr>
      </w:pPr>
    </w:p>
    <w:p w14:paraId="61BA0C35" w14:textId="77777777" w:rsidR="00CD09AF" w:rsidRPr="00EA6C7A" w:rsidRDefault="00CD09AF" w:rsidP="00CD09AF">
      <w:pPr>
        <w:keepNext/>
        <w:keepLines/>
        <w:spacing w:after="0"/>
        <w:outlineLvl w:val="1"/>
        <w:rPr>
          <w:rFonts w:ascii="Verdana" w:hAnsi="Verdana"/>
          <w:b/>
          <w:bCs/>
          <w:sz w:val="20"/>
          <w:szCs w:val="26"/>
          <w:lang w:val="en-US"/>
        </w:rPr>
      </w:pPr>
      <w:bookmarkStart w:id="55" w:name="_Toc26002306"/>
      <w:r w:rsidRPr="00EA6C7A">
        <w:rPr>
          <w:rFonts w:ascii="Verdana" w:hAnsi="Verdana"/>
          <w:b/>
          <w:bCs/>
          <w:sz w:val="20"/>
          <w:szCs w:val="26"/>
          <w:lang w:val="en-US"/>
        </w:rPr>
        <w:t xml:space="preserve">B.1. </w:t>
      </w:r>
      <w:r w:rsidR="00553B49" w:rsidRPr="00EA6C7A">
        <w:rPr>
          <w:rFonts w:ascii="Verdana" w:hAnsi="Verdana"/>
          <w:b/>
          <w:bCs/>
          <w:sz w:val="20"/>
          <w:szCs w:val="26"/>
          <w:lang w:val="en-US"/>
        </w:rPr>
        <w:t xml:space="preserve">Report of </w:t>
      </w:r>
      <w:r w:rsidR="00047869" w:rsidRPr="00EA6C7A">
        <w:rPr>
          <w:rFonts w:ascii="Verdana" w:hAnsi="Verdana"/>
          <w:b/>
          <w:bCs/>
          <w:sz w:val="20"/>
          <w:szCs w:val="26"/>
          <w:lang w:val="en-US"/>
        </w:rPr>
        <w:t>her</w:t>
      </w:r>
      <w:r w:rsidR="00553B49" w:rsidRPr="00EA6C7A">
        <w:rPr>
          <w:rFonts w:ascii="Verdana" w:hAnsi="Verdana"/>
          <w:b/>
          <w:bCs/>
          <w:sz w:val="20"/>
          <w:szCs w:val="26"/>
          <w:lang w:val="en-US"/>
        </w:rPr>
        <w:t xml:space="preserve"> disappearance</w:t>
      </w:r>
      <w:bookmarkEnd w:id="55"/>
    </w:p>
    <w:p w14:paraId="39732A51" w14:textId="77777777" w:rsidR="00CD09AF" w:rsidRPr="00EA6C7A" w:rsidRDefault="00CD09AF" w:rsidP="00CD09AF">
      <w:pPr>
        <w:spacing w:after="0" w:line="240" w:lineRule="auto"/>
        <w:jc w:val="both"/>
        <w:rPr>
          <w:rFonts w:ascii="Verdana" w:hAnsi="Verdana"/>
          <w:b/>
          <w:sz w:val="20"/>
          <w:szCs w:val="20"/>
          <w:lang w:val="en-US"/>
        </w:rPr>
      </w:pPr>
    </w:p>
    <w:p w14:paraId="122B2FD5" w14:textId="77777777" w:rsidR="00CD09AF" w:rsidRPr="00EA6C7A" w:rsidRDefault="000B3E6E" w:rsidP="00E11A7C">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It is recorded in the evidence and unchallenged by the State that, on August 13, 2005, at around </w:t>
      </w:r>
      <w:r w:rsidR="00CD09AF" w:rsidRPr="00EA6C7A">
        <w:rPr>
          <w:rFonts w:ascii="Verdana" w:eastAsia="Batang" w:hAnsi="Verdana"/>
          <w:sz w:val="20"/>
          <w:szCs w:val="20"/>
          <w:lang w:val="en-US" w:eastAsia="es-MX"/>
        </w:rPr>
        <w:t>2</w:t>
      </w:r>
      <w:r w:rsidR="00286035"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50 o</w:t>
      </w:r>
      <w:r w:rsidRPr="00EA6C7A">
        <w:rPr>
          <w:rFonts w:ascii="Verdana" w:eastAsia="Batang" w:hAnsi="Verdana"/>
          <w:sz w:val="20"/>
          <w:szCs w:val="20"/>
          <w:lang w:val="en-US" w:eastAsia="es-MX"/>
        </w:rPr>
        <w:t>r</w:t>
      </w:r>
      <w:r w:rsidR="00CD09AF" w:rsidRPr="00EA6C7A">
        <w:rPr>
          <w:rFonts w:ascii="Verdana" w:eastAsia="Batang" w:hAnsi="Verdana"/>
          <w:sz w:val="20"/>
          <w:szCs w:val="20"/>
          <w:lang w:val="en-US" w:eastAsia="es-MX"/>
        </w:rPr>
        <w:t xml:space="preserve"> 2</w:t>
      </w:r>
      <w:r w:rsidR="00286035"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55 a.m., </w:t>
      </w:r>
      <w:r w:rsidRPr="00EA6C7A">
        <w:rPr>
          <w:rFonts w:ascii="Verdana" w:eastAsia="Batang" w:hAnsi="Verdana"/>
          <w:sz w:val="20"/>
          <w:szCs w:val="20"/>
          <w:lang w:val="en-US" w:eastAsia="es-MX"/>
        </w:rPr>
        <w:t xml:space="preserve">the </w:t>
      </w:r>
      <w:r w:rsidR="00CD09AF" w:rsidRPr="00EA6C7A">
        <w:rPr>
          <w:rFonts w:ascii="Verdana" w:eastAsia="Batang" w:hAnsi="Verdana"/>
          <w:sz w:val="20"/>
          <w:szCs w:val="20"/>
          <w:lang w:val="en-US" w:eastAsia="es-MX"/>
        </w:rPr>
        <w:t>Claudina Velásquez</w:t>
      </w:r>
      <w:r w:rsidR="00286035" w:rsidRPr="00EA6C7A">
        <w:rPr>
          <w:rFonts w:ascii="Verdana" w:eastAsia="Batang" w:hAnsi="Verdana"/>
          <w:sz w:val="20"/>
          <w:szCs w:val="20"/>
          <w:lang w:val="en-US" w:eastAsia="es-MX"/>
        </w:rPr>
        <w:t>’s parents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telephoned the National Civil Police and,</w:t>
      </w:r>
      <w:r w:rsidR="00286035"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 response, a patrol car arrived at the main guardhouse of</w:t>
      </w:r>
      <w:r w:rsidR="00CD09AF" w:rsidRPr="00EA6C7A">
        <w:rPr>
          <w:rFonts w:ascii="Verdana" w:eastAsia="Batang" w:hAnsi="Verdana"/>
          <w:sz w:val="20"/>
          <w:szCs w:val="20"/>
          <w:lang w:val="en-US" w:eastAsia="es-MX"/>
        </w:rPr>
        <w:t xml:space="preserve"> Colonia Panorama </w:t>
      </w:r>
      <w:r w:rsidRPr="00EA6C7A">
        <w:rPr>
          <w:rFonts w:ascii="Verdana" w:eastAsia="Batang" w:hAnsi="Verdana"/>
          <w:sz w:val="20"/>
          <w:szCs w:val="20"/>
          <w:lang w:val="en-US" w:eastAsia="es-MX"/>
        </w:rPr>
        <w:t xml:space="preserve">at approximately </w:t>
      </w:r>
      <w:r w:rsidR="00CD09AF" w:rsidRPr="00EA6C7A">
        <w:rPr>
          <w:rFonts w:ascii="Verdana" w:eastAsia="Batang" w:hAnsi="Verdana"/>
          <w:sz w:val="20"/>
          <w:szCs w:val="20"/>
          <w:lang w:val="en-US" w:eastAsia="es-MX"/>
        </w:rPr>
        <w:t xml:space="preserve">3 a.m. </w:t>
      </w:r>
      <w:r w:rsidRPr="00EA6C7A">
        <w:rPr>
          <w:rFonts w:ascii="Verdana" w:eastAsia="Batang" w:hAnsi="Verdana"/>
          <w:sz w:val="20"/>
          <w:szCs w:val="20"/>
          <w:lang w:val="en-US" w:eastAsia="es-MX"/>
        </w:rPr>
        <w:t xml:space="preserve">After the mother and father of Claudina Velásquez informed the police agents that they were searching for their daughter </w:t>
      </w:r>
      <w:r w:rsidR="00286035" w:rsidRPr="00EA6C7A">
        <w:rPr>
          <w:rFonts w:ascii="Verdana" w:eastAsia="Batang" w:hAnsi="Verdana"/>
          <w:sz w:val="20"/>
          <w:szCs w:val="20"/>
          <w:lang w:val="en-US" w:eastAsia="es-MX"/>
        </w:rPr>
        <w:t>because she was missing</w:t>
      </w:r>
      <w:r w:rsidRPr="00EA6C7A">
        <w:rPr>
          <w:rFonts w:ascii="Verdana" w:eastAsia="Batang" w:hAnsi="Verdana"/>
          <w:sz w:val="20"/>
          <w:szCs w:val="20"/>
          <w:lang w:val="en-US" w:eastAsia="es-MX"/>
        </w:rPr>
        <w:t xml:space="preserve">, they followed the police patrol car </w:t>
      </w:r>
      <w:r w:rsidR="00286035" w:rsidRPr="00EA6C7A">
        <w:rPr>
          <w:rFonts w:ascii="Verdana" w:eastAsia="Batang" w:hAnsi="Verdana"/>
          <w:sz w:val="20"/>
          <w:szCs w:val="20"/>
          <w:lang w:val="en-US" w:eastAsia="es-MX"/>
        </w:rPr>
        <w:t>searching</w:t>
      </w:r>
      <w:r w:rsidRPr="00EA6C7A">
        <w:rPr>
          <w:rFonts w:ascii="Verdana" w:eastAsia="Batang" w:hAnsi="Verdana"/>
          <w:sz w:val="20"/>
          <w:szCs w:val="20"/>
          <w:lang w:val="en-US" w:eastAsia="es-MX"/>
        </w:rPr>
        <w:t xml:space="preserve"> for their daughter from the main entrance of</w:t>
      </w:r>
      <w:r w:rsidR="00CD09AF" w:rsidRPr="00EA6C7A">
        <w:rPr>
          <w:rFonts w:ascii="Verdana" w:eastAsia="Batang" w:hAnsi="Verdana"/>
          <w:sz w:val="20"/>
          <w:szCs w:val="20"/>
          <w:lang w:val="en-US" w:eastAsia="es-MX"/>
        </w:rPr>
        <w:t xml:space="preserve"> Colonia Panorama </w:t>
      </w:r>
      <w:r w:rsidRPr="00EA6C7A">
        <w:rPr>
          <w:rFonts w:ascii="Verdana" w:eastAsia="Batang" w:hAnsi="Verdana"/>
          <w:sz w:val="20"/>
          <w:szCs w:val="20"/>
          <w:lang w:val="en-US" w:eastAsia="es-MX"/>
        </w:rPr>
        <w:t xml:space="preserve">to the entrance of </w:t>
      </w:r>
      <w:r w:rsidR="00CD09AF" w:rsidRPr="00EA6C7A">
        <w:rPr>
          <w:rFonts w:ascii="Verdana" w:eastAsia="Batang" w:hAnsi="Verdana"/>
          <w:sz w:val="20"/>
          <w:szCs w:val="20"/>
          <w:lang w:val="en-US" w:eastAsia="es-MX"/>
        </w:rPr>
        <w:t xml:space="preserve">Colonia Pinares, </w:t>
      </w:r>
      <w:r w:rsidRPr="00EA6C7A">
        <w:rPr>
          <w:rFonts w:ascii="Verdana" w:eastAsia="Batang" w:hAnsi="Verdana"/>
          <w:sz w:val="20"/>
          <w:szCs w:val="20"/>
          <w:lang w:val="en-US" w:eastAsia="es-MX"/>
        </w:rPr>
        <w:t>where the police agents told them that the</w:t>
      </w:r>
      <w:r w:rsidR="00286035" w:rsidRPr="00EA6C7A">
        <w:rPr>
          <w:rFonts w:ascii="Verdana" w:eastAsia="Batang" w:hAnsi="Verdana"/>
          <w:sz w:val="20"/>
          <w:szCs w:val="20"/>
          <w:lang w:val="en-US" w:eastAsia="es-MX"/>
        </w:rPr>
        <w:t>y</w:t>
      </w:r>
      <w:r w:rsidRPr="00EA6C7A">
        <w:rPr>
          <w:rFonts w:ascii="Verdana" w:eastAsia="Batang" w:hAnsi="Verdana"/>
          <w:sz w:val="20"/>
          <w:szCs w:val="20"/>
          <w:lang w:val="en-US" w:eastAsia="es-MX"/>
        </w:rPr>
        <w:t xml:space="preserve"> “were unable to do anything more and would continue patrol</w:t>
      </w:r>
      <w:r w:rsidR="002E7122" w:rsidRPr="00EA6C7A">
        <w:rPr>
          <w:rFonts w:ascii="Verdana" w:eastAsia="Batang" w:hAnsi="Verdana"/>
          <w:sz w:val="20"/>
          <w:szCs w:val="20"/>
          <w:lang w:val="en-US" w:eastAsia="es-MX"/>
        </w:rPr>
        <w:t>ling</w:t>
      </w:r>
      <w:r w:rsidR="00286035"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41"/>
      </w:r>
      <w:r w:rsidR="00CD09AF" w:rsidRPr="00EA6C7A">
        <w:rPr>
          <w:rFonts w:ascii="Verdana" w:eastAsia="Batang" w:hAnsi="Verdana"/>
          <w:sz w:val="20"/>
          <w:szCs w:val="20"/>
          <w:lang w:val="en-US" w:eastAsia="es-MX"/>
        </w:rPr>
        <w:t xml:space="preserve"> </w:t>
      </w:r>
      <w:r w:rsidR="00286035" w:rsidRPr="00EA6C7A">
        <w:rPr>
          <w:rFonts w:ascii="Verdana" w:eastAsia="Batang" w:hAnsi="Verdana"/>
          <w:sz w:val="20"/>
          <w:szCs w:val="20"/>
          <w:lang w:val="en-US" w:eastAsia="es-MX"/>
        </w:rPr>
        <w:t xml:space="preserve">The police agents </w:t>
      </w:r>
      <w:r w:rsidRPr="00EA6C7A">
        <w:rPr>
          <w:rFonts w:ascii="Verdana" w:eastAsia="Batang" w:hAnsi="Verdana"/>
          <w:sz w:val="20"/>
          <w:szCs w:val="20"/>
          <w:lang w:val="en-US" w:eastAsia="es-MX"/>
        </w:rPr>
        <w:t>also indicat</w:t>
      </w:r>
      <w:r w:rsidR="00286035" w:rsidRPr="00EA6C7A">
        <w:rPr>
          <w:rFonts w:ascii="Verdana" w:eastAsia="Batang" w:hAnsi="Verdana"/>
          <w:sz w:val="20"/>
          <w:szCs w:val="20"/>
          <w:lang w:val="en-US" w:eastAsia="es-MX"/>
        </w:rPr>
        <w:t>ed</w:t>
      </w:r>
      <w:r w:rsidRPr="00EA6C7A">
        <w:rPr>
          <w:rFonts w:ascii="Verdana" w:eastAsia="Batang" w:hAnsi="Verdana"/>
          <w:sz w:val="20"/>
          <w:szCs w:val="20"/>
          <w:lang w:val="en-US" w:eastAsia="es-MX"/>
        </w:rPr>
        <w:t xml:space="preserve"> that they would </w:t>
      </w:r>
      <w:r w:rsidRPr="00EA6C7A">
        <w:rPr>
          <w:rFonts w:ascii="Verdana" w:eastAsia="Batang" w:hAnsi="Verdana"/>
          <w:sz w:val="20"/>
          <w:szCs w:val="20"/>
          <w:lang w:val="en-US" w:eastAsia="es-MX"/>
        </w:rPr>
        <w:lastRenderedPageBreak/>
        <w:t xml:space="preserve">have “to wait at least 24 hours” before being able to report that </w:t>
      </w:r>
      <w:r w:rsidR="00CD09AF" w:rsidRPr="00EA6C7A">
        <w:rPr>
          <w:rFonts w:ascii="Verdana" w:eastAsia="Batang" w:hAnsi="Verdana"/>
          <w:sz w:val="20"/>
          <w:szCs w:val="20"/>
          <w:lang w:val="en-US" w:eastAsia="es-MX"/>
        </w:rPr>
        <w:t>Claudina Velásquez</w:t>
      </w:r>
      <w:r w:rsidR="00286035" w:rsidRPr="00EA6C7A">
        <w:rPr>
          <w:rFonts w:ascii="Verdana" w:eastAsia="Batang" w:hAnsi="Verdana"/>
          <w:sz w:val="20"/>
          <w:szCs w:val="20"/>
          <w:lang w:val="en-US" w:eastAsia="es-MX"/>
        </w:rPr>
        <w:t xml:space="preserve"> was missing</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42"/>
      </w:r>
    </w:p>
    <w:p w14:paraId="1DD6C005" w14:textId="77777777" w:rsidR="00CD09AF" w:rsidRPr="00EA6C7A" w:rsidRDefault="00CD09AF" w:rsidP="00CD09AF">
      <w:pPr>
        <w:tabs>
          <w:tab w:val="left" w:pos="567"/>
        </w:tabs>
        <w:spacing w:after="0" w:line="240" w:lineRule="auto"/>
        <w:jc w:val="both"/>
        <w:rPr>
          <w:rFonts w:ascii="Verdana" w:eastAsia="Batang" w:hAnsi="Verdana"/>
          <w:sz w:val="20"/>
          <w:szCs w:val="20"/>
          <w:lang w:val="en-US" w:eastAsia="es-MX"/>
        </w:rPr>
      </w:pPr>
    </w:p>
    <w:p w14:paraId="529137C9" w14:textId="77777777" w:rsidR="00CD09AF" w:rsidRPr="00EA6C7A" w:rsidRDefault="000B3E6E" w:rsidP="009A3047">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From</w:t>
      </w:r>
      <w:r w:rsidR="00CD09AF" w:rsidRPr="00EA6C7A">
        <w:rPr>
          <w:rFonts w:ascii="Verdana" w:eastAsia="Batang" w:hAnsi="Verdana"/>
          <w:sz w:val="20"/>
          <w:szCs w:val="20"/>
          <w:lang w:val="en-US" w:eastAsia="es-MX"/>
        </w:rPr>
        <w:t xml:space="preserve"> 3</w:t>
      </w:r>
      <w:r w:rsidR="00286035" w:rsidRPr="00EA6C7A">
        <w:rPr>
          <w:rFonts w:ascii="Verdana" w:eastAsia="Batang" w:hAnsi="Verdana"/>
          <w:sz w:val="20"/>
          <w:szCs w:val="20"/>
          <w:lang w:val="en-US" w:eastAsia="es-MX"/>
        </w:rPr>
        <w:t xml:space="preserve"> a.m.</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to</w:t>
      </w:r>
      <w:r w:rsidR="00CD09AF" w:rsidRPr="00EA6C7A">
        <w:rPr>
          <w:rFonts w:ascii="Verdana" w:eastAsia="Batang" w:hAnsi="Verdana"/>
          <w:sz w:val="20"/>
          <w:szCs w:val="20"/>
          <w:lang w:val="en-US" w:eastAsia="es-MX"/>
        </w:rPr>
        <w:t xml:space="preserve"> 5 a.m. Claudina Velásquez</w:t>
      </w:r>
      <w:r w:rsidR="00286035" w:rsidRPr="00EA6C7A">
        <w:rPr>
          <w:rFonts w:ascii="Verdana" w:eastAsia="Batang" w:hAnsi="Verdana"/>
          <w:sz w:val="20"/>
          <w:szCs w:val="20"/>
          <w:lang w:val="en-US" w:eastAsia="es-MX"/>
        </w:rPr>
        <w:t>’s parents</w:t>
      </w:r>
      <w:r w:rsidR="00CD09AF" w:rsidRPr="00EA6C7A">
        <w:rPr>
          <w:rFonts w:ascii="Verdana" w:eastAsia="Batang" w:hAnsi="Verdana"/>
          <w:sz w:val="20"/>
          <w:szCs w:val="20"/>
          <w:lang w:val="en-US" w:eastAsia="es-MX"/>
        </w:rPr>
        <w:t xml:space="preserve"> contin</w:t>
      </w:r>
      <w:r w:rsidRPr="00EA6C7A">
        <w:rPr>
          <w:rFonts w:ascii="Verdana" w:eastAsia="Batang" w:hAnsi="Verdana"/>
          <w:sz w:val="20"/>
          <w:szCs w:val="20"/>
          <w:lang w:val="en-US" w:eastAsia="es-MX"/>
        </w:rPr>
        <w:t xml:space="preserve">ued their search with the help of family members and friends. At around </w:t>
      </w:r>
      <w:r w:rsidR="009A3047" w:rsidRPr="00EA6C7A">
        <w:rPr>
          <w:rFonts w:ascii="Verdana" w:eastAsia="Batang" w:hAnsi="Verdana"/>
          <w:sz w:val="20"/>
          <w:szCs w:val="20"/>
          <w:lang w:val="en-US" w:eastAsia="es-MX"/>
        </w:rPr>
        <w:t>5 a.m., her parents went to the police station to report her disappearance. There, they were again told that they had to wait 24 hours.</w:t>
      </w:r>
      <w:r w:rsidR="00CD09AF" w:rsidRPr="00EA6C7A">
        <w:rPr>
          <w:rFonts w:ascii="Verdana" w:eastAsia="Batang" w:hAnsi="Verdana"/>
          <w:sz w:val="20"/>
          <w:szCs w:val="20"/>
          <w:vertAlign w:val="superscript"/>
          <w:lang w:val="en-US" w:eastAsia="es-MX"/>
        </w:rPr>
        <w:footnoteReference w:id="43"/>
      </w:r>
      <w:r w:rsidR="009A3047" w:rsidRPr="00EA6C7A">
        <w:rPr>
          <w:rFonts w:ascii="Verdana" w:eastAsia="Batang" w:hAnsi="Verdana"/>
          <w:sz w:val="20"/>
          <w:szCs w:val="20"/>
          <w:lang w:val="en-US" w:eastAsia="es-MX"/>
        </w:rPr>
        <w:t xml:space="preserve"> At around the same time, the Guatemalan Voluntary Firefighters received an anonymous call </w:t>
      </w:r>
      <w:r w:rsidR="002B7467" w:rsidRPr="00EA6C7A">
        <w:rPr>
          <w:rFonts w:ascii="Verdana" w:eastAsia="Batang" w:hAnsi="Verdana"/>
          <w:sz w:val="20"/>
          <w:szCs w:val="20"/>
          <w:lang w:val="en-US" w:eastAsia="es-MX"/>
        </w:rPr>
        <w:t>reporting</w:t>
      </w:r>
      <w:r w:rsidR="009A3047" w:rsidRPr="00EA6C7A">
        <w:rPr>
          <w:rFonts w:ascii="Verdana" w:eastAsia="Batang" w:hAnsi="Verdana"/>
          <w:sz w:val="20"/>
          <w:szCs w:val="20"/>
          <w:lang w:val="en-US" w:eastAsia="es-MX"/>
        </w:rPr>
        <w:t xml:space="preserve"> the discovery of a corpse in Colonia Roosevelt and, therefore, went </w:t>
      </w:r>
      <w:r w:rsidR="002B7467" w:rsidRPr="00EA6C7A">
        <w:rPr>
          <w:rFonts w:ascii="Verdana" w:eastAsia="Batang" w:hAnsi="Verdana"/>
          <w:sz w:val="20"/>
          <w:szCs w:val="20"/>
          <w:lang w:val="en-US" w:eastAsia="es-MX"/>
        </w:rPr>
        <w:t>to the place indicated</w:t>
      </w:r>
      <w:r w:rsidR="009A3047" w:rsidRPr="00EA6C7A">
        <w:rPr>
          <w:rFonts w:ascii="Verdana" w:eastAsia="Batang" w:hAnsi="Verdana"/>
          <w:sz w:val="20"/>
          <w:szCs w:val="20"/>
          <w:lang w:val="en-US" w:eastAsia="es-MX"/>
        </w:rPr>
        <w:t xml:space="preserve">. Also, two PNC agents went to Colonia Roosevelt at approximately 5.30 a.m. At around 6.30 a.m., members of the Public Prosecution Service also arrived. Lastly, it is on record that it was only at 8.30 a.m. on </w:t>
      </w:r>
      <w:r w:rsidRPr="00EA6C7A">
        <w:rPr>
          <w:rFonts w:ascii="Verdana" w:eastAsia="Batang" w:hAnsi="Verdana"/>
          <w:sz w:val="20"/>
          <w:szCs w:val="20"/>
          <w:lang w:val="en-US" w:eastAsia="es-MX"/>
        </w:rPr>
        <w:t>August 13,</w:t>
      </w:r>
      <w:r w:rsidR="00CD09AF" w:rsidRPr="00EA6C7A">
        <w:rPr>
          <w:rFonts w:ascii="Verdana" w:eastAsia="Batang" w:hAnsi="Verdana"/>
          <w:sz w:val="20"/>
          <w:szCs w:val="20"/>
          <w:lang w:val="en-US" w:eastAsia="es-MX"/>
        </w:rPr>
        <w:t xml:space="preserve"> 2005</w:t>
      </w:r>
      <w:r w:rsidR="009A3047" w:rsidRPr="00EA6C7A">
        <w:rPr>
          <w:rFonts w:ascii="Verdana" w:eastAsia="Batang" w:hAnsi="Verdana"/>
          <w:sz w:val="20"/>
          <w:szCs w:val="20"/>
          <w:lang w:val="en-US" w:eastAsia="es-MX"/>
        </w:rPr>
        <w:t xml:space="preserve">, that the report </w:t>
      </w:r>
      <w:r w:rsidR="002B7467" w:rsidRPr="00EA6C7A">
        <w:rPr>
          <w:rFonts w:ascii="Verdana" w:eastAsia="Batang" w:hAnsi="Verdana"/>
          <w:sz w:val="20"/>
          <w:szCs w:val="20"/>
          <w:lang w:val="en-US" w:eastAsia="es-MX"/>
        </w:rPr>
        <w:t>that</w:t>
      </w:r>
      <w:r w:rsidR="009A3047"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Claudina Velásquez</w:t>
      </w:r>
      <w:r w:rsidR="009A3047" w:rsidRPr="00EA6C7A">
        <w:rPr>
          <w:rFonts w:ascii="Verdana" w:eastAsia="Batang" w:hAnsi="Verdana"/>
          <w:sz w:val="20"/>
          <w:szCs w:val="20"/>
          <w:lang w:val="en-US" w:eastAsia="es-MX"/>
        </w:rPr>
        <w:t xml:space="preserve"> was</w:t>
      </w:r>
      <w:r w:rsidR="002B7467" w:rsidRPr="00EA6C7A">
        <w:rPr>
          <w:rFonts w:ascii="Verdana" w:eastAsia="Batang" w:hAnsi="Verdana"/>
          <w:sz w:val="20"/>
          <w:szCs w:val="20"/>
          <w:lang w:val="en-US" w:eastAsia="es-MX"/>
        </w:rPr>
        <w:t xml:space="preserve"> missing was</w:t>
      </w:r>
      <w:r w:rsidR="009A3047" w:rsidRPr="00EA6C7A">
        <w:rPr>
          <w:rFonts w:ascii="Verdana" w:eastAsia="Batang" w:hAnsi="Verdana"/>
          <w:sz w:val="20"/>
          <w:szCs w:val="20"/>
          <w:lang w:val="en-US" w:eastAsia="es-MX"/>
        </w:rPr>
        <w:t xml:space="preserve"> received in writing in the PNC Sub-Station </w:t>
      </w:r>
      <w:r w:rsidR="00CD09AF" w:rsidRPr="00EA6C7A">
        <w:rPr>
          <w:rFonts w:ascii="Verdana" w:eastAsia="Batang" w:hAnsi="Verdana"/>
          <w:sz w:val="20"/>
          <w:szCs w:val="20"/>
          <w:lang w:val="en-US" w:eastAsia="es-MX"/>
        </w:rPr>
        <w:t>San Cristóbal 1651</w:t>
      </w:r>
      <w:r w:rsidR="009A3047"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44"/>
      </w:r>
      <w:r w:rsidR="00CD09AF" w:rsidRPr="00EA6C7A">
        <w:rPr>
          <w:rFonts w:ascii="Verdana" w:eastAsia="Batang" w:hAnsi="Verdana"/>
          <w:sz w:val="20"/>
          <w:szCs w:val="20"/>
          <w:lang w:val="en-US" w:eastAsia="es-MX"/>
        </w:rPr>
        <w:t xml:space="preserve"> </w:t>
      </w:r>
    </w:p>
    <w:p w14:paraId="28160E29" w14:textId="77777777" w:rsidR="00CD09AF" w:rsidRPr="00EA6C7A" w:rsidRDefault="00CD09AF" w:rsidP="00CD09AF">
      <w:pPr>
        <w:spacing w:after="0" w:line="240" w:lineRule="auto"/>
        <w:jc w:val="both"/>
        <w:rPr>
          <w:rFonts w:ascii="Verdana" w:hAnsi="Verdana"/>
          <w:b/>
          <w:strike/>
          <w:sz w:val="20"/>
          <w:szCs w:val="20"/>
          <w:u w:val="single"/>
          <w:lang w:val="en-US"/>
        </w:rPr>
      </w:pPr>
    </w:p>
    <w:p w14:paraId="712A0333" w14:textId="77777777" w:rsidR="00CD09AF" w:rsidRPr="00EA6C7A" w:rsidRDefault="00CD09AF" w:rsidP="00CD09AF">
      <w:pPr>
        <w:keepNext/>
        <w:keepLines/>
        <w:spacing w:after="0"/>
        <w:outlineLvl w:val="1"/>
        <w:rPr>
          <w:rFonts w:ascii="Verdana" w:hAnsi="Verdana"/>
          <w:b/>
          <w:bCs/>
          <w:sz w:val="20"/>
          <w:szCs w:val="26"/>
          <w:lang w:val="en-US"/>
        </w:rPr>
      </w:pPr>
      <w:bookmarkStart w:id="56" w:name="_Toc26002307"/>
      <w:r w:rsidRPr="00EA6C7A">
        <w:rPr>
          <w:rFonts w:ascii="Verdana" w:hAnsi="Verdana"/>
          <w:b/>
          <w:bCs/>
          <w:sz w:val="20"/>
          <w:szCs w:val="26"/>
          <w:lang w:val="en-US"/>
        </w:rPr>
        <w:t xml:space="preserve">B.2. </w:t>
      </w:r>
      <w:r w:rsidR="009A3047" w:rsidRPr="00EA6C7A">
        <w:rPr>
          <w:rFonts w:ascii="Verdana" w:hAnsi="Verdana"/>
          <w:b/>
          <w:bCs/>
          <w:sz w:val="20"/>
          <w:szCs w:val="26"/>
          <w:lang w:val="en-US"/>
        </w:rPr>
        <w:t>Discovery of the body and initial procedures</w:t>
      </w:r>
      <w:bookmarkEnd w:id="56"/>
    </w:p>
    <w:p w14:paraId="73C9A03A" w14:textId="77777777" w:rsidR="00CD09AF" w:rsidRPr="00EA6C7A" w:rsidRDefault="00CD09AF" w:rsidP="00CD09AF">
      <w:pPr>
        <w:spacing w:after="0" w:line="240" w:lineRule="auto"/>
        <w:jc w:val="both"/>
        <w:rPr>
          <w:rFonts w:ascii="Verdana" w:hAnsi="Verdana"/>
          <w:iCs/>
          <w:sz w:val="20"/>
          <w:szCs w:val="20"/>
          <w:lang w:val="en-US"/>
        </w:rPr>
      </w:pPr>
    </w:p>
    <w:p w14:paraId="1914D612" w14:textId="77777777" w:rsidR="00CD09AF" w:rsidRPr="00EA6C7A" w:rsidRDefault="009A3047" w:rsidP="009A3047">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Following orders given by the radio operator </w:t>
      </w:r>
      <w:r w:rsidR="0026254B" w:rsidRPr="00EA6C7A">
        <w:rPr>
          <w:rFonts w:ascii="Verdana" w:eastAsia="Batang" w:hAnsi="Verdana"/>
          <w:sz w:val="20"/>
          <w:szCs w:val="20"/>
          <w:lang w:val="en-US" w:eastAsia="es-MX"/>
        </w:rPr>
        <w:t xml:space="preserve">on duty </w:t>
      </w:r>
      <w:r w:rsidRPr="00EA6C7A">
        <w:rPr>
          <w:rFonts w:ascii="Verdana" w:eastAsia="Batang" w:hAnsi="Verdana"/>
          <w:sz w:val="20"/>
          <w:szCs w:val="20"/>
          <w:lang w:val="en-US" w:eastAsia="es-MX"/>
        </w:rPr>
        <w:t xml:space="preserve">of the central </w:t>
      </w:r>
      <w:r w:rsidR="0026254B" w:rsidRPr="00EA6C7A">
        <w:rPr>
          <w:rFonts w:ascii="Verdana" w:eastAsia="Batang" w:hAnsi="Verdana"/>
          <w:sz w:val="20"/>
          <w:szCs w:val="20"/>
          <w:lang w:val="en-US" w:eastAsia="es-MX"/>
        </w:rPr>
        <w:t>communications</w:t>
      </w:r>
      <w:r w:rsidRPr="00EA6C7A">
        <w:rPr>
          <w:rFonts w:ascii="Verdana" w:eastAsia="Batang" w:hAnsi="Verdana"/>
          <w:sz w:val="20"/>
          <w:szCs w:val="20"/>
          <w:lang w:val="en-US" w:eastAsia="es-MX"/>
        </w:rPr>
        <w:t xml:space="preserve"> office of the 14</w:t>
      </w:r>
      <w:r w:rsidRPr="00EA6C7A">
        <w:rPr>
          <w:rFonts w:ascii="Verdana" w:eastAsia="Batang" w:hAnsi="Verdana"/>
          <w:sz w:val="20"/>
          <w:szCs w:val="20"/>
          <w:vertAlign w:val="superscript"/>
          <w:lang w:val="en-US" w:eastAsia="es-MX"/>
        </w:rPr>
        <w:t>th</w:t>
      </w:r>
      <w:r w:rsidRPr="00EA6C7A">
        <w:rPr>
          <w:rFonts w:ascii="Verdana" w:eastAsia="Batang" w:hAnsi="Verdana"/>
          <w:sz w:val="20"/>
          <w:szCs w:val="20"/>
          <w:lang w:val="en-US" w:eastAsia="es-MX"/>
        </w:rPr>
        <w:t xml:space="preserve"> </w:t>
      </w:r>
      <w:r w:rsidR="000914B5" w:rsidRPr="00EA6C7A">
        <w:rPr>
          <w:rFonts w:ascii="Verdana" w:eastAsia="Batang" w:hAnsi="Verdana"/>
          <w:sz w:val="20"/>
          <w:szCs w:val="20"/>
          <w:lang w:val="en-US" w:eastAsia="es-MX"/>
        </w:rPr>
        <w:t>Precinct</w:t>
      </w:r>
      <w:r w:rsidRPr="00EA6C7A">
        <w:rPr>
          <w:rFonts w:ascii="Verdana" w:eastAsia="Batang" w:hAnsi="Verdana"/>
          <w:sz w:val="20"/>
          <w:szCs w:val="20"/>
          <w:lang w:val="en-US" w:eastAsia="es-MX"/>
        </w:rPr>
        <w:t xml:space="preserve">, at approximately </w:t>
      </w:r>
      <w:r w:rsidR="00CD09AF" w:rsidRPr="00EA6C7A">
        <w:rPr>
          <w:rFonts w:ascii="Verdana" w:eastAsia="Batang" w:hAnsi="Verdana"/>
          <w:sz w:val="20"/>
          <w:szCs w:val="20"/>
          <w:lang w:val="en-US" w:eastAsia="es-MX"/>
        </w:rPr>
        <w:t>5</w:t>
      </w:r>
      <w:r w:rsidR="002B7467"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30 a.m. </w:t>
      </w:r>
      <w:r w:rsidRPr="00EA6C7A">
        <w:rPr>
          <w:rFonts w:ascii="Verdana" w:eastAsia="Batang" w:hAnsi="Verdana"/>
          <w:sz w:val="20"/>
          <w:szCs w:val="20"/>
          <w:lang w:val="en-US" w:eastAsia="es-MX"/>
        </w:rPr>
        <w:t xml:space="preserve">on </w:t>
      </w:r>
      <w:r w:rsidR="000B3E6E" w:rsidRPr="00EA6C7A">
        <w:rPr>
          <w:rFonts w:ascii="Verdana" w:eastAsia="Batang" w:hAnsi="Verdana"/>
          <w:sz w:val="20"/>
          <w:szCs w:val="20"/>
          <w:lang w:val="en-US" w:eastAsia="es-MX"/>
        </w:rPr>
        <w:t>August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xml:space="preserve">, </w:t>
      </w:r>
      <w:r w:rsidR="00EF1D78" w:rsidRPr="00EA6C7A">
        <w:rPr>
          <w:rFonts w:ascii="Verdana" w:eastAsia="Batang" w:hAnsi="Verdana"/>
          <w:sz w:val="20"/>
          <w:szCs w:val="20"/>
          <w:lang w:val="en-US" w:eastAsia="es-MX"/>
        </w:rPr>
        <w:t xml:space="preserve">two members of the PNC went </w:t>
      </w:r>
      <w:r w:rsidRPr="00EA6C7A">
        <w:rPr>
          <w:rFonts w:ascii="Verdana" w:eastAsia="Batang" w:hAnsi="Verdana"/>
          <w:sz w:val="20"/>
          <w:szCs w:val="20"/>
          <w:lang w:val="en-US" w:eastAsia="es-MX"/>
        </w:rPr>
        <w:t>to 10</w:t>
      </w:r>
      <w:r w:rsidRPr="00EA6C7A">
        <w:rPr>
          <w:rFonts w:ascii="Verdana" w:eastAsia="Batang" w:hAnsi="Verdana"/>
          <w:sz w:val="20"/>
          <w:szCs w:val="20"/>
          <w:vertAlign w:val="superscript"/>
          <w:lang w:val="en-US" w:eastAsia="es-MX"/>
        </w:rPr>
        <w:t>th</w:t>
      </w:r>
      <w:r w:rsidRPr="00EA6C7A">
        <w:rPr>
          <w:rFonts w:ascii="Verdana" w:eastAsia="Batang" w:hAnsi="Verdana"/>
          <w:sz w:val="20"/>
          <w:szCs w:val="20"/>
          <w:lang w:val="en-US" w:eastAsia="es-MX"/>
        </w:rPr>
        <w:t xml:space="preserve"> Avenue</w:t>
      </w:r>
      <w:r w:rsidR="002B7467"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in front of the house number</w:t>
      </w:r>
      <w:r w:rsidR="00EF1D78" w:rsidRPr="00EA6C7A">
        <w:rPr>
          <w:rFonts w:ascii="Verdana" w:eastAsia="Batang" w:hAnsi="Verdana"/>
          <w:sz w:val="20"/>
          <w:szCs w:val="20"/>
          <w:lang w:val="en-US" w:eastAsia="es-MX"/>
        </w:rPr>
        <w:t>ed</w:t>
      </w:r>
      <w:r w:rsidRPr="00EA6C7A">
        <w:rPr>
          <w:rFonts w:ascii="Verdana" w:eastAsia="Batang" w:hAnsi="Verdana"/>
          <w:sz w:val="20"/>
          <w:szCs w:val="20"/>
          <w:lang w:val="en-US" w:eastAsia="es-MX"/>
        </w:rPr>
        <w:t xml:space="preserve"> 8-87 “A”</w:t>
      </w:r>
      <w:r w:rsidR="002B7467"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in Colonia Roosevelt, Zo</w:t>
      </w:r>
      <w:r w:rsidR="00EF1D78" w:rsidRPr="00EA6C7A">
        <w:rPr>
          <w:rFonts w:ascii="Verdana" w:eastAsia="Batang" w:hAnsi="Verdana"/>
          <w:sz w:val="20"/>
          <w:szCs w:val="20"/>
          <w:lang w:val="en-US" w:eastAsia="es-MX"/>
        </w:rPr>
        <w:t>n</w:t>
      </w:r>
      <w:r w:rsidRPr="00EA6C7A">
        <w:rPr>
          <w:rFonts w:ascii="Verdana" w:eastAsia="Batang" w:hAnsi="Verdana"/>
          <w:sz w:val="20"/>
          <w:szCs w:val="20"/>
          <w:lang w:val="en-US" w:eastAsia="es-MX"/>
        </w:rPr>
        <w:t xml:space="preserve">e 11, to </w:t>
      </w:r>
      <w:r w:rsidR="00ED716F" w:rsidRPr="00EA6C7A">
        <w:rPr>
          <w:rFonts w:ascii="Verdana" w:eastAsia="Batang" w:hAnsi="Verdana"/>
          <w:sz w:val="20"/>
          <w:szCs w:val="20"/>
          <w:lang w:val="en-US" w:eastAsia="es-MX"/>
        </w:rPr>
        <w:t>make inquiries regarding a woman who “was possibly deceased.” On their arrival, they recorded that “a lifeless female” was lying on the pavement.</w:t>
      </w:r>
      <w:r w:rsidR="00CD09AF" w:rsidRPr="00EA6C7A">
        <w:rPr>
          <w:rFonts w:ascii="Verdana" w:eastAsia="Batang" w:hAnsi="Verdana"/>
          <w:sz w:val="20"/>
          <w:szCs w:val="20"/>
          <w:vertAlign w:val="superscript"/>
          <w:lang w:val="en-US" w:eastAsia="es-MX"/>
        </w:rPr>
        <w:footnoteReference w:id="45"/>
      </w:r>
      <w:r w:rsidR="00ED716F" w:rsidRPr="00EA6C7A">
        <w:rPr>
          <w:rFonts w:ascii="Verdana" w:eastAsia="Batang" w:hAnsi="Verdana"/>
          <w:sz w:val="20"/>
          <w:szCs w:val="20"/>
          <w:lang w:val="en-US" w:eastAsia="es-MX"/>
        </w:rPr>
        <w:t xml:space="preserve"> Also present, were two members of the Guatemalan Voluntary Fire</w:t>
      </w:r>
      <w:r w:rsidR="00EF1D78" w:rsidRPr="00EA6C7A">
        <w:rPr>
          <w:rFonts w:ascii="Verdana" w:eastAsia="Batang" w:hAnsi="Verdana"/>
          <w:sz w:val="20"/>
          <w:szCs w:val="20"/>
          <w:lang w:val="en-US" w:eastAsia="es-MX"/>
        </w:rPr>
        <w:t xml:space="preserve"> Service</w:t>
      </w:r>
      <w:r w:rsidR="00CD09AF" w:rsidRPr="00EA6C7A">
        <w:rPr>
          <w:rFonts w:ascii="Verdana" w:eastAsia="Batang" w:hAnsi="Verdana"/>
          <w:sz w:val="20"/>
          <w:szCs w:val="20"/>
          <w:lang w:val="en-US" w:eastAsia="es-MX"/>
        </w:rPr>
        <w:t xml:space="preserve"> </w:t>
      </w:r>
      <w:r w:rsidR="00ED716F" w:rsidRPr="00EA6C7A">
        <w:rPr>
          <w:rFonts w:ascii="Verdana" w:eastAsia="Batang" w:hAnsi="Verdana"/>
          <w:sz w:val="20"/>
          <w:szCs w:val="20"/>
          <w:lang w:val="en-US" w:eastAsia="es-MX"/>
        </w:rPr>
        <w:t xml:space="preserve">who had arrived </w:t>
      </w:r>
      <w:r w:rsidR="00EF1D78" w:rsidRPr="00EA6C7A">
        <w:rPr>
          <w:rFonts w:ascii="Verdana" w:eastAsia="Batang" w:hAnsi="Verdana"/>
          <w:sz w:val="20"/>
          <w:szCs w:val="20"/>
          <w:lang w:val="en-US" w:eastAsia="es-MX"/>
        </w:rPr>
        <w:t>based on</w:t>
      </w:r>
      <w:r w:rsidR="00ED716F" w:rsidRPr="00EA6C7A">
        <w:rPr>
          <w:rFonts w:ascii="Verdana" w:eastAsia="Batang" w:hAnsi="Verdana"/>
          <w:sz w:val="20"/>
          <w:szCs w:val="20"/>
          <w:lang w:val="en-US" w:eastAsia="es-MX"/>
        </w:rPr>
        <w:t xml:space="preserve"> an anonymous call received from a public telephone at around</w:t>
      </w:r>
      <w:r w:rsidR="00CD09AF" w:rsidRPr="00EA6C7A">
        <w:rPr>
          <w:rFonts w:ascii="Verdana" w:eastAsia="Batang" w:hAnsi="Verdana"/>
          <w:sz w:val="20"/>
          <w:szCs w:val="20"/>
          <w:lang w:val="en-US" w:eastAsia="es-MX"/>
        </w:rPr>
        <w:t xml:space="preserve"> 5 a.m. (</w:t>
      </w:r>
      <w:r w:rsidR="00CD09AF" w:rsidRPr="00EA6C7A">
        <w:rPr>
          <w:rFonts w:ascii="Verdana" w:eastAsia="Batang" w:hAnsi="Verdana"/>
          <w:i/>
          <w:sz w:val="20"/>
          <w:szCs w:val="20"/>
          <w:lang w:val="en-US" w:eastAsia="es-MX"/>
        </w:rPr>
        <w:t xml:space="preserve">supra </w:t>
      </w:r>
      <w:r w:rsidR="002F3848" w:rsidRPr="00EA6C7A">
        <w:rPr>
          <w:rFonts w:ascii="Verdana" w:eastAsia="Batang" w:hAnsi="Verdana"/>
          <w:sz w:val="20"/>
          <w:szCs w:val="20"/>
          <w:lang w:val="en-US" w:eastAsia="es-MX"/>
        </w:rPr>
        <w:t>para.</w:t>
      </w:r>
      <w:r w:rsidR="00CD09AF" w:rsidRPr="00EA6C7A">
        <w:rPr>
          <w:rFonts w:ascii="Verdana" w:eastAsia="Batang" w:hAnsi="Verdana"/>
          <w:sz w:val="20"/>
          <w:szCs w:val="20"/>
          <w:lang w:val="en-US" w:eastAsia="es-MX"/>
        </w:rPr>
        <w:t xml:space="preserve"> 54)</w:t>
      </w:r>
      <w:r w:rsidR="00EF1D78" w:rsidRPr="00EA6C7A">
        <w:rPr>
          <w:rFonts w:ascii="Verdana" w:eastAsia="Batang" w:hAnsi="Verdana"/>
          <w:sz w:val="20"/>
          <w:szCs w:val="20"/>
          <w:lang w:val="en-US" w:eastAsia="es-MX"/>
        </w:rPr>
        <w:t>;</w:t>
      </w:r>
      <w:r w:rsidR="00ED716F" w:rsidRPr="00EA6C7A">
        <w:rPr>
          <w:rFonts w:ascii="Verdana" w:eastAsia="Batang" w:hAnsi="Verdana"/>
          <w:sz w:val="20"/>
          <w:szCs w:val="20"/>
          <w:lang w:val="en-US" w:eastAsia="es-MX"/>
        </w:rPr>
        <w:t xml:space="preserve"> they recorded that they were unable to identify the person “as the</w:t>
      </w:r>
      <w:r w:rsidR="00EF1D78" w:rsidRPr="00EA6C7A">
        <w:rPr>
          <w:rFonts w:ascii="Verdana" w:eastAsia="Batang" w:hAnsi="Verdana"/>
          <w:sz w:val="20"/>
          <w:szCs w:val="20"/>
          <w:lang w:val="en-US" w:eastAsia="es-MX"/>
        </w:rPr>
        <w:t xml:space="preserve"> individual</w:t>
      </w:r>
      <w:r w:rsidR="00ED716F" w:rsidRPr="00EA6C7A">
        <w:rPr>
          <w:rFonts w:ascii="Verdana" w:eastAsia="Batang" w:hAnsi="Verdana"/>
          <w:sz w:val="20"/>
          <w:szCs w:val="20"/>
          <w:lang w:val="en-US" w:eastAsia="es-MX"/>
        </w:rPr>
        <w:t xml:space="preserve"> had no personal documents.</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46"/>
      </w:r>
      <w:r w:rsidR="00CD09AF" w:rsidRPr="00EA6C7A">
        <w:rPr>
          <w:rFonts w:ascii="Verdana" w:eastAsia="Batang" w:hAnsi="Verdana"/>
          <w:sz w:val="20"/>
          <w:szCs w:val="20"/>
          <w:lang w:val="en-US" w:eastAsia="es-MX"/>
        </w:rPr>
        <w:t xml:space="preserve"> A</w:t>
      </w:r>
      <w:r w:rsidR="00ED716F" w:rsidRPr="00EA6C7A">
        <w:rPr>
          <w:rFonts w:ascii="Verdana" w:eastAsia="Batang" w:hAnsi="Verdana"/>
          <w:sz w:val="20"/>
          <w:szCs w:val="20"/>
          <w:lang w:val="en-US" w:eastAsia="es-MX"/>
        </w:rPr>
        <w:t xml:space="preserve">t approximately </w:t>
      </w:r>
      <w:r w:rsidR="00CD09AF" w:rsidRPr="00EA6C7A">
        <w:rPr>
          <w:rFonts w:ascii="Verdana" w:eastAsia="Batang" w:hAnsi="Verdana"/>
          <w:sz w:val="20"/>
          <w:szCs w:val="20"/>
          <w:lang w:val="en-US" w:eastAsia="es-MX"/>
        </w:rPr>
        <w:t>6</w:t>
      </w:r>
      <w:r w:rsidR="002B7467"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30 a.m.</w:t>
      </w:r>
      <w:r w:rsidR="00ED716F" w:rsidRPr="00EA6C7A">
        <w:rPr>
          <w:rFonts w:ascii="Verdana" w:eastAsia="Batang" w:hAnsi="Verdana"/>
          <w:sz w:val="20"/>
          <w:szCs w:val="20"/>
          <w:lang w:val="en-US" w:eastAsia="es-MX"/>
        </w:rPr>
        <w:t xml:space="preserve"> the assistant prosecutor arrived, together with the forensic physician and</w:t>
      </w:r>
      <w:r w:rsidR="00EF1D78" w:rsidRPr="00EA6C7A">
        <w:rPr>
          <w:rFonts w:ascii="Verdana" w:eastAsia="Batang" w:hAnsi="Verdana"/>
          <w:sz w:val="20"/>
          <w:szCs w:val="20"/>
          <w:lang w:val="en-US" w:eastAsia="es-MX"/>
        </w:rPr>
        <w:t xml:space="preserve"> the criminal investigation experts</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as</w:t>
      </w:r>
      <w:r w:rsidR="00ED716F" w:rsidRPr="00EA6C7A">
        <w:rPr>
          <w:rFonts w:ascii="Verdana" w:eastAsia="Batang" w:hAnsi="Verdana"/>
          <w:sz w:val="20"/>
          <w:szCs w:val="20"/>
          <w:lang w:val="en-US" w:eastAsia="es-MX"/>
        </w:rPr>
        <w:t xml:space="preserve"> well as members of the Crime Scene Protection Unit and the </w:t>
      </w:r>
      <w:r w:rsidR="00EF1D78" w:rsidRPr="00EA6C7A">
        <w:rPr>
          <w:rFonts w:ascii="Verdana" w:eastAsia="Batang" w:hAnsi="Verdana"/>
          <w:sz w:val="20"/>
          <w:szCs w:val="20"/>
          <w:lang w:val="en-US" w:eastAsia="es-MX"/>
        </w:rPr>
        <w:t>Unit to Combat Murders of Women</w:t>
      </w:r>
      <w:r w:rsidR="00CD09AF" w:rsidRPr="00EA6C7A">
        <w:rPr>
          <w:rFonts w:ascii="Verdana" w:eastAsia="Batang" w:hAnsi="Verdana"/>
          <w:sz w:val="20"/>
          <w:szCs w:val="20"/>
          <w:lang w:val="en-US" w:eastAsia="es-MX"/>
        </w:rPr>
        <w:t xml:space="preserve"> </w:t>
      </w:r>
      <w:r w:rsidR="00ED716F" w:rsidRPr="00EA6C7A">
        <w:rPr>
          <w:rFonts w:ascii="Verdana" w:eastAsia="Batang" w:hAnsi="Verdana"/>
          <w:sz w:val="20"/>
          <w:szCs w:val="20"/>
          <w:lang w:val="en-US" w:eastAsia="es-MX"/>
        </w:rPr>
        <w:t>of the PNC Criminal Investigation Service.</w:t>
      </w:r>
      <w:r w:rsidR="00CD09AF" w:rsidRPr="00EA6C7A">
        <w:rPr>
          <w:rFonts w:ascii="Verdana" w:eastAsia="Batang" w:hAnsi="Verdana"/>
          <w:sz w:val="20"/>
          <w:szCs w:val="20"/>
          <w:vertAlign w:val="superscript"/>
          <w:lang w:val="en-US" w:eastAsia="es-MX"/>
        </w:rPr>
        <w:footnoteReference w:id="47"/>
      </w:r>
      <w:r w:rsidR="00ED716F" w:rsidRPr="00EA6C7A">
        <w:rPr>
          <w:rFonts w:ascii="Verdana" w:eastAsia="Batang" w:hAnsi="Verdana"/>
          <w:sz w:val="20"/>
          <w:szCs w:val="20"/>
          <w:lang w:val="en-US" w:eastAsia="es-MX"/>
        </w:rPr>
        <w:t xml:space="preserve"> The evidence reveals that at</w:t>
      </w:r>
      <w:r w:rsidR="00CD09AF" w:rsidRPr="00EA6C7A">
        <w:rPr>
          <w:rFonts w:ascii="Verdana" w:eastAsia="Batang" w:hAnsi="Verdana"/>
          <w:sz w:val="20"/>
          <w:szCs w:val="20"/>
          <w:lang w:val="en-US" w:eastAsia="es-MX"/>
        </w:rPr>
        <w:t xml:space="preserve"> 6</w:t>
      </w:r>
      <w:r w:rsidR="002B7467"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30 a.m.</w:t>
      </w:r>
      <w:r w:rsidR="00ED716F" w:rsidRPr="00EA6C7A">
        <w:rPr>
          <w:rFonts w:ascii="Verdana" w:eastAsia="Batang" w:hAnsi="Verdana"/>
          <w:sz w:val="20"/>
          <w:szCs w:val="20"/>
          <w:lang w:val="en-US" w:eastAsia="es-MX"/>
        </w:rPr>
        <w:t xml:space="preserve"> the area had already been cordoned off.</w:t>
      </w:r>
      <w:r w:rsidR="00CD09AF" w:rsidRPr="00EA6C7A">
        <w:rPr>
          <w:rFonts w:ascii="Verdana" w:eastAsia="Batang" w:hAnsi="Verdana"/>
          <w:sz w:val="20"/>
          <w:szCs w:val="20"/>
          <w:vertAlign w:val="superscript"/>
          <w:lang w:val="en-US" w:eastAsia="es-MX"/>
        </w:rPr>
        <w:footnoteReference w:id="48"/>
      </w:r>
    </w:p>
    <w:p w14:paraId="4F6533E6" w14:textId="77777777" w:rsidR="00CD09AF" w:rsidRPr="00EA6C7A" w:rsidRDefault="00CD09AF" w:rsidP="00CD09AF">
      <w:pPr>
        <w:spacing w:after="0" w:line="240" w:lineRule="auto"/>
        <w:jc w:val="both"/>
        <w:rPr>
          <w:rFonts w:ascii="Verdana" w:hAnsi="Verdana"/>
          <w:sz w:val="20"/>
          <w:szCs w:val="20"/>
          <w:lang w:val="en-US"/>
        </w:rPr>
      </w:pPr>
    </w:p>
    <w:p w14:paraId="7884E3B4" w14:textId="77777777" w:rsidR="00CD09AF" w:rsidRPr="00EA6C7A" w:rsidRDefault="00EF1D78" w:rsidP="00CE51DA">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The body was identified </w:t>
      </w:r>
      <w:r w:rsidR="00CD09AF" w:rsidRPr="00EA6C7A">
        <w:rPr>
          <w:rFonts w:ascii="Verdana" w:eastAsia="Batang" w:hAnsi="Verdana"/>
          <w:sz w:val="20"/>
          <w:szCs w:val="20"/>
          <w:lang w:val="en-US" w:eastAsia="es-MX"/>
        </w:rPr>
        <w:t>“</w:t>
      </w:r>
      <w:r w:rsidRPr="00EA6C7A">
        <w:rPr>
          <w:rFonts w:ascii="Verdana" w:eastAsia="Batang" w:hAnsi="Verdana"/>
          <w:sz w:val="20"/>
          <w:szCs w:val="20"/>
          <w:lang w:val="en-US" w:eastAsia="es-MX"/>
        </w:rPr>
        <w:t>as</w:t>
      </w:r>
      <w:r w:rsidR="00CD09AF" w:rsidRPr="00EA6C7A">
        <w:rPr>
          <w:rFonts w:ascii="Verdana" w:eastAsia="Batang" w:hAnsi="Verdana"/>
          <w:sz w:val="20"/>
          <w:szCs w:val="20"/>
          <w:lang w:val="en-US" w:eastAsia="es-MX"/>
        </w:rPr>
        <w:t xml:space="preserve"> XX”</w:t>
      </w:r>
      <w:r w:rsidR="00CD09AF" w:rsidRPr="00EA6C7A">
        <w:rPr>
          <w:rFonts w:ascii="Verdana" w:eastAsia="Batang" w:hAnsi="Verdana"/>
          <w:sz w:val="20"/>
          <w:szCs w:val="20"/>
          <w:vertAlign w:val="superscript"/>
          <w:lang w:val="en-US" w:eastAsia="es-MX"/>
        </w:rPr>
        <w:footnoteReference w:id="49"/>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as noted in the forensic record of the crime scene</w:t>
      </w:r>
      <w:r w:rsidR="00CE51DA" w:rsidRPr="00EA6C7A">
        <w:rPr>
          <w:rFonts w:ascii="Verdana" w:eastAsia="Batang" w:hAnsi="Verdana"/>
          <w:sz w:val="20"/>
          <w:szCs w:val="20"/>
          <w:lang w:val="en-US" w:eastAsia="es-MX"/>
        </w:rPr>
        <w:t>, was lying “on the pavement covered with a white sheet, with a</w:t>
      </w:r>
      <w:r w:rsidRPr="00EA6C7A">
        <w:rPr>
          <w:rFonts w:ascii="Verdana" w:eastAsia="Batang" w:hAnsi="Verdana"/>
          <w:sz w:val="20"/>
          <w:szCs w:val="20"/>
          <w:lang w:val="en-US" w:eastAsia="es-MX"/>
        </w:rPr>
        <w:t xml:space="preserve"> </w:t>
      </w:r>
      <w:r w:rsidR="00CE51DA" w:rsidRPr="00EA6C7A">
        <w:rPr>
          <w:rFonts w:ascii="Verdana" w:eastAsia="Batang" w:hAnsi="Verdana"/>
          <w:sz w:val="20"/>
          <w:szCs w:val="20"/>
          <w:lang w:val="en-US" w:eastAsia="es-MX"/>
        </w:rPr>
        <w:t>bullet casing and blood” and</w:t>
      </w:r>
      <w:r w:rsidR="00CD09AF" w:rsidRPr="00EA6C7A">
        <w:rPr>
          <w:rFonts w:ascii="Verdana" w:eastAsia="Batang" w:hAnsi="Verdana"/>
          <w:sz w:val="20"/>
          <w:szCs w:val="20"/>
          <w:lang w:val="en-US" w:eastAsia="es-MX"/>
        </w:rPr>
        <w:t xml:space="preserve"> “</w:t>
      </w:r>
      <w:r w:rsidR="00CE51DA" w:rsidRPr="00EA6C7A">
        <w:rPr>
          <w:rFonts w:ascii="Verdana" w:eastAsia="Batang" w:hAnsi="Verdana"/>
          <w:sz w:val="20"/>
          <w:szCs w:val="20"/>
          <w:lang w:val="en-US" w:eastAsia="es-MX"/>
        </w:rPr>
        <w:t>there was a strong smell of alcohol in the air.</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50"/>
      </w:r>
      <w:r w:rsidR="00CD09AF" w:rsidRPr="00EA6C7A">
        <w:rPr>
          <w:rFonts w:ascii="Verdana" w:eastAsia="Batang" w:hAnsi="Verdana"/>
          <w:sz w:val="20"/>
          <w:szCs w:val="20"/>
          <w:lang w:val="en-US" w:eastAsia="es-MX"/>
        </w:rPr>
        <w:t xml:space="preserve"> </w:t>
      </w:r>
      <w:r w:rsidR="00CE51DA" w:rsidRPr="00EA6C7A">
        <w:rPr>
          <w:rFonts w:ascii="Verdana" w:eastAsia="Batang" w:hAnsi="Verdana"/>
          <w:sz w:val="20"/>
          <w:szCs w:val="20"/>
          <w:lang w:val="en-US" w:eastAsia="es-MX"/>
        </w:rPr>
        <w:t xml:space="preserve">The woman was wearing a pair of blue jeans, a </w:t>
      </w:r>
      <w:r w:rsidR="00CE51DA" w:rsidRPr="00EA6C7A">
        <w:rPr>
          <w:rFonts w:ascii="Verdana" w:eastAsia="Batang" w:hAnsi="Verdana"/>
          <w:sz w:val="20"/>
          <w:szCs w:val="20"/>
          <w:lang w:val="en-US" w:eastAsia="es-MX"/>
        </w:rPr>
        <w:lastRenderedPageBreak/>
        <w:t>black blouse, a pink sweater, black sandals, a brassier</w:t>
      </w:r>
      <w:r w:rsidR="00100E3D" w:rsidRPr="00EA6C7A">
        <w:rPr>
          <w:rFonts w:ascii="Verdana" w:eastAsia="Batang" w:hAnsi="Verdana"/>
          <w:sz w:val="20"/>
          <w:szCs w:val="20"/>
          <w:lang w:val="en-US" w:eastAsia="es-MX"/>
        </w:rPr>
        <w:t>e</w:t>
      </w:r>
      <w:r w:rsidR="00CE51DA" w:rsidRPr="00EA6C7A">
        <w:rPr>
          <w:rFonts w:ascii="Verdana" w:eastAsia="Batang" w:hAnsi="Verdana"/>
          <w:sz w:val="20"/>
          <w:szCs w:val="20"/>
          <w:lang w:val="en-US" w:eastAsia="es-MX"/>
        </w:rPr>
        <w:t xml:space="preserve"> (white/pink), and underpants (salmon/pale pink</w:t>
      </w:r>
      <w:r w:rsidR="00CD09AF" w:rsidRPr="00EA6C7A">
        <w:rPr>
          <w:rFonts w:ascii="Verdana" w:eastAsia="Batang" w:hAnsi="Verdana"/>
          <w:sz w:val="20"/>
          <w:szCs w:val="20"/>
          <w:lang w:val="en-US" w:eastAsia="es-MX"/>
        </w:rPr>
        <w:t>)</w:t>
      </w:r>
      <w:r w:rsidR="00CE51DA"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51"/>
      </w:r>
      <w:r w:rsidR="00CD09AF" w:rsidRPr="00EA6C7A">
        <w:rPr>
          <w:rFonts w:ascii="Verdana" w:eastAsia="Batang" w:hAnsi="Verdana"/>
          <w:sz w:val="20"/>
          <w:szCs w:val="20"/>
          <w:lang w:val="en-US" w:eastAsia="es-MX"/>
        </w:rPr>
        <w:t xml:space="preserve"> </w:t>
      </w:r>
      <w:r w:rsidR="00CE51DA" w:rsidRPr="00EA6C7A">
        <w:rPr>
          <w:rFonts w:ascii="Verdana" w:eastAsia="Batang" w:hAnsi="Verdana"/>
          <w:sz w:val="20"/>
          <w:szCs w:val="20"/>
          <w:lang w:val="en-US" w:eastAsia="es-MX"/>
        </w:rPr>
        <w:t xml:space="preserve">she had a </w:t>
      </w:r>
      <w:r w:rsidR="00100E3D" w:rsidRPr="00EA6C7A">
        <w:rPr>
          <w:rFonts w:ascii="Verdana" w:eastAsia="Batang" w:hAnsi="Verdana"/>
          <w:sz w:val="20"/>
          <w:szCs w:val="20"/>
          <w:lang w:val="en-US" w:eastAsia="es-MX"/>
        </w:rPr>
        <w:t>navel</w:t>
      </w:r>
      <w:r w:rsidR="002B7467" w:rsidRPr="00EA6C7A">
        <w:rPr>
          <w:rFonts w:ascii="Verdana" w:eastAsia="Batang" w:hAnsi="Verdana"/>
          <w:sz w:val="20"/>
          <w:szCs w:val="20"/>
          <w:lang w:val="en-US" w:eastAsia="es-MX"/>
        </w:rPr>
        <w:t xml:space="preserve"> piercing with a ring</w:t>
      </w:r>
      <w:r w:rsidR="00CE51DA" w:rsidRPr="00EA6C7A">
        <w:rPr>
          <w:rFonts w:ascii="Verdana" w:eastAsia="Batang" w:hAnsi="Verdana"/>
          <w:sz w:val="20"/>
          <w:szCs w:val="20"/>
          <w:lang w:val="en-US" w:eastAsia="es-MX"/>
        </w:rPr>
        <w:t xml:space="preserve">, a choker-style </w:t>
      </w:r>
      <w:r w:rsidR="002B7467" w:rsidRPr="00EA6C7A">
        <w:rPr>
          <w:rFonts w:ascii="Verdana" w:eastAsia="Batang" w:hAnsi="Verdana"/>
          <w:sz w:val="20"/>
          <w:szCs w:val="20"/>
          <w:lang w:val="en-US" w:eastAsia="es-MX"/>
        </w:rPr>
        <w:t>necklace</w:t>
      </w:r>
      <w:r w:rsidR="00CE51DA" w:rsidRPr="00EA6C7A">
        <w:rPr>
          <w:rFonts w:ascii="Verdana" w:eastAsia="Batang" w:hAnsi="Verdana"/>
          <w:sz w:val="20"/>
          <w:szCs w:val="20"/>
          <w:lang w:val="en-US" w:eastAsia="es-MX"/>
        </w:rPr>
        <w:t xml:space="preserve">, and there was “a bullet wound with </w:t>
      </w:r>
      <w:r w:rsidR="00100E3D" w:rsidRPr="00EA6C7A">
        <w:rPr>
          <w:rFonts w:ascii="Verdana" w:eastAsia="Batang" w:hAnsi="Verdana"/>
          <w:sz w:val="20"/>
          <w:szCs w:val="20"/>
          <w:lang w:val="en-US" w:eastAsia="es-MX"/>
        </w:rPr>
        <w:t xml:space="preserve">powder tattooing on </w:t>
      </w:r>
      <w:r w:rsidR="002B7467" w:rsidRPr="00EA6C7A">
        <w:rPr>
          <w:rFonts w:ascii="Verdana" w:eastAsia="Batang" w:hAnsi="Verdana"/>
          <w:sz w:val="20"/>
          <w:szCs w:val="20"/>
          <w:lang w:val="en-US" w:eastAsia="es-MX"/>
        </w:rPr>
        <w:t>her</w:t>
      </w:r>
      <w:r w:rsidR="00100E3D" w:rsidRPr="00EA6C7A">
        <w:rPr>
          <w:rFonts w:ascii="Verdana" w:eastAsia="Batang" w:hAnsi="Verdana"/>
          <w:sz w:val="20"/>
          <w:szCs w:val="20"/>
          <w:lang w:val="en-US" w:eastAsia="es-MX"/>
        </w:rPr>
        <w:t xml:space="preserve"> forehead,” as well as “bloodstained” clothes, “she was not wearing her brassiere,” rather it was placed between her jeans and her hips, “belt removed,” “zipper undone” and “blouse on back</w:t>
      </w:r>
      <w:r w:rsidR="00721F8D" w:rsidRPr="00EA6C7A">
        <w:rPr>
          <w:rFonts w:ascii="Verdana" w:eastAsia="Batang" w:hAnsi="Verdana"/>
          <w:sz w:val="20"/>
          <w:szCs w:val="20"/>
          <w:lang w:val="en-US" w:eastAsia="es-MX"/>
        </w:rPr>
        <w:t xml:space="preserve"> </w:t>
      </w:r>
      <w:r w:rsidR="002B7467" w:rsidRPr="00EA6C7A">
        <w:rPr>
          <w:rFonts w:ascii="Verdana" w:eastAsia="Batang" w:hAnsi="Verdana"/>
          <w:sz w:val="20"/>
          <w:szCs w:val="20"/>
          <w:lang w:val="en-US" w:eastAsia="es-MX"/>
        </w:rPr>
        <w:t>to</w:t>
      </w:r>
      <w:r w:rsidR="00721F8D" w:rsidRPr="00EA6C7A">
        <w:rPr>
          <w:rFonts w:ascii="Verdana" w:eastAsia="Batang" w:hAnsi="Verdana"/>
          <w:sz w:val="20"/>
          <w:szCs w:val="20"/>
          <w:lang w:val="en-US" w:eastAsia="es-MX"/>
        </w:rPr>
        <w:t xml:space="preserve"> </w:t>
      </w:r>
      <w:r w:rsidR="002B7467" w:rsidRPr="00EA6C7A">
        <w:rPr>
          <w:rFonts w:ascii="Verdana" w:eastAsia="Batang" w:hAnsi="Verdana"/>
          <w:sz w:val="20"/>
          <w:szCs w:val="20"/>
          <w:lang w:val="en-US" w:eastAsia="es-MX"/>
        </w:rPr>
        <w:t>front</w:t>
      </w:r>
      <w:r w:rsidR="00100E3D"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52"/>
      </w:r>
      <w:r w:rsidR="00100E3D" w:rsidRPr="00EA6C7A">
        <w:rPr>
          <w:rFonts w:ascii="Verdana" w:eastAsia="Batang" w:hAnsi="Verdana"/>
          <w:sz w:val="20"/>
          <w:szCs w:val="20"/>
          <w:lang w:val="en-US" w:eastAsia="es-MX"/>
        </w:rPr>
        <w:t xml:space="preserve"> In addition, there was “reddish-purple bruising round her left eye and cheek” and scratches on her left knee and side, with no vital signs.</w:t>
      </w:r>
      <w:r w:rsidR="00CD09AF" w:rsidRPr="00EA6C7A">
        <w:rPr>
          <w:rFonts w:ascii="Verdana" w:eastAsia="Batang" w:hAnsi="Verdana"/>
          <w:sz w:val="20"/>
          <w:szCs w:val="20"/>
          <w:vertAlign w:val="superscript"/>
          <w:lang w:val="en-US" w:eastAsia="es-MX"/>
        </w:rPr>
        <w:footnoteReference w:id="53"/>
      </w:r>
    </w:p>
    <w:p w14:paraId="1D2078D6" w14:textId="77777777" w:rsidR="00CD09AF" w:rsidRPr="00EA6C7A" w:rsidRDefault="00CD09AF" w:rsidP="00CD09AF">
      <w:pPr>
        <w:spacing w:after="0" w:line="240" w:lineRule="auto"/>
        <w:jc w:val="both"/>
        <w:rPr>
          <w:rFonts w:ascii="Verdana" w:hAnsi="Verdana"/>
          <w:sz w:val="20"/>
          <w:szCs w:val="20"/>
          <w:lang w:val="en-US"/>
        </w:rPr>
      </w:pPr>
    </w:p>
    <w:p w14:paraId="01C87ABE" w14:textId="77777777" w:rsidR="00CD09AF" w:rsidRPr="00EA6C7A" w:rsidRDefault="00100E3D" w:rsidP="00100E3D">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Various objects at the scene of the crime were collected as evidence</w:t>
      </w:r>
      <w:r w:rsidR="002B7467" w:rsidRPr="00EA6C7A">
        <w:rPr>
          <w:rFonts w:ascii="Verdana" w:eastAsia="Batang" w:hAnsi="Verdana"/>
          <w:sz w:val="20"/>
          <w:szCs w:val="20"/>
          <w:lang w:val="en-US" w:eastAsia="es-MX"/>
        </w:rPr>
        <w:t>.</w:t>
      </w:r>
      <w:r w:rsidRPr="00EA6C7A">
        <w:rPr>
          <w:rFonts w:ascii="Verdana" w:eastAsia="Batang" w:hAnsi="Verdana"/>
          <w:sz w:val="20"/>
          <w:szCs w:val="20"/>
          <w:vertAlign w:val="superscript"/>
          <w:lang w:val="en-US" w:eastAsia="es-MX"/>
        </w:rPr>
        <w:footnoteReference w:id="54"/>
      </w:r>
      <w:r w:rsidRPr="00EA6C7A">
        <w:rPr>
          <w:rFonts w:ascii="Verdana" w:eastAsia="Batang" w:hAnsi="Verdana"/>
          <w:sz w:val="20"/>
          <w:szCs w:val="20"/>
          <w:lang w:val="en-US" w:eastAsia="es-MX"/>
        </w:rPr>
        <w:t xml:space="preserve"> </w:t>
      </w:r>
      <w:r w:rsidR="002B7467" w:rsidRPr="00EA6C7A">
        <w:rPr>
          <w:rFonts w:ascii="Verdana" w:eastAsia="Batang" w:hAnsi="Verdana"/>
          <w:sz w:val="20"/>
          <w:szCs w:val="20"/>
          <w:lang w:val="en-US" w:eastAsia="es-MX"/>
        </w:rPr>
        <w:t>T</w:t>
      </w:r>
      <w:r w:rsidRPr="00EA6C7A">
        <w:rPr>
          <w:rFonts w:ascii="Verdana" w:eastAsia="Batang" w:hAnsi="Verdana"/>
          <w:sz w:val="20"/>
          <w:szCs w:val="20"/>
          <w:lang w:val="en-US" w:eastAsia="es-MX"/>
        </w:rPr>
        <w:t>he</w:t>
      </w:r>
      <w:r w:rsidR="00C330F7" w:rsidRPr="00EA6C7A">
        <w:rPr>
          <w:rFonts w:ascii="Verdana" w:eastAsia="Batang" w:hAnsi="Verdana"/>
          <w:sz w:val="20"/>
          <w:szCs w:val="20"/>
          <w:lang w:val="en-US" w:eastAsia="es-MX"/>
        </w:rPr>
        <w:t>se</w:t>
      </w:r>
      <w:r w:rsidRPr="00EA6C7A">
        <w:rPr>
          <w:rFonts w:ascii="Verdana" w:eastAsia="Batang" w:hAnsi="Verdana"/>
          <w:sz w:val="20"/>
          <w:szCs w:val="20"/>
          <w:lang w:val="en-US" w:eastAsia="es-MX"/>
        </w:rPr>
        <w:t xml:space="preserve"> were </w:t>
      </w:r>
      <w:r w:rsidR="00C330F7" w:rsidRPr="00EA6C7A">
        <w:rPr>
          <w:rFonts w:ascii="Verdana" w:eastAsia="Batang" w:hAnsi="Verdana"/>
          <w:sz w:val="20"/>
          <w:szCs w:val="20"/>
          <w:lang w:val="en-US" w:eastAsia="es-MX"/>
        </w:rPr>
        <w:t>wrapped up and placed in the custody of the Public Prosecution Service’s crime scene experts. In addition, according to information gathered by “the reporting agents,” several individuals who were present stated that “a white taxi-type vehicle had stopped there, possibly to dump the body.” However, these individuals “did not give their names for fear of reprisals.” At around 7</w:t>
      </w:r>
      <w:r w:rsidR="002B7467" w:rsidRPr="00EA6C7A">
        <w:rPr>
          <w:rFonts w:ascii="Verdana" w:eastAsia="Batang" w:hAnsi="Verdana"/>
          <w:sz w:val="20"/>
          <w:szCs w:val="20"/>
          <w:lang w:val="en-US" w:eastAsia="es-MX"/>
        </w:rPr>
        <w:t>.</w:t>
      </w:r>
      <w:r w:rsidR="00C330F7" w:rsidRPr="00EA6C7A">
        <w:rPr>
          <w:rFonts w:ascii="Verdana" w:eastAsia="Batang" w:hAnsi="Verdana"/>
          <w:sz w:val="20"/>
          <w:szCs w:val="20"/>
          <w:lang w:val="en-US" w:eastAsia="es-MX"/>
        </w:rPr>
        <w:t>30 a.m., the body was transferred by a police vehicle to the Zone 3 Judiciary’s morgue.</w:t>
      </w:r>
      <w:r w:rsidR="00CD09AF" w:rsidRPr="00EA6C7A">
        <w:rPr>
          <w:rFonts w:ascii="Verdana" w:eastAsia="Batang" w:hAnsi="Verdana"/>
          <w:sz w:val="20"/>
          <w:szCs w:val="20"/>
          <w:vertAlign w:val="superscript"/>
          <w:lang w:val="en-US" w:eastAsia="es-MX"/>
        </w:rPr>
        <w:footnoteReference w:id="55"/>
      </w:r>
      <w:r w:rsidR="00CD09AF" w:rsidRPr="00EA6C7A">
        <w:rPr>
          <w:rFonts w:ascii="Verdana" w:eastAsia="Batang" w:hAnsi="Verdana"/>
          <w:sz w:val="20"/>
          <w:szCs w:val="20"/>
          <w:lang w:val="en-US" w:eastAsia="es-MX"/>
        </w:rPr>
        <w:t xml:space="preserve"> </w:t>
      </w:r>
      <w:r w:rsidR="00C330F7" w:rsidRPr="00EA6C7A">
        <w:rPr>
          <w:rFonts w:ascii="Verdana" w:eastAsia="Batang" w:hAnsi="Verdana"/>
          <w:sz w:val="20"/>
          <w:szCs w:val="20"/>
          <w:lang w:val="en-US" w:eastAsia="es-MX"/>
        </w:rPr>
        <w:t xml:space="preserve">The same day, the PNC police report was drawn up and the Public Prosecution Service’s Form </w:t>
      </w:r>
      <w:r w:rsidR="00650A0B" w:rsidRPr="00EA6C7A">
        <w:rPr>
          <w:rFonts w:ascii="Verdana" w:eastAsia="Batang" w:hAnsi="Verdana"/>
          <w:sz w:val="20"/>
          <w:szCs w:val="20"/>
          <w:lang w:val="en-US" w:eastAsia="es-MX"/>
        </w:rPr>
        <w:t>on</w:t>
      </w:r>
      <w:r w:rsidR="00C330F7" w:rsidRPr="00EA6C7A">
        <w:rPr>
          <w:rFonts w:ascii="Verdana" w:eastAsia="Batang" w:hAnsi="Verdana"/>
          <w:sz w:val="20"/>
          <w:szCs w:val="20"/>
          <w:lang w:val="en-US" w:eastAsia="es-MX"/>
        </w:rPr>
        <w:t xml:space="preserve"> the </w:t>
      </w:r>
      <w:r w:rsidR="0083210F" w:rsidRPr="00EA6C7A">
        <w:rPr>
          <w:rFonts w:ascii="Verdana" w:eastAsia="Batang" w:hAnsi="Verdana"/>
          <w:sz w:val="20"/>
          <w:szCs w:val="20"/>
          <w:lang w:val="en-US" w:eastAsia="es-MX"/>
        </w:rPr>
        <w:t>R</w:t>
      </w:r>
      <w:r w:rsidR="00C330F7" w:rsidRPr="00EA6C7A">
        <w:rPr>
          <w:rFonts w:ascii="Verdana" w:eastAsia="Batang" w:hAnsi="Verdana"/>
          <w:sz w:val="20"/>
          <w:szCs w:val="20"/>
          <w:lang w:val="en-US" w:eastAsia="es-MX"/>
        </w:rPr>
        <w:t xml:space="preserve">emoval and </w:t>
      </w:r>
      <w:r w:rsidR="0083210F" w:rsidRPr="00EA6C7A">
        <w:rPr>
          <w:rFonts w:ascii="Verdana" w:eastAsia="Batang" w:hAnsi="Verdana"/>
          <w:sz w:val="20"/>
          <w:szCs w:val="20"/>
          <w:lang w:val="en-US" w:eastAsia="es-MX"/>
        </w:rPr>
        <w:t>T</w:t>
      </w:r>
      <w:r w:rsidR="00C330F7" w:rsidRPr="00EA6C7A">
        <w:rPr>
          <w:rFonts w:ascii="Verdana" w:eastAsia="Batang" w:hAnsi="Verdana"/>
          <w:sz w:val="20"/>
          <w:szCs w:val="20"/>
          <w:lang w:val="en-US" w:eastAsia="es-MX"/>
        </w:rPr>
        <w:t xml:space="preserve">ransfer of </w:t>
      </w:r>
      <w:r w:rsidR="0083210F" w:rsidRPr="00EA6C7A">
        <w:rPr>
          <w:rFonts w:ascii="Verdana" w:eastAsia="Batang" w:hAnsi="Verdana"/>
          <w:sz w:val="20"/>
          <w:szCs w:val="20"/>
          <w:lang w:val="en-US" w:eastAsia="es-MX"/>
        </w:rPr>
        <w:t>Co</w:t>
      </w:r>
      <w:r w:rsidR="00C330F7" w:rsidRPr="00EA6C7A">
        <w:rPr>
          <w:rFonts w:ascii="Verdana" w:eastAsia="Batang" w:hAnsi="Verdana"/>
          <w:sz w:val="20"/>
          <w:szCs w:val="20"/>
          <w:lang w:val="en-US" w:eastAsia="es-MX"/>
        </w:rPr>
        <w:t>rpses was completed.</w:t>
      </w:r>
      <w:r w:rsidR="00CD09AF" w:rsidRPr="00EA6C7A">
        <w:rPr>
          <w:rFonts w:ascii="Verdana" w:eastAsia="Batang" w:hAnsi="Verdana"/>
          <w:sz w:val="20"/>
          <w:szCs w:val="20"/>
          <w:vertAlign w:val="superscript"/>
          <w:lang w:val="en-US" w:eastAsia="es-MX"/>
        </w:rPr>
        <w:footnoteReference w:id="56"/>
      </w:r>
    </w:p>
    <w:p w14:paraId="03198C11" w14:textId="77777777" w:rsidR="00CD09AF" w:rsidRPr="00EA6C7A" w:rsidRDefault="00CD09AF" w:rsidP="00CD09AF">
      <w:pPr>
        <w:spacing w:after="0" w:line="240" w:lineRule="auto"/>
        <w:jc w:val="both"/>
        <w:rPr>
          <w:rFonts w:ascii="Verdana" w:hAnsi="Verdana"/>
          <w:sz w:val="20"/>
          <w:szCs w:val="20"/>
          <w:lang w:val="en-US"/>
        </w:rPr>
      </w:pPr>
    </w:p>
    <w:p w14:paraId="061F0EC5" w14:textId="77777777" w:rsidR="00CD09AF" w:rsidRPr="00EA6C7A" w:rsidRDefault="00C330F7" w:rsidP="00E11A7C">
      <w:pPr>
        <w:numPr>
          <w:ilvl w:val="0"/>
          <w:numId w:val="3"/>
        </w:numPr>
        <w:spacing w:after="0" w:line="240" w:lineRule="auto"/>
        <w:ind w:left="0" w:hanging="11"/>
        <w:contextualSpacing/>
        <w:jc w:val="both"/>
        <w:rPr>
          <w:rFonts w:ascii="Verdana" w:eastAsia="Batang" w:hAnsi="Verdana"/>
          <w:sz w:val="20"/>
          <w:szCs w:val="20"/>
          <w:lang w:val="en-US" w:eastAsia="es-MX"/>
        </w:rPr>
      </w:pPr>
      <w:r w:rsidRPr="00EA6C7A">
        <w:rPr>
          <w:rFonts w:ascii="Verdana" w:eastAsia="Batang" w:hAnsi="Verdana"/>
          <w:sz w:val="20"/>
          <w:szCs w:val="20"/>
          <w:lang w:val="en-US" w:eastAsia="es-MX"/>
        </w:rPr>
        <w:t>The parents of</w:t>
      </w:r>
      <w:r w:rsidR="00CD09AF" w:rsidRPr="00EA6C7A">
        <w:rPr>
          <w:rFonts w:ascii="Verdana" w:eastAsia="Batang" w:hAnsi="Verdana"/>
          <w:sz w:val="20"/>
          <w:szCs w:val="20"/>
          <w:lang w:val="en-US" w:eastAsia="es-MX"/>
        </w:rPr>
        <w:t xml:space="preserve"> Claudina Velásquez </w:t>
      </w:r>
      <w:r w:rsidRPr="00EA6C7A">
        <w:rPr>
          <w:rFonts w:ascii="Verdana" w:eastAsia="Batang" w:hAnsi="Verdana"/>
          <w:sz w:val="20"/>
          <w:szCs w:val="20"/>
          <w:lang w:val="en-US" w:eastAsia="es-MX"/>
        </w:rPr>
        <w:t>found out about the discovery of their daughter’s body by a telephone call from a friend of one of</w:t>
      </w:r>
      <w:r w:rsidR="00562FE7" w:rsidRPr="00EA6C7A">
        <w:rPr>
          <w:rFonts w:ascii="Verdana" w:eastAsia="Batang" w:hAnsi="Verdana"/>
          <w:sz w:val="20"/>
          <w:szCs w:val="20"/>
          <w:lang w:val="en-US" w:eastAsia="es-MX"/>
        </w:rPr>
        <w:t xml:space="preserve"> Elsa Claudina Paiz Vidal</w:t>
      </w:r>
      <w:r w:rsidRPr="00EA6C7A">
        <w:rPr>
          <w:rFonts w:ascii="Verdana" w:eastAsia="Batang" w:hAnsi="Verdana"/>
          <w:sz w:val="20"/>
          <w:szCs w:val="20"/>
          <w:lang w:val="en-US" w:eastAsia="es-MX"/>
        </w:rPr>
        <w:t>’s cousins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who advised them that there was an unidentified body with the characteristics of their daughter in the morgue of the</w:t>
      </w:r>
      <w:r w:rsidR="0083210F" w:rsidRPr="00EA6C7A">
        <w:rPr>
          <w:rFonts w:ascii="Verdana" w:eastAsia="Batang" w:hAnsi="Verdana"/>
          <w:sz w:val="20"/>
          <w:szCs w:val="20"/>
          <w:lang w:val="en-US" w:eastAsia="es-MX"/>
        </w:rPr>
        <w:t xml:space="preserve"> Zone 3 Judiciary’s</w:t>
      </w:r>
      <w:r w:rsidRPr="00EA6C7A">
        <w:rPr>
          <w:rFonts w:ascii="Verdana" w:eastAsia="Batang" w:hAnsi="Verdana"/>
          <w:sz w:val="20"/>
          <w:szCs w:val="20"/>
          <w:lang w:val="en-US" w:eastAsia="es-MX"/>
        </w:rPr>
        <w:t xml:space="preserve"> </w:t>
      </w:r>
      <w:r w:rsidR="0083210F" w:rsidRPr="00EA6C7A">
        <w:rPr>
          <w:rFonts w:ascii="Verdana" w:eastAsia="Batang" w:hAnsi="Verdana"/>
          <w:sz w:val="20"/>
          <w:szCs w:val="20"/>
          <w:lang w:val="en-US" w:eastAsia="es-MX"/>
        </w:rPr>
        <w:t>Forensic Medicine Service</w:t>
      </w:r>
      <w:r w:rsidR="00CD09AF" w:rsidRPr="00EA6C7A">
        <w:rPr>
          <w:rFonts w:ascii="Verdana" w:eastAsia="Batang" w:hAnsi="Verdana"/>
          <w:sz w:val="20"/>
          <w:szCs w:val="20"/>
          <w:lang w:val="en-US" w:eastAsia="es-MX"/>
        </w:rPr>
        <w:t xml:space="preserve">. </w:t>
      </w:r>
      <w:r w:rsidR="0083210F" w:rsidRPr="00EA6C7A">
        <w:rPr>
          <w:rFonts w:ascii="Verdana" w:eastAsia="Batang" w:hAnsi="Verdana"/>
          <w:sz w:val="20"/>
          <w:szCs w:val="20"/>
          <w:lang w:val="en-US" w:eastAsia="es-MX"/>
        </w:rPr>
        <w:t>They went to the morgue,</w:t>
      </w:r>
      <w:r w:rsidR="00CD09AF" w:rsidRPr="00EA6C7A">
        <w:rPr>
          <w:rFonts w:ascii="Verdana" w:eastAsia="Batang" w:hAnsi="Verdana"/>
          <w:sz w:val="20"/>
          <w:szCs w:val="20"/>
          <w:vertAlign w:val="superscript"/>
          <w:lang w:val="en-US" w:eastAsia="es-MX"/>
        </w:rPr>
        <w:footnoteReference w:id="57"/>
      </w:r>
      <w:r w:rsidR="0083210F" w:rsidRPr="00EA6C7A">
        <w:rPr>
          <w:rFonts w:ascii="Verdana" w:eastAsia="Batang" w:hAnsi="Verdana"/>
          <w:sz w:val="20"/>
          <w:szCs w:val="20"/>
          <w:lang w:val="en-US" w:eastAsia="es-MX"/>
        </w:rPr>
        <w:t xml:space="preserve"> where at around midday on </w:t>
      </w:r>
      <w:r w:rsidR="000B3E6E" w:rsidRPr="00EA6C7A">
        <w:rPr>
          <w:rFonts w:ascii="Verdana" w:eastAsia="Batang" w:hAnsi="Verdana"/>
          <w:sz w:val="20"/>
          <w:szCs w:val="20"/>
          <w:lang w:val="en-US" w:eastAsia="es-MX"/>
        </w:rPr>
        <w:t>August 13,</w:t>
      </w:r>
      <w:r w:rsidR="00CD09AF" w:rsidRPr="00EA6C7A">
        <w:rPr>
          <w:rFonts w:ascii="Verdana" w:eastAsia="Batang" w:hAnsi="Verdana"/>
          <w:sz w:val="20"/>
          <w:szCs w:val="20"/>
          <w:lang w:val="en-US" w:eastAsia="es-MX"/>
        </w:rPr>
        <w:t xml:space="preserve"> 2005</w:t>
      </w:r>
      <w:r w:rsidR="0083210F" w:rsidRPr="00EA6C7A">
        <w:rPr>
          <w:rFonts w:ascii="Verdana" w:eastAsia="Batang" w:hAnsi="Verdana"/>
          <w:sz w:val="20"/>
          <w:szCs w:val="20"/>
          <w:lang w:val="en-US" w:eastAsia="es-MX"/>
        </w:rPr>
        <w:t xml:space="preserve">, the Forensic Medicine Service </w:t>
      </w:r>
      <w:r w:rsidR="00650A0B" w:rsidRPr="00EA6C7A">
        <w:rPr>
          <w:rFonts w:ascii="Verdana" w:eastAsia="Batang" w:hAnsi="Verdana"/>
          <w:sz w:val="20"/>
          <w:szCs w:val="20"/>
          <w:lang w:val="en-US" w:eastAsia="es-MX"/>
        </w:rPr>
        <w:t>returned</w:t>
      </w:r>
      <w:r w:rsidR="0083210F" w:rsidRPr="00EA6C7A">
        <w:rPr>
          <w:rFonts w:ascii="Verdana" w:eastAsia="Batang" w:hAnsi="Verdana"/>
          <w:sz w:val="20"/>
          <w:szCs w:val="20"/>
          <w:lang w:val="en-US" w:eastAsia="es-MX"/>
        </w:rPr>
        <w:t xml:space="preserve"> the</w:t>
      </w:r>
      <w:r w:rsidR="00650A0B" w:rsidRPr="00EA6C7A">
        <w:rPr>
          <w:rFonts w:ascii="Verdana" w:eastAsia="Batang" w:hAnsi="Verdana"/>
          <w:sz w:val="20"/>
          <w:szCs w:val="20"/>
          <w:lang w:val="en-US" w:eastAsia="es-MX"/>
        </w:rPr>
        <w:t>ir daughter’s</w:t>
      </w:r>
      <w:r w:rsidR="0083210F" w:rsidRPr="00EA6C7A">
        <w:rPr>
          <w:rFonts w:ascii="Verdana" w:eastAsia="Batang" w:hAnsi="Verdana"/>
          <w:sz w:val="20"/>
          <w:szCs w:val="20"/>
          <w:lang w:val="en-US" w:eastAsia="es-MX"/>
        </w:rPr>
        <w:t xml:space="preserve"> body to </w:t>
      </w:r>
      <w:r w:rsidR="0083210F" w:rsidRPr="00EA6C7A">
        <w:rPr>
          <w:rFonts w:ascii="Verdana" w:eastAsia="Batang" w:hAnsi="Verdana"/>
          <w:sz w:val="20"/>
          <w:szCs w:val="20"/>
          <w:lang w:val="en-US" w:eastAsia="es-MX"/>
        </w:rPr>
        <w:lastRenderedPageBreak/>
        <w:t>them, once they had identified her.</w:t>
      </w:r>
      <w:r w:rsidR="00CD09AF" w:rsidRPr="00EA6C7A">
        <w:rPr>
          <w:rFonts w:ascii="Verdana" w:eastAsia="Batang" w:hAnsi="Verdana"/>
          <w:sz w:val="20"/>
          <w:szCs w:val="20"/>
          <w:vertAlign w:val="superscript"/>
          <w:lang w:val="en-US" w:eastAsia="es-MX"/>
        </w:rPr>
        <w:footnoteReference w:id="58"/>
      </w:r>
      <w:r w:rsidR="00CD09AF" w:rsidRPr="00EA6C7A">
        <w:rPr>
          <w:rFonts w:ascii="Verdana" w:eastAsia="Batang" w:hAnsi="Verdana"/>
          <w:sz w:val="20"/>
          <w:szCs w:val="20"/>
          <w:lang w:val="en-US" w:eastAsia="es-MX"/>
        </w:rPr>
        <w:t xml:space="preserve"> </w:t>
      </w:r>
      <w:r w:rsidR="0083210F" w:rsidRPr="00EA6C7A">
        <w:rPr>
          <w:rFonts w:ascii="Verdana" w:eastAsia="Batang" w:hAnsi="Verdana"/>
          <w:sz w:val="20"/>
          <w:szCs w:val="20"/>
          <w:lang w:val="en-US" w:eastAsia="es-MX"/>
        </w:rPr>
        <w:t xml:space="preserve">The same day, the death of </w:t>
      </w:r>
      <w:r w:rsidR="00CD09AF" w:rsidRPr="00EA6C7A">
        <w:rPr>
          <w:rFonts w:ascii="Verdana" w:eastAsia="Batang" w:hAnsi="Verdana"/>
          <w:sz w:val="20"/>
          <w:szCs w:val="20"/>
          <w:lang w:val="en-US" w:eastAsia="es-MX"/>
        </w:rPr>
        <w:t>Claudina Velásquez</w:t>
      </w:r>
      <w:r w:rsidR="0083210F" w:rsidRPr="00EA6C7A">
        <w:rPr>
          <w:rFonts w:ascii="Verdana" w:eastAsia="Batang" w:hAnsi="Verdana"/>
          <w:sz w:val="20"/>
          <w:szCs w:val="20"/>
          <w:lang w:val="en-US" w:eastAsia="es-MX"/>
        </w:rPr>
        <w:t xml:space="preserve"> was registered and certified in the Civil Registry of the Municipality of Guatemala.</w:t>
      </w:r>
      <w:r w:rsidR="00CD09AF" w:rsidRPr="00EA6C7A">
        <w:rPr>
          <w:rFonts w:ascii="Verdana" w:eastAsia="Batang" w:hAnsi="Verdana"/>
          <w:sz w:val="20"/>
          <w:szCs w:val="20"/>
          <w:vertAlign w:val="superscript"/>
          <w:lang w:val="en-US" w:eastAsia="es-MX"/>
        </w:rPr>
        <w:footnoteReference w:id="59"/>
      </w:r>
    </w:p>
    <w:p w14:paraId="70865494" w14:textId="77777777" w:rsidR="00CD09AF" w:rsidRPr="00EA6C7A" w:rsidRDefault="00CD09AF" w:rsidP="00CD09AF">
      <w:pPr>
        <w:keepNext/>
        <w:keepLines/>
        <w:spacing w:after="0"/>
        <w:outlineLvl w:val="1"/>
        <w:rPr>
          <w:rFonts w:ascii="Verdana" w:hAnsi="Verdana"/>
          <w:b/>
          <w:bCs/>
          <w:sz w:val="20"/>
          <w:szCs w:val="26"/>
          <w:lang w:val="en-US"/>
        </w:rPr>
      </w:pPr>
    </w:p>
    <w:p w14:paraId="6C67B31B" w14:textId="77777777" w:rsidR="00CD09AF" w:rsidRPr="00EA6C7A" w:rsidRDefault="00CD09AF" w:rsidP="00CD09AF">
      <w:pPr>
        <w:keepNext/>
        <w:keepLines/>
        <w:spacing w:after="0"/>
        <w:outlineLvl w:val="1"/>
        <w:rPr>
          <w:rFonts w:ascii="Verdana" w:hAnsi="Verdana"/>
          <w:b/>
          <w:bCs/>
          <w:sz w:val="20"/>
          <w:szCs w:val="26"/>
          <w:lang w:val="en-US"/>
        </w:rPr>
      </w:pPr>
      <w:bookmarkStart w:id="57" w:name="_Toc26002308"/>
      <w:r w:rsidRPr="00EA6C7A">
        <w:rPr>
          <w:rFonts w:ascii="Verdana" w:hAnsi="Verdana"/>
          <w:b/>
          <w:bCs/>
          <w:sz w:val="20"/>
          <w:szCs w:val="26"/>
          <w:lang w:val="en-US"/>
        </w:rPr>
        <w:t xml:space="preserve">B.3. </w:t>
      </w:r>
      <w:r w:rsidR="00BC4DAF" w:rsidRPr="00EA6C7A">
        <w:rPr>
          <w:rFonts w:ascii="Verdana" w:hAnsi="Verdana"/>
          <w:b/>
          <w:bCs/>
          <w:sz w:val="20"/>
          <w:szCs w:val="26"/>
          <w:lang w:val="en-US"/>
        </w:rPr>
        <w:t xml:space="preserve">Criminal </w:t>
      </w:r>
      <w:r w:rsidR="000821BA" w:rsidRPr="00EA6C7A">
        <w:rPr>
          <w:rFonts w:ascii="Verdana" w:hAnsi="Verdana"/>
          <w:b/>
          <w:bCs/>
          <w:sz w:val="20"/>
          <w:szCs w:val="26"/>
          <w:lang w:val="en-US"/>
        </w:rPr>
        <w:t>i</w:t>
      </w:r>
      <w:r w:rsidR="00BC4DAF" w:rsidRPr="00EA6C7A">
        <w:rPr>
          <w:rFonts w:ascii="Verdana" w:hAnsi="Verdana"/>
          <w:b/>
          <w:bCs/>
          <w:sz w:val="20"/>
          <w:szCs w:val="26"/>
          <w:lang w:val="en-US"/>
        </w:rPr>
        <w:t>nvestigation</w:t>
      </w:r>
      <w:bookmarkEnd w:id="57"/>
    </w:p>
    <w:p w14:paraId="614EF0D8" w14:textId="77777777" w:rsidR="00CD09AF" w:rsidRPr="00EA6C7A" w:rsidRDefault="00CD09AF" w:rsidP="00CD09AF">
      <w:pPr>
        <w:spacing w:after="0" w:line="240" w:lineRule="auto"/>
        <w:jc w:val="both"/>
        <w:rPr>
          <w:rFonts w:ascii="Verdana" w:hAnsi="Verdana"/>
          <w:sz w:val="20"/>
          <w:szCs w:val="20"/>
          <w:lang w:val="en-US"/>
        </w:rPr>
      </w:pPr>
    </w:p>
    <w:p w14:paraId="2C7A66D0" w14:textId="77777777" w:rsidR="00CD09AF" w:rsidRPr="00EA6C7A" w:rsidRDefault="00BC4DAF"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0B3E6E" w:rsidRPr="00EA6C7A">
        <w:rPr>
          <w:rFonts w:ascii="Verdana" w:eastAsia="Batang" w:hAnsi="Verdana"/>
          <w:sz w:val="20"/>
          <w:szCs w:val="20"/>
          <w:lang w:val="en-US" w:eastAsia="es-MX"/>
        </w:rPr>
        <w:t>August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following the</w:t>
      </w:r>
      <w:r w:rsidR="000821BA"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discovery of </w:t>
      </w:r>
      <w:r w:rsidR="00CD09AF" w:rsidRPr="00EA6C7A">
        <w:rPr>
          <w:rFonts w:ascii="Verdana" w:eastAsia="Batang" w:hAnsi="Verdana"/>
          <w:sz w:val="20"/>
          <w:szCs w:val="20"/>
          <w:lang w:val="en-US" w:eastAsia="es-MX"/>
        </w:rPr>
        <w:t>Claudina Velásquez</w:t>
      </w:r>
      <w:r w:rsidR="00C17164" w:rsidRPr="00EA6C7A">
        <w:rPr>
          <w:rFonts w:ascii="Verdana" w:eastAsia="Batang" w:hAnsi="Verdana"/>
          <w:sz w:val="20"/>
          <w:szCs w:val="20"/>
          <w:lang w:val="en-US" w:eastAsia="es-MX"/>
        </w:rPr>
        <w:t>’s body</w:t>
      </w:r>
      <w:r w:rsidR="00CD09AF"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the c</w:t>
      </w:r>
      <w:r w:rsidRPr="00EA6C7A">
        <w:rPr>
          <w:rFonts w:ascii="Verdana" w:eastAsia="Batang" w:hAnsi="Verdana"/>
          <w:sz w:val="20"/>
          <w:szCs w:val="20"/>
          <w:lang w:val="en-US" w:eastAsia="es-MX"/>
        </w:rPr>
        <w:t xml:space="preserve">riminal </w:t>
      </w:r>
      <w:r w:rsidR="000821BA" w:rsidRPr="00EA6C7A">
        <w:rPr>
          <w:rFonts w:ascii="Verdana" w:eastAsia="Batang" w:hAnsi="Verdana"/>
          <w:sz w:val="20"/>
          <w:szCs w:val="20"/>
          <w:lang w:val="en-US" w:eastAsia="es-MX"/>
        </w:rPr>
        <w:t>i</w:t>
      </w:r>
      <w:r w:rsidRPr="00EA6C7A">
        <w:rPr>
          <w:rFonts w:ascii="Verdana" w:eastAsia="Batang" w:hAnsi="Verdana"/>
          <w:sz w:val="20"/>
          <w:szCs w:val="20"/>
          <w:lang w:val="en-US" w:eastAsia="es-MX"/>
        </w:rPr>
        <w:t>nvestigation</w:t>
      </w:r>
      <w:r w:rsidR="000821BA" w:rsidRPr="00EA6C7A">
        <w:rPr>
          <w:rFonts w:ascii="Verdana" w:eastAsia="Batang" w:hAnsi="Verdana"/>
          <w:sz w:val="20"/>
          <w:szCs w:val="20"/>
          <w:lang w:val="en-US" w:eastAsia="es-MX"/>
        </w:rPr>
        <w:t xml:space="preserve"> into her death was opened. The investigation was headed by the Office of the Prosecutor for Crimes against Life and Integrity</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0821BA" w:rsidRPr="00EA6C7A">
        <w:rPr>
          <w:rFonts w:ascii="Verdana" w:eastAsia="Batang" w:hAnsi="Verdana"/>
          <w:sz w:val="20"/>
          <w:szCs w:val="20"/>
          <w:lang w:val="en-US" w:eastAsia="es-MX"/>
        </w:rPr>
        <w:t>, under the jurisdictional control of the Criminal Trial Courts for Drug-trafficking and Environmental Crimes of</w:t>
      </w:r>
      <w:r w:rsidR="00CD09AF" w:rsidRPr="00EA6C7A">
        <w:rPr>
          <w:rFonts w:ascii="Verdana" w:eastAsia="Batang" w:hAnsi="Verdana"/>
          <w:sz w:val="20"/>
          <w:szCs w:val="20"/>
          <w:lang w:val="en-US" w:eastAsia="es-MX"/>
        </w:rPr>
        <w:t xml:space="preserve"> Guatemala. </w:t>
      </w:r>
      <w:r w:rsidR="000821BA" w:rsidRPr="00EA6C7A">
        <w:rPr>
          <w:rFonts w:ascii="Verdana" w:eastAsia="Batang" w:hAnsi="Verdana"/>
          <w:sz w:val="20"/>
          <w:szCs w:val="20"/>
          <w:lang w:val="en-US" w:eastAsia="es-MX"/>
        </w:rPr>
        <w:t>In the course of the investigation, it has been verified that at least nine individuals have been linked to the incident</w:t>
      </w:r>
      <w:r w:rsidR="00CD09AF" w:rsidRPr="00EA6C7A">
        <w:rPr>
          <w:rFonts w:ascii="Verdana" w:eastAsia="Batang" w:hAnsi="Verdana"/>
          <w:sz w:val="20"/>
          <w:szCs w:val="20"/>
          <w:vertAlign w:val="superscript"/>
          <w:lang w:val="en-US" w:eastAsia="es-MX"/>
        </w:rPr>
        <w:footnoteReference w:id="60"/>
      </w:r>
      <w:r w:rsidR="000821BA" w:rsidRPr="00EA6C7A">
        <w:rPr>
          <w:rFonts w:ascii="Verdana" w:eastAsia="Batang" w:hAnsi="Verdana"/>
          <w:sz w:val="20"/>
          <w:szCs w:val="20"/>
          <w:lang w:val="en-US" w:eastAsia="es-MX"/>
        </w:rPr>
        <w:t xml:space="preserve"> and that, over more than ten years, different assistant prosecutors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and</w:t>
      </w:r>
      <w:r w:rsidR="00C17164" w:rsidRPr="00EA6C7A">
        <w:rPr>
          <w:rFonts w:ascii="Verdana" w:eastAsia="Batang" w:hAnsi="Verdana"/>
          <w:sz w:val="20"/>
          <w:szCs w:val="20"/>
          <w:lang w:val="en-US" w:eastAsia="es-MX"/>
        </w:rPr>
        <w:t xml:space="preserve"> agents</w:t>
      </w:r>
      <w:r w:rsidR="000821BA" w:rsidRPr="00EA6C7A">
        <w:rPr>
          <w:rFonts w:ascii="Verdana" w:eastAsia="Batang" w:hAnsi="Verdana"/>
          <w:sz w:val="20"/>
          <w:szCs w:val="20"/>
          <w:lang w:val="en-US" w:eastAsia="es-MX"/>
        </w:rPr>
        <w:t xml:space="preserve"> of the National Police have been involved.</w:t>
      </w:r>
    </w:p>
    <w:p w14:paraId="6EC6F2F4" w14:textId="77777777" w:rsidR="00CD09AF" w:rsidRPr="00EA6C7A" w:rsidRDefault="000821BA"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hAnsi="Verdana"/>
          <w:i/>
          <w:iCs/>
          <w:sz w:val="20"/>
          <w:szCs w:val="20"/>
          <w:lang w:val="en-US"/>
        </w:rPr>
        <w:t>Report on external medical examination and forensic processing of the crime scene</w:t>
      </w:r>
      <w:r w:rsidR="00CD09AF" w:rsidRPr="00EA6C7A">
        <w:rPr>
          <w:rFonts w:ascii="Verdana" w:eastAsia="Batang" w:hAnsi="Verdana"/>
          <w:i/>
          <w:iCs/>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0B3E6E" w:rsidRPr="00EA6C7A">
        <w:rPr>
          <w:rFonts w:ascii="Verdana" w:eastAsia="Batang" w:hAnsi="Verdana"/>
          <w:sz w:val="20"/>
          <w:szCs w:val="20"/>
          <w:lang w:val="en-US" w:eastAsia="es-MX"/>
        </w:rPr>
        <w:t>August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who was present at the place where </w:t>
      </w:r>
      <w:r w:rsidR="00CD09AF"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’s body was found, conducted the external medical examination and the forensic processing of the crime scene. The respective report was prepared on August 30, 2005, and sent to the agent in charge of the investigation.</w:t>
      </w:r>
      <w:r w:rsidR="00CD09AF" w:rsidRPr="00EA6C7A">
        <w:rPr>
          <w:rFonts w:ascii="Verdana" w:eastAsia="Batang" w:hAnsi="Verdana"/>
          <w:sz w:val="20"/>
          <w:szCs w:val="20"/>
          <w:vertAlign w:val="superscript"/>
          <w:lang w:val="en-US" w:eastAsia="es-MX"/>
        </w:rPr>
        <w:footnoteReference w:id="61"/>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June 7,</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requested </w:t>
      </w:r>
      <w:r w:rsidR="00C17164" w:rsidRPr="00EA6C7A">
        <w:rPr>
          <w:rFonts w:ascii="Verdana" w:eastAsia="Batang" w:hAnsi="Verdana"/>
          <w:sz w:val="20"/>
          <w:szCs w:val="20"/>
          <w:lang w:val="en-US" w:eastAsia="es-MX"/>
        </w:rPr>
        <w:t>that the report be</w:t>
      </w:r>
      <w:r w:rsidRPr="00EA6C7A">
        <w:rPr>
          <w:rFonts w:ascii="Verdana" w:eastAsia="Batang" w:hAnsi="Verdana"/>
          <w:sz w:val="20"/>
          <w:szCs w:val="20"/>
          <w:lang w:val="en-US" w:eastAsia="es-MX"/>
        </w:rPr>
        <w:t xml:space="preserve"> expan</w:t>
      </w:r>
      <w:r w:rsidR="00C17164" w:rsidRPr="00EA6C7A">
        <w:rPr>
          <w:rFonts w:ascii="Verdana" w:eastAsia="Batang" w:hAnsi="Verdana"/>
          <w:sz w:val="20"/>
          <w:szCs w:val="20"/>
          <w:lang w:val="en-US" w:eastAsia="es-MX"/>
        </w:rPr>
        <w:t>ded</w:t>
      </w:r>
      <w:r w:rsidRPr="00EA6C7A">
        <w:rPr>
          <w:rFonts w:ascii="Verdana" w:eastAsia="Batang" w:hAnsi="Verdana"/>
          <w:sz w:val="20"/>
          <w:szCs w:val="20"/>
          <w:lang w:val="en-US" w:eastAsia="es-MX"/>
        </w:rPr>
        <w:t xml:space="preserve"> and correct</w:t>
      </w:r>
      <w:r w:rsidR="00C17164" w:rsidRPr="00EA6C7A">
        <w:rPr>
          <w:rFonts w:ascii="Verdana" w:eastAsia="Batang" w:hAnsi="Verdana"/>
          <w:sz w:val="20"/>
          <w:szCs w:val="20"/>
          <w:lang w:val="en-US" w:eastAsia="es-MX"/>
        </w:rPr>
        <w:t>ed</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62"/>
      </w:r>
      <w:r w:rsidRPr="00EA6C7A">
        <w:rPr>
          <w:rFonts w:ascii="Verdana" w:eastAsia="Batang" w:hAnsi="Verdana"/>
          <w:sz w:val="20"/>
          <w:szCs w:val="20"/>
          <w:lang w:val="en-US" w:eastAsia="es-MX"/>
        </w:rPr>
        <w:t xml:space="preserve"> and on June 21,</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w:t>
      </w:r>
      <w:r w:rsidR="00C17164" w:rsidRPr="00EA6C7A">
        <w:rPr>
          <w:rFonts w:ascii="Verdana" w:eastAsia="Batang" w:hAnsi="Verdana"/>
          <w:sz w:val="20"/>
          <w:szCs w:val="20"/>
          <w:lang w:val="en-US" w:eastAsia="es-MX"/>
        </w:rPr>
        <w:t>submit</w:t>
      </w:r>
      <w:r w:rsidRPr="00EA6C7A">
        <w:rPr>
          <w:rFonts w:ascii="Verdana" w:eastAsia="Batang" w:hAnsi="Verdana"/>
          <w:sz w:val="20"/>
          <w:szCs w:val="20"/>
          <w:lang w:val="en-US" w:eastAsia="es-MX"/>
        </w:rPr>
        <w:t>ted his corrected report.</w:t>
      </w:r>
      <w:r w:rsidR="00CD09AF" w:rsidRPr="00EA6C7A">
        <w:rPr>
          <w:rFonts w:ascii="Verdana" w:eastAsia="Batang" w:hAnsi="Verdana"/>
          <w:sz w:val="20"/>
          <w:szCs w:val="20"/>
          <w:vertAlign w:val="superscript"/>
          <w:lang w:val="en-US" w:eastAsia="es-MX"/>
        </w:rPr>
        <w:footnoteReference w:id="63"/>
      </w:r>
      <w:r w:rsidRPr="00EA6C7A">
        <w:rPr>
          <w:rFonts w:ascii="Verdana" w:eastAsia="Batang" w:hAnsi="Verdana"/>
          <w:sz w:val="20"/>
          <w:szCs w:val="20"/>
          <w:lang w:val="en-US" w:eastAsia="es-MX"/>
        </w:rPr>
        <w:t xml:space="preserve"> In a statement made before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586DC6" w:rsidRPr="00EA6C7A">
        <w:rPr>
          <w:rFonts w:ascii="Verdana" w:eastAsia="Batang" w:hAnsi="Verdana"/>
          <w:sz w:val="20"/>
          <w:szCs w:val="20"/>
          <w:lang w:val="en-US" w:eastAsia="es-MX"/>
        </w:rPr>
        <w:t>January 20,</w:t>
      </w:r>
      <w:r w:rsidR="00CD09AF" w:rsidRPr="00EA6C7A">
        <w:rPr>
          <w:rFonts w:ascii="Verdana" w:eastAsia="Batang" w:hAnsi="Verdana"/>
          <w:sz w:val="20"/>
          <w:szCs w:val="20"/>
          <w:lang w:val="en-US" w:eastAsia="es-MX"/>
        </w:rPr>
        <w:t xml:space="preserve"> 2009</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64"/>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ad</w:t>
      </w:r>
      <w:r w:rsidRPr="00EA6C7A">
        <w:rPr>
          <w:rFonts w:ascii="Verdana" w:eastAsia="Batang" w:hAnsi="Verdana"/>
          <w:sz w:val="20"/>
          <w:szCs w:val="20"/>
          <w:lang w:val="en-US" w:eastAsia="es-MX"/>
        </w:rPr>
        <w:t>ded information on the findings at the scene of the crime.</w:t>
      </w:r>
      <w:r w:rsidR="00CD09AF" w:rsidRPr="00EA6C7A">
        <w:rPr>
          <w:rFonts w:ascii="Verdana" w:eastAsia="Batang" w:hAnsi="Verdana"/>
          <w:sz w:val="20"/>
          <w:szCs w:val="20"/>
          <w:lang w:val="en-US" w:eastAsia="es-MX"/>
        </w:rPr>
        <w:t xml:space="preserve"> </w:t>
      </w:r>
    </w:p>
    <w:p w14:paraId="61638016" w14:textId="77777777" w:rsidR="00CD09AF" w:rsidRPr="00EA6C7A" w:rsidRDefault="000821BA"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Autopsy reports.</w:t>
      </w:r>
      <w:r w:rsidR="00CD09AF" w:rsidRPr="00EA6C7A">
        <w:rPr>
          <w:rFonts w:ascii="Verdana" w:eastAsia="Batang" w:hAnsi="Verdana"/>
          <w:b/>
          <w:sz w:val="20"/>
          <w:szCs w:val="20"/>
          <w:lang w:val="en-US" w:eastAsia="es-MX"/>
        </w:rPr>
        <w:t xml:space="preserve"> </w:t>
      </w:r>
      <w:r w:rsidRPr="00EA6C7A">
        <w:rPr>
          <w:rFonts w:ascii="Verdana" w:eastAsia="Batang" w:hAnsi="Verdana"/>
          <w:sz w:val="20"/>
          <w:szCs w:val="20"/>
          <w:lang w:val="en-US" w:eastAsia="es-MX"/>
        </w:rPr>
        <w:t>On August</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Judiciary’s forensic physician performed the autopsy on the body of</w:t>
      </w:r>
      <w:r w:rsidR="00CD09AF" w:rsidRPr="00EA6C7A">
        <w:rPr>
          <w:rFonts w:ascii="Verdana" w:eastAsia="Batang" w:hAnsi="Verdana"/>
          <w:sz w:val="20"/>
          <w:szCs w:val="20"/>
          <w:lang w:val="en-US" w:eastAsia="es-MX"/>
        </w:rPr>
        <w:t xml:space="preserve"> Claudina Velásquez. </w:t>
      </w:r>
      <w:r w:rsidRPr="00EA6C7A">
        <w:rPr>
          <w:rFonts w:ascii="Verdana" w:eastAsia="Batang" w:hAnsi="Verdana"/>
          <w:sz w:val="20"/>
          <w:szCs w:val="20"/>
          <w:lang w:val="en-US" w:eastAsia="es-MX"/>
        </w:rPr>
        <w:t xml:space="preserve">On August 16, </w:t>
      </w:r>
      <w:r w:rsidR="00CD09AF" w:rsidRPr="00EA6C7A">
        <w:rPr>
          <w:rFonts w:ascii="Verdana" w:eastAsia="Batang" w:hAnsi="Verdana"/>
          <w:sz w:val="20"/>
          <w:szCs w:val="20"/>
          <w:lang w:val="en-US" w:eastAsia="es-MX"/>
        </w:rPr>
        <w:t>2005</w:t>
      </w:r>
      <w:r w:rsidRPr="00EA6C7A">
        <w:rPr>
          <w:rFonts w:ascii="Verdana" w:eastAsia="Batang" w:hAnsi="Verdana"/>
          <w:sz w:val="20"/>
          <w:szCs w:val="20"/>
          <w:lang w:val="en-US" w:eastAsia="es-MX"/>
        </w:rPr>
        <w:t xml:space="preserve">, he prepared the respective report, which he sent to the assistant prosecutor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65"/>
      </w:r>
      <w:r w:rsidRPr="00EA6C7A">
        <w:rPr>
          <w:rFonts w:ascii="Verdana" w:eastAsia="Batang" w:hAnsi="Verdana"/>
          <w:sz w:val="20"/>
          <w:szCs w:val="20"/>
          <w:lang w:val="en-US" w:eastAsia="es-MX"/>
        </w:rPr>
        <w:t xml:space="preserve"> On 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5 and 13, </w:t>
      </w:r>
      <w:r w:rsidR="00CD09AF" w:rsidRPr="00EA6C7A">
        <w:rPr>
          <w:rFonts w:ascii="Verdana" w:eastAsia="Batang" w:hAnsi="Verdana"/>
          <w:sz w:val="20"/>
          <w:szCs w:val="20"/>
          <w:lang w:val="en-US" w:eastAsia="es-MX"/>
        </w:rPr>
        <w:t xml:space="preserve">2005, </w:t>
      </w:r>
      <w:r w:rsidRPr="00EA6C7A">
        <w:rPr>
          <w:rFonts w:ascii="Verdana" w:eastAsia="Batang" w:hAnsi="Verdana"/>
          <w:sz w:val="20"/>
          <w:szCs w:val="20"/>
          <w:lang w:val="en-US" w:eastAsia="es-MX"/>
        </w:rPr>
        <w:t>June 7,</w:t>
      </w:r>
      <w:r w:rsidR="00CD09AF" w:rsidRPr="00EA6C7A">
        <w:rPr>
          <w:rFonts w:ascii="Verdana" w:eastAsia="Batang" w:hAnsi="Verdana"/>
          <w:sz w:val="20"/>
          <w:szCs w:val="20"/>
          <w:lang w:val="en-US" w:eastAsia="es-MX"/>
        </w:rPr>
        <w:t xml:space="preserve"> 2006, </w:t>
      </w:r>
      <w:r w:rsidRPr="00EA6C7A">
        <w:rPr>
          <w:rFonts w:ascii="Verdana" w:eastAsia="Batang" w:hAnsi="Verdana"/>
          <w:sz w:val="20"/>
          <w:szCs w:val="20"/>
          <w:lang w:val="en-US" w:eastAsia="es-MX"/>
        </w:rPr>
        <w:t>and October</w:t>
      </w:r>
      <w:r w:rsidR="00CD09AF" w:rsidRPr="00EA6C7A">
        <w:rPr>
          <w:rFonts w:ascii="Verdana" w:eastAsia="Batang" w:hAnsi="Verdana"/>
          <w:sz w:val="20"/>
          <w:szCs w:val="20"/>
          <w:lang w:val="en-US" w:eastAsia="es-MX"/>
        </w:rPr>
        <w:t xml:space="preserve"> 11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26</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2007,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requested the expansion, correction and clarification of certain aspects of the autopsy report.</w:t>
      </w:r>
      <w:r w:rsidR="00CD09AF" w:rsidRPr="00EA6C7A">
        <w:rPr>
          <w:rFonts w:ascii="Verdana" w:eastAsia="Batang" w:hAnsi="Verdana"/>
          <w:sz w:val="20"/>
          <w:szCs w:val="20"/>
          <w:vertAlign w:val="superscript"/>
          <w:lang w:val="en-US" w:eastAsia="es-MX"/>
        </w:rPr>
        <w:footnoteReference w:id="66"/>
      </w:r>
      <w:r w:rsidRPr="00EA6C7A">
        <w:rPr>
          <w:rFonts w:ascii="Verdana" w:eastAsia="Batang" w:hAnsi="Verdana"/>
          <w:sz w:val="20"/>
          <w:szCs w:val="20"/>
          <w:lang w:val="en-US" w:eastAsia="es-MX"/>
        </w:rPr>
        <w:t xml:space="preserve"> In response, on October 7,</w:t>
      </w:r>
      <w:r w:rsidR="00CD09AF"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June 7,</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and December 3,</w:t>
      </w:r>
      <w:r w:rsidR="00CD09AF" w:rsidRPr="00EA6C7A">
        <w:rPr>
          <w:rFonts w:ascii="Verdana" w:eastAsia="Batang" w:hAnsi="Verdana"/>
          <w:sz w:val="20"/>
          <w:szCs w:val="20"/>
          <w:lang w:val="en-US" w:eastAsia="es-MX"/>
        </w:rPr>
        <w:t xml:space="preserve"> 2007, </w:t>
      </w:r>
      <w:r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present</w:t>
      </w:r>
      <w:r w:rsidRPr="00EA6C7A">
        <w:rPr>
          <w:rFonts w:ascii="Verdana" w:eastAsia="Batang" w:hAnsi="Verdana"/>
          <w:sz w:val="20"/>
          <w:szCs w:val="20"/>
          <w:lang w:val="en-US" w:eastAsia="es-MX"/>
        </w:rPr>
        <w:t>ed the requested expansions and clarifications.</w:t>
      </w:r>
      <w:r w:rsidR="00CD09AF" w:rsidRPr="00EA6C7A">
        <w:rPr>
          <w:rFonts w:ascii="Verdana" w:eastAsia="Batang" w:hAnsi="Verdana"/>
          <w:sz w:val="20"/>
          <w:szCs w:val="20"/>
          <w:vertAlign w:val="superscript"/>
          <w:lang w:val="en-US" w:eastAsia="es-MX"/>
        </w:rPr>
        <w:footnoteReference w:id="67"/>
      </w:r>
      <w:r w:rsidR="00CD09AF" w:rsidRPr="00EA6C7A">
        <w:rPr>
          <w:rFonts w:ascii="Verdana" w:eastAsia="Batang" w:hAnsi="Verdana"/>
          <w:sz w:val="20"/>
          <w:szCs w:val="20"/>
          <w:lang w:val="en-US" w:eastAsia="es-MX"/>
        </w:rPr>
        <w:t xml:space="preserve"> </w:t>
      </w:r>
    </w:p>
    <w:p w14:paraId="4135B92A" w14:textId="77777777" w:rsidR="00CD09AF" w:rsidRPr="00EA6C7A" w:rsidRDefault="000821BA"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Fingerprinting</w:t>
      </w:r>
      <w:r w:rsidR="00CD09AF" w:rsidRPr="00EA6C7A">
        <w:rPr>
          <w:rFonts w:ascii="Verdana" w:eastAsia="Batang" w:hAnsi="Verdana"/>
          <w:i/>
          <w:sz w:val="20"/>
          <w:szCs w:val="20"/>
          <w:lang w:val="en-US" w:eastAsia="es-MX"/>
        </w:rPr>
        <w:t>.</w:t>
      </w:r>
      <w:r w:rsidR="00CD09AF" w:rsidRPr="00EA6C7A">
        <w:rPr>
          <w:rFonts w:ascii="Verdana" w:eastAsia="Batang" w:hAnsi="Verdana"/>
          <w:b/>
          <w:sz w:val="20"/>
          <w:szCs w:val="20"/>
          <w:lang w:val="en-US" w:eastAsia="es-MX"/>
        </w:rPr>
        <w:t xml:space="preserve"> </w:t>
      </w:r>
      <w:r w:rsidRPr="00EA6C7A">
        <w:rPr>
          <w:rFonts w:ascii="Verdana" w:eastAsia="Batang" w:hAnsi="Verdana"/>
          <w:sz w:val="20"/>
          <w:szCs w:val="20"/>
          <w:lang w:val="en-US" w:eastAsia="es-MX"/>
        </w:rPr>
        <w:t xml:space="preserve">Because Claudina Velásquez’s fingerprints had not been taken </w:t>
      </w:r>
      <w:r w:rsidR="00C17164" w:rsidRPr="00EA6C7A">
        <w:rPr>
          <w:rFonts w:ascii="Verdana" w:eastAsia="Batang" w:hAnsi="Verdana"/>
          <w:sz w:val="20"/>
          <w:szCs w:val="20"/>
          <w:lang w:val="en-US" w:eastAsia="es-MX"/>
        </w:rPr>
        <w:t>at</w:t>
      </w:r>
      <w:r w:rsidRPr="00EA6C7A">
        <w:rPr>
          <w:rFonts w:ascii="Verdana" w:eastAsia="Batang" w:hAnsi="Verdana"/>
          <w:sz w:val="20"/>
          <w:szCs w:val="20"/>
          <w:lang w:val="en-US" w:eastAsia="es-MX"/>
        </w:rPr>
        <w:t xml:space="preserve"> the place where her corpse was </w:t>
      </w:r>
      <w:r w:rsidR="00C17164" w:rsidRPr="00EA6C7A">
        <w:rPr>
          <w:rFonts w:ascii="Verdana" w:eastAsia="Batang" w:hAnsi="Verdana"/>
          <w:sz w:val="20"/>
          <w:szCs w:val="20"/>
          <w:lang w:val="en-US" w:eastAsia="es-MX"/>
        </w:rPr>
        <w:t>foun</w:t>
      </w:r>
      <w:r w:rsidRPr="00EA6C7A">
        <w:rPr>
          <w:rFonts w:ascii="Verdana" w:eastAsia="Batang" w:hAnsi="Verdana"/>
          <w:sz w:val="20"/>
          <w:szCs w:val="20"/>
          <w:lang w:val="en-US" w:eastAsia="es-MX"/>
        </w:rPr>
        <w:t>d or in the Judiciary’s morgue, 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 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c</w:t>
      </w:r>
      <w:r w:rsidR="00EF1D78" w:rsidRPr="00EA6C7A">
        <w:rPr>
          <w:rFonts w:ascii="Verdana" w:eastAsia="Batang" w:hAnsi="Verdana"/>
          <w:sz w:val="20"/>
          <w:szCs w:val="20"/>
          <w:lang w:val="en-US" w:eastAsia="es-MX"/>
        </w:rPr>
        <w:t>riminal investigation experts</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went to the </w:t>
      </w:r>
      <w:r w:rsidR="00C17164" w:rsidRPr="00EA6C7A">
        <w:rPr>
          <w:rFonts w:ascii="Verdana" w:eastAsia="Batang" w:hAnsi="Verdana"/>
          <w:sz w:val="20"/>
          <w:szCs w:val="20"/>
          <w:lang w:val="en-US" w:eastAsia="es-MX"/>
        </w:rPr>
        <w:t>funeral home</w:t>
      </w:r>
      <w:r w:rsidRPr="00EA6C7A">
        <w:rPr>
          <w:rFonts w:ascii="Verdana" w:eastAsia="Batang" w:hAnsi="Verdana"/>
          <w:sz w:val="20"/>
          <w:szCs w:val="20"/>
          <w:lang w:val="en-US" w:eastAsia="es-MX"/>
        </w:rPr>
        <w:t xml:space="preserve"> where a wake was being held for the corpse on August</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and took her fingerprints.</w:t>
      </w:r>
      <w:r w:rsidR="00D948A1"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August 16,</w:t>
      </w:r>
      <w:r w:rsidR="00316202"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Criminal Investigations Expert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sent the</w:t>
      </w:r>
      <w:r w:rsidR="00C824C1" w:rsidRPr="00EA6C7A">
        <w:rPr>
          <w:rFonts w:ascii="Verdana" w:eastAsia="Batang" w:hAnsi="Verdana"/>
          <w:sz w:val="20"/>
          <w:szCs w:val="20"/>
          <w:lang w:val="en-US" w:eastAsia="es-MX"/>
        </w:rPr>
        <w:t xml:space="preserve"> “ten fingerprint” sheet to the Technical and </w:t>
      </w:r>
      <w:r w:rsidR="00C824C1" w:rsidRPr="00EA6C7A">
        <w:rPr>
          <w:rFonts w:ascii="Verdana" w:eastAsia="Batang" w:hAnsi="Verdana"/>
          <w:sz w:val="20"/>
          <w:szCs w:val="20"/>
          <w:lang w:val="en-US" w:eastAsia="es-MX"/>
        </w:rPr>
        <w:lastRenderedPageBreak/>
        <w:t>Scientific Department.</w:t>
      </w:r>
      <w:r w:rsidR="00CD09AF" w:rsidRPr="00EA6C7A">
        <w:rPr>
          <w:rFonts w:ascii="Verdana" w:eastAsia="Batang" w:hAnsi="Verdana"/>
          <w:sz w:val="20"/>
          <w:szCs w:val="20"/>
          <w:vertAlign w:val="superscript"/>
          <w:lang w:val="en-US" w:eastAsia="es-MX"/>
        </w:rPr>
        <w:footnoteReference w:id="68"/>
      </w:r>
      <w:r w:rsidR="00CD09AF" w:rsidRPr="00EA6C7A">
        <w:rPr>
          <w:rFonts w:ascii="Verdana" w:eastAsia="Batang" w:hAnsi="Verdana"/>
          <w:sz w:val="20"/>
          <w:szCs w:val="20"/>
          <w:lang w:val="en-US" w:eastAsia="es-MX"/>
        </w:rPr>
        <w:t xml:space="preserve"> </w:t>
      </w:r>
      <w:r w:rsidR="00143CD6" w:rsidRPr="00EA6C7A">
        <w:rPr>
          <w:rFonts w:ascii="Verdana" w:eastAsia="Batang" w:hAnsi="Verdana"/>
          <w:sz w:val="20"/>
          <w:szCs w:val="20"/>
          <w:lang w:val="en-US" w:eastAsia="es-MX"/>
        </w:rPr>
        <w:t>Initially,</w:t>
      </w:r>
      <w:r w:rsidR="00CD09AF" w:rsidRPr="00EA6C7A">
        <w:rPr>
          <w:rFonts w:ascii="Verdana" w:eastAsia="Batang" w:hAnsi="Verdana"/>
          <w:sz w:val="20"/>
          <w:szCs w:val="20"/>
          <w:lang w:val="en-US" w:eastAsia="es-MX"/>
        </w:rPr>
        <w:t xml:space="preserve"> Jorge Rolando Velásquez Durán </w:t>
      </w:r>
      <w:r w:rsidR="00143CD6" w:rsidRPr="00EA6C7A">
        <w:rPr>
          <w:rFonts w:ascii="Verdana" w:eastAsia="Batang" w:hAnsi="Verdana"/>
          <w:sz w:val="20"/>
          <w:szCs w:val="20"/>
          <w:lang w:val="en-US" w:eastAsia="es-MX"/>
        </w:rPr>
        <w:t xml:space="preserve">opposed fingerprints being taken, </w:t>
      </w:r>
      <w:r w:rsidR="00C17164" w:rsidRPr="00EA6C7A">
        <w:rPr>
          <w:rFonts w:ascii="Verdana" w:eastAsia="Batang" w:hAnsi="Verdana"/>
          <w:sz w:val="20"/>
          <w:szCs w:val="20"/>
          <w:lang w:val="en-US" w:eastAsia="es-MX"/>
        </w:rPr>
        <w:t>but he</w:t>
      </w:r>
      <w:r w:rsidR="00143CD6" w:rsidRPr="00EA6C7A">
        <w:rPr>
          <w:rFonts w:ascii="Verdana" w:eastAsia="Batang" w:hAnsi="Verdana"/>
          <w:sz w:val="20"/>
          <w:szCs w:val="20"/>
          <w:lang w:val="en-US" w:eastAsia="es-MX"/>
        </w:rPr>
        <w:t xml:space="preserve"> was advised that, if he did not allow this, “he would be accused of obstruction of justice and </w:t>
      </w:r>
      <w:r w:rsidR="00C17164" w:rsidRPr="00EA6C7A">
        <w:rPr>
          <w:rFonts w:ascii="Verdana" w:eastAsia="Batang" w:hAnsi="Verdana"/>
          <w:sz w:val="20"/>
          <w:szCs w:val="20"/>
          <w:lang w:val="en-US" w:eastAsia="es-MX"/>
        </w:rPr>
        <w:t>the</w:t>
      </w:r>
      <w:r w:rsidR="00143CD6" w:rsidRPr="00EA6C7A">
        <w:rPr>
          <w:rFonts w:ascii="Verdana" w:eastAsia="Batang" w:hAnsi="Verdana"/>
          <w:sz w:val="20"/>
          <w:szCs w:val="20"/>
          <w:lang w:val="en-US" w:eastAsia="es-MX"/>
        </w:rPr>
        <w:t xml:space="preserve"> investigation and that, if Claudina Isabel’s case should reach the trial stage, this could be affected if </w:t>
      </w:r>
      <w:r w:rsidR="00C17164" w:rsidRPr="00EA6C7A">
        <w:rPr>
          <w:rFonts w:ascii="Verdana" w:eastAsia="Batang" w:hAnsi="Verdana"/>
          <w:sz w:val="20"/>
          <w:szCs w:val="20"/>
          <w:lang w:val="en-US" w:eastAsia="es-MX"/>
        </w:rPr>
        <w:t>there was no</w:t>
      </w:r>
      <w:r w:rsidR="00143CD6" w:rsidRPr="00EA6C7A">
        <w:rPr>
          <w:rFonts w:ascii="Verdana" w:eastAsia="Batang" w:hAnsi="Verdana"/>
          <w:sz w:val="20"/>
          <w:szCs w:val="20"/>
          <w:lang w:val="en-US" w:eastAsia="es-MX"/>
        </w:rPr>
        <w:t xml:space="preserve"> record of the identification of </w:t>
      </w:r>
      <w:r w:rsidR="00C17164" w:rsidRPr="00EA6C7A">
        <w:rPr>
          <w:rFonts w:ascii="Verdana" w:eastAsia="Batang" w:hAnsi="Verdana"/>
          <w:sz w:val="20"/>
          <w:szCs w:val="20"/>
          <w:lang w:val="en-US" w:eastAsia="es-MX"/>
        </w:rPr>
        <w:t>her</w:t>
      </w:r>
      <w:r w:rsidR="00143CD6" w:rsidRPr="00EA6C7A">
        <w:rPr>
          <w:rFonts w:ascii="Verdana" w:eastAsia="Batang" w:hAnsi="Verdana"/>
          <w:sz w:val="20"/>
          <w:szCs w:val="20"/>
          <w:lang w:val="en-US" w:eastAsia="es-MX"/>
        </w:rPr>
        <w:t xml:space="preserve"> body.” Following these clarifications and on the advice of a lawyer, friend of the family, he agreed to fingerprints being taken. At her father’s request, </w:t>
      </w:r>
      <w:r w:rsidR="00CD09AF" w:rsidRPr="00EA6C7A">
        <w:rPr>
          <w:rFonts w:ascii="Verdana" w:eastAsia="Batang" w:hAnsi="Verdana"/>
          <w:sz w:val="20"/>
          <w:szCs w:val="20"/>
          <w:lang w:val="en-US" w:eastAsia="es-MX"/>
        </w:rPr>
        <w:t>Claudina Velásquez</w:t>
      </w:r>
      <w:r w:rsidR="00143CD6" w:rsidRPr="00EA6C7A">
        <w:rPr>
          <w:rFonts w:ascii="Verdana" w:eastAsia="Batang" w:hAnsi="Verdana"/>
          <w:sz w:val="20"/>
          <w:szCs w:val="20"/>
          <w:lang w:val="en-US" w:eastAsia="es-MX"/>
        </w:rPr>
        <w:t>’s body was taken to a private area of the funeral home for this purpose.</w:t>
      </w:r>
      <w:r w:rsidR="00CD09AF" w:rsidRPr="00EA6C7A">
        <w:rPr>
          <w:rFonts w:ascii="Verdana" w:eastAsia="Batang" w:hAnsi="Verdana"/>
          <w:sz w:val="20"/>
          <w:szCs w:val="20"/>
          <w:vertAlign w:val="superscript"/>
          <w:lang w:val="en-US" w:eastAsia="es-MX"/>
        </w:rPr>
        <w:footnoteReference w:id="69"/>
      </w:r>
    </w:p>
    <w:p w14:paraId="450D4CAF" w14:textId="77777777" w:rsidR="00CD09AF" w:rsidRPr="00EA6C7A" w:rsidRDefault="00143CD6"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Report of the Guatemalan</w:t>
      </w:r>
      <w:r w:rsidR="00CD09AF" w:rsidRPr="00EA6C7A">
        <w:rPr>
          <w:rFonts w:ascii="Verdana" w:eastAsia="Batang" w:hAnsi="Verdana"/>
          <w:i/>
          <w:sz w:val="20"/>
          <w:szCs w:val="20"/>
          <w:lang w:val="en-US" w:eastAsia="es-MX"/>
        </w:rPr>
        <w:t xml:space="preserve"> </w:t>
      </w:r>
      <w:r w:rsidR="00EF1D78" w:rsidRPr="00EA6C7A">
        <w:rPr>
          <w:rFonts w:ascii="Verdana" w:eastAsia="Batang" w:hAnsi="Verdana"/>
          <w:i/>
          <w:sz w:val="20"/>
          <w:szCs w:val="20"/>
          <w:lang w:val="en-US" w:eastAsia="es-MX"/>
        </w:rPr>
        <w:t>Voluntary Fire Service</w:t>
      </w:r>
      <w:r w:rsidR="00CD09AF" w:rsidRPr="00EA6C7A">
        <w:rPr>
          <w:rFonts w:ascii="Verdana" w:eastAsia="Batang" w:hAnsi="Verdana"/>
          <w:i/>
          <w:sz w:val="20"/>
          <w:szCs w:val="20"/>
          <w:lang w:val="en-US" w:eastAsia="es-MX"/>
        </w:rPr>
        <w:t>.</w:t>
      </w:r>
      <w:r w:rsidRPr="00EA6C7A">
        <w:rPr>
          <w:rFonts w:ascii="Verdana" w:eastAsia="Batang" w:hAnsi="Verdana"/>
          <w:i/>
          <w:sz w:val="20"/>
          <w:szCs w:val="20"/>
          <w:lang w:val="en-US" w:eastAsia="es-MX"/>
        </w:rPr>
        <w:t xml:space="preserve"> </w:t>
      </w:r>
      <w:r w:rsidR="000821BA" w:rsidRPr="00EA6C7A">
        <w:rPr>
          <w:rFonts w:ascii="Verdana" w:eastAsia="Batang" w:hAnsi="Verdana"/>
          <w:sz w:val="20"/>
          <w:szCs w:val="20"/>
          <w:lang w:val="en-US" w:eastAsia="es-MX"/>
        </w:rPr>
        <w:t>On August</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two members of the Guatemalan </w:t>
      </w:r>
      <w:r w:rsidR="00EF1D78" w:rsidRPr="00EA6C7A">
        <w:rPr>
          <w:rFonts w:ascii="Verdana" w:eastAsia="Batang" w:hAnsi="Verdana"/>
          <w:sz w:val="20"/>
          <w:szCs w:val="20"/>
          <w:lang w:val="en-US" w:eastAsia="es-MX"/>
        </w:rPr>
        <w:t>Voluntary Fire Service</w:t>
      </w:r>
      <w:r w:rsidRPr="00EA6C7A">
        <w:rPr>
          <w:rFonts w:ascii="Verdana" w:eastAsia="Batang" w:hAnsi="Verdana"/>
          <w:sz w:val="20"/>
          <w:szCs w:val="20"/>
          <w:lang w:val="en-US" w:eastAsia="es-MX"/>
        </w:rPr>
        <w:t xml:space="preserve"> went to the place where the body of Claudina Velásquez was </w:t>
      </w:r>
      <w:r w:rsidR="00C17164" w:rsidRPr="00EA6C7A">
        <w:rPr>
          <w:rFonts w:ascii="Verdana" w:eastAsia="Batang" w:hAnsi="Verdana"/>
          <w:sz w:val="20"/>
          <w:szCs w:val="20"/>
          <w:lang w:val="en-US" w:eastAsia="es-MX"/>
        </w:rPr>
        <w:t>found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September 6,</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a report on the incident was drawn up and forwarded to the prosecutor.</w:t>
      </w:r>
      <w:r w:rsidR="00CD09AF" w:rsidRPr="00EA6C7A">
        <w:rPr>
          <w:rFonts w:ascii="Verdana" w:eastAsia="Batang" w:hAnsi="Verdana"/>
          <w:sz w:val="20"/>
          <w:szCs w:val="20"/>
          <w:vertAlign w:val="superscript"/>
          <w:lang w:val="en-US" w:eastAsia="es-MX"/>
        </w:rPr>
        <w:footnoteReference w:id="70"/>
      </w:r>
      <w:r w:rsidRPr="00EA6C7A">
        <w:rPr>
          <w:rFonts w:ascii="Verdana" w:eastAsia="Batang" w:hAnsi="Verdana"/>
          <w:sz w:val="20"/>
          <w:szCs w:val="20"/>
          <w:lang w:val="en-US" w:eastAsia="es-MX"/>
        </w:rPr>
        <w:t xml:space="preserve"> Also, in a statement made before</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December 6,</w:t>
      </w:r>
      <w:r w:rsidR="00CD09AF"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one of the members of the</w:t>
      </w:r>
      <w:r w:rsidR="00CD09AF" w:rsidRPr="00EA6C7A">
        <w:rPr>
          <w:rFonts w:ascii="Verdana" w:eastAsia="Batang" w:hAnsi="Verdana"/>
          <w:sz w:val="20"/>
          <w:szCs w:val="20"/>
          <w:lang w:val="en-US" w:eastAsia="es-MX"/>
        </w:rPr>
        <w:t xml:space="preserve"> </w:t>
      </w:r>
      <w:r w:rsidR="00EF1D78" w:rsidRPr="00EA6C7A">
        <w:rPr>
          <w:rFonts w:ascii="Verdana" w:eastAsia="Batang" w:hAnsi="Verdana"/>
          <w:sz w:val="20"/>
          <w:szCs w:val="20"/>
          <w:lang w:val="en-US" w:eastAsia="es-MX"/>
        </w:rPr>
        <w:t>Voluntary Fire Service</w:t>
      </w:r>
      <w:r w:rsidR="00CD09AF" w:rsidRPr="00EA6C7A">
        <w:rPr>
          <w:rFonts w:ascii="Verdana" w:eastAsia="Batang" w:hAnsi="Verdana"/>
          <w:sz w:val="20"/>
          <w:szCs w:val="20"/>
          <w:lang w:val="en-US" w:eastAsia="es-MX"/>
        </w:rPr>
        <w:t xml:space="preserve"> ad</w:t>
      </w:r>
      <w:r w:rsidRPr="00EA6C7A">
        <w:rPr>
          <w:rFonts w:ascii="Verdana" w:eastAsia="Batang" w:hAnsi="Verdana"/>
          <w:sz w:val="20"/>
          <w:szCs w:val="20"/>
          <w:lang w:val="en-US" w:eastAsia="es-MX"/>
        </w:rPr>
        <w:t>ded information on the findings made at the crime scene.</w:t>
      </w:r>
      <w:r w:rsidR="00CD09AF" w:rsidRPr="00EA6C7A">
        <w:rPr>
          <w:rFonts w:ascii="Verdana" w:eastAsia="Batang" w:hAnsi="Verdana"/>
          <w:sz w:val="20"/>
          <w:szCs w:val="20"/>
          <w:vertAlign w:val="superscript"/>
          <w:lang w:val="en-US" w:eastAsia="es-MX"/>
        </w:rPr>
        <w:footnoteReference w:id="71"/>
      </w:r>
    </w:p>
    <w:p w14:paraId="2A43B9E8" w14:textId="77777777" w:rsidR="00B109AB" w:rsidRPr="00EA6C7A" w:rsidRDefault="00B109AB"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Investigation reports</w:t>
      </w:r>
      <w:r w:rsidR="00CD09AF" w:rsidRPr="00EA6C7A">
        <w:rPr>
          <w:rFonts w:ascii="Verdana" w:eastAsia="Batang" w:hAnsi="Verdana"/>
          <w:i/>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The investigation has been headed by the respective </w:t>
      </w:r>
      <w:r w:rsidR="00C17164" w:rsidRPr="00EA6C7A">
        <w:rPr>
          <w:rFonts w:ascii="Verdana" w:eastAsia="Batang" w:hAnsi="Verdana"/>
          <w:sz w:val="20"/>
          <w:szCs w:val="20"/>
          <w:lang w:val="en-US" w:eastAsia="es-MX"/>
        </w:rPr>
        <w:t>p</w:t>
      </w:r>
      <w:r w:rsidRPr="00EA6C7A">
        <w:rPr>
          <w:rFonts w:ascii="Verdana" w:eastAsia="Batang" w:hAnsi="Verdana"/>
          <w:sz w:val="20"/>
          <w:szCs w:val="20"/>
          <w:lang w:val="en-US" w:eastAsia="es-MX"/>
        </w:rPr>
        <w:t xml:space="preserve">rosecutor with collaboration from the investigators of the </w:t>
      </w:r>
      <w:r w:rsidR="00EF1D78" w:rsidRPr="00EA6C7A">
        <w:rPr>
          <w:rFonts w:ascii="Verdana" w:eastAsia="Batang" w:hAnsi="Verdana"/>
          <w:sz w:val="20"/>
          <w:szCs w:val="20"/>
          <w:lang w:val="en-US" w:eastAsia="es-MX"/>
        </w:rPr>
        <w:t>Unit to Combat Murders of Women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of the Criminal Investigation Service and the investigators of the </w:t>
      </w:r>
      <w:r w:rsidR="00C17164" w:rsidRPr="00EA6C7A">
        <w:rPr>
          <w:rFonts w:ascii="Verdana" w:eastAsia="Batang" w:hAnsi="Verdana"/>
          <w:sz w:val="20"/>
          <w:szCs w:val="20"/>
          <w:lang w:val="en-US" w:eastAsia="es-MX"/>
        </w:rPr>
        <w:t xml:space="preserve">PNC </w:t>
      </w:r>
      <w:r w:rsidRPr="00EA6C7A">
        <w:rPr>
          <w:rFonts w:ascii="Verdana" w:eastAsia="Batang" w:hAnsi="Verdana"/>
          <w:sz w:val="20"/>
          <w:szCs w:val="20"/>
          <w:lang w:val="en-US" w:eastAsia="es-MX"/>
        </w:rPr>
        <w:t>Special Criminal Investigation Division</w:t>
      </w:r>
      <w:r w:rsidR="00CD09AF" w:rsidRPr="00EA6C7A">
        <w:rPr>
          <w:rFonts w:ascii="Verdana" w:eastAsia="Batang" w:hAnsi="Verdana"/>
          <w:sz w:val="20"/>
          <w:szCs w:val="20"/>
          <w:lang w:val="en-US" w:eastAsia="es-MX"/>
        </w:rPr>
        <w:t>, as</w:t>
      </w:r>
      <w:r w:rsidRPr="00EA6C7A">
        <w:rPr>
          <w:rFonts w:ascii="Verdana" w:eastAsia="Batang" w:hAnsi="Verdana"/>
          <w:sz w:val="20"/>
          <w:szCs w:val="20"/>
          <w:lang w:val="en-US" w:eastAsia="es-MX"/>
        </w:rPr>
        <w:t xml:space="preserve"> well as 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c</w:t>
      </w:r>
      <w:r w:rsidR="00EF1D78" w:rsidRPr="00EA6C7A">
        <w:rPr>
          <w:rFonts w:ascii="Verdana" w:eastAsia="Batang" w:hAnsi="Verdana"/>
          <w:sz w:val="20"/>
          <w:szCs w:val="20"/>
          <w:lang w:val="en-US" w:eastAsia="es-MX"/>
        </w:rPr>
        <w:t>riminal investigation experts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 investigators of</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003F31B4" w:rsidRPr="00EA6C7A">
        <w:rPr>
          <w:rFonts w:ascii="Verdana" w:eastAsia="Batang" w:hAnsi="Verdana"/>
          <w:sz w:val="20"/>
          <w:szCs w:val="20"/>
          <w:lang w:val="en-US" w:eastAsia="es-MX"/>
        </w:rPr>
        <w:t>Criminal Investigation Department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 the course of their activities and functions, they have all prepared diverse investigation reports</w:t>
      </w:r>
      <w:r w:rsidR="00001FF6" w:rsidRPr="00EA6C7A">
        <w:rPr>
          <w:rFonts w:ascii="Verdana" w:eastAsia="Batang" w:hAnsi="Verdana"/>
          <w:sz w:val="20"/>
          <w:szCs w:val="20"/>
          <w:lang w:val="en-US" w:eastAsia="es-MX"/>
        </w:rPr>
        <w:t xml:space="preserve"> advising</w:t>
      </w:r>
      <w:r w:rsidRPr="00EA6C7A">
        <w:rPr>
          <w:rFonts w:ascii="Verdana" w:eastAsia="Batang" w:hAnsi="Verdana"/>
          <w:sz w:val="20"/>
          <w:szCs w:val="20"/>
          <w:lang w:val="en-US" w:eastAsia="es-MX"/>
        </w:rPr>
        <w:t xml:space="preserve"> that they had carried out </w:t>
      </w:r>
      <w:r w:rsidR="00001FF6" w:rsidRPr="00EA6C7A">
        <w:rPr>
          <w:rFonts w:ascii="Verdana" w:eastAsia="Batang" w:hAnsi="Verdana"/>
          <w:sz w:val="20"/>
          <w:szCs w:val="20"/>
          <w:lang w:val="en-US" w:eastAsia="es-MX"/>
        </w:rPr>
        <w:t>numerous</w:t>
      </w:r>
      <w:r w:rsidRPr="00EA6C7A">
        <w:rPr>
          <w:rFonts w:ascii="Verdana" w:eastAsia="Batang" w:hAnsi="Verdana"/>
          <w:sz w:val="20"/>
          <w:szCs w:val="20"/>
          <w:lang w:val="en-US" w:eastAsia="es-MX"/>
        </w:rPr>
        <w:t xml:space="preserve"> interviews, inquiries, on-site inspections, sketches, planimetry, photographs and on-site procedures that had all been documented. They also made suggestions and comments in this regard. The</w:t>
      </w:r>
      <w:r w:rsidR="00001FF6" w:rsidRPr="00EA6C7A">
        <w:rPr>
          <w:rFonts w:ascii="Verdana" w:eastAsia="Batang" w:hAnsi="Verdana"/>
          <w:sz w:val="20"/>
          <w:szCs w:val="20"/>
          <w:lang w:val="en-US" w:eastAsia="es-MX"/>
        </w:rPr>
        <w:t>se</w:t>
      </w:r>
      <w:r w:rsidRPr="00EA6C7A">
        <w:rPr>
          <w:rFonts w:ascii="Verdana" w:eastAsia="Batang" w:hAnsi="Verdana"/>
          <w:sz w:val="20"/>
          <w:szCs w:val="20"/>
          <w:lang w:val="en-US" w:eastAsia="es-MX"/>
        </w:rPr>
        <w:t xml:space="preserve"> reports are as follows:</w:t>
      </w:r>
    </w:p>
    <w:p w14:paraId="033FB514" w14:textId="77777777" w:rsidR="00CD09AF" w:rsidRPr="00EA6C7A" w:rsidRDefault="00B109AB" w:rsidP="00E11A7C">
      <w:pPr>
        <w:numPr>
          <w:ilvl w:val="0"/>
          <w:numId w:val="10"/>
        </w:numPr>
        <w:spacing w:after="120" w:line="240" w:lineRule="auto"/>
        <w:ind w:left="720"/>
        <w:jc w:val="both"/>
        <w:rPr>
          <w:rFonts w:ascii="Verdana" w:hAnsi="Verdana"/>
          <w:sz w:val="20"/>
          <w:szCs w:val="20"/>
          <w:lang w:val="en-US"/>
        </w:rPr>
      </w:pPr>
      <w:r w:rsidRPr="00EA6C7A">
        <w:rPr>
          <w:rFonts w:ascii="Verdana" w:hAnsi="Verdana"/>
          <w:sz w:val="20"/>
          <w:szCs w:val="20"/>
          <w:lang w:val="en-US"/>
        </w:rPr>
        <w:t>On August</w:t>
      </w:r>
      <w:r w:rsidR="00CD09AF" w:rsidRPr="00EA6C7A">
        <w:rPr>
          <w:rFonts w:ascii="Verdana" w:hAnsi="Verdana"/>
          <w:sz w:val="20"/>
          <w:szCs w:val="20"/>
          <w:lang w:val="en-US"/>
        </w:rPr>
        <w:t xml:space="preserve"> 13, 22 </w:t>
      </w:r>
      <w:r w:rsidRPr="00EA6C7A">
        <w:rPr>
          <w:rFonts w:ascii="Verdana" w:hAnsi="Verdana"/>
          <w:sz w:val="20"/>
          <w:szCs w:val="20"/>
          <w:lang w:val="en-US"/>
        </w:rPr>
        <w:t>and</w:t>
      </w:r>
      <w:r w:rsidR="00CD09AF" w:rsidRPr="00EA6C7A">
        <w:rPr>
          <w:rFonts w:ascii="Verdana" w:hAnsi="Verdana"/>
          <w:sz w:val="20"/>
          <w:szCs w:val="20"/>
          <w:lang w:val="en-US"/>
        </w:rPr>
        <w:t xml:space="preserve"> 25</w:t>
      </w:r>
      <w:r w:rsidRPr="00EA6C7A">
        <w:rPr>
          <w:rFonts w:ascii="Verdana" w:hAnsi="Verdana"/>
          <w:sz w:val="20"/>
          <w:szCs w:val="20"/>
          <w:lang w:val="en-US"/>
        </w:rPr>
        <w:t xml:space="preserve">, </w:t>
      </w:r>
      <w:r w:rsidR="00CD09AF" w:rsidRPr="00EA6C7A">
        <w:rPr>
          <w:rFonts w:ascii="Verdana" w:hAnsi="Verdana"/>
          <w:sz w:val="20"/>
          <w:szCs w:val="20"/>
          <w:lang w:val="en-US"/>
        </w:rPr>
        <w:t>2005</w:t>
      </w:r>
      <w:r w:rsidRPr="00EA6C7A">
        <w:rPr>
          <w:rFonts w:ascii="Verdana" w:hAnsi="Verdana"/>
          <w:sz w:val="20"/>
          <w:szCs w:val="20"/>
          <w:lang w:val="en-US"/>
        </w:rPr>
        <w:t>,</w:t>
      </w:r>
      <w:r w:rsidR="00CD09AF" w:rsidRPr="00EA6C7A">
        <w:rPr>
          <w:rFonts w:ascii="Verdana" w:hAnsi="Verdana"/>
          <w:sz w:val="20"/>
          <w:szCs w:val="20"/>
          <w:vertAlign w:val="superscript"/>
          <w:lang w:val="en-US"/>
        </w:rPr>
        <w:footnoteReference w:id="72"/>
      </w:r>
      <w:r w:rsidR="00CD09AF" w:rsidRPr="00EA6C7A">
        <w:rPr>
          <w:rFonts w:ascii="Verdana" w:hAnsi="Verdana"/>
          <w:sz w:val="20"/>
          <w:szCs w:val="20"/>
          <w:lang w:val="en-US"/>
        </w:rPr>
        <w:t xml:space="preserve"> </w:t>
      </w:r>
      <w:r w:rsidRPr="00EA6C7A">
        <w:rPr>
          <w:rFonts w:ascii="Verdana" w:hAnsi="Verdana"/>
          <w:sz w:val="20"/>
          <w:szCs w:val="20"/>
          <w:lang w:val="en-US"/>
        </w:rPr>
        <w:t>the investigator</w:t>
      </w:r>
      <w:r w:rsidR="00CD09AF" w:rsidRPr="00EA6C7A">
        <w:rPr>
          <w:rFonts w:ascii="Verdana" w:hAnsi="Verdana"/>
          <w:sz w:val="20"/>
          <w:szCs w:val="20"/>
          <w:lang w:val="en-US"/>
        </w:rPr>
        <w:t xml:space="preserve"> </w:t>
      </w:r>
      <w:r w:rsidRPr="00EA6C7A">
        <w:rPr>
          <w:rFonts w:ascii="Verdana" w:hAnsi="Verdana"/>
          <w:sz w:val="20"/>
          <w:szCs w:val="20"/>
          <w:lang w:val="en-US"/>
        </w:rPr>
        <w:t>of the Unit</w:t>
      </w:r>
      <w:r w:rsidR="00EF1D78" w:rsidRPr="00EA6C7A">
        <w:rPr>
          <w:rFonts w:ascii="Verdana" w:hAnsi="Verdana"/>
          <w:sz w:val="20"/>
          <w:szCs w:val="20"/>
          <w:lang w:val="en-US"/>
        </w:rPr>
        <w:t xml:space="preserve"> to Combat Murders of Women</w:t>
      </w:r>
      <w:r w:rsidR="00CD09AF" w:rsidRPr="00EA6C7A">
        <w:rPr>
          <w:rFonts w:ascii="Verdana" w:hAnsi="Verdana"/>
          <w:sz w:val="20"/>
          <w:szCs w:val="20"/>
          <w:lang w:val="en-US"/>
        </w:rPr>
        <w:t xml:space="preserve"> </w:t>
      </w:r>
      <w:r w:rsidR="005319CD" w:rsidRPr="00EA6C7A">
        <w:rPr>
          <w:rFonts w:ascii="Verdana" w:hAnsi="Verdana"/>
          <w:sz w:val="20"/>
          <w:szCs w:val="20"/>
          <w:lang w:val="en-US"/>
        </w:rPr>
        <w:t>of the PNC Criminal Investigation Service</w:t>
      </w:r>
      <w:r w:rsidR="00CD09AF" w:rsidRPr="00EA6C7A">
        <w:rPr>
          <w:rFonts w:ascii="Verdana" w:hAnsi="Verdana"/>
          <w:sz w:val="20"/>
          <w:szCs w:val="20"/>
          <w:lang w:val="en-US"/>
        </w:rPr>
        <w:t xml:space="preserve"> </w:t>
      </w:r>
      <w:r w:rsidRPr="00EA6C7A">
        <w:rPr>
          <w:rFonts w:ascii="Verdana" w:hAnsi="Verdana"/>
          <w:sz w:val="20"/>
          <w:szCs w:val="20"/>
          <w:lang w:val="en-US"/>
        </w:rPr>
        <w:t>forwarded investigation reports</w:t>
      </w:r>
      <w:r w:rsidR="00001FF6" w:rsidRPr="00EA6C7A">
        <w:rPr>
          <w:rFonts w:ascii="Verdana" w:hAnsi="Verdana"/>
          <w:sz w:val="20"/>
          <w:szCs w:val="20"/>
          <w:lang w:val="en-US"/>
        </w:rPr>
        <w:t xml:space="preserve"> on actions taken up until that time</w:t>
      </w:r>
      <w:r w:rsidRPr="00EA6C7A">
        <w:rPr>
          <w:rFonts w:ascii="Verdana" w:hAnsi="Verdana"/>
          <w:sz w:val="20"/>
          <w:szCs w:val="20"/>
          <w:lang w:val="en-US"/>
        </w:rPr>
        <w:t xml:space="preserve"> to the prosecutor;</w:t>
      </w:r>
    </w:p>
    <w:p w14:paraId="3E1271CB" w14:textId="77777777" w:rsidR="00CD09AF" w:rsidRPr="00EA6C7A" w:rsidRDefault="00B109AB" w:rsidP="00E11A7C">
      <w:pPr>
        <w:numPr>
          <w:ilvl w:val="0"/>
          <w:numId w:val="10"/>
        </w:numPr>
        <w:spacing w:after="120" w:line="240" w:lineRule="auto"/>
        <w:ind w:left="720"/>
        <w:jc w:val="both"/>
        <w:rPr>
          <w:rFonts w:ascii="Verdana" w:hAnsi="Verdana"/>
          <w:sz w:val="20"/>
          <w:szCs w:val="20"/>
          <w:lang w:val="en-US"/>
        </w:rPr>
      </w:pPr>
      <w:r w:rsidRPr="00EA6C7A">
        <w:rPr>
          <w:rFonts w:ascii="Verdana" w:hAnsi="Verdana"/>
          <w:sz w:val="20"/>
          <w:szCs w:val="20"/>
          <w:lang w:val="en-US"/>
        </w:rPr>
        <w:t xml:space="preserve">On August </w:t>
      </w:r>
      <w:r w:rsidR="00CD09AF" w:rsidRPr="00EA6C7A">
        <w:rPr>
          <w:rFonts w:ascii="Verdana" w:eastAsia="Batang" w:hAnsi="Verdana"/>
          <w:sz w:val="20"/>
          <w:szCs w:val="20"/>
          <w:lang w:val="en-US"/>
        </w:rPr>
        <w:t xml:space="preserve">23 </w:t>
      </w:r>
      <w:r w:rsidRPr="00EA6C7A">
        <w:rPr>
          <w:rFonts w:ascii="Verdana" w:eastAsia="Batang" w:hAnsi="Verdana"/>
          <w:sz w:val="20"/>
          <w:szCs w:val="20"/>
          <w:lang w:val="en-US"/>
        </w:rPr>
        <w:t>and September</w:t>
      </w:r>
      <w:r w:rsidR="00CD09AF" w:rsidRPr="00EA6C7A">
        <w:rPr>
          <w:rFonts w:ascii="Verdana" w:eastAsia="Batang" w:hAnsi="Verdana"/>
          <w:sz w:val="20"/>
          <w:szCs w:val="20"/>
          <w:lang w:val="en-US"/>
        </w:rPr>
        <w:t xml:space="preserve"> 19</w:t>
      </w:r>
      <w:r w:rsidRPr="00EA6C7A">
        <w:rPr>
          <w:rFonts w:ascii="Verdana" w:eastAsia="Batang" w:hAnsi="Verdana"/>
          <w:sz w:val="20"/>
          <w:szCs w:val="20"/>
          <w:lang w:val="en-US"/>
        </w:rPr>
        <w:t xml:space="preserve">, </w:t>
      </w:r>
      <w:r w:rsidR="00CD09AF" w:rsidRPr="00EA6C7A">
        <w:rPr>
          <w:rFonts w:ascii="Verdana" w:eastAsia="Batang" w:hAnsi="Verdana"/>
          <w:sz w:val="20"/>
          <w:szCs w:val="20"/>
          <w:lang w:val="en-US"/>
        </w:rPr>
        <w:t xml:space="preserve">2005, </w:t>
      </w:r>
      <w:r w:rsidRPr="00EA6C7A">
        <w:rPr>
          <w:rFonts w:ascii="Verdana" w:eastAsia="Batang" w:hAnsi="Verdana"/>
          <w:sz w:val="20"/>
          <w:szCs w:val="20"/>
          <w:lang w:val="en-US"/>
        </w:rPr>
        <w:t>and July</w:t>
      </w:r>
      <w:r w:rsidR="00CD09AF" w:rsidRPr="00EA6C7A">
        <w:rPr>
          <w:rFonts w:ascii="Verdana" w:eastAsia="Batang" w:hAnsi="Verdana"/>
          <w:sz w:val="20"/>
          <w:szCs w:val="20"/>
          <w:lang w:val="en-US"/>
        </w:rPr>
        <w:t xml:space="preserve"> 18</w:t>
      </w:r>
      <w:r w:rsidRPr="00EA6C7A">
        <w:rPr>
          <w:rFonts w:ascii="Verdana" w:eastAsia="Batang" w:hAnsi="Verdana"/>
          <w:sz w:val="20"/>
          <w:szCs w:val="20"/>
          <w:lang w:val="en-US"/>
        </w:rPr>
        <w:t xml:space="preserve">, </w:t>
      </w:r>
      <w:r w:rsidR="00CD09AF" w:rsidRPr="00EA6C7A">
        <w:rPr>
          <w:rFonts w:ascii="Verdana" w:eastAsia="Batang" w:hAnsi="Verdana"/>
          <w:sz w:val="20"/>
          <w:szCs w:val="20"/>
          <w:lang w:val="en-US"/>
        </w:rPr>
        <w:t>2008</w:t>
      </w:r>
      <w:r w:rsidRPr="00EA6C7A">
        <w:rPr>
          <w:rFonts w:ascii="Verdana" w:eastAsia="Batang" w:hAnsi="Verdana"/>
          <w:sz w:val="20"/>
          <w:szCs w:val="20"/>
          <w:lang w:val="en-US"/>
        </w:rPr>
        <w:t>, respectively,</w:t>
      </w:r>
      <w:r w:rsidR="00CD09AF" w:rsidRPr="00EA6C7A">
        <w:rPr>
          <w:rFonts w:ascii="Verdana" w:eastAsia="Batang" w:hAnsi="Verdana"/>
          <w:sz w:val="20"/>
          <w:szCs w:val="20"/>
          <w:lang w:val="en-US"/>
        </w:rPr>
        <w:t xml:space="preserve"> </w:t>
      </w:r>
      <w:r w:rsidR="000821BA" w:rsidRPr="00EA6C7A">
        <w:rPr>
          <w:rFonts w:ascii="Verdana" w:eastAsia="Batang" w:hAnsi="Verdana"/>
          <w:sz w:val="20"/>
          <w:szCs w:val="20"/>
          <w:lang w:val="en-US"/>
        </w:rPr>
        <w:t>the Criminal Investigation</w:t>
      </w:r>
      <w:r w:rsidRPr="00EA6C7A">
        <w:rPr>
          <w:rFonts w:ascii="Verdana" w:eastAsia="Batang" w:hAnsi="Verdana"/>
          <w:sz w:val="20"/>
          <w:szCs w:val="20"/>
          <w:lang w:val="en-US"/>
        </w:rPr>
        <w:t>s</w:t>
      </w:r>
      <w:r w:rsidR="000821BA" w:rsidRPr="00EA6C7A">
        <w:rPr>
          <w:rFonts w:ascii="Verdana" w:eastAsia="Batang" w:hAnsi="Verdana"/>
          <w:sz w:val="20"/>
          <w:szCs w:val="20"/>
          <w:lang w:val="en-US"/>
        </w:rPr>
        <w:t xml:space="preserve"> Expert</w:t>
      </w:r>
      <w:r w:rsidR="00CD09AF" w:rsidRPr="00EA6C7A">
        <w:rPr>
          <w:rFonts w:ascii="Verdana" w:eastAsia="Batang" w:hAnsi="Verdana"/>
          <w:sz w:val="20"/>
          <w:szCs w:val="20"/>
          <w:lang w:val="en-US"/>
        </w:rPr>
        <w:t xml:space="preserve"> </w:t>
      </w:r>
      <w:r w:rsidR="003E2012" w:rsidRPr="00EA6C7A">
        <w:rPr>
          <w:rFonts w:ascii="Verdana" w:eastAsia="Batang" w:hAnsi="Verdana"/>
          <w:sz w:val="20"/>
          <w:szCs w:val="20"/>
          <w:lang w:val="en-US"/>
        </w:rPr>
        <w:t>of the Public</w:t>
      </w:r>
      <w:r w:rsidR="00B3248B" w:rsidRPr="00EA6C7A">
        <w:rPr>
          <w:rFonts w:ascii="Verdana" w:eastAsia="Batang" w:hAnsi="Verdana"/>
          <w:sz w:val="20"/>
          <w:szCs w:val="20"/>
          <w:lang w:val="en-US"/>
        </w:rPr>
        <w:t xml:space="preserve"> Prosecution Service</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 xml:space="preserve">forwarded to </w:t>
      </w:r>
      <w:r w:rsidR="000821BA" w:rsidRPr="00EA6C7A">
        <w:rPr>
          <w:rFonts w:ascii="Verdana" w:eastAsia="Batang" w:hAnsi="Verdana"/>
          <w:sz w:val="20"/>
          <w:szCs w:val="20"/>
          <w:lang w:val="en-US"/>
        </w:rPr>
        <w:t>the assistant prosecutor</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 xml:space="preserve">the photographic album, the sketch of the crime scene and 10 discarded photographs of the crime scene </w:t>
      </w:r>
      <w:r w:rsidR="00001FF6" w:rsidRPr="00EA6C7A">
        <w:rPr>
          <w:rFonts w:ascii="Verdana" w:eastAsia="Batang" w:hAnsi="Verdana"/>
          <w:sz w:val="20"/>
          <w:szCs w:val="20"/>
          <w:lang w:val="en-US"/>
        </w:rPr>
        <w:t xml:space="preserve">taken </w:t>
      </w:r>
      <w:r w:rsidRPr="00EA6C7A">
        <w:rPr>
          <w:rFonts w:ascii="Verdana" w:eastAsia="Batang" w:hAnsi="Verdana"/>
          <w:sz w:val="20"/>
          <w:szCs w:val="20"/>
          <w:lang w:val="en-US"/>
        </w:rPr>
        <w:t>o</w:t>
      </w:r>
      <w:r w:rsidR="000821BA" w:rsidRPr="00EA6C7A">
        <w:rPr>
          <w:rFonts w:ascii="Verdana" w:eastAsia="Batang" w:hAnsi="Verdana"/>
          <w:sz w:val="20"/>
          <w:szCs w:val="20"/>
          <w:lang w:val="en-US"/>
        </w:rPr>
        <w:t>n August</w:t>
      </w:r>
      <w:r w:rsidR="000B3E6E" w:rsidRPr="00EA6C7A">
        <w:rPr>
          <w:rFonts w:ascii="Verdana" w:eastAsia="Batang" w:hAnsi="Verdana"/>
          <w:sz w:val="20"/>
          <w:szCs w:val="20"/>
          <w:lang w:val="en-US"/>
        </w:rPr>
        <w:t xml:space="preserve"> 13,</w:t>
      </w:r>
      <w:r w:rsidR="00CD09AF" w:rsidRPr="00EA6C7A">
        <w:rPr>
          <w:rFonts w:ascii="Verdana" w:eastAsia="Batang" w:hAnsi="Verdana"/>
          <w:sz w:val="20"/>
          <w:szCs w:val="20"/>
          <w:lang w:val="en-US"/>
        </w:rPr>
        <w:t xml:space="preserve"> 2005</w:t>
      </w:r>
      <w:r w:rsidRPr="00EA6C7A">
        <w:rPr>
          <w:rFonts w:ascii="Verdana" w:eastAsia="Batang" w:hAnsi="Verdana"/>
          <w:sz w:val="20"/>
          <w:szCs w:val="20"/>
          <w:lang w:val="en-US"/>
        </w:rPr>
        <w:t>.</w:t>
      </w:r>
      <w:r w:rsidR="00CD09AF" w:rsidRPr="00EA6C7A">
        <w:rPr>
          <w:rFonts w:ascii="Verdana" w:hAnsi="Verdana"/>
          <w:sz w:val="20"/>
          <w:szCs w:val="20"/>
          <w:vertAlign w:val="superscript"/>
          <w:lang w:val="en-US"/>
        </w:rPr>
        <w:footnoteReference w:id="73"/>
      </w:r>
      <w:r w:rsidR="00CD09AF" w:rsidRPr="00EA6C7A">
        <w:rPr>
          <w:rFonts w:ascii="Verdana" w:eastAsia="Batang" w:hAnsi="Verdana"/>
          <w:sz w:val="20"/>
          <w:szCs w:val="20"/>
          <w:lang w:val="en-US"/>
        </w:rPr>
        <w:t xml:space="preserve"> A</w:t>
      </w:r>
      <w:r w:rsidRPr="00EA6C7A">
        <w:rPr>
          <w:rFonts w:ascii="Verdana" w:eastAsia="Batang" w:hAnsi="Verdana"/>
          <w:sz w:val="20"/>
          <w:szCs w:val="20"/>
          <w:lang w:val="en-US"/>
        </w:rPr>
        <w:t>lso</w:t>
      </w:r>
      <w:r w:rsidR="00CD09AF" w:rsidRPr="00EA6C7A">
        <w:rPr>
          <w:rFonts w:ascii="Verdana" w:eastAsia="Batang" w:hAnsi="Verdana"/>
          <w:sz w:val="20"/>
          <w:szCs w:val="20"/>
          <w:lang w:val="en-US"/>
        </w:rPr>
        <w:t xml:space="preserve">, </w:t>
      </w:r>
      <w:r w:rsidRPr="00EA6C7A">
        <w:rPr>
          <w:rFonts w:ascii="Verdana" w:hAnsi="Verdana"/>
          <w:sz w:val="20"/>
          <w:szCs w:val="20"/>
          <w:lang w:val="en-US"/>
        </w:rPr>
        <w:t xml:space="preserve">on August </w:t>
      </w:r>
      <w:r w:rsidR="00CD09AF" w:rsidRPr="00EA6C7A">
        <w:rPr>
          <w:rFonts w:ascii="Verdana" w:eastAsia="Batang" w:hAnsi="Verdana"/>
          <w:sz w:val="20"/>
          <w:szCs w:val="20"/>
          <w:lang w:val="en-US"/>
        </w:rPr>
        <w:t xml:space="preserve">16 </w:t>
      </w:r>
      <w:r w:rsidRPr="00EA6C7A">
        <w:rPr>
          <w:rFonts w:ascii="Verdana" w:eastAsia="Batang" w:hAnsi="Verdana"/>
          <w:sz w:val="20"/>
          <w:szCs w:val="20"/>
          <w:lang w:val="en-US"/>
        </w:rPr>
        <w:t>and</w:t>
      </w:r>
      <w:r w:rsidR="00CD09AF" w:rsidRPr="00EA6C7A">
        <w:rPr>
          <w:rFonts w:ascii="Verdana" w:eastAsia="Batang" w:hAnsi="Verdana"/>
          <w:sz w:val="20"/>
          <w:szCs w:val="20"/>
          <w:lang w:val="en-US"/>
        </w:rPr>
        <w:t xml:space="preserve"> 19</w:t>
      </w:r>
      <w:r w:rsidRPr="00EA6C7A">
        <w:rPr>
          <w:rFonts w:ascii="Verdana" w:eastAsia="Batang" w:hAnsi="Verdana"/>
          <w:sz w:val="20"/>
          <w:szCs w:val="20"/>
          <w:lang w:val="en-US"/>
        </w:rPr>
        <w:t xml:space="preserve">, </w:t>
      </w:r>
      <w:r w:rsidR="00D75E80" w:rsidRPr="00EA6C7A">
        <w:rPr>
          <w:rFonts w:ascii="Verdana" w:eastAsia="Batang" w:hAnsi="Verdana"/>
          <w:sz w:val="20"/>
          <w:szCs w:val="20"/>
          <w:lang w:val="en-US"/>
        </w:rPr>
        <w:t>O</w:t>
      </w:r>
      <w:r w:rsidRPr="00EA6C7A">
        <w:rPr>
          <w:rFonts w:ascii="Verdana" w:eastAsia="Batang" w:hAnsi="Verdana"/>
          <w:sz w:val="20"/>
          <w:szCs w:val="20"/>
          <w:lang w:val="en-US"/>
        </w:rPr>
        <w:t xml:space="preserve">ctober 14 and November 4, </w:t>
      </w:r>
      <w:r w:rsidR="00CD09AF" w:rsidRPr="00EA6C7A">
        <w:rPr>
          <w:rFonts w:ascii="Verdana" w:eastAsia="Batang" w:hAnsi="Verdana"/>
          <w:sz w:val="20"/>
          <w:szCs w:val="20"/>
          <w:lang w:val="en-US"/>
        </w:rPr>
        <w:t xml:space="preserve">2005, </w:t>
      </w:r>
      <w:r w:rsidRPr="00EA6C7A">
        <w:rPr>
          <w:rFonts w:ascii="Verdana" w:eastAsia="Batang" w:hAnsi="Verdana"/>
          <w:sz w:val="20"/>
          <w:szCs w:val="20"/>
          <w:lang w:val="en-US"/>
        </w:rPr>
        <w:t>December 5,</w:t>
      </w:r>
      <w:r w:rsidR="00CD09AF" w:rsidRPr="00EA6C7A">
        <w:rPr>
          <w:rFonts w:ascii="Verdana" w:eastAsia="Batang" w:hAnsi="Verdana"/>
          <w:sz w:val="20"/>
          <w:szCs w:val="20"/>
          <w:lang w:val="en-US"/>
        </w:rPr>
        <w:t xml:space="preserve"> 2008, </w:t>
      </w:r>
      <w:r w:rsidRPr="00EA6C7A">
        <w:rPr>
          <w:rFonts w:ascii="Verdana" w:eastAsia="Batang" w:hAnsi="Verdana"/>
          <w:sz w:val="20"/>
          <w:szCs w:val="20"/>
          <w:lang w:val="en-US"/>
        </w:rPr>
        <w:t>September 17,</w:t>
      </w:r>
      <w:r w:rsidR="00CD09AF" w:rsidRPr="00EA6C7A">
        <w:rPr>
          <w:rFonts w:ascii="Verdana" w:eastAsia="Batang" w:hAnsi="Verdana"/>
          <w:sz w:val="20"/>
          <w:szCs w:val="20"/>
          <w:lang w:val="en-US"/>
        </w:rPr>
        <w:t xml:space="preserve"> 2010, </w:t>
      </w:r>
      <w:r w:rsidRPr="00EA6C7A">
        <w:rPr>
          <w:rFonts w:ascii="Verdana" w:eastAsia="Batang" w:hAnsi="Verdana"/>
          <w:sz w:val="20"/>
          <w:szCs w:val="20"/>
          <w:lang w:val="en-US"/>
        </w:rPr>
        <w:t xml:space="preserve">August </w:t>
      </w:r>
      <w:r w:rsidR="00CD09AF" w:rsidRPr="00EA6C7A">
        <w:rPr>
          <w:rFonts w:ascii="Verdana" w:eastAsia="Batang" w:hAnsi="Verdana"/>
          <w:sz w:val="20"/>
          <w:szCs w:val="20"/>
          <w:lang w:val="en-US"/>
        </w:rPr>
        <w:t xml:space="preserve">4, 10, 25, 26 </w:t>
      </w:r>
      <w:r w:rsidRPr="00EA6C7A">
        <w:rPr>
          <w:rFonts w:ascii="Verdana" w:eastAsia="Batang" w:hAnsi="Verdana"/>
          <w:sz w:val="20"/>
          <w:szCs w:val="20"/>
          <w:lang w:val="en-US"/>
        </w:rPr>
        <w:t>and</w:t>
      </w:r>
      <w:r w:rsidR="00CD09AF" w:rsidRPr="00EA6C7A">
        <w:rPr>
          <w:rFonts w:ascii="Verdana" w:eastAsia="Batang" w:hAnsi="Verdana"/>
          <w:sz w:val="20"/>
          <w:szCs w:val="20"/>
          <w:lang w:val="en-US"/>
        </w:rPr>
        <w:t xml:space="preserve"> 30 </w:t>
      </w:r>
      <w:r w:rsidRPr="00EA6C7A">
        <w:rPr>
          <w:rFonts w:ascii="Verdana" w:eastAsia="Batang" w:hAnsi="Verdana"/>
          <w:sz w:val="20"/>
          <w:szCs w:val="20"/>
          <w:lang w:val="en-US"/>
        </w:rPr>
        <w:t xml:space="preserve">and September 27, </w:t>
      </w:r>
      <w:r w:rsidR="00CD09AF" w:rsidRPr="00EA6C7A">
        <w:rPr>
          <w:rFonts w:ascii="Verdana" w:eastAsia="Batang" w:hAnsi="Verdana"/>
          <w:sz w:val="20"/>
          <w:szCs w:val="20"/>
          <w:lang w:val="en-US"/>
        </w:rPr>
        <w:t xml:space="preserve">2011, </w:t>
      </w:r>
      <w:r w:rsidRPr="00EA6C7A">
        <w:rPr>
          <w:rFonts w:ascii="Verdana" w:eastAsia="Batang" w:hAnsi="Verdana"/>
          <w:sz w:val="20"/>
          <w:szCs w:val="20"/>
          <w:lang w:val="en-US"/>
        </w:rPr>
        <w:t xml:space="preserve">January </w:t>
      </w:r>
      <w:r w:rsidR="00CD09AF" w:rsidRPr="00EA6C7A">
        <w:rPr>
          <w:rFonts w:ascii="Verdana" w:eastAsia="Batang" w:hAnsi="Verdana"/>
          <w:sz w:val="20"/>
          <w:szCs w:val="20"/>
          <w:lang w:val="en-US"/>
        </w:rPr>
        <w:t xml:space="preserve">12 </w:t>
      </w:r>
      <w:r w:rsidRPr="00EA6C7A">
        <w:rPr>
          <w:rFonts w:ascii="Verdana" w:eastAsia="Batang" w:hAnsi="Verdana"/>
          <w:sz w:val="20"/>
          <w:szCs w:val="20"/>
          <w:lang w:val="en-US"/>
        </w:rPr>
        <w:t>and</w:t>
      </w:r>
      <w:r w:rsidR="00CD09AF" w:rsidRPr="00EA6C7A">
        <w:rPr>
          <w:rFonts w:ascii="Verdana" w:eastAsia="Batang" w:hAnsi="Verdana"/>
          <w:sz w:val="20"/>
          <w:szCs w:val="20"/>
          <w:lang w:val="en-US"/>
        </w:rPr>
        <w:t xml:space="preserve"> 20, </w:t>
      </w:r>
      <w:r w:rsidRPr="00EA6C7A">
        <w:rPr>
          <w:rFonts w:ascii="Verdana" w:eastAsia="Batang" w:hAnsi="Verdana"/>
          <w:sz w:val="20"/>
          <w:szCs w:val="20"/>
          <w:lang w:val="en-US"/>
        </w:rPr>
        <w:t xml:space="preserve">February </w:t>
      </w:r>
      <w:r w:rsidR="00CD09AF" w:rsidRPr="00EA6C7A">
        <w:rPr>
          <w:rFonts w:ascii="Verdana" w:eastAsia="Batang" w:hAnsi="Verdana"/>
          <w:sz w:val="20"/>
          <w:szCs w:val="20"/>
          <w:lang w:val="en-US"/>
        </w:rPr>
        <w:t xml:space="preserve">2, </w:t>
      </w:r>
      <w:r w:rsidRPr="00EA6C7A">
        <w:rPr>
          <w:rFonts w:ascii="Verdana" w:eastAsia="Batang" w:hAnsi="Verdana"/>
          <w:sz w:val="20"/>
          <w:szCs w:val="20"/>
          <w:lang w:val="en-US"/>
        </w:rPr>
        <w:t xml:space="preserve">April </w:t>
      </w:r>
      <w:r w:rsidR="00CD09AF" w:rsidRPr="00EA6C7A">
        <w:rPr>
          <w:rFonts w:ascii="Verdana" w:eastAsia="Batang" w:hAnsi="Verdana"/>
          <w:sz w:val="20"/>
          <w:szCs w:val="20"/>
          <w:lang w:val="en-US"/>
        </w:rPr>
        <w:t xml:space="preserve">27 </w:t>
      </w:r>
      <w:r w:rsidRPr="00EA6C7A">
        <w:rPr>
          <w:rFonts w:ascii="Verdana" w:eastAsia="Batang" w:hAnsi="Verdana"/>
          <w:sz w:val="20"/>
          <w:szCs w:val="20"/>
          <w:lang w:val="en-US"/>
        </w:rPr>
        <w:t xml:space="preserve">and August 27, </w:t>
      </w:r>
      <w:r w:rsidR="00CD09AF" w:rsidRPr="00EA6C7A">
        <w:rPr>
          <w:rFonts w:ascii="Verdana" w:eastAsia="Batang" w:hAnsi="Verdana"/>
          <w:sz w:val="20"/>
          <w:szCs w:val="20"/>
          <w:lang w:val="en-US"/>
        </w:rPr>
        <w:t xml:space="preserve">2012, </w:t>
      </w:r>
      <w:r w:rsidRPr="00EA6C7A">
        <w:rPr>
          <w:rFonts w:ascii="Verdana" w:eastAsia="Batang" w:hAnsi="Verdana"/>
          <w:sz w:val="20"/>
          <w:szCs w:val="20"/>
          <w:lang w:val="en-US"/>
        </w:rPr>
        <w:t xml:space="preserve">September </w:t>
      </w:r>
      <w:r w:rsidR="00CD09AF" w:rsidRPr="00EA6C7A">
        <w:rPr>
          <w:rFonts w:ascii="Verdana" w:eastAsia="Batang" w:hAnsi="Verdana"/>
          <w:sz w:val="20"/>
          <w:szCs w:val="20"/>
          <w:lang w:val="en-US"/>
        </w:rPr>
        <w:t xml:space="preserve">22 </w:t>
      </w:r>
      <w:r w:rsidRPr="00EA6C7A">
        <w:rPr>
          <w:rFonts w:ascii="Verdana" w:eastAsia="Batang" w:hAnsi="Verdana"/>
          <w:sz w:val="20"/>
          <w:szCs w:val="20"/>
          <w:lang w:val="en-US"/>
        </w:rPr>
        <w:t>and October</w:t>
      </w:r>
      <w:r w:rsidR="00CD09AF" w:rsidRPr="00EA6C7A">
        <w:rPr>
          <w:rFonts w:ascii="Verdana" w:eastAsia="Batang" w:hAnsi="Verdana"/>
          <w:sz w:val="20"/>
          <w:szCs w:val="20"/>
          <w:lang w:val="en-US"/>
        </w:rPr>
        <w:t xml:space="preserve"> 1</w:t>
      </w:r>
      <w:r w:rsidRPr="00EA6C7A">
        <w:rPr>
          <w:rFonts w:ascii="Verdana" w:eastAsia="Batang" w:hAnsi="Verdana"/>
          <w:sz w:val="20"/>
          <w:szCs w:val="20"/>
          <w:lang w:val="en-US"/>
        </w:rPr>
        <w:t xml:space="preserve">, </w:t>
      </w:r>
      <w:r w:rsidR="00CD09AF" w:rsidRPr="00EA6C7A">
        <w:rPr>
          <w:rFonts w:ascii="Verdana" w:eastAsia="Batang" w:hAnsi="Verdana"/>
          <w:sz w:val="20"/>
          <w:szCs w:val="20"/>
          <w:lang w:val="en-US"/>
        </w:rPr>
        <w:t xml:space="preserve">2013, </w:t>
      </w:r>
      <w:r w:rsidRPr="00EA6C7A">
        <w:rPr>
          <w:rFonts w:ascii="Verdana" w:eastAsia="Batang" w:hAnsi="Verdana"/>
          <w:sz w:val="20"/>
          <w:szCs w:val="20"/>
          <w:lang w:val="en-US"/>
        </w:rPr>
        <w:t>and January</w:t>
      </w:r>
      <w:r w:rsidR="00CD09AF" w:rsidRPr="00EA6C7A">
        <w:rPr>
          <w:rFonts w:ascii="Verdana" w:eastAsia="Batang" w:hAnsi="Verdana"/>
          <w:sz w:val="20"/>
          <w:szCs w:val="20"/>
          <w:lang w:val="en-US"/>
        </w:rPr>
        <w:t xml:space="preserve"> 30</w:t>
      </w:r>
      <w:r w:rsidRPr="00EA6C7A">
        <w:rPr>
          <w:rFonts w:ascii="Verdana" w:eastAsia="Batang" w:hAnsi="Verdana"/>
          <w:sz w:val="20"/>
          <w:szCs w:val="20"/>
          <w:lang w:val="en-US"/>
        </w:rPr>
        <w:t xml:space="preserve">, </w:t>
      </w:r>
      <w:r w:rsidR="00CD09AF" w:rsidRPr="00EA6C7A">
        <w:rPr>
          <w:rFonts w:ascii="Verdana" w:eastAsia="Batang" w:hAnsi="Verdana"/>
          <w:sz w:val="20"/>
          <w:szCs w:val="20"/>
          <w:lang w:val="en-US"/>
        </w:rPr>
        <w:t>2014</w:t>
      </w:r>
      <w:r w:rsidRPr="00EA6C7A">
        <w:rPr>
          <w:rFonts w:ascii="Verdana" w:eastAsia="Batang" w:hAnsi="Verdana"/>
          <w:sz w:val="20"/>
          <w:szCs w:val="20"/>
          <w:lang w:val="en-US"/>
        </w:rPr>
        <w:t>,</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the c</w:t>
      </w:r>
      <w:r w:rsidR="00EF1D78" w:rsidRPr="00EA6C7A">
        <w:rPr>
          <w:rFonts w:ascii="Verdana" w:eastAsia="Batang" w:hAnsi="Verdana"/>
          <w:sz w:val="20"/>
          <w:szCs w:val="20"/>
          <w:lang w:val="en-US"/>
        </w:rPr>
        <w:t>riminal investigation experts</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prepared investigation reports, which they sent to the assistant prosecutor;</w:t>
      </w:r>
      <w:r w:rsidR="00CD09AF" w:rsidRPr="00EA6C7A">
        <w:rPr>
          <w:rFonts w:ascii="Verdana" w:eastAsia="Batang" w:hAnsi="Verdana"/>
          <w:sz w:val="20"/>
          <w:szCs w:val="20"/>
          <w:vertAlign w:val="superscript"/>
          <w:lang w:val="en-US" w:eastAsia="es-MX"/>
        </w:rPr>
        <w:footnoteReference w:id="74"/>
      </w:r>
      <w:r w:rsidR="00CD09AF" w:rsidRPr="00EA6C7A">
        <w:rPr>
          <w:rFonts w:ascii="Verdana" w:eastAsia="Batang" w:hAnsi="Verdana"/>
          <w:sz w:val="20"/>
          <w:szCs w:val="20"/>
          <w:lang w:val="en-US"/>
        </w:rPr>
        <w:t xml:space="preserve"> </w:t>
      </w:r>
    </w:p>
    <w:p w14:paraId="64A4550F" w14:textId="77777777" w:rsidR="00CD09AF" w:rsidRPr="00EA6C7A" w:rsidRDefault="00D75E80" w:rsidP="00E11A7C">
      <w:pPr>
        <w:numPr>
          <w:ilvl w:val="0"/>
          <w:numId w:val="10"/>
        </w:numPr>
        <w:spacing w:after="120" w:line="240" w:lineRule="auto"/>
        <w:ind w:left="720"/>
        <w:jc w:val="both"/>
        <w:rPr>
          <w:rFonts w:ascii="Verdana" w:hAnsi="Verdana"/>
          <w:sz w:val="20"/>
          <w:szCs w:val="20"/>
          <w:lang w:val="en-US"/>
        </w:rPr>
      </w:pPr>
      <w:r w:rsidRPr="00EA6C7A">
        <w:rPr>
          <w:rFonts w:ascii="Verdana" w:eastAsia="Batang" w:hAnsi="Verdana"/>
          <w:sz w:val="20"/>
          <w:szCs w:val="20"/>
          <w:lang w:val="en-US"/>
        </w:rPr>
        <w:lastRenderedPageBreak/>
        <w:t>On O</w:t>
      </w:r>
      <w:r w:rsidR="00047869" w:rsidRPr="00EA6C7A">
        <w:rPr>
          <w:rFonts w:ascii="Verdana" w:eastAsia="Batang" w:hAnsi="Verdana"/>
          <w:sz w:val="20"/>
          <w:szCs w:val="20"/>
          <w:lang w:val="en-US"/>
        </w:rPr>
        <w:t>c</w:t>
      </w:r>
      <w:r w:rsidRPr="00EA6C7A">
        <w:rPr>
          <w:rFonts w:ascii="Verdana" w:eastAsia="Batang" w:hAnsi="Verdana"/>
          <w:sz w:val="20"/>
          <w:szCs w:val="20"/>
          <w:lang w:val="en-US"/>
        </w:rPr>
        <w:t>tober</w:t>
      </w:r>
      <w:r w:rsidR="00CD09AF" w:rsidRPr="00EA6C7A">
        <w:rPr>
          <w:rFonts w:ascii="Verdana" w:eastAsia="Batang" w:hAnsi="Verdana"/>
          <w:sz w:val="20"/>
          <w:szCs w:val="20"/>
          <w:lang w:val="en-US"/>
        </w:rPr>
        <w:t xml:space="preserve"> 24 </w:t>
      </w:r>
      <w:r w:rsidRPr="00EA6C7A">
        <w:rPr>
          <w:rFonts w:ascii="Verdana" w:eastAsia="Batang" w:hAnsi="Verdana"/>
          <w:sz w:val="20"/>
          <w:szCs w:val="20"/>
          <w:lang w:val="en-US"/>
        </w:rPr>
        <w:t xml:space="preserve">and November </w:t>
      </w:r>
      <w:r w:rsidR="00CD09AF" w:rsidRPr="00EA6C7A">
        <w:rPr>
          <w:rFonts w:ascii="Verdana" w:eastAsia="Batang" w:hAnsi="Verdana"/>
          <w:sz w:val="20"/>
          <w:szCs w:val="20"/>
          <w:lang w:val="en-US"/>
        </w:rPr>
        <w:t>29</w:t>
      </w:r>
      <w:r w:rsidRPr="00EA6C7A">
        <w:rPr>
          <w:rFonts w:ascii="Verdana" w:eastAsia="Batang" w:hAnsi="Verdana"/>
          <w:sz w:val="20"/>
          <w:szCs w:val="20"/>
          <w:lang w:val="en-US"/>
        </w:rPr>
        <w:t xml:space="preserve">, </w:t>
      </w:r>
      <w:r w:rsidR="00CD09AF" w:rsidRPr="00EA6C7A">
        <w:rPr>
          <w:rFonts w:ascii="Verdana" w:eastAsia="Batang" w:hAnsi="Verdana"/>
          <w:sz w:val="20"/>
          <w:szCs w:val="20"/>
          <w:lang w:val="en-US"/>
        </w:rPr>
        <w:t xml:space="preserve">2005, </w:t>
      </w:r>
      <w:r w:rsidRPr="00EA6C7A">
        <w:rPr>
          <w:rFonts w:ascii="Verdana" w:eastAsia="Batang" w:hAnsi="Verdana"/>
          <w:sz w:val="20"/>
          <w:szCs w:val="20"/>
          <w:lang w:val="en-US"/>
        </w:rPr>
        <w:t xml:space="preserve">July 11, March 22, August 7, November 2 and December 18, </w:t>
      </w:r>
      <w:r w:rsidR="00CD09AF" w:rsidRPr="00EA6C7A">
        <w:rPr>
          <w:rFonts w:ascii="Verdana" w:eastAsia="Batang" w:hAnsi="Verdana"/>
          <w:sz w:val="20"/>
          <w:szCs w:val="20"/>
          <w:lang w:val="en-US"/>
        </w:rPr>
        <w:t>2006</w:t>
      </w:r>
      <w:r w:rsidRPr="00EA6C7A">
        <w:rPr>
          <w:rFonts w:ascii="Verdana" w:eastAsia="Batang" w:hAnsi="Verdana"/>
          <w:sz w:val="20"/>
          <w:szCs w:val="20"/>
          <w:lang w:val="en-US"/>
        </w:rPr>
        <w:t>, and March 7,</w:t>
      </w:r>
      <w:r w:rsidR="00CD09AF" w:rsidRPr="00EA6C7A">
        <w:rPr>
          <w:rFonts w:ascii="Verdana" w:eastAsia="Batang" w:hAnsi="Verdana"/>
          <w:sz w:val="20"/>
          <w:szCs w:val="20"/>
          <w:lang w:val="en-US"/>
        </w:rPr>
        <w:t xml:space="preserve"> 2007</w:t>
      </w:r>
      <w:r w:rsidRPr="00EA6C7A">
        <w:rPr>
          <w:rFonts w:ascii="Verdana" w:eastAsia="Batang" w:hAnsi="Verdana"/>
          <w:sz w:val="20"/>
          <w:szCs w:val="20"/>
          <w:lang w:val="en-US"/>
        </w:rPr>
        <w:t xml:space="preserve">, the investigators of the </w:t>
      </w:r>
      <w:r w:rsidR="003F31B4" w:rsidRPr="00EA6C7A">
        <w:rPr>
          <w:rFonts w:ascii="Verdana" w:eastAsia="Batang" w:hAnsi="Verdana"/>
          <w:sz w:val="20"/>
          <w:szCs w:val="20"/>
          <w:lang w:val="en-US"/>
        </w:rPr>
        <w:t>Criminal Investigation Department</w:t>
      </w:r>
      <w:r w:rsidR="00CD09AF" w:rsidRPr="00EA6C7A">
        <w:rPr>
          <w:rFonts w:ascii="Verdana" w:eastAsia="Batang" w:hAnsi="Verdana"/>
          <w:sz w:val="20"/>
          <w:szCs w:val="20"/>
          <w:lang w:val="en-US"/>
        </w:rPr>
        <w:t xml:space="preserve"> </w:t>
      </w:r>
      <w:r w:rsidR="003E2012" w:rsidRPr="00EA6C7A">
        <w:rPr>
          <w:rFonts w:ascii="Verdana" w:eastAsia="Batang" w:hAnsi="Verdana"/>
          <w:sz w:val="20"/>
          <w:szCs w:val="20"/>
          <w:lang w:val="en-US"/>
        </w:rPr>
        <w:t>of the Public</w:t>
      </w:r>
      <w:r w:rsidR="00B3248B" w:rsidRPr="00EA6C7A">
        <w:rPr>
          <w:rFonts w:ascii="Verdana" w:eastAsia="Batang" w:hAnsi="Verdana"/>
          <w:sz w:val="20"/>
          <w:szCs w:val="20"/>
          <w:lang w:val="en-US"/>
        </w:rPr>
        <w:t xml:space="preserve"> Prosecution Service</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prepared their respective investigation reports, which were sent to the assistant prosecutor,</w:t>
      </w:r>
      <w:r w:rsidR="00CD09AF" w:rsidRPr="00EA6C7A">
        <w:rPr>
          <w:rFonts w:ascii="Verdana" w:hAnsi="Verdana"/>
          <w:sz w:val="20"/>
          <w:szCs w:val="20"/>
          <w:vertAlign w:val="superscript"/>
          <w:lang w:val="en-US"/>
        </w:rPr>
        <w:footnoteReference w:id="75"/>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and</w:t>
      </w:r>
    </w:p>
    <w:p w14:paraId="0F6008E7" w14:textId="77777777" w:rsidR="00CD09AF" w:rsidRPr="00EA6C7A" w:rsidRDefault="00D75E80" w:rsidP="00E11A7C">
      <w:pPr>
        <w:numPr>
          <w:ilvl w:val="0"/>
          <w:numId w:val="10"/>
        </w:numPr>
        <w:spacing w:after="120" w:line="240" w:lineRule="auto"/>
        <w:ind w:left="720"/>
        <w:jc w:val="both"/>
        <w:rPr>
          <w:rFonts w:ascii="Verdana" w:hAnsi="Verdana"/>
          <w:sz w:val="20"/>
          <w:szCs w:val="20"/>
          <w:lang w:val="en-US"/>
        </w:rPr>
      </w:pPr>
      <w:r w:rsidRPr="00EA6C7A">
        <w:rPr>
          <w:rFonts w:ascii="Verdana" w:eastAsia="Batang" w:hAnsi="Verdana"/>
          <w:sz w:val="20"/>
          <w:szCs w:val="20"/>
          <w:lang w:val="en-US"/>
        </w:rPr>
        <w:t>On May</w:t>
      </w:r>
      <w:r w:rsidR="00CD09AF" w:rsidRPr="00EA6C7A">
        <w:rPr>
          <w:rFonts w:ascii="Verdana" w:eastAsia="Batang" w:hAnsi="Verdana"/>
          <w:sz w:val="20"/>
          <w:szCs w:val="20"/>
          <w:lang w:val="en-US"/>
        </w:rPr>
        <w:t xml:space="preserve"> 9 </w:t>
      </w:r>
      <w:r w:rsidRPr="00EA6C7A">
        <w:rPr>
          <w:rFonts w:ascii="Verdana" w:eastAsia="Batang" w:hAnsi="Verdana"/>
          <w:sz w:val="20"/>
          <w:szCs w:val="20"/>
          <w:lang w:val="en-US"/>
        </w:rPr>
        <w:t xml:space="preserve">and June 23, </w:t>
      </w:r>
      <w:r w:rsidR="00CD09AF" w:rsidRPr="00EA6C7A">
        <w:rPr>
          <w:rFonts w:ascii="Verdana" w:eastAsia="Batang" w:hAnsi="Verdana"/>
          <w:sz w:val="20"/>
          <w:szCs w:val="20"/>
          <w:lang w:val="en-US"/>
        </w:rPr>
        <w:t xml:space="preserve">2006, </w:t>
      </w:r>
      <w:r w:rsidRPr="00EA6C7A">
        <w:rPr>
          <w:rFonts w:ascii="Verdana" w:eastAsia="Batang" w:hAnsi="Verdana"/>
          <w:sz w:val="20"/>
          <w:szCs w:val="20"/>
          <w:lang w:val="en-US"/>
        </w:rPr>
        <w:t>August 4 and 22 and September</w:t>
      </w:r>
      <w:r w:rsidR="00CD09AF" w:rsidRPr="00EA6C7A">
        <w:rPr>
          <w:rFonts w:ascii="Verdana" w:eastAsia="Batang" w:hAnsi="Verdana"/>
          <w:sz w:val="20"/>
          <w:szCs w:val="20"/>
          <w:lang w:val="en-US"/>
        </w:rPr>
        <w:t xml:space="preserve"> 22</w:t>
      </w:r>
      <w:r w:rsidRPr="00EA6C7A">
        <w:rPr>
          <w:rFonts w:ascii="Verdana" w:eastAsia="Batang" w:hAnsi="Verdana"/>
          <w:sz w:val="20"/>
          <w:szCs w:val="20"/>
          <w:lang w:val="en-US"/>
        </w:rPr>
        <w:t xml:space="preserve">, </w:t>
      </w:r>
      <w:r w:rsidR="00CD09AF" w:rsidRPr="00EA6C7A">
        <w:rPr>
          <w:rFonts w:ascii="Verdana" w:eastAsia="Batang" w:hAnsi="Verdana"/>
          <w:sz w:val="20"/>
          <w:szCs w:val="20"/>
          <w:lang w:val="en-US"/>
        </w:rPr>
        <w:t xml:space="preserve">2011, </w:t>
      </w:r>
      <w:r w:rsidRPr="00EA6C7A">
        <w:rPr>
          <w:rFonts w:ascii="Verdana" w:eastAsia="Batang" w:hAnsi="Verdana"/>
          <w:sz w:val="20"/>
          <w:szCs w:val="20"/>
          <w:lang w:val="en-US"/>
        </w:rPr>
        <w:t xml:space="preserve">and January 9 and 19, February 6 and March 12, </w:t>
      </w:r>
      <w:r w:rsidR="00CD09AF" w:rsidRPr="00EA6C7A">
        <w:rPr>
          <w:rFonts w:ascii="Verdana" w:eastAsia="Batang" w:hAnsi="Verdana"/>
          <w:sz w:val="20"/>
          <w:szCs w:val="20"/>
          <w:lang w:val="en-US"/>
        </w:rPr>
        <w:t>2012</w:t>
      </w:r>
      <w:r w:rsidRPr="00EA6C7A">
        <w:rPr>
          <w:rFonts w:ascii="Verdana" w:eastAsia="Batang" w:hAnsi="Verdana"/>
          <w:sz w:val="20"/>
          <w:szCs w:val="20"/>
          <w:lang w:val="en-US"/>
        </w:rPr>
        <w:t>,</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the investigators</w:t>
      </w:r>
      <w:r w:rsidR="00CD09AF" w:rsidRPr="00EA6C7A">
        <w:rPr>
          <w:rFonts w:ascii="Verdana" w:eastAsia="Batang" w:hAnsi="Verdana"/>
          <w:sz w:val="20"/>
          <w:szCs w:val="20"/>
          <w:lang w:val="en-US"/>
        </w:rPr>
        <w:t xml:space="preserve"> </w:t>
      </w:r>
      <w:r w:rsidRPr="00EA6C7A">
        <w:rPr>
          <w:rFonts w:ascii="Verdana" w:eastAsia="Batang" w:hAnsi="Verdana"/>
          <w:sz w:val="20"/>
          <w:szCs w:val="20"/>
          <w:lang w:val="en-US"/>
        </w:rPr>
        <w:t>of the</w:t>
      </w:r>
      <w:r w:rsidR="00CD09AF" w:rsidRPr="00EA6C7A">
        <w:rPr>
          <w:rFonts w:ascii="Verdana" w:eastAsia="Batang" w:hAnsi="Verdana"/>
          <w:sz w:val="20"/>
          <w:szCs w:val="20"/>
          <w:lang w:val="en-US"/>
        </w:rPr>
        <w:t xml:space="preserve"> </w:t>
      </w:r>
      <w:r w:rsidR="00001FF6" w:rsidRPr="00EA6C7A">
        <w:rPr>
          <w:rFonts w:ascii="Verdana" w:eastAsia="Batang" w:hAnsi="Verdana"/>
          <w:sz w:val="20"/>
          <w:szCs w:val="20"/>
          <w:lang w:val="en-US"/>
        </w:rPr>
        <w:t xml:space="preserve">PNC </w:t>
      </w:r>
      <w:r w:rsidR="00B109AB" w:rsidRPr="00EA6C7A">
        <w:rPr>
          <w:rFonts w:ascii="Verdana" w:eastAsia="Batang" w:hAnsi="Verdana"/>
          <w:sz w:val="20"/>
          <w:szCs w:val="20"/>
          <w:lang w:val="en-US"/>
        </w:rPr>
        <w:t>Special Criminal Investigation Division</w:t>
      </w:r>
      <w:r w:rsidR="00CD09AF" w:rsidRPr="00EA6C7A">
        <w:rPr>
          <w:rFonts w:ascii="Verdana" w:eastAsia="Batang" w:hAnsi="Verdana"/>
          <w:sz w:val="20"/>
          <w:szCs w:val="20"/>
          <w:lang w:val="en-US"/>
        </w:rPr>
        <w:t xml:space="preserve"> </w:t>
      </w:r>
      <w:r w:rsidR="00001FF6" w:rsidRPr="00EA6C7A">
        <w:rPr>
          <w:rFonts w:ascii="Verdana" w:eastAsia="Batang" w:hAnsi="Verdana"/>
          <w:sz w:val="20"/>
          <w:szCs w:val="20"/>
          <w:lang w:val="en-US"/>
        </w:rPr>
        <w:t>drew up</w:t>
      </w:r>
      <w:r w:rsidRPr="00EA6C7A">
        <w:rPr>
          <w:rFonts w:ascii="Verdana" w:eastAsia="Batang" w:hAnsi="Verdana"/>
          <w:sz w:val="20"/>
          <w:szCs w:val="20"/>
          <w:lang w:val="en-US"/>
        </w:rPr>
        <w:t xml:space="preserve"> investigation reports, which they forwarded to the assistant prosecutor.</w:t>
      </w:r>
      <w:r w:rsidR="00CD09AF" w:rsidRPr="00EA6C7A">
        <w:rPr>
          <w:rFonts w:ascii="Verdana" w:hAnsi="Verdana"/>
          <w:sz w:val="20"/>
          <w:szCs w:val="20"/>
          <w:vertAlign w:val="superscript"/>
          <w:lang w:val="en-US"/>
        </w:rPr>
        <w:footnoteReference w:id="76"/>
      </w:r>
    </w:p>
    <w:p w14:paraId="72424155" w14:textId="77777777" w:rsidR="00CD09AF" w:rsidRPr="00EA6C7A" w:rsidRDefault="00D75E80"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Procedures conducted based on the evidence collected on the corpse of </w:t>
      </w:r>
      <w:r w:rsidR="00CD09AF" w:rsidRPr="00EA6C7A">
        <w:rPr>
          <w:rFonts w:ascii="Verdana" w:eastAsia="Batang" w:hAnsi="Verdana"/>
          <w:i/>
          <w:sz w:val="20"/>
          <w:szCs w:val="20"/>
          <w:lang w:val="en-US" w:eastAsia="es-MX"/>
        </w:rPr>
        <w:t xml:space="preserve">Claudina Velásquez. </w:t>
      </w:r>
      <w:r w:rsidR="000821BA" w:rsidRPr="00EA6C7A">
        <w:rPr>
          <w:rFonts w:ascii="Verdana" w:eastAsia="Batang" w:hAnsi="Verdana"/>
          <w:sz w:val="20"/>
          <w:szCs w:val="20"/>
          <w:lang w:val="en-US" w:eastAsia="es-MX"/>
        </w:rPr>
        <w:t>On August</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xml:space="preserve">, an order was issued to perform laboratory tests for blood alcohol level and prohibited drugs, and on rectal and vaginal swabs, and fingernail scrapings. In response, it is recorded that </w:t>
      </w:r>
      <w:r w:rsidR="000821BA"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who performed the autopsy took blood, urine and liver samples, </w:t>
      </w:r>
      <w:r w:rsidR="00001FF6" w:rsidRPr="00EA6C7A">
        <w:rPr>
          <w:rFonts w:ascii="Verdana" w:eastAsia="Batang" w:hAnsi="Verdana"/>
          <w:sz w:val="20"/>
          <w:szCs w:val="20"/>
          <w:lang w:val="en-US" w:eastAsia="es-MX"/>
        </w:rPr>
        <w:t>together with samples</w:t>
      </w:r>
      <w:r w:rsidRPr="00EA6C7A">
        <w:rPr>
          <w:rFonts w:ascii="Verdana" w:eastAsia="Batang" w:hAnsi="Verdana"/>
          <w:sz w:val="20"/>
          <w:szCs w:val="20"/>
          <w:lang w:val="en-US" w:eastAsia="es-MX"/>
        </w:rPr>
        <w:t xml:space="preserve"> from her nails</w:t>
      </w:r>
      <w:r w:rsidR="00001FF6"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and rectal and vaginal swabs.</w:t>
      </w:r>
      <w:r w:rsidR="00CD09AF" w:rsidRPr="00EA6C7A">
        <w:rPr>
          <w:rFonts w:ascii="Verdana" w:eastAsia="Batang" w:hAnsi="Verdana"/>
          <w:sz w:val="20"/>
          <w:szCs w:val="20"/>
          <w:vertAlign w:val="superscript"/>
          <w:lang w:val="en-US" w:eastAsia="es-MX"/>
        </w:rPr>
        <w:footnoteReference w:id="77"/>
      </w:r>
      <w:r w:rsidRPr="00EA6C7A">
        <w:rPr>
          <w:rFonts w:ascii="Verdana" w:eastAsia="Batang" w:hAnsi="Verdana"/>
          <w:sz w:val="20"/>
          <w:szCs w:val="20"/>
          <w:lang w:val="en-US" w:eastAsia="es-MX"/>
        </w:rPr>
        <w:t xml:space="preserve"> The tests described below were performed on these samples.</w:t>
      </w:r>
    </w:p>
    <w:p w14:paraId="72D15BA7" w14:textId="77777777" w:rsidR="00CD09AF" w:rsidRPr="00EA6C7A" w:rsidRDefault="00CA4197"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 September 16,</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xml:space="preserve">, an expert </w:t>
      </w:r>
      <w:r w:rsidR="006054D8" w:rsidRPr="00EA6C7A">
        <w:rPr>
          <w:rFonts w:ascii="Verdana" w:eastAsia="Batang" w:hAnsi="Verdana"/>
          <w:sz w:val="20"/>
          <w:szCs w:val="20"/>
          <w:lang w:val="en-US" w:eastAsia="es-MX"/>
        </w:rPr>
        <w:t>report</w:t>
      </w:r>
      <w:r w:rsidRPr="00EA6C7A">
        <w:rPr>
          <w:rFonts w:ascii="Verdana" w:eastAsia="Batang" w:hAnsi="Verdana"/>
          <w:sz w:val="20"/>
          <w:szCs w:val="20"/>
          <w:lang w:val="en-US" w:eastAsia="es-MX"/>
        </w:rPr>
        <w:t xml:space="preserve"> was issued on the alcohol and drug tests based on the blood, liver and urine samples, which found an alcohol level of </w:t>
      </w:r>
      <w:r w:rsidR="00CD09AF" w:rsidRPr="00EA6C7A">
        <w:rPr>
          <w:rFonts w:ascii="Verdana" w:eastAsia="Batang" w:hAnsi="Verdana"/>
          <w:sz w:val="20"/>
          <w:szCs w:val="20"/>
          <w:lang w:val="en-US" w:eastAsia="es-MX"/>
        </w:rPr>
        <w:t xml:space="preserve">1,4g/L </w:t>
      </w:r>
      <w:r w:rsidRPr="00EA6C7A">
        <w:rPr>
          <w:rFonts w:ascii="Verdana" w:eastAsia="Batang" w:hAnsi="Verdana"/>
          <w:sz w:val="20"/>
          <w:szCs w:val="20"/>
          <w:lang w:val="en-US" w:eastAsia="es-MX"/>
        </w:rPr>
        <w:t>in the blood and</w:t>
      </w:r>
      <w:r w:rsidR="00CD09AF" w:rsidRPr="00EA6C7A">
        <w:rPr>
          <w:rFonts w:ascii="Verdana" w:eastAsia="Batang" w:hAnsi="Verdana"/>
          <w:sz w:val="20"/>
          <w:szCs w:val="20"/>
          <w:lang w:val="en-US" w:eastAsia="es-MX"/>
        </w:rPr>
        <w:t xml:space="preserve"> 2,4 g/L </w:t>
      </w:r>
      <w:r w:rsidRPr="00EA6C7A">
        <w:rPr>
          <w:rFonts w:ascii="Verdana" w:eastAsia="Batang" w:hAnsi="Verdana"/>
          <w:sz w:val="20"/>
          <w:szCs w:val="20"/>
          <w:lang w:val="en-US" w:eastAsia="es-MX"/>
        </w:rPr>
        <w:t>in the urine, with no trace of drugs.</w:t>
      </w:r>
      <w:r w:rsidR="00CD09AF" w:rsidRPr="00EA6C7A">
        <w:rPr>
          <w:rFonts w:ascii="Verdana" w:eastAsia="Batang" w:hAnsi="Verdana"/>
          <w:sz w:val="20"/>
          <w:szCs w:val="20"/>
          <w:vertAlign w:val="superscript"/>
          <w:lang w:val="en-US" w:eastAsia="es-MX"/>
        </w:rPr>
        <w:footnoteReference w:id="78"/>
      </w:r>
      <w:r w:rsidRPr="00EA6C7A">
        <w:rPr>
          <w:rFonts w:ascii="Verdana" w:eastAsia="Batang" w:hAnsi="Verdana"/>
          <w:sz w:val="20"/>
          <w:szCs w:val="20"/>
          <w:lang w:val="en-US" w:eastAsia="es-MX"/>
        </w:rPr>
        <w:t xml:space="preserve"> In addition, on November 18,</w:t>
      </w:r>
      <w:r w:rsidR="00CD09AF" w:rsidRPr="00EA6C7A">
        <w:rPr>
          <w:rFonts w:ascii="Verdana" w:eastAsia="Batang" w:hAnsi="Verdana"/>
          <w:sz w:val="20"/>
          <w:szCs w:val="20"/>
          <w:lang w:val="en-US" w:eastAsia="es-MX"/>
        </w:rPr>
        <w:t xml:space="preserve"> 20</w:t>
      </w:r>
      <w:r w:rsidRPr="00EA6C7A">
        <w:rPr>
          <w:rFonts w:ascii="Verdana" w:eastAsia="Batang" w:hAnsi="Verdana"/>
          <w:sz w:val="20"/>
          <w:szCs w:val="20"/>
          <w:lang w:val="en-US" w:eastAsia="es-MX"/>
        </w:rPr>
        <w:t xml:space="preserve">11, and at the request of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Guatemalan National Institute of Forensic Science</w:t>
      </w:r>
      <w:r w:rsidR="00A72430"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hereinafter</w:t>
      </w:r>
      <w:r w:rsidR="00A72430" w:rsidRPr="00EA6C7A">
        <w:rPr>
          <w:rFonts w:ascii="Verdana" w:eastAsia="Batang" w:hAnsi="Verdana"/>
          <w:sz w:val="20"/>
          <w:szCs w:val="20"/>
          <w:lang w:val="en-US" w:eastAsia="es-MX"/>
        </w:rPr>
        <w:t xml:space="preserve"> “INACIF”)</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issued a report in which it provided a standard table of levels of alcohol according to which </w:t>
      </w:r>
      <w:r w:rsidR="00CD09AF" w:rsidRPr="00EA6C7A">
        <w:rPr>
          <w:rFonts w:ascii="Verdana" w:eastAsia="Batang" w:hAnsi="Verdana"/>
          <w:sz w:val="20"/>
          <w:szCs w:val="20"/>
          <w:lang w:val="en-US" w:eastAsia="es-MX"/>
        </w:rPr>
        <w:t xml:space="preserve">Claudina Velásquez </w:t>
      </w:r>
      <w:r w:rsidRPr="00EA6C7A">
        <w:rPr>
          <w:rFonts w:ascii="Verdana" w:eastAsia="Batang" w:hAnsi="Verdana"/>
          <w:sz w:val="20"/>
          <w:szCs w:val="20"/>
          <w:lang w:val="en-US" w:eastAsia="es-MX"/>
        </w:rPr>
        <w:t>was slightly inebriated (agitated).</w:t>
      </w:r>
      <w:r w:rsidR="00CD09AF" w:rsidRPr="00EA6C7A">
        <w:rPr>
          <w:rFonts w:ascii="Verdana" w:eastAsia="Batang" w:hAnsi="Verdana"/>
          <w:sz w:val="20"/>
          <w:szCs w:val="20"/>
          <w:vertAlign w:val="superscript"/>
          <w:lang w:val="en-US" w:eastAsia="es-MX"/>
        </w:rPr>
        <w:footnoteReference w:id="79"/>
      </w:r>
    </w:p>
    <w:p w14:paraId="64B60695" w14:textId="77777777" w:rsidR="00CD09AF" w:rsidRPr="00EA6C7A" w:rsidRDefault="00CA4197"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 September 26,</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003F31B4" w:rsidRPr="00EA6C7A">
        <w:rPr>
          <w:rFonts w:ascii="Verdana" w:eastAsia="Batang" w:hAnsi="Verdana"/>
          <w:sz w:val="20"/>
          <w:szCs w:val="20"/>
          <w:lang w:val="en-US" w:eastAsia="es-MX"/>
        </w:rPr>
        <w:t>Criminal Investigation Department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issued a report which identified the presence of semen in the vagina, but not in the rectal cavity.</w:t>
      </w:r>
      <w:r w:rsidR="00CD09AF" w:rsidRPr="00EA6C7A">
        <w:rPr>
          <w:rFonts w:ascii="Verdana" w:eastAsia="Batang" w:hAnsi="Verdana"/>
          <w:sz w:val="20"/>
          <w:szCs w:val="20"/>
          <w:vertAlign w:val="superscript"/>
          <w:lang w:val="en-US" w:eastAsia="es-MX"/>
        </w:rPr>
        <w:footnoteReference w:id="80"/>
      </w:r>
      <w:r w:rsidRPr="00EA6C7A">
        <w:rPr>
          <w:rFonts w:ascii="Verdana" w:eastAsia="Batang" w:hAnsi="Verdana"/>
          <w:sz w:val="20"/>
          <w:szCs w:val="20"/>
          <w:lang w:val="en-US" w:eastAsia="es-MX"/>
        </w:rPr>
        <w:t xml:space="preserve"> On Janu</w:t>
      </w:r>
      <w:r w:rsidR="006054D8" w:rsidRPr="00EA6C7A">
        <w:rPr>
          <w:rFonts w:ascii="Verdana" w:eastAsia="Batang" w:hAnsi="Verdana"/>
          <w:sz w:val="20"/>
          <w:szCs w:val="20"/>
          <w:lang w:val="en-US" w:eastAsia="es-MX"/>
        </w:rPr>
        <w:t>a</w:t>
      </w:r>
      <w:r w:rsidRPr="00EA6C7A">
        <w:rPr>
          <w:rFonts w:ascii="Verdana" w:eastAsia="Batang" w:hAnsi="Verdana"/>
          <w:sz w:val="20"/>
          <w:szCs w:val="20"/>
          <w:lang w:val="en-US" w:eastAsia="es-MX"/>
        </w:rPr>
        <w:t xml:space="preserve">ry 24 and June 12, </w:t>
      </w:r>
      <w:r w:rsidR="00CD09AF" w:rsidRPr="00EA6C7A">
        <w:rPr>
          <w:rFonts w:ascii="Verdana" w:eastAsia="Batang" w:hAnsi="Verdana"/>
          <w:sz w:val="20"/>
          <w:szCs w:val="20"/>
          <w:lang w:val="en-US" w:eastAsia="es-MX"/>
        </w:rPr>
        <w:t xml:space="preserve">2006, </w:t>
      </w:r>
      <w:r w:rsidRPr="00EA6C7A">
        <w:rPr>
          <w:rFonts w:ascii="Verdana" w:eastAsia="Batang" w:hAnsi="Verdana"/>
          <w:sz w:val="20"/>
          <w:szCs w:val="20"/>
          <w:lang w:val="en-US" w:eastAsia="es-MX"/>
        </w:rPr>
        <w:t>March 5,</w:t>
      </w:r>
      <w:r w:rsidR="00CD09AF" w:rsidRPr="00EA6C7A">
        <w:rPr>
          <w:rFonts w:ascii="Verdana" w:eastAsia="Batang" w:hAnsi="Verdana"/>
          <w:sz w:val="20"/>
          <w:szCs w:val="20"/>
          <w:lang w:val="en-US" w:eastAsia="es-MX"/>
        </w:rPr>
        <w:t xml:space="preserve"> 2008,</w:t>
      </w:r>
      <w:r w:rsidR="00001FF6" w:rsidRPr="00EA6C7A">
        <w:rPr>
          <w:rFonts w:ascii="Verdana" w:eastAsia="Batang" w:hAnsi="Verdana"/>
          <w:sz w:val="20"/>
          <w:szCs w:val="20"/>
          <w:lang w:val="en-US" w:eastAsia="es-MX"/>
        </w:rPr>
        <w:t xml:space="preserve"> and</w:t>
      </w:r>
      <w:r w:rsidRPr="00EA6C7A">
        <w:rPr>
          <w:rFonts w:ascii="Verdana" w:eastAsia="Batang" w:hAnsi="Verdana"/>
          <w:sz w:val="20"/>
          <w:szCs w:val="20"/>
          <w:lang w:val="en-US" w:eastAsia="es-MX"/>
        </w:rPr>
        <w:t xml:space="preserve"> July 28 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September 14,</w:t>
      </w:r>
      <w:r w:rsidR="00CD09AF" w:rsidRPr="00EA6C7A">
        <w:rPr>
          <w:rFonts w:ascii="Verdana" w:eastAsia="Batang" w:hAnsi="Verdana"/>
          <w:sz w:val="20"/>
          <w:szCs w:val="20"/>
          <w:lang w:val="en-US" w:eastAsia="es-MX"/>
        </w:rPr>
        <w:t xml:space="preserve"> 2009, </w:t>
      </w:r>
      <w:r w:rsidRPr="00EA6C7A">
        <w:rPr>
          <w:rFonts w:ascii="Verdana" w:eastAsia="Batang" w:hAnsi="Verdana"/>
          <w:sz w:val="20"/>
          <w:szCs w:val="20"/>
          <w:lang w:val="en-US" w:eastAsia="es-MX"/>
        </w:rPr>
        <w:t>the Forensic Medicine Department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of the</w:t>
      </w:r>
      <w:r w:rsidR="00CD09AF" w:rsidRPr="00EA6C7A">
        <w:rPr>
          <w:rFonts w:ascii="Verdana" w:eastAsia="Batang" w:hAnsi="Verdana"/>
          <w:sz w:val="20"/>
          <w:szCs w:val="20"/>
          <w:lang w:val="en-US" w:eastAsia="es-MX"/>
        </w:rPr>
        <w:t xml:space="preserve"> Universidad de Granada, </w:t>
      </w:r>
      <w:r w:rsidRPr="00EA6C7A">
        <w:rPr>
          <w:rFonts w:ascii="Verdana" w:eastAsia="Batang" w:hAnsi="Verdana"/>
          <w:sz w:val="20"/>
          <w:szCs w:val="20"/>
          <w:lang w:val="en-US" w:eastAsia="es-MX"/>
        </w:rPr>
        <w:t>Spain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received blood samples from eight individuals linked to the investigation from</w:t>
      </w:r>
      <w:r w:rsidR="003E2012" w:rsidRPr="00EA6C7A">
        <w:rPr>
          <w:rFonts w:ascii="Verdana" w:eastAsia="Batang" w:hAnsi="Verdana"/>
          <w:sz w:val="20"/>
          <w:szCs w:val="20"/>
          <w:lang w:val="en-US" w:eastAsia="es-MX"/>
        </w:rPr>
        <w:t xml:space="preserve"> the</w:t>
      </w:r>
      <w:r w:rsidR="006054D8" w:rsidRPr="00EA6C7A">
        <w:rPr>
          <w:rFonts w:ascii="Verdana" w:eastAsia="Batang" w:hAnsi="Verdana"/>
          <w:sz w:val="20"/>
          <w:szCs w:val="20"/>
          <w:lang w:val="en-US" w:eastAsia="es-MX"/>
        </w:rPr>
        <w:t xml:space="preserve"> Guatemalan</w:t>
      </w:r>
      <w:r w:rsidR="003E2012" w:rsidRPr="00EA6C7A">
        <w:rPr>
          <w:rFonts w:ascii="Verdana" w:eastAsia="Batang" w:hAnsi="Verdana"/>
          <w:sz w:val="20"/>
          <w:szCs w:val="20"/>
          <w:lang w:val="en-US" w:eastAsia="es-MX"/>
        </w:rPr>
        <w:t xml:space="preserve"> Public</w:t>
      </w:r>
      <w:r w:rsidR="00B3248B" w:rsidRPr="00EA6C7A">
        <w:rPr>
          <w:rFonts w:ascii="Verdana" w:eastAsia="Batang" w:hAnsi="Verdana"/>
          <w:sz w:val="20"/>
          <w:szCs w:val="20"/>
          <w:lang w:val="en-US" w:eastAsia="es-MX"/>
        </w:rPr>
        <w:t xml:space="preserve"> Prosecution Service</w:t>
      </w:r>
      <w:r w:rsidR="006054D8" w:rsidRPr="00EA6C7A">
        <w:rPr>
          <w:rFonts w:ascii="Verdana" w:eastAsia="Batang" w:hAnsi="Verdana"/>
          <w:sz w:val="20"/>
          <w:szCs w:val="20"/>
          <w:lang w:val="en-US" w:eastAsia="es-MX"/>
        </w:rPr>
        <w:t xml:space="preserve"> in order to compare their genetic profiles to the genetic profile of the semen found on the vaginal swab taken from </w:t>
      </w:r>
      <w:r w:rsidR="00CD09AF" w:rsidRPr="00EA6C7A">
        <w:rPr>
          <w:rFonts w:ascii="Verdana" w:eastAsia="Batang" w:hAnsi="Verdana"/>
          <w:sz w:val="20"/>
          <w:szCs w:val="20"/>
          <w:lang w:val="en-US" w:eastAsia="es-MX"/>
        </w:rPr>
        <w:t xml:space="preserve">Claudina Velásquez. </w:t>
      </w:r>
      <w:r w:rsidR="006054D8" w:rsidRPr="00EA6C7A">
        <w:rPr>
          <w:rFonts w:ascii="Verdana" w:eastAsia="Batang" w:hAnsi="Verdana"/>
          <w:sz w:val="20"/>
          <w:szCs w:val="20"/>
          <w:lang w:val="en-US" w:eastAsia="es-MX"/>
        </w:rPr>
        <w:t xml:space="preserve">As a result, on February 3 and June 26, </w:t>
      </w:r>
      <w:r w:rsidR="00CD09AF" w:rsidRPr="00EA6C7A">
        <w:rPr>
          <w:rFonts w:ascii="Verdana" w:eastAsia="Batang" w:hAnsi="Verdana"/>
          <w:sz w:val="20"/>
          <w:szCs w:val="20"/>
          <w:lang w:val="en-US" w:eastAsia="es-MX"/>
        </w:rPr>
        <w:t xml:space="preserve">2006, </w:t>
      </w:r>
      <w:r w:rsidR="006054D8" w:rsidRPr="00EA6C7A">
        <w:rPr>
          <w:rFonts w:ascii="Verdana" w:eastAsia="Batang" w:hAnsi="Verdana"/>
          <w:sz w:val="20"/>
          <w:szCs w:val="20"/>
          <w:lang w:val="en-US" w:eastAsia="es-MX"/>
        </w:rPr>
        <w:t xml:space="preserve">March </w:t>
      </w:r>
      <w:r w:rsidR="00CD09AF" w:rsidRPr="00EA6C7A">
        <w:rPr>
          <w:rFonts w:ascii="Verdana" w:eastAsia="Batang" w:hAnsi="Verdana"/>
          <w:sz w:val="20"/>
          <w:szCs w:val="20"/>
          <w:lang w:val="en-US" w:eastAsia="es-MX"/>
        </w:rPr>
        <w:t>28</w:t>
      </w:r>
      <w:r w:rsidR="006054D8"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2008, </w:t>
      </w:r>
      <w:r w:rsidR="006054D8" w:rsidRPr="00EA6C7A">
        <w:rPr>
          <w:rFonts w:ascii="Verdana" w:eastAsia="Batang" w:hAnsi="Verdana"/>
          <w:sz w:val="20"/>
          <w:szCs w:val="20"/>
          <w:lang w:val="en-US" w:eastAsia="es-MX"/>
        </w:rPr>
        <w:t>and October</w:t>
      </w:r>
      <w:r w:rsidR="00CD09AF" w:rsidRPr="00EA6C7A">
        <w:rPr>
          <w:rFonts w:ascii="Verdana" w:eastAsia="Batang" w:hAnsi="Verdana"/>
          <w:sz w:val="20"/>
          <w:szCs w:val="20"/>
          <w:lang w:val="en-US" w:eastAsia="es-MX"/>
        </w:rPr>
        <w:t xml:space="preserve"> 5 </w:t>
      </w:r>
      <w:r w:rsidR="006054D8"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23</w:t>
      </w:r>
      <w:r w:rsidR="006054D8"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2009</w:t>
      </w:r>
      <w:r w:rsidR="006054D8" w:rsidRPr="00EA6C7A">
        <w:rPr>
          <w:rFonts w:ascii="Verdana" w:eastAsia="Batang" w:hAnsi="Verdana"/>
          <w:sz w:val="20"/>
          <w:szCs w:val="20"/>
          <w:lang w:val="en-US" w:eastAsia="es-MX"/>
        </w:rPr>
        <w:t>, that laboratory determined that a genetic profile compatible with a man was evident on the vaginal swabs, but that it did not coincide with the genetic profile of any of the suspects.</w:t>
      </w:r>
      <w:r w:rsidR="00CD09AF" w:rsidRPr="00EA6C7A">
        <w:rPr>
          <w:rFonts w:ascii="Verdana" w:eastAsia="Batang" w:hAnsi="Verdana"/>
          <w:sz w:val="20"/>
          <w:szCs w:val="20"/>
          <w:vertAlign w:val="superscript"/>
          <w:lang w:val="en-US" w:eastAsia="es-MX"/>
        </w:rPr>
        <w:footnoteReference w:id="81"/>
      </w:r>
      <w:r w:rsidR="00CD09AF" w:rsidRPr="00EA6C7A">
        <w:rPr>
          <w:rFonts w:ascii="Verdana" w:eastAsia="Batang" w:hAnsi="Verdana"/>
          <w:sz w:val="20"/>
          <w:szCs w:val="20"/>
          <w:lang w:val="en-US" w:eastAsia="es-MX"/>
        </w:rPr>
        <w:t xml:space="preserve"> Final</w:t>
      </w:r>
      <w:r w:rsidR="006054D8" w:rsidRPr="00EA6C7A">
        <w:rPr>
          <w:rFonts w:ascii="Verdana" w:eastAsia="Batang" w:hAnsi="Verdana"/>
          <w:sz w:val="20"/>
          <w:szCs w:val="20"/>
          <w:lang w:val="en-US" w:eastAsia="es-MX"/>
        </w:rPr>
        <w:t>ly</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on June 6,</w:t>
      </w:r>
      <w:r w:rsidR="00CD09AF" w:rsidRPr="00EA6C7A">
        <w:rPr>
          <w:rFonts w:ascii="Verdana" w:eastAsia="Batang" w:hAnsi="Verdana"/>
          <w:sz w:val="20"/>
          <w:szCs w:val="20"/>
          <w:lang w:val="en-US" w:eastAsia="es-MX"/>
        </w:rPr>
        <w:t xml:space="preserve"> 2012</w:t>
      </w:r>
      <w:r w:rsidR="006054D8"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asked the</w:t>
      </w:r>
      <w:r w:rsidR="00CD09AF" w:rsidRPr="00EA6C7A">
        <w:rPr>
          <w:rFonts w:ascii="Verdana" w:eastAsia="Batang" w:hAnsi="Verdana"/>
          <w:sz w:val="20"/>
          <w:szCs w:val="20"/>
          <w:lang w:val="en-US" w:eastAsia="es-MX"/>
        </w:rPr>
        <w:t xml:space="preserve"> </w:t>
      </w:r>
      <w:r w:rsidR="002A02E6" w:rsidRPr="00EA6C7A">
        <w:rPr>
          <w:rFonts w:ascii="Verdana" w:eastAsia="Batang" w:hAnsi="Verdana"/>
          <w:sz w:val="20"/>
          <w:szCs w:val="20"/>
          <w:lang w:val="en-US" w:eastAsia="es-MX"/>
        </w:rPr>
        <w:t>INACIF</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 xml:space="preserve">to compare the result of the genetic profile of one more person </w:t>
      </w:r>
      <w:r w:rsidR="006054D8" w:rsidRPr="00EA6C7A">
        <w:rPr>
          <w:rFonts w:ascii="Verdana" w:eastAsia="Batang" w:hAnsi="Verdana"/>
          <w:sz w:val="20"/>
          <w:szCs w:val="20"/>
          <w:lang w:val="en-US" w:eastAsia="es-MX"/>
        </w:rPr>
        <w:lastRenderedPageBreak/>
        <w:t xml:space="preserve">linked to the investigation, with the genetic profile of the semen found. On July 3, 2012, the  </w:t>
      </w:r>
      <w:r w:rsidR="00CD09AF" w:rsidRPr="00EA6C7A">
        <w:rPr>
          <w:rFonts w:ascii="Verdana" w:eastAsia="Batang" w:hAnsi="Verdana"/>
          <w:sz w:val="20"/>
          <w:szCs w:val="20"/>
          <w:lang w:val="en-US" w:eastAsia="es-MX"/>
        </w:rPr>
        <w:t xml:space="preserve">INACIF </w:t>
      </w:r>
      <w:r w:rsidR="006054D8" w:rsidRPr="00EA6C7A">
        <w:rPr>
          <w:rFonts w:ascii="Verdana" w:eastAsia="Batang" w:hAnsi="Verdana"/>
          <w:sz w:val="20"/>
          <w:szCs w:val="20"/>
          <w:lang w:val="en-US" w:eastAsia="es-MX"/>
        </w:rPr>
        <w:t>advised</w:t>
      </w:r>
      <w:r w:rsidR="00D75E80" w:rsidRPr="00EA6C7A">
        <w:rPr>
          <w:rFonts w:ascii="Verdana" w:eastAsia="Batang" w:hAnsi="Verdana"/>
          <w:sz w:val="20"/>
          <w:szCs w:val="20"/>
          <w:lang w:val="en-US" w:eastAsia="es-MX"/>
        </w:rPr>
        <w:t xml:space="preserve"> the assistant prosecutor</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that they did not match.</w:t>
      </w:r>
      <w:r w:rsidR="00CD09AF" w:rsidRPr="00EA6C7A">
        <w:rPr>
          <w:rFonts w:ascii="Verdana" w:eastAsia="Batang" w:hAnsi="Verdana"/>
          <w:sz w:val="20"/>
          <w:szCs w:val="20"/>
          <w:vertAlign w:val="superscript"/>
          <w:lang w:val="en-US" w:eastAsia="es-MX"/>
        </w:rPr>
        <w:footnoteReference w:id="82"/>
      </w:r>
    </w:p>
    <w:p w14:paraId="36277824" w14:textId="77777777" w:rsidR="00CD09AF" w:rsidRPr="00EA6C7A" w:rsidRDefault="007944A2"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The evidence reveals, also, that on August 7, </w:t>
      </w:r>
      <w:r w:rsidR="00CD09AF" w:rsidRPr="00EA6C7A">
        <w:rPr>
          <w:rFonts w:ascii="Verdana" w:eastAsia="Batang" w:hAnsi="Verdana"/>
          <w:sz w:val="20"/>
          <w:szCs w:val="20"/>
          <w:lang w:val="en-US" w:eastAsia="es-MX"/>
        </w:rPr>
        <w:t>2006</w:t>
      </w:r>
      <w:r w:rsidRPr="00EA6C7A">
        <w:rPr>
          <w:rFonts w:ascii="Verdana" w:eastAsia="Batang" w:hAnsi="Verdana"/>
          <w:sz w:val="20"/>
          <w:szCs w:val="20"/>
          <w:lang w:val="en-US" w:eastAsia="es-MX"/>
        </w:rPr>
        <w:t>, and</w:t>
      </w:r>
      <w:r w:rsidR="00CD09AF" w:rsidRPr="00EA6C7A">
        <w:rPr>
          <w:rFonts w:ascii="Verdana" w:eastAsia="Batang" w:hAnsi="Verdana"/>
          <w:sz w:val="20"/>
          <w:szCs w:val="20"/>
          <w:lang w:val="en-US" w:eastAsia="es-MX"/>
        </w:rPr>
        <w:t xml:space="preserve"> </w:t>
      </w:r>
      <w:r w:rsidR="002414E4" w:rsidRPr="00EA6C7A">
        <w:rPr>
          <w:rFonts w:ascii="Verdana" w:eastAsia="Batang" w:hAnsi="Verdana"/>
          <w:sz w:val="20"/>
          <w:szCs w:val="20"/>
          <w:lang w:val="en-US" w:eastAsia="es-MX"/>
        </w:rPr>
        <w:t>April 6,</w:t>
      </w:r>
      <w:r w:rsidR="00CD09AF" w:rsidRPr="00EA6C7A">
        <w:rPr>
          <w:rFonts w:ascii="Verdana" w:eastAsia="Batang" w:hAnsi="Verdana"/>
          <w:sz w:val="20"/>
          <w:szCs w:val="20"/>
          <w:lang w:val="en-US" w:eastAsia="es-MX"/>
        </w:rPr>
        <w:t xml:space="preserve"> 2009</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4197" w:rsidRPr="00EA6C7A">
        <w:rPr>
          <w:rFonts w:ascii="Verdana" w:eastAsia="Batang" w:hAnsi="Verdana"/>
          <w:sz w:val="20"/>
          <w:szCs w:val="20"/>
          <w:lang w:val="en-US" w:eastAsia="es-MX"/>
        </w:rPr>
        <w:t>the Forensic Medicine Department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of the</w:t>
      </w:r>
      <w:r w:rsidR="00CD09AF" w:rsidRPr="00EA6C7A">
        <w:rPr>
          <w:rFonts w:ascii="Verdana" w:eastAsia="Batang" w:hAnsi="Verdana"/>
          <w:sz w:val="20"/>
          <w:szCs w:val="20"/>
          <w:lang w:val="en-US" w:eastAsia="es-MX"/>
        </w:rPr>
        <w:t xml:space="preserve"> Universidad de Granada, </w:t>
      </w:r>
      <w:r w:rsidR="006054D8" w:rsidRPr="00EA6C7A">
        <w:rPr>
          <w:rFonts w:ascii="Verdana" w:eastAsia="Batang" w:hAnsi="Verdana"/>
          <w:sz w:val="20"/>
          <w:szCs w:val="20"/>
          <w:lang w:val="en-US" w:eastAsia="es-MX"/>
        </w:rPr>
        <w:t>Spain</w:t>
      </w:r>
      <w:r w:rsidR="00CD09AF" w:rsidRPr="00EA6C7A">
        <w:rPr>
          <w:rFonts w:ascii="Verdana" w:eastAsia="Batang" w:hAnsi="Verdana"/>
          <w:sz w:val="20"/>
          <w:szCs w:val="20"/>
          <w:lang w:val="en-US" w:eastAsia="es-MX"/>
        </w:rPr>
        <w:t>, re</w:t>
      </w:r>
      <w:r w:rsidRPr="00EA6C7A">
        <w:rPr>
          <w:rFonts w:ascii="Verdana" w:eastAsia="Batang" w:hAnsi="Verdana"/>
          <w:sz w:val="20"/>
          <w:szCs w:val="20"/>
          <w:lang w:val="en-US" w:eastAsia="es-MX"/>
        </w:rPr>
        <w:t>ceived the blood samples of Jorge Rolando Velásquez Durán</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 xml:space="preserve">Elsa Claudina Paiz Vidal from the Guatemalan Public Prosecution Service in order to compare their genetic profiles with the genetic profile obtained from the blood and vaginal and rectal swabs taken from </w:t>
      </w:r>
      <w:r w:rsidR="00CD09AF" w:rsidRPr="00EA6C7A">
        <w:rPr>
          <w:rFonts w:ascii="Verdana" w:eastAsia="Batang" w:hAnsi="Verdana"/>
          <w:sz w:val="20"/>
          <w:szCs w:val="20"/>
          <w:lang w:val="en-US" w:eastAsia="es-MX"/>
        </w:rPr>
        <w:t xml:space="preserve">Claudina Velásquez, </w:t>
      </w:r>
      <w:r w:rsidRPr="00EA6C7A">
        <w:rPr>
          <w:rFonts w:ascii="Verdana" w:eastAsia="Batang" w:hAnsi="Verdana"/>
          <w:sz w:val="20"/>
          <w:szCs w:val="20"/>
          <w:lang w:val="en-US" w:eastAsia="es-MX"/>
        </w:rPr>
        <w:t>and establish whether they were compatible. Accordingly, on</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September 29,</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and</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May 20,</w:t>
      </w:r>
      <w:r w:rsidR="00CD09AF" w:rsidRPr="00EA6C7A">
        <w:rPr>
          <w:rFonts w:ascii="Verdana" w:eastAsia="Batang" w:hAnsi="Verdana"/>
          <w:sz w:val="20"/>
          <w:szCs w:val="20"/>
          <w:lang w:val="en-US" w:eastAsia="es-MX"/>
        </w:rPr>
        <w:t xml:space="preserve"> 2009</w:t>
      </w:r>
      <w:r w:rsidRPr="00EA6C7A">
        <w:rPr>
          <w:rFonts w:ascii="Verdana" w:eastAsia="Batang" w:hAnsi="Verdana"/>
          <w:sz w:val="20"/>
          <w:szCs w:val="20"/>
          <w:lang w:val="en-US" w:eastAsia="es-MX"/>
        </w:rPr>
        <w:t xml:space="preserve">, that laboratory determined that the genetic profile of </w:t>
      </w:r>
      <w:r w:rsidR="00CD09AF" w:rsidRPr="00EA6C7A">
        <w:rPr>
          <w:rFonts w:ascii="Verdana" w:eastAsia="Batang" w:hAnsi="Verdana"/>
          <w:sz w:val="20"/>
          <w:szCs w:val="20"/>
          <w:lang w:val="en-US" w:eastAsia="es-MX"/>
        </w:rPr>
        <w:t xml:space="preserve">Claudina Velásquez </w:t>
      </w:r>
      <w:r w:rsidRPr="00EA6C7A">
        <w:rPr>
          <w:rFonts w:ascii="Verdana" w:eastAsia="Batang" w:hAnsi="Verdana"/>
          <w:sz w:val="20"/>
          <w:szCs w:val="20"/>
          <w:lang w:val="en-US" w:eastAsia="es-MX"/>
        </w:rPr>
        <w:t xml:space="preserve">was compatible </w:t>
      </w:r>
      <w:r w:rsidR="008C4FF3" w:rsidRPr="00EA6C7A">
        <w:rPr>
          <w:rFonts w:ascii="Verdana" w:eastAsia="Batang" w:hAnsi="Verdana"/>
          <w:sz w:val="20"/>
          <w:szCs w:val="20"/>
          <w:lang w:val="en-US" w:eastAsia="es-MX"/>
        </w:rPr>
        <w:t>and that she was</w:t>
      </w:r>
      <w:r w:rsidRPr="00EA6C7A">
        <w:rPr>
          <w:rFonts w:ascii="Verdana" w:eastAsia="Batang" w:hAnsi="Verdana"/>
          <w:sz w:val="20"/>
          <w:szCs w:val="20"/>
          <w:lang w:val="en-US" w:eastAsia="es-MX"/>
        </w:rPr>
        <w:t xml:space="preserve"> their biological daughter.</w:t>
      </w:r>
      <w:r w:rsidR="00CD09AF" w:rsidRPr="00EA6C7A">
        <w:rPr>
          <w:rFonts w:ascii="Verdana" w:eastAsia="Batang" w:hAnsi="Verdana"/>
          <w:sz w:val="20"/>
          <w:szCs w:val="20"/>
          <w:vertAlign w:val="superscript"/>
          <w:lang w:val="en-US" w:eastAsia="es-MX"/>
        </w:rPr>
        <w:footnoteReference w:id="83"/>
      </w:r>
      <w:r w:rsidR="00CD09AF" w:rsidRPr="00EA6C7A">
        <w:rPr>
          <w:rFonts w:ascii="Verdana" w:eastAsia="Batang" w:hAnsi="Verdana"/>
          <w:sz w:val="20"/>
          <w:szCs w:val="20"/>
          <w:lang w:val="en-US" w:eastAsia="es-MX"/>
        </w:rPr>
        <w:t xml:space="preserve"> </w:t>
      </w:r>
    </w:p>
    <w:p w14:paraId="2338DA24" w14:textId="77777777" w:rsidR="00CD09AF" w:rsidRPr="00EA6C7A" w:rsidRDefault="00CA4197"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 September 26,</w:t>
      </w:r>
      <w:r w:rsidR="00CD09AF" w:rsidRPr="00EA6C7A">
        <w:rPr>
          <w:rFonts w:ascii="Verdana" w:eastAsia="Batang" w:hAnsi="Verdana"/>
          <w:sz w:val="20"/>
          <w:szCs w:val="20"/>
          <w:lang w:val="en-US" w:eastAsia="es-MX"/>
        </w:rPr>
        <w:t xml:space="preserve"> 2005</w:t>
      </w:r>
      <w:r w:rsidR="007944A2"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the Biology Section</w:t>
      </w:r>
      <w:r w:rsidR="00CD09AF" w:rsidRPr="00EA6C7A">
        <w:rPr>
          <w:rFonts w:ascii="Verdana" w:eastAsia="Batang" w:hAnsi="Verdana"/>
          <w:sz w:val="20"/>
          <w:szCs w:val="20"/>
          <w:lang w:val="en-US" w:eastAsia="es-MX"/>
        </w:rPr>
        <w:t xml:space="preserve"> </w:t>
      </w:r>
      <w:r w:rsidR="00BC4DAF" w:rsidRPr="00EA6C7A">
        <w:rPr>
          <w:rFonts w:ascii="Verdana" w:eastAsia="Batang" w:hAnsi="Verdana"/>
          <w:sz w:val="20"/>
          <w:szCs w:val="20"/>
          <w:lang w:val="en-US" w:eastAsia="es-MX"/>
        </w:rPr>
        <w:t>of the Technical and Scientific Department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issued a report determining the presence of animal blood on both hands of the presumed victim.</w:t>
      </w:r>
      <w:r w:rsidR="00CD09AF" w:rsidRPr="00EA6C7A">
        <w:rPr>
          <w:rFonts w:ascii="Verdana" w:eastAsia="Batang" w:hAnsi="Verdana"/>
          <w:sz w:val="20"/>
          <w:szCs w:val="20"/>
          <w:vertAlign w:val="superscript"/>
          <w:lang w:val="en-US" w:eastAsia="es-MX"/>
        </w:rPr>
        <w:footnoteReference w:id="84"/>
      </w:r>
      <w:r w:rsidR="007944A2" w:rsidRPr="00EA6C7A">
        <w:rPr>
          <w:rFonts w:ascii="Verdana" w:eastAsia="Batang" w:hAnsi="Verdana"/>
          <w:sz w:val="20"/>
          <w:szCs w:val="20"/>
          <w:lang w:val="en-US" w:eastAsia="es-MX"/>
        </w:rPr>
        <w:t xml:space="preserve"> Consequently,</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on August 11,</w:t>
      </w:r>
      <w:r w:rsidR="00CD09AF" w:rsidRPr="00EA6C7A">
        <w:rPr>
          <w:rFonts w:ascii="Verdana" w:eastAsia="Batang" w:hAnsi="Verdana"/>
          <w:sz w:val="20"/>
          <w:szCs w:val="20"/>
          <w:lang w:val="en-US" w:eastAsia="es-MX"/>
        </w:rPr>
        <w:t xml:space="preserve"> 2011</w:t>
      </w:r>
      <w:r w:rsidR="007944A2"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asked the</w:t>
      </w:r>
      <w:r w:rsidR="00CD09AF" w:rsidRPr="00EA6C7A">
        <w:rPr>
          <w:rFonts w:ascii="Verdana" w:eastAsia="Batang" w:hAnsi="Verdana"/>
          <w:sz w:val="20"/>
          <w:szCs w:val="20"/>
          <w:lang w:val="en-US" w:eastAsia="es-MX"/>
        </w:rPr>
        <w:t xml:space="preserve"> Universidad de San Carlos de Guatemala </w:t>
      </w:r>
      <w:r w:rsidR="007944A2" w:rsidRPr="00EA6C7A">
        <w:rPr>
          <w:rFonts w:ascii="Verdana" w:eastAsia="Batang" w:hAnsi="Verdana"/>
          <w:sz w:val="20"/>
          <w:szCs w:val="20"/>
          <w:lang w:val="en-US" w:eastAsia="es-MX"/>
        </w:rPr>
        <w:t>and the</w:t>
      </w:r>
      <w:r w:rsidR="00CD09AF" w:rsidRPr="00EA6C7A">
        <w:rPr>
          <w:rFonts w:ascii="Verdana" w:eastAsia="Batang" w:hAnsi="Verdana"/>
          <w:sz w:val="20"/>
          <w:szCs w:val="20"/>
          <w:lang w:val="en-US" w:eastAsia="es-MX"/>
        </w:rPr>
        <w:t xml:space="preserve"> INACIF </w:t>
      </w:r>
      <w:r w:rsidR="007944A2" w:rsidRPr="00EA6C7A">
        <w:rPr>
          <w:rFonts w:ascii="Verdana" w:eastAsia="Batang" w:hAnsi="Verdana"/>
          <w:sz w:val="20"/>
          <w:szCs w:val="20"/>
          <w:lang w:val="en-US" w:eastAsia="es-MX"/>
        </w:rPr>
        <w:t>to perform a laboratory test to determine what kind of animal these blood samples corresponded to</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In response</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August 19,</w:t>
      </w:r>
      <w:r w:rsidR="00CD09AF" w:rsidRPr="00EA6C7A">
        <w:rPr>
          <w:rFonts w:ascii="Verdana" w:eastAsia="Batang" w:hAnsi="Verdana"/>
          <w:sz w:val="20"/>
          <w:szCs w:val="20"/>
          <w:lang w:val="en-US" w:eastAsia="es-MX"/>
        </w:rPr>
        <w:t xml:space="preserve"> 2011</w:t>
      </w:r>
      <w:r w:rsidR="007944A2"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the University’s Toxicology Laboratory indicated that “it [was] not possible to conduct this type of test […] in any of [its] laboratories,” and that the test could be conducted in the Veterinary Faculty of a Venezuelan university.</w:t>
      </w:r>
      <w:r w:rsidR="00CD09AF" w:rsidRPr="00EA6C7A">
        <w:rPr>
          <w:rFonts w:ascii="Verdana" w:eastAsia="Batang" w:hAnsi="Verdana"/>
          <w:sz w:val="20"/>
          <w:szCs w:val="20"/>
          <w:vertAlign w:val="superscript"/>
          <w:lang w:val="en-US" w:eastAsia="es-MX"/>
        </w:rPr>
        <w:footnoteReference w:id="85"/>
      </w:r>
      <w:r w:rsidR="007944A2" w:rsidRPr="00EA6C7A">
        <w:rPr>
          <w:rFonts w:ascii="Verdana" w:eastAsia="Batang" w:hAnsi="Verdana"/>
          <w:sz w:val="20"/>
          <w:szCs w:val="20"/>
          <w:lang w:val="en-US" w:eastAsia="es-MX"/>
        </w:rPr>
        <w:t xml:space="preserve"> Then,</w:t>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September 1,</w:t>
      </w:r>
      <w:r w:rsidR="00CD09AF" w:rsidRPr="00EA6C7A">
        <w:rPr>
          <w:rFonts w:ascii="Verdana" w:eastAsia="Batang" w:hAnsi="Verdana"/>
          <w:sz w:val="20"/>
          <w:szCs w:val="20"/>
          <w:lang w:val="en-US" w:eastAsia="es-MX"/>
        </w:rPr>
        <w:t xml:space="preserve"> 2011</w:t>
      </w:r>
      <w:r w:rsidR="007944A2" w:rsidRPr="00EA6C7A">
        <w:rPr>
          <w:rFonts w:ascii="Verdana" w:eastAsia="Batang" w:hAnsi="Verdana"/>
          <w:sz w:val="20"/>
          <w:szCs w:val="20"/>
          <w:lang w:val="en-US" w:eastAsia="es-MX"/>
        </w:rPr>
        <w:t>, the</w:t>
      </w:r>
      <w:r w:rsidR="00CD09AF" w:rsidRPr="00EA6C7A">
        <w:rPr>
          <w:rFonts w:ascii="Verdana" w:eastAsia="Batang" w:hAnsi="Verdana"/>
          <w:sz w:val="20"/>
          <w:szCs w:val="20"/>
          <w:lang w:val="en-US" w:eastAsia="es-MX"/>
        </w:rPr>
        <w:t xml:space="preserve"> INACIF </w:t>
      </w:r>
      <w:r w:rsidR="007944A2" w:rsidRPr="00EA6C7A">
        <w:rPr>
          <w:rFonts w:ascii="Verdana" w:eastAsia="Batang" w:hAnsi="Verdana"/>
          <w:sz w:val="20"/>
          <w:szCs w:val="20"/>
          <w:lang w:val="en-US" w:eastAsia="es-MX"/>
        </w:rPr>
        <w:t>excused itself from responding to the request because “</w:t>
      </w:r>
      <w:r w:rsidR="003F510E" w:rsidRPr="00EA6C7A">
        <w:rPr>
          <w:rFonts w:ascii="Verdana" w:eastAsia="Batang" w:hAnsi="Verdana"/>
          <w:sz w:val="20"/>
          <w:szCs w:val="20"/>
          <w:lang w:val="en-US" w:eastAsia="es-MX"/>
        </w:rPr>
        <w:t>this institution does not handle veterinary-type tests.</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86"/>
      </w:r>
      <w:r w:rsidR="00CD09AF" w:rsidRPr="00EA6C7A">
        <w:rPr>
          <w:rFonts w:ascii="Verdana" w:eastAsia="Batang" w:hAnsi="Verdana"/>
          <w:sz w:val="20"/>
          <w:szCs w:val="20"/>
          <w:lang w:val="en-US" w:eastAsia="es-MX"/>
        </w:rPr>
        <w:t xml:space="preserve"> </w:t>
      </w:r>
      <w:r w:rsidR="007944A2" w:rsidRPr="00EA6C7A">
        <w:rPr>
          <w:rFonts w:ascii="Verdana" w:eastAsia="Batang" w:hAnsi="Verdana"/>
          <w:sz w:val="20"/>
          <w:szCs w:val="20"/>
          <w:shd w:val="clear" w:color="auto" w:fill="FFFFFF"/>
          <w:lang w:val="en-US" w:eastAsia="es-MX"/>
        </w:rPr>
        <w:t>On August 11,</w:t>
      </w:r>
      <w:r w:rsidR="00CD09AF" w:rsidRPr="00EA6C7A">
        <w:rPr>
          <w:rFonts w:ascii="Verdana" w:eastAsia="Batang" w:hAnsi="Verdana"/>
          <w:sz w:val="20"/>
          <w:szCs w:val="20"/>
          <w:shd w:val="clear" w:color="auto" w:fill="FFFFFF"/>
          <w:lang w:val="en-US" w:eastAsia="es-MX"/>
        </w:rPr>
        <w:t xml:space="preserve"> 2011</w:t>
      </w:r>
      <w:r w:rsidR="003F510E" w:rsidRPr="00EA6C7A">
        <w:rPr>
          <w:rFonts w:ascii="Verdana" w:eastAsia="Batang" w:hAnsi="Verdana"/>
          <w:sz w:val="20"/>
          <w:szCs w:val="20"/>
          <w:shd w:val="clear" w:color="auto" w:fill="FFFFFF"/>
          <w:lang w:val="en-US" w:eastAsia="es-MX"/>
        </w:rPr>
        <w:t>,</w:t>
      </w:r>
      <w:r w:rsidR="00CD09AF" w:rsidRPr="00EA6C7A">
        <w:rPr>
          <w:rFonts w:ascii="Verdana" w:eastAsia="Batang" w:hAnsi="Verdana"/>
          <w:sz w:val="20"/>
          <w:szCs w:val="20"/>
          <w:shd w:val="clear" w:color="auto" w:fill="FFFFFF"/>
          <w:lang w:val="en-US" w:eastAsia="es-MX"/>
        </w:rPr>
        <w:t xml:space="preserve"> </w:t>
      </w:r>
      <w:r w:rsidR="00CA3FC4" w:rsidRPr="00EA6C7A">
        <w:rPr>
          <w:rFonts w:ascii="Verdana" w:eastAsia="Batang" w:hAnsi="Verdana"/>
          <w:sz w:val="20"/>
          <w:szCs w:val="20"/>
          <w:shd w:val="clear" w:color="auto" w:fill="FFFFFF"/>
          <w:lang w:val="en-US" w:eastAsia="es-MX"/>
        </w:rPr>
        <w:t>the assistant prosecutor</w:t>
      </w:r>
      <w:r w:rsidR="00CD09AF" w:rsidRPr="00EA6C7A">
        <w:rPr>
          <w:rFonts w:ascii="Verdana" w:eastAsia="Batang" w:hAnsi="Verdana"/>
          <w:sz w:val="20"/>
          <w:szCs w:val="20"/>
          <w:shd w:val="clear" w:color="auto" w:fill="FFFFFF"/>
          <w:lang w:val="en-US" w:eastAsia="es-MX"/>
        </w:rPr>
        <w:t xml:space="preserve"> </w:t>
      </w:r>
      <w:r w:rsidR="003F510E" w:rsidRPr="00EA6C7A">
        <w:rPr>
          <w:rFonts w:ascii="Verdana" w:eastAsia="Batang" w:hAnsi="Verdana"/>
          <w:sz w:val="20"/>
          <w:szCs w:val="20"/>
          <w:shd w:val="clear" w:color="auto" w:fill="FFFFFF"/>
          <w:lang w:val="en-US" w:eastAsia="es-MX"/>
        </w:rPr>
        <w:t>asked the</w:t>
      </w:r>
      <w:r w:rsidR="00CD09AF" w:rsidRPr="00EA6C7A">
        <w:rPr>
          <w:rFonts w:ascii="Verdana" w:eastAsia="Batang" w:hAnsi="Verdana"/>
          <w:sz w:val="20"/>
          <w:szCs w:val="20"/>
          <w:shd w:val="clear" w:color="auto" w:fill="FFFFFF"/>
          <w:lang w:val="en-US" w:eastAsia="es-MX"/>
        </w:rPr>
        <w:t xml:space="preserve"> Administra</w:t>
      </w:r>
      <w:r w:rsidR="003F510E" w:rsidRPr="00EA6C7A">
        <w:rPr>
          <w:rFonts w:ascii="Verdana" w:eastAsia="Batang" w:hAnsi="Verdana"/>
          <w:sz w:val="20"/>
          <w:szCs w:val="20"/>
          <w:shd w:val="clear" w:color="auto" w:fill="FFFFFF"/>
          <w:lang w:val="en-US" w:eastAsia="es-MX"/>
        </w:rPr>
        <w:t xml:space="preserve">tor of the </w:t>
      </w:r>
      <w:r w:rsidR="00CD09AF" w:rsidRPr="00EA6C7A">
        <w:rPr>
          <w:rFonts w:ascii="Verdana" w:eastAsia="Batang" w:hAnsi="Verdana"/>
          <w:sz w:val="20"/>
          <w:szCs w:val="20"/>
          <w:shd w:val="clear" w:color="auto" w:fill="FFFFFF"/>
          <w:lang w:val="en-US" w:eastAsia="es-MX"/>
        </w:rPr>
        <w:t>Roosevelt</w:t>
      </w:r>
      <w:r w:rsidR="003F510E" w:rsidRPr="00EA6C7A">
        <w:rPr>
          <w:rFonts w:ascii="Verdana" w:eastAsia="Batang" w:hAnsi="Verdana"/>
          <w:sz w:val="20"/>
          <w:szCs w:val="20"/>
          <w:shd w:val="clear" w:color="auto" w:fill="FFFFFF"/>
          <w:lang w:val="en-US" w:eastAsia="es-MX"/>
        </w:rPr>
        <w:t xml:space="preserve"> Market to provide information on the </w:t>
      </w:r>
      <w:r w:rsidR="000914B5" w:rsidRPr="00EA6C7A">
        <w:rPr>
          <w:rFonts w:ascii="Verdana" w:eastAsia="Batang" w:hAnsi="Verdana"/>
          <w:sz w:val="20"/>
          <w:szCs w:val="20"/>
          <w:shd w:val="clear" w:color="auto" w:fill="FFFFFF"/>
          <w:lang w:val="en-US" w:eastAsia="es-MX"/>
        </w:rPr>
        <w:t>stalls</w:t>
      </w:r>
      <w:r w:rsidR="003F510E" w:rsidRPr="00EA6C7A">
        <w:rPr>
          <w:rFonts w:ascii="Verdana" w:eastAsia="Batang" w:hAnsi="Verdana"/>
          <w:sz w:val="20"/>
          <w:szCs w:val="20"/>
          <w:shd w:val="clear" w:color="auto" w:fill="FFFFFF"/>
          <w:lang w:val="en-US" w:eastAsia="es-MX"/>
        </w:rPr>
        <w:t xml:space="preserve"> in this market that had sold meat </w:t>
      </w:r>
      <w:r w:rsidR="007944A2" w:rsidRPr="00EA6C7A">
        <w:rPr>
          <w:rFonts w:ascii="Verdana" w:eastAsia="Batang" w:hAnsi="Verdana"/>
          <w:sz w:val="20"/>
          <w:szCs w:val="20"/>
          <w:shd w:val="clear" w:color="auto" w:fill="FFFFFF"/>
          <w:lang w:val="en-US" w:eastAsia="es-MX"/>
        </w:rPr>
        <w:t>on August 12,</w:t>
      </w:r>
      <w:r w:rsidR="00CD09AF" w:rsidRPr="00EA6C7A">
        <w:rPr>
          <w:rFonts w:ascii="Verdana" w:eastAsia="Batang" w:hAnsi="Verdana"/>
          <w:sz w:val="20"/>
          <w:szCs w:val="20"/>
          <w:shd w:val="clear" w:color="auto" w:fill="FFFFFF"/>
          <w:lang w:val="en-US" w:eastAsia="es-MX"/>
        </w:rPr>
        <w:t xml:space="preserve"> 2005, as</w:t>
      </w:r>
      <w:r w:rsidR="003F510E" w:rsidRPr="00EA6C7A">
        <w:rPr>
          <w:rFonts w:ascii="Verdana" w:eastAsia="Batang" w:hAnsi="Verdana"/>
          <w:sz w:val="20"/>
          <w:szCs w:val="20"/>
          <w:shd w:val="clear" w:color="auto" w:fill="FFFFFF"/>
          <w:lang w:val="en-US" w:eastAsia="es-MX"/>
        </w:rPr>
        <w:t xml:space="preserve"> well as the names of the butchers shops and th</w:t>
      </w:r>
      <w:r w:rsidR="008C4FF3" w:rsidRPr="00EA6C7A">
        <w:rPr>
          <w:rFonts w:ascii="Verdana" w:eastAsia="Batang" w:hAnsi="Verdana"/>
          <w:sz w:val="20"/>
          <w:szCs w:val="20"/>
          <w:shd w:val="clear" w:color="auto" w:fill="FFFFFF"/>
          <w:lang w:val="en-US" w:eastAsia="es-MX"/>
        </w:rPr>
        <w:t>e</w:t>
      </w:r>
      <w:r w:rsidR="004C1E19" w:rsidRPr="00EA6C7A">
        <w:rPr>
          <w:rFonts w:ascii="Verdana" w:eastAsia="Batang" w:hAnsi="Verdana"/>
          <w:sz w:val="20"/>
          <w:szCs w:val="20"/>
          <w:shd w:val="clear" w:color="auto" w:fill="FFFFFF"/>
          <w:lang w:val="en-US" w:eastAsia="es-MX"/>
        </w:rPr>
        <w:t xml:space="preserve"> personal</w:t>
      </w:r>
      <w:r w:rsidR="003F510E" w:rsidRPr="00EA6C7A">
        <w:rPr>
          <w:rFonts w:ascii="Verdana" w:eastAsia="Batang" w:hAnsi="Verdana"/>
          <w:sz w:val="20"/>
          <w:szCs w:val="20"/>
          <w:shd w:val="clear" w:color="auto" w:fill="FFFFFF"/>
          <w:lang w:val="en-US" w:eastAsia="es-MX"/>
        </w:rPr>
        <w:t xml:space="preserve"> </w:t>
      </w:r>
      <w:r w:rsidR="008C4FF3" w:rsidRPr="00EA6C7A">
        <w:rPr>
          <w:rFonts w:ascii="Verdana" w:eastAsia="Batang" w:hAnsi="Verdana"/>
          <w:sz w:val="20"/>
          <w:szCs w:val="20"/>
          <w:shd w:val="clear" w:color="auto" w:fill="FFFFFF"/>
          <w:lang w:val="en-US" w:eastAsia="es-MX"/>
        </w:rPr>
        <w:t>data of</w:t>
      </w:r>
      <w:r w:rsidR="003F510E" w:rsidRPr="00EA6C7A">
        <w:rPr>
          <w:rFonts w:ascii="Verdana" w:eastAsia="Batang" w:hAnsi="Verdana"/>
          <w:sz w:val="20"/>
          <w:szCs w:val="20"/>
          <w:shd w:val="clear" w:color="auto" w:fill="FFFFFF"/>
          <w:lang w:val="en-US" w:eastAsia="es-MX"/>
        </w:rPr>
        <w:t xml:space="preserve"> the owners. On October 13, 2011, the Director</w:t>
      </w:r>
      <w:r w:rsidR="00047869" w:rsidRPr="00EA6C7A">
        <w:rPr>
          <w:rFonts w:ascii="Verdana" w:eastAsia="Batang" w:hAnsi="Verdana"/>
          <w:sz w:val="20"/>
          <w:szCs w:val="20"/>
          <w:shd w:val="clear" w:color="auto" w:fill="FFFFFF"/>
          <w:lang w:val="en-US" w:eastAsia="es-MX"/>
        </w:rPr>
        <w:t xml:space="preserve"> of the Market</w:t>
      </w:r>
      <w:r w:rsidR="00D948A1" w:rsidRPr="00EA6C7A">
        <w:rPr>
          <w:rFonts w:ascii="Verdana" w:eastAsia="Batang" w:hAnsi="Verdana"/>
          <w:sz w:val="20"/>
          <w:szCs w:val="20"/>
          <w:shd w:val="clear" w:color="auto" w:fill="FFFFFF"/>
          <w:lang w:val="en-US" w:eastAsia="es-MX"/>
        </w:rPr>
        <w:t xml:space="preserve"> </w:t>
      </w:r>
      <w:r w:rsidR="003F510E" w:rsidRPr="00EA6C7A">
        <w:rPr>
          <w:rFonts w:ascii="Verdana" w:eastAsia="Batang" w:hAnsi="Verdana"/>
          <w:sz w:val="20"/>
          <w:szCs w:val="20"/>
          <w:shd w:val="clear" w:color="auto" w:fill="FFFFFF"/>
          <w:lang w:val="en-US" w:eastAsia="es-MX"/>
        </w:rPr>
        <w:t xml:space="preserve">forwarded the names and other information of 10 </w:t>
      </w:r>
      <w:r w:rsidR="00047869" w:rsidRPr="00EA6C7A">
        <w:rPr>
          <w:rFonts w:ascii="Verdana" w:eastAsia="Batang" w:hAnsi="Verdana"/>
          <w:sz w:val="20"/>
          <w:szCs w:val="20"/>
          <w:shd w:val="clear" w:color="auto" w:fill="FFFFFF"/>
          <w:lang w:val="en-US" w:eastAsia="es-MX"/>
        </w:rPr>
        <w:t>butcher’s shops</w:t>
      </w:r>
      <w:r w:rsidR="00CD09AF" w:rsidRPr="00EA6C7A">
        <w:rPr>
          <w:rFonts w:ascii="Verdana" w:eastAsia="Batang" w:hAnsi="Verdana"/>
          <w:sz w:val="20"/>
          <w:szCs w:val="20"/>
          <w:shd w:val="clear" w:color="auto" w:fill="FFFFFF"/>
          <w:lang w:val="en-US" w:eastAsia="es-MX"/>
        </w:rPr>
        <w:t xml:space="preserve"> </w:t>
      </w:r>
      <w:r w:rsidR="003F510E" w:rsidRPr="00EA6C7A">
        <w:rPr>
          <w:rFonts w:ascii="Verdana" w:eastAsia="Batang" w:hAnsi="Verdana"/>
          <w:sz w:val="20"/>
          <w:szCs w:val="20"/>
          <w:shd w:val="clear" w:color="auto" w:fill="FFFFFF"/>
          <w:lang w:val="en-US" w:eastAsia="es-MX"/>
        </w:rPr>
        <w:t>in the Market.</w:t>
      </w:r>
      <w:r w:rsidR="00CD09AF" w:rsidRPr="00EA6C7A">
        <w:rPr>
          <w:rFonts w:ascii="Verdana" w:eastAsia="Batang" w:hAnsi="Verdana"/>
          <w:sz w:val="20"/>
          <w:szCs w:val="20"/>
          <w:shd w:val="clear" w:color="auto" w:fill="FFFFFF"/>
          <w:vertAlign w:val="superscript"/>
          <w:lang w:val="en-US" w:eastAsia="es-MX"/>
        </w:rPr>
        <w:footnoteReference w:id="87"/>
      </w:r>
      <w:r w:rsidR="00CD09AF" w:rsidRPr="00EA6C7A">
        <w:rPr>
          <w:rFonts w:ascii="Verdana" w:eastAsia="Batang" w:hAnsi="Verdana"/>
          <w:sz w:val="20"/>
          <w:szCs w:val="20"/>
          <w:shd w:val="clear" w:color="auto" w:fill="FFFFFF"/>
          <w:lang w:val="en-US" w:eastAsia="es-MX"/>
        </w:rPr>
        <w:t xml:space="preserve"> </w:t>
      </w:r>
    </w:p>
    <w:p w14:paraId="5715617B" w14:textId="77777777" w:rsidR="00CD09AF" w:rsidRPr="00EA6C7A" w:rsidRDefault="003F510E"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Procedures conducted based on evidence collected at the crime scene</w:t>
      </w:r>
      <w:r w:rsidR="00CD09AF" w:rsidRPr="00EA6C7A">
        <w:rPr>
          <w:rFonts w:ascii="Verdana" w:eastAsia="Batang" w:hAnsi="Verdana"/>
          <w:i/>
          <w:sz w:val="20"/>
          <w:szCs w:val="20"/>
          <w:lang w:val="en-US" w:eastAsia="es-MX"/>
        </w:rPr>
        <w:t xml:space="preserve">. </w:t>
      </w:r>
      <w:r w:rsidR="000821BA" w:rsidRPr="00EA6C7A">
        <w:rPr>
          <w:rFonts w:ascii="Verdana" w:eastAsia="Batang" w:hAnsi="Verdana"/>
          <w:sz w:val="20"/>
          <w:szCs w:val="20"/>
          <w:lang w:val="en-US" w:eastAsia="es-MX"/>
        </w:rPr>
        <w:t>On August</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 bullet and a bullet casing were collected from the crime scene as evidence, and also a </w:t>
      </w:r>
      <w:r w:rsidR="000F6231" w:rsidRPr="00EA6C7A">
        <w:rPr>
          <w:rFonts w:ascii="Verdana" w:eastAsia="Batang" w:hAnsi="Verdana"/>
          <w:sz w:val="20"/>
          <w:szCs w:val="20"/>
          <w:lang w:val="en-US" w:eastAsia="es-MX"/>
        </w:rPr>
        <w:t>packet</w:t>
      </w:r>
      <w:r w:rsidRPr="00EA6C7A">
        <w:rPr>
          <w:rFonts w:ascii="Verdana" w:eastAsia="Batang" w:hAnsi="Verdana"/>
          <w:sz w:val="20"/>
          <w:szCs w:val="20"/>
          <w:lang w:val="en-US" w:eastAsia="es-MX"/>
        </w:rPr>
        <w:t xml:space="preserve"> </w:t>
      </w:r>
      <w:r w:rsidR="000F6231" w:rsidRPr="00EA6C7A">
        <w:rPr>
          <w:rFonts w:ascii="Verdana" w:eastAsia="Batang" w:hAnsi="Verdana"/>
          <w:sz w:val="20"/>
          <w:szCs w:val="20"/>
          <w:lang w:val="en-US" w:eastAsia="es-MX"/>
        </w:rPr>
        <w:t>of</w:t>
      </w:r>
      <w:r w:rsidRPr="00EA6C7A">
        <w:rPr>
          <w:rFonts w:ascii="Verdana" w:eastAsia="Batang" w:hAnsi="Verdana"/>
          <w:sz w:val="20"/>
          <w:szCs w:val="20"/>
          <w:lang w:val="en-US" w:eastAsia="es-MX"/>
        </w:rPr>
        <w:t xml:space="preserve"> dehydrated vegetables marked “Ramen Cup,” and the pink sweater that </w:t>
      </w:r>
      <w:r w:rsidR="00CD09AF"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 xml:space="preserve"> was wearing</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 this regard, it is recorded that various procedures were conducted and these are described in the following paragraphs.</w:t>
      </w:r>
    </w:p>
    <w:p w14:paraId="6A4993AF" w14:textId="77777777" w:rsidR="00CD09AF" w:rsidRPr="00EA6C7A" w:rsidRDefault="003F510E"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September 23,</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Criminal Investigations Expert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sent a </w:t>
      </w:r>
      <w:r w:rsidR="000F6231" w:rsidRPr="00EA6C7A">
        <w:rPr>
          <w:rFonts w:ascii="Verdana" w:eastAsia="Batang" w:hAnsi="Verdana"/>
          <w:sz w:val="20"/>
          <w:szCs w:val="20"/>
          <w:lang w:val="en-US" w:eastAsia="es-MX"/>
        </w:rPr>
        <w:t>packet</w:t>
      </w:r>
      <w:r w:rsidRPr="00EA6C7A">
        <w:rPr>
          <w:rFonts w:ascii="Verdana" w:eastAsia="Batang" w:hAnsi="Verdana"/>
          <w:sz w:val="20"/>
          <w:szCs w:val="20"/>
          <w:lang w:val="en-US" w:eastAsia="es-MX"/>
        </w:rPr>
        <w:t xml:space="preserve"> </w:t>
      </w:r>
      <w:r w:rsidR="000F6231" w:rsidRPr="00EA6C7A">
        <w:rPr>
          <w:rFonts w:ascii="Verdana" w:eastAsia="Batang" w:hAnsi="Verdana"/>
          <w:sz w:val="20"/>
          <w:szCs w:val="20"/>
          <w:lang w:val="en-US" w:eastAsia="es-MX"/>
        </w:rPr>
        <w:t>of</w:t>
      </w:r>
      <w:r w:rsidRPr="00EA6C7A">
        <w:rPr>
          <w:rFonts w:ascii="Verdana" w:eastAsia="Batang" w:hAnsi="Verdana"/>
          <w:sz w:val="20"/>
          <w:szCs w:val="20"/>
          <w:lang w:val="en-US" w:eastAsia="es-MX"/>
        </w:rPr>
        <w:t xml:space="preserve"> dehydrated vegetables marked “Ramen Cup,” and a pink sweater with possible blood stains to the laboratory for testing.</w:t>
      </w:r>
      <w:r w:rsidR="00CD09AF" w:rsidRPr="00EA6C7A">
        <w:rPr>
          <w:rFonts w:ascii="Verdana" w:eastAsia="Batang" w:hAnsi="Verdana"/>
          <w:sz w:val="20"/>
          <w:szCs w:val="20"/>
          <w:vertAlign w:val="superscript"/>
          <w:lang w:val="en-US" w:eastAsia="es-MX"/>
        </w:rPr>
        <w:footnoteReference w:id="88"/>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 laboratory report dated </w:t>
      </w:r>
      <w:r w:rsidR="006054D8" w:rsidRPr="00EA6C7A">
        <w:rPr>
          <w:rFonts w:ascii="Verdana" w:eastAsia="Batang" w:hAnsi="Verdana"/>
          <w:sz w:val="20"/>
          <w:szCs w:val="20"/>
          <w:lang w:val="en-US" w:eastAsia="es-MX"/>
        </w:rPr>
        <w:t>September</w:t>
      </w:r>
      <w:r w:rsidR="00CA4197" w:rsidRPr="00EA6C7A">
        <w:rPr>
          <w:rFonts w:ascii="Verdana" w:eastAsia="Batang" w:hAnsi="Verdana"/>
          <w:sz w:val="20"/>
          <w:szCs w:val="20"/>
          <w:lang w:val="en-US" w:eastAsia="es-MX"/>
        </w:rPr>
        <w:t xml:space="preserve"> 26,</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xml:space="preserve">, determined the presence of human group “O” blood on both pieces of evidence, and 10 </w:t>
      </w:r>
      <w:r w:rsidRPr="00EA6C7A">
        <w:rPr>
          <w:rFonts w:ascii="Verdana" w:eastAsia="Batang" w:hAnsi="Verdana"/>
          <w:sz w:val="20"/>
          <w:szCs w:val="20"/>
          <w:lang w:val="en-US" w:eastAsia="es-MX"/>
        </w:rPr>
        <w:lastRenderedPageBreak/>
        <w:t>human hairs on the pink sweater.</w:t>
      </w:r>
      <w:r w:rsidR="00CD09AF" w:rsidRPr="00EA6C7A">
        <w:rPr>
          <w:rFonts w:ascii="Verdana" w:eastAsia="Batang" w:hAnsi="Verdana"/>
          <w:sz w:val="20"/>
          <w:szCs w:val="20"/>
          <w:vertAlign w:val="superscript"/>
          <w:lang w:val="en-US" w:eastAsia="es-MX"/>
        </w:rPr>
        <w:footnoteReference w:id="89"/>
      </w:r>
      <w:r w:rsidRPr="00EA6C7A">
        <w:rPr>
          <w:rFonts w:ascii="Verdana" w:eastAsia="Batang" w:hAnsi="Verdana"/>
          <w:sz w:val="20"/>
          <w:szCs w:val="20"/>
          <w:lang w:val="en-US" w:eastAsia="es-MX"/>
        </w:rPr>
        <w:t xml:space="preserve"> The hairs were compared with those taken from Claudina Velásquez’s clothes and provided to the prosecutor by </w:t>
      </w:r>
      <w:r w:rsidR="00CD09AF" w:rsidRPr="00EA6C7A">
        <w:rPr>
          <w:rFonts w:ascii="Verdana" w:eastAsia="Batang" w:hAnsi="Verdana"/>
          <w:sz w:val="20"/>
          <w:szCs w:val="20"/>
          <w:lang w:val="en-US" w:eastAsia="es-MX"/>
        </w:rPr>
        <w:t>Jorge Rolando Velásquez Durán</w:t>
      </w:r>
      <w:r w:rsidRPr="00EA6C7A">
        <w:rPr>
          <w:rFonts w:ascii="Verdana" w:eastAsia="Batang" w:hAnsi="Verdana"/>
          <w:sz w:val="20"/>
          <w:szCs w:val="20"/>
          <w:lang w:val="en-US" w:eastAsia="es-MX"/>
        </w:rPr>
        <w:t xml:space="preserve"> on September 6, 2005.</w:t>
      </w:r>
      <w:r w:rsidR="00CD09AF" w:rsidRPr="00EA6C7A">
        <w:rPr>
          <w:rFonts w:ascii="Verdana" w:eastAsia="Batang" w:hAnsi="Verdana"/>
          <w:sz w:val="20"/>
          <w:szCs w:val="20"/>
          <w:vertAlign w:val="superscript"/>
          <w:lang w:val="en-US" w:eastAsia="es-MX"/>
        </w:rPr>
        <w:footnoteReference w:id="90"/>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 a report dated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October 27,</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it was concluded that two of five hairs had macroscopic and microscopic characteristics similar to those found on the sweater,</w:t>
      </w:r>
      <w:r w:rsidR="00CD09AF" w:rsidRPr="00EA6C7A">
        <w:rPr>
          <w:rFonts w:ascii="Verdana" w:eastAsia="Batang" w:hAnsi="Verdana"/>
          <w:sz w:val="20"/>
          <w:szCs w:val="20"/>
          <w:vertAlign w:val="superscript"/>
          <w:lang w:val="en-US" w:eastAsia="es-MX"/>
        </w:rPr>
        <w:footnoteReference w:id="91"/>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 corresponded to</w:t>
      </w:r>
      <w:r w:rsidR="00CD09AF" w:rsidRPr="00EA6C7A">
        <w:rPr>
          <w:rFonts w:ascii="Verdana" w:eastAsia="Batang" w:hAnsi="Verdana"/>
          <w:sz w:val="20"/>
          <w:szCs w:val="20"/>
          <w:lang w:val="en-US" w:eastAsia="es-MX"/>
        </w:rPr>
        <w:t xml:space="preserve"> Claudina Velásquez, </w:t>
      </w:r>
      <w:r w:rsidRPr="00EA6C7A">
        <w:rPr>
          <w:rFonts w:ascii="Verdana" w:eastAsia="Batang" w:hAnsi="Verdana"/>
          <w:sz w:val="20"/>
          <w:szCs w:val="20"/>
          <w:lang w:val="en-US" w:eastAsia="es-MX"/>
        </w:rPr>
        <w:t>according to the expanded report of June 12,</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92"/>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July 11,</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003F31B4" w:rsidRPr="00EA6C7A">
        <w:rPr>
          <w:rFonts w:ascii="Verdana" w:eastAsia="Batang" w:hAnsi="Verdana"/>
          <w:sz w:val="20"/>
          <w:szCs w:val="20"/>
          <w:lang w:val="en-US" w:eastAsia="es-MX"/>
        </w:rPr>
        <w:t xml:space="preserve">Criminal Investigation Department </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received a request from the assistant prosecutor dated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June 6,</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93"/>
      </w:r>
      <w:r w:rsidRPr="00EA6C7A">
        <w:rPr>
          <w:rFonts w:ascii="Verdana" w:eastAsia="Batang" w:hAnsi="Verdana"/>
          <w:sz w:val="20"/>
          <w:szCs w:val="20"/>
          <w:lang w:val="en-US" w:eastAsia="es-MX"/>
        </w:rPr>
        <w:t xml:space="preserve"> to fingerprint the </w:t>
      </w:r>
      <w:r w:rsidR="000F6231" w:rsidRPr="00EA6C7A">
        <w:rPr>
          <w:rFonts w:ascii="Verdana" w:eastAsia="Batang" w:hAnsi="Verdana"/>
          <w:sz w:val="20"/>
          <w:szCs w:val="20"/>
          <w:lang w:val="en-US" w:eastAsia="es-MX"/>
        </w:rPr>
        <w:t>packet</w:t>
      </w:r>
      <w:r w:rsidRPr="00EA6C7A">
        <w:rPr>
          <w:rFonts w:ascii="Verdana" w:eastAsia="Batang" w:hAnsi="Verdana"/>
          <w:sz w:val="20"/>
          <w:szCs w:val="20"/>
          <w:lang w:val="en-US" w:eastAsia="es-MX"/>
        </w:rPr>
        <w:t xml:space="preserve"> of dehydrated vegetables. In response, on July 20,</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xml:space="preserve">, it was indicated that the test could not be conducted because the </w:t>
      </w:r>
      <w:r w:rsidR="000F6231" w:rsidRPr="00EA6C7A">
        <w:rPr>
          <w:rFonts w:ascii="Verdana" w:eastAsia="Batang" w:hAnsi="Verdana"/>
          <w:sz w:val="20"/>
          <w:szCs w:val="20"/>
          <w:lang w:val="en-US" w:eastAsia="es-MX"/>
        </w:rPr>
        <w:t>packet</w:t>
      </w:r>
      <w:r w:rsidRPr="00EA6C7A">
        <w:rPr>
          <w:rFonts w:ascii="Verdana" w:eastAsia="Batang" w:hAnsi="Verdana"/>
          <w:sz w:val="20"/>
          <w:szCs w:val="20"/>
          <w:lang w:val="en-US" w:eastAsia="es-MX"/>
        </w:rPr>
        <w:t xml:space="preserve"> had not been preserved for</w:t>
      </w:r>
      <w:r w:rsidR="000914B5" w:rsidRPr="00EA6C7A">
        <w:rPr>
          <w:rFonts w:ascii="Verdana" w:eastAsia="Batang" w:hAnsi="Verdana"/>
          <w:sz w:val="20"/>
          <w:szCs w:val="20"/>
          <w:lang w:val="en-US" w:eastAsia="es-MX"/>
        </w:rPr>
        <w:t xml:space="preserve"> lofoscopy analysis</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94"/>
      </w:r>
    </w:p>
    <w:p w14:paraId="23B37EE9" w14:textId="77777777" w:rsidR="00CD09AF" w:rsidRPr="00EA6C7A" w:rsidRDefault="003F510E"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October 14</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December 6,</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xml:space="preserve"> following a request by</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Ballistics Section</w:t>
      </w:r>
      <w:r w:rsidR="00D75E80" w:rsidRPr="00EA6C7A">
        <w:rPr>
          <w:rFonts w:ascii="Verdana" w:eastAsia="Batang" w:hAnsi="Verdana"/>
          <w:sz w:val="20"/>
          <w:szCs w:val="20"/>
          <w:lang w:val="en-US" w:eastAsia="es-MX"/>
        </w:rPr>
        <w:t xml:space="preserve"> of the </w:t>
      </w:r>
      <w:r w:rsidR="003F31B4" w:rsidRPr="00EA6C7A">
        <w:rPr>
          <w:rFonts w:ascii="Verdana" w:eastAsia="Batang" w:hAnsi="Verdana"/>
          <w:sz w:val="20"/>
          <w:szCs w:val="20"/>
          <w:lang w:val="en-US" w:eastAsia="es-MX"/>
        </w:rPr>
        <w:t>Criminal Investigation Department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Ballistics Laboratory</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of</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PNC General D</w:t>
      </w:r>
      <w:r w:rsidR="007B566E" w:rsidRPr="00EA6C7A">
        <w:rPr>
          <w:rFonts w:ascii="Verdana" w:eastAsia="Batang" w:hAnsi="Verdana"/>
          <w:sz w:val="20"/>
          <w:szCs w:val="20"/>
          <w:lang w:val="en-US" w:eastAsia="es-MX"/>
        </w:rPr>
        <w:t>i</w:t>
      </w:r>
      <w:r w:rsidRPr="00EA6C7A">
        <w:rPr>
          <w:rFonts w:ascii="Verdana" w:eastAsia="Batang" w:hAnsi="Verdana"/>
          <w:sz w:val="20"/>
          <w:szCs w:val="20"/>
          <w:lang w:val="en-US" w:eastAsia="es-MX"/>
        </w:rPr>
        <w:t>rectorate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issued their respective opinions on ballistic tests carried out on the bullet and casing collected at the crime scene, in which they determined the caliber, type and probable make of the weapon used.</w:t>
      </w:r>
      <w:r w:rsidR="00CD09AF" w:rsidRPr="00EA6C7A">
        <w:rPr>
          <w:rFonts w:ascii="Verdana" w:eastAsia="Batang" w:hAnsi="Verdana"/>
          <w:sz w:val="20"/>
          <w:szCs w:val="20"/>
          <w:vertAlign w:val="superscript"/>
          <w:lang w:val="en-US" w:eastAsia="es-MX"/>
        </w:rPr>
        <w:footnoteReference w:id="95"/>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Also</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November 4,</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search</w:t>
      </w:r>
      <w:r w:rsidR="007B566E" w:rsidRPr="00EA6C7A">
        <w:rPr>
          <w:rFonts w:ascii="Verdana" w:eastAsia="Batang" w:hAnsi="Verdana"/>
          <w:sz w:val="20"/>
          <w:szCs w:val="20"/>
          <w:lang w:val="en-US" w:eastAsia="es-MX"/>
        </w:rPr>
        <w:t xml:space="preserve">, inspection, </w:t>
      </w:r>
      <w:r w:rsidR="00015E7D" w:rsidRPr="00EA6C7A">
        <w:rPr>
          <w:rFonts w:ascii="Verdana" w:eastAsia="Batang" w:hAnsi="Verdana"/>
          <w:sz w:val="20"/>
          <w:szCs w:val="20"/>
          <w:lang w:val="en-US" w:eastAsia="es-MX"/>
        </w:rPr>
        <w:t xml:space="preserve">seizure and </w:t>
      </w:r>
      <w:r w:rsidR="007B566E" w:rsidRPr="00EA6C7A">
        <w:rPr>
          <w:rFonts w:ascii="Verdana" w:eastAsia="Batang" w:hAnsi="Verdana"/>
          <w:sz w:val="20"/>
          <w:szCs w:val="20"/>
          <w:lang w:val="en-US" w:eastAsia="es-MX"/>
        </w:rPr>
        <w:t>registration</w:t>
      </w:r>
      <w:r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of weapons</w:t>
      </w:r>
      <w:r w:rsidRPr="00EA6C7A">
        <w:rPr>
          <w:rFonts w:ascii="Verdana" w:eastAsia="Batang" w:hAnsi="Verdana"/>
          <w:sz w:val="20"/>
          <w:szCs w:val="20"/>
          <w:lang w:val="en-US" w:eastAsia="es-MX"/>
        </w:rPr>
        <w:t xml:space="preserve"> procedures were conducted in the buildings inhabited by two of the individuals </w:t>
      </w:r>
      <w:r w:rsidR="00015E7D" w:rsidRPr="00EA6C7A">
        <w:rPr>
          <w:rFonts w:ascii="Verdana" w:eastAsia="Batang" w:hAnsi="Verdana"/>
          <w:sz w:val="20"/>
          <w:szCs w:val="20"/>
          <w:lang w:val="en-US" w:eastAsia="es-MX"/>
        </w:rPr>
        <w:t>linked to</w:t>
      </w:r>
      <w:r w:rsidRPr="00EA6C7A">
        <w:rPr>
          <w:rFonts w:ascii="Verdana" w:eastAsia="Batang" w:hAnsi="Verdana"/>
          <w:sz w:val="20"/>
          <w:szCs w:val="20"/>
          <w:lang w:val="en-US" w:eastAsia="es-MX"/>
        </w:rPr>
        <w:t xml:space="preserve"> the c</w:t>
      </w:r>
      <w:r w:rsidR="00BC4DAF" w:rsidRPr="00EA6C7A">
        <w:rPr>
          <w:rFonts w:ascii="Verdana" w:eastAsia="Batang" w:hAnsi="Verdana"/>
          <w:sz w:val="20"/>
          <w:szCs w:val="20"/>
          <w:lang w:val="en-US" w:eastAsia="es-MX"/>
        </w:rPr>
        <w:t xml:space="preserve">riminal </w:t>
      </w:r>
      <w:r w:rsidRPr="00EA6C7A">
        <w:rPr>
          <w:rFonts w:ascii="Verdana" w:eastAsia="Batang" w:hAnsi="Verdana"/>
          <w:sz w:val="20"/>
          <w:szCs w:val="20"/>
          <w:lang w:val="en-US" w:eastAsia="es-MX"/>
        </w:rPr>
        <w:t>i</w:t>
      </w:r>
      <w:r w:rsidR="00BC4DAF" w:rsidRPr="00EA6C7A">
        <w:rPr>
          <w:rFonts w:ascii="Verdana" w:eastAsia="Batang" w:hAnsi="Verdana"/>
          <w:sz w:val="20"/>
          <w:szCs w:val="20"/>
          <w:lang w:val="en-US" w:eastAsia="es-MX"/>
        </w:rPr>
        <w:t>nvestigation</w:t>
      </w:r>
      <w:r w:rsidR="007B566E"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96"/>
      </w:r>
      <w:r w:rsidRPr="00EA6C7A">
        <w:rPr>
          <w:rFonts w:ascii="Verdana" w:eastAsia="Batang" w:hAnsi="Verdana"/>
          <w:sz w:val="20"/>
          <w:szCs w:val="20"/>
          <w:lang w:val="en-US" w:eastAsia="es-MX"/>
        </w:rPr>
        <w:t xml:space="preserve"> as a result of these procedures, a revolver was found in the residence of one of them.</w:t>
      </w:r>
      <w:r w:rsidR="00CD09AF" w:rsidRPr="00EA6C7A">
        <w:rPr>
          <w:rFonts w:ascii="Verdana" w:eastAsia="Batang" w:hAnsi="Verdana"/>
          <w:sz w:val="20"/>
          <w:szCs w:val="20"/>
          <w:vertAlign w:val="superscript"/>
          <w:lang w:val="en-US" w:eastAsia="es-MX"/>
        </w:rPr>
        <w:footnoteReference w:id="97"/>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January 17,</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this weapon was subjected to ballistic testing, which determined that its caliber was different from the bullet and casing collected at the scene of the crime.</w:t>
      </w:r>
      <w:r w:rsidR="00CD09AF" w:rsidRPr="00EA6C7A">
        <w:rPr>
          <w:rFonts w:ascii="Verdana" w:eastAsia="Batang" w:hAnsi="Verdana"/>
          <w:sz w:val="20"/>
          <w:szCs w:val="20"/>
          <w:vertAlign w:val="superscript"/>
          <w:lang w:val="en-US" w:eastAsia="es-MX"/>
        </w:rPr>
        <w:footnoteReference w:id="98"/>
      </w:r>
      <w:r w:rsidRPr="00EA6C7A">
        <w:rPr>
          <w:rFonts w:ascii="Verdana" w:eastAsia="Batang" w:hAnsi="Verdana"/>
          <w:sz w:val="20"/>
          <w:szCs w:val="20"/>
          <w:lang w:val="en-US" w:eastAsia="es-MX"/>
        </w:rPr>
        <w:t xml:space="preserve"> In addition, on September 22,</w:t>
      </w:r>
      <w:r w:rsidR="00CD09AF" w:rsidRPr="00EA6C7A">
        <w:rPr>
          <w:rFonts w:ascii="Verdana" w:eastAsia="Batang" w:hAnsi="Verdana"/>
          <w:sz w:val="20"/>
          <w:szCs w:val="20"/>
          <w:lang w:val="en-US" w:eastAsia="es-MX"/>
        </w:rPr>
        <w:t xml:space="preserve"> 2010</w:t>
      </w:r>
      <w:r w:rsidR="007B566E"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the</w:t>
      </w:r>
      <w:r w:rsidR="00A57505" w:rsidRPr="00EA6C7A">
        <w:rPr>
          <w:rFonts w:ascii="Verdana" w:eastAsia="Batang" w:hAnsi="Verdana"/>
          <w:sz w:val="20"/>
          <w:szCs w:val="20"/>
          <w:lang w:val="en-US" w:eastAsia="es-MX"/>
        </w:rPr>
        <w:t xml:space="preserve"> searc</w:t>
      </w:r>
      <w:r w:rsidR="007B566E" w:rsidRPr="00EA6C7A">
        <w:rPr>
          <w:rFonts w:ascii="Verdana" w:eastAsia="Batang" w:hAnsi="Verdana"/>
          <w:sz w:val="20"/>
          <w:szCs w:val="20"/>
          <w:lang w:val="en-US" w:eastAsia="es-MX"/>
        </w:rPr>
        <w:t>h,</w:t>
      </w:r>
      <w:r w:rsidRPr="00EA6C7A">
        <w:rPr>
          <w:rFonts w:ascii="Verdana" w:eastAsia="Batang" w:hAnsi="Verdana"/>
          <w:sz w:val="20"/>
          <w:szCs w:val="20"/>
          <w:lang w:val="en-US" w:eastAsia="es-MX"/>
        </w:rPr>
        <w:t xml:space="preserve"> inspection, </w:t>
      </w:r>
      <w:r w:rsidR="0066477C" w:rsidRPr="00EA6C7A">
        <w:rPr>
          <w:rFonts w:ascii="Verdana" w:eastAsia="Batang" w:hAnsi="Verdana"/>
          <w:sz w:val="20"/>
          <w:szCs w:val="20"/>
          <w:lang w:val="en-US" w:eastAsia="es-MX"/>
        </w:rPr>
        <w:t xml:space="preserve">seizure and </w:t>
      </w:r>
      <w:r w:rsidR="007B566E" w:rsidRPr="00EA6C7A">
        <w:rPr>
          <w:rFonts w:ascii="Verdana" w:eastAsia="Batang" w:hAnsi="Verdana"/>
          <w:sz w:val="20"/>
          <w:szCs w:val="20"/>
          <w:lang w:val="en-US" w:eastAsia="es-MX"/>
        </w:rPr>
        <w:t>registration</w:t>
      </w:r>
      <w:r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procedure</w:t>
      </w:r>
      <w:r w:rsidRPr="00EA6C7A">
        <w:rPr>
          <w:rFonts w:ascii="Verdana" w:eastAsia="Batang" w:hAnsi="Verdana"/>
          <w:sz w:val="20"/>
          <w:szCs w:val="20"/>
          <w:lang w:val="en-US" w:eastAsia="es-MX"/>
        </w:rPr>
        <w:t xml:space="preserve"> was carried out </w:t>
      </w:r>
      <w:r w:rsidR="007B566E" w:rsidRPr="00EA6C7A">
        <w:rPr>
          <w:rFonts w:ascii="Verdana" w:eastAsia="Batang" w:hAnsi="Verdana"/>
          <w:sz w:val="20"/>
          <w:szCs w:val="20"/>
          <w:lang w:val="en-US" w:eastAsia="es-MX"/>
        </w:rPr>
        <w:t>in</w:t>
      </w:r>
      <w:r w:rsidRPr="00EA6C7A">
        <w:rPr>
          <w:rFonts w:ascii="Verdana" w:eastAsia="Batang" w:hAnsi="Verdana"/>
          <w:sz w:val="20"/>
          <w:szCs w:val="20"/>
          <w:lang w:val="en-US" w:eastAsia="es-MX"/>
        </w:rPr>
        <w:t xml:space="preserve"> four buildings related to a third person linked to the criminal investigation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with negative results.</w:t>
      </w:r>
      <w:r w:rsidR="00CD09AF" w:rsidRPr="00EA6C7A">
        <w:rPr>
          <w:rFonts w:ascii="Verdana" w:eastAsia="Batang" w:hAnsi="Verdana"/>
          <w:sz w:val="20"/>
          <w:szCs w:val="20"/>
          <w:vertAlign w:val="superscript"/>
          <w:lang w:val="en-US" w:eastAsia="es-MX"/>
        </w:rPr>
        <w:footnoteReference w:id="99"/>
      </w:r>
      <w:r w:rsidRPr="00EA6C7A">
        <w:rPr>
          <w:rFonts w:ascii="Verdana" w:eastAsia="Batang" w:hAnsi="Verdana"/>
          <w:sz w:val="20"/>
          <w:szCs w:val="20"/>
          <w:lang w:val="en-US" w:eastAsia="es-MX"/>
        </w:rPr>
        <w:t xml:space="preserve"> The case file reveals that, subsequently, various procedures were carried out, but it is unclear to the Court how many and for how long; these are described in the following paragraphs.</w:t>
      </w:r>
    </w:p>
    <w:p w14:paraId="38187E6C" w14:textId="77777777" w:rsidR="00CD09AF" w:rsidRPr="00EA6C7A" w:rsidRDefault="003F510E"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September 21</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October 7 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November 29,</w:t>
      </w:r>
      <w:r w:rsidR="00CD09AF"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 xml:space="preserve">April </w:t>
      </w:r>
      <w:r w:rsidR="00CD09AF" w:rsidRPr="00EA6C7A">
        <w:rPr>
          <w:rFonts w:ascii="Verdana" w:eastAsia="Batang" w:hAnsi="Verdana"/>
          <w:sz w:val="20"/>
          <w:szCs w:val="20"/>
          <w:lang w:val="en-US" w:eastAsia="es-MX"/>
        </w:rPr>
        <w:t xml:space="preserve">7, </w:t>
      </w:r>
      <w:r w:rsidRPr="00EA6C7A">
        <w:rPr>
          <w:rFonts w:ascii="Verdana" w:eastAsia="Batang" w:hAnsi="Verdana"/>
          <w:sz w:val="20"/>
          <w:szCs w:val="20"/>
          <w:lang w:val="en-US" w:eastAsia="es-MX"/>
        </w:rPr>
        <w:t xml:space="preserve">July </w:t>
      </w:r>
      <w:r w:rsidR="00CD09AF" w:rsidRPr="00EA6C7A">
        <w:rPr>
          <w:rFonts w:ascii="Verdana" w:eastAsia="Batang" w:hAnsi="Verdana"/>
          <w:sz w:val="20"/>
          <w:szCs w:val="20"/>
          <w:lang w:val="en-US" w:eastAsia="es-MX"/>
        </w:rPr>
        <w:t xml:space="preserve">6, 7, 27 </w:t>
      </w:r>
      <w:r w:rsidRPr="00EA6C7A">
        <w:rPr>
          <w:rFonts w:ascii="Verdana" w:eastAsia="Batang" w:hAnsi="Verdana"/>
          <w:sz w:val="20"/>
          <w:szCs w:val="20"/>
          <w:lang w:val="en-US" w:eastAsia="es-MX"/>
        </w:rPr>
        <w:t>and 28, August</w:t>
      </w:r>
      <w:r w:rsidR="00CD09AF" w:rsidRPr="00EA6C7A">
        <w:rPr>
          <w:rFonts w:ascii="Verdana" w:eastAsia="Batang" w:hAnsi="Verdana"/>
          <w:sz w:val="20"/>
          <w:szCs w:val="20"/>
          <w:lang w:val="en-US" w:eastAsia="es-MX"/>
        </w:rPr>
        <w:t xml:space="preserve">, 1, </w:t>
      </w:r>
      <w:r w:rsidRPr="00EA6C7A">
        <w:rPr>
          <w:rFonts w:ascii="Verdana" w:eastAsia="Batang" w:hAnsi="Verdana"/>
          <w:sz w:val="20"/>
          <w:szCs w:val="20"/>
          <w:lang w:val="en-US" w:eastAsia="es-MX"/>
        </w:rPr>
        <w:t>September 13</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November 6,</w:t>
      </w:r>
      <w:r w:rsidR="00CD09AF" w:rsidRPr="00EA6C7A">
        <w:rPr>
          <w:rFonts w:ascii="Verdana" w:eastAsia="Batang" w:hAnsi="Verdana"/>
          <w:sz w:val="20"/>
          <w:szCs w:val="20"/>
          <w:lang w:val="en-US" w:eastAsia="es-MX"/>
        </w:rPr>
        <w:t xml:space="preserve"> 2006, </w:t>
      </w:r>
      <w:r w:rsidRPr="00EA6C7A">
        <w:rPr>
          <w:rFonts w:ascii="Verdana" w:eastAsia="Batang" w:hAnsi="Verdana"/>
          <w:sz w:val="20"/>
          <w:szCs w:val="20"/>
          <w:lang w:val="en-US" w:eastAsia="es-MX"/>
        </w:rPr>
        <w:t>March 14,</w:t>
      </w:r>
      <w:r w:rsidR="00CD09AF" w:rsidRPr="00EA6C7A">
        <w:rPr>
          <w:rFonts w:ascii="Verdana" w:eastAsia="Batang" w:hAnsi="Verdana"/>
          <w:sz w:val="20"/>
          <w:szCs w:val="20"/>
          <w:lang w:val="en-US" w:eastAsia="es-MX"/>
        </w:rPr>
        <w:t xml:space="preserve"> 2008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August 5,</w:t>
      </w:r>
      <w:r w:rsidR="00CD09AF" w:rsidRPr="00EA6C7A">
        <w:rPr>
          <w:rFonts w:ascii="Verdana" w:eastAsia="Batang" w:hAnsi="Verdana"/>
          <w:sz w:val="20"/>
          <w:szCs w:val="20"/>
          <w:lang w:val="en-US" w:eastAsia="es-MX"/>
        </w:rPr>
        <w:t xml:space="preserve"> 2011</w:t>
      </w:r>
      <w:r w:rsidR="0066477C"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asked 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Department for the Control of Weapons and Ammunition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for information on the existence of </w:t>
      </w:r>
      <w:r w:rsidR="00A57505" w:rsidRPr="00EA6C7A">
        <w:rPr>
          <w:rFonts w:ascii="Verdana" w:eastAsia="Batang" w:hAnsi="Verdana"/>
          <w:sz w:val="20"/>
          <w:szCs w:val="20"/>
          <w:lang w:val="en-US" w:eastAsia="es-MX"/>
        </w:rPr>
        <w:t>valid</w:t>
      </w:r>
      <w:r w:rsidR="007B566E" w:rsidRPr="00EA6C7A">
        <w:rPr>
          <w:rFonts w:ascii="Verdana" w:eastAsia="Batang" w:hAnsi="Verdana"/>
          <w:sz w:val="20"/>
          <w:szCs w:val="20"/>
          <w:lang w:val="en-US" w:eastAsia="es-MX"/>
        </w:rPr>
        <w:t xml:space="preserve"> gun</w:t>
      </w:r>
      <w:r w:rsidR="00A57505" w:rsidRPr="00EA6C7A">
        <w:rPr>
          <w:rFonts w:ascii="Verdana" w:eastAsia="Batang" w:hAnsi="Verdana"/>
          <w:sz w:val="20"/>
          <w:szCs w:val="20"/>
          <w:lang w:val="en-US" w:eastAsia="es-MX"/>
        </w:rPr>
        <w:t xml:space="preserve"> licenses and the number of weapons with their corresponding ballistic </w:t>
      </w:r>
      <w:r w:rsidR="00BC543C" w:rsidRPr="00EA6C7A">
        <w:rPr>
          <w:rFonts w:ascii="Verdana" w:eastAsia="Batang" w:hAnsi="Verdana"/>
          <w:sz w:val="20"/>
          <w:szCs w:val="20"/>
          <w:lang w:val="en-US" w:eastAsia="es-MX"/>
        </w:rPr>
        <w:t>finger</w:t>
      </w:r>
      <w:r w:rsidR="00A57505" w:rsidRPr="00EA6C7A">
        <w:rPr>
          <w:rFonts w:ascii="Verdana" w:eastAsia="Batang" w:hAnsi="Verdana"/>
          <w:sz w:val="20"/>
          <w:szCs w:val="20"/>
          <w:lang w:val="en-US" w:eastAsia="es-MX"/>
        </w:rPr>
        <w:t>prints of approximately 51 individuals.</w:t>
      </w:r>
      <w:r w:rsidR="00CD09AF" w:rsidRPr="00EA6C7A">
        <w:rPr>
          <w:rFonts w:ascii="Verdana" w:eastAsia="Batang" w:hAnsi="Verdana"/>
          <w:sz w:val="20"/>
          <w:szCs w:val="20"/>
          <w:vertAlign w:val="superscript"/>
          <w:lang w:val="en-US" w:eastAsia="es-MX"/>
        </w:rPr>
        <w:footnoteReference w:id="100"/>
      </w:r>
      <w:r w:rsidR="00CD09AF" w:rsidRPr="00EA6C7A">
        <w:rPr>
          <w:rFonts w:ascii="Verdana" w:eastAsia="Batang" w:hAnsi="Verdana"/>
          <w:sz w:val="20"/>
          <w:szCs w:val="20"/>
          <w:lang w:val="en-US" w:eastAsia="es-MX"/>
        </w:rPr>
        <w:t xml:space="preserve"> </w:t>
      </w:r>
      <w:r w:rsidR="00A57505" w:rsidRPr="00EA6C7A">
        <w:rPr>
          <w:rFonts w:ascii="Verdana" w:eastAsia="Batang" w:hAnsi="Verdana"/>
          <w:sz w:val="20"/>
          <w:szCs w:val="20"/>
          <w:lang w:val="en-US" w:eastAsia="es-MX"/>
        </w:rPr>
        <w:t>In response, on October</w:t>
      </w:r>
      <w:r w:rsidR="00CD09AF" w:rsidRPr="00EA6C7A">
        <w:rPr>
          <w:rFonts w:ascii="Verdana" w:eastAsia="Batang" w:hAnsi="Verdana"/>
          <w:sz w:val="20"/>
          <w:szCs w:val="20"/>
          <w:lang w:val="en-US" w:eastAsia="es-MX"/>
        </w:rPr>
        <w:t xml:space="preserve"> 28 </w:t>
      </w:r>
      <w:r w:rsidR="00A57505"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December 6,</w:t>
      </w:r>
      <w:r w:rsidR="00CD09AF" w:rsidRPr="00EA6C7A">
        <w:rPr>
          <w:rFonts w:ascii="Verdana" w:eastAsia="Batang" w:hAnsi="Verdana"/>
          <w:sz w:val="20"/>
          <w:szCs w:val="20"/>
          <w:lang w:val="en-US" w:eastAsia="es-MX"/>
        </w:rPr>
        <w:t xml:space="preserve"> 2005, </w:t>
      </w:r>
      <w:r w:rsidR="00A57505" w:rsidRPr="00EA6C7A">
        <w:rPr>
          <w:rFonts w:ascii="Verdana" w:eastAsia="Batang" w:hAnsi="Verdana"/>
          <w:sz w:val="20"/>
          <w:szCs w:val="20"/>
          <w:lang w:val="en-US" w:eastAsia="es-MX"/>
        </w:rPr>
        <w:t xml:space="preserve">May </w:t>
      </w:r>
      <w:r w:rsidR="00CD09AF" w:rsidRPr="00EA6C7A">
        <w:rPr>
          <w:rFonts w:ascii="Verdana" w:eastAsia="Batang" w:hAnsi="Verdana"/>
          <w:sz w:val="20"/>
          <w:szCs w:val="20"/>
          <w:lang w:val="en-US" w:eastAsia="es-MX"/>
        </w:rPr>
        <w:t xml:space="preserve">2 </w:t>
      </w:r>
      <w:r w:rsidR="00A57505"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8</w:t>
      </w:r>
      <w:r w:rsidR="00A57505" w:rsidRPr="00EA6C7A">
        <w:rPr>
          <w:rFonts w:ascii="Verdana" w:eastAsia="Batang" w:hAnsi="Verdana"/>
          <w:sz w:val="20"/>
          <w:szCs w:val="20"/>
          <w:lang w:val="en-US" w:eastAsia="es-MX"/>
        </w:rPr>
        <w:t xml:space="preserve">, June </w:t>
      </w:r>
      <w:r w:rsidR="00CD09AF" w:rsidRPr="00EA6C7A">
        <w:rPr>
          <w:rFonts w:ascii="Verdana" w:eastAsia="Batang" w:hAnsi="Verdana"/>
          <w:sz w:val="20"/>
          <w:szCs w:val="20"/>
          <w:lang w:val="en-US" w:eastAsia="es-MX"/>
        </w:rPr>
        <w:t xml:space="preserve">7, </w:t>
      </w:r>
      <w:r w:rsidR="00A57505" w:rsidRPr="00EA6C7A">
        <w:rPr>
          <w:rFonts w:ascii="Verdana" w:eastAsia="Batang" w:hAnsi="Verdana"/>
          <w:sz w:val="20"/>
          <w:szCs w:val="20"/>
          <w:lang w:val="en-US" w:eastAsia="es-MX"/>
        </w:rPr>
        <w:t xml:space="preserve">July </w:t>
      </w:r>
      <w:r w:rsidR="00CD09AF" w:rsidRPr="00EA6C7A">
        <w:rPr>
          <w:rFonts w:ascii="Verdana" w:eastAsia="Batang" w:hAnsi="Verdana"/>
          <w:sz w:val="20"/>
          <w:szCs w:val="20"/>
          <w:lang w:val="en-US" w:eastAsia="es-MX"/>
        </w:rPr>
        <w:t xml:space="preserve">11, 13, 14, 17 </w:t>
      </w:r>
      <w:r w:rsidR="00A57505"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27, </w:t>
      </w:r>
      <w:r w:rsidRPr="00EA6C7A">
        <w:rPr>
          <w:rFonts w:ascii="Verdana" w:eastAsia="Batang" w:hAnsi="Verdana"/>
          <w:sz w:val="20"/>
          <w:szCs w:val="20"/>
          <w:lang w:val="en-US" w:eastAsia="es-MX"/>
        </w:rPr>
        <w:t>August</w:t>
      </w:r>
      <w:r w:rsidR="00A57505" w:rsidRPr="00EA6C7A">
        <w:rPr>
          <w:rFonts w:ascii="Verdana" w:eastAsia="Batang" w:hAnsi="Verdana"/>
          <w:sz w:val="20"/>
          <w:szCs w:val="20"/>
          <w:lang w:val="en-US" w:eastAsia="es-MX"/>
        </w:rPr>
        <w:t xml:space="preserve"> 7 and</w:t>
      </w:r>
      <w:r w:rsidRPr="00EA6C7A">
        <w:rPr>
          <w:rFonts w:ascii="Verdana" w:eastAsia="Batang" w:hAnsi="Verdana"/>
          <w:sz w:val="20"/>
          <w:szCs w:val="20"/>
          <w:lang w:val="en-US" w:eastAsia="es-MX"/>
        </w:rPr>
        <w:t xml:space="preserve"> 10</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lastRenderedPageBreak/>
        <w:t xml:space="preserve">September </w:t>
      </w:r>
      <w:r w:rsidR="00A57505" w:rsidRPr="00EA6C7A">
        <w:rPr>
          <w:rFonts w:ascii="Verdana" w:eastAsia="Batang" w:hAnsi="Verdana"/>
          <w:sz w:val="20"/>
          <w:szCs w:val="20"/>
          <w:lang w:val="en-US" w:eastAsia="es-MX"/>
        </w:rPr>
        <w:t xml:space="preserve">12, </w:t>
      </w:r>
      <w:r w:rsidR="00CD09AF" w:rsidRPr="00EA6C7A">
        <w:rPr>
          <w:rFonts w:ascii="Verdana" w:eastAsia="Batang" w:hAnsi="Verdana"/>
          <w:sz w:val="20"/>
          <w:szCs w:val="20"/>
          <w:lang w:val="en-US" w:eastAsia="es-MX"/>
        </w:rPr>
        <w:t xml:space="preserve">14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20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November 8,</w:t>
      </w:r>
      <w:r w:rsidR="00CD09AF" w:rsidRPr="00EA6C7A">
        <w:rPr>
          <w:rFonts w:ascii="Verdana" w:eastAsia="Batang" w:hAnsi="Verdana"/>
          <w:sz w:val="20"/>
          <w:szCs w:val="20"/>
          <w:lang w:val="en-US" w:eastAsia="es-MX"/>
        </w:rPr>
        <w:t xml:space="preserve"> 2006, </w:t>
      </w:r>
      <w:r w:rsidRPr="00EA6C7A">
        <w:rPr>
          <w:rFonts w:ascii="Verdana" w:eastAsia="Batang" w:hAnsi="Verdana"/>
          <w:sz w:val="20"/>
          <w:szCs w:val="20"/>
          <w:lang w:val="en-US" w:eastAsia="es-MX"/>
        </w:rPr>
        <w:t xml:space="preserve">April </w:t>
      </w:r>
      <w:r w:rsidR="00CD09AF" w:rsidRPr="00EA6C7A">
        <w:rPr>
          <w:rFonts w:ascii="Verdana" w:eastAsia="Batang" w:hAnsi="Verdana"/>
          <w:sz w:val="20"/>
          <w:szCs w:val="20"/>
          <w:lang w:val="en-US" w:eastAsia="es-MX"/>
        </w:rPr>
        <w:t>3</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2008, </w:t>
      </w:r>
      <w:r w:rsidRPr="00EA6C7A">
        <w:rPr>
          <w:rFonts w:ascii="Verdana" w:eastAsia="Batang" w:hAnsi="Verdana"/>
          <w:sz w:val="20"/>
          <w:szCs w:val="20"/>
          <w:lang w:val="en-US" w:eastAsia="es-MX"/>
        </w:rPr>
        <w:t>August 9,</w:t>
      </w:r>
      <w:r w:rsidR="00CD09AF" w:rsidRPr="00EA6C7A">
        <w:rPr>
          <w:rFonts w:ascii="Verdana" w:eastAsia="Batang" w:hAnsi="Verdana"/>
          <w:sz w:val="20"/>
          <w:szCs w:val="20"/>
          <w:lang w:val="en-US" w:eastAsia="es-MX"/>
        </w:rPr>
        <w:t xml:space="preserve"> 2011</w:t>
      </w:r>
      <w:r w:rsidRPr="00EA6C7A">
        <w:rPr>
          <w:rFonts w:ascii="Verdana" w:eastAsia="Batang" w:hAnsi="Verdana"/>
          <w:sz w:val="20"/>
          <w:szCs w:val="20"/>
          <w:lang w:val="en-US" w:eastAsia="es-MX"/>
        </w:rPr>
        <w:t xml:space="preserve">, and March 26 and May 31, </w:t>
      </w:r>
      <w:r w:rsidR="00CD09AF" w:rsidRPr="00EA6C7A">
        <w:rPr>
          <w:rFonts w:ascii="Verdana" w:eastAsia="Batang" w:hAnsi="Verdana"/>
          <w:sz w:val="20"/>
          <w:szCs w:val="20"/>
          <w:lang w:val="en-US" w:eastAsia="es-MX"/>
        </w:rPr>
        <w:t>2014</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rec</w:t>
      </w:r>
      <w:r w:rsidRPr="00EA6C7A">
        <w:rPr>
          <w:rFonts w:ascii="Verdana" w:eastAsia="Batang" w:hAnsi="Verdana"/>
          <w:sz w:val="20"/>
          <w:szCs w:val="20"/>
          <w:lang w:val="en-US" w:eastAsia="es-MX"/>
        </w:rPr>
        <w:t>eived the information related to his request.</w:t>
      </w:r>
      <w:r w:rsidR="00CD09AF" w:rsidRPr="00EA6C7A">
        <w:rPr>
          <w:rFonts w:ascii="Verdana" w:eastAsia="Batang" w:hAnsi="Verdana"/>
          <w:sz w:val="20"/>
          <w:szCs w:val="20"/>
          <w:vertAlign w:val="superscript"/>
          <w:lang w:val="en-US" w:eastAsia="es-MX"/>
        </w:rPr>
        <w:footnoteReference w:id="101"/>
      </w:r>
    </w:p>
    <w:p w14:paraId="1EB6BD8B" w14:textId="77777777" w:rsidR="00CD09AF" w:rsidRPr="00EA6C7A" w:rsidRDefault="00FE6104"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In addition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June</w:t>
      </w:r>
      <w:r w:rsidRPr="00EA6C7A">
        <w:rPr>
          <w:rFonts w:ascii="Verdana" w:eastAsia="Batang" w:hAnsi="Verdana"/>
          <w:sz w:val="20"/>
          <w:szCs w:val="20"/>
          <w:lang w:val="en-US" w:eastAsia="es-MX"/>
        </w:rPr>
        <w:t xml:space="preserve"> 5 and </w:t>
      </w:r>
      <w:r w:rsidR="007B566E" w:rsidRPr="00EA6C7A">
        <w:rPr>
          <w:rFonts w:ascii="Verdana" w:eastAsia="Batang" w:hAnsi="Verdana"/>
          <w:sz w:val="20"/>
          <w:szCs w:val="20"/>
          <w:lang w:val="en-US" w:eastAsia="es-MX"/>
        </w:rPr>
        <w:t>July</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5,</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xml:space="preserve">, the section prosecutor asked the chiefs of </w:t>
      </w:r>
      <w:r w:rsidR="000914B5" w:rsidRPr="00EA6C7A">
        <w:rPr>
          <w:rFonts w:ascii="Verdana" w:eastAsia="Batang" w:hAnsi="Verdana"/>
          <w:sz w:val="20"/>
          <w:szCs w:val="20"/>
          <w:lang w:val="en-US" w:eastAsia="es-MX"/>
        </w:rPr>
        <w:t>Precinct</w:t>
      </w:r>
      <w:r w:rsidR="00CD09AF" w:rsidRPr="00EA6C7A">
        <w:rPr>
          <w:rFonts w:ascii="Verdana" w:eastAsia="Batang" w:hAnsi="Verdana"/>
          <w:sz w:val="20"/>
          <w:szCs w:val="20"/>
          <w:lang w:val="en-US" w:eastAsia="es-MX"/>
        </w:rPr>
        <w:t xml:space="preserve">s 11, 14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16</w:t>
      </w:r>
      <w:r w:rsidR="00D75E80" w:rsidRPr="00EA6C7A">
        <w:rPr>
          <w:rFonts w:ascii="Verdana" w:eastAsia="Batang" w:hAnsi="Verdana"/>
          <w:sz w:val="20"/>
          <w:szCs w:val="20"/>
          <w:lang w:val="en-US" w:eastAsia="es-MX"/>
        </w:rPr>
        <w:t xml:space="preserve"> of the </w:t>
      </w:r>
      <w:r w:rsidR="000B3E6E" w:rsidRPr="00EA6C7A">
        <w:rPr>
          <w:rFonts w:ascii="Verdana" w:eastAsia="Batang" w:hAnsi="Verdana"/>
          <w:sz w:val="20"/>
          <w:szCs w:val="20"/>
          <w:lang w:val="en-US" w:eastAsia="es-MX"/>
        </w:rPr>
        <w:t>National Civil Police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for information on the number of weapons seized and on the weapons used to commit crimes between</w:t>
      </w:r>
      <w:r w:rsidR="007944A2" w:rsidRPr="00EA6C7A">
        <w:rPr>
          <w:rFonts w:ascii="Verdana" w:eastAsia="Batang" w:hAnsi="Verdana"/>
          <w:sz w:val="20"/>
          <w:szCs w:val="20"/>
          <w:lang w:val="en-US" w:eastAsia="es-MX"/>
        </w:rPr>
        <w:t xml:space="preserve"> August 12,</w:t>
      </w:r>
      <w:r w:rsidR="00CD09AF" w:rsidRPr="00EA6C7A">
        <w:rPr>
          <w:rFonts w:ascii="Verdana" w:eastAsia="Batang" w:hAnsi="Verdana"/>
          <w:sz w:val="20"/>
          <w:szCs w:val="20"/>
          <w:lang w:val="en-US" w:eastAsia="es-MX"/>
        </w:rPr>
        <w:t xml:space="preserve"> 2005</w:t>
      </w:r>
      <w:r w:rsidR="00377EB5"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and</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July</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4,</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xml:space="preserve">, within the district covered by each </w:t>
      </w:r>
      <w:r w:rsidR="000914B5" w:rsidRPr="00EA6C7A">
        <w:rPr>
          <w:rFonts w:ascii="Verdana" w:eastAsia="Batang" w:hAnsi="Verdana"/>
          <w:sz w:val="20"/>
          <w:szCs w:val="20"/>
          <w:lang w:val="en-US" w:eastAsia="es-MX"/>
        </w:rPr>
        <w:t>Precinct</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02"/>
      </w:r>
      <w:r w:rsidRPr="00EA6C7A">
        <w:rPr>
          <w:rFonts w:ascii="Verdana" w:eastAsia="Batang" w:hAnsi="Verdana"/>
          <w:sz w:val="20"/>
          <w:szCs w:val="20"/>
          <w:lang w:val="en-US" w:eastAsia="es-MX"/>
        </w:rPr>
        <w:t xml:space="preserve"> Also, 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September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11 and 12,</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asked the head of the </w:t>
      </w:r>
      <w:r w:rsidR="003F510E" w:rsidRPr="00EA6C7A">
        <w:rPr>
          <w:rFonts w:ascii="Verdana" w:eastAsia="Batang" w:hAnsi="Verdana"/>
          <w:sz w:val="20"/>
          <w:szCs w:val="20"/>
          <w:lang w:val="en-US" w:eastAsia="es-MX"/>
        </w:rPr>
        <w:t>Department for the Control of Weapons and Ammunition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to advise whether </w:t>
      </w:r>
      <w:r w:rsidR="000914B5" w:rsidRPr="00EA6C7A">
        <w:rPr>
          <w:rFonts w:ascii="Verdana" w:eastAsia="Batang" w:hAnsi="Verdana"/>
          <w:sz w:val="20"/>
          <w:szCs w:val="20"/>
          <w:lang w:val="en-US" w:eastAsia="es-MX"/>
        </w:rPr>
        <w:t>Precinct</w:t>
      </w:r>
      <w:r w:rsidR="00CD09AF" w:rsidRPr="00EA6C7A">
        <w:rPr>
          <w:rFonts w:ascii="Verdana" w:eastAsia="Batang" w:hAnsi="Verdana"/>
          <w:sz w:val="20"/>
          <w:szCs w:val="20"/>
          <w:lang w:val="en-US" w:eastAsia="es-MX"/>
        </w:rPr>
        <w:t xml:space="preserve">s 14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16 </w:t>
      </w:r>
      <w:r w:rsidRPr="00EA6C7A">
        <w:rPr>
          <w:rFonts w:ascii="Verdana" w:eastAsia="Batang" w:hAnsi="Verdana"/>
          <w:sz w:val="20"/>
          <w:szCs w:val="20"/>
          <w:lang w:val="en-US" w:eastAsia="es-MX"/>
        </w:rPr>
        <w:t>had remitted weapons to him, specifically 9 mm caliber firearms.</w:t>
      </w:r>
      <w:r w:rsidR="00CD09AF" w:rsidRPr="00EA6C7A">
        <w:rPr>
          <w:rFonts w:ascii="Verdana" w:eastAsia="Batang" w:hAnsi="Verdana"/>
          <w:sz w:val="20"/>
          <w:szCs w:val="20"/>
          <w:vertAlign w:val="superscript"/>
          <w:lang w:val="en-US" w:eastAsia="es-MX"/>
        </w:rPr>
        <w:footnoteReference w:id="103"/>
      </w:r>
      <w:r w:rsidRPr="00EA6C7A">
        <w:rPr>
          <w:rFonts w:ascii="Verdana" w:eastAsia="Batang" w:hAnsi="Verdana"/>
          <w:sz w:val="20"/>
          <w:szCs w:val="20"/>
          <w:lang w:val="en-US" w:eastAsia="es-MX"/>
        </w:rPr>
        <w:t xml:space="preserve"> In response, 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September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14 and 20,</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xml:space="preserve">, the Department sent the list of 9 mm caliber firearms that it had received from </w:t>
      </w:r>
      <w:r w:rsidR="000914B5" w:rsidRPr="00EA6C7A">
        <w:rPr>
          <w:rFonts w:ascii="Verdana" w:eastAsia="Batang" w:hAnsi="Verdana"/>
          <w:sz w:val="20"/>
          <w:szCs w:val="20"/>
          <w:lang w:val="en-US" w:eastAsia="es-MX"/>
        </w:rPr>
        <w:t>Precinct</w:t>
      </w:r>
      <w:r w:rsidR="00CD09AF" w:rsidRPr="00EA6C7A">
        <w:rPr>
          <w:rFonts w:ascii="Verdana" w:eastAsia="Batang" w:hAnsi="Verdana"/>
          <w:sz w:val="20"/>
          <w:szCs w:val="20"/>
          <w:lang w:val="en-US" w:eastAsia="es-MX"/>
        </w:rPr>
        <w:t xml:space="preserve">s 14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16</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04"/>
      </w:r>
    </w:p>
    <w:p w14:paraId="63923BD6" w14:textId="77777777" w:rsidR="00CD09AF" w:rsidRPr="00EA6C7A" w:rsidRDefault="000914B5"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Furthermore, there is evidence that, following a request by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ballistic analys</w:t>
      </w:r>
      <w:r w:rsidR="00377EB5" w:rsidRPr="00EA6C7A">
        <w:rPr>
          <w:rFonts w:ascii="Verdana" w:eastAsia="Batang" w:hAnsi="Verdana"/>
          <w:sz w:val="20"/>
          <w:szCs w:val="20"/>
          <w:lang w:val="en-US" w:eastAsia="es-MX"/>
        </w:rPr>
        <w:t>e</w:t>
      </w:r>
      <w:r w:rsidRPr="00EA6C7A">
        <w:rPr>
          <w:rFonts w:ascii="Verdana" w:eastAsia="Batang" w:hAnsi="Verdana"/>
          <w:sz w:val="20"/>
          <w:szCs w:val="20"/>
          <w:lang w:val="en-US" w:eastAsia="es-MX"/>
        </w:rPr>
        <w:t xml:space="preserve">s was </w:t>
      </w:r>
      <w:r w:rsidR="00377EB5" w:rsidRPr="00EA6C7A">
        <w:rPr>
          <w:rFonts w:ascii="Verdana" w:eastAsia="Batang" w:hAnsi="Verdana"/>
          <w:sz w:val="20"/>
          <w:szCs w:val="20"/>
          <w:lang w:val="en-US" w:eastAsia="es-MX"/>
        </w:rPr>
        <w:t>performed on June 30, August 18 and October 5, 2006,</w:t>
      </w:r>
      <w:r w:rsidRPr="00EA6C7A">
        <w:rPr>
          <w:rFonts w:ascii="Verdana" w:eastAsia="Batang" w:hAnsi="Verdana"/>
          <w:sz w:val="20"/>
          <w:szCs w:val="20"/>
          <w:lang w:val="en-US" w:eastAsia="es-MX"/>
        </w:rPr>
        <w:t xml:space="preserve"> comparing different ballistic </w:t>
      </w:r>
      <w:r w:rsidR="00BC543C" w:rsidRPr="00EA6C7A">
        <w:rPr>
          <w:rFonts w:ascii="Verdana" w:eastAsia="Batang" w:hAnsi="Verdana"/>
          <w:sz w:val="20"/>
          <w:szCs w:val="20"/>
          <w:lang w:val="en-US" w:eastAsia="es-MX"/>
        </w:rPr>
        <w:t>finger</w:t>
      </w:r>
      <w:r w:rsidRPr="00EA6C7A">
        <w:rPr>
          <w:rFonts w:ascii="Verdana" w:eastAsia="Batang" w:hAnsi="Verdana"/>
          <w:sz w:val="20"/>
          <w:szCs w:val="20"/>
          <w:lang w:val="en-US" w:eastAsia="es-MX"/>
        </w:rPr>
        <w:t>prints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with the bullet and casing collected at the crime scene</w:t>
      </w:r>
      <w:r w:rsidR="00377EB5"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all with negative results.</w:t>
      </w:r>
      <w:r w:rsidR="00CD09AF" w:rsidRPr="00EA6C7A">
        <w:rPr>
          <w:rFonts w:ascii="Verdana" w:eastAsia="Batang" w:hAnsi="Verdana"/>
          <w:sz w:val="20"/>
          <w:szCs w:val="20"/>
          <w:vertAlign w:val="superscript"/>
          <w:lang w:val="en-US" w:eastAsia="es-MX"/>
        </w:rPr>
        <w:footnoteReference w:id="105"/>
      </w:r>
      <w:r w:rsidR="00CD09AF" w:rsidRPr="00EA6C7A">
        <w:rPr>
          <w:rFonts w:ascii="Verdana" w:eastAsia="Batang" w:hAnsi="Verdana"/>
          <w:sz w:val="20"/>
          <w:szCs w:val="20"/>
          <w:lang w:val="en-US" w:eastAsia="es-MX"/>
        </w:rPr>
        <w:t xml:space="preserve"> </w:t>
      </w:r>
      <w:r w:rsidR="000B7CE6" w:rsidRPr="00EA6C7A">
        <w:rPr>
          <w:rFonts w:ascii="Verdana" w:eastAsia="Batang" w:hAnsi="Verdana"/>
          <w:sz w:val="20"/>
          <w:szCs w:val="20"/>
          <w:lang w:val="en-US" w:eastAsia="es-MX"/>
        </w:rPr>
        <w:t>Meanwhile, 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August</w:t>
      </w:r>
      <w:r w:rsidR="00CD09AF" w:rsidRPr="00EA6C7A">
        <w:rPr>
          <w:rFonts w:ascii="Verdana" w:eastAsia="Batang" w:hAnsi="Verdana"/>
          <w:sz w:val="20"/>
          <w:szCs w:val="20"/>
          <w:lang w:val="en-US" w:eastAsia="es-MX"/>
        </w:rPr>
        <w:t xml:space="preserve"> </w:t>
      </w:r>
      <w:r w:rsidR="000B7CE6" w:rsidRPr="00EA6C7A">
        <w:rPr>
          <w:rFonts w:ascii="Verdana" w:eastAsia="Batang" w:hAnsi="Verdana"/>
          <w:sz w:val="20"/>
          <w:szCs w:val="20"/>
          <w:lang w:val="en-US" w:eastAsia="es-MX"/>
        </w:rPr>
        <w:t>20,</w:t>
      </w:r>
      <w:r w:rsidR="00CD09AF" w:rsidRPr="00EA6C7A">
        <w:rPr>
          <w:rFonts w:ascii="Verdana" w:eastAsia="Batang" w:hAnsi="Verdana"/>
          <w:sz w:val="20"/>
          <w:szCs w:val="20"/>
          <w:lang w:val="en-US" w:eastAsia="es-MX"/>
        </w:rPr>
        <w:t xml:space="preserve"> 2008</w:t>
      </w:r>
      <w:r w:rsidR="000B7CE6" w:rsidRPr="00EA6C7A">
        <w:rPr>
          <w:rFonts w:ascii="Verdana" w:eastAsia="Batang" w:hAnsi="Verdana"/>
          <w:sz w:val="20"/>
          <w:szCs w:val="20"/>
          <w:lang w:val="en-US" w:eastAsia="es-MX"/>
        </w:rPr>
        <w:t>, and January 31,</w:t>
      </w:r>
      <w:r w:rsidR="00CD09AF" w:rsidRPr="00EA6C7A">
        <w:rPr>
          <w:rFonts w:ascii="Verdana" w:eastAsia="Batang" w:hAnsi="Verdana"/>
          <w:sz w:val="20"/>
          <w:szCs w:val="20"/>
          <w:lang w:val="en-US" w:eastAsia="es-MX"/>
        </w:rPr>
        <w:t xml:space="preserve"> 2011</w:t>
      </w:r>
      <w:r w:rsidR="000B7CE6" w:rsidRPr="00EA6C7A">
        <w:rPr>
          <w:rFonts w:ascii="Verdana" w:eastAsia="Batang" w:hAnsi="Verdana"/>
          <w:sz w:val="20"/>
          <w:szCs w:val="20"/>
          <w:lang w:val="en-US" w:eastAsia="es-MX"/>
        </w:rPr>
        <w:t xml:space="preserve">, ballistic tests were conducted to identify </w:t>
      </w:r>
      <w:r w:rsidR="00377EB5" w:rsidRPr="00EA6C7A">
        <w:rPr>
          <w:rFonts w:ascii="Verdana" w:eastAsia="Batang" w:hAnsi="Verdana"/>
          <w:sz w:val="20"/>
          <w:szCs w:val="20"/>
          <w:lang w:val="en-US" w:eastAsia="es-MX"/>
        </w:rPr>
        <w:t>various</w:t>
      </w:r>
      <w:r w:rsidR="000B7CE6" w:rsidRPr="00EA6C7A">
        <w:rPr>
          <w:rFonts w:ascii="Verdana" w:eastAsia="Batang" w:hAnsi="Verdana"/>
          <w:sz w:val="20"/>
          <w:szCs w:val="20"/>
          <w:lang w:val="en-US" w:eastAsia="es-MX"/>
        </w:rPr>
        <w:t xml:space="preserve"> firearms and the caliber of different cartridges, casings and bullets was established.</w:t>
      </w:r>
      <w:r w:rsidR="00CD09AF" w:rsidRPr="00EA6C7A">
        <w:rPr>
          <w:rFonts w:ascii="Verdana" w:eastAsia="Batang" w:hAnsi="Verdana"/>
          <w:sz w:val="20"/>
          <w:szCs w:val="20"/>
          <w:vertAlign w:val="superscript"/>
          <w:lang w:val="en-US" w:eastAsia="es-MX"/>
        </w:rPr>
        <w:footnoteReference w:id="106"/>
      </w:r>
    </w:p>
    <w:p w14:paraId="7C0E5F60" w14:textId="77777777" w:rsidR="00CD09AF" w:rsidRPr="00EA6C7A" w:rsidRDefault="000B7CE6"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November 7,</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the</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Department for the Control of Weapons and Ammunition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of 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Ministry of National Defense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remitted eight firearms with their respective </w:t>
      </w:r>
      <w:r w:rsidR="00BC543C" w:rsidRPr="00EA6C7A">
        <w:rPr>
          <w:rFonts w:ascii="Verdana" w:eastAsia="Batang" w:hAnsi="Verdana"/>
          <w:sz w:val="20"/>
          <w:szCs w:val="20"/>
          <w:lang w:val="en-US" w:eastAsia="es-MX"/>
        </w:rPr>
        <w:t>magazines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cartridges and casings to the Ballistics Laboratory </w:t>
      </w:r>
      <w:r w:rsidR="00BC4DAF" w:rsidRPr="00EA6C7A">
        <w:rPr>
          <w:rFonts w:ascii="Verdana" w:eastAsia="Batang" w:hAnsi="Verdana"/>
          <w:sz w:val="20"/>
          <w:szCs w:val="20"/>
          <w:lang w:val="en-US" w:eastAsia="es-MX"/>
        </w:rPr>
        <w:t>of the Technical and Scientific Department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vertAlign w:val="superscript"/>
          <w:lang w:val="en-US" w:eastAsia="es-MX"/>
        </w:rPr>
        <w:footnoteReference w:id="107"/>
      </w:r>
      <w:r w:rsidRPr="00EA6C7A">
        <w:rPr>
          <w:rFonts w:ascii="Verdana" w:eastAsia="Batang" w:hAnsi="Verdana"/>
          <w:sz w:val="20"/>
          <w:szCs w:val="20"/>
          <w:lang w:val="en-US" w:eastAsia="es-MX"/>
        </w:rPr>
        <w:t xml:space="preserve"> and, o</w:t>
      </w:r>
      <w:r w:rsidR="00CA4197" w:rsidRPr="00EA6C7A">
        <w:rPr>
          <w:rFonts w:ascii="Verdana" w:eastAsia="Batang" w:hAnsi="Verdana"/>
          <w:sz w:val="20"/>
          <w:szCs w:val="20"/>
          <w:lang w:val="en-US" w:eastAsia="es-MX"/>
        </w:rPr>
        <w:t>n September 16,</w:t>
      </w:r>
      <w:r w:rsidR="00CD09AF" w:rsidRPr="00EA6C7A">
        <w:rPr>
          <w:rFonts w:ascii="Verdana" w:eastAsia="Batang" w:hAnsi="Verdana"/>
          <w:sz w:val="20"/>
          <w:szCs w:val="20"/>
          <w:lang w:val="en-US" w:eastAsia="es-MX"/>
        </w:rPr>
        <w:t xml:space="preserve"> 2008</w:t>
      </w:r>
      <w:r w:rsidRPr="00EA6C7A">
        <w:rPr>
          <w:rFonts w:ascii="Verdana" w:eastAsia="Batang" w:hAnsi="Verdana"/>
          <w:sz w:val="20"/>
          <w:szCs w:val="20"/>
          <w:lang w:val="en-US" w:eastAsia="es-MX"/>
        </w:rPr>
        <w:t>, these were forwarded to the INACIF Central Evidence Storage Unit.</w:t>
      </w:r>
      <w:r w:rsidR="00CD09AF" w:rsidRPr="00EA6C7A">
        <w:rPr>
          <w:rFonts w:ascii="Verdana" w:eastAsia="Batang" w:hAnsi="Verdana"/>
          <w:sz w:val="20"/>
          <w:szCs w:val="20"/>
          <w:vertAlign w:val="superscript"/>
          <w:lang w:val="en-US" w:eastAsia="es-MX"/>
        </w:rPr>
        <w:footnoteReference w:id="108"/>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Subsequently</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asked the INACIF Criminalistics Laboratories Unit to advise whether, the database of the</w:t>
      </w:r>
      <w:r w:rsidR="00BC543C" w:rsidRPr="00EA6C7A">
        <w:rPr>
          <w:rFonts w:ascii="Verdana" w:eastAsia="Batang" w:hAnsi="Verdana"/>
          <w:sz w:val="20"/>
          <w:szCs w:val="20"/>
          <w:lang w:val="en-US" w:eastAsia="es-MX"/>
        </w:rPr>
        <w:t xml:space="preserve"> Integrated Ballistics Identification System </w:t>
      </w:r>
      <w:r w:rsidR="00CD09AF" w:rsidRPr="00EA6C7A">
        <w:rPr>
          <w:rFonts w:ascii="Verdana" w:eastAsia="Batang" w:hAnsi="Verdana"/>
          <w:sz w:val="20"/>
          <w:szCs w:val="20"/>
          <w:lang w:val="en-US" w:eastAsia="es-MX"/>
        </w:rPr>
        <w:t>(</w:t>
      </w:r>
      <w:r w:rsidR="0096418F" w:rsidRPr="00EA6C7A">
        <w:rPr>
          <w:rFonts w:ascii="Verdana" w:eastAsia="Batang" w:hAnsi="Verdana"/>
          <w:sz w:val="20"/>
          <w:szCs w:val="20"/>
          <w:lang w:val="en-US" w:eastAsia="es-MX"/>
        </w:rPr>
        <w:t>hereinafter</w:t>
      </w:r>
      <w:r w:rsidR="00E77E60"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IBIS</w:t>
      </w:r>
      <w:r w:rsidRPr="00EA6C7A">
        <w:rPr>
          <w:rFonts w:ascii="Verdana" w:eastAsia="Batang" w:hAnsi="Verdana"/>
          <w:sz w:val="20"/>
          <w:szCs w:val="20"/>
          <w:lang w:val="en-US" w:eastAsia="es-MX"/>
        </w:rPr>
        <w:t xml:space="preserve"> System</w:t>
      </w:r>
      <w:r w:rsidR="00E77E60"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contained the ballistic </w:t>
      </w:r>
      <w:r w:rsidR="00BC543C" w:rsidRPr="00EA6C7A">
        <w:rPr>
          <w:rFonts w:ascii="Verdana" w:eastAsia="Batang" w:hAnsi="Verdana"/>
          <w:sz w:val="20"/>
          <w:szCs w:val="20"/>
          <w:lang w:val="en-US" w:eastAsia="es-MX"/>
        </w:rPr>
        <w:t>finger</w:t>
      </w:r>
      <w:r w:rsidRPr="00EA6C7A">
        <w:rPr>
          <w:rFonts w:ascii="Verdana" w:eastAsia="Batang" w:hAnsi="Verdana"/>
          <w:sz w:val="20"/>
          <w:szCs w:val="20"/>
          <w:lang w:val="en-US" w:eastAsia="es-MX"/>
        </w:rPr>
        <w:t>prints of the firearms registered with the General Directorate for the Control of Weapons and Ammunition</w:t>
      </w:r>
      <w:r w:rsidR="00CD09AF" w:rsidRPr="00EA6C7A">
        <w:rPr>
          <w:rFonts w:ascii="Verdana" w:eastAsia="Batang" w:hAnsi="Verdana"/>
          <w:sz w:val="20"/>
          <w:szCs w:val="20"/>
          <w:lang w:val="en-US" w:eastAsia="es-MX"/>
        </w:rPr>
        <w:t xml:space="preserve"> (DIGECAM), </w:t>
      </w:r>
      <w:r w:rsidRPr="00EA6C7A">
        <w:rPr>
          <w:rFonts w:ascii="Verdana" w:eastAsia="Batang" w:hAnsi="Verdana"/>
          <w:sz w:val="20"/>
          <w:szCs w:val="20"/>
          <w:lang w:val="en-US" w:eastAsia="es-MX"/>
        </w:rPr>
        <w:t>and to determine whether the said eight firearms were included in</w:t>
      </w:r>
      <w:r w:rsidR="00377EB5" w:rsidRPr="00EA6C7A">
        <w:rPr>
          <w:rFonts w:ascii="Verdana" w:eastAsia="Batang" w:hAnsi="Verdana"/>
          <w:sz w:val="20"/>
          <w:szCs w:val="20"/>
          <w:lang w:val="en-US" w:eastAsia="es-MX"/>
        </w:rPr>
        <w:t xml:space="preserve"> the</w:t>
      </w:r>
      <w:r w:rsidRPr="00EA6C7A">
        <w:rPr>
          <w:rFonts w:ascii="Verdana" w:eastAsia="Batang" w:hAnsi="Verdana"/>
          <w:sz w:val="20"/>
          <w:szCs w:val="20"/>
          <w:lang w:val="en-US" w:eastAsia="es-MX"/>
        </w:rPr>
        <w:t xml:space="preserve"> IBIS System records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25, </w:t>
      </w:r>
      <w:r w:rsidR="00CD09AF" w:rsidRPr="00EA6C7A">
        <w:rPr>
          <w:rFonts w:ascii="Verdana" w:eastAsia="Batang" w:hAnsi="Verdana"/>
          <w:sz w:val="20"/>
          <w:szCs w:val="20"/>
          <w:lang w:val="en-US" w:eastAsia="es-MX"/>
        </w:rPr>
        <w:t>2011</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Criminalistics Laboratories Unit advised that it had no record of the ballistic </w:t>
      </w:r>
      <w:r w:rsidR="00BC543C" w:rsidRPr="00EA6C7A">
        <w:rPr>
          <w:rFonts w:ascii="Verdana" w:eastAsia="Batang" w:hAnsi="Verdana"/>
          <w:sz w:val="20"/>
          <w:szCs w:val="20"/>
          <w:lang w:val="en-US" w:eastAsia="es-MX"/>
        </w:rPr>
        <w:t>finger</w:t>
      </w:r>
      <w:r w:rsidRPr="00EA6C7A">
        <w:rPr>
          <w:rFonts w:ascii="Verdana" w:eastAsia="Batang" w:hAnsi="Verdana"/>
          <w:sz w:val="20"/>
          <w:szCs w:val="20"/>
          <w:lang w:val="en-US" w:eastAsia="es-MX"/>
        </w:rPr>
        <w:t xml:space="preserve">prints of the firearms registered in the DIGECAM and that, at that time, it was not possible to respond to the request owing to the material impossibility of entering into the IBIS system cases that occurred before December 7, 2010, the </w:t>
      </w:r>
      <w:r w:rsidR="00377EB5" w:rsidRPr="00EA6C7A">
        <w:rPr>
          <w:rFonts w:ascii="Verdana" w:eastAsia="Batang" w:hAnsi="Verdana"/>
          <w:sz w:val="20"/>
          <w:szCs w:val="20"/>
          <w:lang w:val="en-US" w:eastAsia="es-MX"/>
        </w:rPr>
        <w:t xml:space="preserve">first </w:t>
      </w:r>
      <w:r w:rsidRPr="00EA6C7A">
        <w:rPr>
          <w:rFonts w:ascii="Verdana" w:eastAsia="Batang" w:hAnsi="Verdana"/>
          <w:sz w:val="20"/>
          <w:szCs w:val="20"/>
          <w:lang w:val="en-US" w:eastAsia="es-MX"/>
        </w:rPr>
        <w:t>date on which data was introduced into the system.</w:t>
      </w:r>
      <w:r w:rsidR="00CD09AF" w:rsidRPr="00EA6C7A">
        <w:rPr>
          <w:rFonts w:ascii="Verdana" w:hAnsi="Verdana" w:cs="Arial"/>
          <w:color w:val="000000"/>
          <w:sz w:val="20"/>
          <w:szCs w:val="20"/>
          <w:vertAlign w:val="superscript"/>
          <w:lang w:val="en-US" w:eastAsia="es-MX"/>
        </w:rPr>
        <w:footnoteReference w:id="109"/>
      </w:r>
      <w:r w:rsidRPr="00EA6C7A">
        <w:rPr>
          <w:rFonts w:ascii="Verdana" w:eastAsia="Batang" w:hAnsi="Verdana"/>
          <w:sz w:val="20"/>
          <w:szCs w:val="20"/>
          <w:lang w:val="en-US" w:eastAsia="es-MX"/>
        </w:rPr>
        <w:t xml:space="preserve"> Lastly, and following a request from</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the </w:t>
      </w:r>
      <w:r w:rsidR="00CA3FC4" w:rsidRPr="00EA6C7A">
        <w:rPr>
          <w:rFonts w:ascii="Verdana" w:eastAsia="Batang" w:hAnsi="Verdana"/>
          <w:sz w:val="20"/>
          <w:szCs w:val="20"/>
          <w:lang w:val="en-US" w:eastAsia="es-MX"/>
        </w:rPr>
        <w:t>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there is evidence that,</w:t>
      </w:r>
      <w:r w:rsidR="00377EB5" w:rsidRPr="00EA6C7A">
        <w:rPr>
          <w:rFonts w:ascii="Verdana" w:eastAsia="Batang" w:hAnsi="Verdana"/>
          <w:sz w:val="20"/>
          <w:szCs w:val="20"/>
          <w:lang w:val="en-US" w:eastAsia="es-MX"/>
        </w:rPr>
        <w:t xml:space="preserve"> at least</w:t>
      </w:r>
      <w:r w:rsidRPr="00EA6C7A">
        <w:rPr>
          <w:rFonts w:ascii="Verdana" w:eastAsia="Batang" w:hAnsi="Verdana"/>
          <w:sz w:val="20"/>
          <w:szCs w:val="20"/>
          <w:lang w:val="en-US" w:eastAsia="es-MX"/>
        </w:rPr>
        <w:t xml:space="preserve"> </w:t>
      </w:r>
      <w:r w:rsidR="00377EB5" w:rsidRPr="00EA6C7A">
        <w:rPr>
          <w:rFonts w:ascii="Verdana" w:eastAsia="Batang" w:hAnsi="Verdana"/>
          <w:sz w:val="20"/>
          <w:szCs w:val="20"/>
          <w:lang w:val="en-US" w:eastAsia="es-MX"/>
        </w:rPr>
        <w:t>by</w:t>
      </w:r>
      <w:r w:rsidRPr="00EA6C7A">
        <w:rPr>
          <w:rFonts w:ascii="Verdana" w:eastAsia="Batang" w:hAnsi="Verdana"/>
          <w:sz w:val="20"/>
          <w:szCs w:val="20"/>
          <w:lang w:val="en-US" w:eastAsia="es-MX"/>
        </w:rPr>
        <w:t xml:space="preserve"> November 15, </w:t>
      </w:r>
      <w:r w:rsidR="00CD09AF" w:rsidRPr="00EA6C7A">
        <w:rPr>
          <w:rFonts w:ascii="Verdana" w:hAnsi="Verdana"/>
          <w:sz w:val="20"/>
          <w:szCs w:val="20"/>
          <w:lang w:val="en-US"/>
        </w:rPr>
        <w:t>2012</w:t>
      </w:r>
      <w:r w:rsidRPr="00EA6C7A">
        <w:rPr>
          <w:rFonts w:ascii="Verdana" w:hAnsi="Verdana"/>
          <w:sz w:val="20"/>
          <w:szCs w:val="20"/>
          <w:lang w:val="en-US"/>
        </w:rPr>
        <w:t>, the</w:t>
      </w:r>
      <w:r w:rsidR="00CD09AF" w:rsidRPr="00EA6C7A">
        <w:rPr>
          <w:rFonts w:ascii="Verdana" w:eastAsia="Batang" w:hAnsi="Verdana"/>
          <w:sz w:val="20"/>
          <w:szCs w:val="20"/>
          <w:lang w:val="en-US" w:eastAsia="es-MX"/>
        </w:rPr>
        <w:t xml:space="preserve"> INACIF </w:t>
      </w:r>
      <w:r w:rsidRPr="00EA6C7A">
        <w:rPr>
          <w:rFonts w:ascii="Verdana" w:eastAsia="Batang" w:hAnsi="Verdana"/>
          <w:sz w:val="20"/>
          <w:szCs w:val="20"/>
          <w:lang w:val="en-US" w:eastAsia="es-MX"/>
        </w:rPr>
        <w:t>had entered</w:t>
      </w:r>
      <w:r w:rsidR="00377EB5" w:rsidRPr="00EA6C7A">
        <w:rPr>
          <w:rFonts w:ascii="Verdana" w:eastAsia="Batang" w:hAnsi="Verdana"/>
          <w:sz w:val="20"/>
          <w:szCs w:val="20"/>
          <w:lang w:val="en-US" w:eastAsia="es-MX"/>
        </w:rPr>
        <w:t xml:space="preserve"> the casing and the bullet collected</w:t>
      </w:r>
      <w:r w:rsidRPr="00EA6C7A">
        <w:rPr>
          <w:rFonts w:ascii="Verdana" w:eastAsia="Batang" w:hAnsi="Verdana"/>
          <w:sz w:val="20"/>
          <w:szCs w:val="20"/>
          <w:lang w:val="en-US" w:eastAsia="es-MX"/>
        </w:rPr>
        <w:t xml:space="preserve"> into the IBIS System, without these corresponding to any other </w:t>
      </w:r>
      <w:r w:rsidR="00377EB5" w:rsidRPr="00EA6C7A">
        <w:rPr>
          <w:rFonts w:ascii="Verdana" w:eastAsia="Batang" w:hAnsi="Verdana"/>
          <w:sz w:val="20"/>
          <w:szCs w:val="20"/>
          <w:lang w:val="en-US" w:eastAsia="es-MX"/>
        </w:rPr>
        <w:t>items</w:t>
      </w:r>
      <w:r w:rsidRPr="00EA6C7A">
        <w:rPr>
          <w:rFonts w:ascii="Verdana" w:eastAsia="Batang" w:hAnsi="Verdana"/>
          <w:sz w:val="20"/>
          <w:szCs w:val="20"/>
          <w:lang w:val="en-US" w:eastAsia="es-MX"/>
        </w:rPr>
        <w:t xml:space="preserve"> entered into the system at that time.</w:t>
      </w:r>
      <w:r w:rsidR="00CD09AF" w:rsidRPr="00EA6C7A">
        <w:rPr>
          <w:rFonts w:ascii="Verdana" w:eastAsia="Batang" w:hAnsi="Verdana"/>
          <w:sz w:val="20"/>
          <w:szCs w:val="20"/>
          <w:vertAlign w:val="superscript"/>
          <w:lang w:val="en-US" w:eastAsia="es-MX"/>
        </w:rPr>
        <w:footnoteReference w:id="110"/>
      </w:r>
    </w:p>
    <w:p w14:paraId="4E6DCF86" w14:textId="77777777" w:rsidR="00CD09AF" w:rsidRPr="00EA6C7A" w:rsidRDefault="000B7CE6"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lastRenderedPageBreak/>
        <w:t>Statements received</w:t>
      </w:r>
      <w:r w:rsidR="00CD09AF" w:rsidRPr="00EA6C7A">
        <w:rPr>
          <w:rFonts w:ascii="Verdana" w:eastAsia="Batang" w:hAnsi="Verdana"/>
          <w:i/>
          <w:sz w:val="20"/>
          <w:szCs w:val="20"/>
          <w:lang w:val="en-US" w:eastAsia="es-MX"/>
        </w:rPr>
        <w:t>.</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 xml:space="preserve">The file reveals that, at least over the period between </w:t>
      </w:r>
      <w:r w:rsidR="00241D0B" w:rsidRPr="00EA6C7A">
        <w:rPr>
          <w:rFonts w:ascii="Verdana" w:eastAsia="Batang" w:hAnsi="Verdana"/>
          <w:sz w:val="20"/>
          <w:szCs w:val="20"/>
          <w:lang w:val="en-US" w:eastAsia="es-MX"/>
        </w:rPr>
        <w:t xml:space="preserve">2005 </w:t>
      </w:r>
      <w:r w:rsidR="00D948A1" w:rsidRPr="00EA6C7A">
        <w:rPr>
          <w:rFonts w:ascii="Verdana" w:eastAsia="Batang" w:hAnsi="Verdana"/>
          <w:sz w:val="20"/>
          <w:szCs w:val="20"/>
          <w:lang w:val="en-US" w:eastAsia="es-MX"/>
        </w:rPr>
        <w:t>and</w:t>
      </w:r>
      <w:r w:rsidR="00241D0B" w:rsidRPr="00EA6C7A">
        <w:rPr>
          <w:rFonts w:ascii="Verdana" w:eastAsia="Batang" w:hAnsi="Verdana"/>
          <w:sz w:val="20"/>
          <w:szCs w:val="20"/>
          <w:lang w:val="en-US" w:eastAsia="es-MX"/>
        </w:rPr>
        <w:t xml:space="preserve"> 2013</w:t>
      </w:r>
      <w:r w:rsidR="00D948A1" w:rsidRPr="00EA6C7A">
        <w:rPr>
          <w:rFonts w:ascii="Verdana" w:eastAsia="Batang" w:hAnsi="Verdana"/>
          <w:sz w:val="20"/>
          <w:szCs w:val="20"/>
          <w:lang w:val="en-US" w:eastAsia="es-MX"/>
        </w:rPr>
        <w:t xml:space="preserve">, the prosecutor and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rec</w:t>
      </w:r>
      <w:r w:rsidR="00D948A1" w:rsidRPr="00EA6C7A">
        <w:rPr>
          <w:rFonts w:ascii="Verdana" w:eastAsia="Batang" w:hAnsi="Verdana"/>
          <w:sz w:val="20"/>
          <w:szCs w:val="20"/>
          <w:lang w:val="en-US" w:eastAsia="es-MX"/>
        </w:rPr>
        <w:t>eived numerous statements in the course of the investigation.</w:t>
      </w:r>
      <w:r w:rsidR="00CD09AF" w:rsidRPr="00EA6C7A">
        <w:rPr>
          <w:rFonts w:ascii="Verdana" w:eastAsia="Batang" w:hAnsi="Verdana"/>
          <w:sz w:val="20"/>
          <w:szCs w:val="20"/>
          <w:vertAlign w:val="superscript"/>
          <w:lang w:val="en-US" w:eastAsia="es-MX"/>
        </w:rPr>
        <w:footnoteReference w:id="111"/>
      </w:r>
    </w:p>
    <w:p w14:paraId="65BF2603" w14:textId="77777777" w:rsidR="00CD09AF" w:rsidRPr="00EA6C7A" w:rsidRDefault="00D948A1"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Procedures to identify the last places </w:t>
      </w:r>
      <w:r w:rsidR="00377EB5" w:rsidRPr="00EA6C7A">
        <w:rPr>
          <w:rFonts w:ascii="Verdana" w:eastAsia="Batang" w:hAnsi="Verdana"/>
          <w:i/>
          <w:sz w:val="20"/>
          <w:szCs w:val="20"/>
          <w:lang w:val="en-US" w:eastAsia="es-MX"/>
        </w:rPr>
        <w:t>that</w:t>
      </w:r>
      <w:r w:rsidRPr="00EA6C7A">
        <w:rPr>
          <w:rFonts w:ascii="Verdana" w:eastAsia="Batang" w:hAnsi="Verdana"/>
          <w:i/>
          <w:sz w:val="20"/>
          <w:szCs w:val="20"/>
          <w:lang w:val="en-US" w:eastAsia="es-MX"/>
        </w:rPr>
        <w:t xml:space="preserve"> </w:t>
      </w:r>
      <w:r w:rsidR="00CD09AF" w:rsidRPr="00EA6C7A">
        <w:rPr>
          <w:rFonts w:ascii="Verdana" w:eastAsia="Batang" w:hAnsi="Verdana"/>
          <w:i/>
          <w:sz w:val="20"/>
          <w:szCs w:val="20"/>
          <w:lang w:val="en-US" w:eastAsia="es-MX"/>
        </w:rPr>
        <w:t>Claudina Velásquez</w:t>
      </w:r>
      <w:r w:rsidRPr="00EA6C7A">
        <w:rPr>
          <w:rFonts w:ascii="Verdana" w:eastAsia="Batang" w:hAnsi="Verdana"/>
          <w:i/>
          <w:sz w:val="20"/>
          <w:szCs w:val="20"/>
          <w:lang w:val="en-US" w:eastAsia="es-MX"/>
        </w:rPr>
        <w:t xml:space="preserve"> presumably</w:t>
      </w:r>
      <w:r w:rsidR="00377EB5" w:rsidRPr="00EA6C7A">
        <w:rPr>
          <w:rFonts w:ascii="Verdana" w:eastAsia="Batang" w:hAnsi="Verdana"/>
          <w:i/>
          <w:sz w:val="20"/>
          <w:szCs w:val="20"/>
          <w:lang w:val="en-US" w:eastAsia="es-MX"/>
        </w:rPr>
        <w:t xml:space="preserve"> visited</w:t>
      </w:r>
      <w:r w:rsidR="00CD09AF" w:rsidRPr="00EA6C7A">
        <w:rPr>
          <w:rFonts w:ascii="Verdana" w:eastAsia="Batang" w:hAnsi="Verdana"/>
          <w:i/>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September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4,</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prosecutor and the assistant prosecutor went to the gas station in Zone 8, Mixco, to request the security video</w:t>
      </w:r>
      <w:r w:rsidR="00377EB5" w:rsidRPr="00EA6C7A">
        <w:rPr>
          <w:rFonts w:ascii="Verdana" w:eastAsia="Batang" w:hAnsi="Verdana"/>
          <w:sz w:val="20"/>
          <w:szCs w:val="20"/>
          <w:lang w:val="en-US" w:eastAsia="es-MX"/>
        </w:rPr>
        <w:t xml:space="preserve"> recordings</w:t>
      </w:r>
      <w:r w:rsidRPr="00EA6C7A">
        <w:rPr>
          <w:rFonts w:ascii="Verdana" w:eastAsia="Batang" w:hAnsi="Verdana"/>
          <w:sz w:val="20"/>
          <w:szCs w:val="20"/>
          <w:lang w:val="en-US" w:eastAsia="es-MX"/>
        </w:rPr>
        <w:t xml:space="preserve"> on </w:t>
      </w:r>
      <w:r w:rsidR="000B3E6E" w:rsidRPr="00EA6C7A">
        <w:rPr>
          <w:rFonts w:ascii="Verdana" w:eastAsia="Batang" w:hAnsi="Verdana"/>
          <w:sz w:val="20"/>
          <w:szCs w:val="20"/>
          <w:lang w:val="en-US" w:eastAsia="es-MX"/>
        </w:rPr>
        <w:t>August</w:t>
      </w:r>
      <w:r w:rsidRPr="00EA6C7A">
        <w:rPr>
          <w:rFonts w:ascii="Verdana" w:eastAsia="Batang" w:hAnsi="Verdana"/>
          <w:sz w:val="20"/>
          <w:szCs w:val="20"/>
          <w:lang w:val="en-US" w:eastAsia="es-MX"/>
        </w:rPr>
        <w:t xml:space="preserve"> 12 and</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The gas station</w:t>
      </w:r>
      <w:r w:rsidR="00377EB5" w:rsidRPr="00EA6C7A">
        <w:rPr>
          <w:rFonts w:ascii="Verdana" w:eastAsia="Batang" w:hAnsi="Verdana"/>
          <w:sz w:val="20"/>
          <w:szCs w:val="20"/>
          <w:lang w:val="en-US" w:eastAsia="es-MX"/>
        </w:rPr>
        <w:t xml:space="preserve"> administrator</w:t>
      </w:r>
      <w:r w:rsidRPr="00EA6C7A">
        <w:rPr>
          <w:rFonts w:ascii="Verdana" w:eastAsia="Batang" w:hAnsi="Verdana"/>
          <w:sz w:val="20"/>
          <w:szCs w:val="20"/>
          <w:lang w:val="en-US" w:eastAsia="es-MX"/>
        </w:rPr>
        <w:t xml:space="preserve"> advised them that </w:t>
      </w:r>
      <w:r w:rsidR="00377EB5" w:rsidRPr="00EA6C7A">
        <w:rPr>
          <w:rFonts w:ascii="Verdana" w:eastAsia="Batang" w:hAnsi="Verdana"/>
          <w:sz w:val="20"/>
          <w:szCs w:val="20"/>
          <w:lang w:val="en-US" w:eastAsia="es-MX"/>
        </w:rPr>
        <w:t>his</w:t>
      </w:r>
      <w:r w:rsidRPr="00EA6C7A">
        <w:rPr>
          <w:rFonts w:ascii="Verdana" w:eastAsia="Batang" w:hAnsi="Verdana"/>
          <w:sz w:val="20"/>
          <w:szCs w:val="20"/>
          <w:lang w:val="en-US" w:eastAsia="es-MX"/>
        </w:rPr>
        <w:t xml:space="preserve"> security system onl</w:t>
      </w:r>
      <w:r w:rsidR="00377EB5" w:rsidRPr="00EA6C7A">
        <w:rPr>
          <w:rFonts w:ascii="Verdana" w:eastAsia="Batang" w:hAnsi="Verdana"/>
          <w:sz w:val="20"/>
          <w:szCs w:val="20"/>
          <w:lang w:val="en-US" w:eastAsia="es-MX"/>
        </w:rPr>
        <w:t>y had</w:t>
      </w:r>
      <w:r w:rsidRPr="00EA6C7A">
        <w:rPr>
          <w:rFonts w:ascii="Verdana" w:eastAsia="Batang" w:hAnsi="Verdana"/>
          <w:sz w:val="20"/>
          <w:szCs w:val="20"/>
          <w:lang w:val="en-US" w:eastAsia="es-MX"/>
        </w:rPr>
        <w:t xml:space="preserve"> 30 </w:t>
      </w:r>
      <w:r w:rsidR="00CD09AF" w:rsidRPr="00EA6C7A">
        <w:rPr>
          <w:rFonts w:ascii="Verdana" w:eastAsia="Batang" w:hAnsi="Verdana"/>
          <w:sz w:val="20"/>
          <w:szCs w:val="20"/>
          <w:lang w:val="en-US" w:eastAsia="es-MX"/>
        </w:rPr>
        <w:t>casset</w:t>
      </w:r>
      <w:r w:rsidRPr="00EA6C7A">
        <w:rPr>
          <w:rFonts w:ascii="Verdana" w:eastAsia="Batang" w:hAnsi="Verdana"/>
          <w:sz w:val="20"/>
          <w:szCs w:val="20"/>
          <w:lang w:val="en-US" w:eastAsia="es-MX"/>
        </w:rPr>
        <w:t>t</w:t>
      </w:r>
      <w:r w:rsidR="00CD09AF" w:rsidRPr="00EA6C7A">
        <w:rPr>
          <w:rFonts w:ascii="Verdana" w:eastAsia="Batang" w:hAnsi="Verdana"/>
          <w:sz w:val="20"/>
          <w:szCs w:val="20"/>
          <w:lang w:val="en-US" w:eastAsia="es-MX"/>
        </w:rPr>
        <w:t xml:space="preserve">es </w:t>
      </w:r>
      <w:r w:rsidRPr="00EA6C7A">
        <w:rPr>
          <w:rFonts w:ascii="Verdana" w:eastAsia="Batang" w:hAnsi="Verdana"/>
          <w:sz w:val="20"/>
          <w:szCs w:val="20"/>
          <w:lang w:val="en-US" w:eastAsia="es-MX"/>
        </w:rPr>
        <w:t>which he re-recorded one month after they had been used. Therefore, he no longer had those recordings.</w:t>
      </w:r>
      <w:r w:rsidR="00CD09AF" w:rsidRPr="00EA6C7A">
        <w:rPr>
          <w:rFonts w:ascii="Verdana" w:eastAsia="Batang" w:hAnsi="Verdana"/>
          <w:sz w:val="20"/>
          <w:szCs w:val="20"/>
          <w:vertAlign w:val="superscript"/>
          <w:lang w:val="en-US" w:eastAsia="es-MX"/>
        </w:rPr>
        <w:footnoteReference w:id="112"/>
      </w:r>
      <w:r w:rsidR="00CD09AF" w:rsidRPr="00EA6C7A">
        <w:rPr>
          <w:rFonts w:ascii="Verdana" w:eastAsia="Batang" w:hAnsi="Verdana"/>
          <w:sz w:val="20"/>
          <w:szCs w:val="20"/>
          <w:lang w:val="en-US" w:eastAsia="es-MX"/>
        </w:rPr>
        <w:t xml:space="preserve"> A</w:t>
      </w:r>
      <w:r w:rsidRPr="00EA6C7A">
        <w:rPr>
          <w:rFonts w:ascii="Verdana" w:eastAsia="Batang" w:hAnsi="Verdana"/>
          <w:sz w:val="20"/>
          <w:szCs w:val="20"/>
          <w:lang w:val="en-US" w:eastAsia="es-MX"/>
        </w:rPr>
        <w:t>lso</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30,</w:t>
      </w:r>
      <w:r w:rsidR="00CD09AF" w:rsidRPr="00EA6C7A">
        <w:rPr>
          <w:rFonts w:ascii="Verdana" w:eastAsia="Batang" w:hAnsi="Verdana"/>
          <w:sz w:val="20"/>
          <w:szCs w:val="20"/>
          <w:lang w:val="en-US" w:eastAsia="es-MX"/>
        </w:rPr>
        <w:t xml:space="preserve"> 2007, </w:t>
      </w:r>
      <w:r w:rsidRPr="00EA6C7A">
        <w:rPr>
          <w:rFonts w:ascii="Verdana" w:eastAsia="Batang" w:hAnsi="Verdana"/>
          <w:sz w:val="20"/>
          <w:szCs w:val="20"/>
          <w:lang w:val="en-US" w:eastAsia="es-MX"/>
        </w:rPr>
        <w:t xml:space="preserve">the manager of the gas station of </w:t>
      </w:r>
      <w:r w:rsidR="0083210F" w:rsidRPr="00EA6C7A">
        <w:rPr>
          <w:rFonts w:ascii="Verdana" w:eastAsia="Batang" w:hAnsi="Verdana"/>
          <w:sz w:val="20"/>
          <w:szCs w:val="20"/>
          <w:lang w:val="en-US" w:eastAsia="es-MX"/>
        </w:rPr>
        <w:t>Zone</w:t>
      </w:r>
      <w:r w:rsidR="00CD09AF" w:rsidRPr="00EA6C7A">
        <w:rPr>
          <w:rFonts w:ascii="Verdana" w:eastAsia="Batang" w:hAnsi="Verdana"/>
          <w:sz w:val="20"/>
          <w:szCs w:val="20"/>
          <w:lang w:val="en-US" w:eastAsia="es-MX"/>
        </w:rPr>
        <w:t xml:space="preserve"> 8</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Mixco, </w:t>
      </w:r>
      <w:r w:rsidRPr="00EA6C7A">
        <w:rPr>
          <w:rFonts w:ascii="Verdana" w:eastAsia="Batang" w:hAnsi="Verdana"/>
          <w:sz w:val="20"/>
          <w:szCs w:val="20"/>
          <w:lang w:val="en-US" w:eastAsia="es-MX"/>
        </w:rPr>
        <w:t>was asked for information on the invoices</w:t>
      </w:r>
      <w:r w:rsidR="00E202C9" w:rsidRPr="00EA6C7A">
        <w:rPr>
          <w:rFonts w:ascii="Verdana" w:eastAsia="Batang" w:hAnsi="Verdana"/>
          <w:sz w:val="20"/>
          <w:szCs w:val="20"/>
          <w:lang w:val="en-US" w:eastAsia="es-MX"/>
        </w:rPr>
        <w:t xml:space="preserve"> issued</w:t>
      </w:r>
      <w:r w:rsidRPr="00EA6C7A">
        <w:rPr>
          <w:rFonts w:ascii="Verdana" w:eastAsia="Batang" w:hAnsi="Verdana"/>
          <w:sz w:val="20"/>
          <w:szCs w:val="20"/>
          <w:lang w:val="en-US" w:eastAsia="es-MX"/>
        </w:rPr>
        <w:t xml:space="preserve"> for instantaneous soups on August 12 and 13, 2005, and how they were paid for.</w:t>
      </w:r>
      <w:r w:rsidR="00CD09AF" w:rsidRPr="00EA6C7A">
        <w:rPr>
          <w:rFonts w:ascii="Verdana" w:eastAsia="Batang" w:hAnsi="Verdana"/>
          <w:sz w:val="20"/>
          <w:szCs w:val="20"/>
          <w:vertAlign w:val="superscript"/>
          <w:lang w:val="en-US" w:eastAsia="es-MX"/>
        </w:rPr>
        <w:footnoteReference w:id="113"/>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April 23,</w:t>
      </w:r>
      <w:r w:rsidR="00CD09AF" w:rsidRPr="00EA6C7A">
        <w:rPr>
          <w:rFonts w:ascii="Verdana" w:eastAsia="Batang" w:hAnsi="Verdana"/>
          <w:sz w:val="20"/>
          <w:szCs w:val="20"/>
          <w:lang w:val="en-US" w:eastAsia="es-MX"/>
        </w:rPr>
        <w:t xml:space="preserve"> 2008</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acknowledged receipt of the requested information and asked for additional information on the </w:t>
      </w:r>
      <w:r w:rsidR="00E202C9" w:rsidRPr="00EA6C7A">
        <w:rPr>
          <w:rFonts w:ascii="Verdana" w:eastAsia="Batang" w:hAnsi="Verdana"/>
          <w:sz w:val="20"/>
          <w:szCs w:val="20"/>
          <w:lang w:val="en-US" w:eastAsia="es-MX"/>
        </w:rPr>
        <w:t>types</w:t>
      </w:r>
      <w:r w:rsidRPr="00EA6C7A">
        <w:rPr>
          <w:rFonts w:ascii="Verdana" w:eastAsia="Batang" w:hAnsi="Verdana"/>
          <w:sz w:val="20"/>
          <w:szCs w:val="20"/>
          <w:lang w:val="en-US" w:eastAsia="es-MX"/>
        </w:rPr>
        <w:t xml:space="preserve"> of soup billed.</w:t>
      </w:r>
      <w:r w:rsidR="00CD09AF" w:rsidRPr="00EA6C7A">
        <w:rPr>
          <w:rFonts w:ascii="Verdana" w:eastAsia="Batang" w:hAnsi="Verdana"/>
          <w:sz w:val="20"/>
          <w:szCs w:val="20"/>
          <w:vertAlign w:val="superscript"/>
          <w:lang w:val="en-US" w:eastAsia="es-MX"/>
        </w:rPr>
        <w:footnoteReference w:id="114"/>
      </w:r>
    </w:p>
    <w:p w14:paraId="7122353A" w14:textId="77777777" w:rsidR="00CD09AF" w:rsidRPr="00EA6C7A" w:rsidRDefault="00D948A1"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Procedures related to the search for a taxi-type vehicle.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September 21</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October </w:t>
      </w:r>
      <w:r w:rsidRPr="00EA6C7A">
        <w:rPr>
          <w:rFonts w:ascii="Verdana" w:eastAsia="Batang" w:hAnsi="Verdana"/>
          <w:sz w:val="20"/>
          <w:szCs w:val="20"/>
          <w:lang w:val="en-US" w:eastAsia="es-MX"/>
        </w:rPr>
        <w:t xml:space="preserve">5 and </w:t>
      </w:r>
      <w:r w:rsidR="003F510E" w:rsidRPr="00EA6C7A">
        <w:rPr>
          <w:rFonts w:ascii="Verdana" w:eastAsia="Batang" w:hAnsi="Verdana"/>
          <w:sz w:val="20"/>
          <w:szCs w:val="20"/>
          <w:lang w:val="en-US" w:eastAsia="es-MX"/>
        </w:rPr>
        <w:t>14</w:t>
      </w:r>
      <w:r w:rsidRPr="00EA6C7A">
        <w:rPr>
          <w:rFonts w:ascii="Verdana" w:eastAsia="Batang" w:hAnsi="Verdana"/>
          <w:sz w:val="20"/>
          <w:szCs w:val="20"/>
          <w:lang w:val="en-US" w:eastAsia="es-MX"/>
        </w:rPr>
        <w:t xml:space="preserve"> and </w:t>
      </w:r>
      <w:r w:rsidR="003F510E" w:rsidRPr="00EA6C7A">
        <w:rPr>
          <w:rFonts w:ascii="Verdana" w:eastAsia="Batang" w:hAnsi="Verdana"/>
          <w:sz w:val="20"/>
          <w:szCs w:val="20"/>
          <w:lang w:val="en-US" w:eastAsia="es-MX"/>
        </w:rPr>
        <w:t xml:space="preserve">November </w:t>
      </w:r>
      <w:r w:rsidRPr="00EA6C7A">
        <w:rPr>
          <w:rFonts w:ascii="Verdana" w:eastAsia="Batang" w:hAnsi="Verdana"/>
          <w:sz w:val="20"/>
          <w:szCs w:val="20"/>
          <w:lang w:val="en-US" w:eastAsia="es-MX"/>
        </w:rPr>
        <w:t>9 and 2</w:t>
      </w:r>
      <w:r w:rsidR="003F510E" w:rsidRPr="00EA6C7A">
        <w:rPr>
          <w:rFonts w:ascii="Verdana" w:eastAsia="Batang" w:hAnsi="Verdana"/>
          <w:sz w:val="20"/>
          <w:szCs w:val="20"/>
          <w:lang w:val="en-US" w:eastAsia="es-MX"/>
        </w:rPr>
        <w:t>8,</w:t>
      </w:r>
      <w:r w:rsidR="00CD09AF"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 xml:space="preserve">March </w:t>
      </w:r>
      <w:r w:rsidR="00CD09AF" w:rsidRPr="00EA6C7A">
        <w:rPr>
          <w:rFonts w:ascii="Verdana" w:eastAsia="Batang" w:hAnsi="Verdana"/>
          <w:sz w:val="20"/>
          <w:szCs w:val="20"/>
          <w:lang w:val="en-US" w:eastAsia="es-MX"/>
        </w:rPr>
        <w:t xml:space="preserve">28, </w:t>
      </w:r>
      <w:r w:rsidR="007B566E" w:rsidRPr="00EA6C7A">
        <w:rPr>
          <w:rFonts w:ascii="Verdana" w:hAnsi="Verdana"/>
          <w:sz w:val="20"/>
          <w:szCs w:val="20"/>
          <w:lang w:val="en-US"/>
        </w:rPr>
        <w:t>June</w:t>
      </w:r>
      <w:r w:rsidR="00CD09AF" w:rsidRPr="00EA6C7A">
        <w:rPr>
          <w:rFonts w:ascii="Verdana" w:hAnsi="Verdana"/>
          <w:sz w:val="20"/>
          <w:szCs w:val="20"/>
          <w:lang w:val="en-US"/>
        </w:rPr>
        <w:t xml:space="preserve"> </w:t>
      </w:r>
      <w:r w:rsidRPr="00EA6C7A">
        <w:rPr>
          <w:rFonts w:ascii="Verdana" w:eastAsia="Batang" w:hAnsi="Verdana"/>
          <w:sz w:val="20"/>
          <w:szCs w:val="20"/>
          <w:lang w:val="en-US" w:eastAsia="es-MX"/>
        </w:rPr>
        <w:t>6 and</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August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6,</w:t>
      </w:r>
      <w:r w:rsidR="00CD09AF" w:rsidRPr="00EA6C7A">
        <w:rPr>
          <w:rFonts w:ascii="Verdana" w:eastAsia="Batang" w:hAnsi="Verdana"/>
          <w:sz w:val="20"/>
          <w:szCs w:val="20"/>
          <w:lang w:val="en-US" w:eastAsia="es-MX"/>
        </w:rPr>
        <w:t xml:space="preserve"> 2006, </w:t>
      </w:r>
      <w:r w:rsidRPr="00EA6C7A">
        <w:rPr>
          <w:rFonts w:ascii="Verdana" w:eastAsia="Batang" w:hAnsi="Verdana"/>
          <w:sz w:val="20"/>
          <w:szCs w:val="20"/>
          <w:lang w:val="en-US" w:eastAsia="es-MX"/>
        </w:rPr>
        <w:t xml:space="preserve">March 31, April </w:t>
      </w:r>
      <w:r w:rsidR="00CD09AF" w:rsidRPr="00EA6C7A">
        <w:rPr>
          <w:rFonts w:ascii="Verdana" w:eastAsia="Batang" w:hAnsi="Verdana"/>
          <w:sz w:val="20"/>
          <w:szCs w:val="20"/>
          <w:lang w:val="en-US" w:eastAsia="es-MX"/>
        </w:rPr>
        <w:t>28</w:t>
      </w:r>
      <w:r w:rsidRPr="00EA6C7A">
        <w:rPr>
          <w:rFonts w:ascii="Verdana" w:eastAsia="Batang" w:hAnsi="Verdana"/>
          <w:sz w:val="20"/>
          <w:szCs w:val="20"/>
          <w:lang w:val="en-US" w:eastAsia="es-MX"/>
        </w:rPr>
        <w:t xml:space="preserve"> and </w:t>
      </w:r>
      <w:r w:rsidR="003F510E" w:rsidRPr="00EA6C7A">
        <w:rPr>
          <w:rFonts w:ascii="Verdana" w:eastAsia="Batang" w:hAnsi="Verdana"/>
          <w:sz w:val="20"/>
          <w:szCs w:val="20"/>
          <w:lang w:val="en-US" w:eastAsia="es-MX"/>
        </w:rPr>
        <w:t xml:space="preserve">November </w:t>
      </w:r>
      <w:r w:rsidRPr="00EA6C7A">
        <w:rPr>
          <w:rFonts w:ascii="Verdana" w:eastAsia="Batang" w:hAnsi="Verdana"/>
          <w:sz w:val="20"/>
          <w:szCs w:val="20"/>
          <w:lang w:val="en-US" w:eastAsia="es-MX"/>
        </w:rPr>
        <w:t>1</w:t>
      </w:r>
      <w:r w:rsidR="003F510E" w:rsidRPr="00EA6C7A">
        <w:rPr>
          <w:rFonts w:ascii="Verdana" w:eastAsia="Batang" w:hAnsi="Verdana"/>
          <w:sz w:val="20"/>
          <w:szCs w:val="20"/>
          <w:lang w:val="en-US" w:eastAsia="es-MX"/>
        </w:rPr>
        <w:t>8,</w:t>
      </w:r>
      <w:r w:rsidR="00CD09AF" w:rsidRPr="00EA6C7A">
        <w:rPr>
          <w:rFonts w:ascii="Verdana" w:eastAsia="Batang" w:hAnsi="Verdana"/>
          <w:sz w:val="20"/>
          <w:szCs w:val="20"/>
          <w:lang w:val="en-US" w:eastAsia="es-MX"/>
        </w:rPr>
        <w:t xml:space="preserve"> 2008, </w:t>
      </w:r>
      <w:r w:rsidR="007B566E" w:rsidRPr="00EA6C7A">
        <w:rPr>
          <w:rFonts w:ascii="Verdana" w:eastAsia="Batang" w:hAnsi="Verdana"/>
          <w:sz w:val="20"/>
          <w:szCs w:val="20"/>
          <w:lang w:val="en-US" w:eastAsia="es-MX"/>
        </w:rPr>
        <w:t>September</w:t>
      </w:r>
      <w:r w:rsidRPr="00EA6C7A">
        <w:rPr>
          <w:rFonts w:ascii="Verdana" w:eastAsia="Batang" w:hAnsi="Verdana"/>
          <w:sz w:val="20"/>
          <w:szCs w:val="20"/>
          <w:lang w:val="en-US" w:eastAsia="es-MX"/>
        </w:rPr>
        <w:t xml:space="preserve"> 15</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and October </w:t>
      </w:r>
      <w:r w:rsidR="00CD09AF" w:rsidRPr="00EA6C7A">
        <w:rPr>
          <w:rFonts w:ascii="Verdana" w:eastAsia="Batang" w:hAnsi="Verdana"/>
          <w:sz w:val="20"/>
          <w:szCs w:val="20"/>
          <w:lang w:val="en-US" w:eastAsia="es-MX"/>
        </w:rPr>
        <w:t xml:space="preserve">5, 6, 7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31</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2011,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November </w:t>
      </w:r>
      <w:r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8,</w:t>
      </w:r>
      <w:r w:rsidR="00CD09AF" w:rsidRPr="00EA6C7A">
        <w:rPr>
          <w:rFonts w:ascii="Verdana" w:eastAsia="Batang" w:hAnsi="Verdana"/>
          <w:sz w:val="20"/>
          <w:szCs w:val="20"/>
          <w:lang w:val="en-US" w:eastAsia="es-MX"/>
        </w:rPr>
        <w:t xml:space="preserve"> 2013</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asked various entities and institutions for information on different vehicles, taxi companies, and driving licenses.</w:t>
      </w:r>
      <w:r w:rsidR="00CD09AF" w:rsidRPr="00EA6C7A">
        <w:rPr>
          <w:rFonts w:ascii="Verdana" w:eastAsia="Batang" w:hAnsi="Verdana"/>
          <w:sz w:val="20"/>
          <w:szCs w:val="20"/>
          <w:vertAlign w:val="superscript"/>
          <w:lang w:val="en-US" w:eastAsia="es-MX"/>
        </w:rPr>
        <w:footnoteReference w:id="115"/>
      </w:r>
      <w:r w:rsidRPr="00EA6C7A">
        <w:rPr>
          <w:rFonts w:ascii="Verdana" w:eastAsia="Batang" w:hAnsi="Verdana"/>
          <w:sz w:val="20"/>
          <w:szCs w:val="20"/>
          <w:lang w:val="en-US" w:eastAsia="es-MX"/>
        </w:rPr>
        <w:t xml:space="preserve"> This information was provided and/or forwarded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October </w:t>
      </w:r>
      <w:r w:rsidRPr="00EA6C7A">
        <w:rPr>
          <w:rFonts w:ascii="Verdana" w:eastAsia="Batang" w:hAnsi="Verdana"/>
          <w:sz w:val="20"/>
          <w:szCs w:val="20"/>
          <w:lang w:val="en-US" w:eastAsia="es-MX"/>
        </w:rPr>
        <w:t xml:space="preserve">10 and </w:t>
      </w:r>
      <w:r w:rsidR="003F510E" w:rsidRPr="00EA6C7A">
        <w:rPr>
          <w:rFonts w:ascii="Verdana" w:eastAsia="Batang" w:hAnsi="Verdana"/>
          <w:sz w:val="20"/>
          <w:szCs w:val="20"/>
          <w:lang w:val="en-US" w:eastAsia="es-MX"/>
        </w:rPr>
        <w:t>14</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 November</w:t>
      </w:r>
      <w:r w:rsidR="00CD09AF" w:rsidRPr="00EA6C7A">
        <w:rPr>
          <w:rFonts w:ascii="Verdana" w:eastAsia="Batang" w:hAnsi="Verdana"/>
          <w:sz w:val="20"/>
          <w:szCs w:val="20"/>
          <w:lang w:val="en-US" w:eastAsia="es-MX"/>
        </w:rPr>
        <w:t xml:space="preserve"> 10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30</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2005, </w:t>
      </w:r>
      <w:r w:rsidRPr="00EA6C7A">
        <w:rPr>
          <w:rFonts w:ascii="Verdana" w:eastAsia="Batang" w:hAnsi="Verdana"/>
          <w:sz w:val="20"/>
          <w:szCs w:val="20"/>
          <w:lang w:val="en-US" w:eastAsia="es-MX"/>
        </w:rPr>
        <w:t xml:space="preserve">March </w:t>
      </w:r>
      <w:r w:rsidR="00CD09AF" w:rsidRPr="00EA6C7A">
        <w:rPr>
          <w:rFonts w:ascii="Verdana" w:eastAsia="Batang" w:hAnsi="Verdana"/>
          <w:sz w:val="20"/>
          <w:szCs w:val="20"/>
          <w:lang w:val="en-US" w:eastAsia="es-MX"/>
        </w:rPr>
        <w:t xml:space="preserve">28, </w:t>
      </w:r>
      <w:r w:rsidR="007B566E" w:rsidRPr="00EA6C7A">
        <w:rPr>
          <w:rFonts w:ascii="Verdana" w:eastAsia="Batang" w:hAnsi="Verdana"/>
          <w:sz w:val="20"/>
          <w:szCs w:val="20"/>
          <w:lang w:val="en-US" w:eastAsia="es-MX"/>
        </w:rPr>
        <w:t>June</w:t>
      </w:r>
      <w:r w:rsidRPr="00EA6C7A">
        <w:rPr>
          <w:rFonts w:ascii="Verdana" w:eastAsia="Batang" w:hAnsi="Verdana"/>
          <w:sz w:val="20"/>
          <w:szCs w:val="20"/>
          <w:lang w:val="en-US" w:eastAsia="es-MX"/>
        </w:rPr>
        <w:t xml:space="preserve"> 6 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July</w:t>
      </w:r>
      <w:r w:rsidR="00CD09AF" w:rsidRPr="00EA6C7A">
        <w:rPr>
          <w:rFonts w:ascii="Verdana" w:eastAsia="Batang" w:hAnsi="Verdana"/>
          <w:sz w:val="20"/>
          <w:szCs w:val="20"/>
          <w:lang w:val="en-US" w:eastAsia="es-MX"/>
        </w:rPr>
        <w:t xml:space="preserve"> </w:t>
      </w:r>
      <w:r w:rsidR="00CD09AF" w:rsidRPr="00EA6C7A">
        <w:rPr>
          <w:rFonts w:ascii="Verdana" w:hAnsi="Verdana"/>
          <w:sz w:val="20"/>
          <w:szCs w:val="20"/>
          <w:lang w:val="en-US"/>
        </w:rPr>
        <w:t>14</w:t>
      </w:r>
      <w:r w:rsidRPr="00EA6C7A">
        <w:rPr>
          <w:rFonts w:ascii="Verdana" w:hAnsi="Verdana"/>
          <w:sz w:val="20"/>
          <w:szCs w:val="20"/>
          <w:lang w:val="en-US"/>
        </w:rPr>
        <w:t xml:space="preserve">, </w:t>
      </w:r>
      <w:r w:rsidR="00CD09AF" w:rsidRPr="00EA6C7A">
        <w:rPr>
          <w:rFonts w:ascii="Verdana" w:hAnsi="Verdana"/>
          <w:sz w:val="20"/>
          <w:szCs w:val="20"/>
          <w:lang w:val="en-US"/>
        </w:rPr>
        <w:t xml:space="preserve">2006, </w:t>
      </w:r>
      <w:r w:rsidRPr="00EA6C7A">
        <w:rPr>
          <w:rFonts w:ascii="Verdana" w:eastAsia="Batang" w:hAnsi="Verdana"/>
          <w:sz w:val="20"/>
          <w:szCs w:val="20"/>
          <w:lang w:val="en-US" w:eastAsia="es-MX"/>
        </w:rPr>
        <w:t>April 15,</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19</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006054D8" w:rsidRPr="00EA6C7A">
        <w:rPr>
          <w:rFonts w:ascii="Verdana" w:eastAsia="Batang" w:hAnsi="Verdana"/>
          <w:sz w:val="20"/>
          <w:szCs w:val="20"/>
          <w:lang w:val="en-US" w:eastAsia="es-MX"/>
        </w:rPr>
        <w:t>May 20,</w:t>
      </w:r>
      <w:r w:rsidR="00CD09AF" w:rsidRPr="00EA6C7A">
        <w:rPr>
          <w:rFonts w:ascii="Verdana" w:eastAsia="Batang" w:hAnsi="Verdana"/>
          <w:sz w:val="20"/>
          <w:szCs w:val="20"/>
          <w:lang w:val="en-US" w:eastAsia="es-MX"/>
        </w:rPr>
        <w:t xml:space="preserve"> 2008, </w:t>
      </w:r>
      <w:r w:rsidRPr="00EA6C7A">
        <w:rPr>
          <w:rFonts w:ascii="Verdana" w:eastAsia="Batang" w:hAnsi="Verdana"/>
          <w:sz w:val="20"/>
          <w:szCs w:val="20"/>
          <w:lang w:val="en-US" w:eastAsia="es-MX"/>
        </w:rPr>
        <w:t xml:space="preserve">October </w:t>
      </w:r>
      <w:r w:rsidR="00CD09AF" w:rsidRPr="00EA6C7A">
        <w:rPr>
          <w:rFonts w:ascii="Verdana" w:eastAsia="Batang" w:hAnsi="Verdana"/>
          <w:sz w:val="20"/>
          <w:szCs w:val="20"/>
          <w:lang w:val="en-US" w:eastAsia="es-MX"/>
        </w:rPr>
        <w:t xml:space="preserve">5, 7, 10, 21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31</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2011, </w:t>
      </w:r>
      <w:r w:rsidRPr="00EA6C7A">
        <w:rPr>
          <w:rFonts w:ascii="Verdana" w:eastAsia="Batang" w:hAnsi="Verdana"/>
          <w:sz w:val="20"/>
          <w:szCs w:val="20"/>
          <w:lang w:val="en-US" w:eastAsia="es-MX"/>
        </w:rPr>
        <w:t>and March</w:t>
      </w:r>
      <w:r w:rsidR="00CD09AF" w:rsidRPr="00EA6C7A">
        <w:rPr>
          <w:rFonts w:ascii="Verdana" w:eastAsia="Batang" w:hAnsi="Verdana"/>
          <w:sz w:val="20"/>
          <w:szCs w:val="20"/>
          <w:lang w:val="en-US" w:eastAsia="es-MX"/>
        </w:rPr>
        <w:t xml:space="preserve"> 19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20, </w:t>
      </w:r>
      <w:r w:rsidRPr="00EA6C7A">
        <w:rPr>
          <w:rFonts w:ascii="Verdana" w:eastAsia="Batang" w:hAnsi="Verdana"/>
          <w:sz w:val="20"/>
          <w:szCs w:val="20"/>
          <w:lang w:val="en-US" w:eastAsia="es-MX"/>
        </w:rPr>
        <w:t>April 17, May</w:t>
      </w:r>
      <w:r w:rsidR="00CD09AF" w:rsidRPr="00EA6C7A">
        <w:rPr>
          <w:rFonts w:ascii="Verdana" w:eastAsia="Batang" w:hAnsi="Verdana"/>
          <w:sz w:val="20"/>
          <w:szCs w:val="20"/>
          <w:lang w:val="en-US" w:eastAsia="es-MX"/>
        </w:rPr>
        <w:t xml:space="preserve"> 10, </w:t>
      </w:r>
      <w:r w:rsidRPr="00EA6C7A">
        <w:rPr>
          <w:rFonts w:ascii="Verdana" w:eastAsia="Batang" w:hAnsi="Verdana"/>
          <w:sz w:val="20"/>
          <w:szCs w:val="20"/>
          <w:lang w:val="en-US" w:eastAsia="es-MX"/>
        </w:rPr>
        <w:t xml:space="preserve">October </w:t>
      </w:r>
      <w:r w:rsidR="00CD09AF" w:rsidRPr="00EA6C7A">
        <w:rPr>
          <w:rFonts w:ascii="Verdana" w:eastAsia="Batang" w:hAnsi="Verdana"/>
          <w:sz w:val="20"/>
          <w:szCs w:val="20"/>
          <w:lang w:val="en-US" w:eastAsia="es-MX"/>
        </w:rPr>
        <w:t xml:space="preserve">1, 29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30</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November 30,</w:t>
      </w:r>
      <w:r w:rsidR="00CD09AF" w:rsidRPr="00EA6C7A">
        <w:rPr>
          <w:rFonts w:ascii="Verdana" w:eastAsia="Batang" w:hAnsi="Verdana"/>
          <w:sz w:val="20"/>
          <w:szCs w:val="20"/>
          <w:lang w:val="en-US" w:eastAsia="es-MX"/>
        </w:rPr>
        <w:t xml:space="preserve"> 2013</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16"/>
      </w:r>
      <w:r w:rsidR="00CD09AF" w:rsidRPr="00EA6C7A">
        <w:rPr>
          <w:rFonts w:ascii="Verdana" w:eastAsia="Batang" w:hAnsi="Verdana"/>
          <w:sz w:val="20"/>
          <w:szCs w:val="20"/>
          <w:lang w:val="en-US" w:eastAsia="es-MX"/>
        </w:rPr>
        <w:t xml:space="preserve"> </w:t>
      </w:r>
    </w:p>
    <w:p w14:paraId="4860E0BD" w14:textId="77777777" w:rsidR="00CD09AF" w:rsidRPr="00EA6C7A" w:rsidRDefault="006763B5"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Precautionary detentions</w:t>
      </w:r>
      <w:r w:rsidR="00CD09AF" w:rsidRPr="00EA6C7A">
        <w:rPr>
          <w:rFonts w:ascii="Verdana" w:eastAsia="Batang" w:hAnsi="Verdana"/>
          <w:i/>
          <w:sz w:val="20"/>
          <w:szCs w:val="20"/>
          <w:lang w:val="en-US" w:eastAsia="es-MX"/>
        </w:rPr>
        <w:t xml:space="preserve"> </w:t>
      </w:r>
      <w:r w:rsidR="00BC543C" w:rsidRPr="00EA6C7A">
        <w:rPr>
          <w:rFonts w:ascii="Verdana" w:eastAsia="Batang" w:hAnsi="Verdana"/>
          <w:i/>
          <w:sz w:val="20"/>
          <w:szCs w:val="20"/>
          <w:lang w:val="en-US" w:eastAsia="es-MX"/>
        </w:rPr>
        <w:t>ordered</w:t>
      </w:r>
      <w:r w:rsidR="00CD09AF" w:rsidRPr="00EA6C7A">
        <w:rPr>
          <w:rFonts w:ascii="Verdana" w:eastAsia="Batang" w:hAnsi="Verdana"/>
          <w:i/>
          <w:sz w:val="20"/>
          <w:szCs w:val="20"/>
          <w:lang w:val="en-US" w:eastAsia="es-MX"/>
        </w:rPr>
        <w:t xml:space="preserve">. </w:t>
      </w:r>
      <w:r w:rsidR="00D948A1"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3,</w:t>
      </w:r>
      <w:r w:rsidR="00CD09AF" w:rsidRPr="00EA6C7A">
        <w:rPr>
          <w:rFonts w:ascii="Verdana" w:eastAsia="Batang" w:hAnsi="Verdana"/>
          <w:sz w:val="20"/>
          <w:szCs w:val="20"/>
          <w:lang w:val="en-US" w:eastAsia="es-MX"/>
        </w:rPr>
        <w:t xml:space="preserve"> 2005</w:t>
      </w:r>
      <w:r w:rsidR="00D948A1" w:rsidRPr="00EA6C7A">
        <w:rPr>
          <w:rFonts w:ascii="Verdana" w:eastAsia="Batang" w:hAnsi="Verdana"/>
          <w:sz w:val="20"/>
          <w:szCs w:val="20"/>
          <w:lang w:val="en-US" w:eastAsia="es-MX"/>
        </w:rPr>
        <w:t>, following the prosecutor</w:t>
      </w:r>
      <w:r w:rsidR="00E202C9" w:rsidRPr="00EA6C7A">
        <w:rPr>
          <w:rFonts w:ascii="Verdana" w:eastAsia="Batang" w:hAnsi="Verdana"/>
          <w:sz w:val="20"/>
          <w:szCs w:val="20"/>
          <w:lang w:val="en-US" w:eastAsia="es-MX"/>
        </w:rPr>
        <w:t>’s request</w:t>
      </w:r>
      <w:r w:rsidR="00D948A1"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17"/>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 xml:space="preserve">the judge of the case ordered the </w:t>
      </w:r>
      <w:r w:rsidRPr="00EA6C7A">
        <w:rPr>
          <w:rFonts w:ascii="Verdana" w:eastAsia="Batang" w:hAnsi="Verdana"/>
          <w:sz w:val="20"/>
          <w:szCs w:val="20"/>
          <w:lang w:val="en-US" w:eastAsia="es-MX"/>
        </w:rPr>
        <w:t>precautionary detention</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of two individuals linked to the</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criminal investigation</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August 10</w:t>
      </w:r>
      <w:r w:rsidR="00D948A1"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2006</w:t>
      </w:r>
      <w:r w:rsidR="00D948A1" w:rsidRPr="00EA6C7A">
        <w:rPr>
          <w:rFonts w:ascii="Verdana" w:eastAsia="Batang" w:hAnsi="Verdana"/>
          <w:sz w:val="20"/>
          <w:szCs w:val="20"/>
          <w:lang w:val="en-US" w:eastAsia="es-MX"/>
        </w:rPr>
        <w:t>, following a request by one of th</w:t>
      </w:r>
      <w:r w:rsidRPr="00EA6C7A">
        <w:rPr>
          <w:rFonts w:ascii="Verdana" w:eastAsia="Batang" w:hAnsi="Verdana"/>
          <w:sz w:val="20"/>
          <w:szCs w:val="20"/>
          <w:lang w:val="en-US" w:eastAsia="es-MX"/>
        </w:rPr>
        <w:t>os</w:t>
      </w:r>
      <w:r w:rsidR="00D948A1" w:rsidRPr="00EA6C7A">
        <w:rPr>
          <w:rFonts w:ascii="Verdana" w:eastAsia="Batang" w:hAnsi="Verdana"/>
          <w:sz w:val="20"/>
          <w:szCs w:val="20"/>
          <w:lang w:val="en-US" w:eastAsia="es-MX"/>
        </w:rPr>
        <w:t>e</w:t>
      </w:r>
      <w:r w:rsidR="00BC543C" w:rsidRPr="00EA6C7A">
        <w:rPr>
          <w:rFonts w:ascii="Verdana" w:eastAsia="Batang" w:hAnsi="Verdana"/>
          <w:sz w:val="20"/>
          <w:szCs w:val="20"/>
          <w:lang w:val="en-US" w:eastAsia="es-MX"/>
        </w:rPr>
        <w:t xml:space="preserve"> subject to </w:t>
      </w:r>
      <w:r w:rsidRPr="00EA6C7A">
        <w:rPr>
          <w:rFonts w:ascii="Verdana" w:eastAsia="Batang" w:hAnsi="Verdana"/>
          <w:sz w:val="20"/>
          <w:szCs w:val="20"/>
          <w:lang w:val="en-US" w:eastAsia="es-MX"/>
        </w:rPr>
        <w:t>precautionary detention</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the judge of the case</w:t>
      </w:r>
      <w:r w:rsidR="00CD09AF" w:rsidRPr="00EA6C7A">
        <w:rPr>
          <w:rFonts w:ascii="Verdana" w:eastAsia="Batang" w:hAnsi="Verdana"/>
          <w:sz w:val="20"/>
          <w:szCs w:val="20"/>
          <w:lang w:val="en-US" w:eastAsia="es-MX"/>
        </w:rPr>
        <w:t xml:space="preserve"> decre</w:t>
      </w:r>
      <w:r w:rsidR="00D948A1" w:rsidRPr="00EA6C7A">
        <w:rPr>
          <w:rFonts w:ascii="Verdana" w:eastAsia="Batang" w:hAnsi="Verdana"/>
          <w:sz w:val="20"/>
          <w:szCs w:val="20"/>
          <w:lang w:val="en-US" w:eastAsia="es-MX"/>
        </w:rPr>
        <w:t xml:space="preserve">ed that it be lifted in his case, because </w:t>
      </w:r>
      <w:r w:rsidR="00E202C9"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there [was</w:t>
      </w:r>
      <w:r w:rsidR="00E202C9" w:rsidRPr="00EA6C7A">
        <w:rPr>
          <w:rFonts w:ascii="Verdana" w:eastAsia="Batang" w:hAnsi="Verdana"/>
          <w:sz w:val="20"/>
          <w:szCs w:val="20"/>
          <w:lang w:val="en-US" w:eastAsia="es-MX"/>
        </w:rPr>
        <w:t xml:space="preserve"> no evidence that] he was linked to the proceedings” </w:t>
      </w:r>
      <w:r w:rsidR="00D948A1" w:rsidRPr="00EA6C7A">
        <w:rPr>
          <w:rFonts w:ascii="Verdana" w:eastAsia="Batang" w:hAnsi="Verdana"/>
          <w:sz w:val="20"/>
          <w:szCs w:val="20"/>
          <w:lang w:val="en-US" w:eastAsia="es-MX"/>
        </w:rPr>
        <w:t>and</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the investigation [was] not subject to time limits.</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18"/>
      </w:r>
      <w:r w:rsidR="00D948A1" w:rsidRPr="00EA6C7A">
        <w:rPr>
          <w:rFonts w:ascii="Verdana" w:eastAsia="Batang" w:hAnsi="Verdana"/>
          <w:sz w:val="20"/>
          <w:szCs w:val="20"/>
          <w:lang w:val="en-US" w:eastAsia="es-MX"/>
        </w:rPr>
        <w:t xml:space="preserve"> The file contains no information on the situation of the second person for whom </w:t>
      </w:r>
      <w:r w:rsidRPr="00EA6C7A">
        <w:rPr>
          <w:rFonts w:ascii="Verdana" w:eastAsia="Batang" w:hAnsi="Verdana"/>
          <w:sz w:val="20"/>
          <w:szCs w:val="20"/>
          <w:lang w:val="en-US" w:eastAsia="es-MX"/>
        </w:rPr>
        <w:t xml:space="preserve">precautionary detention </w:t>
      </w:r>
      <w:r w:rsidR="00D948A1" w:rsidRPr="00EA6C7A">
        <w:rPr>
          <w:rFonts w:ascii="Verdana" w:eastAsia="Batang" w:hAnsi="Verdana"/>
          <w:sz w:val="20"/>
          <w:szCs w:val="20"/>
          <w:lang w:val="en-US" w:eastAsia="es-MX"/>
        </w:rPr>
        <w:t>was ordered.</w:t>
      </w:r>
    </w:p>
    <w:p w14:paraId="479A9770" w14:textId="77777777" w:rsidR="00CD09AF" w:rsidRPr="00EA6C7A" w:rsidRDefault="00D948A1" w:rsidP="003B7AB8">
      <w:pPr>
        <w:numPr>
          <w:ilvl w:val="0"/>
          <w:numId w:val="3"/>
        </w:numPr>
        <w:tabs>
          <w:tab w:val="left" w:pos="720"/>
        </w:tabs>
        <w:spacing w:before="240"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Procedures related to the supposed telephone calls that </w:t>
      </w:r>
      <w:r w:rsidR="00E43A75" w:rsidRPr="00EA6C7A">
        <w:rPr>
          <w:rFonts w:ascii="Verdana" w:eastAsia="Batang" w:hAnsi="Verdana"/>
          <w:i/>
          <w:sz w:val="20"/>
          <w:szCs w:val="20"/>
          <w:lang w:val="en-US" w:eastAsia="es-MX"/>
        </w:rPr>
        <w:t>the presumed victim</w:t>
      </w:r>
      <w:r w:rsidR="00CD09AF" w:rsidRPr="00EA6C7A">
        <w:rPr>
          <w:rFonts w:ascii="Verdana" w:eastAsia="Batang" w:hAnsi="Verdana"/>
          <w:i/>
          <w:sz w:val="20"/>
          <w:szCs w:val="20"/>
          <w:lang w:val="en-US" w:eastAsia="es-MX"/>
        </w:rPr>
        <w:t xml:space="preserve"> </w:t>
      </w:r>
      <w:r w:rsidRPr="00EA6C7A">
        <w:rPr>
          <w:rFonts w:ascii="Verdana" w:eastAsia="Batang" w:hAnsi="Verdana"/>
          <w:i/>
          <w:sz w:val="20"/>
          <w:szCs w:val="20"/>
          <w:lang w:val="en-US" w:eastAsia="es-MX"/>
        </w:rPr>
        <w:t>made and received before her death</w:t>
      </w:r>
      <w:r w:rsidR="00E202C9" w:rsidRPr="00EA6C7A">
        <w:rPr>
          <w:rFonts w:ascii="Verdana" w:eastAsia="Batang" w:hAnsi="Verdana"/>
          <w:i/>
          <w:sz w:val="20"/>
          <w:szCs w:val="20"/>
          <w:lang w:val="en-US" w:eastAsia="es-MX"/>
        </w:rPr>
        <w:t>,</w:t>
      </w:r>
      <w:r w:rsidRPr="00EA6C7A">
        <w:rPr>
          <w:rFonts w:ascii="Verdana" w:eastAsia="Batang" w:hAnsi="Verdana"/>
          <w:i/>
          <w:sz w:val="20"/>
          <w:szCs w:val="20"/>
          <w:lang w:val="en-US" w:eastAsia="es-MX"/>
        </w:rPr>
        <w:t xml:space="preserve"> and use of telephones. </w:t>
      </w:r>
      <w:r w:rsidRPr="00EA6C7A">
        <w:rPr>
          <w:rFonts w:ascii="Verdana" w:eastAsia="Batang" w:hAnsi="Verdana"/>
          <w:sz w:val="20"/>
          <w:szCs w:val="20"/>
          <w:lang w:val="en-US" w:eastAsia="es-MX"/>
        </w:rPr>
        <w:t>Following authorization by</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judge of the case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hAnsi="Verdana"/>
          <w:sz w:val="20"/>
          <w:szCs w:val="20"/>
          <w:lang w:val="en-US"/>
        </w:rPr>
        <w:t xml:space="preserve"> </w:t>
      </w:r>
      <w:r w:rsidR="007B566E" w:rsidRPr="00EA6C7A">
        <w:rPr>
          <w:rFonts w:ascii="Verdana" w:hAnsi="Verdana"/>
          <w:sz w:val="20"/>
          <w:szCs w:val="20"/>
          <w:lang w:val="en-US"/>
        </w:rPr>
        <w:t>October</w:t>
      </w:r>
      <w:r w:rsidRPr="00EA6C7A">
        <w:rPr>
          <w:rFonts w:ascii="Verdana" w:hAnsi="Verdana"/>
          <w:sz w:val="20"/>
          <w:szCs w:val="20"/>
          <w:lang w:val="en-US"/>
        </w:rPr>
        <w:t xml:space="preserve"> 18 and 28 and</w:t>
      </w:r>
      <w:r w:rsidR="00CD09AF" w:rsidRPr="00EA6C7A">
        <w:rPr>
          <w:rFonts w:ascii="Verdana" w:hAnsi="Verdana"/>
          <w:sz w:val="20"/>
          <w:szCs w:val="20"/>
          <w:lang w:val="en-US"/>
        </w:rPr>
        <w:t xml:space="preserve"> </w:t>
      </w:r>
      <w:r w:rsidRPr="00EA6C7A">
        <w:rPr>
          <w:rFonts w:ascii="Verdana" w:hAnsi="Verdana"/>
          <w:sz w:val="20"/>
          <w:szCs w:val="20"/>
          <w:lang w:val="en-US"/>
        </w:rPr>
        <w:t>November 9,</w:t>
      </w:r>
      <w:r w:rsidR="00CD09AF" w:rsidRPr="00EA6C7A">
        <w:rPr>
          <w:rFonts w:ascii="Verdana" w:hAnsi="Verdana"/>
          <w:sz w:val="20"/>
          <w:szCs w:val="20"/>
          <w:lang w:val="en-US"/>
        </w:rPr>
        <w:t xml:space="preserve"> 2005; </w:t>
      </w:r>
      <w:r w:rsidRPr="00EA6C7A">
        <w:rPr>
          <w:rFonts w:ascii="Verdana" w:hAnsi="Verdana"/>
          <w:sz w:val="20"/>
          <w:szCs w:val="20"/>
          <w:lang w:val="en-US"/>
        </w:rPr>
        <w:t xml:space="preserve">July </w:t>
      </w:r>
      <w:r w:rsidR="00CD09AF" w:rsidRPr="00EA6C7A">
        <w:rPr>
          <w:rFonts w:ascii="Verdana" w:hAnsi="Verdana"/>
          <w:sz w:val="20"/>
          <w:szCs w:val="20"/>
          <w:lang w:val="en-US"/>
        </w:rPr>
        <w:t xml:space="preserve">24 </w:t>
      </w:r>
      <w:r w:rsidRPr="00EA6C7A">
        <w:rPr>
          <w:rFonts w:ascii="Verdana" w:hAnsi="Verdana"/>
          <w:sz w:val="20"/>
          <w:szCs w:val="20"/>
          <w:lang w:val="en-US"/>
        </w:rPr>
        <w:t>to</w:t>
      </w:r>
      <w:r w:rsidR="00CD09AF" w:rsidRPr="00EA6C7A">
        <w:rPr>
          <w:rFonts w:ascii="Verdana" w:hAnsi="Verdana"/>
          <w:sz w:val="20"/>
          <w:szCs w:val="20"/>
          <w:lang w:val="en-US"/>
        </w:rPr>
        <w:t xml:space="preserve"> 26, </w:t>
      </w:r>
      <w:r w:rsidR="007B566E" w:rsidRPr="00EA6C7A">
        <w:rPr>
          <w:rFonts w:ascii="Verdana" w:hAnsi="Verdana"/>
          <w:sz w:val="20"/>
          <w:szCs w:val="20"/>
          <w:lang w:val="en-US"/>
        </w:rPr>
        <w:t>August</w:t>
      </w:r>
      <w:r w:rsidRPr="00EA6C7A">
        <w:rPr>
          <w:rFonts w:ascii="Verdana" w:hAnsi="Verdana"/>
          <w:sz w:val="20"/>
          <w:szCs w:val="20"/>
          <w:lang w:val="en-US"/>
        </w:rPr>
        <w:t xml:space="preserve"> 7</w:t>
      </w:r>
      <w:r w:rsidR="00CD09AF" w:rsidRPr="00EA6C7A">
        <w:rPr>
          <w:rFonts w:ascii="Verdana" w:hAnsi="Verdana"/>
          <w:sz w:val="20"/>
          <w:szCs w:val="20"/>
          <w:lang w:val="en-US"/>
        </w:rPr>
        <w:t xml:space="preserve">, </w:t>
      </w:r>
      <w:r w:rsidR="007B566E" w:rsidRPr="00EA6C7A">
        <w:rPr>
          <w:rFonts w:ascii="Verdana" w:hAnsi="Verdana"/>
          <w:sz w:val="20"/>
          <w:szCs w:val="20"/>
          <w:lang w:val="en-US"/>
        </w:rPr>
        <w:t>October</w:t>
      </w:r>
      <w:r w:rsidR="00CD09AF" w:rsidRPr="00EA6C7A">
        <w:rPr>
          <w:rFonts w:ascii="Verdana" w:hAnsi="Verdana"/>
          <w:sz w:val="20"/>
          <w:szCs w:val="20"/>
          <w:lang w:val="en-US"/>
        </w:rPr>
        <w:t xml:space="preserve"> </w:t>
      </w:r>
      <w:r w:rsidRPr="00EA6C7A">
        <w:rPr>
          <w:rFonts w:ascii="Verdana" w:hAnsi="Verdana"/>
          <w:sz w:val="20"/>
          <w:szCs w:val="20"/>
          <w:lang w:val="en-US"/>
        </w:rPr>
        <w:t>31 and</w:t>
      </w:r>
      <w:r w:rsidR="00CD09AF" w:rsidRPr="00EA6C7A">
        <w:rPr>
          <w:rFonts w:ascii="Verdana" w:hAnsi="Verdana"/>
          <w:sz w:val="20"/>
          <w:szCs w:val="20"/>
          <w:lang w:val="en-US"/>
        </w:rPr>
        <w:t xml:space="preserve"> </w:t>
      </w:r>
      <w:r w:rsidRPr="00EA6C7A">
        <w:rPr>
          <w:rFonts w:ascii="Verdana" w:hAnsi="Verdana"/>
          <w:sz w:val="20"/>
          <w:szCs w:val="20"/>
          <w:lang w:val="en-US"/>
        </w:rPr>
        <w:t>November 15,</w:t>
      </w:r>
      <w:r w:rsidR="00CD09AF" w:rsidRPr="00EA6C7A">
        <w:rPr>
          <w:rFonts w:ascii="Verdana" w:hAnsi="Verdana"/>
          <w:sz w:val="20"/>
          <w:szCs w:val="20"/>
          <w:lang w:val="en-US"/>
        </w:rPr>
        <w:t xml:space="preserve"> 2006; </w:t>
      </w:r>
      <w:r w:rsidRPr="00EA6C7A">
        <w:rPr>
          <w:rFonts w:ascii="Verdana" w:hAnsi="Verdana"/>
          <w:sz w:val="20"/>
          <w:szCs w:val="20"/>
          <w:lang w:val="en-US"/>
        </w:rPr>
        <w:t xml:space="preserve">May </w:t>
      </w:r>
      <w:r w:rsidR="00CD09AF" w:rsidRPr="00EA6C7A">
        <w:rPr>
          <w:rFonts w:ascii="Verdana" w:hAnsi="Verdana"/>
          <w:sz w:val="20"/>
          <w:szCs w:val="20"/>
          <w:lang w:val="en-US"/>
        </w:rPr>
        <w:t xml:space="preserve">7 </w:t>
      </w:r>
      <w:r w:rsidRPr="00EA6C7A">
        <w:rPr>
          <w:rFonts w:ascii="Verdana" w:hAnsi="Verdana"/>
          <w:sz w:val="20"/>
          <w:szCs w:val="20"/>
          <w:lang w:val="en-US"/>
        </w:rPr>
        <w:t>and</w:t>
      </w:r>
      <w:r w:rsidR="00CD09AF" w:rsidRPr="00EA6C7A">
        <w:rPr>
          <w:rFonts w:ascii="Verdana" w:hAnsi="Verdana"/>
          <w:sz w:val="20"/>
          <w:szCs w:val="20"/>
          <w:lang w:val="en-US"/>
        </w:rPr>
        <w:t xml:space="preserve"> 30 </w:t>
      </w:r>
      <w:r w:rsidRPr="00EA6C7A">
        <w:rPr>
          <w:rFonts w:ascii="Verdana" w:hAnsi="Verdana"/>
          <w:sz w:val="20"/>
          <w:szCs w:val="20"/>
          <w:lang w:val="en-US"/>
        </w:rPr>
        <w:t>and July</w:t>
      </w:r>
      <w:r w:rsidR="00CD09AF" w:rsidRPr="00EA6C7A">
        <w:rPr>
          <w:rFonts w:ascii="Verdana" w:hAnsi="Verdana"/>
          <w:sz w:val="20"/>
          <w:szCs w:val="20"/>
          <w:lang w:val="en-US"/>
        </w:rPr>
        <w:t xml:space="preserve"> 5</w:t>
      </w:r>
      <w:r w:rsidRPr="00EA6C7A">
        <w:rPr>
          <w:rFonts w:ascii="Verdana" w:hAnsi="Verdana"/>
          <w:sz w:val="20"/>
          <w:szCs w:val="20"/>
          <w:lang w:val="en-US"/>
        </w:rPr>
        <w:t xml:space="preserve">, </w:t>
      </w:r>
      <w:r w:rsidR="00CD09AF" w:rsidRPr="00EA6C7A">
        <w:rPr>
          <w:rFonts w:ascii="Verdana" w:hAnsi="Verdana"/>
          <w:sz w:val="20"/>
          <w:szCs w:val="20"/>
          <w:lang w:val="en-US"/>
        </w:rPr>
        <w:t xml:space="preserve">2007; </w:t>
      </w:r>
      <w:r w:rsidRPr="00EA6C7A">
        <w:rPr>
          <w:rFonts w:ascii="Verdana" w:hAnsi="Verdana"/>
          <w:sz w:val="20"/>
          <w:szCs w:val="20"/>
          <w:lang w:val="en-US"/>
        </w:rPr>
        <w:t>March 31</w:t>
      </w:r>
      <w:r w:rsidR="00CD09AF" w:rsidRPr="00EA6C7A">
        <w:rPr>
          <w:rFonts w:ascii="Verdana" w:hAnsi="Verdana"/>
          <w:sz w:val="20"/>
          <w:szCs w:val="20"/>
          <w:lang w:val="en-US"/>
        </w:rPr>
        <w:t xml:space="preserve"> </w:t>
      </w:r>
      <w:r w:rsidRPr="00EA6C7A">
        <w:rPr>
          <w:rFonts w:ascii="Verdana" w:hAnsi="Verdana"/>
          <w:sz w:val="20"/>
          <w:szCs w:val="20"/>
          <w:lang w:val="en-US"/>
        </w:rPr>
        <w:t>and April</w:t>
      </w:r>
      <w:r w:rsidR="00CD09AF" w:rsidRPr="00EA6C7A">
        <w:rPr>
          <w:rFonts w:ascii="Verdana" w:hAnsi="Verdana"/>
          <w:sz w:val="20"/>
          <w:szCs w:val="20"/>
          <w:lang w:val="en-US"/>
        </w:rPr>
        <w:t xml:space="preserve"> 2</w:t>
      </w:r>
      <w:r w:rsidRPr="00EA6C7A">
        <w:rPr>
          <w:rFonts w:ascii="Verdana" w:hAnsi="Verdana"/>
          <w:sz w:val="20"/>
          <w:szCs w:val="20"/>
          <w:lang w:val="en-US"/>
        </w:rPr>
        <w:t xml:space="preserve">, </w:t>
      </w:r>
      <w:r w:rsidR="00CD09AF" w:rsidRPr="00EA6C7A">
        <w:rPr>
          <w:rFonts w:ascii="Verdana" w:hAnsi="Verdana"/>
          <w:sz w:val="20"/>
          <w:szCs w:val="20"/>
          <w:lang w:val="en-US"/>
        </w:rPr>
        <w:t xml:space="preserve">2008; </w:t>
      </w:r>
      <w:r w:rsidRPr="00EA6C7A">
        <w:rPr>
          <w:rFonts w:ascii="Verdana" w:hAnsi="Verdana"/>
          <w:sz w:val="20"/>
          <w:szCs w:val="20"/>
          <w:lang w:val="en-US"/>
        </w:rPr>
        <w:t xml:space="preserve">April </w:t>
      </w:r>
      <w:r w:rsidR="00CD09AF" w:rsidRPr="00EA6C7A">
        <w:rPr>
          <w:rFonts w:ascii="Verdana" w:hAnsi="Verdana"/>
          <w:sz w:val="20"/>
          <w:szCs w:val="20"/>
          <w:lang w:val="en-US"/>
        </w:rPr>
        <w:t>13</w:t>
      </w:r>
      <w:r w:rsidRPr="00EA6C7A">
        <w:rPr>
          <w:rFonts w:ascii="Verdana" w:hAnsi="Verdana"/>
          <w:sz w:val="20"/>
          <w:szCs w:val="20"/>
          <w:lang w:val="en-US"/>
        </w:rPr>
        <w:t>,</w:t>
      </w:r>
      <w:r w:rsidR="00CD09AF" w:rsidRPr="00EA6C7A">
        <w:rPr>
          <w:rFonts w:ascii="Verdana" w:hAnsi="Verdana"/>
          <w:sz w:val="20"/>
          <w:szCs w:val="20"/>
          <w:lang w:val="en-US"/>
        </w:rPr>
        <w:t xml:space="preserve"> </w:t>
      </w:r>
      <w:r w:rsidR="00CD09AF" w:rsidRPr="00EA6C7A">
        <w:rPr>
          <w:rFonts w:ascii="Verdana" w:hAnsi="Verdana"/>
          <w:sz w:val="20"/>
          <w:szCs w:val="20"/>
          <w:lang w:val="en-US"/>
        </w:rPr>
        <w:lastRenderedPageBreak/>
        <w:t xml:space="preserve">2009, </w:t>
      </w:r>
      <w:r w:rsidRPr="00EA6C7A">
        <w:rPr>
          <w:rFonts w:ascii="Verdana" w:hAnsi="Verdana"/>
          <w:sz w:val="20"/>
          <w:szCs w:val="20"/>
          <w:lang w:val="en-US"/>
        </w:rPr>
        <w:t>and</w:t>
      </w:r>
      <w:r w:rsidR="00CD09AF" w:rsidRPr="00EA6C7A">
        <w:rPr>
          <w:rFonts w:ascii="Verdana" w:hAnsi="Verdana"/>
          <w:sz w:val="20"/>
          <w:szCs w:val="20"/>
          <w:lang w:val="en-US"/>
        </w:rPr>
        <w:t xml:space="preserve"> </w:t>
      </w:r>
      <w:r w:rsidR="002414E4" w:rsidRPr="00EA6C7A">
        <w:rPr>
          <w:rFonts w:ascii="Verdana" w:hAnsi="Verdana"/>
          <w:sz w:val="20"/>
          <w:szCs w:val="20"/>
          <w:lang w:val="en-US"/>
        </w:rPr>
        <w:t xml:space="preserve">April </w:t>
      </w:r>
      <w:r w:rsidRPr="00EA6C7A">
        <w:rPr>
          <w:rFonts w:ascii="Verdana" w:hAnsi="Verdana"/>
          <w:sz w:val="20"/>
          <w:szCs w:val="20"/>
          <w:lang w:val="en-US"/>
        </w:rPr>
        <w:t>2</w:t>
      </w:r>
      <w:r w:rsidR="002414E4" w:rsidRPr="00EA6C7A">
        <w:rPr>
          <w:rFonts w:ascii="Verdana" w:hAnsi="Verdana"/>
          <w:sz w:val="20"/>
          <w:szCs w:val="20"/>
          <w:lang w:val="en-US"/>
        </w:rPr>
        <w:t>6,</w:t>
      </w:r>
      <w:r w:rsidR="00CD09AF" w:rsidRPr="00EA6C7A">
        <w:rPr>
          <w:rFonts w:ascii="Verdana" w:hAnsi="Verdana"/>
          <w:sz w:val="20"/>
          <w:szCs w:val="20"/>
          <w:lang w:val="en-US"/>
        </w:rPr>
        <w:t xml:space="preserve"> 2012</w:t>
      </w:r>
      <w:r w:rsidRPr="00EA6C7A">
        <w:rPr>
          <w:rFonts w:ascii="Verdana" w:hAnsi="Verdana"/>
          <w:sz w:val="20"/>
          <w:szCs w:val="20"/>
          <w:lang w:val="en-US"/>
        </w:rPr>
        <w:t>,</w:t>
      </w:r>
      <w:r w:rsidR="00CD09AF" w:rsidRPr="00EA6C7A">
        <w:rPr>
          <w:rFonts w:ascii="Verdana" w:hAnsi="Verdana"/>
          <w:sz w:val="20"/>
          <w:szCs w:val="20"/>
          <w:vertAlign w:val="superscript"/>
          <w:lang w:val="en-US"/>
        </w:rPr>
        <w:footnoteReference w:id="119"/>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req</w:t>
      </w:r>
      <w:r w:rsidRPr="00EA6C7A">
        <w:rPr>
          <w:rFonts w:ascii="Verdana" w:eastAsia="Batang" w:hAnsi="Verdana"/>
          <w:sz w:val="20"/>
          <w:szCs w:val="20"/>
          <w:lang w:val="en-US" w:eastAsia="es-MX"/>
        </w:rPr>
        <w:t xml:space="preserve">uested several national telephone companies, banks and universities to provide detailed information on different telephone numbers, user names, list of calls made and received, and other data. Only some of these requests were answered on </w:t>
      </w:r>
      <w:r w:rsidR="003F510E" w:rsidRPr="00EA6C7A">
        <w:rPr>
          <w:rFonts w:ascii="Verdana" w:eastAsia="Batang" w:hAnsi="Verdana"/>
          <w:sz w:val="20"/>
          <w:szCs w:val="20"/>
          <w:lang w:val="en-US" w:eastAsia="es-MX"/>
        </w:rPr>
        <w:t>October</w:t>
      </w:r>
      <w:r w:rsidRPr="00EA6C7A">
        <w:rPr>
          <w:rFonts w:ascii="Verdana" w:eastAsia="Batang" w:hAnsi="Verdana"/>
          <w:sz w:val="20"/>
          <w:szCs w:val="20"/>
          <w:lang w:val="en-US" w:eastAsia="es-MX"/>
        </w:rPr>
        <w:t xml:space="preserve"> 17, 19, 25 and</w:t>
      </w:r>
      <w:r w:rsidR="003F510E"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7,</w:t>
      </w:r>
      <w:r w:rsidRPr="00EA6C7A">
        <w:rPr>
          <w:rFonts w:ascii="Verdana" w:eastAsia="Batang" w:hAnsi="Verdana"/>
          <w:sz w:val="20"/>
          <w:szCs w:val="20"/>
          <w:lang w:val="en-US" w:eastAsia="es-MX"/>
        </w:rPr>
        <w:t xml:space="preserve">and </w:t>
      </w:r>
      <w:r w:rsidR="003F510E" w:rsidRPr="00EA6C7A">
        <w:rPr>
          <w:rFonts w:ascii="Verdana" w:eastAsia="Batang" w:hAnsi="Verdana"/>
          <w:sz w:val="20"/>
          <w:szCs w:val="20"/>
          <w:lang w:val="en-US" w:eastAsia="es-MX"/>
        </w:rPr>
        <w:t xml:space="preserve">November </w:t>
      </w:r>
      <w:r w:rsidRPr="00EA6C7A">
        <w:rPr>
          <w:rFonts w:ascii="Verdana" w:eastAsia="Batang" w:hAnsi="Verdana"/>
          <w:sz w:val="20"/>
          <w:szCs w:val="20"/>
          <w:lang w:val="en-US" w:eastAsia="es-MX"/>
        </w:rPr>
        <w:t>2, 14 and 2</w:t>
      </w:r>
      <w:r w:rsidR="003F510E" w:rsidRPr="00EA6C7A">
        <w:rPr>
          <w:rFonts w:ascii="Verdana" w:eastAsia="Batang" w:hAnsi="Verdana"/>
          <w:sz w:val="20"/>
          <w:szCs w:val="20"/>
          <w:lang w:val="en-US" w:eastAsia="es-MX"/>
        </w:rPr>
        <w:t>4,</w:t>
      </w:r>
      <w:r w:rsidR="00CD09AF"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 xml:space="preserve">July </w:t>
      </w:r>
      <w:r w:rsidR="00CD09AF" w:rsidRPr="00EA6C7A">
        <w:rPr>
          <w:rFonts w:ascii="Verdana" w:eastAsia="Batang" w:hAnsi="Verdana"/>
          <w:sz w:val="20"/>
          <w:szCs w:val="20"/>
          <w:lang w:val="en-US" w:eastAsia="es-MX"/>
        </w:rPr>
        <w:t>27, 28</w:t>
      </w:r>
      <w:r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31</w:t>
      </w:r>
      <w:r w:rsidRPr="00EA6C7A">
        <w:rPr>
          <w:rFonts w:ascii="Verdana" w:eastAsia="Batang" w:hAnsi="Verdana"/>
          <w:sz w:val="20"/>
          <w:szCs w:val="20"/>
          <w:lang w:val="en-US" w:eastAsia="es-MX"/>
        </w:rPr>
        <w:t xml:space="preserve">, August </w:t>
      </w:r>
      <w:r w:rsidR="00CD09AF" w:rsidRPr="00EA6C7A">
        <w:rPr>
          <w:rFonts w:ascii="Verdana" w:eastAsia="Batang" w:hAnsi="Verdana"/>
          <w:sz w:val="20"/>
          <w:szCs w:val="20"/>
          <w:lang w:val="en-US" w:eastAsia="es-MX"/>
        </w:rPr>
        <w:t>2, 3, 9, 10, 11,</w:t>
      </w:r>
      <w:r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18,</w:t>
      </w:r>
      <w:r w:rsidRPr="00EA6C7A">
        <w:rPr>
          <w:rFonts w:ascii="Verdana" w:eastAsia="Batang" w:hAnsi="Verdana"/>
          <w:sz w:val="20"/>
          <w:szCs w:val="20"/>
          <w:lang w:val="en-US" w:eastAsia="es-MX"/>
        </w:rPr>
        <w:t xml:space="preserve"> October</w:t>
      </w:r>
      <w:r w:rsidR="00CD09AF" w:rsidRPr="00EA6C7A">
        <w:rPr>
          <w:rFonts w:ascii="Verdana" w:eastAsia="Batang" w:hAnsi="Verdana"/>
          <w:sz w:val="20"/>
          <w:szCs w:val="20"/>
          <w:lang w:val="en-US" w:eastAsia="es-MX"/>
        </w:rPr>
        <w:t xml:space="preserve"> 4, </w:t>
      </w:r>
      <w:r w:rsidRPr="00EA6C7A">
        <w:rPr>
          <w:rFonts w:ascii="Verdana" w:eastAsia="Batang" w:hAnsi="Verdana"/>
          <w:sz w:val="20"/>
          <w:szCs w:val="20"/>
          <w:lang w:val="en-US" w:eastAsia="es-MX"/>
        </w:rPr>
        <w:t>and N</w:t>
      </w:r>
      <w:r w:rsidR="007B566E" w:rsidRPr="00EA6C7A">
        <w:rPr>
          <w:rFonts w:ascii="Verdana" w:eastAsia="Batang" w:hAnsi="Verdana"/>
          <w:sz w:val="20"/>
          <w:szCs w:val="20"/>
          <w:lang w:val="en-US" w:eastAsia="es-MX"/>
        </w:rPr>
        <w:t xml:space="preserve">ovember </w:t>
      </w:r>
      <w:r w:rsidRPr="00EA6C7A">
        <w:rPr>
          <w:rFonts w:ascii="Verdana" w:eastAsia="Batang" w:hAnsi="Verdana"/>
          <w:sz w:val="20"/>
          <w:szCs w:val="20"/>
          <w:lang w:val="en-US" w:eastAsia="es-MX"/>
        </w:rPr>
        <w:t>17</w:t>
      </w:r>
      <w:r w:rsidR="007B566E"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2006; </w:t>
      </w:r>
      <w:r w:rsidRPr="00EA6C7A">
        <w:rPr>
          <w:rFonts w:ascii="Verdana" w:eastAsia="Batang" w:hAnsi="Verdana"/>
          <w:sz w:val="20"/>
          <w:szCs w:val="20"/>
          <w:lang w:val="en-US" w:eastAsia="es-MX"/>
        </w:rPr>
        <w:t xml:space="preserve">May </w:t>
      </w:r>
      <w:r w:rsidR="00CD09AF" w:rsidRPr="00EA6C7A">
        <w:rPr>
          <w:rFonts w:ascii="Verdana" w:eastAsia="Batang" w:hAnsi="Verdana"/>
          <w:sz w:val="20"/>
          <w:szCs w:val="20"/>
          <w:lang w:val="en-US" w:eastAsia="es-MX"/>
        </w:rPr>
        <w:t>22</w:t>
      </w:r>
      <w:r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30,</w:t>
      </w:r>
      <w:r w:rsidRPr="00EA6C7A">
        <w:rPr>
          <w:rFonts w:ascii="Verdana" w:eastAsia="Batang" w:hAnsi="Verdana"/>
          <w:sz w:val="20"/>
          <w:szCs w:val="20"/>
          <w:lang w:val="en-US" w:eastAsia="es-MX"/>
        </w:rPr>
        <w:t xml:space="preserve"> and July </w:t>
      </w:r>
      <w:r w:rsidR="00CD09AF" w:rsidRPr="00EA6C7A">
        <w:rPr>
          <w:rFonts w:ascii="Verdana" w:eastAsia="Batang" w:hAnsi="Verdana"/>
          <w:sz w:val="20"/>
          <w:szCs w:val="20"/>
          <w:lang w:val="en-US" w:eastAsia="es-MX"/>
        </w:rPr>
        <w:t>5</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 xml:space="preserve">2007; </w:t>
      </w:r>
      <w:r w:rsidRPr="00EA6C7A">
        <w:rPr>
          <w:rFonts w:ascii="Verdana" w:eastAsia="Batang" w:hAnsi="Verdana"/>
          <w:sz w:val="20"/>
          <w:szCs w:val="20"/>
          <w:lang w:val="en-US" w:eastAsia="es-MX"/>
        </w:rPr>
        <w:t>April 2,</w:t>
      </w:r>
      <w:r w:rsidR="00CD09AF" w:rsidRPr="00EA6C7A">
        <w:rPr>
          <w:rFonts w:ascii="Verdana" w:eastAsia="Batang" w:hAnsi="Verdana"/>
          <w:sz w:val="20"/>
          <w:szCs w:val="20"/>
          <w:lang w:val="en-US" w:eastAsia="es-MX"/>
        </w:rPr>
        <w:t xml:space="preserve"> 2008; </w:t>
      </w:r>
      <w:r w:rsidRPr="00EA6C7A">
        <w:rPr>
          <w:rFonts w:ascii="Verdana" w:eastAsia="Batang" w:hAnsi="Verdana"/>
          <w:sz w:val="20"/>
          <w:szCs w:val="20"/>
          <w:lang w:val="en-US" w:eastAsia="es-MX"/>
        </w:rPr>
        <w:t xml:space="preserve">April </w:t>
      </w:r>
      <w:r w:rsidR="00CD09AF" w:rsidRPr="00EA6C7A">
        <w:rPr>
          <w:rFonts w:ascii="Verdana" w:eastAsia="Batang" w:hAnsi="Verdana"/>
          <w:sz w:val="20"/>
          <w:szCs w:val="20"/>
          <w:lang w:val="en-US" w:eastAsia="es-MX"/>
        </w:rPr>
        <w:t xml:space="preserve">13, 20 </w:t>
      </w:r>
      <w:r w:rsidRPr="00EA6C7A">
        <w:rPr>
          <w:rFonts w:ascii="Verdana" w:eastAsia="Batang" w:hAnsi="Verdana"/>
          <w:sz w:val="20"/>
          <w:szCs w:val="20"/>
          <w:lang w:val="en-US" w:eastAsia="es-MX"/>
        </w:rPr>
        <w:t>to</w:t>
      </w:r>
      <w:r w:rsidR="00CD09AF" w:rsidRPr="00EA6C7A">
        <w:rPr>
          <w:rFonts w:ascii="Verdana" w:eastAsia="Batang" w:hAnsi="Verdana"/>
          <w:sz w:val="20"/>
          <w:szCs w:val="20"/>
          <w:lang w:val="en-US" w:eastAsia="es-MX"/>
        </w:rPr>
        <w:t xml:space="preserve"> 24,</w:t>
      </w:r>
      <w:r w:rsidRPr="00EA6C7A">
        <w:rPr>
          <w:rFonts w:ascii="Verdana" w:eastAsia="Batang" w:hAnsi="Verdana"/>
          <w:sz w:val="20"/>
          <w:szCs w:val="20"/>
          <w:lang w:val="en-US" w:eastAsia="es-MX"/>
        </w:rPr>
        <w:t xml:space="preserve"> May</w:t>
      </w:r>
      <w:r w:rsidR="00CD09AF" w:rsidRPr="00EA6C7A">
        <w:rPr>
          <w:rFonts w:ascii="Verdana" w:eastAsia="Batang" w:hAnsi="Verdana"/>
          <w:sz w:val="20"/>
          <w:szCs w:val="20"/>
          <w:lang w:val="en-US" w:eastAsia="es-MX"/>
        </w:rPr>
        <w:t xml:space="preserve"> 4, 5, 11, 13</w:t>
      </w:r>
      <w:r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14,</w:t>
      </w:r>
      <w:r w:rsidRPr="00EA6C7A">
        <w:rPr>
          <w:rFonts w:ascii="Verdana" w:eastAsia="Batang" w:hAnsi="Verdana"/>
          <w:sz w:val="20"/>
          <w:szCs w:val="20"/>
          <w:lang w:val="en-US" w:eastAsia="es-MX"/>
        </w:rPr>
        <w:t xml:space="preserve"> and June </w:t>
      </w:r>
      <w:r w:rsidR="00CD09AF" w:rsidRPr="00EA6C7A">
        <w:rPr>
          <w:rFonts w:ascii="Verdana" w:eastAsia="Batang" w:hAnsi="Verdana"/>
          <w:sz w:val="20"/>
          <w:szCs w:val="20"/>
          <w:lang w:val="en-US" w:eastAsia="es-MX"/>
        </w:rPr>
        <w:t>5</w:t>
      </w:r>
      <w:r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10</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2009,</w:t>
      </w:r>
      <w:r w:rsidRPr="00EA6C7A">
        <w:rPr>
          <w:rFonts w:ascii="Verdana" w:eastAsia="Batang" w:hAnsi="Verdana"/>
          <w:sz w:val="20"/>
          <w:szCs w:val="20"/>
          <w:lang w:val="en-US" w:eastAsia="es-MX"/>
        </w:rPr>
        <w:t xml:space="preserve"> and January </w:t>
      </w:r>
      <w:r w:rsidR="00CD09AF" w:rsidRPr="00EA6C7A">
        <w:rPr>
          <w:rFonts w:ascii="Verdana" w:eastAsia="Batang" w:hAnsi="Verdana"/>
          <w:sz w:val="20"/>
          <w:szCs w:val="20"/>
          <w:lang w:val="en-US" w:eastAsia="es-MX"/>
        </w:rPr>
        <w:t>26,</w:t>
      </w:r>
      <w:r w:rsidRPr="00EA6C7A">
        <w:rPr>
          <w:rFonts w:ascii="Verdana" w:eastAsia="Batang" w:hAnsi="Verdana"/>
          <w:sz w:val="20"/>
          <w:szCs w:val="20"/>
          <w:lang w:val="en-US" w:eastAsia="es-MX"/>
        </w:rPr>
        <w:t xml:space="preserve"> February</w:t>
      </w:r>
      <w:r w:rsidR="00CD09AF" w:rsidRPr="00EA6C7A">
        <w:rPr>
          <w:rFonts w:ascii="Verdana" w:eastAsia="Batang" w:hAnsi="Verdana"/>
          <w:sz w:val="20"/>
          <w:szCs w:val="20"/>
          <w:lang w:val="en-US" w:eastAsia="es-MX"/>
        </w:rPr>
        <w:t xml:space="preserve"> 8,</w:t>
      </w:r>
      <w:r w:rsidRPr="00EA6C7A">
        <w:rPr>
          <w:rFonts w:ascii="Verdana" w:eastAsia="Batang" w:hAnsi="Verdana"/>
          <w:sz w:val="20"/>
          <w:szCs w:val="20"/>
          <w:lang w:val="en-US" w:eastAsia="es-MX"/>
        </w:rPr>
        <w:t xml:space="preserve"> and March </w:t>
      </w:r>
      <w:r w:rsidR="00CD09AF" w:rsidRPr="00EA6C7A">
        <w:rPr>
          <w:rFonts w:ascii="Verdana" w:eastAsia="Batang" w:hAnsi="Verdana"/>
          <w:sz w:val="20"/>
          <w:szCs w:val="20"/>
          <w:lang w:val="en-US" w:eastAsia="es-MX"/>
        </w:rPr>
        <w:t>5, 6</w:t>
      </w:r>
      <w:r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13</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2012</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20"/>
      </w:r>
      <w:r w:rsidRPr="00EA6C7A">
        <w:rPr>
          <w:rFonts w:ascii="Verdana" w:eastAsia="Batang" w:hAnsi="Verdana"/>
          <w:sz w:val="20"/>
          <w:szCs w:val="20"/>
          <w:lang w:val="en-US" w:eastAsia="es-MX"/>
        </w:rPr>
        <w:t xml:space="preserve"> advising that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i) </w:t>
      </w:r>
      <w:r w:rsidRPr="00EA6C7A">
        <w:rPr>
          <w:rFonts w:ascii="Verdana" w:eastAsia="Batang" w:hAnsi="Verdana"/>
          <w:sz w:val="20"/>
          <w:szCs w:val="20"/>
          <w:lang w:val="en-US" w:eastAsia="es-MX"/>
        </w:rPr>
        <w:t>their systems did not store text messages; (ii) they had no record of calls made on August 12 and 13, 2005, because</w:t>
      </w:r>
      <w:r w:rsidR="00E202C9" w:rsidRPr="00EA6C7A">
        <w:rPr>
          <w:rFonts w:ascii="Verdana" w:eastAsia="Batang" w:hAnsi="Verdana"/>
          <w:sz w:val="20"/>
          <w:szCs w:val="20"/>
          <w:lang w:val="en-US" w:eastAsia="es-MX"/>
        </w:rPr>
        <w:t>, usually,</w:t>
      </w:r>
      <w:r w:rsidRPr="00EA6C7A">
        <w:rPr>
          <w:rFonts w:ascii="Verdana" w:eastAsia="Batang" w:hAnsi="Verdana"/>
          <w:sz w:val="20"/>
          <w:szCs w:val="20"/>
          <w:lang w:val="en-US" w:eastAsia="es-MX"/>
        </w:rPr>
        <w:t xml:space="preserve"> they </w:t>
      </w:r>
      <w:r w:rsidR="00E202C9" w:rsidRPr="00EA6C7A">
        <w:rPr>
          <w:rFonts w:ascii="Verdana" w:eastAsia="Batang" w:hAnsi="Verdana"/>
          <w:sz w:val="20"/>
          <w:szCs w:val="20"/>
          <w:lang w:val="en-US" w:eastAsia="es-MX"/>
        </w:rPr>
        <w:t>only kept</w:t>
      </w:r>
      <w:r w:rsidRPr="00EA6C7A">
        <w:rPr>
          <w:rFonts w:ascii="Verdana" w:eastAsia="Batang" w:hAnsi="Verdana"/>
          <w:sz w:val="20"/>
          <w:szCs w:val="20"/>
          <w:lang w:val="en-US" w:eastAsia="es-MX"/>
        </w:rPr>
        <w:t xml:space="preserve"> information for the last three months; (iii) some of the telephone numbers did not correspond to numbers assigned by the Telecommunications Superintendence, and (iv) some numbers corresponded to the pre-paid service and, therefore, the company had no record of th</w:t>
      </w:r>
      <w:r w:rsidR="008C4FF3" w:rsidRPr="00EA6C7A">
        <w:rPr>
          <w:rFonts w:ascii="Verdana" w:eastAsia="Batang" w:hAnsi="Verdana"/>
          <w:sz w:val="20"/>
          <w:szCs w:val="20"/>
          <w:lang w:val="en-US" w:eastAsia="es-MX"/>
        </w:rPr>
        <w:t>e</w:t>
      </w:r>
      <w:r w:rsidR="004C1E19" w:rsidRPr="00EA6C7A">
        <w:rPr>
          <w:rFonts w:ascii="Verdana" w:eastAsia="Batang" w:hAnsi="Verdana"/>
          <w:sz w:val="20"/>
          <w:szCs w:val="20"/>
          <w:lang w:val="en-US" w:eastAsia="es-MX"/>
        </w:rPr>
        <w:t xml:space="preserve"> personal</w:t>
      </w:r>
      <w:r w:rsidRPr="00EA6C7A">
        <w:rPr>
          <w:rFonts w:ascii="Verdana" w:eastAsia="Batang" w:hAnsi="Verdana"/>
          <w:sz w:val="20"/>
          <w:szCs w:val="20"/>
          <w:lang w:val="en-US" w:eastAsia="es-MX"/>
        </w:rPr>
        <w:t xml:space="preserve"> data of the user or owner of the telephone line. Finally, on </w:t>
      </w:r>
      <w:r w:rsidR="003F510E" w:rsidRPr="00EA6C7A">
        <w:rPr>
          <w:rFonts w:ascii="Verdana" w:eastAsia="Batang" w:hAnsi="Verdana"/>
          <w:sz w:val="20"/>
          <w:szCs w:val="20"/>
          <w:lang w:val="en-US" w:eastAsia="es-MX"/>
        </w:rPr>
        <w:t>October 27,</w:t>
      </w:r>
      <w:r w:rsidR="00CD09AF" w:rsidRPr="00EA6C7A">
        <w:rPr>
          <w:rFonts w:ascii="Verdana" w:eastAsia="Batang" w:hAnsi="Verdana"/>
          <w:sz w:val="20"/>
          <w:szCs w:val="20"/>
          <w:lang w:val="en-US" w:eastAsia="es-MX"/>
        </w:rPr>
        <w:t xml:space="preserve"> 2010</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asked the </w:t>
      </w:r>
      <w:r w:rsidR="002669E6" w:rsidRPr="00EA6C7A">
        <w:rPr>
          <w:rFonts w:ascii="Verdana" w:eastAsia="Batang" w:hAnsi="Verdana"/>
          <w:sz w:val="20"/>
          <w:szCs w:val="20"/>
          <w:lang w:val="en-US" w:eastAsia="es-MX"/>
        </w:rPr>
        <w:t xml:space="preserve">Head of the Analysis Department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002669E6" w:rsidRPr="00EA6C7A">
        <w:rPr>
          <w:rFonts w:ascii="Verdana" w:eastAsia="Batang" w:hAnsi="Verdana"/>
          <w:sz w:val="20"/>
          <w:szCs w:val="20"/>
          <w:lang w:val="en-US" w:eastAsia="es-MX"/>
        </w:rPr>
        <w:t xml:space="preserve">to make a thorough analysis of the calls made and received between August 10 and 15, </w:t>
      </w:r>
      <w:r w:rsidR="00CD09AF" w:rsidRPr="00EA6C7A">
        <w:rPr>
          <w:rFonts w:ascii="Verdana" w:eastAsia="Batang" w:hAnsi="Verdana"/>
          <w:sz w:val="20"/>
          <w:szCs w:val="20"/>
          <w:lang w:val="en-US" w:eastAsia="es-MX"/>
        </w:rPr>
        <w:t>2005</w:t>
      </w:r>
      <w:r w:rsidR="002669E6"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2669E6" w:rsidRPr="00EA6C7A">
        <w:rPr>
          <w:rFonts w:ascii="Verdana" w:eastAsia="Batang" w:hAnsi="Verdana"/>
          <w:sz w:val="20"/>
          <w:szCs w:val="20"/>
          <w:lang w:val="en-US" w:eastAsia="es-MX"/>
        </w:rPr>
        <w:t>by various telephones.</w:t>
      </w:r>
      <w:r w:rsidR="00CD09AF" w:rsidRPr="00EA6C7A">
        <w:rPr>
          <w:rFonts w:ascii="Verdana" w:eastAsia="Batang" w:hAnsi="Verdana"/>
          <w:sz w:val="20"/>
          <w:szCs w:val="20"/>
          <w:vertAlign w:val="superscript"/>
          <w:lang w:val="en-US" w:eastAsia="es-MX"/>
        </w:rPr>
        <w:footnoteReference w:id="121"/>
      </w:r>
    </w:p>
    <w:p w14:paraId="10B0894B" w14:textId="77777777" w:rsidR="00CD09AF" w:rsidRPr="00EA6C7A" w:rsidRDefault="002669E6"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Activity of </w:t>
      </w:r>
      <w:r w:rsidR="00CD09AF" w:rsidRPr="00EA6C7A">
        <w:rPr>
          <w:rFonts w:ascii="Verdana" w:eastAsia="Batang" w:hAnsi="Verdana"/>
          <w:i/>
          <w:sz w:val="20"/>
          <w:szCs w:val="20"/>
          <w:lang w:val="en-US" w:eastAsia="es-MX"/>
        </w:rPr>
        <w:t xml:space="preserve">Jorge Rolando Velásquez Durán </w:t>
      </w:r>
      <w:r w:rsidRPr="00EA6C7A">
        <w:rPr>
          <w:rFonts w:ascii="Verdana" w:eastAsia="Batang" w:hAnsi="Verdana"/>
          <w:i/>
          <w:sz w:val="20"/>
          <w:szCs w:val="20"/>
          <w:lang w:val="en-US" w:eastAsia="es-MX"/>
        </w:rPr>
        <w:t>as joint complainant</w:t>
      </w:r>
      <w:r w:rsidR="00CD09AF" w:rsidRPr="00EA6C7A">
        <w:rPr>
          <w:rFonts w:ascii="Verdana" w:eastAsia="Batang" w:hAnsi="Verdana"/>
          <w:i/>
          <w:sz w:val="20"/>
          <w:szCs w:val="20"/>
          <w:lang w:val="en-US" w:eastAsia="es-MX"/>
        </w:rPr>
        <w:t xml:space="preserve">. </w:t>
      </w:r>
      <w:r w:rsidR="00800D2B"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November 15,</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Jorge Rolando Velásquez Durán </w:t>
      </w:r>
      <w:r w:rsidRPr="00EA6C7A">
        <w:rPr>
          <w:rFonts w:ascii="Verdana" w:eastAsia="Batang" w:hAnsi="Verdana"/>
          <w:sz w:val="20"/>
          <w:szCs w:val="20"/>
          <w:lang w:val="en-US" w:eastAsia="es-MX"/>
        </w:rPr>
        <w:t>asked</w:t>
      </w:r>
      <w:r w:rsidR="00800D2B" w:rsidRPr="00EA6C7A">
        <w:rPr>
          <w:rFonts w:ascii="Verdana" w:eastAsia="Batang" w:hAnsi="Verdana"/>
          <w:sz w:val="20"/>
          <w:szCs w:val="20"/>
          <w:lang w:val="en-US" w:eastAsia="es-MX"/>
        </w:rPr>
        <w:t xml:space="preserve"> the</w:t>
      </w:r>
      <w:r w:rsidRPr="00EA6C7A">
        <w:rPr>
          <w:rFonts w:ascii="Verdana" w:eastAsia="Batang" w:hAnsi="Verdana"/>
          <w:sz w:val="20"/>
          <w:szCs w:val="20"/>
          <w:lang w:val="en-US" w:eastAsia="es-MX"/>
        </w:rPr>
        <w:t xml:space="preserve"> judge of the case to allow him to intervene provisionally in the proceedings as joint complainant, </w:t>
      </w:r>
      <w:r w:rsidR="00D948A1" w:rsidRPr="00EA6C7A">
        <w:rPr>
          <w:rFonts w:ascii="Verdana" w:eastAsia="Batang" w:hAnsi="Verdana"/>
          <w:sz w:val="20"/>
          <w:szCs w:val="20"/>
          <w:lang w:val="en-US" w:eastAsia="es-MX"/>
        </w:rPr>
        <w:t xml:space="preserve">and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November </w:t>
      </w:r>
      <w:r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8,</w:t>
      </w:r>
      <w:r w:rsidR="00CD09AF" w:rsidRPr="00EA6C7A">
        <w:rPr>
          <w:rFonts w:ascii="Verdana" w:eastAsia="Batang" w:hAnsi="Verdana"/>
          <w:sz w:val="20"/>
          <w:szCs w:val="20"/>
          <w:lang w:val="en-US" w:eastAsia="es-MX"/>
        </w:rPr>
        <w:t xml:space="preserve"> 2005</w:t>
      </w:r>
      <w:r w:rsidRPr="00EA6C7A">
        <w:rPr>
          <w:rFonts w:ascii="Verdana" w:eastAsia="Batang" w:hAnsi="Verdana"/>
          <w:sz w:val="20"/>
          <w:szCs w:val="20"/>
          <w:lang w:val="en-US" w:eastAsia="es-MX"/>
        </w:rPr>
        <w:t>, the judge agreed to his request.</w:t>
      </w:r>
      <w:r w:rsidR="00CD09AF" w:rsidRPr="00EA6C7A">
        <w:rPr>
          <w:rFonts w:ascii="Verdana" w:eastAsia="Batang" w:hAnsi="Verdana"/>
          <w:sz w:val="20"/>
          <w:szCs w:val="20"/>
          <w:vertAlign w:val="superscript"/>
          <w:lang w:val="en-US" w:eastAsia="es-MX"/>
        </w:rPr>
        <w:footnoteReference w:id="122"/>
      </w:r>
      <w:r w:rsidRPr="00EA6C7A">
        <w:rPr>
          <w:rFonts w:ascii="Verdana" w:eastAsia="Batang" w:hAnsi="Verdana"/>
          <w:sz w:val="20"/>
          <w:szCs w:val="20"/>
          <w:lang w:val="en-US" w:eastAsia="es-MX"/>
        </w:rPr>
        <w:t xml:space="preserve"> The case file reveals that, at least, </w:t>
      </w:r>
      <w:r w:rsidR="00800D2B" w:rsidRPr="00EA6C7A">
        <w:rPr>
          <w:rFonts w:ascii="Verdana" w:eastAsia="Batang" w:hAnsi="Verdana"/>
          <w:sz w:val="20"/>
          <w:szCs w:val="20"/>
          <w:lang w:val="en-US" w:eastAsia="es-MX"/>
        </w:rPr>
        <w:t>in</w:t>
      </w:r>
      <w:r w:rsidRPr="00EA6C7A">
        <w:rPr>
          <w:rFonts w:ascii="Verdana" w:eastAsia="Batang" w:hAnsi="Verdana"/>
          <w:sz w:val="20"/>
          <w:szCs w:val="20"/>
          <w:lang w:val="en-US" w:eastAsia="es-MX"/>
        </w:rPr>
        <w:t xml:space="preserve"> briefs dated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July 19</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August </w:t>
      </w:r>
      <w:r w:rsidR="00CD09AF" w:rsidRPr="00EA6C7A">
        <w:rPr>
          <w:rFonts w:ascii="Verdana" w:eastAsia="Batang" w:hAnsi="Verdana"/>
          <w:sz w:val="20"/>
          <w:szCs w:val="20"/>
          <w:lang w:val="en-US" w:eastAsia="es-MX"/>
        </w:rPr>
        <w:t>3</w:t>
      </w:r>
      <w:r w:rsidR="00D948A1" w:rsidRPr="00EA6C7A">
        <w:rPr>
          <w:rFonts w:ascii="Verdana" w:eastAsia="Batang" w:hAnsi="Verdana"/>
          <w:sz w:val="20"/>
          <w:szCs w:val="20"/>
          <w:lang w:val="en-US" w:eastAsia="es-MX"/>
        </w:rPr>
        <w:t xml:space="preserve"> and </w:t>
      </w:r>
      <w:r w:rsidR="00CD09AF" w:rsidRPr="00EA6C7A">
        <w:rPr>
          <w:rFonts w:ascii="Verdana" w:eastAsia="Batang" w:hAnsi="Verdana"/>
          <w:sz w:val="20"/>
          <w:szCs w:val="20"/>
          <w:lang w:val="en-US" w:eastAsia="es-MX"/>
        </w:rPr>
        <w:t>25,</w:t>
      </w:r>
      <w:r w:rsidR="00D948A1" w:rsidRPr="00EA6C7A">
        <w:rPr>
          <w:rFonts w:ascii="Verdana" w:eastAsia="Batang" w:hAnsi="Verdana"/>
          <w:sz w:val="20"/>
          <w:szCs w:val="20"/>
          <w:lang w:val="en-US" w:eastAsia="es-MX"/>
        </w:rPr>
        <w:t xml:space="preserve"> and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12,</w:t>
      </w:r>
      <w:r w:rsidR="00CD09AF" w:rsidRPr="00EA6C7A">
        <w:rPr>
          <w:rFonts w:ascii="Verdana" w:eastAsia="Batang" w:hAnsi="Verdana"/>
          <w:sz w:val="20"/>
          <w:szCs w:val="20"/>
          <w:lang w:val="en-US" w:eastAsia="es-MX"/>
        </w:rPr>
        <w:t xml:space="preserve"> 2006, </w:t>
      </w:r>
      <w:r w:rsidRPr="00EA6C7A">
        <w:rPr>
          <w:rFonts w:ascii="Verdana" w:eastAsia="Batang" w:hAnsi="Verdana"/>
          <w:sz w:val="20"/>
          <w:szCs w:val="20"/>
          <w:lang w:val="en-US" w:eastAsia="es-MX"/>
        </w:rPr>
        <w:t>January 12,</w:t>
      </w:r>
      <w:r w:rsidR="00CD09AF" w:rsidRPr="00EA6C7A">
        <w:rPr>
          <w:rFonts w:ascii="Verdana" w:eastAsia="Batang" w:hAnsi="Verdana"/>
          <w:sz w:val="20"/>
          <w:szCs w:val="20"/>
          <w:lang w:val="en-US" w:eastAsia="es-MX"/>
        </w:rPr>
        <w:t xml:space="preserve"> 2007, </w:t>
      </w:r>
      <w:r w:rsidR="007B566E" w:rsidRPr="00EA6C7A">
        <w:rPr>
          <w:rFonts w:ascii="Verdana" w:eastAsia="Batang" w:hAnsi="Verdana"/>
          <w:sz w:val="20"/>
          <w:szCs w:val="20"/>
          <w:lang w:val="en-US" w:eastAsia="es-MX"/>
        </w:rPr>
        <w:t>July</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18,</w:t>
      </w:r>
      <w:r w:rsidR="00CD09AF" w:rsidRPr="00EA6C7A">
        <w:rPr>
          <w:rFonts w:ascii="Verdana" w:eastAsia="Batang" w:hAnsi="Verdana"/>
          <w:sz w:val="20"/>
          <w:szCs w:val="20"/>
          <w:lang w:val="en-US" w:eastAsia="es-MX"/>
        </w:rPr>
        <w:t xml:space="preserve"> 2008</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February 5,</w:t>
      </w:r>
      <w:r w:rsidR="00CD09AF" w:rsidRPr="00EA6C7A">
        <w:rPr>
          <w:rFonts w:ascii="Verdana" w:eastAsia="Batang" w:hAnsi="Verdana"/>
          <w:sz w:val="20"/>
          <w:szCs w:val="20"/>
          <w:lang w:val="en-US" w:eastAsia="es-MX"/>
        </w:rPr>
        <w:t xml:space="preserve"> 2009</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23"/>
      </w:r>
      <w:r w:rsidR="00CD09AF" w:rsidRPr="00EA6C7A">
        <w:rPr>
          <w:rFonts w:ascii="Verdana" w:eastAsia="Batang" w:hAnsi="Verdana"/>
          <w:sz w:val="20"/>
          <w:szCs w:val="20"/>
          <w:lang w:val="en-US" w:eastAsia="es-MX"/>
        </w:rPr>
        <w:t xml:space="preserve"> </w:t>
      </w:r>
      <w:r w:rsidR="00BB5015" w:rsidRPr="00EA6C7A">
        <w:rPr>
          <w:rFonts w:ascii="Verdana" w:eastAsia="Batang" w:hAnsi="Verdana"/>
          <w:sz w:val="20"/>
          <w:szCs w:val="20"/>
          <w:lang w:val="en-US" w:eastAsia="es-MX"/>
        </w:rPr>
        <w:t>Mr. Velásquez</w:t>
      </w:r>
      <w:r w:rsidR="00CD09AF" w:rsidRPr="00EA6C7A">
        <w:rPr>
          <w:rFonts w:ascii="Verdana" w:eastAsia="Batang" w:hAnsi="Verdana"/>
          <w:sz w:val="20"/>
          <w:szCs w:val="20"/>
          <w:lang w:val="en-US" w:eastAsia="es-MX"/>
        </w:rPr>
        <w:t xml:space="preserve"> Durán </w:t>
      </w:r>
      <w:r w:rsidRPr="00EA6C7A">
        <w:rPr>
          <w:rFonts w:ascii="Verdana" w:eastAsia="Batang" w:hAnsi="Verdana"/>
          <w:sz w:val="20"/>
          <w:szCs w:val="20"/>
          <w:lang w:val="en-US" w:eastAsia="es-MX"/>
        </w:rPr>
        <w:t xml:space="preserve">made various observations, comments and recommendations regarding the investigation to the Prosecutor General and to the Head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It also reveals that </w:t>
      </w:r>
      <w:r w:rsidR="00BB5015" w:rsidRPr="00EA6C7A">
        <w:rPr>
          <w:rFonts w:ascii="Verdana" w:eastAsia="Batang" w:hAnsi="Verdana"/>
          <w:sz w:val="20"/>
          <w:szCs w:val="20"/>
          <w:lang w:val="en-US" w:eastAsia="es-MX"/>
        </w:rPr>
        <w:t>Mr. Velásquez</w:t>
      </w:r>
      <w:r w:rsidR="00CD09AF" w:rsidRPr="00EA6C7A">
        <w:rPr>
          <w:rFonts w:ascii="Verdana" w:eastAsia="Batang" w:hAnsi="Verdana"/>
          <w:sz w:val="20"/>
          <w:szCs w:val="20"/>
          <w:lang w:val="en-US" w:eastAsia="es-MX"/>
        </w:rPr>
        <w:t xml:space="preserve"> Durán </w:t>
      </w:r>
      <w:r w:rsidRPr="00EA6C7A">
        <w:rPr>
          <w:rFonts w:ascii="Verdana" w:eastAsia="Batang" w:hAnsi="Verdana"/>
          <w:sz w:val="20"/>
          <w:szCs w:val="20"/>
          <w:lang w:val="en-US" w:eastAsia="es-MX"/>
        </w:rPr>
        <w:t xml:space="preserve">took part in several meetings with the assistant prosecutor and the prosecutor in charge of the investigation. </w:t>
      </w:r>
    </w:p>
    <w:p w14:paraId="5F8FC169" w14:textId="77777777" w:rsidR="00CD09AF" w:rsidRPr="00EA6C7A" w:rsidRDefault="002669E6"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Procedures to reconstruct the events.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June </w:t>
      </w:r>
      <w:r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6,</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 xml:space="preserve">, two procedures were conducted to reconstruct the events in the presence </w:t>
      </w:r>
      <w:r w:rsidR="003F510E" w:rsidRPr="00EA6C7A">
        <w:rPr>
          <w:rFonts w:ascii="Verdana" w:eastAsia="Batang" w:hAnsi="Verdana"/>
          <w:sz w:val="20"/>
          <w:szCs w:val="20"/>
          <w:lang w:val="en-US" w:eastAsia="es-MX"/>
        </w:rPr>
        <w:t xml:space="preserve">of the </w:t>
      </w:r>
      <w:r w:rsidR="00CA3FC4" w:rsidRPr="00EA6C7A">
        <w:rPr>
          <w:rFonts w:ascii="Verdana" w:eastAsia="Batang" w:hAnsi="Verdana"/>
          <w:sz w:val="20"/>
          <w:szCs w:val="20"/>
          <w:lang w:val="en-US" w:eastAsia="es-MX"/>
        </w:rPr>
        <w:t>assistant prosecutor</w:t>
      </w:r>
      <w:r w:rsidR="00D948A1" w:rsidRPr="00EA6C7A">
        <w:rPr>
          <w:rFonts w:ascii="Verdana" w:eastAsia="Batang" w:hAnsi="Verdana"/>
          <w:sz w:val="20"/>
          <w:szCs w:val="20"/>
          <w:lang w:val="en-US" w:eastAsia="es-MX"/>
        </w:rPr>
        <w:t xml:space="preserve"> and</w:t>
      </w:r>
      <w:r w:rsidRPr="00EA6C7A">
        <w:rPr>
          <w:rFonts w:ascii="Verdana" w:eastAsia="Batang" w:hAnsi="Verdana"/>
          <w:sz w:val="20"/>
          <w:szCs w:val="20"/>
          <w:lang w:val="en-US" w:eastAsia="es-MX"/>
        </w:rPr>
        <w:t xml:space="preserve"> the crime scene experts responsible for planimetry and photography, as well as with the presence of several individuals.</w:t>
      </w:r>
      <w:r w:rsidR="00CD09AF" w:rsidRPr="00EA6C7A">
        <w:rPr>
          <w:rFonts w:ascii="Verdana" w:eastAsia="Batang" w:hAnsi="Verdana"/>
          <w:sz w:val="20"/>
          <w:szCs w:val="20"/>
          <w:vertAlign w:val="superscript"/>
          <w:lang w:val="en-US" w:eastAsia="es-MX"/>
        </w:rPr>
        <w:footnoteReference w:id="124"/>
      </w:r>
      <w:r w:rsidRPr="00EA6C7A">
        <w:rPr>
          <w:rFonts w:ascii="Verdana" w:eastAsia="Batang" w:hAnsi="Verdana"/>
          <w:sz w:val="20"/>
          <w:szCs w:val="20"/>
          <w:lang w:val="en-US" w:eastAsia="es-MX"/>
        </w:rPr>
        <w:t xml:space="preserve"> Four individuals who were linked to the criminal investigation at that time took part in this procedure.</w:t>
      </w:r>
    </w:p>
    <w:p w14:paraId="28FBB7B5" w14:textId="77777777" w:rsidR="00CD09AF" w:rsidRPr="00EA6C7A" w:rsidRDefault="00CD09AF"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Informa</w:t>
      </w:r>
      <w:r w:rsidR="002669E6" w:rsidRPr="00EA6C7A">
        <w:rPr>
          <w:rFonts w:ascii="Verdana" w:eastAsia="Batang" w:hAnsi="Verdana"/>
          <w:i/>
          <w:sz w:val="20"/>
          <w:szCs w:val="20"/>
          <w:lang w:val="en-US" w:eastAsia="es-MX"/>
        </w:rPr>
        <w:t xml:space="preserve">tion on individuals who </w:t>
      </w:r>
      <w:r w:rsidR="005E74BB" w:rsidRPr="00EA6C7A">
        <w:rPr>
          <w:rFonts w:ascii="Verdana" w:eastAsia="Batang" w:hAnsi="Verdana"/>
          <w:i/>
          <w:sz w:val="20"/>
          <w:szCs w:val="20"/>
          <w:lang w:val="en-US" w:eastAsia="es-MX"/>
        </w:rPr>
        <w:t xml:space="preserve">were released from prison on August </w:t>
      </w:r>
      <w:r w:rsidRPr="00EA6C7A">
        <w:rPr>
          <w:rFonts w:ascii="Verdana" w:eastAsia="Batang" w:hAnsi="Verdana"/>
          <w:i/>
          <w:sz w:val="20"/>
          <w:szCs w:val="20"/>
          <w:lang w:val="en-US" w:eastAsia="es-MX"/>
        </w:rPr>
        <w:t>12</w:t>
      </w:r>
      <w:r w:rsidR="00D948A1" w:rsidRPr="00EA6C7A">
        <w:rPr>
          <w:rFonts w:ascii="Verdana" w:eastAsia="Batang" w:hAnsi="Verdana"/>
          <w:i/>
          <w:sz w:val="20"/>
          <w:szCs w:val="20"/>
          <w:lang w:val="en-US" w:eastAsia="es-MX"/>
        </w:rPr>
        <w:t xml:space="preserve"> and </w:t>
      </w:r>
      <w:r w:rsidR="000B3E6E" w:rsidRPr="00EA6C7A">
        <w:rPr>
          <w:rFonts w:ascii="Verdana" w:eastAsia="Batang" w:hAnsi="Verdana"/>
          <w:i/>
          <w:sz w:val="20"/>
          <w:szCs w:val="20"/>
          <w:lang w:val="en-US" w:eastAsia="es-MX"/>
        </w:rPr>
        <w:t>13,</w:t>
      </w:r>
      <w:r w:rsidRPr="00EA6C7A">
        <w:rPr>
          <w:rFonts w:ascii="Verdana" w:eastAsia="Batang" w:hAnsi="Verdana"/>
          <w:i/>
          <w:sz w:val="20"/>
          <w:szCs w:val="20"/>
          <w:lang w:val="en-US" w:eastAsia="es-MX"/>
        </w:rPr>
        <w:t xml:space="preserve"> 2005. </w:t>
      </w:r>
      <w:r w:rsidR="005E74BB" w:rsidRPr="00EA6C7A">
        <w:rPr>
          <w:rFonts w:ascii="Verdana" w:eastAsia="Batang" w:hAnsi="Verdana"/>
          <w:sz w:val="20"/>
          <w:szCs w:val="20"/>
          <w:lang w:val="en-US" w:eastAsia="es-MX"/>
        </w:rPr>
        <w:t xml:space="preserve">Following the request of </w:t>
      </w:r>
      <w:r w:rsidR="00CA3FC4" w:rsidRPr="00EA6C7A">
        <w:rPr>
          <w:rFonts w:ascii="Verdana" w:eastAsia="Batang" w:hAnsi="Verdana"/>
          <w:sz w:val="20"/>
          <w:szCs w:val="20"/>
          <w:lang w:val="en-US" w:eastAsia="es-MX"/>
        </w:rPr>
        <w:t>the assistant prosecutor</w:t>
      </w:r>
      <w:r w:rsidRPr="00EA6C7A">
        <w:rPr>
          <w:rFonts w:ascii="Verdana" w:eastAsia="Batang" w:hAnsi="Verdana"/>
          <w:sz w:val="20"/>
          <w:szCs w:val="20"/>
          <w:lang w:val="en-US" w:eastAsia="es-MX"/>
        </w:rPr>
        <w:t xml:space="preserve">, </w:t>
      </w:r>
      <w:r w:rsidR="005E74BB" w:rsidRPr="00EA6C7A">
        <w:rPr>
          <w:rFonts w:ascii="Verdana" w:eastAsia="Batang" w:hAnsi="Verdana" w:cs="Arial"/>
          <w:color w:val="000000"/>
          <w:sz w:val="20"/>
          <w:szCs w:val="20"/>
          <w:lang w:val="en-US" w:eastAsia="es-MX"/>
        </w:rPr>
        <w:t>on July</w:t>
      </w:r>
      <w:r w:rsidRPr="00EA6C7A">
        <w:rPr>
          <w:rFonts w:ascii="Verdana" w:eastAsia="Batang" w:hAnsi="Verdana" w:cs="Arial"/>
          <w:color w:val="000000"/>
          <w:sz w:val="20"/>
          <w:szCs w:val="20"/>
          <w:lang w:val="en-US" w:eastAsia="es-MX"/>
        </w:rPr>
        <w:t xml:space="preserve"> 12</w:t>
      </w:r>
      <w:r w:rsidR="00D948A1" w:rsidRPr="00EA6C7A">
        <w:rPr>
          <w:rFonts w:ascii="Verdana" w:eastAsia="Batang" w:hAnsi="Verdana" w:cs="Arial"/>
          <w:color w:val="000000"/>
          <w:sz w:val="20"/>
          <w:szCs w:val="20"/>
          <w:lang w:val="en-US" w:eastAsia="es-MX"/>
        </w:rPr>
        <w:t xml:space="preserve"> and </w:t>
      </w:r>
      <w:r w:rsidRPr="00EA6C7A">
        <w:rPr>
          <w:rFonts w:ascii="Verdana" w:eastAsia="Batang" w:hAnsi="Verdana" w:cs="Arial"/>
          <w:color w:val="000000"/>
          <w:sz w:val="20"/>
          <w:szCs w:val="20"/>
          <w:lang w:val="en-US" w:eastAsia="es-MX"/>
        </w:rPr>
        <w:t>13</w:t>
      </w:r>
      <w:r w:rsidR="005E74BB" w:rsidRPr="00EA6C7A">
        <w:rPr>
          <w:rFonts w:ascii="Verdana" w:eastAsia="Batang" w:hAnsi="Verdana" w:cs="Arial"/>
          <w:color w:val="000000"/>
          <w:sz w:val="20"/>
          <w:szCs w:val="20"/>
          <w:lang w:val="en-US" w:eastAsia="es-MX"/>
        </w:rPr>
        <w:t xml:space="preserve">, </w:t>
      </w:r>
      <w:r w:rsidRPr="00EA6C7A">
        <w:rPr>
          <w:rFonts w:ascii="Verdana" w:eastAsia="Batang" w:hAnsi="Verdana" w:cs="Arial"/>
          <w:color w:val="000000"/>
          <w:sz w:val="20"/>
          <w:szCs w:val="20"/>
          <w:lang w:val="en-US" w:eastAsia="es-MX"/>
        </w:rPr>
        <w:t>200</w:t>
      </w:r>
      <w:r w:rsidR="005E74BB" w:rsidRPr="00EA6C7A">
        <w:rPr>
          <w:rFonts w:ascii="Verdana" w:eastAsia="Batang" w:hAnsi="Verdana" w:cs="Arial"/>
          <w:color w:val="000000"/>
          <w:sz w:val="20"/>
          <w:szCs w:val="20"/>
          <w:lang w:val="en-US" w:eastAsia="es-MX"/>
        </w:rPr>
        <w:t>6, the</w:t>
      </w:r>
      <w:r w:rsidRPr="00EA6C7A">
        <w:rPr>
          <w:rFonts w:ascii="Verdana" w:eastAsia="Batang" w:hAnsi="Verdana" w:cs="Arial"/>
          <w:color w:val="000000"/>
          <w:sz w:val="20"/>
          <w:szCs w:val="20"/>
          <w:lang w:val="en-US" w:eastAsia="es-MX"/>
        </w:rPr>
        <w:t xml:space="preserve"> Director General </w:t>
      </w:r>
      <w:r w:rsidR="005E74BB" w:rsidRPr="00EA6C7A">
        <w:rPr>
          <w:rFonts w:ascii="Verdana" w:eastAsia="Batang" w:hAnsi="Verdana" w:cs="Arial"/>
          <w:color w:val="000000"/>
          <w:sz w:val="20"/>
          <w:szCs w:val="20"/>
          <w:lang w:val="en-US" w:eastAsia="es-MX"/>
        </w:rPr>
        <w:t>of Prisons requested and received information on individuals who had been released from 15 prisons on August 12 and 13, 2005. According to the information obtained from those prisons, approximately 64 individuals were released on those dates.</w:t>
      </w:r>
      <w:r w:rsidRPr="00EA6C7A">
        <w:rPr>
          <w:rFonts w:ascii="Verdana" w:eastAsia="Batang" w:hAnsi="Verdana" w:cs="Arial"/>
          <w:color w:val="000000"/>
          <w:sz w:val="20"/>
          <w:szCs w:val="20"/>
          <w:vertAlign w:val="superscript"/>
          <w:lang w:val="en-US" w:eastAsia="es-MX"/>
        </w:rPr>
        <w:footnoteReference w:id="125"/>
      </w:r>
      <w:r w:rsidRPr="00EA6C7A">
        <w:rPr>
          <w:rFonts w:ascii="Verdana" w:eastAsia="Batang" w:hAnsi="Verdana" w:cs="Arial"/>
          <w:color w:val="000000"/>
          <w:sz w:val="20"/>
          <w:szCs w:val="20"/>
          <w:lang w:val="en-US" w:eastAsia="es-MX"/>
        </w:rPr>
        <w:t xml:space="preserve"> </w:t>
      </w:r>
      <w:r w:rsidR="005E74BB" w:rsidRPr="00EA6C7A">
        <w:rPr>
          <w:rFonts w:ascii="Verdana" w:eastAsia="Batang" w:hAnsi="Verdana" w:cs="Arial"/>
          <w:color w:val="000000"/>
          <w:sz w:val="20"/>
          <w:szCs w:val="20"/>
          <w:lang w:val="en-US" w:eastAsia="es-MX"/>
        </w:rPr>
        <w:t xml:space="preserve">This information was forwarded to </w:t>
      </w:r>
      <w:r w:rsidR="00D75E80" w:rsidRPr="00EA6C7A">
        <w:rPr>
          <w:rFonts w:ascii="Verdana" w:eastAsia="Batang" w:hAnsi="Verdana"/>
          <w:sz w:val="20"/>
          <w:szCs w:val="20"/>
          <w:lang w:val="en-US" w:eastAsia="es-MX"/>
        </w:rPr>
        <w:t>the assistant prosecutor</w:t>
      </w:r>
      <w:r w:rsidRPr="00EA6C7A">
        <w:rPr>
          <w:rFonts w:ascii="Verdana" w:eastAsia="Batang" w:hAnsi="Verdana"/>
          <w:sz w:val="20"/>
          <w:szCs w:val="20"/>
          <w:lang w:val="en-US" w:eastAsia="es-MX"/>
        </w:rPr>
        <w:t xml:space="preserve">. </w:t>
      </w:r>
    </w:p>
    <w:p w14:paraId="5BC35712" w14:textId="77777777" w:rsidR="00CD09AF" w:rsidRPr="00EA6C7A" w:rsidRDefault="003B5D2D"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lastRenderedPageBreak/>
        <w:t>Reward offered in the case</w:t>
      </w:r>
      <w:r w:rsidR="00CD09AF" w:rsidRPr="00EA6C7A">
        <w:rPr>
          <w:rFonts w:ascii="Verdana" w:eastAsia="Batang" w:hAnsi="Verdana"/>
          <w:i/>
          <w:sz w:val="20"/>
          <w:szCs w:val="20"/>
          <w:lang w:val="en-US" w:eastAsia="es-MX"/>
        </w:rPr>
        <w:t>.</w:t>
      </w:r>
      <w:r w:rsidRPr="00EA6C7A">
        <w:rPr>
          <w:rFonts w:ascii="Verdana" w:eastAsia="Batang" w:hAnsi="Verdana"/>
          <w:i/>
          <w:sz w:val="20"/>
          <w:szCs w:val="20"/>
          <w:lang w:val="en-US" w:eastAsia="es-MX"/>
        </w:rPr>
        <w:t xml:space="preserve"> </w:t>
      </w:r>
      <w:r w:rsidRPr="00EA6C7A">
        <w:rPr>
          <w:rFonts w:ascii="Verdana" w:eastAsia="Batang" w:hAnsi="Verdana"/>
          <w:sz w:val="20"/>
          <w:szCs w:val="20"/>
          <w:lang w:val="en-US" w:eastAsia="es-MX"/>
        </w:rPr>
        <w:t>Within the c</w:t>
      </w:r>
      <w:r w:rsidR="00BC4DAF" w:rsidRPr="00EA6C7A">
        <w:rPr>
          <w:rFonts w:ascii="Verdana" w:eastAsia="Batang" w:hAnsi="Verdana"/>
          <w:sz w:val="20"/>
          <w:szCs w:val="20"/>
          <w:lang w:val="en-US" w:eastAsia="es-MX"/>
        </w:rPr>
        <w:t xml:space="preserve">riminal </w:t>
      </w:r>
      <w:r w:rsidRPr="00EA6C7A">
        <w:rPr>
          <w:rFonts w:ascii="Verdana" w:eastAsia="Batang" w:hAnsi="Verdana"/>
          <w:sz w:val="20"/>
          <w:szCs w:val="20"/>
          <w:lang w:val="en-US" w:eastAsia="es-MX"/>
        </w:rPr>
        <w:t>i</w:t>
      </w:r>
      <w:r w:rsidR="00BC4DAF" w:rsidRPr="00EA6C7A">
        <w:rPr>
          <w:rFonts w:ascii="Verdana" w:eastAsia="Batang" w:hAnsi="Verdana"/>
          <w:sz w:val="20"/>
          <w:szCs w:val="20"/>
          <w:lang w:val="en-US" w:eastAsia="es-MX"/>
        </w:rPr>
        <w:t>nvestigation</w:t>
      </w:r>
      <w:r w:rsidR="00EE7442"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w</w:t>
      </w:r>
      <w:r w:rsidR="00647017" w:rsidRPr="00EA6C7A">
        <w:rPr>
          <w:rFonts w:ascii="Verdana" w:eastAsia="Batang" w:hAnsi="Verdana"/>
          <w:sz w:val="20"/>
          <w:szCs w:val="20"/>
          <w:lang w:val="en-US" w:eastAsia="es-MX"/>
        </w:rPr>
        <w:t xml:space="preserve">ith the agreement of the </w:t>
      </w:r>
      <w:r w:rsidRPr="00EA6C7A">
        <w:rPr>
          <w:rFonts w:ascii="Verdana" w:eastAsia="Batang" w:hAnsi="Verdana"/>
          <w:sz w:val="20"/>
          <w:szCs w:val="20"/>
          <w:lang w:val="en-US" w:eastAsia="es-MX"/>
        </w:rPr>
        <w:t>Minister of the Interior</w:t>
      </w:r>
      <w:r w:rsidR="00CD09AF" w:rsidRPr="00EA6C7A">
        <w:rPr>
          <w:rFonts w:ascii="Verdana" w:eastAsia="Batang" w:hAnsi="Verdana"/>
          <w:sz w:val="20"/>
          <w:szCs w:val="20"/>
          <w:lang w:val="en-US" w:eastAsia="es-MX"/>
        </w:rPr>
        <w:t xml:space="preserve">, </w:t>
      </w:r>
      <w:r w:rsidR="00647017" w:rsidRPr="00EA6C7A">
        <w:rPr>
          <w:rFonts w:ascii="Verdana" w:eastAsia="Batang" w:hAnsi="Verdana"/>
          <w:sz w:val="20"/>
          <w:szCs w:val="20"/>
          <w:lang w:val="en-US" w:eastAsia="es-MX"/>
        </w:rPr>
        <w:t xml:space="preserve">a reward of one hundred thousand quetzals </w:t>
      </w:r>
      <w:r w:rsidR="00CD09AF" w:rsidRPr="00EA6C7A">
        <w:rPr>
          <w:rFonts w:ascii="Verdana" w:eastAsia="Batang" w:hAnsi="Verdana"/>
          <w:sz w:val="20"/>
          <w:szCs w:val="20"/>
          <w:lang w:val="en-US" w:eastAsia="es-MX"/>
        </w:rPr>
        <w:t>(Q.100,000.00)</w:t>
      </w:r>
      <w:r w:rsidR="00647017" w:rsidRPr="00EA6C7A">
        <w:rPr>
          <w:rFonts w:ascii="Verdana" w:eastAsia="Batang" w:hAnsi="Verdana"/>
          <w:sz w:val="20"/>
          <w:szCs w:val="20"/>
          <w:lang w:val="en-US" w:eastAsia="es-MX"/>
        </w:rPr>
        <w:t xml:space="preserve"> was offered to anyone providing information </w:t>
      </w:r>
      <w:r w:rsidR="000F1527" w:rsidRPr="00EA6C7A">
        <w:rPr>
          <w:rFonts w:ascii="Verdana" w:eastAsia="Batang" w:hAnsi="Verdana"/>
          <w:sz w:val="20"/>
          <w:szCs w:val="20"/>
          <w:lang w:val="en-US" w:eastAsia="es-MX"/>
        </w:rPr>
        <w:t>leading to</w:t>
      </w:r>
      <w:r w:rsidR="00647017" w:rsidRPr="00EA6C7A">
        <w:rPr>
          <w:rFonts w:ascii="Verdana" w:eastAsia="Batang" w:hAnsi="Verdana"/>
          <w:sz w:val="20"/>
          <w:szCs w:val="20"/>
          <w:lang w:val="en-US" w:eastAsia="es-MX"/>
        </w:rPr>
        <w:t xml:space="preserve"> the identification and capture of those responsible for the death of </w:t>
      </w:r>
      <w:r w:rsidR="00CD09AF" w:rsidRPr="00EA6C7A">
        <w:rPr>
          <w:rFonts w:ascii="Verdana" w:eastAsia="Batang" w:hAnsi="Verdana"/>
          <w:sz w:val="20"/>
          <w:szCs w:val="20"/>
          <w:lang w:val="en-US" w:eastAsia="es-MX"/>
        </w:rPr>
        <w:t>Claudina Isabel Velásquez Paiz</w:t>
      </w:r>
      <w:r w:rsidR="000F1527" w:rsidRPr="00EA6C7A">
        <w:rPr>
          <w:rFonts w:ascii="Verdana" w:eastAsia="Batang" w:hAnsi="Verdana"/>
          <w:sz w:val="20"/>
          <w:szCs w:val="20"/>
          <w:lang w:val="en-US" w:eastAsia="es-MX"/>
        </w:rPr>
        <w:t>;</w:t>
      </w:r>
      <w:r w:rsidR="00647017" w:rsidRPr="00EA6C7A">
        <w:rPr>
          <w:rFonts w:ascii="Verdana" w:eastAsia="Batang" w:hAnsi="Verdana"/>
          <w:sz w:val="20"/>
          <w:szCs w:val="20"/>
          <w:lang w:val="en-US" w:eastAsia="es-MX"/>
        </w:rPr>
        <w:t xml:space="preserve"> this was published in the Guatemalan </w:t>
      </w:r>
      <w:r w:rsidR="00EE7442" w:rsidRPr="00EA6C7A">
        <w:rPr>
          <w:rFonts w:ascii="Verdana" w:eastAsia="Batang" w:hAnsi="Verdana"/>
          <w:sz w:val="20"/>
          <w:szCs w:val="20"/>
          <w:lang w:val="en-US" w:eastAsia="es-MX"/>
        </w:rPr>
        <w:t>media</w:t>
      </w:r>
      <w:r w:rsidR="00647017" w:rsidRPr="00EA6C7A">
        <w:rPr>
          <w:rFonts w:ascii="Verdana" w:eastAsia="Batang" w:hAnsi="Verdana"/>
          <w:sz w:val="20"/>
          <w:szCs w:val="20"/>
          <w:lang w:val="en-US" w:eastAsia="es-MX"/>
        </w:rPr>
        <w:t xml:space="preserve"> on January 16, </w:t>
      </w:r>
      <w:r w:rsidR="00CD09AF" w:rsidRPr="00EA6C7A">
        <w:rPr>
          <w:rFonts w:ascii="Verdana" w:eastAsia="Batang" w:hAnsi="Verdana"/>
          <w:sz w:val="20"/>
          <w:szCs w:val="20"/>
          <w:lang w:val="en-US" w:eastAsia="es-MX"/>
        </w:rPr>
        <w:t>2008</w:t>
      </w:r>
      <w:r w:rsidR="00647017"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26"/>
      </w:r>
      <w:r w:rsidR="00CD09AF" w:rsidRPr="00EA6C7A">
        <w:rPr>
          <w:rFonts w:ascii="Verdana" w:eastAsia="Batang" w:hAnsi="Verdana"/>
          <w:sz w:val="20"/>
          <w:szCs w:val="20"/>
          <w:lang w:val="en-US" w:eastAsia="es-MX"/>
        </w:rPr>
        <w:t xml:space="preserve"> A</w:t>
      </w:r>
      <w:r w:rsidR="00647017" w:rsidRPr="00EA6C7A">
        <w:rPr>
          <w:rFonts w:ascii="Verdana" w:eastAsia="Batang" w:hAnsi="Verdana"/>
          <w:sz w:val="20"/>
          <w:szCs w:val="20"/>
          <w:lang w:val="en-US" w:eastAsia="es-MX"/>
        </w:rPr>
        <w:t xml:space="preserve">lso, on March 6, </w:t>
      </w:r>
      <w:r w:rsidR="00CD09AF" w:rsidRPr="00EA6C7A">
        <w:rPr>
          <w:rFonts w:ascii="Verdana" w:eastAsia="Batang" w:hAnsi="Verdana"/>
          <w:sz w:val="20"/>
          <w:szCs w:val="20"/>
          <w:lang w:val="en-US" w:eastAsia="es-MX"/>
        </w:rPr>
        <w:t>2012</w:t>
      </w:r>
      <w:r w:rsidR="00647017" w:rsidRPr="00EA6C7A">
        <w:rPr>
          <w:rFonts w:ascii="Verdana" w:eastAsia="Batang" w:hAnsi="Verdana"/>
          <w:sz w:val="20"/>
          <w:szCs w:val="20"/>
          <w:lang w:val="en-US" w:eastAsia="es-MX"/>
        </w:rPr>
        <w:t xml:space="preserve">, </w:t>
      </w:r>
      <w:r w:rsidR="000F1527" w:rsidRPr="00EA6C7A">
        <w:rPr>
          <w:rFonts w:ascii="Verdana" w:eastAsia="Batang" w:hAnsi="Verdana"/>
          <w:sz w:val="20"/>
          <w:szCs w:val="20"/>
          <w:lang w:val="en-US" w:eastAsia="es-MX"/>
        </w:rPr>
        <w:t>an</w:t>
      </w:r>
      <w:r w:rsidR="00BC543C" w:rsidRPr="00EA6C7A">
        <w:rPr>
          <w:rFonts w:ascii="Verdana" w:eastAsia="Batang" w:hAnsi="Verdana"/>
          <w:sz w:val="20"/>
          <w:szCs w:val="20"/>
          <w:lang w:val="en-US" w:eastAsia="es-MX"/>
        </w:rPr>
        <w:t xml:space="preserve"> </w:t>
      </w:r>
      <w:r w:rsidR="00EE7442" w:rsidRPr="00EA6C7A">
        <w:rPr>
          <w:rFonts w:ascii="Verdana" w:eastAsia="Batang" w:hAnsi="Verdana"/>
          <w:sz w:val="20"/>
          <w:szCs w:val="20"/>
          <w:lang w:val="en-US" w:eastAsia="es-MX"/>
        </w:rPr>
        <w:t>a</w:t>
      </w:r>
      <w:r w:rsidR="00BC543C" w:rsidRPr="00EA6C7A">
        <w:rPr>
          <w:rFonts w:ascii="Verdana" w:eastAsia="Batang" w:hAnsi="Verdana"/>
          <w:sz w:val="20"/>
          <w:szCs w:val="20"/>
          <w:lang w:val="en-US" w:eastAsia="es-MX"/>
        </w:rPr>
        <w:t>dviser to the office</w:t>
      </w:r>
      <w:r w:rsidR="00CD09AF" w:rsidRPr="00EA6C7A">
        <w:rPr>
          <w:rFonts w:ascii="Verdana" w:eastAsia="Batang" w:hAnsi="Verdana"/>
          <w:sz w:val="20"/>
          <w:szCs w:val="20"/>
          <w:lang w:val="en-US" w:eastAsia="es-MX"/>
        </w:rPr>
        <w:t xml:space="preserve"> </w:t>
      </w:r>
      <w:r w:rsidR="00647017" w:rsidRPr="00EA6C7A">
        <w:rPr>
          <w:rFonts w:ascii="Verdana" w:eastAsia="Batang" w:hAnsi="Verdana"/>
          <w:sz w:val="20"/>
          <w:szCs w:val="20"/>
          <w:lang w:val="en-US" w:eastAsia="es-MX"/>
        </w:rPr>
        <w:t>of the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Ministry of the Interior</w:t>
      </w:r>
      <w:r w:rsidR="00CD09AF" w:rsidRPr="00EA6C7A">
        <w:rPr>
          <w:rFonts w:ascii="Verdana" w:eastAsia="Batang" w:hAnsi="Verdana"/>
          <w:sz w:val="20"/>
          <w:szCs w:val="20"/>
          <w:lang w:val="en-US" w:eastAsia="es-MX"/>
        </w:rPr>
        <w:t xml:space="preserve"> </w:t>
      </w:r>
      <w:r w:rsidR="00647017" w:rsidRPr="00EA6C7A">
        <w:rPr>
          <w:rFonts w:ascii="Verdana" w:eastAsia="Batang" w:hAnsi="Verdana"/>
          <w:sz w:val="20"/>
          <w:szCs w:val="20"/>
          <w:lang w:val="en-US" w:eastAsia="es-MX"/>
        </w:rPr>
        <w:t>sent the prosecutor 500 posters offering a reward for information in this case.</w:t>
      </w:r>
      <w:r w:rsidR="00562907" w:rsidRPr="00EA6C7A">
        <w:rPr>
          <w:rFonts w:ascii="Verdana" w:eastAsia="Batang" w:hAnsi="Verdana"/>
          <w:sz w:val="20"/>
          <w:szCs w:val="20"/>
          <w:vertAlign w:val="superscript"/>
          <w:lang w:val="en-US" w:eastAsia="es-MX"/>
        </w:rPr>
        <w:footnoteReference w:id="127"/>
      </w:r>
      <w:r w:rsidR="00647017" w:rsidRPr="00EA6C7A">
        <w:rPr>
          <w:rFonts w:ascii="Verdana" w:eastAsia="Batang" w:hAnsi="Verdana"/>
          <w:sz w:val="20"/>
          <w:szCs w:val="20"/>
          <w:lang w:val="en-US" w:eastAsia="es-MX"/>
        </w:rPr>
        <w:t xml:space="preserve"> On </w:t>
      </w:r>
      <w:r w:rsidR="007B566E" w:rsidRPr="00EA6C7A">
        <w:rPr>
          <w:rFonts w:ascii="Verdana" w:eastAsia="Batang" w:hAnsi="Verdana"/>
          <w:sz w:val="20"/>
          <w:szCs w:val="20"/>
          <w:lang w:val="en-US" w:eastAsia="es-MX"/>
        </w:rPr>
        <w:t>October</w:t>
      </w:r>
      <w:r w:rsidR="00D948A1" w:rsidRPr="00EA6C7A">
        <w:rPr>
          <w:rFonts w:ascii="Verdana" w:eastAsia="Batang" w:hAnsi="Verdana"/>
          <w:sz w:val="20"/>
          <w:szCs w:val="20"/>
          <w:lang w:val="en-US" w:eastAsia="es-MX"/>
        </w:rPr>
        <w:t xml:space="preserve"> </w:t>
      </w:r>
      <w:r w:rsidR="00647017" w:rsidRPr="00EA6C7A">
        <w:rPr>
          <w:rFonts w:ascii="Verdana" w:eastAsia="Batang" w:hAnsi="Verdana"/>
          <w:sz w:val="20"/>
          <w:szCs w:val="20"/>
          <w:lang w:val="en-US" w:eastAsia="es-MX"/>
        </w:rPr>
        <w:t xml:space="preserve">28 </w:t>
      </w:r>
      <w:r w:rsidR="00D948A1" w:rsidRPr="00EA6C7A">
        <w:rPr>
          <w:rFonts w:ascii="Verdana" w:eastAsia="Batang" w:hAnsi="Verdana"/>
          <w:sz w:val="20"/>
          <w:szCs w:val="20"/>
          <w:lang w:val="en-US" w:eastAsia="es-MX"/>
        </w:rPr>
        <w:t xml:space="preserve">and </w:t>
      </w:r>
      <w:r w:rsidR="003F510E" w:rsidRPr="00EA6C7A">
        <w:rPr>
          <w:rFonts w:ascii="Verdana" w:eastAsia="Batang" w:hAnsi="Verdana"/>
          <w:sz w:val="20"/>
          <w:szCs w:val="20"/>
          <w:lang w:val="en-US" w:eastAsia="es-MX"/>
        </w:rPr>
        <w:t>November 8,</w:t>
      </w:r>
      <w:r w:rsidR="00CD09AF" w:rsidRPr="00EA6C7A">
        <w:rPr>
          <w:rFonts w:ascii="Verdana" w:eastAsia="Batang" w:hAnsi="Verdana"/>
          <w:sz w:val="20"/>
          <w:szCs w:val="20"/>
          <w:lang w:val="en-US" w:eastAsia="es-MX"/>
        </w:rPr>
        <w:t xml:space="preserve"> 2011, </w:t>
      </w:r>
      <w:r w:rsidR="00647017" w:rsidRPr="00EA6C7A">
        <w:rPr>
          <w:rFonts w:ascii="Verdana" w:eastAsia="Batang" w:hAnsi="Verdana"/>
          <w:sz w:val="20"/>
          <w:szCs w:val="20"/>
          <w:lang w:val="en-US" w:eastAsia="es-MX"/>
        </w:rPr>
        <w:t xml:space="preserve">someone contacted the </w:t>
      </w:r>
      <w:r w:rsidR="00B3248B" w:rsidRPr="00EA6C7A">
        <w:rPr>
          <w:rFonts w:ascii="Verdana" w:eastAsia="Batang" w:hAnsi="Verdana"/>
          <w:sz w:val="20"/>
          <w:szCs w:val="20"/>
          <w:lang w:val="en-US" w:eastAsia="es-MX"/>
        </w:rPr>
        <w:t>Public Prosecution Service</w:t>
      </w:r>
      <w:r w:rsidR="00CD09AF" w:rsidRPr="00EA6C7A">
        <w:rPr>
          <w:rFonts w:ascii="Verdana" w:eastAsia="Batang" w:hAnsi="Verdana"/>
          <w:sz w:val="20"/>
          <w:szCs w:val="20"/>
          <w:lang w:val="en-US" w:eastAsia="es-MX"/>
        </w:rPr>
        <w:t xml:space="preserve"> </w:t>
      </w:r>
      <w:r w:rsidR="00647017" w:rsidRPr="00EA6C7A">
        <w:rPr>
          <w:rFonts w:ascii="Verdana" w:eastAsia="Batang" w:hAnsi="Verdana"/>
          <w:sz w:val="20"/>
          <w:szCs w:val="20"/>
          <w:lang w:val="en-US" w:eastAsia="es-MX"/>
        </w:rPr>
        <w:t xml:space="preserve">stating that </w:t>
      </w:r>
      <w:r w:rsidR="000F1527" w:rsidRPr="00EA6C7A">
        <w:rPr>
          <w:rFonts w:ascii="Verdana" w:eastAsia="Batang" w:hAnsi="Verdana"/>
          <w:sz w:val="20"/>
          <w:szCs w:val="20"/>
          <w:lang w:val="en-US" w:eastAsia="es-MX"/>
        </w:rPr>
        <w:t>he</w:t>
      </w:r>
      <w:r w:rsidR="00647017" w:rsidRPr="00EA6C7A">
        <w:rPr>
          <w:rFonts w:ascii="Verdana" w:eastAsia="Batang" w:hAnsi="Verdana"/>
          <w:sz w:val="20"/>
          <w:szCs w:val="20"/>
          <w:lang w:val="en-US" w:eastAsia="es-MX"/>
        </w:rPr>
        <w:t xml:space="preserve"> had information on the case and w</w:t>
      </w:r>
      <w:r w:rsidR="000F1527" w:rsidRPr="00EA6C7A">
        <w:rPr>
          <w:rFonts w:ascii="Verdana" w:eastAsia="Batang" w:hAnsi="Verdana"/>
          <w:sz w:val="20"/>
          <w:szCs w:val="20"/>
          <w:lang w:val="en-US" w:eastAsia="es-MX"/>
        </w:rPr>
        <w:t>as</w:t>
      </w:r>
      <w:r w:rsidR="00647017" w:rsidRPr="00EA6C7A">
        <w:rPr>
          <w:rFonts w:ascii="Verdana" w:eastAsia="Batang" w:hAnsi="Verdana"/>
          <w:sz w:val="20"/>
          <w:szCs w:val="20"/>
          <w:lang w:val="en-US" w:eastAsia="es-MX"/>
        </w:rPr>
        <w:t xml:space="preserve"> interested in the reward.</w:t>
      </w:r>
      <w:r w:rsidR="00CD09AF" w:rsidRPr="00EA6C7A">
        <w:rPr>
          <w:rFonts w:ascii="Verdana" w:eastAsia="Batang" w:hAnsi="Verdana"/>
          <w:sz w:val="20"/>
          <w:szCs w:val="20"/>
          <w:vertAlign w:val="superscript"/>
          <w:lang w:val="en-US" w:eastAsia="es-MX"/>
        </w:rPr>
        <w:footnoteReference w:id="128"/>
      </w:r>
      <w:r w:rsidR="00647017" w:rsidRPr="00EA6C7A">
        <w:rPr>
          <w:rFonts w:ascii="Verdana" w:eastAsia="Batang" w:hAnsi="Verdana"/>
          <w:sz w:val="20"/>
          <w:szCs w:val="20"/>
          <w:lang w:val="en-US" w:eastAsia="es-MX"/>
        </w:rPr>
        <w:t xml:space="preserve"> This </w:t>
      </w:r>
      <w:r w:rsidR="000F1527" w:rsidRPr="00EA6C7A">
        <w:rPr>
          <w:rFonts w:ascii="Verdana" w:eastAsia="Batang" w:hAnsi="Verdana"/>
          <w:sz w:val="20"/>
          <w:szCs w:val="20"/>
          <w:lang w:val="en-US" w:eastAsia="es-MX"/>
        </w:rPr>
        <w:t>individual</w:t>
      </w:r>
      <w:r w:rsidR="00647017" w:rsidRPr="00EA6C7A">
        <w:rPr>
          <w:rFonts w:ascii="Verdana" w:eastAsia="Batang" w:hAnsi="Verdana"/>
          <w:sz w:val="20"/>
          <w:szCs w:val="20"/>
          <w:lang w:val="en-US" w:eastAsia="es-MX"/>
        </w:rPr>
        <w:t xml:space="preserve"> made a statement before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00647017" w:rsidRPr="00EA6C7A">
        <w:rPr>
          <w:rFonts w:ascii="Verdana" w:eastAsia="Batang" w:hAnsi="Verdana"/>
          <w:sz w:val="20"/>
          <w:szCs w:val="20"/>
          <w:lang w:val="en-US" w:eastAsia="es-MX"/>
        </w:rPr>
        <w:t>on April 20,</w:t>
      </w:r>
      <w:r w:rsidR="00CD09AF" w:rsidRPr="00EA6C7A">
        <w:rPr>
          <w:rFonts w:ascii="Verdana" w:eastAsia="Batang" w:hAnsi="Verdana"/>
          <w:sz w:val="20"/>
          <w:szCs w:val="20"/>
          <w:lang w:val="en-US" w:eastAsia="es-MX"/>
        </w:rPr>
        <w:t xml:space="preserve"> 2012, </w:t>
      </w:r>
      <w:r w:rsidR="00647017" w:rsidRPr="00EA6C7A">
        <w:rPr>
          <w:rFonts w:ascii="Verdana" w:eastAsia="Batang" w:hAnsi="Verdana"/>
          <w:sz w:val="20"/>
          <w:szCs w:val="20"/>
          <w:lang w:val="en-US" w:eastAsia="es-MX"/>
        </w:rPr>
        <w:t>in which he explained that another person was going to provide the information and, also,</w:t>
      </w:r>
      <w:r w:rsidR="00EE7442" w:rsidRPr="00EA6C7A">
        <w:rPr>
          <w:rFonts w:ascii="Verdana" w:eastAsia="Batang" w:hAnsi="Verdana"/>
          <w:sz w:val="20"/>
          <w:szCs w:val="20"/>
          <w:lang w:val="en-US" w:eastAsia="es-MX"/>
        </w:rPr>
        <w:t xml:space="preserve"> that</w:t>
      </w:r>
      <w:r w:rsidR="00647017" w:rsidRPr="00EA6C7A">
        <w:rPr>
          <w:rFonts w:ascii="Verdana" w:eastAsia="Batang" w:hAnsi="Verdana"/>
          <w:sz w:val="20"/>
          <w:szCs w:val="20"/>
          <w:lang w:val="en-US" w:eastAsia="es-MX"/>
        </w:rPr>
        <w:t xml:space="preserve"> the information possessed by the latter was not direct, because </w:t>
      </w:r>
      <w:r w:rsidR="00EE7442" w:rsidRPr="00EA6C7A">
        <w:rPr>
          <w:rFonts w:ascii="Verdana" w:eastAsia="Batang" w:hAnsi="Verdana"/>
          <w:sz w:val="20"/>
          <w:szCs w:val="20"/>
          <w:lang w:val="en-US" w:eastAsia="es-MX"/>
        </w:rPr>
        <w:t xml:space="preserve">yet </w:t>
      </w:r>
      <w:r w:rsidR="00647017" w:rsidRPr="00EA6C7A">
        <w:rPr>
          <w:rFonts w:ascii="Verdana" w:eastAsia="Batang" w:hAnsi="Verdana"/>
          <w:sz w:val="20"/>
          <w:szCs w:val="20"/>
          <w:lang w:val="en-US" w:eastAsia="es-MX"/>
        </w:rPr>
        <w:t xml:space="preserve">another person had provided it to him, so that “it was not reliable and more like </w:t>
      </w:r>
      <w:r w:rsidR="00BC543C" w:rsidRPr="00EA6C7A">
        <w:rPr>
          <w:rFonts w:ascii="Verdana" w:eastAsia="Batang" w:hAnsi="Verdana"/>
          <w:sz w:val="20"/>
          <w:szCs w:val="20"/>
          <w:lang w:val="en-US" w:eastAsia="es-MX"/>
        </w:rPr>
        <w:t>a rumor</w:t>
      </w:r>
      <w:r w:rsidR="00647017"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29"/>
      </w:r>
    </w:p>
    <w:p w14:paraId="6FF02FD8" w14:textId="77777777" w:rsidR="00CD09AF" w:rsidRPr="00EA6C7A" w:rsidRDefault="00647017"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Report to the </w:t>
      </w:r>
      <w:proofErr w:type="gramStart"/>
      <w:r w:rsidRPr="00EA6C7A">
        <w:rPr>
          <w:rFonts w:ascii="Verdana" w:eastAsia="Batang" w:hAnsi="Verdana"/>
          <w:i/>
          <w:sz w:val="20"/>
          <w:szCs w:val="20"/>
          <w:lang w:val="en-US" w:eastAsia="es-MX"/>
        </w:rPr>
        <w:t>110 emergency</w:t>
      </w:r>
      <w:proofErr w:type="gramEnd"/>
      <w:r w:rsidRPr="00EA6C7A">
        <w:rPr>
          <w:rFonts w:ascii="Verdana" w:eastAsia="Batang" w:hAnsi="Verdana"/>
          <w:i/>
          <w:sz w:val="20"/>
          <w:szCs w:val="20"/>
          <w:lang w:val="en-US" w:eastAsia="es-MX"/>
        </w:rPr>
        <w:t xml:space="preserve"> number</w:t>
      </w:r>
      <w:r w:rsidR="00CD09AF" w:rsidRPr="00EA6C7A">
        <w:rPr>
          <w:rFonts w:ascii="Verdana" w:eastAsia="Batang" w:hAnsi="Verdana"/>
          <w:i/>
          <w:sz w:val="20"/>
          <w:szCs w:val="20"/>
          <w:lang w:val="en-US" w:eastAsia="es-MX"/>
        </w:rPr>
        <w:t xml:space="preserve">. </w:t>
      </w:r>
      <w:r w:rsidRPr="00EA6C7A">
        <w:rPr>
          <w:rFonts w:ascii="Verdana" w:hAnsi="Verdana"/>
          <w:sz w:val="20"/>
          <w:szCs w:val="20"/>
          <w:lang w:val="en-US"/>
        </w:rPr>
        <w:t>Regarding the report received</w:t>
      </w:r>
      <w:r w:rsidR="00EE7442" w:rsidRPr="00EA6C7A">
        <w:rPr>
          <w:rFonts w:ascii="Verdana" w:hAnsi="Verdana"/>
          <w:sz w:val="20"/>
          <w:szCs w:val="20"/>
          <w:lang w:val="en-US"/>
        </w:rPr>
        <w:t xml:space="preserve"> by the PNC</w:t>
      </w:r>
      <w:r w:rsidRPr="00EA6C7A">
        <w:rPr>
          <w:rFonts w:ascii="Verdana" w:hAnsi="Verdana"/>
          <w:sz w:val="20"/>
          <w:szCs w:val="20"/>
          <w:lang w:val="en-US"/>
        </w:rPr>
        <w:t xml:space="preserve"> via the 110 telephone number referring to a pos</w:t>
      </w:r>
      <w:r w:rsidR="00392247" w:rsidRPr="00EA6C7A">
        <w:rPr>
          <w:rFonts w:ascii="Verdana" w:hAnsi="Verdana"/>
          <w:sz w:val="20"/>
          <w:szCs w:val="20"/>
          <w:lang w:val="en-US"/>
        </w:rPr>
        <w:t>s</w:t>
      </w:r>
      <w:r w:rsidRPr="00EA6C7A">
        <w:rPr>
          <w:rFonts w:ascii="Verdana" w:hAnsi="Verdana"/>
          <w:sz w:val="20"/>
          <w:szCs w:val="20"/>
          <w:lang w:val="en-US"/>
        </w:rPr>
        <w:t xml:space="preserve">ible sexual </w:t>
      </w:r>
      <w:r w:rsidR="00EE7442" w:rsidRPr="00EA6C7A">
        <w:rPr>
          <w:rFonts w:ascii="Verdana" w:hAnsi="Verdana"/>
          <w:sz w:val="20"/>
          <w:szCs w:val="20"/>
          <w:lang w:val="en-US"/>
        </w:rPr>
        <w:t>assault</w:t>
      </w:r>
      <w:r w:rsidRPr="00EA6C7A">
        <w:rPr>
          <w:rFonts w:ascii="Verdana" w:hAnsi="Verdana"/>
          <w:sz w:val="20"/>
          <w:szCs w:val="20"/>
          <w:lang w:val="en-US"/>
        </w:rPr>
        <w:t>, the evidence in this case includes a copy of the PNC form identified as “Confident</w:t>
      </w:r>
      <w:r w:rsidR="00392247" w:rsidRPr="00EA6C7A">
        <w:rPr>
          <w:rFonts w:ascii="Verdana" w:hAnsi="Verdana"/>
          <w:sz w:val="20"/>
          <w:szCs w:val="20"/>
          <w:lang w:val="en-US"/>
        </w:rPr>
        <w:t>ial information and calls for help to the 110</w:t>
      </w:r>
      <w:r w:rsidR="00392247" w:rsidRPr="00EA6C7A">
        <w:rPr>
          <w:rFonts w:ascii="Verdana" w:eastAsia="Batang" w:hAnsi="Verdana"/>
          <w:sz w:val="20"/>
          <w:szCs w:val="20"/>
          <w:lang w:val="en-US" w:eastAsia="es-MX"/>
        </w:rPr>
        <w:t xml:space="preserve"> system,” which was found in the “</w:t>
      </w:r>
      <w:r w:rsidR="007C0B6F" w:rsidRPr="00EA6C7A">
        <w:rPr>
          <w:rFonts w:ascii="Verdana" w:eastAsia="Batang" w:hAnsi="Verdana"/>
          <w:sz w:val="20"/>
          <w:szCs w:val="20"/>
          <w:lang w:val="en-US" w:eastAsia="es-MX"/>
        </w:rPr>
        <w:t>closed files</w:t>
      </w:r>
      <w:r w:rsidR="00392247" w:rsidRPr="00EA6C7A">
        <w:rPr>
          <w:rFonts w:ascii="Verdana" w:eastAsia="Batang" w:hAnsi="Verdana"/>
          <w:sz w:val="20"/>
          <w:szCs w:val="20"/>
          <w:lang w:val="en-US" w:eastAsia="es-MX"/>
        </w:rPr>
        <w:t xml:space="preserve">” </w:t>
      </w:r>
      <w:r w:rsidR="00EE7442" w:rsidRPr="00EA6C7A">
        <w:rPr>
          <w:rFonts w:ascii="Verdana" w:eastAsia="Batang" w:hAnsi="Verdana"/>
          <w:sz w:val="20"/>
          <w:szCs w:val="20"/>
          <w:lang w:val="en-US" w:eastAsia="es-MX"/>
        </w:rPr>
        <w:t xml:space="preserve">of the CECOM </w:t>
      </w:r>
      <w:r w:rsidR="00392247" w:rsidRPr="00EA6C7A">
        <w:rPr>
          <w:rFonts w:ascii="Verdana" w:eastAsia="Batang" w:hAnsi="Verdana"/>
          <w:sz w:val="20"/>
          <w:szCs w:val="20"/>
          <w:lang w:val="en-US" w:eastAsia="es-MX"/>
        </w:rPr>
        <w:t>(110 system) and sent by the coordinator of the PNC 110 Division to the Ministry of the Interior</w:t>
      </w:r>
      <w:r w:rsidR="00EE7442" w:rsidRPr="00EA6C7A">
        <w:rPr>
          <w:rFonts w:ascii="Verdana" w:eastAsia="Batang" w:hAnsi="Verdana"/>
          <w:sz w:val="20"/>
          <w:szCs w:val="20"/>
          <w:lang w:val="en-US" w:eastAsia="es-MX"/>
        </w:rPr>
        <w:t>’s investigator</w:t>
      </w:r>
      <w:r w:rsidR="00392247" w:rsidRPr="00EA6C7A">
        <w:rPr>
          <w:rFonts w:ascii="Verdana" w:eastAsia="Batang" w:hAnsi="Verdana"/>
          <w:sz w:val="20"/>
          <w:szCs w:val="20"/>
          <w:lang w:val="en-US" w:eastAsia="es-MX"/>
        </w:rPr>
        <w:t xml:space="preserve"> on September 13, 2007. The form merely indicates that at </w:t>
      </w:r>
      <w:r w:rsidR="00392247" w:rsidRPr="00EA6C7A">
        <w:rPr>
          <w:rFonts w:ascii="Verdana" w:hAnsi="Verdana"/>
          <w:sz w:val="20"/>
          <w:szCs w:val="20"/>
          <w:lang w:val="en-US"/>
        </w:rPr>
        <w:t>2</w:t>
      </w:r>
      <w:r w:rsidR="00EE7442" w:rsidRPr="00EA6C7A">
        <w:rPr>
          <w:rFonts w:ascii="Verdana" w:hAnsi="Verdana"/>
          <w:sz w:val="20"/>
          <w:szCs w:val="20"/>
          <w:lang w:val="en-US"/>
        </w:rPr>
        <w:t>.</w:t>
      </w:r>
      <w:r w:rsidR="00392247" w:rsidRPr="00EA6C7A">
        <w:rPr>
          <w:rFonts w:ascii="Verdana" w:hAnsi="Verdana"/>
          <w:sz w:val="20"/>
          <w:szCs w:val="20"/>
          <w:lang w:val="en-US"/>
        </w:rPr>
        <w:t xml:space="preserve">12 </w:t>
      </w:r>
      <w:r w:rsidR="008C4FF3" w:rsidRPr="00EA6C7A">
        <w:rPr>
          <w:rFonts w:ascii="Verdana" w:hAnsi="Verdana"/>
          <w:sz w:val="20"/>
          <w:szCs w:val="20"/>
          <w:lang w:val="en-US"/>
        </w:rPr>
        <w:t>a.m.</w:t>
      </w:r>
      <w:r w:rsidR="00392247" w:rsidRPr="00EA6C7A">
        <w:rPr>
          <w:rFonts w:ascii="Verdana" w:hAnsi="Verdana"/>
          <w:sz w:val="20"/>
          <w:szCs w:val="20"/>
          <w:lang w:val="en-US"/>
        </w:rPr>
        <w:t xml:space="preserve"> o</w:t>
      </w:r>
      <w:r w:rsidR="000821BA" w:rsidRPr="00EA6C7A">
        <w:rPr>
          <w:rFonts w:ascii="Verdana" w:hAnsi="Verdana"/>
          <w:sz w:val="20"/>
          <w:szCs w:val="20"/>
          <w:lang w:val="en-US"/>
        </w:rPr>
        <w:t>n August</w:t>
      </w:r>
      <w:r w:rsidR="000B3E6E" w:rsidRPr="00EA6C7A">
        <w:rPr>
          <w:rFonts w:ascii="Verdana" w:hAnsi="Verdana"/>
          <w:sz w:val="20"/>
          <w:szCs w:val="20"/>
          <w:lang w:val="en-US"/>
        </w:rPr>
        <w:t xml:space="preserve"> 13,</w:t>
      </w:r>
      <w:r w:rsidR="00CD09AF" w:rsidRPr="00EA6C7A">
        <w:rPr>
          <w:rFonts w:ascii="Verdana" w:hAnsi="Verdana"/>
          <w:sz w:val="20"/>
          <w:szCs w:val="20"/>
          <w:lang w:val="en-US"/>
        </w:rPr>
        <w:t xml:space="preserve"> 2005</w:t>
      </w:r>
      <w:r w:rsidR="00392247" w:rsidRPr="00EA6C7A">
        <w:rPr>
          <w:rFonts w:ascii="Verdana" w:hAnsi="Verdana"/>
          <w:sz w:val="20"/>
          <w:szCs w:val="20"/>
          <w:lang w:val="en-US"/>
        </w:rPr>
        <w:t>,</w:t>
      </w:r>
      <w:r w:rsidR="00CD09AF" w:rsidRPr="00EA6C7A">
        <w:rPr>
          <w:rFonts w:ascii="Verdana" w:hAnsi="Verdana"/>
          <w:sz w:val="20"/>
          <w:szCs w:val="20"/>
          <w:lang w:val="en-US"/>
        </w:rPr>
        <w:t xml:space="preserve"> a</w:t>
      </w:r>
      <w:r w:rsidR="00392247" w:rsidRPr="00EA6C7A">
        <w:rPr>
          <w:rFonts w:ascii="Verdana" w:hAnsi="Verdana"/>
          <w:sz w:val="20"/>
          <w:szCs w:val="20"/>
          <w:lang w:val="en-US"/>
        </w:rPr>
        <w:t xml:space="preserve"> “neighbor” reported a possible </w:t>
      </w:r>
      <w:r w:rsidR="00EE7442" w:rsidRPr="00EA6C7A">
        <w:rPr>
          <w:rFonts w:ascii="Verdana" w:hAnsi="Verdana"/>
          <w:sz w:val="20"/>
          <w:szCs w:val="20"/>
          <w:lang w:val="en-US"/>
        </w:rPr>
        <w:t>sexual assault</w:t>
      </w:r>
      <w:r w:rsidR="00392247" w:rsidRPr="00EA6C7A">
        <w:rPr>
          <w:rFonts w:ascii="Verdana" w:hAnsi="Verdana"/>
          <w:sz w:val="20"/>
          <w:szCs w:val="20"/>
          <w:lang w:val="en-US"/>
        </w:rPr>
        <w:t xml:space="preserve"> </w:t>
      </w:r>
      <w:r w:rsidR="00EE7442" w:rsidRPr="00EA6C7A">
        <w:rPr>
          <w:rFonts w:ascii="Verdana" w:hAnsi="Verdana"/>
          <w:sz w:val="20"/>
          <w:szCs w:val="20"/>
          <w:lang w:val="en-US"/>
        </w:rPr>
        <w:t>o</w:t>
      </w:r>
      <w:r w:rsidR="00392247" w:rsidRPr="00EA6C7A">
        <w:rPr>
          <w:rFonts w:ascii="Verdana" w:hAnsi="Verdana"/>
          <w:sz w:val="20"/>
          <w:szCs w:val="20"/>
          <w:lang w:val="en-US"/>
        </w:rPr>
        <w:t>n 7</w:t>
      </w:r>
      <w:r w:rsidR="00392247" w:rsidRPr="00EA6C7A">
        <w:rPr>
          <w:rFonts w:ascii="Verdana" w:hAnsi="Verdana"/>
          <w:sz w:val="20"/>
          <w:szCs w:val="20"/>
          <w:vertAlign w:val="superscript"/>
          <w:lang w:val="en-US"/>
        </w:rPr>
        <w:t>th</w:t>
      </w:r>
      <w:r w:rsidR="00392247" w:rsidRPr="00EA6C7A">
        <w:rPr>
          <w:rFonts w:ascii="Verdana" w:hAnsi="Verdana"/>
          <w:sz w:val="20"/>
          <w:szCs w:val="20"/>
          <w:lang w:val="en-US"/>
        </w:rPr>
        <w:t xml:space="preserve"> street “A” </w:t>
      </w:r>
      <w:r w:rsidR="00392247" w:rsidRPr="00EA6C7A">
        <w:rPr>
          <w:rFonts w:ascii="Verdana" w:eastAsia="Batang" w:hAnsi="Verdana"/>
          <w:sz w:val="20"/>
          <w:szCs w:val="20"/>
          <w:lang w:val="en-US" w:eastAsia="es-MX"/>
        </w:rPr>
        <w:t>11-32</w:t>
      </w:r>
      <w:r w:rsidR="00EE7442" w:rsidRPr="00EA6C7A">
        <w:rPr>
          <w:rFonts w:ascii="Verdana" w:eastAsia="Batang" w:hAnsi="Verdana"/>
          <w:sz w:val="20"/>
          <w:szCs w:val="20"/>
          <w:lang w:val="en-US" w:eastAsia="es-MX"/>
        </w:rPr>
        <w:t>,</w:t>
      </w:r>
      <w:r w:rsidR="00392247" w:rsidRPr="00EA6C7A">
        <w:rPr>
          <w:rFonts w:ascii="Verdana" w:eastAsia="Batang" w:hAnsi="Verdana"/>
          <w:sz w:val="20"/>
          <w:szCs w:val="20"/>
          <w:lang w:val="en-US" w:eastAsia="es-MX"/>
        </w:rPr>
        <w:t xml:space="preserve"> Zone 11, Colonia Roosevelt, to the PNC 110 emergency number.</w:t>
      </w:r>
      <w:r w:rsidR="00CD09AF" w:rsidRPr="00EA6C7A">
        <w:rPr>
          <w:rFonts w:ascii="Verdana" w:eastAsia="Batang" w:hAnsi="Verdana"/>
          <w:sz w:val="20"/>
          <w:szCs w:val="20"/>
          <w:vertAlign w:val="superscript"/>
          <w:lang w:val="en-US" w:eastAsia="es-MX"/>
        </w:rPr>
        <w:footnoteReference w:id="130"/>
      </w:r>
      <w:r w:rsidR="00392247" w:rsidRPr="00EA6C7A">
        <w:rPr>
          <w:rFonts w:ascii="Verdana" w:eastAsia="Batang" w:hAnsi="Verdana"/>
          <w:sz w:val="20"/>
          <w:szCs w:val="20"/>
          <w:lang w:val="en-US" w:eastAsia="es-MX"/>
        </w:rPr>
        <w:t xml:space="preserve"> The file reveals that, on June 26, </w:t>
      </w:r>
      <w:r w:rsidR="00CD09AF" w:rsidRPr="00EA6C7A">
        <w:rPr>
          <w:rFonts w:ascii="Verdana" w:eastAsia="Batang" w:hAnsi="Verdana"/>
          <w:sz w:val="20"/>
          <w:szCs w:val="20"/>
          <w:lang w:val="en-US" w:eastAsia="es-MX"/>
        </w:rPr>
        <w:t>2008</w:t>
      </w:r>
      <w:r w:rsidR="00392247"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00392247" w:rsidRPr="00EA6C7A">
        <w:rPr>
          <w:rFonts w:ascii="Verdana" w:eastAsia="Batang" w:hAnsi="Verdana"/>
          <w:sz w:val="20"/>
          <w:szCs w:val="20"/>
          <w:lang w:val="en-US" w:eastAsia="es-MX"/>
        </w:rPr>
        <w:t>asked PNC</w:t>
      </w:r>
      <w:r w:rsidR="00CD09AF" w:rsidRPr="00EA6C7A">
        <w:rPr>
          <w:rFonts w:ascii="Verdana" w:eastAsia="Batang" w:hAnsi="Verdana"/>
          <w:sz w:val="20"/>
          <w:szCs w:val="20"/>
          <w:lang w:val="en-US" w:eastAsia="es-MX"/>
        </w:rPr>
        <w:t xml:space="preserve"> </w:t>
      </w:r>
      <w:r w:rsidR="000914B5" w:rsidRPr="00EA6C7A">
        <w:rPr>
          <w:rFonts w:ascii="Verdana" w:eastAsia="Batang" w:hAnsi="Verdana"/>
          <w:sz w:val="20"/>
          <w:szCs w:val="20"/>
          <w:lang w:val="en-US" w:eastAsia="es-MX"/>
        </w:rPr>
        <w:t>Precinct</w:t>
      </w:r>
      <w:r w:rsidR="00CD09AF" w:rsidRPr="00EA6C7A">
        <w:rPr>
          <w:rFonts w:ascii="Verdana" w:eastAsia="Batang" w:hAnsi="Verdana"/>
          <w:sz w:val="20"/>
          <w:szCs w:val="20"/>
          <w:lang w:val="en-US" w:eastAsia="es-MX"/>
        </w:rPr>
        <w:t xml:space="preserve"> 14 </w:t>
      </w:r>
      <w:r w:rsidR="00392247" w:rsidRPr="00EA6C7A">
        <w:rPr>
          <w:rFonts w:ascii="Verdana" w:eastAsia="Batang" w:hAnsi="Verdana"/>
          <w:sz w:val="20"/>
          <w:szCs w:val="20"/>
          <w:lang w:val="en-US" w:eastAsia="es-MX"/>
        </w:rPr>
        <w:t xml:space="preserve">to forward </w:t>
      </w:r>
      <w:r w:rsidR="00AC1168" w:rsidRPr="00EA6C7A">
        <w:rPr>
          <w:rFonts w:ascii="Verdana" w:eastAsia="Batang" w:hAnsi="Verdana"/>
          <w:sz w:val="20"/>
          <w:szCs w:val="20"/>
          <w:lang w:val="en-US" w:eastAsia="es-MX"/>
        </w:rPr>
        <w:t xml:space="preserve">information </w:t>
      </w:r>
      <w:r w:rsidR="00392247" w:rsidRPr="00EA6C7A">
        <w:rPr>
          <w:rFonts w:ascii="Verdana" w:eastAsia="Batang" w:hAnsi="Verdana"/>
          <w:sz w:val="20"/>
          <w:szCs w:val="20"/>
          <w:lang w:val="en-US" w:eastAsia="es-MX"/>
        </w:rPr>
        <w:t xml:space="preserve">about the </w:t>
      </w:r>
      <w:r w:rsidR="00EE7442" w:rsidRPr="00EA6C7A">
        <w:rPr>
          <w:rFonts w:ascii="Verdana" w:eastAsia="Batang" w:hAnsi="Verdana"/>
          <w:sz w:val="20"/>
          <w:szCs w:val="20"/>
          <w:lang w:val="en-US" w:eastAsia="es-MX"/>
        </w:rPr>
        <w:t>incident</w:t>
      </w:r>
      <w:r w:rsidR="00392247" w:rsidRPr="00EA6C7A">
        <w:rPr>
          <w:rFonts w:ascii="Verdana" w:eastAsia="Batang" w:hAnsi="Verdana"/>
          <w:sz w:val="20"/>
          <w:szCs w:val="20"/>
          <w:lang w:val="en-US" w:eastAsia="es-MX"/>
        </w:rPr>
        <w:t xml:space="preserve"> reported in this telephone call.</w:t>
      </w:r>
      <w:r w:rsidR="00CD09AF" w:rsidRPr="00EA6C7A">
        <w:rPr>
          <w:rFonts w:ascii="Verdana" w:eastAsia="Batang" w:hAnsi="Verdana"/>
          <w:sz w:val="20"/>
          <w:szCs w:val="20"/>
          <w:vertAlign w:val="superscript"/>
          <w:lang w:val="en-US" w:eastAsia="es-MX"/>
        </w:rPr>
        <w:footnoteReference w:id="131"/>
      </w:r>
      <w:r w:rsidR="00CD09AF" w:rsidRPr="00EA6C7A">
        <w:rPr>
          <w:rFonts w:ascii="Verdana" w:eastAsia="Batang" w:hAnsi="Verdana"/>
          <w:sz w:val="20"/>
          <w:szCs w:val="20"/>
          <w:lang w:val="en-US" w:eastAsia="es-MX"/>
        </w:rPr>
        <w:t xml:space="preserve"> </w:t>
      </w:r>
      <w:r w:rsidR="00AC1168" w:rsidRPr="00EA6C7A">
        <w:rPr>
          <w:rFonts w:ascii="Verdana" w:eastAsia="Batang" w:hAnsi="Verdana"/>
          <w:sz w:val="20"/>
          <w:szCs w:val="20"/>
          <w:lang w:val="en-US" w:eastAsia="es-MX"/>
        </w:rPr>
        <w:t xml:space="preserve">In response, on July 18, 2008, the PNC Sub-General Directorate of Public Security advised that: (a) the system </w:t>
      </w:r>
      <w:r w:rsidR="00EE7442" w:rsidRPr="00EA6C7A">
        <w:rPr>
          <w:rFonts w:ascii="Verdana" w:eastAsia="Batang" w:hAnsi="Verdana"/>
          <w:sz w:val="20"/>
          <w:szCs w:val="20"/>
          <w:lang w:val="en-US" w:eastAsia="es-MX"/>
        </w:rPr>
        <w:t>for</w:t>
      </w:r>
      <w:r w:rsidR="00AC1168" w:rsidRPr="00EA6C7A">
        <w:rPr>
          <w:rFonts w:ascii="Verdana" w:eastAsia="Batang" w:hAnsi="Verdana"/>
          <w:sz w:val="20"/>
          <w:szCs w:val="20"/>
          <w:lang w:val="en-US" w:eastAsia="es-MX"/>
        </w:rPr>
        <w:t xml:space="preserve"> recording emergency calls started in February 2006; (b) since there was no file of any kind, there was no information on the identity of the person in charge or the agents assigned to surveillance and patrols o</w:t>
      </w:r>
      <w:r w:rsidR="000821BA" w:rsidRPr="00EA6C7A">
        <w:rPr>
          <w:rFonts w:ascii="Verdana" w:eastAsia="Batang" w:hAnsi="Verdana"/>
          <w:sz w:val="20"/>
          <w:szCs w:val="20"/>
          <w:lang w:val="en-US" w:eastAsia="es-MX"/>
        </w:rPr>
        <w:t>n August</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00D948A1" w:rsidRPr="00EA6C7A">
        <w:rPr>
          <w:rFonts w:ascii="Verdana" w:eastAsia="Batang" w:hAnsi="Verdana"/>
          <w:sz w:val="20"/>
          <w:szCs w:val="20"/>
          <w:lang w:val="en-US" w:eastAsia="es-MX"/>
        </w:rPr>
        <w:t xml:space="preserve"> and </w:t>
      </w:r>
      <w:r w:rsidR="00AC1168"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c) </w:t>
      </w:r>
      <w:r w:rsidR="00AC1168" w:rsidRPr="00EA6C7A">
        <w:rPr>
          <w:rFonts w:ascii="Verdana" w:eastAsia="Batang" w:hAnsi="Verdana"/>
          <w:sz w:val="20"/>
          <w:szCs w:val="20"/>
          <w:lang w:val="en-US" w:eastAsia="es-MX"/>
        </w:rPr>
        <w:t xml:space="preserve">the logbook for </w:t>
      </w:r>
      <w:r w:rsidR="000B3E6E" w:rsidRPr="00EA6C7A">
        <w:rPr>
          <w:rFonts w:ascii="Verdana" w:eastAsia="Batang" w:hAnsi="Verdana"/>
          <w:sz w:val="20"/>
          <w:szCs w:val="20"/>
          <w:lang w:val="en-US" w:eastAsia="es-MX"/>
        </w:rPr>
        <w:t>August</w:t>
      </w:r>
      <w:r w:rsidR="00AC1168" w:rsidRPr="00EA6C7A">
        <w:rPr>
          <w:rFonts w:ascii="Verdana" w:eastAsia="Batang" w:hAnsi="Verdana"/>
          <w:sz w:val="20"/>
          <w:szCs w:val="20"/>
          <w:lang w:val="en-US" w:eastAsia="es-MX"/>
        </w:rPr>
        <w:t xml:space="preserve"> 12 and</w:t>
      </w:r>
      <w:r w:rsidR="000B3E6E" w:rsidRPr="00EA6C7A">
        <w:rPr>
          <w:rFonts w:ascii="Verdana" w:eastAsia="Batang" w:hAnsi="Verdana"/>
          <w:sz w:val="20"/>
          <w:szCs w:val="20"/>
          <w:lang w:val="en-US" w:eastAsia="es-MX"/>
        </w:rPr>
        <w:t xml:space="preserve"> 13,</w:t>
      </w:r>
      <w:r w:rsidR="00CD09AF" w:rsidRPr="00EA6C7A">
        <w:rPr>
          <w:rFonts w:ascii="Verdana" w:eastAsia="Batang" w:hAnsi="Verdana"/>
          <w:sz w:val="20"/>
          <w:szCs w:val="20"/>
          <w:lang w:val="en-US" w:eastAsia="es-MX"/>
        </w:rPr>
        <w:t xml:space="preserve"> 2005</w:t>
      </w:r>
      <w:r w:rsidR="00AC1168"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AC1168" w:rsidRPr="00EA6C7A">
        <w:rPr>
          <w:rFonts w:ascii="Verdana" w:eastAsia="Batang" w:hAnsi="Verdana"/>
          <w:sz w:val="20"/>
          <w:szCs w:val="20"/>
          <w:lang w:val="en-US" w:eastAsia="es-MX"/>
        </w:rPr>
        <w:t>d</w:t>
      </w:r>
      <w:r w:rsidR="00EE7442" w:rsidRPr="00EA6C7A">
        <w:rPr>
          <w:rFonts w:ascii="Verdana" w:eastAsia="Batang" w:hAnsi="Verdana"/>
          <w:sz w:val="20"/>
          <w:szCs w:val="20"/>
          <w:lang w:val="en-US" w:eastAsia="es-MX"/>
        </w:rPr>
        <w:t>id</w:t>
      </w:r>
      <w:r w:rsidR="00AC1168" w:rsidRPr="00EA6C7A">
        <w:rPr>
          <w:rFonts w:ascii="Verdana" w:eastAsia="Batang" w:hAnsi="Verdana"/>
          <w:sz w:val="20"/>
          <w:szCs w:val="20"/>
          <w:lang w:val="en-US" w:eastAsia="es-MX"/>
        </w:rPr>
        <w:t xml:space="preserve"> not record any information on a possible </w:t>
      </w:r>
      <w:r w:rsidR="00EE7442" w:rsidRPr="00EA6C7A">
        <w:rPr>
          <w:rFonts w:ascii="Verdana" w:eastAsia="Batang" w:hAnsi="Verdana"/>
          <w:sz w:val="20"/>
          <w:szCs w:val="20"/>
          <w:lang w:val="en-US" w:eastAsia="es-MX"/>
        </w:rPr>
        <w:t>sexual assault</w:t>
      </w:r>
      <w:r w:rsidR="00AC1168" w:rsidRPr="00EA6C7A">
        <w:rPr>
          <w:rFonts w:ascii="Verdana" w:eastAsia="Batang" w:hAnsi="Verdana"/>
          <w:sz w:val="20"/>
          <w:szCs w:val="20"/>
          <w:lang w:val="en-US" w:eastAsia="es-MX"/>
        </w:rPr>
        <w:t xml:space="preserve"> </w:t>
      </w:r>
      <w:r w:rsidR="00EE7442" w:rsidRPr="00EA6C7A">
        <w:rPr>
          <w:rFonts w:ascii="Verdana" w:eastAsia="Batang" w:hAnsi="Verdana"/>
          <w:sz w:val="20"/>
          <w:szCs w:val="20"/>
          <w:lang w:val="en-US" w:eastAsia="es-MX"/>
        </w:rPr>
        <w:t>o</w:t>
      </w:r>
      <w:r w:rsidR="00AC1168" w:rsidRPr="00EA6C7A">
        <w:rPr>
          <w:rFonts w:ascii="Verdana" w:eastAsia="Batang" w:hAnsi="Verdana"/>
          <w:sz w:val="20"/>
          <w:szCs w:val="20"/>
          <w:lang w:val="en-US" w:eastAsia="es-MX"/>
        </w:rPr>
        <w:t>n 7</w:t>
      </w:r>
      <w:r w:rsidR="00AC1168" w:rsidRPr="00EA6C7A">
        <w:rPr>
          <w:rFonts w:ascii="Verdana" w:eastAsia="Batang" w:hAnsi="Verdana"/>
          <w:sz w:val="20"/>
          <w:szCs w:val="20"/>
          <w:vertAlign w:val="superscript"/>
          <w:lang w:val="en-US" w:eastAsia="es-MX"/>
        </w:rPr>
        <w:t>th</w:t>
      </w:r>
      <w:r w:rsidR="00AC1168" w:rsidRPr="00EA6C7A">
        <w:rPr>
          <w:rFonts w:ascii="Verdana" w:eastAsia="Batang" w:hAnsi="Verdana"/>
          <w:sz w:val="20"/>
          <w:szCs w:val="20"/>
          <w:lang w:val="en-US" w:eastAsia="es-MX"/>
        </w:rPr>
        <w:t xml:space="preserve"> Street </w:t>
      </w:r>
      <w:r w:rsidR="00CD09AF" w:rsidRPr="00EA6C7A">
        <w:rPr>
          <w:rFonts w:ascii="Verdana" w:eastAsia="Batang" w:hAnsi="Verdana"/>
          <w:sz w:val="20"/>
          <w:szCs w:val="20"/>
          <w:lang w:val="en-US" w:eastAsia="es-MX"/>
        </w:rPr>
        <w:t xml:space="preserve">“A”, </w:t>
      </w:r>
      <w:r w:rsidR="00AC1168" w:rsidRPr="00EA6C7A">
        <w:rPr>
          <w:rFonts w:ascii="Verdana" w:eastAsia="Batang" w:hAnsi="Verdana"/>
          <w:sz w:val="20"/>
          <w:szCs w:val="20"/>
          <w:lang w:val="en-US" w:eastAsia="es-MX"/>
        </w:rPr>
        <w:t xml:space="preserve">in front of the building numbered </w:t>
      </w:r>
      <w:r w:rsidR="00CD09AF" w:rsidRPr="00EA6C7A">
        <w:rPr>
          <w:rFonts w:ascii="Verdana" w:eastAsia="Batang" w:hAnsi="Verdana"/>
          <w:sz w:val="20"/>
          <w:szCs w:val="20"/>
          <w:lang w:val="en-US" w:eastAsia="es-MX"/>
        </w:rPr>
        <w:t xml:space="preserve">11-32 </w:t>
      </w:r>
      <w:r w:rsidR="00AC1168" w:rsidRPr="00EA6C7A">
        <w:rPr>
          <w:rFonts w:ascii="Verdana" w:eastAsia="Batang" w:hAnsi="Verdana"/>
          <w:sz w:val="20"/>
          <w:szCs w:val="20"/>
          <w:lang w:val="en-US" w:eastAsia="es-MX"/>
        </w:rPr>
        <w:t>in</w:t>
      </w:r>
      <w:r w:rsidR="00CD09AF" w:rsidRPr="00EA6C7A">
        <w:rPr>
          <w:rFonts w:ascii="Verdana" w:eastAsia="Batang" w:hAnsi="Verdana"/>
          <w:sz w:val="20"/>
          <w:szCs w:val="20"/>
          <w:lang w:val="en-US" w:eastAsia="es-MX"/>
        </w:rPr>
        <w:t xml:space="preserve"> Colonia Roosevelt</w:t>
      </w:r>
      <w:r w:rsidR="00AC1168"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83210F" w:rsidRPr="00EA6C7A">
        <w:rPr>
          <w:rFonts w:ascii="Verdana" w:eastAsia="Batang" w:hAnsi="Verdana"/>
          <w:sz w:val="20"/>
          <w:szCs w:val="20"/>
          <w:lang w:val="en-US" w:eastAsia="es-MX"/>
        </w:rPr>
        <w:t>Zone</w:t>
      </w:r>
      <w:r w:rsidR="00CD09AF" w:rsidRPr="00EA6C7A">
        <w:rPr>
          <w:rFonts w:ascii="Verdana" w:eastAsia="Batang" w:hAnsi="Verdana"/>
          <w:sz w:val="20"/>
          <w:szCs w:val="20"/>
          <w:lang w:val="en-US" w:eastAsia="es-MX"/>
        </w:rPr>
        <w:t xml:space="preserve"> 11</w:t>
      </w:r>
      <w:r w:rsidR="00AC1168"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32"/>
      </w:r>
    </w:p>
    <w:p w14:paraId="6C68574B" w14:textId="77777777" w:rsidR="00CD09AF" w:rsidRPr="00EA6C7A" w:rsidRDefault="00AC1168"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Expert analysis of the ballistic trajectory</w:t>
      </w:r>
      <w:r w:rsidR="00CD09AF" w:rsidRPr="00EA6C7A">
        <w:rPr>
          <w:rFonts w:ascii="Verdana" w:eastAsia="Batang" w:hAnsi="Verdana"/>
          <w:i/>
          <w:sz w:val="20"/>
          <w:szCs w:val="20"/>
          <w:lang w:val="en-US" w:eastAsia="es-MX"/>
        </w:rPr>
        <w:t xml:space="preserve">. </w:t>
      </w:r>
      <w:r w:rsidRPr="00EA6C7A">
        <w:rPr>
          <w:rFonts w:ascii="Verdana" w:eastAsia="Batang" w:hAnsi="Verdana"/>
          <w:sz w:val="20"/>
          <w:szCs w:val="20"/>
          <w:lang w:val="en-US" w:eastAsia="es-MX"/>
        </w:rPr>
        <w:t>On July 23,</w:t>
      </w:r>
      <w:r w:rsidR="00CD09AF" w:rsidRPr="00EA6C7A">
        <w:rPr>
          <w:rFonts w:ascii="Verdana" w:eastAsia="Batang" w:hAnsi="Verdana"/>
          <w:sz w:val="20"/>
          <w:szCs w:val="20"/>
          <w:lang w:val="en-US" w:eastAsia="es-MX"/>
        </w:rPr>
        <w:t xml:space="preserve"> 2008</w:t>
      </w:r>
      <w:r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asked the PNC Criminalistics Bureau</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to perform an expert analysis based on the photographic album of the crime scene, the video on the processing of the crime scene, the autopsy report and its corresponding expansion, and the sketch of the scene of the crime, in order to establish: (1)</w:t>
      </w:r>
      <w:r w:rsidR="00EE7442"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the ballistic trajectory </w:t>
      </w:r>
      <w:r w:rsidRPr="00EA6C7A">
        <w:rPr>
          <w:rFonts w:ascii="Verdana" w:eastAsia="Batang" w:hAnsi="Verdana" w:cs="Arial"/>
          <w:sz w:val="20"/>
          <w:szCs w:val="20"/>
          <w:lang w:val="en-US" w:eastAsia="es-MX"/>
        </w:rPr>
        <w:t xml:space="preserve">based on the elements provided; (2) the position of the victim </w:t>
      </w:r>
      <w:r w:rsidR="00EE7442" w:rsidRPr="00EA6C7A">
        <w:rPr>
          <w:rFonts w:ascii="Verdana" w:eastAsia="Batang" w:hAnsi="Verdana" w:cs="Arial"/>
          <w:sz w:val="20"/>
          <w:szCs w:val="20"/>
          <w:lang w:val="en-US" w:eastAsia="es-MX"/>
        </w:rPr>
        <w:t>when</w:t>
      </w:r>
      <w:r w:rsidRPr="00EA6C7A">
        <w:rPr>
          <w:rFonts w:ascii="Verdana" w:eastAsia="Batang" w:hAnsi="Verdana" w:cs="Arial"/>
          <w:sz w:val="20"/>
          <w:szCs w:val="20"/>
          <w:lang w:val="en-US" w:eastAsia="es-MX"/>
        </w:rPr>
        <w:t xml:space="preserve"> she received the</w:t>
      </w:r>
      <w:r w:rsidR="00EE7442" w:rsidRPr="00EA6C7A">
        <w:rPr>
          <w:rFonts w:ascii="Verdana" w:eastAsia="Batang" w:hAnsi="Verdana" w:cs="Arial"/>
          <w:sz w:val="20"/>
          <w:szCs w:val="20"/>
          <w:lang w:val="en-US" w:eastAsia="es-MX"/>
        </w:rPr>
        <w:t xml:space="preserve"> bullet’s</w:t>
      </w:r>
      <w:r w:rsidRPr="00EA6C7A">
        <w:rPr>
          <w:rFonts w:ascii="Verdana" w:eastAsia="Batang" w:hAnsi="Verdana" w:cs="Arial"/>
          <w:sz w:val="20"/>
          <w:szCs w:val="20"/>
          <w:lang w:val="en-US" w:eastAsia="es-MX"/>
        </w:rPr>
        <w:t xml:space="preserve"> impact; (3) the position of the perpetrator </w:t>
      </w:r>
      <w:r w:rsidR="00EE7442" w:rsidRPr="00EA6C7A">
        <w:rPr>
          <w:rFonts w:ascii="Verdana" w:eastAsia="Batang" w:hAnsi="Verdana" w:cs="Arial"/>
          <w:sz w:val="20"/>
          <w:szCs w:val="20"/>
          <w:lang w:val="en-US" w:eastAsia="es-MX"/>
        </w:rPr>
        <w:t>when</w:t>
      </w:r>
      <w:r w:rsidRPr="00EA6C7A">
        <w:rPr>
          <w:rFonts w:ascii="Verdana" w:eastAsia="Batang" w:hAnsi="Verdana" w:cs="Arial"/>
          <w:sz w:val="20"/>
          <w:szCs w:val="20"/>
          <w:lang w:val="en-US" w:eastAsia="es-MX"/>
        </w:rPr>
        <w:t xml:space="preserve"> he shot </w:t>
      </w:r>
      <w:r w:rsidR="00EE7442" w:rsidRPr="00EA6C7A">
        <w:rPr>
          <w:rFonts w:ascii="Verdana" w:eastAsia="Batang" w:hAnsi="Verdana" w:cs="Arial"/>
          <w:sz w:val="20"/>
          <w:szCs w:val="20"/>
          <w:lang w:val="en-US" w:eastAsia="es-MX"/>
        </w:rPr>
        <w:t>her</w:t>
      </w:r>
      <w:r w:rsidRPr="00EA6C7A">
        <w:rPr>
          <w:rFonts w:ascii="Verdana" w:eastAsia="Batang" w:hAnsi="Verdana" w:cs="Arial"/>
          <w:sz w:val="20"/>
          <w:szCs w:val="20"/>
          <w:lang w:val="en-US" w:eastAsia="es-MX"/>
        </w:rPr>
        <w:t xml:space="preserve">; (4) the distance </w:t>
      </w:r>
      <w:r w:rsidR="007C0B6F" w:rsidRPr="00EA6C7A">
        <w:rPr>
          <w:rFonts w:ascii="Verdana" w:eastAsia="Batang" w:hAnsi="Verdana" w:cs="Arial"/>
          <w:sz w:val="20"/>
          <w:szCs w:val="20"/>
          <w:lang w:val="en-US" w:eastAsia="es-MX"/>
        </w:rPr>
        <w:t>between</w:t>
      </w:r>
      <w:r w:rsidR="00413F65" w:rsidRPr="00EA6C7A">
        <w:rPr>
          <w:rFonts w:ascii="Verdana" w:eastAsia="Batang" w:hAnsi="Verdana" w:cs="Arial"/>
          <w:sz w:val="20"/>
          <w:szCs w:val="20"/>
          <w:lang w:val="en-US" w:eastAsia="es-MX"/>
        </w:rPr>
        <w:t xml:space="preserve"> the</w:t>
      </w:r>
      <w:r w:rsidR="007C0B6F" w:rsidRPr="00EA6C7A">
        <w:rPr>
          <w:rFonts w:ascii="Verdana" w:eastAsia="Batang" w:hAnsi="Verdana" w:cs="Arial"/>
          <w:sz w:val="20"/>
          <w:szCs w:val="20"/>
          <w:lang w:val="en-US" w:eastAsia="es-MX"/>
        </w:rPr>
        <w:t xml:space="preserve"> barrel of the gun and the target</w:t>
      </w:r>
      <w:r w:rsidR="00413F65" w:rsidRPr="00EA6C7A">
        <w:rPr>
          <w:rFonts w:ascii="Verdana" w:eastAsia="Batang" w:hAnsi="Verdana" w:cs="Arial"/>
          <w:sz w:val="20"/>
          <w:szCs w:val="20"/>
          <w:lang w:val="en-US" w:eastAsia="es-MX"/>
        </w:rPr>
        <w:t>; (5) the perpetrator’s height; (6) whether the perpetrator was right-handed or left-handed, and (7) any other information that c</w:t>
      </w:r>
      <w:r w:rsidR="00EE7442" w:rsidRPr="00EA6C7A">
        <w:rPr>
          <w:rFonts w:ascii="Verdana" w:eastAsia="Batang" w:hAnsi="Verdana" w:cs="Arial"/>
          <w:sz w:val="20"/>
          <w:szCs w:val="20"/>
          <w:lang w:val="en-US" w:eastAsia="es-MX"/>
        </w:rPr>
        <w:t>ould</w:t>
      </w:r>
      <w:r w:rsidR="00413F65" w:rsidRPr="00EA6C7A">
        <w:rPr>
          <w:rFonts w:ascii="Verdana" w:eastAsia="Batang" w:hAnsi="Verdana" w:cs="Arial"/>
          <w:sz w:val="20"/>
          <w:szCs w:val="20"/>
          <w:lang w:val="en-US" w:eastAsia="es-MX"/>
        </w:rPr>
        <w:t xml:space="preserve"> be obtained and that </w:t>
      </w:r>
      <w:r w:rsidR="00EE7442" w:rsidRPr="00EA6C7A">
        <w:rPr>
          <w:rFonts w:ascii="Verdana" w:eastAsia="Batang" w:hAnsi="Verdana" w:cs="Arial"/>
          <w:sz w:val="20"/>
          <w:szCs w:val="20"/>
          <w:lang w:val="en-US" w:eastAsia="es-MX"/>
        </w:rPr>
        <w:t>wa</w:t>
      </w:r>
      <w:r w:rsidR="00413F65" w:rsidRPr="00EA6C7A">
        <w:rPr>
          <w:rFonts w:ascii="Verdana" w:eastAsia="Batang" w:hAnsi="Verdana" w:cs="Arial"/>
          <w:sz w:val="20"/>
          <w:szCs w:val="20"/>
          <w:lang w:val="en-US" w:eastAsia="es-MX"/>
        </w:rPr>
        <w:t>s considered useful for clarification of the facts.</w:t>
      </w:r>
      <w:r w:rsidR="00CD09AF" w:rsidRPr="00EA6C7A">
        <w:rPr>
          <w:rFonts w:ascii="Verdana" w:eastAsia="Batang" w:hAnsi="Verdana" w:cs="Arial"/>
          <w:sz w:val="20"/>
          <w:szCs w:val="20"/>
          <w:vertAlign w:val="superscript"/>
          <w:lang w:val="en-US" w:eastAsia="es-MX"/>
        </w:rPr>
        <w:footnoteReference w:id="133"/>
      </w:r>
      <w:r w:rsidR="00413F65" w:rsidRPr="00EA6C7A">
        <w:rPr>
          <w:rFonts w:ascii="Verdana" w:eastAsia="Batang" w:hAnsi="Verdana" w:cs="Arial"/>
          <w:sz w:val="20"/>
          <w:szCs w:val="20"/>
          <w:lang w:val="en-US" w:eastAsia="es-MX"/>
        </w:rPr>
        <w:t xml:space="preserve"> In response, the ballistics expert assigned to the task advised that it was not possible to calculate the ballistic trajectory on the basis of the elements provided, because this had to be calculated </w:t>
      </w:r>
      <w:r w:rsidR="00EE7442" w:rsidRPr="00EA6C7A">
        <w:rPr>
          <w:rFonts w:ascii="Verdana" w:eastAsia="Batang" w:hAnsi="Verdana" w:cs="Arial"/>
          <w:sz w:val="20"/>
          <w:szCs w:val="20"/>
          <w:lang w:val="en-US" w:eastAsia="es-MX"/>
        </w:rPr>
        <w:t>at the site</w:t>
      </w:r>
      <w:r w:rsidR="00413F65" w:rsidRPr="00EA6C7A">
        <w:rPr>
          <w:rFonts w:ascii="Verdana" w:eastAsia="Batang" w:hAnsi="Verdana" w:cs="Arial"/>
          <w:sz w:val="20"/>
          <w:szCs w:val="20"/>
          <w:lang w:val="en-US" w:eastAsia="es-MX"/>
        </w:rPr>
        <w:t xml:space="preserve"> where the </w:t>
      </w:r>
      <w:r w:rsidR="00EE7442" w:rsidRPr="00EA6C7A">
        <w:rPr>
          <w:rFonts w:ascii="Verdana" w:eastAsia="Batang" w:hAnsi="Verdana" w:cs="Arial"/>
          <w:sz w:val="20"/>
          <w:szCs w:val="20"/>
          <w:lang w:val="en-US" w:eastAsia="es-MX"/>
        </w:rPr>
        <w:t>incident</w:t>
      </w:r>
      <w:r w:rsidR="00413F65" w:rsidRPr="00EA6C7A">
        <w:rPr>
          <w:rFonts w:ascii="Verdana" w:eastAsia="Batang" w:hAnsi="Verdana" w:cs="Arial"/>
          <w:sz w:val="20"/>
          <w:szCs w:val="20"/>
          <w:lang w:val="en-US" w:eastAsia="es-MX"/>
        </w:rPr>
        <w:t xml:space="preserve"> took place.</w:t>
      </w:r>
      <w:r w:rsidR="00CD09AF" w:rsidRPr="00EA6C7A">
        <w:rPr>
          <w:rFonts w:ascii="Verdana" w:eastAsia="Batang" w:hAnsi="Verdana" w:cs="Arial"/>
          <w:sz w:val="20"/>
          <w:szCs w:val="20"/>
          <w:vertAlign w:val="superscript"/>
          <w:lang w:val="en-US" w:eastAsia="es-MX"/>
        </w:rPr>
        <w:footnoteReference w:id="134"/>
      </w:r>
      <w:r w:rsidR="00CD09AF" w:rsidRPr="00EA6C7A">
        <w:rPr>
          <w:rFonts w:ascii="Verdana" w:eastAsia="Batang" w:hAnsi="Verdana" w:cs="Arial"/>
          <w:sz w:val="20"/>
          <w:szCs w:val="20"/>
          <w:lang w:val="en-US" w:eastAsia="es-MX"/>
        </w:rPr>
        <w:t xml:space="preserve"> </w:t>
      </w:r>
      <w:r w:rsidR="00413F65" w:rsidRPr="00EA6C7A">
        <w:rPr>
          <w:rFonts w:ascii="Verdana" w:eastAsia="Batang" w:hAnsi="Verdana"/>
          <w:sz w:val="20"/>
          <w:szCs w:val="20"/>
          <w:lang w:val="en-US" w:eastAsia="es-MX"/>
        </w:rPr>
        <w:t>Subsequently</w:t>
      </w:r>
      <w:r w:rsidR="00CD09AF" w:rsidRPr="00EA6C7A">
        <w:rPr>
          <w:rFonts w:ascii="Verdana" w:eastAsia="Batang" w:hAnsi="Verdana"/>
          <w:sz w:val="20"/>
          <w:szCs w:val="20"/>
          <w:lang w:val="en-US" w:eastAsia="es-MX"/>
        </w:rPr>
        <w:t xml:space="preserve">, </w:t>
      </w:r>
      <w:r w:rsidR="00413F65"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1914FC" w:rsidRPr="00EA6C7A">
        <w:rPr>
          <w:rFonts w:ascii="Verdana" w:eastAsia="Batang" w:hAnsi="Verdana"/>
          <w:sz w:val="20"/>
          <w:szCs w:val="20"/>
          <w:lang w:val="en-US" w:eastAsia="es-MX"/>
        </w:rPr>
        <w:t>May 19,</w:t>
      </w:r>
      <w:r w:rsidR="00CD09AF" w:rsidRPr="00EA6C7A">
        <w:rPr>
          <w:rFonts w:ascii="Verdana" w:eastAsia="Batang" w:hAnsi="Verdana"/>
          <w:sz w:val="20"/>
          <w:szCs w:val="20"/>
          <w:lang w:val="en-US" w:eastAsia="es-MX"/>
        </w:rPr>
        <w:t xml:space="preserve"> 2009</w:t>
      </w:r>
      <w:r w:rsidR="00413F65"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00CD09AF" w:rsidRPr="00EA6C7A">
        <w:rPr>
          <w:rFonts w:ascii="Verdana" w:eastAsia="Batang" w:hAnsi="Verdana"/>
          <w:sz w:val="20"/>
          <w:szCs w:val="20"/>
          <w:lang w:val="en-US" w:eastAsia="es-MX"/>
        </w:rPr>
        <w:t xml:space="preserve"> </w:t>
      </w:r>
      <w:r w:rsidR="00413F65" w:rsidRPr="00EA6C7A">
        <w:rPr>
          <w:rFonts w:ascii="Verdana" w:eastAsia="Batang" w:hAnsi="Verdana"/>
          <w:sz w:val="20"/>
          <w:szCs w:val="20"/>
          <w:lang w:val="en-US" w:eastAsia="es-MX"/>
        </w:rPr>
        <w:lastRenderedPageBreak/>
        <w:t>asked the</w:t>
      </w:r>
      <w:r w:rsidR="00CD09AF" w:rsidRPr="00EA6C7A">
        <w:rPr>
          <w:rFonts w:ascii="Verdana" w:eastAsia="Batang" w:hAnsi="Verdana"/>
          <w:sz w:val="20"/>
          <w:szCs w:val="20"/>
          <w:lang w:val="en-US" w:eastAsia="es-MX"/>
        </w:rPr>
        <w:t xml:space="preserve"> INACIF </w:t>
      </w:r>
      <w:r w:rsidR="00413F65" w:rsidRPr="00EA6C7A">
        <w:rPr>
          <w:rFonts w:ascii="Verdana" w:eastAsia="Batang" w:hAnsi="Verdana"/>
          <w:sz w:val="20"/>
          <w:szCs w:val="20"/>
          <w:lang w:val="en-US" w:eastAsia="es-MX"/>
        </w:rPr>
        <w:t>to make an expert analysis of the ballistic trajectory. In response, on June 9, 2009, the INACIF advised that the file contained “a series of reports that were of no use to determine the ballistic trajectory”</w:t>
      </w:r>
      <w:r w:rsidR="00C93375" w:rsidRPr="00EA6C7A">
        <w:rPr>
          <w:rFonts w:ascii="Verdana" w:eastAsia="Batang" w:hAnsi="Verdana"/>
          <w:sz w:val="20"/>
          <w:szCs w:val="20"/>
          <w:lang w:val="en-US" w:eastAsia="es-MX"/>
        </w:rPr>
        <w:t>; accordingly,</w:t>
      </w:r>
      <w:r w:rsidR="00413F65" w:rsidRPr="00EA6C7A">
        <w:rPr>
          <w:rFonts w:ascii="Verdana" w:eastAsia="Batang" w:hAnsi="Verdana"/>
          <w:sz w:val="20"/>
          <w:szCs w:val="20"/>
          <w:lang w:val="en-US" w:eastAsia="es-MX"/>
        </w:rPr>
        <w:t xml:space="preserve"> based on the data at hand, it was not feasible to comply with the request to determine the ballistic trajectory.</w:t>
      </w:r>
      <w:r w:rsidR="00CD09AF" w:rsidRPr="00EA6C7A">
        <w:rPr>
          <w:rFonts w:ascii="Verdana" w:eastAsia="Batang" w:hAnsi="Verdana"/>
          <w:sz w:val="20"/>
          <w:szCs w:val="20"/>
          <w:vertAlign w:val="superscript"/>
          <w:lang w:val="en-US" w:eastAsia="es-MX"/>
        </w:rPr>
        <w:footnoteReference w:id="135"/>
      </w:r>
      <w:r w:rsidR="00CD09AF" w:rsidRPr="00EA6C7A">
        <w:rPr>
          <w:rFonts w:ascii="Verdana" w:eastAsia="Batang" w:hAnsi="Verdana"/>
          <w:sz w:val="20"/>
          <w:szCs w:val="20"/>
          <w:lang w:val="en-US" w:eastAsia="es-MX"/>
        </w:rPr>
        <w:t xml:space="preserve"> </w:t>
      </w:r>
    </w:p>
    <w:p w14:paraId="79E9D2C0" w14:textId="77777777" w:rsidR="00CD09AF" w:rsidRPr="00EA6C7A" w:rsidRDefault="00CD09AF"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P</w:t>
      </w:r>
      <w:r w:rsidR="00413F65" w:rsidRPr="00EA6C7A">
        <w:rPr>
          <w:rFonts w:ascii="Verdana" w:eastAsia="Batang" w:hAnsi="Verdana"/>
          <w:i/>
          <w:sz w:val="20"/>
          <w:szCs w:val="20"/>
          <w:lang w:val="en-US" w:eastAsia="es-MX"/>
        </w:rPr>
        <w:t xml:space="preserve">sychiatric profile of victim, perpetrator and crime scene. </w:t>
      </w:r>
      <w:r w:rsidR="00413F65" w:rsidRPr="00EA6C7A">
        <w:rPr>
          <w:rFonts w:ascii="Verdana" w:eastAsia="Batang" w:hAnsi="Verdana"/>
          <w:sz w:val="20"/>
          <w:szCs w:val="20"/>
          <w:lang w:val="en-US" w:eastAsia="es-MX"/>
        </w:rPr>
        <w:t>On</w:t>
      </w:r>
      <w:r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August</w:t>
      </w:r>
      <w:r w:rsidRPr="00EA6C7A">
        <w:rPr>
          <w:rFonts w:ascii="Verdana" w:eastAsia="Batang" w:hAnsi="Verdana"/>
          <w:sz w:val="20"/>
          <w:szCs w:val="20"/>
          <w:lang w:val="en-US" w:eastAsia="es-MX"/>
        </w:rPr>
        <w:t xml:space="preserve"> </w:t>
      </w:r>
      <w:r w:rsidR="00413F65" w:rsidRPr="00EA6C7A">
        <w:rPr>
          <w:rFonts w:ascii="Verdana" w:eastAsia="Batang" w:hAnsi="Verdana"/>
          <w:sz w:val="20"/>
          <w:szCs w:val="20"/>
          <w:lang w:val="en-US" w:eastAsia="es-MX"/>
        </w:rPr>
        <w:t>7,</w:t>
      </w:r>
      <w:r w:rsidRPr="00EA6C7A">
        <w:rPr>
          <w:rFonts w:ascii="Verdana" w:eastAsia="Batang" w:hAnsi="Verdana"/>
          <w:sz w:val="20"/>
          <w:szCs w:val="20"/>
          <w:lang w:val="en-US" w:eastAsia="es-MX"/>
        </w:rPr>
        <w:t xml:space="preserve"> 2008</w:t>
      </w:r>
      <w:r w:rsidR="00413F65"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Pr="00EA6C7A">
        <w:rPr>
          <w:rFonts w:ascii="Verdana" w:eastAsia="Batang" w:hAnsi="Verdana"/>
          <w:sz w:val="20"/>
          <w:szCs w:val="20"/>
          <w:lang w:val="en-US" w:eastAsia="es-MX"/>
        </w:rPr>
        <w:t xml:space="preserve"> </w:t>
      </w:r>
      <w:r w:rsidR="00413F65" w:rsidRPr="00EA6C7A">
        <w:rPr>
          <w:rFonts w:ascii="Verdana" w:eastAsia="Batang" w:hAnsi="Verdana"/>
          <w:sz w:val="20"/>
          <w:szCs w:val="20"/>
          <w:lang w:val="en-US" w:eastAsia="es-MX"/>
        </w:rPr>
        <w:t>asked a medical expert from the Psychiatr</w:t>
      </w:r>
      <w:r w:rsidR="00C93375" w:rsidRPr="00EA6C7A">
        <w:rPr>
          <w:rFonts w:ascii="Verdana" w:eastAsia="Batang" w:hAnsi="Verdana"/>
          <w:sz w:val="20"/>
          <w:szCs w:val="20"/>
          <w:lang w:val="en-US" w:eastAsia="es-MX"/>
        </w:rPr>
        <w:t>y</w:t>
      </w:r>
      <w:r w:rsidR="00413F65" w:rsidRPr="00EA6C7A">
        <w:rPr>
          <w:rFonts w:ascii="Verdana" w:eastAsia="Batang" w:hAnsi="Verdana"/>
          <w:sz w:val="20"/>
          <w:szCs w:val="20"/>
          <w:lang w:val="en-US" w:eastAsia="es-MX"/>
        </w:rPr>
        <w:t xml:space="preserve"> Area of the INACIF to prepare a psychiatric </w:t>
      </w:r>
      <w:r w:rsidR="00413F65" w:rsidRPr="00EA6C7A">
        <w:rPr>
          <w:rFonts w:ascii="Verdana" w:eastAsia="Batang" w:hAnsi="Verdana"/>
          <w:iCs/>
          <w:sz w:val="20"/>
          <w:szCs w:val="20"/>
          <w:lang w:val="en-US" w:eastAsia="es-MX"/>
        </w:rPr>
        <w:t>profile of victim, perpetrator and crime scene in the case of</w:t>
      </w:r>
      <w:r w:rsidRPr="00EA6C7A">
        <w:rPr>
          <w:rFonts w:ascii="Verdana" w:eastAsia="Batang" w:hAnsi="Verdana"/>
          <w:sz w:val="20"/>
          <w:szCs w:val="20"/>
          <w:lang w:val="en-US" w:eastAsia="es-MX"/>
        </w:rPr>
        <w:t xml:space="preserve"> Claudina Velásquez. </w:t>
      </w:r>
      <w:r w:rsidR="00413F65" w:rsidRPr="00EA6C7A">
        <w:rPr>
          <w:rFonts w:ascii="Verdana" w:eastAsia="Batang" w:hAnsi="Verdana"/>
          <w:sz w:val="20"/>
          <w:szCs w:val="20"/>
          <w:lang w:val="en-US" w:eastAsia="es-MX"/>
        </w:rPr>
        <w:t>In response</w:t>
      </w:r>
      <w:r w:rsidRPr="00EA6C7A">
        <w:rPr>
          <w:rFonts w:ascii="Verdana" w:eastAsia="Batang" w:hAnsi="Verdana"/>
          <w:sz w:val="20"/>
          <w:szCs w:val="20"/>
          <w:lang w:val="en-US" w:eastAsia="es-MX"/>
        </w:rPr>
        <w:t xml:space="preserve">, </w:t>
      </w:r>
      <w:r w:rsidR="00413F65" w:rsidRPr="00EA6C7A">
        <w:rPr>
          <w:rFonts w:ascii="Verdana" w:eastAsia="Batang" w:hAnsi="Verdana"/>
          <w:sz w:val="20"/>
          <w:szCs w:val="20"/>
          <w:lang w:val="en-US" w:eastAsia="es-MX"/>
        </w:rPr>
        <w:t xml:space="preserve">on </w:t>
      </w:r>
      <w:r w:rsidR="003F510E" w:rsidRPr="00EA6C7A">
        <w:rPr>
          <w:rFonts w:ascii="Verdana" w:eastAsia="Batang" w:hAnsi="Verdana"/>
          <w:sz w:val="20"/>
          <w:szCs w:val="20"/>
          <w:lang w:val="en-US" w:eastAsia="es-MX"/>
        </w:rPr>
        <w:t xml:space="preserve">November </w:t>
      </w:r>
      <w:r w:rsidR="00413F65"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4,</w:t>
      </w:r>
      <w:r w:rsidRPr="00EA6C7A">
        <w:rPr>
          <w:rFonts w:ascii="Verdana" w:eastAsia="Batang" w:hAnsi="Verdana"/>
          <w:sz w:val="20"/>
          <w:szCs w:val="20"/>
          <w:lang w:val="en-US" w:eastAsia="es-MX"/>
        </w:rPr>
        <w:t xml:space="preserve"> 2008</w:t>
      </w:r>
      <w:r w:rsidR="00413F65" w:rsidRPr="00EA6C7A">
        <w:rPr>
          <w:rFonts w:ascii="Verdana" w:eastAsia="Batang" w:hAnsi="Verdana"/>
          <w:sz w:val="20"/>
          <w:szCs w:val="20"/>
          <w:lang w:val="en-US" w:eastAsia="es-MX"/>
        </w:rPr>
        <w:t xml:space="preserve">, the expert issued a forensic psychiatric </w:t>
      </w:r>
      <w:r w:rsidR="008C4FF3" w:rsidRPr="00EA6C7A">
        <w:rPr>
          <w:rFonts w:ascii="Verdana" w:eastAsia="Batang" w:hAnsi="Verdana"/>
          <w:sz w:val="20"/>
          <w:szCs w:val="20"/>
          <w:lang w:val="en-US" w:eastAsia="es-MX"/>
        </w:rPr>
        <w:t>report</w:t>
      </w:r>
      <w:r w:rsidR="00413F65" w:rsidRPr="00EA6C7A">
        <w:rPr>
          <w:rFonts w:ascii="Verdana" w:eastAsia="Batang" w:hAnsi="Verdana"/>
          <w:sz w:val="20"/>
          <w:szCs w:val="20"/>
          <w:lang w:val="en-US" w:eastAsia="es-MX"/>
        </w:rPr>
        <w:t xml:space="preserve"> in which he included his conclusions on the psychiatric and ps</w:t>
      </w:r>
      <w:r w:rsidR="00781EBE" w:rsidRPr="00EA6C7A">
        <w:rPr>
          <w:rFonts w:ascii="Verdana" w:eastAsia="Batang" w:hAnsi="Verdana"/>
          <w:sz w:val="20"/>
          <w:szCs w:val="20"/>
          <w:lang w:val="en-US" w:eastAsia="es-MX"/>
        </w:rPr>
        <w:t xml:space="preserve">ychological profile of the victim and </w:t>
      </w:r>
      <w:r w:rsidR="007C0B6F" w:rsidRPr="00EA6C7A">
        <w:rPr>
          <w:rFonts w:ascii="Verdana" w:eastAsia="Batang" w:hAnsi="Verdana"/>
          <w:sz w:val="20"/>
          <w:szCs w:val="20"/>
          <w:lang w:val="en-US" w:eastAsia="es-MX"/>
        </w:rPr>
        <w:t xml:space="preserve">the </w:t>
      </w:r>
      <w:r w:rsidR="00781EBE" w:rsidRPr="00EA6C7A">
        <w:rPr>
          <w:rFonts w:ascii="Verdana" w:eastAsia="Batang" w:hAnsi="Verdana"/>
          <w:sz w:val="20"/>
          <w:szCs w:val="20"/>
          <w:lang w:val="en-US" w:eastAsia="es-MX"/>
        </w:rPr>
        <w:t>perpetrator</w:t>
      </w:r>
      <w:r w:rsidR="007C0B6F"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as well as an assessment of the crime scene</w:t>
      </w:r>
      <w:r w:rsidR="00C93375"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and considerations on the perpetrator based on the crime scene.</w:t>
      </w:r>
      <w:r w:rsidRPr="00EA6C7A">
        <w:rPr>
          <w:rFonts w:ascii="Verdana" w:eastAsia="Batang" w:hAnsi="Verdana"/>
          <w:sz w:val="20"/>
          <w:szCs w:val="20"/>
          <w:vertAlign w:val="superscript"/>
          <w:lang w:val="en-US" w:eastAsia="es-MX"/>
        </w:rPr>
        <w:footnoteReference w:id="136"/>
      </w:r>
      <w:r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On January 15,</w:t>
      </w:r>
      <w:r w:rsidRPr="00EA6C7A">
        <w:rPr>
          <w:rFonts w:ascii="Verdana" w:eastAsia="Batang" w:hAnsi="Verdana"/>
          <w:sz w:val="20"/>
          <w:szCs w:val="20"/>
          <w:lang w:val="en-US" w:eastAsia="es-MX"/>
        </w:rPr>
        <w:t xml:space="preserve"> 2009</w:t>
      </w:r>
      <w:r w:rsidR="00781EBE"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asked that the report be expanded.</w:t>
      </w:r>
      <w:r w:rsidRPr="00EA6C7A">
        <w:rPr>
          <w:rFonts w:ascii="Verdana" w:eastAsia="Batang" w:hAnsi="Verdana"/>
          <w:sz w:val="20"/>
          <w:szCs w:val="20"/>
          <w:vertAlign w:val="superscript"/>
          <w:lang w:val="en-US" w:eastAsia="es-MX"/>
        </w:rPr>
        <w:footnoteReference w:id="137"/>
      </w:r>
    </w:p>
    <w:p w14:paraId="1A470F5B" w14:textId="77777777" w:rsidR="00CD09AF" w:rsidRPr="00EA6C7A" w:rsidRDefault="00CD09AF"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Re</w:t>
      </w:r>
      <w:r w:rsidR="00781EBE" w:rsidRPr="00EA6C7A">
        <w:rPr>
          <w:rFonts w:ascii="Verdana" w:eastAsia="Batang" w:hAnsi="Verdana"/>
          <w:i/>
          <w:sz w:val="20"/>
          <w:szCs w:val="20"/>
          <w:lang w:val="en-US" w:eastAsia="es-MX"/>
        </w:rPr>
        <w:t xml:space="preserve">garding the police assigned to the </w:t>
      </w:r>
      <w:r w:rsidR="0083210F" w:rsidRPr="00EA6C7A">
        <w:rPr>
          <w:rFonts w:ascii="Verdana" w:eastAsia="Batang" w:hAnsi="Verdana"/>
          <w:i/>
          <w:sz w:val="20"/>
          <w:szCs w:val="20"/>
          <w:lang w:val="en-US" w:eastAsia="es-MX"/>
        </w:rPr>
        <w:t>Zone</w:t>
      </w:r>
      <w:r w:rsidRPr="00EA6C7A">
        <w:rPr>
          <w:rFonts w:ascii="Verdana" w:eastAsia="Batang" w:hAnsi="Verdana"/>
          <w:i/>
          <w:sz w:val="20"/>
          <w:szCs w:val="20"/>
          <w:lang w:val="en-US" w:eastAsia="es-MX"/>
        </w:rPr>
        <w:t>.</w:t>
      </w:r>
      <w:r w:rsidRPr="00EA6C7A">
        <w:rPr>
          <w:rFonts w:ascii="Verdana" w:eastAsia="Batang" w:hAnsi="Verdana"/>
          <w:b/>
          <w:sz w:val="20"/>
          <w:szCs w:val="20"/>
          <w:lang w:val="en-US" w:eastAsia="es-MX"/>
        </w:rPr>
        <w:t xml:space="preserve"> </w:t>
      </w:r>
      <w:r w:rsidR="00781EBE" w:rsidRPr="00EA6C7A">
        <w:rPr>
          <w:rFonts w:ascii="Verdana" w:eastAsia="Batang" w:hAnsi="Verdana"/>
          <w:sz w:val="20"/>
          <w:szCs w:val="20"/>
          <w:lang w:val="en-US" w:eastAsia="es-MX"/>
        </w:rPr>
        <w:t>On</w:t>
      </w:r>
      <w:r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August</w:t>
      </w:r>
      <w:r w:rsidR="00D948A1"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 xml:space="preserve">24 </w:t>
      </w:r>
      <w:r w:rsidR="00D948A1" w:rsidRPr="00EA6C7A">
        <w:rPr>
          <w:rFonts w:ascii="Verdana" w:eastAsia="Batang" w:hAnsi="Verdana"/>
          <w:sz w:val="20"/>
          <w:szCs w:val="20"/>
          <w:lang w:val="en-US" w:eastAsia="es-MX"/>
        </w:rPr>
        <w:t xml:space="preserve">and </w:t>
      </w:r>
      <w:r w:rsidR="003F510E" w:rsidRPr="00EA6C7A">
        <w:rPr>
          <w:rFonts w:ascii="Verdana" w:eastAsia="Batang" w:hAnsi="Verdana"/>
          <w:sz w:val="20"/>
          <w:szCs w:val="20"/>
          <w:lang w:val="en-US" w:eastAsia="es-MX"/>
        </w:rPr>
        <w:t xml:space="preserve">October </w:t>
      </w:r>
      <w:r w:rsidR="00781EBE" w:rsidRPr="00EA6C7A">
        <w:rPr>
          <w:rFonts w:ascii="Verdana" w:eastAsia="Batang" w:hAnsi="Verdana"/>
          <w:sz w:val="20"/>
          <w:szCs w:val="20"/>
          <w:lang w:val="en-US" w:eastAsia="es-MX"/>
        </w:rPr>
        <w:t>1</w:t>
      </w:r>
      <w:r w:rsidR="003F510E" w:rsidRPr="00EA6C7A">
        <w:rPr>
          <w:rFonts w:ascii="Verdana" w:eastAsia="Batang" w:hAnsi="Verdana"/>
          <w:sz w:val="20"/>
          <w:szCs w:val="20"/>
          <w:lang w:val="en-US" w:eastAsia="es-MX"/>
        </w:rPr>
        <w:t>7,</w:t>
      </w:r>
      <w:r w:rsidRPr="00EA6C7A">
        <w:rPr>
          <w:rFonts w:ascii="Verdana" w:eastAsia="Batang" w:hAnsi="Verdana"/>
          <w:sz w:val="20"/>
          <w:szCs w:val="20"/>
          <w:lang w:val="en-US" w:eastAsia="es-MX"/>
        </w:rPr>
        <w:t xml:space="preserve"> 2011</w:t>
      </w:r>
      <w:r w:rsidR="00781EBE" w:rsidRPr="00EA6C7A">
        <w:rPr>
          <w:rFonts w:ascii="Verdana" w:eastAsia="Batang" w:hAnsi="Verdana"/>
          <w:sz w:val="20"/>
          <w:szCs w:val="20"/>
          <w:lang w:val="en-US" w:eastAsia="es-MX"/>
        </w:rPr>
        <w:t xml:space="preserve">, the prosecutor and the assistant prosecutor requested PNC </w:t>
      </w:r>
      <w:r w:rsidR="000914B5" w:rsidRPr="00EA6C7A">
        <w:rPr>
          <w:rFonts w:ascii="Verdana" w:eastAsia="Batang" w:hAnsi="Verdana"/>
          <w:sz w:val="20"/>
          <w:szCs w:val="20"/>
          <w:lang w:val="en-US" w:eastAsia="es-MX"/>
        </w:rPr>
        <w:t>Precinct</w:t>
      </w:r>
      <w:r w:rsidRPr="00EA6C7A">
        <w:rPr>
          <w:rFonts w:ascii="Verdana" w:eastAsia="Batang" w:hAnsi="Verdana"/>
          <w:sz w:val="20"/>
          <w:szCs w:val="20"/>
          <w:lang w:val="en-US" w:eastAsia="es-MX"/>
        </w:rPr>
        <w:t>s 16</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 xml:space="preserve">14 </w:t>
      </w:r>
      <w:r w:rsidR="00781EBE" w:rsidRPr="00EA6C7A">
        <w:rPr>
          <w:rFonts w:ascii="Verdana" w:eastAsia="Batang" w:hAnsi="Verdana"/>
          <w:sz w:val="20"/>
          <w:szCs w:val="20"/>
          <w:lang w:val="en-US" w:eastAsia="es-MX"/>
        </w:rPr>
        <w:t xml:space="preserve">to provide information on the police units assigned to the Precincts on </w:t>
      </w:r>
      <w:r w:rsidR="000B3E6E" w:rsidRPr="00EA6C7A">
        <w:rPr>
          <w:rFonts w:ascii="Verdana" w:eastAsia="Batang" w:hAnsi="Verdana"/>
          <w:sz w:val="20"/>
          <w:szCs w:val="20"/>
          <w:lang w:val="en-US" w:eastAsia="es-MX"/>
        </w:rPr>
        <w:t xml:space="preserve">August </w:t>
      </w:r>
      <w:r w:rsidR="00781EBE" w:rsidRPr="00EA6C7A">
        <w:rPr>
          <w:rFonts w:ascii="Verdana" w:eastAsia="Batang" w:hAnsi="Verdana"/>
          <w:sz w:val="20"/>
          <w:szCs w:val="20"/>
          <w:lang w:val="en-US" w:eastAsia="es-MX"/>
        </w:rPr>
        <w:t xml:space="preserve"> 12 and </w:t>
      </w:r>
      <w:r w:rsidR="000B3E6E" w:rsidRPr="00EA6C7A">
        <w:rPr>
          <w:rFonts w:ascii="Verdana" w:eastAsia="Batang" w:hAnsi="Verdana"/>
          <w:sz w:val="20"/>
          <w:szCs w:val="20"/>
          <w:lang w:val="en-US" w:eastAsia="es-MX"/>
        </w:rPr>
        <w:t>13,</w:t>
      </w:r>
      <w:r w:rsidRPr="00EA6C7A">
        <w:rPr>
          <w:rFonts w:ascii="Verdana" w:eastAsia="Batang" w:hAnsi="Verdana"/>
          <w:sz w:val="20"/>
          <w:szCs w:val="20"/>
          <w:lang w:val="en-US" w:eastAsia="es-MX"/>
        </w:rPr>
        <w:t xml:space="preserve"> 2005, as</w:t>
      </w:r>
      <w:r w:rsidR="00781EBE" w:rsidRPr="00EA6C7A">
        <w:rPr>
          <w:rFonts w:ascii="Verdana" w:eastAsia="Batang" w:hAnsi="Verdana"/>
          <w:sz w:val="20"/>
          <w:szCs w:val="20"/>
          <w:lang w:val="en-US" w:eastAsia="es-MX"/>
        </w:rPr>
        <w:t xml:space="preserve"> well as the</w:t>
      </w:r>
      <w:r w:rsidR="00C93375" w:rsidRPr="00EA6C7A">
        <w:rPr>
          <w:rFonts w:ascii="Verdana" w:eastAsia="Batang" w:hAnsi="Verdana"/>
          <w:sz w:val="20"/>
          <w:szCs w:val="20"/>
          <w:lang w:val="en-US" w:eastAsia="es-MX"/>
        </w:rPr>
        <w:t>ir</w:t>
      </w:r>
      <w:r w:rsidR="00781EBE" w:rsidRPr="00EA6C7A">
        <w:rPr>
          <w:rFonts w:ascii="Verdana" w:eastAsia="Batang" w:hAnsi="Verdana"/>
          <w:sz w:val="20"/>
          <w:szCs w:val="20"/>
          <w:lang w:val="en-US" w:eastAsia="es-MX"/>
        </w:rPr>
        <w:t xml:space="preserve"> roles and </w:t>
      </w:r>
      <w:r w:rsidR="00C93375" w:rsidRPr="00EA6C7A">
        <w:rPr>
          <w:rFonts w:ascii="Verdana" w:eastAsia="Batang" w:hAnsi="Verdana"/>
          <w:sz w:val="20"/>
          <w:szCs w:val="20"/>
          <w:lang w:val="en-US" w:eastAsia="es-MX"/>
        </w:rPr>
        <w:t xml:space="preserve">the </w:t>
      </w:r>
      <w:r w:rsidR="00781EBE" w:rsidRPr="00EA6C7A">
        <w:rPr>
          <w:rFonts w:ascii="Verdana" w:eastAsia="Batang" w:hAnsi="Verdana"/>
          <w:sz w:val="20"/>
          <w:szCs w:val="20"/>
          <w:lang w:val="en-US" w:eastAsia="es-MX"/>
        </w:rPr>
        <w:t>services</w:t>
      </w:r>
      <w:r w:rsidR="00C93375" w:rsidRPr="00EA6C7A">
        <w:rPr>
          <w:rFonts w:ascii="Verdana" w:eastAsia="Batang" w:hAnsi="Verdana"/>
          <w:sz w:val="20"/>
          <w:szCs w:val="20"/>
          <w:lang w:val="en-US" w:eastAsia="es-MX"/>
        </w:rPr>
        <w:t xml:space="preserve"> provided</w:t>
      </w:r>
      <w:r w:rsidR="00781EBE" w:rsidRPr="00EA6C7A">
        <w:rPr>
          <w:rFonts w:ascii="Verdana" w:eastAsia="Batang" w:hAnsi="Verdana"/>
          <w:sz w:val="20"/>
          <w:szCs w:val="20"/>
          <w:lang w:val="en-US" w:eastAsia="es-MX"/>
        </w:rPr>
        <w:t xml:space="preserve"> with the respective</w:t>
      </w:r>
      <w:r w:rsidR="007C0B6F" w:rsidRPr="00EA6C7A">
        <w:rPr>
          <w:rFonts w:ascii="Verdana" w:eastAsia="Batang" w:hAnsi="Verdana"/>
          <w:sz w:val="20"/>
          <w:szCs w:val="20"/>
          <w:lang w:val="en-US" w:eastAsia="es-MX"/>
        </w:rPr>
        <w:t xml:space="preserve"> logbooks</w:t>
      </w:r>
      <w:r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 xml:space="preserve">among other matters. This information was forwarded </w:t>
      </w:r>
      <w:r w:rsidR="00D75E80" w:rsidRPr="00EA6C7A">
        <w:rPr>
          <w:rFonts w:ascii="Verdana" w:eastAsia="Batang" w:hAnsi="Verdana"/>
          <w:sz w:val="20"/>
          <w:szCs w:val="20"/>
          <w:lang w:val="en-US" w:eastAsia="es-MX"/>
        </w:rPr>
        <w:t>to the assistant prosecutor</w:t>
      </w:r>
      <w:r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on</w:t>
      </w:r>
      <w:r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August</w:t>
      </w:r>
      <w:r w:rsidR="00D948A1"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 xml:space="preserve">30 </w:t>
      </w:r>
      <w:r w:rsidR="00D948A1" w:rsidRPr="00EA6C7A">
        <w:rPr>
          <w:rFonts w:ascii="Verdana" w:eastAsia="Batang" w:hAnsi="Verdana"/>
          <w:sz w:val="20"/>
          <w:szCs w:val="20"/>
          <w:lang w:val="en-US" w:eastAsia="es-MX"/>
        </w:rPr>
        <w:t>and</w:t>
      </w:r>
      <w:r w:rsidR="00781EBE" w:rsidRPr="00EA6C7A">
        <w:rPr>
          <w:rFonts w:ascii="Verdana" w:eastAsia="Batang" w:hAnsi="Verdana"/>
          <w:sz w:val="20"/>
          <w:szCs w:val="20"/>
          <w:lang w:val="en-US" w:eastAsia="es-MX"/>
        </w:rPr>
        <w:t xml:space="preserve"> October</w:t>
      </w:r>
      <w:r w:rsidR="00D948A1"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17, 19</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20</w:t>
      </w:r>
      <w:r w:rsidR="00781EBE"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2011</w:t>
      </w:r>
      <w:r w:rsidR="00781EBE" w:rsidRPr="00EA6C7A">
        <w:rPr>
          <w:rFonts w:ascii="Verdana" w:eastAsia="Batang" w:hAnsi="Verdana"/>
          <w:sz w:val="20"/>
          <w:szCs w:val="20"/>
          <w:lang w:val="en-US" w:eastAsia="es-MX"/>
        </w:rPr>
        <w:t>.</w:t>
      </w:r>
      <w:r w:rsidRPr="00EA6C7A">
        <w:rPr>
          <w:rFonts w:ascii="Verdana" w:eastAsia="Batang" w:hAnsi="Verdana"/>
          <w:sz w:val="20"/>
          <w:szCs w:val="20"/>
          <w:vertAlign w:val="superscript"/>
          <w:lang w:val="en-US" w:eastAsia="es-MX"/>
        </w:rPr>
        <w:footnoteReference w:id="138"/>
      </w:r>
      <w:r w:rsidRPr="00EA6C7A">
        <w:rPr>
          <w:rFonts w:ascii="Verdana" w:eastAsia="Batang" w:hAnsi="Verdana"/>
          <w:sz w:val="20"/>
          <w:szCs w:val="20"/>
          <w:lang w:val="en-US" w:eastAsia="es-MX"/>
        </w:rPr>
        <w:t xml:space="preserve"> </w:t>
      </w:r>
    </w:p>
    <w:p w14:paraId="3324D66C" w14:textId="77777777" w:rsidR="00CD09AF" w:rsidRPr="00EA6C7A" w:rsidRDefault="00CD09AF" w:rsidP="003B7AB8">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hAnsi="Verdana" w:cs="Arial"/>
          <w:i/>
          <w:color w:val="000000"/>
          <w:sz w:val="20"/>
          <w:szCs w:val="20"/>
          <w:lang w:val="en-US" w:eastAsia="es-MX"/>
        </w:rPr>
        <w:t>C</w:t>
      </w:r>
      <w:r w:rsidR="00277E55" w:rsidRPr="00EA6C7A">
        <w:rPr>
          <w:rFonts w:ascii="Verdana" w:hAnsi="Verdana" w:cs="Arial"/>
          <w:i/>
          <w:color w:val="000000"/>
          <w:sz w:val="20"/>
          <w:szCs w:val="20"/>
          <w:lang w:val="en-US" w:eastAsia="es-MX"/>
        </w:rPr>
        <w:t>ertifications</w:t>
      </w:r>
      <w:r w:rsidRPr="00EA6C7A">
        <w:rPr>
          <w:rFonts w:ascii="Verdana" w:hAnsi="Verdana" w:cs="Arial"/>
          <w:i/>
          <w:color w:val="000000"/>
          <w:sz w:val="20"/>
          <w:szCs w:val="20"/>
          <w:lang w:val="en-US" w:eastAsia="es-MX"/>
        </w:rPr>
        <w:t xml:space="preserve"> </w:t>
      </w:r>
      <w:r w:rsidR="00277E55" w:rsidRPr="00EA6C7A">
        <w:rPr>
          <w:rFonts w:ascii="Verdana" w:hAnsi="Verdana" w:cs="Arial"/>
          <w:i/>
          <w:color w:val="000000"/>
          <w:sz w:val="20"/>
          <w:szCs w:val="20"/>
          <w:lang w:val="en-US" w:eastAsia="es-MX"/>
        </w:rPr>
        <w:t xml:space="preserve">of </w:t>
      </w:r>
      <w:r w:rsidR="00C93375" w:rsidRPr="00EA6C7A">
        <w:rPr>
          <w:rFonts w:ascii="Verdana" w:hAnsi="Verdana" w:cs="Arial"/>
          <w:i/>
          <w:color w:val="000000"/>
          <w:sz w:val="20"/>
          <w:szCs w:val="20"/>
          <w:lang w:val="en-US" w:eastAsia="es-MX"/>
        </w:rPr>
        <w:t>land registration</w:t>
      </w:r>
      <w:r w:rsidR="00277E55" w:rsidRPr="00EA6C7A">
        <w:rPr>
          <w:rFonts w:ascii="Verdana" w:hAnsi="Verdana" w:cs="Arial"/>
          <w:i/>
          <w:color w:val="000000"/>
          <w:sz w:val="20"/>
          <w:szCs w:val="20"/>
          <w:lang w:val="en-US" w:eastAsia="es-MX"/>
        </w:rPr>
        <w:t xml:space="preserve"> records</w:t>
      </w:r>
      <w:r w:rsidRPr="00EA6C7A">
        <w:rPr>
          <w:rFonts w:ascii="Verdana" w:hAnsi="Verdana" w:cs="Arial"/>
          <w:i/>
          <w:color w:val="000000"/>
          <w:sz w:val="20"/>
          <w:szCs w:val="20"/>
          <w:lang w:val="en-US" w:eastAsia="es-MX"/>
        </w:rPr>
        <w:t>.</w:t>
      </w:r>
      <w:r w:rsidRPr="00EA6C7A">
        <w:rPr>
          <w:rFonts w:ascii="Verdana" w:hAnsi="Verdana" w:cs="Arial"/>
          <w:b/>
          <w:color w:val="000000"/>
          <w:sz w:val="20"/>
          <w:szCs w:val="20"/>
          <w:lang w:val="en-US" w:eastAsia="es-MX"/>
        </w:rPr>
        <w:t xml:space="preserve"> </w:t>
      </w:r>
      <w:r w:rsidR="00781EBE" w:rsidRPr="00EA6C7A">
        <w:rPr>
          <w:rFonts w:ascii="Verdana" w:eastAsia="Batang" w:hAnsi="Verdana"/>
          <w:sz w:val="20"/>
          <w:szCs w:val="20"/>
          <w:lang w:val="en-US" w:eastAsia="es-MX"/>
        </w:rPr>
        <w:t>On</w:t>
      </w:r>
      <w:r w:rsidRPr="00EA6C7A">
        <w:rPr>
          <w:rFonts w:ascii="Verdana" w:hAnsi="Verdana" w:cs="Arial"/>
          <w:color w:val="000000"/>
          <w:sz w:val="20"/>
          <w:szCs w:val="20"/>
          <w:lang w:val="en-US" w:eastAsia="es-MX"/>
        </w:rPr>
        <w:t xml:space="preserve"> </w:t>
      </w:r>
      <w:r w:rsidR="007B566E" w:rsidRPr="00EA6C7A">
        <w:rPr>
          <w:rFonts w:ascii="Verdana" w:hAnsi="Verdana" w:cs="Arial"/>
          <w:color w:val="000000"/>
          <w:sz w:val="20"/>
          <w:szCs w:val="20"/>
          <w:lang w:val="en-US" w:eastAsia="es-MX"/>
        </w:rPr>
        <w:t>September</w:t>
      </w:r>
      <w:r w:rsidR="00781EBE" w:rsidRPr="00EA6C7A">
        <w:rPr>
          <w:rFonts w:ascii="Verdana" w:hAnsi="Verdana" w:cs="Arial"/>
          <w:color w:val="000000"/>
          <w:sz w:val="20"/>
          <w:szCs w:val="20"/>
          <w:lang w:val="en-US" w:eastAsia="es-MX"/>
        </w:rPr>
        <w:t xml:space="preserve"> 2</w:t>
      </w:r>
      <w:r w:rsidR="00D948A1" w:rsidRPr="00EA6C7A">
        <w:rPr>
          <w:rFonts w:ascii="Verdana" w:hAnsi="Verdana" w:cs="Arial"/>
          <w:color w:val="000000"/>
          <w:sz w:val="20"/>
          <w:szCs w:val="20"/>
          <w:lang w:val="en-US" w:eastAsia="es-MX"/>
        </w:rPr>
        <w:t xml:space="preserve"> and </w:t>
      </w:r>
      <w:r w:rsidR="00781EBE" w:rsidRPr="00EA6C7A">
        <w:rPr>
          <w:rFonts w:ascii="Verdana" w:hAnsi="Verdana" w:cs="Arial"/>
          <w:color w:val="000000"/>
          <w:sz w:val="20"/>
          <w:szCs w:val="20"/>
          <w:lang w:val="en-US" w:eastAsia="es-MX"/>
        </w:rPr>
        <w:t>November 2,</w:t>
      </w:r>
      <w:r w:rsidRPr="00EA6C7A">
        <w:rPr>
          <w:rFonts w:ascii="Verdana" w:hAnsi="Verdana" w:cs="Arial"/>
          <w:color w:val="000000"/>
          <w:sz w:val="20"/>
          <w:szCs w:val="20"/>
          <w:lang w:val="en-US" w:eastAsia="es-MX"/>
        </w:rPr>
        <w:t xml:space="preserve"> 2011</w:t>
      </w:r>
      <w:r w:rsidR="00781EBE" w:rsidRPr="00EA6C7A">
        <w:rPr>
          <w:rFonts w:ascii="Verdana" w:hAnsi="Verdana" w:cs="Arial"/>
          <w:color w:val="000000"/>
          <w:sz w:val="20"/>
          <w:szCs w:val="20"/>
          <w:lang w:val="en-US" w:eastAsia="es-MX"/>
        </w:rPr>
        <w:t>,</w:t>
      </w:r>
      <w:r w:rsidRPr="00EA6C7A">
        <w:rPr>
          <w:rFonts w:ascii="Verdana" w:hAnsi="Verdana" w:cs="Arial"/>
          <w:color w:val="000000"/>
          <w:sz w:val="20"/>
          <w:szCs w:val="20"/>
          <w:lang w:val="en-US" w:eastAsia="es-MX"/>
        </w:rPr>
        <w:t xml:space="preserve"> </w:t>
      </w:r>
      <w:r w:rsidR="00781EBE" w:rsidRPr="00EA6C7A">
        <w:rPr>
          <w:rFonts w:ascii="Verdana" w:hAnsi="Verdana" w:cs="Arial"/>
          <w:color w:val="000000"/>
          <w:sz w:val="20"/>
          <w:szCs w:val="20"/>
          <w:lang w:val="en-US" w:eastAsia="es-MX"/>
        </w:rPr>
        <w:t xml:space="preserve">the </w:t>
      </w:r>
      <w:r w:rsidR="00781EBE" w:rsidRPr="00EA6C7A">
        <w:rPr>
          <w:rFonts w:ascii="Verdana" w:hAnsi="Verdana"/>
          <w:sz w:val="20"/>
          <w:szCs w:val="20"/>
          <w:lang w:val="en-US"/>
        </w:rPr>
        <w:t>Municipal Land Registration and Nomenclatur</w:t>
      </w:r>
      <w:r w:rsidR="007C0B6F" w:rsidRPr="00EA6C7A">
        <w:rPr>
          <w:rFonts w:ascii="Verdana" w:hAnsi="Verdana"/>
          <w:sz w:val="20"/>
          <w:szCs w:val="20"/>
          <w:lang w:val="en-US"/>
        </w:rPr>
        <w:t>e</w:t>
      </w:r>
      <w:r w:rsidR="00781EBE" w:rsidRPr="00EA6C7A">
        <w:rPr>
          <w:rFonts w:ascii="Verdana" w:hAnsi="Verdana"/>
          <w:sz w:val="20"/>
          <w:szCs w:val="20"/>
          <w:lang w:val="en-US"/>
        </w:rPr>
        <w:t xml:space="preserve"> Section of the IUSI </w:t>
      </w:r>
      <w:r w:rsidR="00C93375" w:rsidRPr="00EA6C7A">
        <w:rPr>
          <w:rFonts w:ascii="Verdana" w:hAnsi="Verdana"/>
          <w:sz w:val="20"/>
          <w:szCs w:val="20"/>
          <w:lang w:val="en-US"/>
        </w:rPr>
        <w:t>Land Registration</w:t>
      </w:r>
      <w:r w:rsidR="007C0B6F" w:rsidRPr="00EA6C7A">
        <w:rPr>
          <w:rFonts w:ascii="Verdana" w:hAnsi="Verdana"/>
          <w:sz w:val="20"/>
          <w:szCs w:val="20"/>
          <w:lang w:val="en-US"/>
        </w:rPr>
        <w:t xml:space="preserve"> </w:t>
      </w:r>
      <w:r w:rsidR="00781EBE" w:rsidRPr="00EA6C7A">
        <w:rPr>
          <w:rFonts w:ascii="Verdana" w:hAnsi="Verdana"/>
          <w:sz w:val="20"/>
          <w:szCs w:val="20"/>
          <w:lang w:val="en-US"/>
        </w:rPr>
        <w:t>and Administration Directorate</w:t>
      </w:r>
      <w:r w:rsidR="00781EBE" w:rsidRPr="00EA6C7A">
        <w:rPr>
          <w:rFonts w:ascii="Verdana" w:hAnsi="Verdana" w:cs="Arial"/>
          <w:color w:val="000000"/>
          <w:sz w:val="20"/>
          <w:szCs w:val="20"/>
          <w:lang w:val="en-US" w:eastAsia="es-MX"/>
        </w:rPr>
        <w:t xml:space="preserve"> sent </w:t>
      </w:r>
      <w:r w:rsidR="00D75E80" w:rsidRPr="00EA6C7A">
        <w:rPr>
          <w:rFonts w:ascii="Verdana" w:hAnsi="Verdana" w:cs="Arial"/>
          <w:color w:val="000000"/>
          <w:sz w:val="20"/>
          <w:szCs w:val="20"/>
          <w:lang w:val="en-US" w:eastAsia="es-MX"/>
        </w:rPr>
        <w:t>the assistant prosecutor</w:t>
      </w:r>
      <w:r w:rsidR="005E504C" w:rsidRPr="00EA6C7A">
        <w:rPr>
          <w:rFonts w:ascii="Verdana" w:hAnsi="Verdana" w:cs="Arial"/>
          <w:color w:val="000000"/>
          <w:sz w:val="20"/>
          <w:szCs w:val="20"/>
          <w:lang w:val="en-US" w:eastAsia="es-MX"/>
        </w:rPr>
        <w:t xml:space="preserve"> </w:t>
      </w:r>
      <w:r w:rsidR="00C93375" w:rsidRPr="00EA6C7A">
        <w:rPr>
          <w:rFonts w:ascii="Verdana" w:hAnsi="Verdana" w:cs="Arial"/>
          <w:color w:val="000000"/>
          <w:sz w:val="20"/>
          <w:szCs w:val="20"/>
          <w:lang w:val="en-US" w:eastAsia="es-MX"/>
        </w:rPr>
        <w:t>land registration</w:t>
      </w:r>
      <w:r w:rsidR="005E504C" w:rsidRPr="00EA6C7A">
        <w:rPr>
          <w:rFonts w:ascii="Verdana" w:hAnsi="Verdana" w:cs="Arial"/>
          <w:color w:val="000000"/>
          <w:sz w:val="20"/>
          <w:szCs w:val="20"/>
          <w:lang w:val="en-US" w:eastAsia="es-MX"/>
        </w:rPr>
        <w:t xml:space="preserve"> information</w:t>
      </w:r>
      <w:r w:rsidRPr="00EA6C7A">
        <w:rPr>
          <w:rFonts w:ascii="Verdana" w:hAnsi="Verdana" w:cs="Arial"/>
          <w:color w:val="000000"/>
          <w:sz w:val="20"/>
          <w:szCs w:val="20"/>
          <w:lang w:val="en-US" w:eastAsia="es-MX"/>
        </w:rPr>
        <w:t xml:space="preserve"> </w:t>
      </w:r>
      <w:r w:rsidR="00781EBE" w:rsidRPr="00EA6C7A">
        <w:rPr>
          <w:rFonts w:ascii="Verdana" w:hAnsi="Verdana" w:cs="Arial"/>
          <w:color w:val="000000"/>
          <w:sz w:val="20"/>
          <w:szCs w:val="20"/>
          <w:lang w:val="en-US" w:eastAsia="es-MX"/>
        </w:rPr>
        <w:t>on 39 buildings located in</w:t>
      </w:r>
      <w:r w:rsidRPr="00EA6C7A">
        <w:rPr>
          <w:rFonts w:ascii="Verdana" w:hAnsi="Verdana" w:cs="Arial"/>
          <w:color w:val="000000"/>
          <w:sz w:val="20"/>
          <w:szCs w:val="20"/>
          <w:lang w:val="en-US" w:eastAsia="es-MX"/>
        </w:rPr>
        <w:t xml:space="preserve"> Colonia Roosevelt</w:t>
      </w:r>
      <w:r w:rsidR="00C93375" w:rsidRPr="00EA6C7A">
        <w:rPr>
          <w:rFonts w:ascii="Verdana" w:hAnsi="Verdana" w:cs="Arial"/>
          <w:color w:val="000000"/>
          <w:sz w:val="20"/>
          <w:szCs w:val="20"/>
          <w:lang w:val="en-US" w:eastAsia="es-MX"/>
        </w:rPr>
        <w:t>.</w:t>
      </w:r>
      <w:r w:rsidRPr="00EA6C7A">
        <w:rPr>
          <w:rFonts w:ascii="Verdana" w:hAnsi="Verdana" w:cs="Arial"/>
          <w:color w:val="000000"/>
          <w:sz w:val="20"/>
          <w:szCs w:val="20"/>
          <w:vertAlign w:val="superscript"/>
          <w:lang w:val="en-US" w:eastAsia="es-MX"/>
        </w:rPr>
        <w:footnoteReference w:id="139"/>
      </w:r>
    </w:p>
    <w:p w14:paraId="2742C833" w14:textId="77777777" w:rsidR="00CD09AF" w:rsidRPr="00EA6C7A" w:rsidRDefault="00CD09AF" w:rsidP="003B7AB8">
      <w:pPr>
        <w:keepNext/>
        <w:keepLines/>
        <w:tabs>
          <w:tab w:val="left" w:pos="720"/>
        </w:tabs>
        <w:spacing w:after="0"/>
        <w:outlineLvl w:val="1"/>
        <w:rPr>
          <w:rFonts w:ascii="Verdana" w:eastAsia="Batang" w:hAnsi="Verdana"/>
          <w:b/>
          <w:bCs/>
          <w:sz w:val="20"/>
          <w:szCs w:val="26"/>
          <w:lang w:val="en-US" w:eastAsia="es-MX"/>
        </w:rPr>
      </w:pPr>
    </w:p>
    <w:p w14:paraId="480713A2" w14:textId="77777777" w:rsidR="00CD09AF" w:rsidRPr="00EA6C7A" w:rsidRDefault="00CD09AF" w:rsidP="003B7AB8">
      <w:pPr>
        <w:keepNext/>
        <w:keepLines/>
        <w:tabs>
          <w:tab w:val="left" w:pos="720"/>
        </w:tabs>
        <w:spacing w:after="0"/>
        <w:outlineLvl w:val="1"/>
        <w:rPr>
          <w:rFonts w:ascii="Verdana" w:eastAsia="Batang" w:hAnsi="Verdana"/>
          <w:b/>
          <w:bCs/>
          <w:sz w:val="20"/>
          <w:szCs w:val="26"/>
          <w:lang w:val="en-US" w:eastAsia="es-MX"/>
        </w:rPr>
      </w:pPr>
      <w:bookmarkStart w:id="58" w:name="_Toc26002309"/>
      <w:r w:rsidRPr="00EA6C7A">
        <w:rPr>
          <w:rFonts w:ascii="Verdana" w:eastAsia="Batang" w:hAnsi="Verdana"/>
          <w:b/>
          <w:bCs/>
          <w:sz w:val="20"/>
          <w:szCs w:val="26"/>
          <w:lang w:val="en-US" w:eastAsia="es-MX"/>
        </w:rPr>
        <w:t xml:space="preserve">B.4. </w:t>
      </w:r>
      <w:r w:rsidR="00047869" w:rsidRPr="00EA6C7A">
        <w:rPr>
          <w:rFonts w:ascii="Verdana" w:eastAsia="Batang" w:hAnsi="Verdana"/>
          <w:b/>
          <w:bCs/>
          <w:sz w:val="20"/>
          <w:szCs w:val="26"/>
          <w:lang w:val="en-US" w:eastAsia="es-MX"/>
        </w:rPr>
        <w:t>Investigation by the Guatemalan Ombudsman</w:t>
      </w:r>
      <w:bookmarkEnd w:id="58"/>
      <w:r w:rsidRPr="00EA6C7A">
        <w:rPr>
          <w:rFonts w:ascii="Verdana" w:eastAsia="Batang" w:hAnsi="Verdana"/>
          <w:b/>
          <w:bCs/>
          <w:sz w:val="20"/>
          <w:szCs w:val="26"/>
          <w:lang w:val="en-US" w:eastAsia="es-MX"/>
        </w:rPr>
        <w:t xml:space="preserve"> </w:t>
      </w:r>
    </w:p>
    <w:p w14:paraId="52891627" w14:textId="77777777" w:rsidR="00CD09AF" w:rsidRPr="00EA6C7A" w:rsidRDefault="00CD09AF" w:rsidP="003B7AB8">
      <w:pPr>
        <w:keepNext/>
        <w:keepLines/>
        <w:tabs>
          <w:tab w:val="left" w:pos="720"/>
        </w:tabs>
        <w:spacing w:after="0"/>
        <w:outlineLvl w:val="1"/>
        <w:rPr>
          <w:rFonts w:ascii="Verdana" w:eastAsia="Batang" w:hAnsi="Verdana"/>
          <w:b/>
          <w:bCs/>
          <w:sz w:val="20"/>
          <w:szCs w:val="26"/>
          <w:lang w:val="en-US" w:eastAsia="es-MX"/>
        </w:rPr>
      </w:pPr>
    </w:p>
    <w:p w14:paraId="7023AA03" w14:textId="77777777" w:rsidR="00CD09AF" w:rsidRPr="00EA6C7A" w:rsidRDefault="003B5D2D"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 February 6,</w:t>
      </w:r>
      <w:r w:rsidR="00CD09AF" w:rsidRPr="00EA6C7A">
        <w:rPr>
          <w:rFonts w:ascii="Verdana" w:eastAsia="Batang" w:hAnsi="Verdana"/>
          <w:sz w:val="20"/>
          <w:szCs w:val="20"/>
          <w:lang w:val="en-US" w:eastAsia="es-MX"/>
        </w:rPr>
        <w:t xml:space="preserve"> 2006</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the Guatemalan Ombudsman</w:t>
      </w:r>
      <w:r w:rsidR="00CD09AF"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 xml:space="preserve">opened a file </w:t>
      </w:r>
      <w:r w:rsidR="00C2616C" w:rsidRPr="00EA6C7A">
        <w:rPr>
          <w:rFonts w:ascii="Verdana" w:eastAsia="Batang" w:hAnsi="Verdana"/>
          <w:sz w:val="20"/>
          <w:szCs w:val="20"/>
          <w:lang w:val="en-US" w:eastAsia="es-MX"/>
        </w:rPr>
        <w:t>on</w:t>
      </w:r>
      <w:r w:rsidR="003F1D17"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 xml:space="preserve">a report filed by </w:t>
      </w:r>
      <w:r w:rsidR="00CD09AF" w:rsidRPr="00EA6C7A">
        <w:rPr>
          <w:rFonts w:ascii="Verdana" w:eastAsia="Batang" w:hAnsi="Verdana"/>
          <w:sz w:val="20"/>
          <w:szCs w:val="20"/>
          <w:lang w:val="en-US" w:eastAsia="es-MX"/>
        </w:rPr>
        <w:t xml:space="preserve">Jorge Rolando Velásquez Durán </w:t>
      </w:r>
      <w:r w:rsidR="003F1D17" w:rsidRPr="00EA6C7A">
        <w:rPr>
          <w:rFonts w:ascii="Verdana" w:eastAsia="Batang" w:hAnsi="Verdana"/>
          <w:sz w:val="20"/>
          <w:szCs w:val="20"/>
          <w:lang w:val="en-US" w:eastAsia="es-MX"/>
        </w:rPr>
        <w:t>in relation to</w:t>
      </w:r>
      <w:r w:rsidR="00781EBE" w:rsidRPr="00EA6C7A">
        <w:rPr>
          <w:rFonts w:ascii="Verdana" w:eastAsia="Batang" w:hAnsi="Verdana"/>
          <w:sz w:val="20"/>
          <w:szCs w:val="20"/>
          <w:lang w:val="en-US" w:eastAsia="es-MX"/>
        </w:rPr>
        <w:t xml:space="preserve"> the criminal investigation into the death of </w:t>
      </w:r>
      <w:r w:rsidR="00CD09AF" w:rsidRPr="00EA6C7A">
        <w:rPr>
          <w:rFonts w:ascii="Verdana" w:eastAsia="Batang" w:hAnsi="Verdana"/>
          <w:sz w:val="20"/>
          <w:szCs w:val="20"/>
          <w:lang w:val="en-US" w:eastAsia="es-MX"/>
        </w:rPr>
        <w:t xml:space="preserve">Claudina Velásquez. </w:t>
      </w:r>
      <w:r w:rsidR="00781EBE" w:rsidRPr="00EA6C7A">
        <w:rPr>
          <w:rFonts w:ascii="Verdana" w:eastAsia="Batang" w:hAnsi="Verdana"/>
          <w:sz w:val="20"/>
          <w:szCs w:val="20"/>
          <w:lang w:val="en-US" w:eastAsia="es-MX"/>
        </w:rPr>
        <w:t xml:space="preserve">On </w:t>
      </w:r>
      <w:r w:rsidR="003F510E" w:rsidRPr="00EA6C7A">
        <w:rPr>
          <w:rFonts w:ascii="Verdana" w:eastAsia="Batang" w:hAnsi="Verdana"/>
          <w:sz w:val="20"/>
          <w:szCs w:val="20"/>
          <w:lang w:val="en-US" w:eastAsia="es-MX"/>
        </w:rPr>
        <w:t>July 20,</w:t>
      </w:r>
      <w:r w:rsidR="00CD09AF" w:rsidRPr="00EA6C7A">
        <w:rPr>
          <w:rFonts w:ascii="Verdana" w:eastAsia="Batang" w:hAnsi="Verdana"/>
          <w:sz w:val="20"/>
          <w:szCs w:val="20"/>
          <w:lang w:val="en-US" w:eastAsia="es-MX"/>
        </w:rPr>
        <w:t xml:space="preserve"> 2006</w:t>
      </w:r>
      <w:r w:rsidR="00781EBE" w:rsidRPr="00EA6C7A">
        <w:rPr>
          <w:rFonts w:ascii="Verdana" w:eastAsia="Batang" w:hAnsi="Verdana"/>
          <w:sz w:val="20"/>
          <w:szCs w:val="20"/>
          <w:lang w:val="en-US" w:eastAsia="es-MX"/>
        </w:rPr>
        <w:t>, the Ombudsman issued a resolution in which he declared “the violation of the obligation to respect and ensure the rights to life, personal security, justice within a reasonable time</w:t>
      </w:r>
      <w:r w:rsidR="003F1D17" w:rsidRPr="00EA6C7A">
        <w:rPr>
          <w:rFonts w:ascii="Verdana" w:eastAsia="Batang" w:hAnsi="Verdana"/>
          <w:sz w:val="20"/>
          <w:szCs w:val="20"/>
          <w:lang w:val="en-US" w:eastAsia="es-MX"/>
        </w:rPr>
        <w:t>,</w:t>
      </w:r>
      <w:r w:rsidR="00781EBE" w:rsidRPr="00EA6C7A">
        <w:rPr>
          <w:rFonts w:ascii="Verdana" w:eastAsia="Batang" w:hAnsi="Verdana"/>
          <w:sz w:val="20"/>
          <w:szCs w:val="20"/>
          <w:lang w:val="en-US" w:eastAsia="es-MX"/>
        </w:rPr>
        <w:t xml:space="preserve"> and effective judicial protection of </w:t>
      </w:r>
      <w:r w:rsidR="00CD09AF" w:rsidRPr="00EA6C7A">
        <w:rPr>
          <w:rFonts w:ascii="Verdana" w:eastAsia="Batang" w:hAnsi="Verdana"/>
          <w:sz w:val="20"/>
          <w:szCs w:val="20"/>
          <w:lang w:val="en-US" w:eastAsia="es-MX"/>
        </w:rPr>
        <w:t>Claudina Isabel Velásquez Paiz</w:t>
      </w:r>
      <w:r w:rsidR="00D948A1" w:rsidRPr="00EA6C7A">
        <w:rPr>
          <w:rFonts w:ascii="Verdana" w:eastAsia="Batang" w:hAnsi="Verdana"/>
          <w:sz w:val="20"/>
          <w:szCs w:val="20"/>
          <w:lang w:val="en-US" w:eastAsia="es-MX"/>
        </w:rPr>
        <w:t xml:space="preserve"> and </w:t>
      </w:r>
      <w:r w:rsidR="00781EBE" w:rsidRPr="00EA6C7A">
        <w:rPr>
          <w:rFonts w:ascii="Verdana" w:eastAsia="Batang" w:hAnsi="Verdana"/>
          <w:sz w:val="20"/>
          <w:szCs w:val="20"/>
          <w:lang w:val="en-US" w:eastAsia="es-MX"/>
        </w:rPr>
        <w:t>her next of kin,</w:t>
      </w:r>
      <w:r w:rsidR="00CD09AF"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and also the</w:t>
      </w:r>
      <w:r w:rsidR="00CD09AF" w:rsidRPr="00EA6C7A">
        <w:rPr>
          <w:rFonts w:ascii="Verdana" w:eastAsia="Batang" w:hAnsi="Verdana"/>
          <w:sz w:val="20"/>
          <w:szCs w:val="20"/>
          <w:lang w:val="en-US" w:eastAsia="es-MX"/>
        </w:rPr>
        <w:t xml:space="preserve"> “[v]iola</w:t>
      </w:r>
      <w:r w:rsidR="00781EBE" w:rsidRPr="00EA6C7A">
        <w:rPr>
          <w:rFonts w:ascii="Verdana" w:eastAsia="Batang" w:hAnsi="Verdana"/>
          <w:sz w:val="20"/>
          <w:szCs w:val="20"/>
          <w:lang w:val="en-US" w:eastAsia="es-MX"/>
        </w:rPr>
        <w:t>tion</w:t>
      </w:r>
      <w:r w:rsidR="00CD09AF"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of the right of the victim’s next of kin who are seeking justice</w:t>
      </w:r>
      <w:r w:rsidR="003F1D17" w:rsidRPr="00EA6C7A">
        <w:rPr>
          <w:rFonts w:ascii="Verdana" w:eastAsia="Batang" w:hAnsi="Verdana"/>
          <w:sz w:val="20"/>
          <w:szCs w:val="20"/>
          <w:lang w:val="en-US" w:eastAsia="es-MX"/>
        </w:rPr>
        <w:t xml:space="preserve"> to be treated with dignity and respect</w:t>
      </w:r>
      <w:r w:rsidR="00781EBE"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p>
    <w:p w14:paraId="233E18BF" w14:textId="77777777" w:rsidR="00CD09AF" w:rsidRPr="00EA6C7A" w:rsidRDefault="003F1D17"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Furthermore, he declared the following authorities responsible for the said violations: (a) the prosecution agent in charge of Prosecution Office No. 10 “for failing to duly coordinate the </w:t>
      </w:r>
      <w:r w:rsidRPr="00EA6C7A">
        <w:rPr>
          <w:rFonts w:ascii="Verdana" w:eastAsia="Batang" w:hAnsi="Verdana"/>
          <w:sz w:val="20"/>
          <w:szCs w:val="20"/>
          <w:lang w:val="en-US" w:eastAsia="es-MX"/>
        </w:rPr>
        <w:lastRenderedPageBreak/>
        <w:t xml:space="preserve">functional course of the investigation and to ensure that his staff processed the crime scene appropriately […] including when taking fingerprints, during which they interrupted the mourning </w:t>
      </w:r>
      <w:r w:rsidR="005E504C" w:rsidRPr="00EA6C7A">
        <w:rPr>
          <w:rFonts w:ascii="Verdana" w:eastAsia="Batang" w:hAnsi="Verdana"/>
          <w:sz w:val="20"/>
          <w:szCs w:val="20"/>
          <w:lang w:val="en-US" w:eastAsia="es-MX"/>
        </w:rPr>
        <w:t xml:space="preserve">process </w:t>
      </w:r>
      <w:r w:rsidRPr="00EA6C7A">
        <w:rPr>
          <w:rFonts w:ascii="Verdana" w:eastAsia="Batang" w:hAnsi="Verdana"/>
          <w:sz w:val="20"/>
          <w:szCs w:val="20"/>
          <w:lang w:val="en-US" w:eastAsia="es-MX"/>
        </w:rPr>
        <w:t xml:space="preserve">of the Velásquez Paiz family”; (b) the </w:t>
      </w:r>
      <w:r w:rsidR="00CD09AF" w:rsidRPr="00EA6C7A">
        <w:rPr>
          <w:rFonts w:ascii="Verdana" w:eastAsia="Batang" w:hAnsi="Verdana"/>
          <w:sz w:val="20"/>
          <w:szCs w:val="20"/>
          <w:lang w:val="en-US" w:eastAsia="es-MX"/>
        </w:rPr>
        <w:t>Director</w:t>
      </w:r>
      <w:r w:rsidR="003F510E" w:rsidRPr="00EA6C7A">
        <w:rPr>
          <w:rFonts w:ascii="Verdana" w:eastAsia="Batang" w:hAnsi="Verdana"/>
          <w:sz w:val="20"/>
          <w:szCs w:val="20"/>
          <w:lang w:val="en-US" w:eastAsia="es-MX"/>
        </w:rPr>
        <w:t xml:space="preserve"> of the </w:t>
      </w:r>
      <w:r w:rsidRPr="00EA6C7A">
        <w:rPr>
          <w:rFonts w:ascii="Verdana" w:eastAsia="Batang" w:hAnsi="Verdana"/>
          <w:sz w:val="20"/>
          <w:szCs w:val="20"/>
          <w:lang w:val="en-US" w:eastAsia="es-MX"/>
        </w:rPr>
        <w:t xml:space="preserve">Judiciary’s </w:t>
      </w:r>
      <w:r w:rsidR="0083210F" w:rsidRPr="00EA6C7A">
        <w:rPr>
          <w:rFonts w:ascii="Verdana" w:eastAsia="Batang" w:hAnsi="Verdana"/>
          <w:sz w:val="20"/>
          <w:szCs w:val="20"/>
          <w:lang w:val="en-US" w:eastAsia="es-MX"/>
        </w:rPr>
        <w:t>Forensic Medicine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because “he allowed the doctors in his service to conduct deficient procedures when performing forensic autopsies and to present incomplete reports or reports with incorrect information,” and (c) the Judiciary’s forensic physician who performed the autopsy on the body of Claudina Velásquez “owing to serious omissions and inexcusable shortcomings in the performance of the autopsy.” Lastly, he made several recommendations to the Prosecutor General, the Head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w:t>
      </w:r>
      <w:r w:rsidR="00CD09AF" w:rsidRPr="00EA6C7A">
        <w:rPr>
          <w:rFonts w:ascii="Verdana" w:eastAsia="Batang" w:hAnsi="Verdana"/>
          <w:sz w:val="20"/>
          <w:szCs w:val="20"/>
          <w:lang w:val="en-US" w:eastAsia="es-MX"/>
        </w:rPr>
        <w:t xml:space="preserve"> Director General</w:t>
      </w:r>
      <w:r w:rsidR="00D75E80" w:rsidRPr="00EA6C7A">
        <w:rPr>
          <w:rFonts w:ascii="Verdana" w:eastAsia="Batang" w:hAnsi="Verdana"/>
          <w:sz w:val="20"/>
          <w:szCs w:val="20"/>
          <w:lang w:val="en-US" w:eastAsia="es-MX"/>
        </w:rPr>
        <w:t xml:space="preserve"> of the </w:t>
      </w:r>
      <w:r w:rsidR="000B3E6E" w:rsidRPr="00EA6C7A">
        <w:rPr>
          <w:rFonts w:ascii="Verdana" w:eastAsia="Batang" w:hAnsi="Verdana"/>
          <w:sz w:val="20"/>
          <w:szCs w:val="20"/>
          <w:lang w:val="en-US" w:eastAsia="es-MX"/>
        </w:rPr>
        <w:t>National Civil Police</w:t>
      </w:r>
      <w:r w:rsidR="00CD09AF"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w:t>
      </w:r>
      <w:r w:rsidRPr="00EA6C7A">
        <w:rPr>
          <w:rFonts w:ascii="Verdana" w:eastAsia="Batang" w:hAnsi="Verdana"/>
          <w:sz w:val="20"/>
          <w:szCs w:val="20"/>
          <w:lang w:val="en-US" w:eastAsia="es-MX"/>
        </w:rPr>
        <w:t xml:space="preserve"> congressional</w:t>
      </w:r>
      <w:r w:rsidR="0096418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Human Rights </w:t>
      </w:r>
      <w:r w:rsidR="0096418F" w:rsidRPr="00EA6C7A">
        <w:rPr>
          <w:rFonts w:ascii="Verdana" w:eastAsia="Batang" w:hAnsi="Verdana"/>
          <w:sz w:val="20"/>
          <w:szCs w:val="20"/>
          <w:lang w:val="en-US" w:eastAsia="es-MX"/>
        </w:rPr>
        <w:t>Comm</w:t>
      </w:r>
      <w:r w:rsidR="00C2616C" w:rsidRPr="00EA6C7A">
        <w:rPr>
          <w:rFonts w:ascii="Verdana" w:eastAsia="Batang" w:hAnsi="Verdana"/>
          <w:sz w:val="20"/>
          <w:szCs w:val="20"/>
          <w:lang w:val="en-US" w:eastAsia="es-MX"/>
        </w:rPr>
        <w:t>ittee</w:t>
      </w:r>
      <w:r w:rsidR="00CD09AF"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 xml:space="preserve">and </w:t>
      </w:r>
      <w:r w:rsidRPr="00EA6C7A">
        <w:rPr>
          <w:rFonts w:ascii="Verdana" w:eastAsia="Batang" w:hAnsi="Verdana"/>
          <w:sz w:val="20"/>
          <w:szCs w:val="20"/>
          <w:lang w:val="en-US" w:eastAsia="es-MX"/>
        </w:rPr>
        <w:t>the Judiciary’s</w:t>
      </w:r>
      <w:r w:rsidR="00CD09AF" w:rsidRPr="00EA6C7A">
        <w:rPr>
          <w:rFonts w:ascii="Verdana" w:eastAsia="Batang" w:hAnsi="Verdana"/>
          <w:sz w:val="20"/>
          <w:szCs w:val="20"/>
          <w:lang w:val="en-US" w:eastAsia="es-MX"/>
        </w:rPr>
        <w:t xml:space="preserve"> </w:t>
      </w:r>
      <w:r w:rsidR="0083210F" w:rsidRPr="00EA6C7A">
        <w:rPr>
          <w:rFonts w:ascii="Verdana" w:eastAsia="Batang" w:hAnsi="Verdana"/>
          <w:sz w:val="20"/>
          <w:szCs w:val="20"/>
          <w:lang w:val="en-US" w:eastAsia="es-MX"/>
        </w:rPr>
        <w:t>Forensic Medicine Service</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40"/>
      </w:r>
      <w:r w:rsidR="00CD09AF" w:rsidRPr="00EA6C7A">
        <w:rPr>
          <w:rFonts w:ascii="Verdana" w:eastAsia="Batang" w:hAnsi="Verdana"/>
          <w:sz w:val="20"/>
          <w:szCs w:val="20"/>
          <w:lang w:val="en-US" w:eastAsia="es-MX"/>
        </w:rPr>
        <w:t xml:space="preserve"> </w:t>
      </w:r>
    </w:p>
    <w:p w14:paraId="20482158" w14:textId="77777777" w:rsidR="00CD09AF" w:rsidRPr="00EA6C7A" w:rsidRDefault="00CD09AF" w:rsidP="003B7AB8">
      <w:pPr>
        <w:keepNext/>
        <w:keepLines/>
        <w:tabs>
          <w:tab w:val="left" w:pos="720"/>
        </w:tabs>
        <w:spacing w:after="0" w:line="240" w:lineRule="auto"/>
        <w:jc w:val="both"/>
        <w:outlineLvl w:val="1"/>
        <w:rPr>
          <w:rFonts w:ascii="Verdana" w:eastAsia="Batang" w:hAnsi="Verdana"/>
          <w:b/>
          <w:bCs/>
          <w:sz w:val="20"/>
          <w:szCs w:val="26"/>
          <w:lang w:val="en-US" w:eastAsia="es-MX"/>
        </w:rPr>
      </w:pPr>
      <w:bookmarkStart w:id="59" w:name="_Toc26002310"/>
      <w:r w:rsidRPr="00EA6C7A">
        <w:rPr>
          <w:rFonts w:ascii="Verdana" w:eastAsia="Batang" w:hAnsi="Verdana"/>
          <w:b/>
          <w:bCs/>
          <w:sz w:val="20"/>
          <w:szCs w:val="26"/>
          <w:lang w:val="en-US" w:eastAsia="es-MX"/>
        </w:rPr>
        <w:t xml:space="preserve">B.5. </w:t>
      </w:r>
      <w:r w:rsidR="003F1D17" w:rsidRPr="00EA6C7A">
        <w:rPr>
          <w:rFonts w:ascii="Verdana" w:eastAsia="Batang" w:hAnsi="Verdana"/>
          <w:b/>
          <w:bCs/>
          <w:sz w:val="20"/>
          <w:szCs w:val="26"/>
          <w:lang w:val="en-US" w:eastAsia="es-MX"/>
        </w:rPr>
        <w:t>Disciplinary procedures in</w:t>
      </w:r>
      <w:r w:rsidRPr="00EA6C7A">
        <w:rPr>
          <w:rFonts w:ascii="Verdana" w:eastAsia="Batang" w:hAnsi="Verdana"/>
          <w:b/>
          <w:bCs/>
          <w:sz w:val="20"/>
          <w:szCs w:val="26"/>
          <w:lang w:val="en-US" w:eastAsia="es-MX"/>
        </w:rPr>
        <w:t xml:space="preserve"> </w:t>
      </w:r>
      <w:r w:rsidR="00DB7DA5" w:rsidRPr="00EA6C7A">
        <w:rPr>
          <w:rFonts w:ascii="Verdana" w:eastAsia="Batang" w:hAnsi="Verdana"/>
          <w:b/>
          <w:bCs/>
          <w:sz w:val="20"/>
          <w:szCs w:val="20"/>
          <w:lang w:val="en-US"/>
        </w:rPr>
        <w:t>the Head Office for the Prosecution of Crimes against Life and Integrity</w:t>
      </w:r>
      <w:r w:rsidR="00D948A1" w:rsidRPr="00EA6C7A">
        <w:rPr>
          <w:rFonts w:ascii="Verdana" w:eastAsia="Batang" w:hAnsi="Verdana"/>
          <w:sz w:val="20"/>
          <w:szCs w:val="20"/>
          <w:lang w:val="en-US"/>
        </w:rPr>
        <w:t xml:space="preserve"> </w:t>
      </w:r>
      <w:r w:rsidR="00D948A1" w:rsidRPr="00EA6C7A">
        <w:rPr>
          <w:rFonts w:ascii="Verdana" w:eastAsia="Batang" w:hAnsi="Verdana"/>
          <w:b/>
          <w:bCs/>
          <w:sz w:val="20"/>
          <w:szCs w:val="20"/>
          <w:lang w:val="en-US"/>
        </w:rPr>
        <w:t xml:space="preserve">and </w:t>
      </w:r>
      <w:r w:rsidR="003B7AB8" w:rsidRPr="00EA6C7A">
        <w:rPr>
          <w:rFonts w:ascii="Verdana" w:eastAsia="Batang" w:hAnsi="Verdana"/>
          <w:b/>
          <w:bCs/>
          <w:sz w:val="20"/>
          <w:szCs w:val="20"/>
          <w:lang w:val="en-US"/>
        </w:rPr>
        <w:t xml:space="preserve">in </w:t>
      </w:r>
      <w:r w:rsidR="003E2012" w:rsidRPr="00EA6C7A">
        <w:rPr>
          <w:rFonts w:ascii="Verdana" w:eastAsia="Batang" w:hAnsi="Verdana"/>
          <w:b/>
          <w:bCs/>
          <w:sz w:val="20"/>
          <w:szCs w:val="26"/>
          <w:lang w:val="en-US" w:eastAsia="es-MX"/>
        </w:rPr>
        <w:t xml:space="preserve">the </w:t>
      </w:r>
      <w:r w:rsidR="003F31B4" w:rsidRPr="00EA6C7A">
        <w:rPr>
          <w:rFonts w:ascii="Verdana" w:eastAsia="Batang" w:hAnsi="Verdana"/>
          <w:b/>
          <w:bCs/>
          <w:sz w:val="20"/>
          <w:szCs w:val="26"/>
          <w:lang w:val="en-US" w:eastAsia="es-MX"/>
        </w:rPr>
        <w:t>Criminal Investigation Department</w:t>
      </w:r>
      <w:bookmarkEnd w:id="59"/>
      <w:r w:rsidR="003F31B4" w:rsidRPr="00EA6C7A">
        <w:rPr>
          <w:rFonts w:ascii="Verdana" w:eastAsia="Batang" w:hAnsi="Verdana"/>
          <w:b/>
          <w:bCs/>
          <w:sz w:val="20"/>
          <w:szCs w:val="26"/>
          <w:lang w:val="en-US" w:eastAsia="es-MX"/>
        </w:rPr>
        <w:t xml:space="preserve"> </w:t>
      </w:r>
      <w:r w:rsidRPr="00EA6C7A">
        <w:rPr>
          <w:rFonts w:ascii="Verdana" w:eastAsia="Batang" w:hAnsi="Verdana"/>
          <w:b/>
          <w:bCs/>
          <w:sz w:val="20"/>
          <w:szCs w:val="26"/>
          <w:lang w:val="en-US" w:eastAsia="es-MX"/>
        </w:rPr>
        <w:t xml:space="preserve"> </w:t>
      </w:r>
    </w:p>
    <w:p w14:paraId="0A33EB2A" w14:textId="77777777" w:rsidR="00CD09AF" w:rsidRPr="00EA6C7A" w:rsidRDefault="00CD09AF" w:rsidP="003B7AB8">
      <w:pPr>
        <w:keepNext/>
        <w:keepLines/>
        <w:tabs>
          <w:tab w:val="left" w:pos="720"/>
        </w:tabs>
        <w:spacing w:after="0"/>
        <w:outlineLvl w:val="1"/>
        <w:rPr>
          <w:rFonts w:ascii="Verdana" w:eastAsia="Batang" w:hAnsi="Verdana"/>
          <w:b/>
          <w:bCs/>
          <w:sz w:val="20"/>
          <w:szCs w:val="26"/>
          <w:lang w:val="en-US" w:eastAsia="es-MX"/>
        </w:rPr>
      </w:pPr>
    </w:p>
    <w:p w14:paraId="04D15499" w14:textId="77777777" w:rsidR="00CD09AF" w:rsidRPr="00EA6C7A" w:rsidRDefault="003B7AB8"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The file reveals that disciplinary procedures were opened in </w:t>
      </w:r>
      <w:r w:rsidR="00DB7DA5" w:rsidRPr="00EA6C7A">
        <w:rPr>
          <w:rFonts w:ascii="Verdana" w:eastAsia="Batang" w:hAnsi="Verdana"/>
          <w:sz w:val="20"/>
          <w:szCs w:val="20"/>
          <w:lang w:val="en-US" w:eastAsia="es-MX"/>
        </w:rPr>
        <w:t>the Head Office for the Prosecution of Crimes against Life and Integrity</w:t>
      </w:r>
      <w:r w:rsidRPr="00EA6C7A">
        <w:rPr>
          <w:rFonts w:ascii="Verdana" w:eastAsia="Batang" w:hAnsi="Verdana"/>
          <w:sz w:val="20"/>
          <w:szCs w:val="20"/>
          <w:lang w:val="en-US" w:eastAsia="es-MX"/>
        </w:rPr>
        <w:t xml:space="preserve">, as well as in </w:t>
      </w:r>
      <w:r w:rsidR="003E2012" w:rsidRPr="00EA6C7A">
        <w:rPr>
          <w:rFonts w:ascii="Verdana" w:eastAsia="Batang" w:hAnsi="Verdana"/>
          <w:sz w:val="20"/>
          <w:szCs w:val="20"/>
          <w:lang w:val="en-US" w:eastAsia="es-MX"/>
        </w:rPr>
        <w:t xml:space="preserve">the </w:t>
      </w:r>
      <w:r w:rsidR="003F31B4" w:rsidRPr="00EA6C7A">
        <w:rPr>
          <w:rFonts w:ascii="Verdana" w:eastAsia="Batang" w:hAnsi="Verdana"/>
          <w:sz w:val="20"/>
          <w:szCs w:val="20"/>
          <w:lang w:val="en-US" w:eastAsia="es-MX"/>
        </w:rPr>
        <w:t>Criminal Investigation Department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against </w:t>
      </w:r>
      <w:r w:rsidR="00D75E80" w:rsidRPr="00EA6C7A">
        <w:rPr>
          <w:rFonts w:ascii="Verdana" w:eastAsia="Batang" w:hAnsi="Verdana"/>
          <w:sz w:val="20"/>
          <w:szCs w:val="20"/>
          <w:lang w:val="en-US" w:eastAsia="es-MX"/>
        </w:rPr>
        <w:t xml:space="preserve">the </w:t>
      </w:r>
      <w:r w:rsidR="000821BA" w:rsidRPr="00EA6C7A">
        <w:rPr>
          <w:rFonts w:ascii="Verdana" w:eastAsia="Batang" w:hAnsi="Verdana"/>
          <w:sz w:val="20"/>
          <w:szCs w:val="20"/>
          <w:lang w:val="en-US" w:eastAsia="es-MX"/>
        </w:rPr>
        <w:t>assistant prosecutor</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three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c</w:t>
      </w:r>
      <w:r w:rsidR="00EF1D78" w:rsidRPr="00EA6C7A">
        <w:rPr>
          <w:rFonts w:ascii="Verdana" w:eastAsia="Batang" w:hAnsi="Verdana"/>
          <w:sz w:val="20"/>
          <w:szCs w:val="20"/>
          <w:lang w:val="en-US" w:eastAsia="es-MX"/>
        </w:rPr>
        <w:t>riminal investigation experts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who took part in the initial moments of the investigation into the death of </w:t>
      </w:r>
      <w:r w:rsidR="00CD09AF"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41"/>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 this regard</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February 11,</w:t>
      </w:r>
      <w:r w:rsidR="00CD09AF" w:rsidRPr="00EA6C7A">
        <w:rPr>
          <w:rFonts w:ascii="Verdana" w:eastAsia="Batang" w:hAnsi="Verdana"/>
          <w:sz w:val="20"/>
          <w:szCs w:val="20"/>
          <w:lang w:val="en-US" w:eastAsia="es-MX"/>
        </w:rPr>
        <w:t xml:space="preserve"> 2009</w:t>
      </w:r>
      <w:r w:rsidRPr="00EA6C7A">
        <w:rPr>
          <w:rFonts w:ascii="Verdana" w:eastAsia="Batang" w:hAnsi="Verdana"/>
          <w:sz w:val="20"/>
          <w:szCs w:val="20"/>
          <w:lang w:val="en-US" w:eastAsia="es-MX"/>
        </w:rPr>
        <w:t xml:space="preserve">, the disciplinary procedure against </w:t>
      </w:r>
      <w:r w:rsidR="000821BA" w:rsidRPr="00EA6C7A">
        <w:rPr>
          <w:rFonts w:ascii="Verdana" w:eastAsia="Batang" w:hAnsi="Verdana"/>
          <w:sz w:val="20"/>
          <w:szCs w:val="20"/>
          <w:lang w:val="en-US" w:eastAsia="es-MX"/>
        </w:rPr>
        <w:t>the assistant prosecutor</w:t>
      </w:r>
      <w:r w:rsidR="00D948A1"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was declared admissible and he was sanctioned with a written reprimand.</w:t>
      </w:r>
      <w:r w:rsidR="00CD09AF" w:rsidRPr="00EA6C7A">
        <w:rPr>
          <w:rFonts w:ascii="Verdana" w:eastAsia="Batang" w:hAnsi="Verdana"/>
          <w:sz w:val="20"/>
          <w:szCs w:val="20"/>
          <w:vertAlign w:val="superscript"/>
          <w:lang w:val="en-US" w:eastAsia="es-MX"/>
        </w:rPr>
        <w:footnoteReference w:id="142"/>
      </w:r>
      <w:r w:rsidR="00CD09AF" w:rsidRPr="00EA6C7A">
        <w:rPr>
          <w:rFonts w:ascii="Verdana" w:eastAsia="Batang" w:hAnsi="Verdana"/>
          <w:sz w:val="20"/>
          <w:szCs w:val="20"/>
          <w:lang w:val="en-US" w:eastAsia="es-MX"/>
        </w:rPr>
        <w:t xml:space="preserve"> </w:t>
      </w:r>
      <w:r w:rsidR="008A04F5" w:rsidRPr="00EA6C7A">
        <w:rPr>
          <w:rFonts w:ascii="Verdana" w:eastAsia="Batang" w:hAnsi="Verdana"/>
          <w:sz w:val="20"/>
          <w:szCs w:val="20"/>
          <w:lang w:val="en-US" w:eastAsia="es-MX"/>
        </w:rPr>
        <w:t>Moreover</w:t>
      </w:r>
      <w:r w:rsidRPr="00EA6C7A">
        <w:rPr>
          <w:rFonts w:ascii="Verdana" w:eastAsia="Batang" w:hAnsi="Verdana"/>
          <w:sz w:val="20"/>
          <w:szCs w:val="20"/>
          <w:lang w:val="en-US" w:eastAsia="es-MX"/>
        </w:rPr>
        <w:t xml:space="preserve">, on July 5, </w:t>
      </w:r>
      <w:r w:rsidR="00CD09AF" w:rsidRPr="00EA6C7A">
        <w:rPr>
          <w:rFonts w:ascii="Verdana" w:eastAsia="Batang" w:hAnsi="Verdana"/>
          <w:sz w:val="20"/>
          <w:szCs w:val="20"/>
          <w:lang w:val="en-US" w:eastAsia="es-MX"/>
        </w:rPr>
        <w:t>2012</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003F31B4" w:rsidRPr="00EA6C7A">
        <w:rPr>
          <w:rFonts w:ascii="Verdana" w:eastAsia="Batang" w:hAnsi="Verdana"/>
          <w:sz w:val="20"/>
          <w:szCs w:val="20"/>
          <w:lang w:val="en-US" w:eastAsia="es-MX"/>
        </w:rPr>
        <w:t xml:space="preserve">Criminal Investigation Department </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advised the prosecutor that, in 2009, two of the c</w:t>
      </w:r>
      <w:r w:rsidR="00EF1D78" w:rsidRPr="00EA6C7A">
        <w:rPr>
          <w:rFonts w:ascii="Verdana" w:eastAsia="Batang" w:hAnsi="Verdana"/>
          <w:sz w:val="20"/>
          <w:szCs w:val="20"/>
          <w:lang w:val="en-US" w:eastAsia="es-MX"/>
        </w:rPr>
        <w:t>riminal investigation experts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had been sanctioned with a verbal reprimand and, in the case of the third, it was decided that the procedure against him was </w:t>
      </w:r>
      <w:r w:rsidR="00CB4488" w:rsidRPr="00EA6C7A">
        <w:rPr>
          <w:rFonts w:ascii="Verdana" w:eastAsia="Batang" w:hAnsi="Verdana"/>
          <w:sz w:val="20"/>
          <w:szCs w:val="20"/>
          <w:lang w:val="en-US" w:eastAsia="es-MX"/>
        </w:rPr>
        <w:t>without merit</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43"/>
      </w:r>
    </w:p>
    <w:p w14:paraId="6DA716BE" w14:textId="77777777" w:rsidR="00CD09AF" w:rsidRPr="00EA6C7A" w:rsidRDefault="00CD09AF" w:rsidP="008A04F5">
      <w:pPr>
        <w:keepNext/>
        <w:keepLines/>
        <w:tabs>
          <w:tab w:val="left" w:pos="720"/>
        </w:tabs>
        <w:spacing w:after="0" w:line="240" w:lineRule="auto"/>
        <w:jc w:val="both"/>
        <w:outlineLvl w:val="1"/>
        <w:rPr>
          <w:rFonts w:ascii="Verdana" w:eastAsia="Batang" w:hAnsi="Verdana"/>
          <w:b/>
          <w:bCs/>
          <w:sz w:val="20"/>
          <w:szCs w:val="26"/>
          <w:lang w:val="en-US" w:eastAsia="es-MX"/>
        </w:rPr>
      </w:pPr>
      <w:bookmarkStart w:id="60" w:name="_Toc26002311"/>
      <w:r w:rsidRPr="00EA6C7A">
        <w:rPr>
          <w:rFonts w:ascii="Verdana" w:eastAsia="Batang" w:hAnsi="Verdana"/>
          <w:b/>
          <w:bCs/>
          <w:sz w:val="20"/>
          <w:szCs w:val="26"/>
          <w:lang w:val="en-US" w:eastAsia="es-MX"/>
        </w:rPr>
        <w:t xml:space="preserve">B.6. </w:t>
      </w:r>
      <w:r w:rsidR="00793F8B" w:rsidRPr="00EA6C7A">
        <w:rPr>
          <w:rFonts w:ascii="Verdana" w:eastAsia="Batang" w:hAnsi="Verdana"/>
          <w:b/>
          <w:bCs/>
          <w:sz w:val="20"/>
          <w:szCs w:val="26"/>
          <w:lang w:val="en-US" w:eastAsia="es-MX"/>
        </w:rPr>
        <w:t>Disciplinary Procedure in</w:t>
      </w:r>
      <w:r w:rsidRPr="00EA6C7A">
        <w:rPr>
          <w:rFonts w:ascii="Verdana" w:eastAsia="Batang" w:hAnsi="Verdana"/>
          <w:b/>
          <w:bCs/>
          <w:sz w:val="20"/>
          <w:szCs w:val="26"/>
          <w:lang w:val="en-US" w:eastAsia="es-MX"/>
        </w:rPr>
        <w:t xml:space="preserve"> </w:t>
      </w:r>
      <w:r w:rsidR="003E2012" w:rsidRPr="00EA6C7A">
        <w:rPr>
          <w:rFonts w:ascii="Verdana" w:eastAsia="Batang" w:hAnsi="Verdana"/>
          <w:b/>
          <w:bCs/>
          <w:sz w:val="20"/>
          <w:szCs w:val="26"/>
          <w:lang w:val="en-US" w:eastAsia="es-MX"/>
        </w:rPr>
        <w:t xml:space="preserve">the </w:t>
      </w:r>
      <w:r w:rsidR="00793F8B" w:rsidRPr="00EA6C7A">
        <w:rPr>
          <w:rFonts w:ascii="Verdana" w:eastAsia="Batang" w:hAnsi="Verdana"/>
          <w:b/>
          <w:bCs/>
          <w:sz w:val="20"/>
          <w:szCs w:val="26"/>
          <w:lang w:val="en-US" w:eastAsia="es-MX"/>
        </w:rPr>
        <w:t>Disciplinary</w:t>
      </w:r>
      <w:r w:rsidR="003E2012" w:rsidRPr="00EA6C7A">
        <w:rPr>
          <w:rFonts w:ascii="Verdana" w:eastAsia="Batang" w:hAnsi="Verdana"/>
          <w:b/>
          <w:bCs/>
          <w:sz w:val="20"/>
          <w:szCs w:val="26"/>
          <w:lang w:val="en-US" w:eastAsia="es-MX"/>
        </w:rPr>
        <w:t xml:space="preserve"> Regime Unit </w:t>
      </w:r>
      <w:r w:rsidR="003B7AB8" w:rsidRPr="00EA6C7A">
        <w:rPr>
          <w:rFonts w:ascii="Verdana" w:eastAsia="Batang" w:hAnsi="Verdana"/>
          <w:b/>
          <w:bCs/>
          <w:sz w:val="20"/>
          <w:szCs w:val="26"/>
          <w:lang w:val="en-US" w:eastAsia="es-MX"/>
        </w:rPr>
        <w:t>of the Judiciary’s Human Resources System</w:t>
      </w:r>
      <w:bookmarkEnd w:id="60"/>
    </w:p>
    <w:p w14:paraId="3E207AD3" w14:textId="77777777" w:rsidR="00CD09AF" w:rsidRPr="00EA6C7A" w:rsidRDefault="00CD09AF" w:rsidP="003B7AB8">
      <w:pPr>
        <w:keepNext/>
        <w:keepLines/>
        <w:tabs>
          <w:tab w:val="left" w:pos="720"/>
        </w:tabs>
        <w:spacing w:after="0"/>
        <w:outlineLvl w:val="1"/>
        <w:rPr>
          <w:rFonts w:ascii="Verdana" w:eastAsia="Batang" w:hAnsi="Verdana"/>
          <w:b/>
          <w:bCs/>
          <w:sz w:val="20"/>
          <w:szCs w:val="26"/>
          <w:lang w:val="en-US" w:eastAsia="es-MX"/>
        </w:rPr>
      </w:pPr>
    </w:p>
    <w:p w14:paraId="7F14B79B" w14:textId="77777777" w:rsidR="00CD09AF" w:rsidRPr="00EA6C7A" w:rsidRDefault="00793F8B"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November 6,</w:t>
      </w:r>
      <w:r w:rsidR="00CD09AF" w:rsidRPr="00EA6C7A">
        <w:rPr>
          <w:rFonts w:ascii="Verdana" w:eastAsia="Batang" w:hAnsi="Verdana"/>
          <w:sz w:val="20"/>
          <w:szCs w:val="20"/>
          <w:lang w:val="en-US" w:eastAsia="es-MX"/>
        </w:rPr>
        <w:t xml:space="preserve"> 2006</w:t>
      </w:r>
      <w:r w:rsidR="00080782"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Judiciary’s Internal Audit Office prepared a detailed investigation report as a result of the</w:t>
      </w:r>
      <w:r w:rsidR="00080782" w:rsidRPr="00EA6C7A">
        <w:rPr>
          <w:rFonts w:ascii="Verdana" w:eastAsia="Batang" w:hAnsi="Verdana"/>
          <w:sz w:val="20"/>
          <w:szCs w:val="20"/>
          <w:lang w:val="en-US" w:eastAsia="es-MX"/>
        </w:rPr>
        <w:t xml:space="preserve"> July 20, 2006,</w:t>
      </w:r>
      <w:r w:rsidRPr="00EA6C7A">
        <w:rPr>
          <w:rFonts w:ascii="Verdana" w:eastAsia="Batang" w:hAnsi="Verdana"/>
          <w:sz w:val="20"/>
          <w:szCs w:val="20"/>
          <w:lang w:val="en-US" w:eastAsia="es-MX"/>
        </w:rPr>
        <w:t xml:space="preserve"> </w:t>
      </w:r>
      <w:r w:rsidR="00080782" w:rsidRPr="00EA6C7A">
        <w:rPr>
          <w:rFonts w:ascii="Verdana" w:eastAsia="Batang" w:hAnsi="Verdana"/>
          <w:sz w:val="20"/>
          <w:szCs w:val="20"/>
          <w:lang w:val="en-US" w:eastAsia="es-MX"/>
        </w:rPr>
        <w:t>r</w:t>
      </w:r>
      <w:r w:rsidR="00CD09AF" w:rsidRPr="00EA6C7A">
        <w:rPr>
          <w:rFonts w:ascii="Verdana" w:eastAsia="Batang" w:hAnsi="Verdana"/>
          <w:sz w:val="20"/>
          <w:szCs w:val="20"/>
          <w:lang w:val="en-US" w:eastAsia="es-MX"/>
        </w:rPr>
        <w:t>esolu</w:t>
      </w:r>
      <w:r w:rsidRPr="00EA6C7A">
        <w:rPr>
          <w:rFonts w:ascii="Verdana" w:eastAsia="Batang" w:hAnsi="Verdana"/>
          <w:sz w:val="20"/>
          <w:szCs w:val="20"/>
          <w:lang w:val="en-US" w:eastAsia="es-MX"/>
        </w:rPr>
        <w:t>tio</w:t>
      </w:r>
      <w:r w:rsidR="00CD09AF" w:rsidRPr="00EA6C7A">
        <w:rPr>
          <w:rFonts w:ascii="Verdana" w:eastAsia="Batang" w:hAnsi="Verdana"/>
          <w:sz w:val="20"/>
          <w:szCs w:val="20"/>
          <w:lang w:val="en-US" w:eastAsia="es-MX"/>
        </w:rPr>
        <w:t xml:space="preserve">n </w:t>
      </w:r>
      <w:r w:rsidRPr="00EA6C7A">
        <w:rPr>
          <w:rFonts w:ascii="Verdana" w:eastAsia="Batang" w:hAnsi="Verdana"/>
          <w:sz w:val="20"/>
          <w:szCs w:val="20"/>
          <w:lang w:val="en-US" w:eastAsia="es-MX"/>
        </w:rPr>
        <w:t>of</w:t>
      </w:r>
      <w:r w:rsidR="00CD09AF"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the Guatemalan Ombudsman</w:t>
      </w:r>
      <w:r w:rsidR="00CD09AF" w:rsidRPr="00EA6C7A">
        <w:rPr>
          <w:rFonts w:ascii="Verdana" w:eastAsia="Batang" w:hAnsi="Verdana"/>
          <w:sz w:val="20"/>
          <w:szCs w:val="20"/>
          <w:lang w:val="en-US" w:eastAsia="es-MX"/>
        </w:rPr>
        <w:t xml:space="preserve"> (</w:t>
      </w:r>
      <w:r w:rsidR="00CD09AF" w:rsidRPr="00EA6C7A">
        <w:rPr>
          <w:rFonts w:ascii="Verdana" w:eastAsia="Batang" w:hAnsi="Verdana"/>
          <w:i/>
          <w:sz w:val="20"/>
          <w:szCs w:val="20"/>
          <w:lang w:val="en-US" w:eastAsia="es-MX"/>
        </w:rPr>
        <w:t>supra</w:t>
      </w:r>
      <w:r w:rsidR="00CD09AF"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CD09AF" w:rsidRPr="00EA6C7A">
        <w:rPr>
          <w:rFonts w:ascii="Verdana" w:eastAsia="Batang" w:hAnsi="Verdana"/>
          <w:sz w:val="20"/>
          <w:szCs w:val="20"/>
          <w:lang w:val="en-US" w:eastAsia="es-MX"/>
        </w:rPr>
        <w:t xml:space="preserve"> 91)</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44"/>
      </w:r>
      <w:r w:rsidR="00CD09AF" w:rsidRPr="00EA6C7A">
        <w:rPr>
          <w:rFonts w:ascii="Verdana" w:eastAsia="Batang" w:hAnsi="Verdana"/>
          <w:sz w:val="20"/>
          <w:szCs w:val="20"/>
          <w:lang w:val="en-US" w:eastAsia="es-MX"/>
        </w:rPr>
        <w:t xml:space="preserve"> </w:t>
      </w:r>
      <w:r w:rsidR="00080782" w:rsidRPr="00EA6C7A">
        <w:rPr>
          <w:rFonts w:ascii="Verdana" w:eastAsia="Batang" w:hAnsi="Verdana"/>
          <w:sz w:val="20"/>
          <w:szCs w:val="20"/>
          <w:lang w:val="en-US" w:eastAsia="es-MX"/>
        </w:rPr>
        <w:t>On this basis</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November 8,</w:t>
      </w:r>
      <w:r w:rsidR="00CD09AF" w:rsidRPr="00EA6C7A">
        <w:rPr>
          <w:rFonts w:ascii="Verdana" w:eastAsia="Batang" w:hAnsi="Verdana"/>
          <w:sz w:val="20"/>
          <w:szCs w:val="20"/>
          <w:lang w:val="en-US" w:eastAsia="es-MX"/>
        </w:rPr>
        <w:t xml:space="preserve"> 2006</w:t>
      </w:r>
      <w:r w:rsidR="00080782"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 </w:t>
      </w:r>
      <w:r w:rsidR="003B7AB8" w:rsidRPr="00EA6C7A">
        <w:rPr>
          <w:rFonts w:ascii="Verdana" w:eastAsia="Batang" w:hAnsi="Verdana"/>
          <w:sz w:val="20"/>
          <w:szCs w:val="20"/>
          <w:lang w:val="en-US" w:eastAsia="es-MX"/>
        </w:rPr>
        <w:t>of the Judiciary’s Human Resources System</w:t>
      </w:r>
      <w:r w:rsidR="00CD09AF"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hereinafter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Disciplinary Regime Unit</w:t>
      </w:r>
      <w:r w:rsidR="00CD09AF" w:rsidRPr="00EA6C7A">
        <w:rPr>
          <w:rFonts w:ascii="Verdana" w:eastAsia="Batang" w:hAnsi="Verdana"/>
          <w:sz w:val="20"/>
          <w:szCs w:val="20"/>
          <w:lang w:val="en-US" w:eastAsia="es-MX"/>
        </w:rPr>
        <w:t>”) admit</w:t>
      </w:r>
      <w:r w:rsidR="00080782" w:rsidRPr="00EA6C7A">
        <w:rPr>
          <w:rFonts w:ascii="Verdana" w:eastAsia="Batang" w:hAnsi="Verdana"/>
          <w:sz w:val="20"/>
          <w:szCs w:val="20"/>
          <w:lang w:val="en-US" w:eastAsia="es-MX"/>
        </w:rPr>
        <w:t>ted for processing the complaint filed by the Ombudsman against</w:t>
      </w:r>
      <w:r w:rsidR="003F510E" w:rsidRPr="00EA6C7A">
        <w:rPr>
          <w:rFonts w:ascii="Verdana" w:eastAsia="Batang" w:hAnsi="Verdana"/>
          <w:sz w:val="20"/>
          <w:szCs w:val="20"/>
          <w:lang w:val="en-US" w:eastAsia="es-MX"/>
        </w:rPr>
        <w:t xml:space="preserve"> the </w:t>
      </w:r>
      <w:r w:rsidR="000821BA" w:rsidRPr="00EA6C7A">
        <w:rPr>
          <w:rFonts w:ascii="Verdana" w:eastAsia="Batang" w:hAnsi="Verdana"/>
          <w:sz w:val="20"/>
          <w:szCs w:val="20"/>
          <w:lang w:val="en-US" w:eastAsia="es-MX"/>
        </w:rPr>
        <w:t>forensic physician</w:t>
      </w:r>
      <w:r w:rsidR="00CD09AF" w:rsidRPr="00EA6C7A">
        <w:rPr>
          <w:rFonts w:ascii="Verdana" w:eastAsia="Batang" w:hAnsi="Verdana"/>
          <w:sz w:val="20"/>
          <w:szCs w:val="20"/>
          <w:lang w:val="en-US" w:eastAsia="es-MX"/>
        </w:rPr>
        <w:t xml:space="preserve"> </w:t>
      </w:r>
      <w:r w:rsidR="00080782" w:rsidRPr="00EA6C7A">
        <w:rPr>
          <w:rFonts w:ascii="Verdana" w:eastAsia="Batang" w:hAnsi="Verdana"/>
          <w:sz w:val="20"/>
          <w:szCs w:val="20"/>
          <w:lang w:val="en-US" w:eastAsia="es-MX"/>
        </w:rPr>
        <w:t>who had performed the autopsy on the body of</w:t>
      </w:r>
      <w:r w:rsidR="00CD09AF" w:rsidRPr="00EA6C7A">
        <w:rPr>
          <w:rFonts w:ascii="Verdana" w:eastAsia="Batang" w:hAnsi="Verdana"/>
          <w:sz w:val="20"/>
          <w:szCs w:val="20"/>
          <w:lang w:val="en-US" w:eastAsia="es-MX"/>
        </w:rPr>
        <w:t xml:space="preserve"> Claudina Velásquez</w:t>
      </w:r>
      <w:r w:rsidR="00080782"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45"/>
      </w:r>
      <w:r w:rsidR="00080782" w:rsidRPr="00EA6C7A">
        <w:rPr>
          <w:rFonts w:ascii="Verdana" w:eastAsia="Batang" w:hAnsi="Verdana"/>
          <w:sz w:val="20"/>
          <w:szCs w:val="20"/>
          <w:lang w:val="en-US" w:eastAsia="es-MX"/>
        </w:rPr>
        <w:t xml:space="preserve"> At the conclusion of this process, in a decision of </w:t>
      </w:r>
      <w:r w:rsidR="003F510E" w:rsidRPr="00EA6C7A">
        <w:rPr>
          <w:rFonts w:ascii="Verdana" w:eastAsia="Batang" w:hAnsi="Verdana"/>
          <w:sz w:val="20"/>
          <w:szCs w:val="20"/>
          <w:lang w:val="en-US" w:eastAsia="es-MX"/>
        </w:rPr>
        <w:t>November 29,</w:t>
      </w:r>
      <w:r w:rsidR="00CD09AF" w:rsidRPr="00EA6C7A">
        <w:rPr>
          <w:rFonts w:ascii="Verdana" w:eastAsia="Batang" w:hAnsi="Verdana"/>
          <w:sz w:val="20"/>
          <w:szCs w:val="20"/>
          <w:lang w:val="en-US" w:eastAsia="es-MX"/>
        </w:rPr>
        <w:t xml:space="preserve"> 2006</w:t>
      </w:r>
      <w:r w:rsidR="00080782"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w:t>
      </w:r>
      <w:r w:rsidR="00CD09AF" w:rsidRPr="00EA6C7A">
        <w:rPr>
          <w:rFonts w:ascii="Verdana" w:eastAsia="Batang" w:hAnsi="Verdana"/>
          <w:sz w:val="20"/>
          <w:szCs w:val="20"/>
          <w:lang w:val="en-US" w:eastAsia="es-MX"/>
        </w:rPr>
        <w:t xml:space="preserve"> declar</w:t>
      </w:r>
      <w:r w:rsidR="00080782" w:rsidRPr="00EA6C7A">
        <w:rPr>
          <w:rFonts w:ascii="Verdana" w:eastAsia="Batang" w:hAnsi="Verdana"/>
          <w:sz w:val="20"/>
          <w:szCs w:val="20"/>
          <w:lang w:val="en-US" w:eastAsia="es-MX"/>
        </w:rPr>
        <w:t xml:space="preserve">ed the forensic </w:t>
      </w:r>
      <w:r w:rsidR="00CB4488" w:rsidRPr="00EA6C7A">
        <w:rPr>
          <w:rFonts w:ascii="Verdana" w:eastAsia="Batang" w:hAnsi="Verdana"/>
          <w:sz w:val="20"/>
          <w:szCs w:val="20"/>
          <w:lang w:val="en-US" w:eastAsia="es-MX"/>
        </w:rPr>
        <w:t>physician</w:t>
      </w:r>
      <w:r w:rsidR="00080782" w:rsidRPr="00EA6C7A">
        <w:rPr>
          <w:rFonts w:ascii="Verdana" w:eastAsia="Batang" w:hAnsi="Verdana"/>
          <w:sz w:val="20"/>
          <w:szCs w:val="20"/>
          <w:lang w:val="en-US" w:eastAsia="es-MX"/>
        </w:rPr>
        <w:t xml:space="preserve"> against whom the complaint had been filed</w:t>
      </w:r>
      <w:r w:rsidR="008A04F5" w:rsidRPr="00EA6C7A">
        <w:rPr>
          <w:rFonts w:ascii="Verdana" w:eastAsia="Batang" w:hAnsi="Verdana"/>
          <w:sz w:val="20"/>
          <w:szCs w:val="20"/>
          <w:lang w:val="en-US" w:eastAsia="es-MX"/>
        </w:rPr>
        <w:t xml:space="preserve"> in contempt of court</w:t>
      </w:r>
      <w:r w:rsidR="00080782" w:rsidRPr="00EA6C7A">
        <w:rPr>
          <w:rFonts w:ascii="Verdana" w:eastAsia="Batang" w:hAnsi="Verdana"/>
          <w:sz w:val="20"/>
          <w:szCs w:val="20"/>
          <w:lang w:val="en-US" w:eastAsia="es-MX"/>
        </w:rPr>
        <w:t>, inhibited itself from hearing the proce</w:t>
      </w:r>
      <w:r w:rsidR="00CB4488" w:rsidRPr="00EA6C7A">
        <w:rPr>
          <w:rFonts w:ascii="Verdana" w:eastAsia="Batang" w:hAnsi="Verdana"/>
          <w:sz w:val="20"/>
          <w:szCs w:val="20"/>
          <w:lang w:val="en-US" w:eastAsia="es-MX"/>
        </w:rPr>
        <w:t>e</w:t>
      </w:r>
      <w:r w:rsidR="00080782" w:rsidRPr="00EA6C7A">
        <w:rPr>
          <w:rFonts w:ascii="Verdana" w:eastAsia="Batang" w:hAnsi="Verdana"/>
          <w:sz w:val="20"/>
          <w:szCs w:val="20"/>
          <w:lang w:val="en-US" w:eastAsia="es-MX"/>
        </w:rPr>
        <w:t xml:space="preserve">ding considering that it referred to a </w:t>
      </w:r>
      <w:r w:rsidR="005E504C" w:rsidRPr="00EA6C7A">
        <w:rPr>
          <w:rFonts w:ascii="Verdana" w:eastAsia="Batang" w:hAnsi="Verdana"/>
          <w:sz w:val="20"/>
          <w:szCs w:val="20"/>
          <w:lang w:val="en-US" w:eastAsia="es-MX"/>
        </w:rPr>
        <w:t>minor negligence</w:t>
      </w:r>
      <w:r w:rsidR="008A04F5" w:rsidRPr="00EA6C7A">
        <w:rPr>
          <w:rFonts w:ascii="Verdana" w:eastAsia="Batang" w:hAnsi="Verdana"/>
          <w:sz w:val="20"/>
          <w:szCs w:val="20"/>
          <w:lang w:val="en-US" w:eastAsia="es-MX"/>
        </w:rPr>
        <w:t>,</w:t>
      </w:r>
      <w:r w:rsidR="005E504C"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t>and</w:t>
      </w:r>
      <w:r w:rsidR="00080782" w:rsidRPr="00EA6C7A">
        <w:rPr>
          <w:rFonts w:ascii="Verdana" w:eastAsia="Batang" w:hAnsi="Verdana"/>
          <w:sz w:val="20"/>
          <w:szCs w:val="20"/>
          <w:lang w:val="en-US" w:eastAsia="es-MX"/>
        </w:rPr>
        <w:t xml:space="preserve"> forwarded a copy of the decision to the </w:t>
      </w:r>
      <w:r w:rsidRPr="00EA6C7A">
        <w:rPr>
          <w:rFonts w:ascii="Verdana" w:eastAsia="Batang" w:hAnsi="Verdana"/>
          <w:sz w:val="20"/>
          <w:szCs w:val="20"/>
          <w:lang w:val="en-US" w:eastAsia="es-MX"/>
        </w:rPr>
        <w:t>Head of the</w:t>
      </w:r>
      <w:r w:rsidR="00CD09AF" w:rsidRPr="00EA6C7A">
        <w:rPr>
          <w:rFonts w:ascii="Verdana" w:eastAsia="Batang" w:hAnsi="Verdana"/>
          <w:sz w:val="20"/>
          <w:szCs w:val="20"/>
          <w:lang w:val="en-US" w:eastAsia="es-MX"/>
        </w:rPr>
        <w:t xml:space="preserve"> </w:t>
      </w:r>
      <w:r w:rsidR="0083210F" w:rsidRPr="00EA6C7A">
        <w:rPr>
          <w:rFonts w:ascii="Verdana" w:eastAsia="Batang" w:hAnsi="Verdana"/>
          <w:sz w:val="20"/>
          <w:szCs w:val="20"/>
          <w:lang w:val="en-US" w:eastAsia="es-MX"/>
        </w:rPr>
        <w:t>Forensic Medicine Service</w:t>
      </w:r>
      <w:r w:rsidR="00CD09AF" w:rsidRPr="00EA6C7A">
        <w:rPr>
          <w:rFonts w:ascii="Verdana" w:eastAsia="Batang" w:hAnsi="Verdana"/>
          <w:sz w:val="20"/>
          <w:szCs w:val="20"/>
          <w:lang w:val="en-US" w:eastAsia="es-MX"/>
        </w:rPr>
        <w:t xml:space="preserve"> </w:t>
      </w:r>
      <w:r w:rsidR="00080782" w:rsidRPr="00EA6C7A">
        <w:rPr>
          <w:rFonts w:ascii="Verdana" w:eastAsia="Batang" w:hAnsi="Verdana"/>
          <w:sz w:val="20"/>
          <w:szCs w:val="20"/>
          <w:lang w:val="en-US" w:eastAsia="es-MX"/>
        </w:rPr>
        <w:t xml:space="preserve">to continue the respective procedure. </w:t>
      </w:r>
      <w:r w:rsidRPr="00EA6C7A">
        <w:rPr>
          <w:rFonts w:ascii="Verdana" w:eastAsia="Batang" w:hAnsi="Verdana"/>
          <w:sz w:val="20"/>
          <w:szCs w:val="20"/>
          <w:lang w:val="en-US" w:eastAsia="es-MX"/>
        </w:rPr>
        <w:t>According to</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w:t>
      </w:r>
      <w:r w:rsidR="00CD09AF" w:rsidRPr="00EA6C7A">
        <w:rPr>
          <w:rFonts w:ascii="Verdana" w:eastAsia="Batang" w:hAnsi="Verdana"/>
          <w:sz w:val="20"/>
          <w:szCs w:val="20"/>
          <w:lang w:val="en-US" w:eastAsia="es-MX"/>
        </w:rPr>
        <w:t xml:space="preserve">, </w:t>
      </w:r>
      <w:r w:rsidR="00080782" w:rsidRPr="00EA6C7A">
        <w:rPr>
          <w:rFonts w:ascii="Verdana" w:eastAsia="Batang" w:hAnsi="Verdana"/>
          <w:sz w:val="20"/>
          <w:szCs w:val="20"/>
          <w:lang w:val="en-US" w:eastAsia="es-MX"/>
        </w:rPr>
        <w:t xml:space="preserve">when carrying out his work, </w:t>
      </w:r>
      <w:r w:rsidR="000821BA" w:rsidRPr="00EA6C7A">
        <w:rPr>
          <w:rFonts w:ascii="Verdana" w:eastAsia="Batang" w:hAnsi="Verdana"/>
          <w:sz w:val="20"/>
          <w:szCs w:val="20"/>
          <w:lang w:val="en-US" w:eastAsia="es-MX"/>
        </w:rPr>
        <w:t>the forensic physician</w:t>
      </w:r>
      <w:r w:rsidR="00CD09AF" w:rsidRPr="00EA6C7A">
        <w:rPr>
          <w:rFonts w:ascii="Verdana" w:eastAsia="Batang" w:hAnsi="Verdana" w:cs="Arial"/>
          <w:color w:val="121212"/>
          <w:sz w:val="20"/>
          <w:szCs w:val="20"/>
          <w:lang w:val="en-US" w:eastAsia="es-MX"/>
        </w:rPr>
        <w:t xml:space="preserve"> “</w:t>
      </w:r>
      <w:r w:rsidR="00080782" w:rsidRPr="00EA6C7A">
        <w:rPr>
          <w:rFonts w:ascii="Verdana" w:eastAsia="Batang" w:hAnsi="Verdana" w:cs="Arial"/>
          <w:color w:val="121212"/>
          <w:sz w:val="20"/>
          <w:szCs w:val="20"/>
          <w:lang w:val="en-US" w:eastAsia="es-MX"/>
        </w:rPr>
        <w:t>had done so negligently” for the following two reasons:</w:t>
      </w:r>
    </w:p>
    <w:p w14:paraId="58D4B609" w14:textId="77777777" w:rsidR="00CD09AF" w:rsidRPr="00EA6C7A" w:rsidRDefault="00080782" w:rsidP="00557B17">
      <w:pPr>
        <w:tabs>
          <w:tab w:val="left" w:pos="720"/>
        </w:tabs>
        <w:spacing w:after="240" w:line="240" w:lineRule="auto"/>
        <w:ind w:left="540"/>
        <w:jc w:val="both"/>
        <w:rPr>
          <w:rFonts w:ascii="Verdana" w:eastAsia="Batang" w:hAnsi="Verdana" w:cs="Arial"/>
          <w:color w:val="1E1E1E"/>
          <w:sz w:val="16"/>
          <w:szCs w:val="16"/>
          <w:lang w:val="en-US" w:eastAsia="es-MX"/>
        </w:rPr>
      </w:pPr>
      <w:r w:rsidRPr="00EA6C7A">
        <w:rPr>
          <w:rFonts w:ascii="Verdana" w:eastAsia="Batang" w:hAnsi="Verdana" w:cs="Arial"/>
          <w:color w:val="222222"/>
          <w:sz w:val="16"/>
          <w:szCs w:val="16"/>
          <w:lang w:val="en-US" w:eastAsia="es-MX"/>
        </w:rPr>
        <w:t xml:space="preserve">The forensic physician provided a report to the assistant prosecutor </w:t>
      </w:r>
      <w:r w:rsidR="003E2012" w:rsidRPr="00EA6C7A">
        <w:rPr>
          <w:rFonts w:ascii="Verdana" w:eastAsia="Batang" w:hAnsi="Verdana" w:cs="Arial"/>
          <w:color w:val="1E1E1E"/>
          <w:sz w:val="16"/>
          <w:szCs w:val="16"/>
          <w:lang w:val="en-US" w:eastAsia="es-MX"/>
        </w:rPr>
        <w:t>of the Public</w:t>
      </w:r>
      <w:r w:rsidR="00B3248B" w:rsidRPr="00EA6C7A">
        <w:rPr>
          <w:rFonts w:ascii="Verdana" w:eastAsia="Batang" w:hAnsi="Verdana" w:cs="Arial"/>
          <w:color w:val="1E1E1E"/>
          <w:sz w:val="16"/>
          <w:szCs w:val="16"/>
          <w:lang w:val="en-US" w:eastAsia="es-MX"/>
        </w:rPr>
        <w:t xml:space="preserve"> Prosecution Service</w:t>
      </w:r>
      <w:r w:rsidR="00CD09AF" w:rsidRPr="00EA6C7A">
        <w:rPr>
          <w:rFonts w:ascii="Verdana" w:eastAsia="Batang" w:hAnsi="Verdana" w:cs="Arial"/>
          <w:color w:val="1E1E1E"/>
          <w:sz w:val="16"/>
          <w:szCs w:val="16"/>
          <w:lang w:val="en-US" w:eastAsia="es-MX"/>
        </w:rPr>
        <w:t xml:space="preserve">, </w:t>
      </w:r>
      <w:r w:rsidR="00CD09AF" w:rsidRPr="00EA6C7A">
        <w:rPr>
          <w:rFonts w:ascii="Verdana" w:eastAsia="Batang" w:hAnsi="Verdana" w:cs="Arial"/>
          <w:color w:val="303030"/>
          <w:sz w:val="16"/>
          <w:szCs w:val="16"/>
          <w:lang w:val="en-US" w:eastAsia="es-MX"/>
        </w:rPr>
        <w:t>indica</w:t>
      </w:r>
      <w:r w:rsidRPr="00EA6C7A">
        <w:rPr>
          <w:rFonts w:ascii="Verdana" w:eastAsia="Batang" w:hAnsi="Verdana" w:cs="Arial"/>
          <w:color w:val="303030"/>
          <w:sz w:val="16"/>
          <w:szCs w:val="16"/>
          <w:lang w:val="en-US" w:eastAsia="es-MX"/>
        </w:rPr>
        <w:t xml:space="preserve">ting that he had </w:t>
      </w:r>
      <w:r w:rsidR="008A04F5" w:rsidRPr="00EA6C7A">
        <w:rPr>
          <w:rFonts w:ascii="Verdana" w:eastAsia="Batang" w:hAnsi="Verdana" w:cs="Arial"/>
          <w:color w:val="303030"/>
          <w:sz w:val="16"/>
          <w:szCs w:val="16"/>
          <w:lang w:val="en-US" w:eastAsia="es-MX"/>
        </w:rPr>
        <w:t xml:space="preserve">performed an </w:t>
      </w:r>
      <w:r w:rsidRPr="00EA6C7A">
        <w:rPr>
          <w:rFonts w:ascii="Verdana" w:eastAsia="Batang" w:hAnsi="Verdana" w:cs="Arial"/>
          <w:color w:val="303030"/>
          <w:sz w:val="16"/>
          <w:szCs w:val="16"/>
          <w:lang w:val="en-US" w:eastAsia="es-MX"/>
        </w:rPr>
        <w:t>autops</w:t>
      </w:r>
      <w:r w:rsidR="008A04F5" w:rsidRPr="00EA6C7A">
        <w:rPr>
          <w:rFonts w:ascii="Verdana" w:eastAsia="Batang" w:hAnsi="Verdana" w:cs="Arial"/>
          <w:color w:val="303030"/>
          <w:sz w:val="16"/>
          <w:szCs w:val="16"/>
          <w:lang w:val="en-US" w:eastAsia="es-MX"/>
        </w:rPr>
        <w:t>y on</w:t>
      </w:r>
      <w:r w:rsidRPr="00EA6C7A">
        <w:rPr>
          <w:rFonts w:ascii="Verdana" w:eastAsia="Batang" w:hAnsi="Verdana" w:cs="Arial"/>
          <w:color w:val="303030"/>
          <w:sz w:val="16"/>
          <w:szCs w:val="16"/>
          <w:lang w:val="en-US" w:eastAsia="es-MX"/>
        </w:rPr>
        <w:t xml:space="preserve"> an unidentified</w:t>
      </w:r>
      <w:r w:rsidR="00FD0A5B" w:rsidRPr="00EA6C7A">
        <w:rPr>
          <w:rFonts w:ascii="Verdana" w:eastAsia="Batang" w:hAnsi="Verdana" w:cs="Arial"/>
          <w:color w:val="303030"/>
          <w:sz w:val="16"/>
          <w:szCs w:val="16"/>
          <w:lang w:val="en-US" w:eastAsia="es-MX"/>
        </w:rPr>
        <w:t xml:space="preserve"> person of</w:t>
      </w:r>
      <w:r w:rsidRPr="00EA6C7A">
        <w:rPr>
          <w:rFonts w:ascii="Verdana" w:eastAsia="Batang" w:hAnsi="Verdana" w:cs="Arial"/>
          <w:color w:val="303030"/>
          <w:sz w:val="16"/>
          <w:szCs w:val="16"/>
          <w:lang w:val="en-US" w:eastAsia="es-MX"/>
        </w:rPr>
        <w:t xml:space="preserve"> female</w:t>
      </w:r>
      <w:r w:rsidR="00FD0A5B" w:rsidRPr="00EA6C7A">
        <w:rPr>
          <w:rFonts w:ascii="Verdana" w:eastAsia="Batang" w:hAnsi="Verdana" w:cs="Arial"/>
          <w:color w:val="303030"/>
          <w:sz w:val="16"/>
          <w:szCs w:val="16"/>
          <w:lang w:val="en-US" w:eastAsia="es-MX"/>
        </w:rPr>
        <w:t xml:space="preserve"> sex</w:t>
      </w:r>
      <w:r w:rsidRPr="00EA6C7A">
        <w:rPr>
          <w:rFonts w:ascii="Verdana" w:eastAsia="Batang" w:hAnsi="Verdana" w:cs="Arial"/>
          <w:color w:val="303030"/>
          <w:sz w:val="16"/>
          <w:szCs w:val="16"/>
          <w:lang w:val="en-US" w:eastAsia="es-MX"/>
        </w:rPr>
        <w:t xml:space="preserve">, when this person had already been identified as  </w:t>
      </w:r>
      <w:r w:rsidR="00CD09AF" w:rsidRPr="00EA6C7A">
        <w:rPr>
          <w:rFonts w:ascii="Verdana" w:eastAsia="Batang" w:hAnsi="Verdana" w:cs="Arial"/>
          <w:color w:val="1E1E1E"/>
          <w:sz w:val="16"/>
          <w:szCs w:val="16"/>
          <w:lang w:val="en-US" w:eastAsia="es-MX"/>
        </w:rPr>
        <w:t>Claudina Isabel Velásquez Paiz[. A</w:t>
      </w:r>
      <w:r w:rsidRPr="00EA6C7A">
        <w:rPr>
          <w:rFonts w:ascii="Verdana" w:eastAsia="Batang" w:hAnsi="Verdana" w:cs="Arial"/>
          <w:color w:val="1E1E1E"/>
          <w:sz w:val="16"/>
          <w:szCs w:val="16"/>
          <w:lang w:val="en-US" w:eastAsia="es-MX"/>
        </w:rPr>
        <w:t>lso</w:t>
      </w:r>
      <w:r w:rsidR="00CD09AF" w:rsidRPr="00EA6C7A">
        <w:rPr>
          <w:rFonts w:ascii="Verdana" w:eastAsia="Batang" w:hAnsi="Verdana" w:cs="Arial"/>
          <w:color w:val="1E1E1E"/>
          <w:sz w:val="16"/>
          <w:szCs w:val="16"/>
          <w:lang w:val="en-US" w:eastAsia="es-MX"/>
        </w:rPr>
        <w:t xml:space="preserve">,] </w:t>
      </w:r>
      <w:r w:rsidRPr="00EA6C7A">
        <w:rPr>
          <w:rFonts w:ascii="Verdana" w:eastAsia="Batang" w:hAnsi="Verdana" w:cs="Arial"/>
          <w:color w:val="1E1E1E"/>
          <w:sz w:val="16"/>
          <w:szCs w:val="16"/>
          <w:lang w:val="en-US" w:eastAsia="es-MX"/>
        </w:rPr>
        <w:t xml:space="preserve">it was proved that, when the defendant expanded the </w:t>
      </w:r>
      <w:r w:rsidRPr="00EA6C7A">
        <w:rPr>
          <w:rFonts w:ascii="Verdana" w:eastAsia="Batang" w:hAnsi="Verdana" w:cs="Arial"/>
          <w:color w:val="1E1E1E"/>
          <w:sz w:val="16"/>
          <w:szCs w:val="16"/>
          <w:lang w:val="en-US" w:eastAsia="es-MX"/>
        </w:rPr>
        <w:lastRenderedPageBreak/>
        <w:t>autopsy report of October 7, 2005, as requested, he indicated that the time of the victim’s death</w:t>
      </w:r>
      <w:r w:rsidR="00557B17" w:rsidRPr="00EA6C7A">
        <w:rPr>
          <w:rFonts w:ascii="Verdana" w:eastAsia="Batang" w:hAnsi="Verdana" w:cs="Arial"/>
          <w:color w:val="1E1E1E"/>
          <w:sz w:val="16"/>
          <w:szCs w:val="16"/>
          <w:lang w:val="en-US" w:eastAsia="es-MX"/>
        </w:rPr>
        <w:t xml:space="preserve"> had been between seven and eleven hours before the autopsy was performed, which was unrealistic because, at the request of the Public Prosecution Service</w:t>
      </w:r>
      <w:r w:rsidR="008A04F5" w:rsidRPr="00EA6C7A">
        <w:rPr>
          <w:rFonts w:ascii="Verdana" w:eastAsia="Batang" w:hAnsi="Verdana" w:cs="Arial"/>
          <w:color w:val="1E1E1E"/>
          <w:sz w:val="16"/>
          <w:szCs w:val="16"/>
          <w:lang w:val="en-US" w:eastAsia="es-MX"/>
        </w:rPr>
        <w:t>,</w:t>
      </w:r>
      <w:r w:rsidR="00557B17" w:rsidRPr="00EA6C7A">
        <w:rPr>
          <w:rFonts w:ascii="Verdana" w:eastAsia="Batang" w:hAnsi="Verdana" w:cs="Arial"/>
          <w:color w:val="1E1E1E"/>
          <w:sz w:val="16"/>
          <w:szCs w:val="16"/>
          <w:lang w:val="en-US" w:eastAsia="es-MX"/>
        </w:rPr>
        <w:t xml:space="preserve"> he had to correct this because he had acted negligently in the course of his work.</w:t>
      </w:r>
      <w:r w:rsidR="00CD09AF" w:rsidRPr="00EA6C7A">
        <w:rPr>
          <w:rFonts w:ascii="Verdana" w:eastAsia="Batang" w:hAnsi="Verdana" w:cs="Arial"/>
          <w:color w:val="1E1E1E"/>
          <w:sz w:val="16"/>
          <w:szCs w:val="16"/>
          <w:vertAlign w:val="superscript"/>
          <w:lang w:val="en-US" w:eastAsia="es-MX"/>
        </w:rPr>
        <w:footnoteReference w:id="146"/>
      </w:r>
    </w:p>
    <w:p w14:paraId="73585381" w14:textId="77777777" w:rsidR="00CD09AF" w:rsidRPr="00EA6C7A" w:rsidRDefault="00557B17" w:rsidP="00557B17">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w:t>
      </w:r>
      <w:r w:rsidR="000821BA" w:rsidRPr="00EA6C7A">
        <w:rPr>
          <w:rFonts w:ascii="Verdana" w:eastAsia="Batang" w:hAnsi="Verdana"/>
          <w:sz w:val="20"/>
          <w:szCs w:val="20"/>
          <w:lang w:val="en-US" w:eastAsia="es-MX"/>
        </w:rPr>
        <w:t>he forensic physician</w:t>
      </w:r>
      <w:r w:rsidR="00D948A1" w:rsidRPr="00EA6C7A">
        <w:rPr>
          <w:rFonts w:ascii="Verdana" w:eastAsia="Batang" w:hAnsi="Verdana"/>
          <w:sz w:val="20"/>
          <w:szCs w:val="20"/>
          <w:lang w:val="en-US" w:eastAsia="es-MX"/>
        </w:rPr>
        <w:t xml:space="preserve"> and</w:t>
      </w:r>
      <w:r w:rsidRPr="00EA6C7A">
        <w:rPr>
          <w:rFonts w:ascii="Verdana" w:eastAsia="Batang" w:hAnsi="Verdana"/>
          <w:sz w:val="20"/>
          <w:szCs w:val="20"/>
          <w:lang w:val="en-US" w:eastAsia="es-MX"/>
        </w:rPr>
        <w:t xml:space="preserve"> the Ombudsman filed appeals for the review of this decision on November 9 and December 7, </w:t>
      </w:r>
      <w:r w:rsidR="00CD09AF" w:rsidRPr="00EA6C7A">
        <w:rPr>
          <w:rFonts w:ascii="Verdana" w:eastAsia="Batang" w:hAnsi="Verdana"/>
          <w:sz w:val="20"/>
          <w:szCs w:val="20"/>
          <w:lang w:val="en-US" w:eastAsia="es-MX"/>
        </w:rPr>
        <w:t>2006</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47"/>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On January 17,</w:t>
      </w:r>
      <w:r w:rsidR="00CD09AF" w:rsidRPr="00EA6C7A">
        <w:rPr>
          <w:rFonts w:ascii="Verdana" w:eastAsia="Batang" w:hAnsi="Verdana"/>
          <w:sz w:val="20"/>
          <w:szCs w:val="20"/>
          <w:lang w:val="en-US" w:eastAsia="es-MX"/>
        </w:rPr>
        <w:t xml:space="preserve"> 2007</w:t>
      </w:r>
      <w:r w:rsidRPr="00EA6C7A">
        <w:rPr>
          <w:rFonts w:ascii="Verdana" w:eastAsia="Batang" w:hAnsi="Verdana"/>
          <w:sz w:val="20"/>
          <w:szCs w:val="20"/>
          <w:lang w:val="en-US" w:eastAsia="es-MX"/>
        </w:rPr>
        <w:t xml:space="preserve">, the </w:t>
      </w:r>
      <w:r w:rsidR="008A04F5" w:rsidRPr="00EA6C7A">
        <w:rPr>
          <w:rFonts w:ascii="Verdana" w:eastAsia="Batang" w:hAnsi="Verdana"/>
          <w:sz w:val="20"/>
          <w:szCs w:val="20"/>
          <w:lang w:val="en-US" w:eastAsia="es-MX"/>
        </w:rPr>
        <w:t xml:space="preserve">Judiciary’s Office of </w:t>
      </w:r>
      <w:r w:rsidR="008253F4" w:rsidRPr="00EA6C7A">
        <w:rPr>
          <w:rFonts w:ascii="Verdana" w:eastAsia="Batang" w:hAnsi="Verdana"/>
          <w:sz w:val="20"/>
          <w:szCs w:val="20"/>
          <w:lang w:val="en-US" w:eastAsia="es-MX"/>
        </w:rPr>
        <w:t>General Management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declared that the appeal filed by </w:t>
      </w:r>
      <w:r w:rsidR="000821BA" w:rsidRPr="00EA6C7A">
        <w:rPr>
          <w:rFonts w:ascii="Verdana" w:eastAsia="Batang" w:hAnsi="Verdana"/>
          <w:sz w:val="20"/>
          <w:szCs w:val="20"/>
          <w:lang w:val="en-US" w:eastAsia="es-MX"/>
        </w:rPr>
        <w:t>the forensic physician</w:t>
      </w:r>
      <w:r w:rsidR="00D948A1"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was </w:t>
      </w:r>
      <w:r w:rsidR="008253F4" w:rsidRPr="00EA6C7A">
        <w:rPr>
          <w:rFonts w:ascii="Verdana" w:eastAsia="Batang" w:hAnsi="Verdana"/>
          <w:sz w:val="20"/>
          <w:szCs w:val="20"/>
          <w:lang w:val="en-US" w:eastAsia="es-MX"/>
        </w:rPr>
        <w:t>unfounded</w:t>
      </w:r>
      <w:r w:rsidRPr="00EA6C7A">
        <w:rPr>
          <w:rFonts w:ascii="Verdana" w:eastAsia="Batang" w:hAnsi="Verdana"/>
          <w:sz w:val="20"/>
          <w:szCs w:val="20"/>
          <w:lang w:val="en-US" w:eastAsia="es-MX"/>
        </w:rPr>
        <w:t xml:space="preserve"> and the appeal filed by the Ombudsman was partially </w:t>
      </w:r>
      <w:r w:rsidR="008253F4" w:rsidRPr="00EA6C7A">
        <w:rPr>
          <w:rFonts w:ascii="Verdana" w:eastAsia="Batang" w:hAnsi="Verdana"/>
          <w:sz w:val="20"/>
          <w:szCs w:val="20"/>
          <w:lang w:val="en-US" w:eastAsia="es-MX"/>
        </w:rPr>
        <w:t>founded</w:t>
      </w:r>
      <w:r w:rsidRPr="00EA6C7A">
        <w:rPr>
          <w:rFonts w:ascii="Verdana" w:eastAsia="Batang" w:hAnsi="Verdana"/>
          <w:sz w:val="20"/>
          <w:szCs w:val="20"/>
          <w:lang w:val="en-US" w:eastAsia="es-MX"/>
        </w:rPr>
        <w:t xml:space="preserve"> and concluded that the errors committed were </w:t>
      </w:r>
      <w:r w:rsidR="00562907" w:rsidRPr="00EA6C7A">
        <w:rPr>
          <w:rFonts w:ascii="Verdana" w:eastAsia="Batang" w:hAnsi="Verdana"/>
          <w:sz w:val="20"/>
          <w:szCs w:val="20"/>
          <w:lang w:val="en-US" w:eastAsia="es-MX"/>
        </w:rPr>
        <w:t>minor, serious and extremely serious</w:t>
      </w:r>
      <w:r w:rsidRPr="00EA6C7A">
        <w:rPr>
          <w:rFonts w:ascii="Verdana" w:eastAsia="Batang" w:hAnsi="Verdana"/>
          <w:sz w:val="20"/>
          <w:szCs w:val="20"/>
          <w:lang w:val="en-US" w:eastAsia="es-MX"/>
        </w:rPr>
        <w:t>, and had caused serious harm to the human rights of third parties and to the image of the Judiciary. Consequently, it recommended that the Disciplinary Regime Unit impose the corresponding sanction.</w:t>
      </w:r>
      <w:r w:rsidR="00CD09AF" w:rsidRPr="00EA6C7A">
        <w:rPr>
          <w:rFonts w:ascii="Verdana" w:eastAsia="Batang" w:hAnsi="Verdana"/>
          <w:sz w:val="20"/>
          <w:szCs w:val="20"/>
          <w:vertAlign w:val="superscript"/>
          <w:lang w:val="en-US" w:eastAsia="es-MX"/>
        </w:rPr>
        <w:footnoteReference w:id="148"/>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On January 25, 2007, the forensic physician filed </w:t>
      </w:r>
      <w:r w:rsidR="008253F4" w:rsidRPr="00EA6C7A">
        <w:rPr>
          <w:rFonts w:ascii="Verdana" w:eastAsia="Batang" w:hAnsi="Verdana"/>
          <w:sz w:val="20"/>
          <w:szCs w:val="20"/>
          <w:lang w:val="en-US" w:eastAsia="es-MX"/>
        </w:rPr>
        <w:t>an appeal to annul</w:t>
      </w:r>
      <w:r w:rsidRPr="00EA6C7A">
        <w:rPr>
          <w:rFonts w:ascii="Verdana" w:eastAsia="Batang" w:hAnsi="Verdana"/>
          <w:sz w:val="20"/>
          <w:szCs w:val="20"/>
          <w:vertAlign w:val="superscript"/>
          <w:lang w:val="en-US" w:eastAsia="es-MX"/>
        </w:rPr>
        <w:footnoteReference w:id="149"/>
      </w:r>
      <w:r w:rsidRPr="00EA6C7A">
        <w:rPr>
          <w:rFonts w:ascii="Verdana" w:eastAsia="Batang" w:hAnsi="Verdana"/>
          <w:sz w:val="20"/>
          <w:szCs w:val="20"/>
          <w:lang w:val="en-US" w:eastAsia="es-MX"/>
        </w:rPr>
        <w:t xml:space="preserve"> the decision of January 17, 2007. In response, on February 1, 2007, the </w:t>
      </w:r>
      <w:r w:rsidR="00FD0A5B" w:rsidRPr="00EA6C7A">
        <w:rPr>
          <w:rFonts w:ascii="Verdana" w:eastAsia="Batang" w:hAnsi="Verdana"/>
          <w:sz w:val="20"/>
          <w:szCs w:val="20"/>
          <w:lang w:val="en-US" w:eastAsia="es-MX"/>
        </w:rPr>
        <w:t xml:space="preserve">Judiciary’s Office of </w:t>
      </w:r>
      <w:r w:rsidR="008253F4" w:rsidRPr="00EA6C7A">
        <w:rPr>
          <w:rFonts w:ascii="Verdana" w:eastAsia="Batang" w:hAnsi="Verdana"/>
          <w:sz w:val="20"/>
          <w:szCs w:val="20"/>
          <w:lang w:val="en-US" w:eastAsia="es-MX"/>
        </w:rPr>
        <w:t>General Management</w:t>
      </w:r>
      <w:r w:rsidRPr="00EA6C7A">
        <w:rPr>
          <w:rFonts w:ascii="Verdana" w:eastAsia="Batang" w:hAnsi="Verdana"/>
          <w:sz w:val="20"/>
          <w:szCs w:val="20"/>
          <w:lang w:val="en-US" w:eastAsia="es-MX"/>
        </w:rPr>
        <w:t xml:space="preserve"> declared</w:t>
      </w:r>
      <w:r w:rsidR="00FD0A5B" w:rsidRPr="00EA6C7A">
        <w:rPr>
          <w:rFonts w:ascii="Verdana" w:eastAsia="Batang" w:hAnsi="Verdana"/>
          <w:sz w:val="20"/>
          <w:szCs w:val="20"/>
          <w:lang w:val="en-US" w:eastAsia="es-MX"/>
        </w:rPr>
        <w:t xml:space="preserve"> that</w:t>
      </w:r>
      <w:r w:rsidRPr="00EA6C7A">
        <w:rPr>
          <w:rFonts w:ascii="Verdana" w:eastAsia="Batang" w:hAnsi="Verdana"/>
          <w:sz w:val="20"/>
          <w:szCs w:val="20"/>
          <w:lang w:val="en-US" w:eastAsia="es-MX"/>
        </w:rPr>
        <w:t xml:space="preserve"> the remedy filed</w:t>
      </w:r>
      <w:r w:rsidR="00FD0A5B" w:rsidRPr="00EA6C7A">
        <w:rPr>
          <w:rFonts w:ascii="Verdana" w:eastAsia="Batang" w:hAnsi="Verdana"/>
          <w:sz w:val="20"/>
          <w:szCs w:val="20"/>
          <w:lang w:val="en-US" w:eastAsia="es-MX"/>
        </w:rPr>
        <w:t xml:space="preserve"> was</w:t>
      </w:r>
      <w:r w:rsidRPr="00EA6C7A">
        <w:rPr>
          <w:rFonts w:ascii="Verdana" w:eastAsia="Batang" w:hAnsi="Verdana"/>
          <w:sz w:val="20"/>
          <w:szCs w:val="20"/>
          <w:lang w:val="en-US" w:eastAsia="es-MX"/>
        </w:rPr>
        <w:t xml:space="preserve"> inadmissible.</w:t>
      </w:r>
      <w:r w:rsidR="00CD09AF" w:rsidRPr="00EA6C7A">
        <w:rPr>
          <w:rFonts w:ascii="Verdana" w:eastAsia="Batang" w:hAnsi="Verdana"/>
          <w:sz w:val="20"/>
          <w:szCs w:val="20"/>
          <w:vertAlign w:val="superscript"/>
          <w:lang w:val="en-US" w:eastAsia="es-MX"/>
        </w:rPr>
        <w:footnoteReference w:id="150"/>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Against this decision,</w:t>
      </w:r>
      <w:r w:rsidR="00CD09AF"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the forensic physician</w:t>
      </w:r>
      <w:r w:rsidR="00AE7A83" w:rsidRPr="00EA6C7A">
        <w:rPr>
          <w:rFonts w:ascii="Verdana" w:eastAsia="Batang" w:hAnsi="Verdana"/>
          <w:sz w:val="20"/>
          <w:szCs w:val="20"/>
          <w:lang w:val="en-US" w:eastAsia="es-MX"/>
        </w:rPr>
        <w:t xml:space="preserve"> filed an appeal for annulment</w:t>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February 12,</w:t>
      </w:r>
      <w:r w:rsidR="00CD09AF" w:rsidRPr="00EA6C7A">
        <w:rPr>
          <w:rFonts w:ascii="Verdana" w:eastAsia="Batang" w:hAnsi="Verdana"/>
          <w:sz w:val="20"/>
          <w:szCs w:val="20"/>
          <w:lang w:val="en-US" w:eastAsia="es-MX"/>
        </w:rPr>
        <w:t xml:space="preserve"> 2007</w:t>
      </w:r>
      <w:r w:rsidR="00AE7A83"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51"/>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The</w:t>
      </w:r>
      <w:r w:rsidR="00CD09AF" w:rsidRPr="00EA6C7A">
        <w:rPr>
          <w:rFonts w:ascii="Verdana" w:eastAsia="Batang" w:hAnsi="Verdana"/>
          <w:sz w:val="20"/>
          <w:szCs w:val="20"/>
          <w:lang w:val="en-US" w:eastAsia="es-MX"/>
        </w:rPr>
        <w:t xml:space="preserve"> </w:t>
      </w:r>
      <w:r w:rsidR="00FD0A5B" w:rsidRPr="00EA6C7A">
        <w:rPr>
          <w:rFonts w:ascii="Verdana" w:eastAsia="Batang" w:hAnsi="Verdana"/>
          <w:sz w:val="20"/>
          <w:szCs w:val="20"/>
          <w:lang w:val="en-US" w:eastAsia="es-MX"/>
        </w:rPr>
        <w:t xml:space="preserve">Judiciary’s Office of </w:t>
      </w:r>
      <w:r w:rsidR="008253F4" w:rsidRPr="00EA6C7A">
        <w:rPr>
          <w:rFonts w:ascii="Verdana" w:eastAsia="Batang" w:hAnsi="Verdana"/>
          <w:sz w:val="20"/>
          <w:szCs w:val="20"/>
          <w:lang w:val="en-US" w:eastAsia="es-MX"/>
        </w:rPr>
        <w:t>General Management</w:t>
      </w:r>
      <w:r w:rsidR="00AE7A83"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re</w:t>
      </w:r>
      <w:r w:rsidR="00AE7A83" w:rsidRPr="00EA6C7A">
        <w:rPr>
          <w:rFonts w:ascii="Verdana" w:eastAsia="Batang" w:hAnsi="Verdana"/>
          <w:sz w:val="20"/>
          <w:szCs w:val="20"/>
          <w:lang w:val="en-US" w:eastAsia="es-MX"/>
        </w:rPr>
        <w:t>jected this appeal on March 12,</w:t>
      </w:r>
      <w:r w:rsidR="00CD09AF" w:rsidRPr="00EA6C7A">
        <w:rPr>
          <w:rFonts w:ascii="Verdana" w:eastAsia="Batang" w:hAnsi="Verdana"/>
          <w:sz w:val="20"/>
          <w:szCs w:val="20"/>
          <w:lang w:val="en-US" w:eastAsia="es-MX"/>
        </w:rPr>
        <w:t xml:space="preserve"> 2007</w:t>
      </w:r>
      <w:r w:rsidR="00AE7A83"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52"/>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 xml:space="preserve">Then, </w:t>
      </w:r>
      <w:r w:rsidR="00FD0A5B" w:rsidRPr="00EA6C7A">
        <w:rPr>
          <w:rFonts w:ascii="Verdana" w:eastAsia="Batang" w:hAnsi="Verdana"/>
          <w:sz w:val="20"/>
          <w:szCs w:val="20"/>
          <w:lang w:val="en-US" w:eastAsia="es-MX"/>
        </w:rPr>
        <w:t>as a result of</w:t>
      </w:r>
      <w:r w:rsidR="00AE7A83" w:rsidRPr="00EA6C7A">
        <w:rPr>
          <w:rFonts w:ascii="Verdana" w:eastAsia="Batang" w:hAnsi="Verdana"/>
          <w:sz w:val="20"/>
          <w:szCs w:val="20"/>
          <w:lang w:val="en-US" w:eastAsia="es-MX"/>
        </w:rPr>
        <w:t xml:space="preserve"> the decision of</w:t>
      </w:r>
      <w:r w:rsidR="00CD09AF"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January 17,</w:t>
      </w:r>
      <w:r w:rsidR="00CD09AF" w:rsidRPr="00EA6C7A">
        <w:rPr>
          <w:rFonts w:ascii="Verdana" w:eastAsia="Batang" w:hAnsi="Verdana"/>
          <w:sz w:val="20"/>
          <w:szCs w:val="20"/>
          <w:lang w:val="en-US" w:eastAsia="es-MX"/>
        </w:rPr>
        <w:t xml:space="preserve"> 2007, </w:t>
      </w:r>
      <w:r w:rsidR="00AE7A83"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February 12,</w:t>
      </w:r>
      <w:r w:rsidR="00CD09AF" w:rsidRPr="00EA6C7A">
        <w:rPr>
          <w:rFonts w:ascii="Verdana" w:eastAsia="Batang" w:hAnsi="Verdana"/>
          <w:sz w:val="20"/>
          <w:szCs w:val="20"/>
          <w:lang w:val="en-US" w:eastAsia="es-MX"/>
        </w:rPr>
        <w:t xml:space="preserve"> 2007</w:t>
      </w:r>
      <w:r w:rsidR="00AE7A83"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00793F8B"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w:t>
      </w:r>
      <w:r w:rsidR="00CD09AF" w:rsidRPr="00EA6C7A">
        <w:rPr>
          <w:rFonts w:ascii="Verdana" w:eastAsia="Batang" w:hAnsi="Verdana"/>
          <w:sz w:val="20"/>
          <w:szCs w:val="20"/>
          <w:lang w:val="en-US" w:eastAsia="es-MX"/>
        </w:rPr>
        <w:t xml:space="preserve"> declar</w:t>
      </w:r>
      <w:r w:rsidR="00AE7A83" w:rsidRPr="00EA6C7A">
        <w:rPr>
          <w:rFonts w:ascii="Verdana" w:eastAsia="Batang" w:hAnsi="Verdana"/>
          <w:sz w:val="20"/>
          <w:szCs w:val="20"/>
          <w:lang w:val="en-US" w:eastAsia="es-MX"/>
        </w:rPr>
        <w:t>ed the forensic physician</w:t>
      </w:r>
      <w:r w:rsidR="00CD09AF" w:rsidRPr="00EA6C7A">
        <w:rPr>
          <w:rFonts w:ascii="Verdana" w:eastAsia="Batang" w:hAnsi="Verdana"/>
          <w:sz w:val="20"/>
          <w:szCs w:val="20"/>
          <w:lang w:val="en-US" w:eastAsia="es-MX"/>
        </w:rPr>
        <w:t xml:space="preserve"> </w:t>
      </w:r>
      <w:r w:rsidR="00277E55" w:rsidRPr="00EA6C7A">
        <w:rPr>
          <w:rFonts w:ascii="Verdana" w:eastAsia="Batang" w:hAnsi="Verdana"/>
          <w:sz w:val="20"/>
          <w:szCs w:val="20"/>
          <w:lang w:val="en-US" w:eastAsia="es-MX"/>
        </w:rPr>
        <w:t xml:space="preserve">in contempt of court </w:t>
      </w:r>
      <w:r w:rsidR="00D948A1" w:rsidRPr="00EA6C7A">
        <w:rPr>
          <w:rFonts w:ascii="Verdana" w:eastAsia="Batang" w:hAnsi="Verdana"/>
          <w:sz w:val="20"/>
          <w:szCs w:val="20"/>
          <w:lang w:val="en-US" w:eastAsia="es-MX"/>
        </w:rPr>
        <w:t xml:space="preserve">and </w:t>
      </w:r>
      <w:r w:rsidR="00AE7A83" w:rsidRPr="00EA6C7A">
        <w:rPr>
          <w:rFonts w:ascii="Verdana" w:eastAsia="Batang" w:hAnsi="Verdana"/>
          <w:sz w:val="20"/>
          <w:szCs w:val="20"/>
          <w:lang w:val="en-US" w:eastAsia="es-MX"/>
        </w:rPr>
        <w:t xml:space="preserve">that the complaint filed was admissible because he had provided a forensic report </w:t>
      </w:r>
      <w:r w:rsidR="00CD09AF" w:rsidRPr="00EA6C7A">
        <w:rPr>
          <w:rFonts w:ascii="Verdana" w:eastAsia="Batang" w:hAnsi="Verdana"/>
          <w:sz w:val="20"/>
          <w:szCs w:val="20"/>
          <w:lang w:val="en-US" w:eastAsia="es-MX"/>
        </w:rPr>
        <w:t>“indica</w:t>
      </w:r>
      <w:r w:rsidR="00AE7A83" w:rsidRPr="00EA6C7A">
        <w:rPr>
          <w:rFonts w:ascii="Verdana" w:eastAsia="Batang" w:hAnsi="Verdana"/>
          <w:sz w:val="20"/>
          <w:szCs w:val="20"/>
          <w:lang w:val="en-US" w:eastAsia="es-MX"/>
        </w:rPr>
        <w:t xml:space="preserve">ting that he had performed an autopsy on an unidentified person of female sex, when that person had been identified.” </w:t>
      </w:r>
      <w:r w:rsidR="00FD0A5B" w:rsidRPr="00EA6C7A">
        <w:rPr>
          <w:rFonts w:ascii="Verdana" w:eastAsia="Batang" w:hAnsi="Verdana"/>
          <w:sz w:val="20"/>
          <w:szCs w:val="20"/>
          <w:lang w:val="en-US" w:eastAsia="es-MX"/>
        </w:rPr>
        <w:t>In addition, it classified the p</w:t>
      </w:r>
      <w:r w:rsidR="00AE7A83" w:rsidRPr="00EA6C7A">
        <w:rPr>
          <w:rFonts w:ascii="Verdana" w:eastAsia="Batang" w:hAnsi="Verdana"/>
          <w:sz w:val="20"/>
          <w:szCs w:val="20"/>
          <w:lang w:val="en-US" w:eastAsia="es-MX"/>
        </w:rPr>
        <w:t>hys</w:t>
      </w:r>
      <w:r w:rsidR="001238A7" w:rsidRPr="00EA6C7A">
        <w:rPr>
          <w:rFonts w:ascii="Verdana" w:eastAsia="Batang" w:hAnsi="Verdana"/>
          <w:sz w:val="20"/>
          <w:szCs w:val="20"/>
          <w:lang w:val="en-US" w:eastAsia="es-MX"/>
        </w:rPr>
        <w:t>i</w:t>
      </w:r>
      <w:r w:rsidR="00AE7A83" w:rsidRPr="00EA6C7A">
        <w:rPr>
          <w:rFonts w:ascii="Verdana" w:eastAsia="Batang" w:hAnsi="Verdana"/>
          <w:sz w:val="20"/>
          <w:szCs w:val="20"/>
          <w:lang w:val="en-US" w:eastAsia="es-MX"/>
        </w:rPr>
        <w:t>cian’s conduct as</w:t>
      </w:r>
      <w:r w:rsidR="001238A7" w:rsidRPr="00EA6C7A">
        <w:rPr>
          <w:rFonts w:ascii="Verdana" w:eastAsia="Batang" w:hAnsi="Verdana"/>
          <w:sz w:val="20"/>
          <w:szCs w:val="20"/>
          <w:lang w:val="en-US" w:eastAsia="es-MX"/>
        </w:rPr>
        <w:t xml:space="preserve"> gross</w:t>
      </w:r>
      <w:r w:rsidR="008253F4" w:rsidRPr="00EA6C7A">
        <w:rPr>
          <w:rFonts w:ascii="Verdana" w:eastAsia="Batang" w:hAnsi="Verdana"/>
          <w:sz w:val="20"/>
          <w:szCs w:val="20"/>
          <w:lang w:val="en-US" w:eastAsia="es-MX"/>
        </w:rPr>
        <w:t xml:space="preserve"> negligence </w:t>
      </w:r>
      <w:r w:rsidR="00AE7A83" w:rsidRPr="00EA6C7A">
        <w:rPr>
          <w:rFonts w:ascii="Verdana" w:eastAsia="Batang" w:hAnsi="Verdana"/>
          <w:sz w:val="20"/>
          <w:szCs w:val="20"/>
          <w:lang w:val="en-US" w:eastAsia="es-MX"/>
        </w:rPr>
        <w:t>and imposed 20 days’ suspension without salary as a sanction.</w:t>
      </w:r>
      <w:r w:rsidR="00CD09AF" w:rsidRPr="00EA6C7A">
        <w:rPr>
          <w:rFonts w:ascii="Verdana" w:eastAsia="Batang" w:hAnsi="Verdana"/>
          <w:sz w:val="20"/>
          <w:szCs w:val="20"/>
          <w:vertAlign w:val="superscript"/>
          <w:lang w:val="en-US" w:eastAsia="es-MX"/>
        </w:rPr>
        <w:footnoteReference w:id="153"/>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T</w:t>
      </w:r>
      <w:r w:rsidR="000821BA" w:rsidRPr="00EA6C7A">
        <w:rPr>
          <w:rFonts w:ascii="Verdana" w:eastAsia="Batang" w:hAnsi="Verdana"/>
          <w:sz w:val="20"/>
          <w:szCs w:val="20"/>
          <w:lang w:val="en-US" w:eastAsia="es-MX"/>
        </w:rPr>
        <w:t>he forensic physician</w:t>
      </w:r>
      <w:r w:rsidR="00CD09AF" w:rsidRPr="00EA6C7A">
        <w:rPr>
          <w:rFonts w:ascii="Verdana" w:eastAsia="Batang" w:hAnsi="Verdana"/>
          <w:sz w:val="20"/>
          <w:szCs w:val="20"/>
          <w:lang w:val="en-US" w:eastAsia="es-MX"/>
        </w:rPr>
        <w:t xml:space="preserve"> </w:t>
      </w:r>
      <w:r w:rsidR="00AE7A83" w:rsidRPr="00EA6C7A">
        <w:rPr>
          <w:rFonts w:ascii="Verdana" w:eastAsia="Batang" w:hAnsi="Verdana"/>
          <w:sz w:val="20"/>
          <w:szCs w:val="20"/>
          <w:lang w:val="en-US" w:eastAsia="es-MX"/>
        </w:rPr>
        <w:t xml:space="preserve">filed </w:t>
      </w:r>
      <w:r w:rsidR="008253F4" w:rsidRPr="00EA6C7A">
        <w:rPr>
          <w:rFonts w:ascii="Verdana" w:eastAsia="Batang" w:hAnsi="Verdana"/>
          <w:sz w:val="20"/>
          <w:szCs w:val="20"/>
          <w:lang w:val="en-US" w:eastAsia="es-MX"/>
        </w:rPr>
        <w:t>appeal</w:t>
      </w:r>
      <w:r w:rsidR="00FD0A5B" w:rsidRPr="00EA6C7A">
        <w:rPr>
          <w:rFonts w:ascii="Verdana" w:eastAsia="Batang" w:hAnsi="Verdana"/>
          <w:sz w:val="20"/>
          <w:szCs w:val="20"/>
          <w:lang w:val="en-US" w:eastAsia="es-MX"/>
        </w:rPr>
        <w:t>s</w:t>
      </w:r>
      <w:r w:rsidR="008253F4" w:rsidRPr="00EA6C7A">
        <w:rPr>
          <w:rFonts w:ascii="Verdana" w:eastAsia="Batang" w:hAnsi="Verdana"/>
          <w:sz w:val="20"/>
          <w:szCs w:val="20"/>
          <w:lang w:val="en-US" w:eastAsia="es-MX"/>
        </w:rPr>
        <w:t xml:space="preserve"> to annul</w:t>
      </w:r>
      <w:r w:rsidR="00AE7A83" w:rsidRPr="00EA6C7A">
        <w:rPr>
          <w:rFonts w:ascii="Verdana" w:eastAsia="Batang" w:hAnsi="Verdana"/>
          <w:sz w:val="20"/>
          <w:szCs w:val="20"/>
          <w:lang w:val="en-US" w:eastAsia="es-MX"/>
        </w:rPr>
        <w:t xml:space="preserve"> this decision on February 21 and October 2, </w:t>
      </w:r>
      <w:r w:rsidR="00CD09AF" w:rsidRPr="00EA6C7A">
        <w:rPr>
          <w:rFonts w:ascii="Verdana" w:eastAsia="Batang" w:hAnsi="Verdana"/>
          <w:sz w:val="20"/>
          <w:szCs w:val="20"/>
          <w:lang w:val="en-US" w:eastAsia="es-MX"/>
        </w:rPr>
        <w:t>2007</w:t>
      </w:r>
      <w:r w:rsidR="00AE7A83" w:rsidRPr="00EA6C7A">
        <w:rPr>
          <w:rFonts w:ascii="Verdana" w:eastAsia="Batang" w:hAnsi="Verdana"/>
          <w:sz w:val="20"/>
          <w:szCs w:val="20"/>
          <w:lang w:val="en-US" w:eastAsia="es-MX"/>
        </w:rPr>
        <w:t>.</w:t>
      </w:r>
      <w:r w:rsidR="00CD09AF" w:rsidRPr="00EA6C7A">
        <w:rPr>
          <w:rFonts w:ascii="Verdana" w:hAnsi="Verdana"/>
          <w:sz w:val="20"/>
          <w:szCs w:val="20"/>
          <w:vertAlign w:val="superscript"/>
          <w:lang w:val="en-US"/>
        </w:rPr>
        <w:footnoteReference w:id="154"/>
      </w:r>
    </w:p>
    <w:p w14:paraId="1E886CB5" w14:textId="77777777" w:rsidR="00CD09AF" w:rsidRPr="00EA6C7A" w:rsidRDefault="00FD0A5B"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September</w:t>
      </w:r>
      <w:r w:rsidR="00CD09AF" w:rsidRPr="00EA6C7A">
        <w:rPr>
          <w:rFonts w:ascii="Verdana" w:eastAsia="Batang" w:hAnsi="Verdana"/>
          <w:sz w:val="20"/>
          <w:szCs w:val="20"/>
          <w:lang w:val="en-US" w:eastAsia="es-MX"/>
        </w:rPr>
        <w:t xml:space="preserve"> </w:t>
      </w:r>
      <w:r w:rsidR="00CB4488" w:rsidRPr="00EA6C7A">
        <w:rPr>
          <w:rFonts w:ascii="Verdana" w:eastAsia="Batang" w:hAnsi="Verdana"/>
          <w:sz w:val="20"/>
          <w:szCs w:val="20"/>
          <w:lang w:val="en-US" w:eastAsia="es-MX"/>
        </w:rPr>
        <w:t>5,</w:t>
      </w:r>
      <w:r w:rsidR="00CD09AF" w:rsidRPr="00EA6C7A">
        <w:rPr>
          <w:rFonts w:ascii="Verdana" w:eastAsia="Batang" w:hAnsi="Verdana"/>
          <w:sz w:val="20"/>
          <w:szCs w:val="20"/>
          <w:lang w:val="en-US" w:eastAsia="es-MX"/>
        </w:rPr>
        <w:t xml:space="preserve"> 2007</w:t>
      </w:r>
      <w:r w:rsidR="00CB4488" w:rsidRPr="00EA6C7A">
        <w:rPr>
          <w:rFonts w:ascii="Verdana" w:eastAsia="Batang" w:hAnsi="Verdana"/>
          <w:sz w:val="20"/>
          <w:szCs w:val="20"/>
          <w:lang w:val="en-US" w:eastAsia="es-MX"/>
        </w:rPr>
        <w:t xml:space="preserve">, the President of the Judiciary forwarded a certification of the proceeding to </w:t>
      </w:r>
      <w:r w:rsidR="003E2012" w:rsidRPr="00EA6C7A">
        <w:rPr>
          <w:rFonts w:ascii="Verdana" w:eastAsia="Batang" w:hAnsi="Verdana"/>
          <w:sz w:val="20"/>
          <w:szCs w:val="20"/>
          <w:lang w:val="en-US" w:eastAsia="es-MX"/>
        </w:rPr>
        <w:t xml:space="preserve">the </w:t>
      </w:r>
      <w:r w:rsidR="00793F8B"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w:t>
      </w:r>
      <w:r w:rsidR="00CD09AF" w:rsidRPr="00EA6C7A">
        <w:rPr>
          <w:rFonts w:ascii="Verdana" w:eastAsia="Batang" w:hAnsi="Verdana"/>
          <w:sz w:val="20"/>
          <w:szCs w:val="20"/>
          <w:lang w:val="en-US" w:eastAsia="es-MX"/>
        </w:rPr>
        <w:t xml:space="preserve"> </w:t>
      </w:r>
      <w:r w:rsidR="00CB4488" w:rsidRPr="00EA6C7A">
        <w:rPr>
          <w:rFonts w:ascii="Verdana" w:eastAsia="Batang" w:hAnsi="Verdana"/>
          <w:sz w:val="20"/>
          <w:szCs w:val="20"/>
          <w:lang w:val="en-US" w:eastAsia="es-MX"/>
        </w:rPr>
        <w:t>so that it could issue a decision imposing the respective sanction.</w:t>
      </w:r>
      <w:r w:rsidR="00CD09AF" w:rsidRPr="00EA6C7A">
        <w:rPr>
          <w:rFonts w:ascii="Verdana" w:eastAsia="Batang" w:hAnsi="Verdana"/>
          <w:sz w:val="20"/>
          <w:szCs w:val="20"/>
          <w:vertAlign w:val="superscript"/>
          <w:lang w:val="en-US" w:eastAsia="es-MX"/>
        </w:rPr>
        <w:footnoteReference w:id="155"/>
      </w:r>
      <w:r w:rsidR="00CB4488" w:rsidRPr="00EA6C7A">
        <w:rPr>
          <w:rFonts w:ascii="Verdana" w:eastAsia="Batang" w:hAnsi="Verdana"/>
          <w:sz w:val="20"/>
          <w:szCs w:val="20"/>
          <w:lang w:val="en-US" w:eastAsia="es-MX"/>
        </w:rPr>
        <w:t xml:space="preserve"> In response, on October 16, 2007, </w:t>
      </w:r>
      <w:r w:rsidR="003E2012" w:rsidRPr="00EA6C7A">
        <w:rPr>
          <w:rFonts w:ascii="Verdana" w:eastAsia="Batang" w:hAnsi="Verdana"/>
          <w:sz w:val="20"/>
          <w:szCs w:val="20"/>
          <w:lang w:val="en-US" w:eastAsia="es-MX"/>
        </w:rPr>
        <w:t xml:space="preserve">the </w:t>
      </w:r>
      <w:r w:rsidR="00793F8B"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w:t>
      </w:r>
      <w:r w:rsidR="00CD09AF" w:rsidRPr="00EA6C7A">
        <w:rPr>
          <w:rFonts w:ascii="Verdana" w:eastAsia="Batang" w:hAnsi="Verdana"/>
          <w:sz w:val="20"/>
          <w:szCs w:val="20"/>
          <w:lang w:val="en-US" w:eastAsia="es-MX"/>
        </w:rPr>
        <w:t xml:space="preserve"> declar</w:t>
      </w:r>
      <w:r w:rsidR="00CB4488" w:rsidRPr="00EA6C7A">
        <w:rPr>
          <w:rFonts w:ascii="Verdana" w:eastAsia="Batang" w:hAnsi="Verdana"/>
          <w:sz w:val="20"/>
          <w:szCs w:val="20"/>
          <w:lang w:val="en-US" w:eastAsia="es-MX"/>
        </w:rPr>
        <w:t>ed the forensic physician</w:t>
      </w:r>
      <w:r w:rsidR="00CD09AF" w:rsidRPr="00EA6C7A">
        <w:rPr>
          <w:rFonts w:ascii="Verdana" w:eastAsia="Batang" w:hAnsi="Verdana"/>
          <w:sz w:val="20"/>
          <w:szCs w:val="20"/>
          <w:lang w:val="en-US" w:eastAsia="es-MX"/>
        </w:rPr>
        <w:t xml:space="preserve"> </w:t>
      </w:r>
      <w:r w:rsidR="00277E55" w:rsidRPr="00EA6C7A">
        <w:rPr>
          <w:rFonts w:ascii="Verdana" w:eastAsia="Batang" w:hAnsi="Verdana"/>
          <w:sz w:val="20"/>
          <w:szCs w:val="20"/>
          <w:lang w:val="en-US" w:eastAsia="es-MX"/>
        </w:rPr>
        <w:t>in contempt of court</w:t>
      </w:r>
      <w:r w:rsidR="00CB4488" w:rsidRPr="00EA6C7A">
        <w:rPr>
          <w:rFonts w:ascii="Verdana" w:eastAsia="Batang" w:hAnsi="Verdana"/>
          <w:sz w:val="20"/>
          <w:szCs w:val="20"/>
          <w:lang w:val="en-US" w:eastAsia="es-MX"/>
        </w:rPr>
        <w:t xml:space="preserve">, that the complaint filed against him was admissible, and classified his conduct as </w:t>
      </w:r>
      <w:r w:rsidR="001238A7" w:rsidRPr="00EA6C7A">
        <w:rPr>
          <w:rFonts w:ascii="Verdana" w:eastAsia="Batang" w:hAnsi="Verdana"/>
          <w:sz w:val="20"/>
          <w:szCs w:val="20"/>
          <w:lang w:val="en-US" w:eastAsia="es-MX"/>
        </w:rPr>
        <w:t>gross negligence</w:t>
      </w:r>
      <w:r w:rsidR="00CD09AF" w:rsidRPr="00EA6C7A">
        <w:rPr>
          <w:rFonts w:ascii="Verdana" w:eastAsia="Batang" w:hAnsi="Verdana"/>
          <w:sz w:val="20"/>
          <w:szCs w:val="20"/>
          <w:lang w:val="en-US" w:eastAsia="es-MX"/>
        </w:rPr>
        <w:t xml:space="preserve"> </w:t>
      </w:r>
      <w:r w:rsidR="00CB4488" w:rsidRPr="00EA6C7A">
        <w:rPr>
          <w:rFonts w:ascii="Verdana" w:eastAsia="Batang" w:hAnsi="Verdana"/>
          <w:sz w:val="20"/>
          <w:szCs w:val="20"/>
          <w:lang w:val="en-US" w:eastAsia="es-MX"/>
        </w:rPr>
        <w:t>because, when he presented the expanded autopsy report</w:t>
      </w:r>
      <w:r w:rsidRPr="00EA6C7A">
        <w:rPr>
          <w:rFonts w:ascii="Verdana" w:eastAsia="Batang" w:hAnsi="Verdana"/>
          <w:sz w:val="20"/>
          <w:szCs w:val="20"/>
          <w:lang w:val="en-US" w:eastAsia="es-MX"/>
        </w:rPr>
        <w:t>,</w:t>
      </w:r>
      <w:r w:rsidR="00CB4488" w:rsidRPr="00EA6C7A">
        <w:rPr>
          <w:rFonts w:ascii="Verdana" w:eastAsia="Batang" w:hAnsi="Verdana"/>
          <w:sz w:val="20"/>
          <w:szCs w:val="20"/>
          <w:lang w:val="en-US" w:eastAsia="es-MX"/>
        </w:rPr>
        <w:t xml:space="preserve"> he had indicated that the time of death of </w:t>
      </w:r>
      <w:r w:rsidR="00CD09AF" w:rsidRPr="00EA6C7A">
        <w:rPr>
          <w:rFonts w:ascii="Verdana" w:eastAsia="Calibri" w:hAnsi="Verdana" w:cs="Arial"/>
          <w:color w:val="111111"/>
          <w:sz w:val="20"/>
          <w:szCs w:val="20"/>
          <w:lang w:val="en-US" w:eastAsia="es-MX"/>
        </w:rPr>
        <w:t>Claudina Velásquez ha</w:t>
      </w:r>
      <w:r w:rsidR="00CB4488" w:rsidRPr="00EA6C7A">
        <w:rPr>
          <w:rFonts w:ascii="Verdana" w:eastAsia="Calibri" w:hAnsi="Verdana" w:cs="Arial"/>
          <w:color w:val="111111"/>
          <w:sz w:val="20"/>
          <w:szCs w:val="20"/>
          <w:lang w:val="en-US" w:eastAsia="es-MX"/>
        </w:rPr>
        <w:t>d been between seven and eleven hours before the autopsy had been performed</w:t>
      </w:r>
      <w:r w:rsidR="00B53D53" w:rsidRPr="00EA6C7A">
        <w:rPr>
          <w:rFonts w:ascii="Verdana" w:eastAsia="Calibri" w:hAnsi="Verdana" w:cs="Arial"/>
          <w:color w:val="111111"/>
          <w:sz w:val="20"/>
          <w:szCs w:val="20"/>
          <w:lang w:val="en-US" w:eastAsia="es-MX"/>
        </w:rPr>
        <w:t xml:space="preserve">, which he had to correct at the request </w:t>
      </w:r>
      <w:r w:rsidR="003E2012" w:rsidRPr="00EA6C7A">
        <w:rPr>
          <w:rFonts w:ascii="Verdana" w:eastAsia="Calibri" w:hAnsi="Verdana" w:cs="Arial"/>
          <w:color w:val="111111"/>
          <w:sz w:val="20"/>
          <w:szCs w:val="20"/>
          <w:lang w:val="en-US" w:eastAsia="es-MX"/>
        </w:rPr>
        <w:t>of the Public</w:t>
      </w:r>
      <w:r w:rsidR="00B3248B" w:rsidRPr="00EA6C7A">
        <w:rPr>
          <w:rFonts w:ascii="Verdana" w:eastAsia="Calibri" w:hAnsi="Verdana" w:cs="Arial"/>
          <w:color w:val="111111"/>
          <w:sz w:val="20"/>
          <w:szCs w:val="20"/>
          <w:lang w:val="en-US" w:eastAsia="es-MX"/>
        </w:rPr>
        <w:t xml:space="preserve"> Prosecution Service</w:t>
      </w:r>
      <w:r w:rsidR="00B53D53" w:rsidRPr="00EA6C7A">
        <w:rPr>
          <w:rFonts w:ascii="Verdana" w:eastAsia="Calibri" w:hAnsi="Verdana" w:cs="Arial"/>
          <w:color w:val="111111"/>
          <w:sz w:val="20"/>
          <w:szCs w:val="20"/>
          <w:lang w:val="en-US" w:eastAsia="es-MX"/>
        </w:rPr>
        <w:t>. Accordingly, it imposed a sanction of 20 days’ suspension</w:t>
      </w:r>
      <w:r w:rsidR="00277E55" w:rsidRPr="00EA6C7A">
        <w:rPr>
          <w:rFonts w:ascii="Verdana" w:eastAsia="Calibri" w:hAnsi="Verdana" w:cs="Arial"/>
          <w:color w:val="111111"/>
          <w:sz w:val="20"/>
          <w:szCs w:val="20"/>
          <w:lang w:val="en-US" w:eastAsia="es-MX"/>
        </w:rPr>
        <w:t xml:space="preserve"> of duties</w:t>
      </w:r>
      <w:r w:rsidR="00B53D53" w:rsidRPr="00EA6C7A">
        <w:rPr>
          <w:rFonts w:ascii="Verdana" w:eastAsia="Calibri" w:hAnsi="Verdana" w:cs="Arial"/>
          <w:color w:val="111111"/>
          <w:sz w:val="20"/>
          <w:szCs w:val="20"/>
          <w:lang w:val="en-US" w:eastAsia="es-MX"/>
        </w:rPr>
        <w:t xml:space="preserve"> without </w:t>
      </w:r>
      <w:r w:rsidR="00277E55" w:rsidRPr="00EA6C7A">
        <w:rPr>
          <w:rFonts w:ascii="Verdana" w:eastAsia="Calibri" w:hAnsi="Verdana" w:cs="Arial"/>
          <w:color w:val="111111"/>
          <w:sz w:val="20"/>
          <w:szCs w:val="20"/>
          <w:lang w:val="en-US" w:eastAsia="es-MX"/>
        </w:rPr>
        <w:t>pay</w:t>
      </w:r>
      <w:r w:rsidR="00B53D53"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56"/>
      </w:r>
    </w:p>
    <w:p w14:paraId="72BF2482" w14:textId="77777777" w:rsidR="00496C1B" w:rsidRPr="00EA6C7A" w:rsidRDefault="00496C1B" w:rsidP="003B7AB8">
      <w:pPr>
        <w:numPr>
          <w:ilvl w:val="0"/>
          <w:numId w:val="3"/>
        </w:numPr>
        <w:tabs>
          <w:tab w:val="left" w:pos="720"/>
        </w:tabs>
        <w:spacing w:after="24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30,</w:t>
      </w:r>
      <w:r w:rsidR="00CD09AF" w:rsidRPr="00EA6C7A">
        <w:rPr>
          <w:rFonts w:ascii="Verdana" w:eastAsia="Batang" w:hAnsi="Verdana"/>
          <w:sz w:val="20"/>
          <w:szCs w:val="20"/>
          <w:lang w:val="en-US" w:eastAsia="es-MX"/>
        </w:rPr>
        <w:t xml:space="preserve"> 2007</w:t>
      </w:r>
      <w:r w:rsidRPr="00EA6C7A">
        <w:rPr>
          <w:rFonts w:ascii="Verdana" w:eastAsia="Batang" w:hAnsi="Verdana"/>
          <w:sz w:val="20"/>
          <w:szCs w:val="20"/>
          <w:lang w:val="en-US" w:eastAsia="es-MX"/>
        </w:rPr>
        <w:t>, the forensic physician requested an amendment to the proceeding</w:t>
      </w:r>
      <w:r w:rsidR="00CD09AF" w:rsidRPr="00EA6C7A">
        <w:rPr>
          <w:rFonts w:ascii="Verdana" w:eastAsia="Batang" w:hAnsi="Verdana"/>
          <w:sz w:val="20"/>
          <w:szCs w:val="20"/>
          <w:vertAlign w:val="superscript"/>
          <w:lang w:val="en-US" w:eastAsia="es-MX"/>
        </w:rPr>
        <w:footnoteReference w:id="157"/>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because the appeal for annulment had not been decided </w:t>
      </w:r>
      <w:r w:rsidR="00CD09AF" w:rsidRPr="00EA6C7A">
        <w:rPr>
          <w:rFonts w:ascii="Verdana" w:eastAsia="Batang" w:hAnsi="Verdana"/>
          <w:sz w:val="20"/>
          <w:szCs w:val="20"/>
          <w:lang w:val="en-US" w:eastAsia="es-MX"/>
        </w:rPr>
        <w:t>(</w:t>
      </w:r>
      <w:r w:rsidR="00CD09AF" w:rsidRPr="00EA6C7A">
        <w:rPr>
          <w:rFonts w:ascii="Verdana" w:eastAsia="Batang" w:hAnsi="Verdana"/>
          <w:i/>
          <w:sz w:val="20"/>
          <w:szCs w:val="20"/>
          <w:lang w:val="en-US" w:eastAsia="es-MX"/>
        </w:rPr>
        <w:t>supra</w:t>
      </w:r>
      <w:r w:rsidR="00CD09AF"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CD09AF" w:rsidRPr="00EA6C7A">
        <w:rPr>
          <w:rFonts w:ascii="Verdana" w:eastAsia="Batang" w:hAnsi="Verdana"/>
          <w:sz w:val="20"/>
          <w:szCs w:val="20"/>
          <w:lang w:val="en-US" w:eastAsia="es-MX"/>
        </w:rPr>
        <w:t xml:space="preserve"> 95). </w:t>
      </w:r>
      <w:r w:rsidRPr="00EA6C7A">
        <w:rPr>
          <w:rFonts w:ascii="Verdana" w:eastAsia="Batang" w:hAnsi="Verdana"/>
          <w:sz w:val="20"/>
          <w:szCs w:val="20"/>
          <w:lang w:val="en-US" w:eastAsia="es-MX"/>
        </w:rPr>
        <w:t>I</w:t>
      </w:r>
      <w:r w:rsidR="00CD09AF" w:rsidRPr="00EA6C7A">
        <w:rPr>
          <w:rFonts w:ascii="Verdana" w:eastAsia="Batang" w:hAnsi="Verdana"/>
          <w:sz w:val="20"/>
          <w:szCs w:val="20"/>
          <w:lang w:val="en-US" w:eastAsia="es-MX"/>
        </w:rPr>
        <w:t xml:space="preserve">n </w:t>
      </w:r>
      <w:r w:rsidRPr="00EA6C7A">
        <w:rPr>
          <w:rFonts w:ascii="Verdana" w:eastAsia="Batang" w:hAnsi="Verdana"/>
          <w:sz w:val="20"/>
          <w:szCs w:val="20"/>
          <w:lang w:val="en-US" w:eastAsia="es-MX"/>
        </w:rPr>
        <w:t>response</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31,</w:t>
      </w:r>
      <w:r w:rsidR="00CD09AF" w:rsidRPr="00EA6C7A">
        <w:rPr>
          <w:rFonts w:ascii="Verdana" w:eastAsia="Batang" w:hAnsi="Verdana"/>
          <w:sz w:val="20"/>
          <w:szCs w:val="20"/>
          <w:lang w:val="en-US" w:eastAsia="es-MX"/>
        </w:rPr>
        <w:t xml:space="preserve"> 2007</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58"/>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President of the Judiciary</w:t>
      </w:r>
      <w:r w:rsidR="00CD09AF" w:rsidRPr="00EA6C7A">
        <w:rPr>
          <w:rFonts w:ascii="Verdana" w:eastAsia="Batang" w:hAnsi="Verdana"/>
          <w:sz w:val="20"/>
          <w:szCs w:val="20"/>
          <w:lang w:val="en-US" w:eastAsia="es-MX"/>
        </w:rPr>
        <w:t xml:space="preserve"> orde</w:t>
      </w:r>
      <w:r w:rsidRPr="00EA6C7A">
        <w:rPr>
          <w:rFonts w:ascii="Verdana" w:eastAsia="Batang" w:hAnsi="Verdana"/>
          <w:sz w:val="20"/>
          <w:szCs w:val="20"/>
          <w:lang w:val="en-US" w:eastAsia="es-MX"/>
        </w:rPr>
        <w:t xml:space="preserve">red that the proceeding </w:t>
      </w:r>
      <w:r w:rsidRPr="00EA6C7A">
        <w:rPr>
          <w:rFonts w:ascii="Verdana" w:eastAsia="Batang" w:hAnsi="Verdana"/>
          <w:sz w:val="20"/>
          <w:szCs w:val="20"/>
          <w:lang w:val="en-US" w:eastAsia="es-MX"/>
        </w:rPr>
        <w:lastRenderedPageBreak/>
        <w:t xml:space="preserve">abide by the decision of </w:t>
      </w:r>
      <w:r w:rsidR="007B566E" w:rsidRPr="00EA6C7A">
        <w:rPr>
          <w:rFonts w:ascii="Verdana" w:eastAsia="Batang" w:hAnsi="Verdana"/>
          <w:sz w:val="20"/>
          <w:szCs w:val="20"/>
          <w:lang w:val="en-US" w:eastAsia="es-MX"/>
        </w:rPr>
        <w:t>September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5,</w:t>
      </w:r>
      <w:r w:rsidR="00CD09AF" w:rsidRPr="00EA6C7A">
        <w:rPr>
          <w:rFonts w:ascii="Verdana" w:eastAsia="Batang" w:hAnsi="Verdana"/>
          <w:sz w:val="20"/>
          <w:szCs w:val="20"/>
          <w:lang w:val="en-US" w:eastAsia="es-MX"/>
        </w:rPr>
        <w:t xml:space="preserve"> 2007 (</w:t>
      </w:r>
      <w:r w:rsidR="00CD09AF" w:rsidRPr="00EA6C7A">
        <w:rPr>
          <w:rFonts w:ascii="Verdana" w:eastAsia="Batang" w:hAnsi="Verdana"/>
          <w:i/>
          <w:sz w:val="20"/>
          <w:szCs w:val="20"/>
          <w:lang w:val="en-US" w:eastAsia="es-MX"/>
        </w:rPr>
        <w:t>supra</w:t>
      </w:r>
      <w:r w:rsidR="00CD09AF"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CD09AF" w:rsidRPr="00EA6C7A">
        <w:rPr>
          <w:rFonts w:ascii="Verdana" w:eastAsia="Batang" w:hAnsi="Verdana"/>
          <w:sz w:val="20"/>
          <w:szCs w:val="20"/>
          <w:lang w:val="en-US" w:eastAsia="es-MX"/>
        </w:rPr>
        <w:t xml:space="preserve"> 96).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30 and 31,</w:t>
      </w:r>
      <w:r w:rsidR="00CD09AF" w:rsidRPr="00EA6C7A">
        <w:rPr>
          <w:rFonts w:ascii="Verdana" w:eastAsia="Batang" w:hAnsi="Verdana"/>
          <w:sz w:val="20"/>
          <w:szCs w:val="20"/>
          <w:lang w:val="en-US" w:eastAsia="es-MX"/>
        </w:rPr>
        <w:t xml:space="preserve"> 2007</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the forensic physician</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 xml:space="preserve">the Ombudsman filed, respectively, appeals for annulment of the decision of </w:t>
      </w:r>
      <w:r w:rsidR="007B566E" w:rsidRPr="00EA6C7A">
        <w:rPr>
          <w:rFonts w:ascii="Verdana" w:eastAsia="Batang" w:hAnsi="Verdana"/>
          <w:sz w:val="20"/>
          <w:szCs w:val="20"/>
          <w:lang w:val="en-US" w:eastAsia="es-MX"/>
        </w:rPr>
        <w:t>October</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16,</w:t>
      </w:r>
      <w:r w:rsidR="00CD09AF" w:rsidRPr="00EA6C7A">
        <w:rPr>
          <w:rFonts w:ascii="Verdana" w:eastAsia="Batang" w:hAnsi="Verdana"/>
          <w:sz w:val="20"/>
          <w:szCs w:val="20"/>
          <w:lang w:val="en-US" w:eastAsia="es-MX"/>
        </w:rPr>
        <w:t xml:space="preserve"> 2007</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59"/>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Specifically, the Ombudsman requested that </w:t>
      </w:r>
      <w:r w:rsidR="00FD0A5B" w:rsidRPr="00EA6C7A">
        <w:rPr>
          <w:rFonts w:ascii="Verdana" w:eastAsia="Batang" w:hAnsi="Verdana"/>
          <w:sz w:val="20"/>
          <w:szCs w:val="20"/>
          <w:lang w:val="en-US" w:eastAsia="es-MX"/>
        </w:rPr>
        <w:t>a</w:t>
      </w:r>
      <w:r w:rsidRPr="00EA6C7A">
        <w:rPr>
          <w:rFonts w:ascii="Verdana" w:eastAsia="Batang" w:hAnsi="Verdana"/>
          <w:sz w:val="20"/>
          <w:szCs w:val="20"/>
          <w:lang w:val="en-US" w:eastAsia="es-MX"/>
        </w:rPr>
        <w:t xml:space="preserve"> sanction of suspension or dismissal should be imposed. On February 25, </w:t>
      </w:r>
      <w:r w:rsidR="00CD09AF" w:rsidRPr="00EA6C7A">
        <w:rPr>
          <w:rFonts w:ascii="Verdana" w:eastAsia="Batang" w:hAnsi="Verdana"/>
          <w:sz w:val="20"/>
          <w:szCs w:val="20"/>
          <w:lang w:val="en-US" w:eastAsia="es-MX"/>
        </w:rPr>
        <w:t>2008</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President of the Judiciary</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declared that the appeals filed were unfounded.</w:t>
      </w:r>
      <w:r w:rsidR="00CD09AF" w:rsidRPr="00EA6C7A">
        <w:rPr>
          <w:rFonts w:ascii="Verdana" w:eastAsia="Batang" w:hAnsi="Verdana"/>
          <w:sz w:val="20"/>
          <w:szCs w:val="20"/>
          <w:vertAlign w:val="superscript"/>
          <w:lang w:val="en-US" w:eastAsia="es-MX"/>
        </w:rPr>
        <w:footnoteReference w:id="160"/>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 March</w:t>
      </w:r>
      <w:r w:rsidR="00CD09AF" w:rsidRPr="00EA6C7A">
        <w:rPr>
          <w:rFonts w:ascii="Verdana" w:eastAsia="Batang" w:hAnsi="Verdana"/>
          <w:sz w:val="20"/>
          <w:szCs w:val="20"/>
          <w:lang w:val="en-US" w:eastAsia="es-MX"/>
        </w:rPr>
        <w:t xml:space="preserve"> 13</w:t>
      </w:r>
      <w:r w:rsidRPr="00EA6C7A">
        <w:rPr>
          <w:rFonts w:ascii="Verdana" w:eastAsia="Batang" w:hAnsi="Verdana"/>
          <w:sz w:val="20"/>
          <w:szCs w:val="20"/>
          <w:lang w:val="en-US" w:eastAsia="es-MX"/>
        </w:rPr>
        <w:t xml:space="preserve">, </w:t>
      </w:r>
      <w:r w:rsidR="00CD09AF" w:rsidRPr="00EA6C7A">
        <w:rPr>
          <w:rFonts w:ascii="Verdana" w:eastAsia="Batang" w:hAnsi="Verdana"/>
          <w:sz w:val="20"/>
          <w:szCs w:val="20"/>
          <w:lang w:val="en-US" w:eastAsia="es-MX"/>
        </w:rPr>
        <w:t>2008</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filed</w:t>
      </w:r>
      <w:r w:rsidR="00FD0A5B"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an appeal against this decision.</w:t>
      </w:r>
      <w:r w:rsidR="00CD09AF" w:rsidRPr="00EA6C7A">
        <w:rPr>
          <w:rFonts w:ascii="Verdana" w:eastAsia="Batang" w:hAnsi="Verdana"/>
          <w:sz w:val="20"/>
          <w:szCs w:val="20"/>
          <w:vertAlign w:val="superscript"/>
          <w:lang w:val="en-US" w:eastAsia="es-MX"/>
        </w:rPr>
        <w:footnoteReference w:id="161"/>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February 25,</w:t>
      </w:r>
      <w:r w:rsidR="00CD09AF" w:rsidRPr="00EA6C7A">
        <w:rPr>
          <w:rFonts w:ascii="Verdana" w:eastAsia="Batang" w:hAnsi="Verdana"/>
          <w:sz w:val="20"/>
          <w:szCs w:val="20"/>
          <w:lang w:val="en-US" w:eastAsia="es-MX"/>
        </w:rPr>
        <w:t xml:space="preserve"> 2008</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the </w:t>
      </w:r>
      <w:r w:rsidR="00FD0A5B" w:rsidRPr="00EA6C7A">
        <w:rPr>
          <w:rFonts w:ascii="Verdana" w:eastAsia="Batang" w:hAnsi="Verdana"/>
          <w:sz w:val="20"/>
          <w:szCs w:val="20"/>
          <w:lang w:val="en-US" w:eastAsia="es-MX"/>
        </w:rPr>
        <w:t>Pre-trial and Amparo</w:t>
      </w:r>
      <w:r w:rsidR="0096418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Chamber </w:t>
      </w:r>
      <w:r w:rsidR="0096418F" w:rsidRPr="00EA6C7A">
        <w:rPr>
          <w:rFonts w:ascii="Verdana" w:eastAsia="Batang" w:hAnsi="Verdana"/>
          <w:sz w:val="20"/>
          <w:szCs w:val="20"/>
          <w:lang w:val="en-US" w:eastAsia="es-MX"/>
        </w:rPr>
        <w:t xml:space="preserve">of the </w:t>
      </w:r>
      <w:r w:rsidRPr="00EA6C7A">
        <w:rPr>
          <w:rFonts w:ascii="Verdana" w:eastAsia="Batang" w:hAnsi="Verdana"/>
          <w:sz w:val="20"/>
          <w:szCs w:val="20"/>
          <w:lang w:val="en-US" w:eastAsia="es-MX"/>
        </w:rPr>
        <w:t>Supreme Court of Justice</w:t>
      </w:r>
      <w:r w:rsidR="00CD09AF" w:rsidRPr="00EA6C7A">
        <w:rPr>
          <w:rFonts w:ascii="Verdana" w:eastAsia="Batang" w:hAnsi="Verdana"/>
          <w:sz w:val="20"/>
          <w:szCs w:val="20"/>
          <w:lang w:val="en-US" w:eastAsia="es-MX"/>
        </w:rPr>
        <w:t>, declar</w:t>
      </w:r>
      <w:r w:rsidRPr="00EA6C7A">
        <w:rPr>
          <w:rFonts w:ascii="Verdana" w:eastAsia="Batang" w:hAnsi="Verdana"/>
          <w:sz w:val="20"/>
          <w:szCs w:val="20"/>
          <w:lang w:val="en-US" w:eastAsia="es-MX"/>
        </w:rPr>
        <w:t>ed that the appeal was unfounded.</w:t>
      </w:r>
      <w:r w:rsidR="00CD09AF" w:rsidRPr="00EA6C7A">
        <w:rPr>
          <w:rFonts w:ascii="Verdana" w:eastAsia="Batang" w:hAnsi="Verdana"/>
          <w:sz w:val="20"/>
          <w:szCs w:val="20"/>
          <w:vertAlign w:val="superscript"/>
          <w:lang w:val="en-US" w:eastAsia="es-MX"/>
        </w:rPr>
        <w:footnoteReference w:id="162"/>
      </w:r>
      <w:r w:rsidRPr="00EA6C7A">
        <w:rPr>
          <w:rFonts w:ascii="Verdana" w:eastAsia="Batang" w:hAnsi="Verdana"/>
          <w:sz w:val="20"/>
          <w:szCs w:val="20"/>
          <w:lang w:val="en-US" w:eastAsia="es-MX"/>
        </w:rPr>
        <w:t xml:space="preserve"> In this regard, </w:t>
      </w:r>
      <w:r w:rsidR="0096418F" w:rsidRPr="00EA6C7A">
        <w:rPr>
          <w:rFonts w:ascii="Verdana" w:eastAsia="Batang" w:hAnsi="Verdana"/>
          <w:sz w:val="20"/>
          <w:szCs w:val="20"/>
          <w:lang w:val="en-US" w:eastAsia="es-MX"/>
        </w:rPr>
        <w:t xml:space="preserve">the </w:t>
      </w:r>
      <w:r w:rsidRPr="00EA6C7A">
        <w:rPr>
          <w:rFonts w:ascii="Verdana" w:eastAsia="Batang" w:hAnsi="Verdana"/>
          <w:sz w:val="20"/>
          <w:szCs w:val="20"/>
          <w:lang w:val="en-US" w:eastAsia="es-MX"/>
        </w:rPr>
        <w:t>Supreme Court of Justice</w:t>
      </w:r>
      <w:r w:rsidR="00CD09AF" w:rsidRPr="00EA6C7A">
        <w:rPr>
          <w:rFonts w:ascii="Verdana" w:eastAsia="Batang" w:hAnsi="Verdana"/>
          <w:sz w:val="20"/>
          <w:szCs w:val="20"/>
          <w:lang w:val="en-US" w:eastAsia="es-MX"/>
        </w:rPr>
        <w:t xml:space="preserve"> consider</w:t>
      </w:r>
      <w:r w:rsidRPr="00EA6C7A">
        <w:rPr>
          <w:rFonts w:ascii="Verdana" w:eastAsia="Batang" w:hAnsi="Verdana"/>
          <w:sz w:val="20"/>
          <w:szCs w:val="20"/>
          <w:lang w:val="en-US" w:eastAsia="es-MX"/>
        </w:rPr>
        <w:t>ed that</w:t>
      </w:r>
      <w:r w:rsidR="00FD0A5B"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the </w:t>
      </w:r>
      <w:r w:rsidR="000821BA" w:rsidRPr="00EA6C7A">
        <w:rPr>
          <w:rFonts w:ascii="Verdana" w:eastAsia="Batang" w:hAnsi="Verdana"/>
          <w:sz w:val="20"/>
          <w:szCs w:val="20"/>
          <w:lang w:val="en-US" w:eastAsia="es-MX"/>
        </w:rPr>
        <w:t>forensic physician</w:t>
      </w:r>
      <w:r w:rsidR="00FD0A5B" w:rsidRPr="00EA6C7A">
        <w:rPr>
          <w:rFonts w:ascii="Verdana" w:eastAsia="Batang" w:hAnsi="Verdana"/>
          <w:sz w:val="20"/>
          <w:szCs w:val="20"/>
          <w:lang w:val="en-US" w:eastAsia="es-MX"/>
        </w:rPr>
        <w:t>’s</w:t>
      </w:r>
      <w:r w:rsidRPr="00EA6C7A">
        <w:rPr>
          <w:rFonts w:ascii="Verdana" w:eastAsia="Batang" w:hAnsi="Verdana"/>
          <w:sz w:val="20"/>
          <w:szCs w:val="20"/>
          <w:lang w:val="en-US" w:eastAsia="es-MX"/>
        </w:rPr>
        <w:t xml:space="preserve"> </w:t>
      </w:r>
      <w:r w:rsidR="00FD0A5B" w:rsidRPr="00EA6C7A">
        <w:rPr>
          <w:rFonts w:ascii="Verdana" w:eastAsia="Batang" w:hAnsi="Verdana"/>
          <w:sz w:val="20"/>
          <w:szCs w:val="20"/>
          <w:lang w:val="en-US" w:eastAsia="es-MX"/>
        </w:rPr>
        <w:t xml:space="preserve">employment relationship </w:t>
      </w:r>
      <w:r w:rsidRPr="00EA6C7A">
        <w:rPr>
          <w:rFonts w:ascii="Verdana" w:eastAsia="Batang" w:hAnsi="Verdana"/>
          <w:sz w:val="20"/>
          <w:szCs w:val="20"/>
          <w:lang w:val="en-US" w:eastAsia="es-MX"/>
        </w:rPr>
        <w:t>had ended on December 5, 2007, because such services had been eliminated throughout the Republic since</w:t>
      </w:r>
      <w:r w:rsidR="00216A8A" w:rsidRPr="00EA6C7A">
        <w:rPr>
          <w:rFonts w:ascii="Verdana" w:eastAsia="Batang" w:hAnsi="Verdana"/>
          <w:sz w:val="20"/>
          <w:szCs w:val="20"/>
          <w:lang w:val="en-US" w:eastAsia="es-MX"/>
        </w:rPr>
        <w:t xml:space="preserve"> the</w:t>
      </w:r>
      <w:r w:rsidRPr="00EA6C7A">
        <w:rPr>
          <w:rFonts w:ascii="Verdana" w:eastAsia="Batang" w:hAnsi="Verdana"/>
          <w:sz w:val="20"/>
          <w:szCs w:val="20"/>
          <w:lang w:val="en-US" w:eastAsia="es-MX"/>
        </w:rPr>
        <w:t xml:space="preserve"> INACIF </w:t>
      </w:r>
      <w:r w:rsidR="00216A8A" w:rsidRPr="00EA6C7A">
        <w:rPr>
          <w:rFonts w:ascii="Verdana" w:eastAsia="Batang" w:hAnsi="Verdana"/>
          <w:sz w:val="20"/>
          <w:szCs w:val="20"/>
          <w:lang w:val="en-US" w:eastAsia="es-MX"/>
        </w:rPr>
        <w:t>entered into functions</w:t>
      </w:r>
      <w:r w:rsidRPr="00EA6C7A">
        <w:rPr>
          <w:rFonts w:ascii="Verdana" w:eastAsia="Batang" w:hAnsi="Verdana"/>
          <w:sz w:val="20"/>
          <w:szCs w:val="20"/>
          <w:lang w:val="en-US" w:eastAsia="es-MX"/>
        </w:rPr>
        <w:t xml:space="preserve">. Therefore, it considered that “the disciplinary sanction [was] inapplicable to the said former employee.” Despite this, “the responsibility for committing </w:t>
      </w:r>
      <w:r w:rsidR="001238A7" w:rsidRPr="00EA6C7A">
        <w:rPr>
          <w:rFonts w:ascii="Verdana" w:eastAsia="Batang" w:hAnsi="Verdana"/>
          <w:sz w:val="20"/>
          <w:szCs w:val="20"/>
          <w:lang w:val="en-US" w:eastAsia="es-MX"/>
        </w:rPr>
        <w:t>gross negligence</w:t>
      </w:r>
      <w:r w:rsidRPr="00EA6C7A">
        <w:rPr>
          <w:rFonts w:ascii="Verdana" w:eastAsia="Batang" w:hAnsi="Verdana"/>
          <w:sz w:val="20"/>
          <w:szCs w:val="20"/>
          <w:lang w:val="en-US" w:eastAsia="es-MX"/>
        </w:rPr>
        <w:t xml:space="preserve"> attributed to the [forensic physician</w:t>
      </w:r>
      <w:r w:rsidR="00FA0021" w:rsidRPr="00EA6C7A">
        <w:rPr>
          <w:rFonts w:ascii="Verdana" w:eastAsia="Batang" w:hAnsi="Verdana"/>
          <w:sz w:val="20"/>
          <w:szCs w:val="20"/>
          <w:lang w:val="en-US" w:eastAsia="es-MX"/>
        </w:rPr>
        <w:t xml:space="preserve"> had been] fully</w:t>
      </w:r>
      <w:r w:rsidRPr="00EA6C7A">
        <w:rPr>
          <w:rFonts w:ascii="Verdana" w:eastAsia="Batang" w:hAnsi="Verdana"/>
          <w:sz w:val="20"/>
          <w:szCs w:val="20"/>
          <w:lang w:val="en-US" w:eastAsia="es-MX"/>
        </w:rPr>
        <w:t xml:space="preserve"> </w:t>
      </w:r>
      <w:r w:rsidR="00FA0021" w:rsidRPr="00EA6C7A">
        <w:rPr>
          <w:rFonts w:ascii="Verdana" w:eastAsia="Batang" w:hAnsi="Verdana"/>
          <w:sz w:val="20"/>
          <w:szCs w:val="20"/>
          <w:lang w:val="en-US" w:eastAsia="es-MX"/>
        </w:rPr>
        <w:t xml:space="preserve">proved and established, and thus it [was] not admissible to annul the contested decision, and this [should] remain on the </w:t>
      </w:r>
      <w:r w:rsidR="00DB5978" w:rsidRPr="00EA6C7A">
        <w:rPr>
          <w:rFonts w:ascii="Verdana" w:eastAsia="Batang" w:hAnsi="Verdana"/>
          <w:sz w:val="20"/>
          <w:szCs w:val="20"/>
          <w:lang w:val="en-US" w:eastAsia="es-MX"/>
        </w:rPr>
        <w:t>employment file</w:t>
      </w:r>
      <w:r w:rsidR="00FA0021" w:rsidRPr="00EA6C7A">
        <w:rPr>
          <w:rFonts w:ascii="Verdana" w:eastAsia="Batang" w:hAnsi="Verdana"/>
          <w:sz w:val="20"/>
          <w:szCs w:val="20"/>
          <w:lang w:val="en-US" w:eastAsia="es-MX"/>
        </w:rPr>
        <w:t xml:space="preserve"> of the Judiciary’s former employee.” </w:t>
      </w:r>
    </w:p>
    <w:p w14:paraId="29E87761" w14:textId="77777777" w:rsidR="00CD09AF" w:rsidRPr="00EA6C7A" w:rsidRDefault="00FA0021" w:rsidP="003B7AB8">
      <w:pPr>
        <w:numPr>
          <w:ilvl w:val="0"/>
          <w:numId w:val="3"/>
        </w:numPr>
        <w:tabs>
          <w:tab w:val="left" w:pos="720"/>
        </w:tabs>
        <w:spacing w:after="240" w:line="240" w:lineRule="auto"/>
        <w:ind w:left="0" w:firstLine="0"/>
        <w:jc w:val="both"/>
        <w:rPr>
          <w:rFonts w:ascii="Verdana" w:hAnsi="Verdana"/>
          <w:sz w:val="20"/>
          <w:szCs w:val="20"/>
          <w:lang w:val="en-US"/>
        </w:rPr>
      </w:pPr>
      <w:r w:rsidRPr="00EA6C7A">
        <w:rPr>
          <w:rFonts w:ascii="Verdana" w:eastAsia="Batang" w:hAnsi="Verdana"/>
          <w:sz w:val="20"/>
          <w:szCs w:val="20"/>
          <w:lang w:val="en-US" w:eastAsia="es-MX"/>
        </w:rPr>
        <w:t>On</w:t>
      </w:r>
      <w:r w:rsidR="00CD09AF" w:rsidRPr="00EA6C7A">
        <w:rPr>
          <w:rFonts w:ascii="Verdana" w:eastAsia="Batang" w:hAnsi="Verdana"/>
          <w:sz w:val="20"/>
          <w:szCs w:val="20"/>
          <w:lang w:val="en-US" w:eastAsia="es-MX"/>
        </w:rPr>
        <w:t xml:space="preserve"> </w:t>
      </w:r>
      <w:r w:rsidR="00496C1B" w:rsidRPr="00EA6C7A">
        <w:rPr>
          <w:rFonts w:ascii="Verdana" w:eastAsia="Batang" w:hAnsi="Verdana"/>
          <w:sz w:val="20"/>
          <w:szCs w:val="20"/>
          <w:lang w:val="en-US" w:eastAsia="es-MX"/>
        </w:rPr>
        <w:t>October 9,</w:t>
      </w:r>
      <w:r w:rsidR="00CD09AF" w:rsidRPr="00EA6C7A">
        <w:rPr>
          <w:rFonts w:ascii="Verdana" w:eastAsia="Batang" w:hAnsi="Verdana"/>
          <w:sz w:val="20"/>
          <w:szCs w:val="20"/>
          <w:lang w:val="en-US" w:eastAsia="es-MX"/>
        </w:rPr>
        <w:t xml:space="preserve"> 2008</w:t>
      </w:r>
      <w:r w:rsidRPr="00EA6C7A">
        <w:rPr>
          <w:rFonts w:ascii="Verdana" w:eastAsia="Batang" w:hAnsi="Verdana"/>
          <w:sz w:val="20"/>
          <w:szCs w:val="20"/>
          <w:lang w:val="en-US" w:eastAsia="es-MX"/>
        </w:rPr>
        <w:t>,</w:t>
      </w:r>
      <w:r w:rsidR="00CD09AF"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filed an appeal for amparo against the decision of July 29, 200</w:t>
      </w:r>
      <w:r w:rsidR="00216A8A" w:rsidRPr="00EA6C7A">
        <w:rPr>
          <w:rFonts w:ascii="Verdana" w:eastAsia="Batang" w:hAnsi="Verdana"/>
          <w:sz w:val="20"/>
          <w:szCs w:val="20"/>
          <w:lang w:val="en-US" w:eastAsia="es-MX"/>
        </w:rPr>
        <w:t>8</w:t>
      </w:r>
      <w:r w:rsidRPr="00EA6C7A">
        <w:rPr>
          <w:rFonts w:ascii="Verdana" w:eastAsia="Batang" w:hAnsi="Verdana"/>
          <w:sz w:val="20"/>
          <w:szCs w:val="20"/>
          <w:lang w:val="en-US" w:eastAsia="es-MX"/>
        </w:rPr>
        <w:t xml:space="preserve">. On April 30, 2009, </w:t>
      </w:r>
      <w:r w:rsidR="0096418F" w:rsidRPr="00EA6C7A">
        <w:rPr>
          <w:rFonts w:ascii="Verdana" w:eastAsia="Batang" w:hAnsi="Verdana"/>
          <w:sz w:val="20"/>
          <w:szCs w:val="20"/>
          <w:lang w:val="en-US" w:eastAsia="es-MX"/>
        </w:rPr>
        <w:t xml:space="preserve">the </w:t>
      </w:r>
      <w:r w:rsidRPr="00EA6C7A">
        <w:rPr>
          <w:rFonts w:ascii="Verdana" w:eastAsia="Batang" w:hAnsi="Verdana"/>
          <w:sz w:val="20"/>
          <w:szCs w:val="20"/>
          <w:lang w:val="en-US" w:eastAsia="es-MX"/>
        </w:rPr>
        <w:t>Constitutional Court</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acting as a Special Court of Amparo</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denied the amparo as </w:t>
      </w:r>
      <w:r w:rsidR="00CD09AF" w:rsidRPr="00EA6C7A">
        <w:rPr>
          <w:rFonts w:ascii="Verdana" w:eastAsia="Batang" w:hAnsi="Verdana"/>
          <w:sz w:val="20"/>
          <w:szCs w:val="20"/>
          <w:lang w:val="en-US" w:eastAsia="es-MX"/>
        </w:rPr>
        <w:t>notori</w:t>
      </w:r>
      <w:r w:rsidR="00DB5978" w:rsidRPr="00EA6C7A">
        <w:rPr>
          <w:rFonts w:ascii="Verdana" w:eastAsia="Batang" w:hAnsi="Verdana"/>
          <w:sz w:val="20"/>
          <w:szCs w:val="20"/>
          <w:lang w:val="en-US" w:eastAsia="es-MX"/>
        </w:rPr>
        <w:t>ously improp</w:t>
      </w:r>
      <w:r w:rsidR="00636DCE" w:rsidRPr="00EA6C7A">
        <w:rPr>
          <w:rFonts w:ascii="Verdana" w:eastAsia="Batang" w:hAnsi="Verdana"/>
          <w:sz w:val="20"/>
          <w:szCs w:val="20"/>
          <w:lang w:val="en-US" w:eastAsia="es-MX"/>
        </w:rPr>
        <w:t>er</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63"/>
      </w:r>
      <w:r w:rsidRPr="00EA6C7A">
        <w:rPr>
          <w:rFonts w:ascii="Verdana" w:eastAsia="Batang" w:hAnsi="Verdana"/>
          <w:sz w:val="20"/>
          <w:szCs w:val="20"/>
          <w:lang w:val="en-US" w:eastAsia="es-MX"/>
        </w:rPr>
        <w:t xml:space="preserve"> Lastly, on July 1, 2009, </w:t>
      </w:r>
      <w:r w:rsidR="003E2012" w:rsidRPr="00EA6C7A">
        <w:rPr>
          <w:rFonts w:ascii="Verdana" w:eastAsia="Batang" w:hAnsi="Verdana"/>
          <w:sz w:val="20"/>
          <w:szCs w:val="20"/>
          <w:lang w:val="en-US" w:eastAsia="es-MX"/>
        </w:rPr>
        <w:t xml:space="preserve">the </w:t>
      </w:r>
      <w:r w:rsidR="00793F8B"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w:t>
      </w:r>
      <w:r w:rsidR="00CD09AF" w:rsidRPr="00EA6C7A">
        <w:rPr>
          <w:rFonts w:ascii="Verdana" w:eastAsia="Batang" w:hAnsi="Verdana"/>
          <w:sz w:val="20"/>
          <w:szCs w:val="20"/>
          <w:lang w:val="en-US" w:eastAsia="es-MX"/>
        </w:rPr>
        <w:t xml:space="preserve"> orde</w:t>
      </w:r>
      <w:r w:rsidRPr="00EA6C7A">
        <w:rPr>
          <w:rFonts w:ascii="Verdana" w:eastAsia="Batang" w:hAnsi="Verdana"/>
          <w:sz w:val="20"/>
          <w:szCs w:val="20"/>
          <w:lang w:val="en-US" w:eastAsia="es-MX"/>
        </w:rPr>
        <w:t xml:space="preserve">red the archive of the disciplinary administrative procedure because </w:t>
      </w:r>
      <w:r w:rsidR="000821BA" w:rsidRPr="00EA6C7A">
        <w:rPr>
          <w:rFonts w:ascii="Verdana" w:eastAsia="Batang" w:hAnsi="Verdana"/>
          <w:sz w:val="20"/>
          <w:szCs w:val="20"/>
          <w:lang w:val="en-US" w:eastAsia="es-MX"/>
        </w:rPr>
        <w:t>the forensic physician</w:t>
      </w:r>
      <w:r w:rsidR="00CD09AF"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had terminated his </w:t>
      </w:r>
      <w:r w:rsidR="00DB5978" w:rsidRPr="00EA6C7A">
        <w:rPr>
          <w:rFonts w:ascii="Verdana" w:eastAsia="Batang" w:hAnsi="Verdana"/>
          <w:sz w:val="20"/>
          <w:szCs w:val="20"/>
          <w:lang w:val="en-US" w:eastAsia="es-MX"/>
        </w:rPr>
        <w:t>employment</w:t>
      </w:r>
      <w:r w:rsidRPr="00EA6C7A">
        <w:rPr>
          <w:rFonts w:ascii="Verdana" w:eastAsia="Batang" w:hAnsi="Verdana"/>
          <w:sz w:val="20"/>
          <w:szCs w:val="20"/>
          <w:lang w:val="en-US" w:eastAsia="es-MX"/>
        </w:rPr>
        <w:t xml:space="preserve"> relationship with the Judiciary on December 5, </w:t>
      </w:r>
      <w:r w:rsidR="00CD09AF" w:rsidRPr="00EA6C7A">
        <w:rPr>
          <w:rFonts w:ascii="Verdana" w:eastAsia="Batang" w:hAnsi="Verdana"/>
          <w:sz w:val="20"/>
          <w:szCs w:val="20"/>
          <w:lang w:val="en-US" w:eastAsia="es-MX"/>
        </w:rPr>
        <w:t>2007</w:t>
      </w:r>
      <w:r w:rsidRPr="00EA6C7A">
        <w:rPr>
          <w:rFonts w:ascii="Verdana" w:eastAsia="Batang" w:hAnsi="Verdana"/>
          <w:sz w:val="20"/>
          <w:szCs w:val="20"/>
          <w:lang w:val="en-US" w:eastAsia="es-MX"/>
        </w:rPr>
        <w:t>.</w:t>
      </w:r>
      <w:r w:rsidR="00CD09AF" w:rsidRPr="00EA6C7A">
        <w:rPr>
          <w:rFonts w:ascii="Verdana" w:eastAsia="Batang" w:hAnsi="Verdana"/>
          <w:sz w:val="20"/>
          <w:szCs w:val="20"/>
          <w:vertAlign w:val="superscript"/>
          <w:lang w:val="en-US" w:eastAsia="es-MX"/>
        </w:rPr>
        <w:footnoteReference w:id="164"/>
      </w:r>
    </w:p>
    <w:p w14:paraId="56388A4C" w14:textId="77777777" w:rsidR="00214332" w:rsidRPr="00EA6C7A" w:rsidRDefault="00214332" w:rsidP="003B7AB8">
      <w:pPr>
        <w:pStyle w:val="Sentencia1"/>
        <w:tabs>
          <w:tab w:val="left" w:pos="720"/>
        </w:tabs>
        <w:rPr>
          <w:rFonts w:eastAsia="Calibri"/>
          <w:lang w:val="en-US"/>
        </w:rPr>
      </w:pPr>
      <w:bookmarkStart w:id="61" w:name="_Toc431801387"/>
      <w:bookmarkStart w:id="62" w:name="_Toc26002312"/>
      <w:r w:rsidRPr="00EA6C7A">
        <w:rPr>
          <w:rFonts w:cs="Verdana"/>
          <w:caps/>
          <w:snapToGrid w:val="0"/>
          <w:lang w:val="en-US" w:eastAsia="es-ES"/>
        </w:rPr>
        <w:t>VII</w:t>
      </w:r>
      <w:r w:rsidRPr="00EA6C7A">
        <w:rPr>
          <w:rFonts w:cs="Verdana"/>
          <w:caps/>
          <w:snapToGrid w:val="0"/>
          <w:lang w:val="en-US" w:eastAsia="es-ES"/>
        </w:rPr>
        <w:br/>
      </w:r>
      <w:r w:rsidR="00123BD3" w:rsidRPr="00EA6C7A">
        <w:rPr>
          <w:rFonts w:eastAsia="Calibri"/>
          <w:lang w:val="en-US"/>
        </w:rPr>
        <w:t>MERITS</w:t>
      </w:r>
      <w:bookmarkEnd w:id="61"/>
      <w:bookmarkEnd w:id="62"/>
    </w:p>
    <w:p w14:paraId="521E5914" w14:textId="77777777" w:rsidR="00214332" w:rsidRPr="00EA6C7A" w:rsidRDefault="00214332" w:rsidP="00214332">
      <w:pPr>
        <w:pStyle w:val="ColorfulList-Accent11"/>
        <w:autoSpaceDE w:val="0"/>
        <w:autoSpaceDN w:val="0"/>
        <w:adjustRightInd w:val="0"/>
        <w:spacing w:after="0" w:line="240" w:lineRule="auto"/>
        <w:ind w:left="0"/>
        <w:contextualSpacing w:val="0"/>
        <w:jc w:val="center"/>
        <w:rPr>
          <w:rFonts w:ascii="Verdana" w:eastAsia="Calibri" w:hAnsi="Verdana" w:cs="Arial"/>
          <w:sz w:val="16"/>
          <w:lang w:val="en-US"/>
        </w:rPr>
      </w:pPr>
    </w:p>
    <w:p w14:paraId="714C3B70" w14:textId="77777777" w:rsidR="00214332" w:rsidRPr="00EA6C7A" w:rsidRDefault="00123BD3" w:rsidP="00077D21">
      <w:pPr>
        <w:pStyle w:val="PrrafodeSentencia"/>
        <w:rPr>
          <w:rFonts w:eastAsia="Calibri"/>
        </w:rPr>
      </w:pPr>
      <w:r w:rsidRPr="00EA6C7A">
        <w:rPr>
          <w:lang w:val="en-US"/>
        </w:rPr>
        <w:t xml:space="preserve">It has been alleged that the proven facts in this case constitute violations of several rights and obligations recognized in </w:t>
      </w:r>
      <w:r w:rsidR="0096418F" w:rsidRPr="00EA6C7A">
        <w:rPr>
          <w:lang w:val="en-US"/>
        </w:rPr>
        <w:t>the American Convention</w:t>
      </w:r>
      <w:r w:rsidR="00214332" w:rsidRPr="00EA6C7A">
        <w:rPr>
          <w:rFonts w:eastAsia="Calibri"/>
          <w:lang w:val="en-US"/>
        </w:rPr>
        <w:t>, a</w:t>
      </w:r>
      <w:r w:rsidRPr="00EA6C7A">
        <w:rPr>
          <w:rFonts w:eastAsia="Calibri"/>
          <w:lang w:val="en-US"/>
        </w:rPr>
        <w:t xml:space="preserve">nd also in </w:t>
      </w:r>
      <w:r w:rsidR="0096418F" w:rsidRPr="00EA6C7A">
        <w:rPr>
          <w:rFonts w:eastAsia="Calibri"/>
          <w:lang w:val="en-US"/>
        </w:rPr>
        <w:t>Article</w:t>
      </w:r>
      <w:r w:rsidR="00214332" w:rsidRPr="00EA6C7A">
        <w:rPr>
          <w:rFonts w:eastAsia="Calibri"/>
          <w:lang w:val="en-US"/>
        </w:rPr>
        <w:t xml:space="preserve"> 7</w:t>
      </w:r>
      <w:r w:rsidR="0096418F" w:rsidRPr="00EA6C7A">
        <w:rPr>
          <w:rFonts w:eastAsia="Calibri"/>
          <w:lang w:val="en-US"/>
        </w:rPr>
        <w:t xml:space="preserve"> of the </w:t>
      </w:r>
      <w:r w:rsidR="004554C7" w:rsidRPr="00EA6C7A">
        <w:rPr>
          <w:rFonts w:eastAsia="Calibri"/>
          <w:lang w:val="en-US"/>
        </w:rPr>
        <w:t>Convention of Belém</w:t>
      </w:r>
      <w:r w:rsidR="00214332" w:rsidRPr="00EA6C7A">
        <w:rPr>
          <w:rFonts w:eastAsia="Calibri"/>
          <w:lang w:val="en-US"/>
        </w:rPr>
        <w:t xml:space="preserve"> do Pará. </w:t>
      </w:r>
      <w:r w:rsidRPr="00634E16">
        <w:rPr>
          <w:rFonts w:eastAsia="Calibri"/>
          <w:lang w:val="en-US"/>
        </w:rPr>
        <w:t>This allegations will be examined in the following order:</w:t>
      </w:r>
    </w:p>
    <w:p w14:paraId="14913C77" w14:textId="77777777" w:rsidR="00214332" w:rsidRPr="00EA6C7A" w:rsidRDefault="00214332" w:rsidP="00214332">
      <w:pPr>
        <w:pStyle w:val="ColorfulList-Accent11"/>
        <w:autoSpaceDE w:val="0"/>
        <w:autoSpaceDN w:val="0"/>
        <w:adjustRightInd w:val="0"/>
        <w:spacing w:after="0" w:line="240" w:lineRule="auto"/>
        <w:ind w:left="360"/>
        <w:contextualSpacing w:val="0"/>
        <w:jc w:val="both"/>
        <w:rPr>
          <w:rFonts w:ascii="Verdana" w:hAnsi="Verdana" w:cs="Arial"/>
          <w:lang w:val="en-US"/>
        </w:rPr>
      </w:pPr>
    </w:p>
    <w:p w14:paraId="22C94F9D" w14:textId="77777777" w:rsidR="00214332" w:rsidRPr="00EA6C7A" w:rsidRDefault="00123BD3" w:rsidP="00E11A7C">
      <w:pPr>
        <w:pStyle w:val="ColorfulList-Accent11"/>
        <w:numPr>
          <w:ilvl w:val="0"/>
          <w:numId w:val="6"/>
        </w:numPr>
        <w:autoSpaceDE w:val="0"/>
        <w:autoSpaceDN w:val="0"/>
        <w:adjustRightInd w:val="0"/>
        <w:spacing w:after="0" w:line="240" w:lineRule="auto"/>
        <w:contextualSpacing w:val="0"/>
        <w:jc w:val="both"/>
        <w:rPr>
          <w:rFonts w:ascii="Verdana" w:eastAsia="Calibri" w:hAnsi="Verdana" w:cs="Arial"/>
          <w:lang w:val="en-US"/>
        </w:rPr>
      </w:pPr>
      <w:r w:rsidRPr="00EA6C7A">
        <w:rPr>
          <w:rFonts w:ascii="Verdana" w:eastAsia="Calibri" w:hAnsi="Verdana" w:cs="Arial"/>
          <w:lang w:val="en-US"/>
        </w:rPr>
        <w:t>In Chapter</w:t>
      </w:r>
      <w:r w:rsidR="00214332" w:rsidRPr="00EA6C7A">
        <w:rPr>
          <w:rFonts w:ascii="Verdana" w:eastAsia="Calibri" w:hAnsi="Verdana" w:cs="Arial"/>
          <w:lang w:val="en-US"/>
        </w:rPr>
        <w:t xml:space="preserve"> VII.I</w:t>
      </w:r>
      <w:r w:rsidRPr="00EA6C7A">
        <w:rPr>
          <w:rFonts w:ascii="Verdana" w:eastAsia="Calibri" w:hAnsi="Verdana" w:cs="Arial"/>
          <w:lang w:val="en-US"/>
        </w:rPr>
        <w:t>,</w:t>
      </w:r>
      <w:r w:rsidR="00214332" w:rsidRPr="00EA6C7A">
        <w:rPr>
          <w:rFonts w:ascii="Verdana" w:eastAsia="Calibri" w:hAnsi="Verdana" w:cs="Arial"/>
          <w:lang w:val="en-US"/>
        </w:rPr>
        <w:t xml:space="preserve"> </w:t>
      </w:r>
      <w:r w:rsidRPr="00EA6C7A">
        <w:rPr>
          <w:rFonts w:ascii="Verdana" w:eastAsia="Calibri" w:hAnsi="Verdana" w:cs="Arial"/>
          <w:lang w:val="en-US"/>
        </w:rPr>
        <w:t>the arguments referring to the alleged violation</w:t>
      </w:r>
      <w:r w:rsidR="00214332" w:rsidRPr="00EA6C7A">
        <w:rPr>
          <w:rFonts w:ascii="Verdana" w:eastAsia="Calibri" w:hAnsi="Verdana" w:cs="Arial"/>
          <w:lang w:val="en-US"/>
        </w:rPr>
        <w:t xml:space="preserve"> </w:t>
      </w:r>
      <w:r w:rsidRPr="00EA6C7A">
        <w:rPr>
          <w:rFonts w:ascii="Verdana" w:eastAsia="Calibri" w:hAnsi="Verdana" w:cs="Arial"/>
          <w:lang w:val="en-US"/>
        </w:rPr>
        <w:t>of the rights to life</w:t>
      </w:r>
      <w:r w:rsidR="00214332" w:rsidRPr="00EA6C7A">
        <w:rPr>
          <w:rFonts w:ascii="Verdana" w:eastAsia="Calibri" w:hAnsi="Verdana"/>
          <w:lang w:val="en-US"/>
        </w:rPr>
        <w:t xml:space="preserve">, </w:t>
      </w:r>
      <w:r w:rsidR="00515C34" w:rsidRPr="00EA6C7A">
        <w:rPr>
          <w:rFonts w:ascii="Verdana" w:eastAsia="Calibri" w:hAnsi="Verdana"/>
          <w:lang w:val="en-US"/>
        </w:rPr>
        <w:t>personal integrity</w:t>
      </w:r>
      <w:r w:rsidR="00D948A1" w:rsidRPr="00EA6C7A">
        <w:rPr>
          <w:rFonts w:ascii="Verdana" w:eastAsia="Calibri" w:hAnsi="Verdana"/>
          <w:lang w:val="en-US"/>
        </w:rPr>
        <w:t xml:space="preserve"> and </w:t>
      </w:r>
      <w:r w:rsidRPr="00EA6C7A">
        <w:rPr>
          <w:rFonts w:ascii="Verdana" w:eastAsia="Calibri" w:hAnsi="Verdana"/>
          <w:lang w:val="en-US"/>
        </w:rPr>
        <w:t>privacy,</w:t>
      </w:r>
      <w:r w:rsidR="00214332" w:rsidRPr="00EA6C7A">
        <w:rPr>
          <w:rFonts w:ascii="Verdana" w:eastAsia="Calibri" w:hAnsi="Verdana"/>
          <w:lang w:val="en-US"/>
        </w:rPr>
        <w:t xml:space="preserve"> </w:t>
      </w:r>
      <w:r w:rsidRPr="00EA6C7A">
        <w:rPr>
          <w:rFonts w:ascii="Verdana" w:eastAsia="Calibri" w:hAnsi="Verdana"/>
          <w:lang w:val="en-US"/>
        </w:rPr>
        <w:t>in relation to Articles 1(1)</w:t>
      </w:r>
      <w:r w:rsidR="00D948A1" w:rsidRPr="00EA6C7A">
        <w:rPr>
          <w:rFonts w:ascii="Verdana" w:eastAsia="Calibri" w:hAnsi="Verdana"/>
          <w:lang w:val="en-US"/>
        </w:rPr>
        <w:t xml:space="preserve"> and </w:t>
      </w:r>
      <w:r w:rsidR="00214332" w:rsidRPr="00EA6C7A">
        <w:rPr>
          <w:rFonts w:ascii="Verdana" w:eastAsia="Calibri" w:hAnsi="Verdana"/>
          <w:lang w:val="en-US"/>
        </w:rPr>
        <w:t>2</w:t>
      </w:r>
      <w:r w:rsidR="0096418F" w:rsidRPr="00EA6C7A">
        <w:rPr>
          <w:rFonts w:ascii="Verdana" w:eastAsia="Calibri" w:hAnsi="Verdana"/>
          <w:lang w:val="en-US"/>
        </w:rPr>
        <w:t xml:space="preserve"> of the American Convention</w:t>
      </w:r>
      <w:r w:rsidR="00D948A1" w:rsidRPr="00EA6C7A">
        <w:rPr>
          <w:rFonts w:ascii="Verdana" w:eastAsia="Calibri" w:hAnsi="Verdana"/>
          <w:lang w:val="en-US"/>
        </w:rPr>
        <w:t xml:space="preserve"> and</w:t>
      </w:r>
      <w:r w:rsidR="00214332" w:rsidRPr="00EA6C7A">
        <w:rPr>
          <w:rFonts w:ascii="Verdana" w:eastAsia="Calibri" w:hAnsi="Verdana"/>
          <w:lang w:val="en-US"/>
        </w:rPr>
        <w:t xml:space="preserve"> </w:t>
      </w:r>
      <w:r w:rsidR="0096418F" w:rsidRPr="00EA6C7A">
        <w:rPr>
          <w:rFonts w:ascii="Verdana" w:eastAsia="Calibri" w:hAnsi="Verdana"/>
          <w:lang w:val="en-US"/>
        </w:rPr>
        <w:t>Article</w:t>
      </w:r>
      <w:r w:rsidR="00214332" w:rsidRPr="00EA6C7A">
        <w:rPr>
          <w:rFonts w:ascii="Verdana" w:eastAsia="Calibri" w:hAnsi="Verdana"/>
          <w:lang w:val="en-US"/>
        </w:rPr>
        <w:t xml:space="preserve"> 7</w:t>
      </w:r>
      <w:r w:rsidR="0096418F" w:rsidRPr="00EA6C7A">
        <w:rPr>
          <w:rFonts w:ascii="Verdana" w:eastAsia="Calibri" w:hAnsi="Verdana"/>
          <w:lang w:val="en-US"/>
        </w:rPr>
        <w:t xml:space="preserve"> of the </w:t>
      </w:r>
      <w:r w:rsidR="004554C7" w:rsidRPr="00EA6C7A">
        <w:rPr>
          <w:rFonts w:ascii="Verdana" w:eastAsia="Calibri" w:hAnsi="Verdana"/>
          <w:lang w:val="en-US"/>
        </w:rPr>
        <w:t>Convention of Belém</w:t>
      </w:r>
      <w:r w:rsidR="00214332" w:rsidRPr="00EA6C7A">
        <w:rPr>
          <w:rFonts w:ascii="Verdana" w:eastAsia="Calibri" w:hAnsi="Verdana"/>
          <w:lang w:val="en-US"/>
        </w:rPr>
        <w:t xml:space="preserve"> do Pará, </w:t>
      </w:r>
      <w:r w:rsidRPr="00EA6C7A">
        <w:rPr>
          <w:rFonts w:ascii="Verdana" w:eastAsia="Calibri" w:hAnsi="Verdana"/>
          <w:lang w:val="en-US"/>
        </w:rPr>
        <w:t>to the detriment of</w:t>
      </w:r>
      <w:r w:rsidR="00214332" w:rsidRPr="00EA6C7A">
        <w:rPr>
          <w:rFonts w:ascii="Verdana" w:eastAsia="Calibri" w:hAnsi="Verdana"/>
          <w:lang w:val="en-US"/>
        </w:rPr>
        <w:t xml:space="preserve"> Claudina Isabel Velásquez Paiz;</w:t>
      </w:r>
    </w:p>
    <w:p w14:paraId="1FFFFE39" w14:textId="77777777" w:rsidR="00214332" w:rsidRPr="00EA6C7A" w:rsidRDefault="00123BD3" w:rsidP="00E11A7C">
      <w:pPr>
        <w:pStyle w:val="ColorfulList-Accent11"/>
        <w:numPr>
          <w:ilvl w:val="0"/>
          <w:numId w:val="6"/>
        </w:numPr>
        <w:autoSpaceDE w:val="0"/>
        <w:autoSpaceDN w:val="0"/>
        <w:adjustRightInd w:val="0"/>
        <w:spacing w:after="0" w:line="240" w:lineRule="auto"/>
        <w:contextualSpacing w:val="0"/>
        <w:jc w:val="both"/>
        <w:rPr>
          <w:rFonts w:ascii="Verdana" w:eastAsia="Calibri" w:hAnsi="Verdana" w:cs="Arial"/>
          <w:lang w:val="en-US"/>
        </w:rPr>
      </w:pPr>
      <w:r w:rsidRPr="00EA6C7A">
        <w:rPr>
          <w:rFonts w:ascii="Verdana" w:eastAsia="Calibri" w:hAnsi="Verdana" w:cs="Arial"/>
          <w:lang w:val="en-US"/>
        </w:rPr>
        <w:t>In Chapter</w:t>
      </w:r>
      <w:r w:rsidR="00214332" w:rsidRPr="00EA6C7A">
        <w:rPr>
          <w:rFonts w:ascii="Verdana" w:eastAsia="Calibri" w:hAnsi="Verdana" w:cs="Arial"/>
          <w:lang w:val="en-US"/>
        </w:rPr>
        <w:t xml:space="preserve"> VII.II</w:t>
      </w:r>
      <w:r w:rsidRPr="00EA6C7A">
        <w:rPr>
          <w:rFonts w:ascii="Verdana" w:eastAsia="Calibri" w:hAnsi="Verdana" w:cs="Arial"/>
          <w:lang w:val="en-US"/>
        </w:rPr>
        <w:t>,</w:t>
      </w:r>
      <w:r w:rsidR="00214332" w:rsidRPr="00EA6C7A">
        <w:rPr>
          <w:rFonts w:ascii="Verdana" w:eastAsia="Calibri" w:hAnsi="Verdana" w:cs="Arial"/>
          <w:lang w:val="en-US"/>
        </w:rPr>
        <w:t xml:space="preserve"> </w:t>
      </w:r>
      <w:r w:rsidRPr="00EA6C7A">
        <w:rPr>
          <w:rFonts w:ascii="Verdana" w:eastAsia="Calibri" w:hAnsi="Verdana" w:cs="Arial"/>
          <w:lang w:val="en-US"/>
        </w:rPr>
        <w:t>the arguments referring to</w:t>
      </w:r>
      <w:r w:rsidR="00214332" w:rsidRPr="00EA6C7A">
        <w:rPr>
          <w:rFonts w:ascii="Verdana" w:eastAsia="Calibri" w:hAnsi="Verdana" w:cs="Arial"/>
          <w:lang w:val="en-US"/>
        </w:rPr>
        <w:t xml:space="preserve"> </w:t>
      </w:r>
      <w:r w:rsidRPr="00EA6C7A">
        <w:rPr>
          <w:rFonts w:ascii="Verdana" w:eastAsia="Calibri" w:hAnsi="Verdana" w:cs="Arial"/>
          <w:lang w:val="en-US"/>
        </w:rPr>
        <w:t>the alleged violation</w:t>
      </w:r>
      <w:r w:rsidR="00214332" w:rsidRPr="00EA6C7A">
        <w:rPr>
          <w:rFonts w:ascii="Verdana" w:eastAsia="Calibri" w:hAnsi="Verdana" w:cs="Arial"/>
          <w:lang w:val="en-US"/>
        </w:rPr>
        <w:t xml:space="preserve"> </w:t>
      </w:r>
      <w:r w:rsidRPr="00EA6C7A">
        <w:rPr>
          <w:rFonts w:ascii="Verdana" w:eastAsia="Calibri" w:hAnsi="Verdana" w:cs="Arial"/>
          <w:lang w:val="en-US"/>
        </w:rPr>
        <w:t>of the rights to judicial guarantees, judicial protection and equality before the law</w:t>
      </w:r>
      <w:r w:rsidR="00214332" w:rsidRPr="00EA6C7A">
        <w:rPr>
          <w:rFonts w:ascii="Verdana" w:eastAsia="Calibri" w:hAnsi="Verdana"/>
          <w:lang w:val="en-US"/>
        </w:rPr>
        <w:t xml:space="preserve">, </w:t>
      </w:r>
      <w:r w:rsidRPr="00EA6C7A">
        <w:rPr>
          <w:rFonts w:ascii="Verdana" w:eastAsia="Calibri" w:hAnsi="Verdana"/>
          <w:lang w:val="en-US"/>
        </w:rPr>
        <w:t>in relation to Articles 1(1)</w:t>
      </w:r>
      <w:r w:rsidR="00D948A1" w:rsidRPr="00EA6C7A">
        <w:rPr>
          <w:rFonts w:ascii="Verdana" w:eastAsia="Calibri" w:hAnsi="Verdana"/>
          <w:lang w:val="en-US"/>
        </w:rPr>
        <w:t xml:space="preserve"> and </w:t>
      </w:r>
      <w:r w:rsidR="00214332" w:rsidRPr="00EA6C7A">
        <w:rPr>
          <w:rFonts w:ascii="Verdana" w:eastAsia="Calibri" w:hAnsi="Verdana"/>
          <w:lang w:val="en-US"/>
        </w:rPr>
        <w:t>2</w:t>
      </w:r>
      <w:r w:rsidR="0096418F" w:rsidRPr="00EA6C7A">
        <w:rPr>
          <w:rFonts w:ascii="Verdana" w:eastAsia="Calibri" w:hAnsi="Verdana"/>
          <w:lang w:val="en-US"/>
        </w:rPr>
        <w:t xml:space="preserve"> of the American Convention</w:t>
      </w:r>
      <w:r w:rsidR="00D948A1" w:rsidRPr="00EA6C7A">
        <w:rPr>
          <w:rFonts w:ascii="Verdana" w:eastAsia="Calibri" w:hAnsi="Verdana"/>
          <w:lang w:val="en-US"/>
        </w:rPr>
        <w:t xml:space="preserve"> and </w:t>
      </w:r>
      <w:r w:rsidR="0096418F" w:rsidRPr="00EA6C7A">
        <w:rPr>
          <w:rFonts w:ascii="Verdana" w:eastAsia="Calibri" w:hAnsi="Verdana"/>
          <w:lang w:val="en-US"/>
        </w:rPr>
        <w:t>Article</w:t>
      </w:r>
      <w:r w:rsidR="00214332" w:rsidRPr="00EA6C7A">
        <w:rPr>
          <w:rFonts w:ascii="Verdana" w:eastAsia="Calibri" w:hAnsi="Verdana"/>
          <w:lang w:val="en-US"/>
        </w:rPr>
        <w:t xml:space="preserve"> 7</w:t>
      </w:r>
      <w:r w:rsidR="0096418F" w:rsidRPr="00EA6C7A">
        <w:rPr>
          <w:rFonts w:ascii="Verdana" w:eastAsia="Calibri" w:hAnsi="Verdana"/>
          <w:lang w:val="en-US"/>
        </w:rPr>
        <w:t xml:space="preserve"> of the </w:t>
      </w:r>
      <w:r w:rsidR="004554C7" w:rsidRPr="00EA6C7A">
        <w:rPr>
          <w:rFonts w:ascii="Verdana" w:eastAsia="Calibri" w:hAnsi="Verdana"/>
          <w:lang w:val="en-US"/>
        </w:rPr>
        <w:t>Convention of Belém</w:t>
      </w:r>
      <w:r w:rsidR="00214332" w:rsidRPr="00EA6C7A">
        <w:rPr>
          <w:rFonts w:ascii="Verdana" w:eastAsia="Calibri" w:hAnsi="Verdana"/>
          <w:lang w:val="en-US"/>
        </w:rPr>
        <w:t xml:space="preserve"> do Pará, </w:t>
      </w:r>
      <w:r w:rsidRPr="00EA6C7A">
        <w:rPr>
          <w:rFonts w:ascii="Verdana" w:eastAsia="Calibri" w:hAnsi="Verdana"/>
          <w:lang w:val="en-US"/>
        </w:rPr>
        <w:t>to the detriment of</w:t>
      </w:r>
      <w:r w:rsidR="00214332" w:rsidRPr="00EA6C7A">
        <w:rPr>
          <w:rFonts w:ascii="Verdana" w:eastAsia="Calibri" w:hAnsi="Verdana"/>
          <w:lang w:val="en-US"/>
        </w:rPr>
        <w:t xml:space="preserve"> </w:t>
      </w:r>
      <w:r w:rsidRPr="00EA6C7A">
        <w:rPr>
          <w:rFonts w:ascii="Verdana" w:eastAsia="Calibri" w:hAnsi="Verdana"/>
          <w:lang w:val="en-US"/>
        </w:rPr>
        <w:t>the next of kin of</w:t>
      </w:r>
      <w:r w:rsidR="00214332" w:rsidRPr="00EA6C7A">
        <w:rPr>
          <w:rFonts w:ascii="Verdana" w:eastAsia="Calibri" w:hAnsi="Verdana"/>
          <w:lang w:val="en-US"/>
        </w:rPr>
        <w:t xml:space="preserve"> Claudina Isabel Velásquez</w:t>
      </w:r>
      <w:r w:rsidR="00214332" w:rsidRPr="00EA6C7A">
        <w:rPr>
          <w:rFonts w:ascii="Verdana" w:hAnsi="Verdana"/>
          <w:lang w:val="en-US"/>
        </w:rPr>
        <w:t xml:space="preserve"> </w:t>
      </w:r>
      <w:r w:rsidR="00214332" w:rsidRPr="00EA6C7A">
        <w:rPr>
          <w:rFonts w:ascii="Verdana" w:eastAsia="Calibri" w:hAnsi="Verdana"/>
          <w:lang w:val="en-US"/>
        </w:rPr>
        <w:t>Paiz, as</w:t>
      </w:r>
      <w:r w:rsidRPr="00EA6C7A">
        <w:rPr>
          <w:rFonts w:ascii="Verdana" w:eastAsia="Calibri" w:hAnsi="Verdana"/>
          <w:lang w:val="en-US"/>
        </w:rPr>
        <w:t xml:space="preserve"> well as the right to freedom of expression, movement and equality before the law, to the detriment of</w:t>
      </w:r>
      <w:r w:rsidR="00214332" w:rsidRPr="00EA6C7A">
        <w:rPr>
          <w:rFonts w:ascii="Verdana" w:eastAsia="Calibri" w:hAnsi="Verdana"/>
          <w:lang w:val="en-US"/>
        </w:rPr>
        <w:t xml:space="preserve"> Claudina Velásquez, </w:t>
      </w:r>
      <w:r w:rsidRPr="00EA6C7A">
        <w:rPr>
          <w:rFonts w:ascii="Verdana" w:eastAsia="Calibri" w:hAnsi="Verdana"/>
          <w:lang w:val="en-US"/>
        </w:rPr>
        <w:t>and</w:t>
      </w:r>
    </w:p>
    <w:p w14:paraId="3AC88F6C" w14:textId="77777777" w:rsidR="00214332" w:rsidRPr="00EA6C7A" w:rsidRDefault="00123BD3" w:rsidP="00E11A7C">
      <w:pPr>
        <w:pStyle w:val="ColorfulList-Accent11"/>
        <w:numPr>
          <w:ilvl w:val="0"/>
          <w:numId w:val="6"/>
        </w:numPr>
        <w:autoSpaceDE w:val="0"/>
        <w:autoSpaceDN w:val="0"/>
        <w:adjustRightInd w:val="0"/>
        <w:spacing w:after="0" w:line="240" w:lineRule="auto"/>
        <w:contextualSpacing w:val="0"/>
        <w:jc w:val="both"/>
        <w:rPr>
          <w:rFonts w:ascii="Verdana" w:eastAsia="Calibri" w:hAnsi="Verdana" w:cs="Arial"/>
          <w:lang w:val="en-US"/>
        </w:rPr>
      </w:pPr>
      <w:r w:rsidRPr="00EA6C7A">
        <w:rPr>
          <w:rFonts w:ascii="Verdana" w:eastAsia="Calibri" w:hAnsi="Verdana" w:cs="Arial"/>
          <w:lang w:val="en-US"/>
        </w:rPr>
        <w:t>In Chapter</w:t>
      </w:r>
      <w:r w:rsidR="00214332" w:rsidRPr="00EA6C7A">
        <w:rPr>
          <w:rFonts w:ascii="Verdana" w:eastAsia="Calibri" w:hAnsi="Verdana" w:cs="Arial"/>
          <w:lang w:val="en-US"/>
        </w:rPr>
        <w:t xml:space="preserve"> VII.III</w:t>
      </w:r>
      <w:r w:rsidRPr="00EA6C7A">
        <w:rPr>
          <w:rFonts w:ascii="Verdana" w:eastAsia="Calibri" w:hAnsi="Verdana" w:cs="Arial"/>
          <w:lang w:val="en-US"/>
        </w:rPr>
        <w:t>,</w:t>
      </w:r>
      <w:r w:rsidR="00214332" w:rsidRPr="00EA6C7A">
        <w:rPr>
          <w:rFonts w:ascii="Verdana" w:eastAsia="Calibri" w:hAnsi="Verdana" w:cs="Arial"/>
          <w:lang w:val="en-US"/>
        </w:rPr>
        <w:t xml:space="preserve"> </w:t>
      </w:r>
      <w:r w:rsidRPr="00EA6C7A">
        <w:rPr>
          <w:rFonts w:ascii="Verdana" w:eastAsia="Calibri" w:hAnsi="Verdana" w:cs="Arial"/>
          <w:lang w:val="en-US"/>
        </w:rPr>
        <w:t>the arguments referring to</w:t>
      </w:r>
      <w:r w:rsidR="00214332" w:rsidRPr="00EA6C7A">
        <w:rPr>
          <w:rFonts w:ascii="Verdana" w:eastAsia="Calibri" w:hAnsi="Verdana" w:cs="Arial"/>
          <w:lang w:val="en-US"/>
        </w:rPr>
        <w:t xml:space="preserve"> </w:t>
      </w:r>
      <w:r w:rsidRPr="00EA6C7A">
        <w:rPr>
          <w:rFonts w:ascii="Verdana" w:eastAsia="Calibri" w:hAnsi="Verdana" w:cs="Arial"/>
          <w:lang w:val="en-US"/>
        </w:rPr>
        <w:t>the alleged violation</w:t>
      </w:r>
      <w:r w:rsidR="00214332" w:rsidRPr="00EA6C7A">
        <w:rPr>
          <w:rFonts w:ascii="Verdana" w:eastAsia="Calibri" w:hAnsi="Verdana" w:cs="Arial"/>
          <w:lang w:val="en-US"/>
        </w:rPr>
        <w:t xml:space="preserve"> </w:t>
      </w:r>
      <w:r w:rsidRPr="00EA6C7A">
        <w:rPr>
          <w:rFonts w:ascii="Verdana" w:eastAsia="Calibri" w:hAnsi="Verdana" w:cs="Arial"/>
          <w:lang w:val="en-US"/>
        </w:rPr>
        <w:t>of the rights to</w:t>
      </w:r>
      <w:r w:rsidR="00214332" w:rsidRPr="00EA6C7A">
        <w:rPr>
          <w:rFonts w:ascii="Verdana" w:eastAsia="Calibri" w:hAnsi="Verdana"/>
          <w:lang w:val="en-US"/>
        </w:rPr>
        <w:t xml:space="preserve"> </w:t>
      </w:r>
      <w:r w:rsidR="00515C34" w:rsidRPr="00EA6C7A">
        <w:rPr>
          <w:rFonts w:ascii="Verdana" w:eastAsia="Calibri" w:hAnsi="Verdana"/>
          <w:lang w:val="en-US"/>
        </w:rPr>
        <w:t>personal integrity</w:t>
      </w:r>
      <w:r w:rsidR="000254D2" w:rsidRPr="00EA6C7A">
        <w:rPr>
          <w:rFonts w:ascii="Verdana" w:eastAsia="Calibri" w:hAnsi="Verdana"/>
          <w:lang w:val="en-US"/>
        </w:rPr>
        <w:t>,</w:t>
      </w:r>
      <w:r w:rsidR="00D948A1" w:rsidRPr="00EA6C7A">
        <w:rPr>
          <w:rFonts w:ascii="Verdana" w:eastAsia="Calibri" w:hAnsi="Verdana"/>
          <w:lang w:val="en-US"/>
        </w:rPr>
        <w:t xml:space="preserve"> and </w:t>
      </w:r>
      <w:r w:rsidR="000254D2" w:rsidRPr="00EA6C7A">
        <w:rPr>
          <w:rFonts w:ascii="Verdana" w:eastAsia="Calibri" w:hAnsi="Verdana"/>
          <w:lang w:val="en-US"/>
        </w:rPr>
        <w:t xml:space="preserve">to </w:t>
      </w:r>
      <w:r w:rsidRPr="00EA6C7A">
        <w:rPr>
          <w:rFonts w:ascii="Verdana" w:eastAsia="Calibri" w:hAnsi="Verdana"/>
          <w:lang w:val="en-US"/>
        </w:rPr>
        <w:t>respect for</w:t>
      </w:r>
      <w:r w:rsidR="000254D2" w:rsidRPr="00EA6C7A">
        <w:rPr>
          <w:rFonts w:ascii="Verdana" w:hAnsi="Verdana"/>
          <w:lang w:val="en-US"/>
        </w:rPr>
        <w:t xml:space="preserve"> honor and recognition of dignity</w:t>
      </w:r>
      <w:r w:rsidR="001238A7" w:rsidRPr="00EA6C7A">
        <w:rPr>
          <w:rFonts w:ascii="Verdana" w:eastAsia="Calibri" w:hAnsi="Verdana"/>
          <w:lang w:val="en-US"/>
        </w:rPr>
        <w:t xml:space="preserve">, </w:t>
      </w:r>
      <w:r w:rsidRPr="00EA6C7A">
        <w:rPr>
          <w:rFonts w:ascii="Verdana" w:eastAsia="Calibri" w:hAnsi="Verdana"/>
          <w:lang w:val="en-US"/>
        </w:rPr>
        <w:t>to the detriment of</w:t>
      </w:r>
      <w:r w:rsidR="00214332" w:rsidRPr="00EA6C7A">
        <w:rPr>
          <w:rFonts w:ascii="Verdana" w:eastAsia="Calibri" w:hAnsi="Verdana"/>
          <w:lang w:val="en-US"/>
        </w:rPr>
        <w:t xml:space="preserve"> </w:t>
      </w:r>
      <w:r w:rsidRPr="00EA6C7A">
        <w:rPr>
          <w:rFonts w:ascii="Verdana" w:eastAsia="Calibri" w:hAnsi="Verdana"/>
          <w:lang w:val="en-US"/>
        </w:rPr>
        <w:t>the next of kin of</w:t>
      </w:r>
      <w:r w:rsidR="00214332" w:rsidRPr="00EA6C7A">
        <w:rPr>
          <w:rFonts w:ascii="Verdana" w:eastAsia="Calibri" w:hAnsi="Verdana"/>
          <w:lang w:val="en-US"/>
        </w:rPr>
        <w:t xml:space="preserve"> Claudina Isabel Velásquez</w:t>
      </w:r>
      <w:r w:rsidR="00214332" w:rsidRPr="00EA6C7A">
        <w:rPr>
          <w:rFonts w:ascii="Verdana" w:hAnsi="Verdana"/>
          <w:lang w:val="en-US"/>
        </w:rPr>
        <w:t xml:space="preserve"> </w:t>
      </w:r>
      <w:r w:rsidR="00214332" w:rsidRPr="00EA6C7A">
        <w:rPr>
          <w:rFonts w:ascii="Verdana" w:eastAsia="Calibri" w:hAnsi="Verdana"/>
          <w:lang w:val="en-US"/>
        </w:rPr>
        <w:t>Paiz.</w:t>
      </w:r>
    </w:p>
    <w:p w14:paraId="3B32FD59" w14:textId="77777777" w:rsidR="00214332" w:rsidRPr="00EA6C7A" w:rsidRDefault="00214332" w:rsidP="00214332">
      <w:pPr>
        <w:pStyle w:val="Sentencia2"/>
        <w:spacing w:line="240" w:lineRule="auto"/>
        <w:rPr>
          <w:rFonts w:eastAsia="Calibri" w:cs="Arial"/>
          <w:sz w:val="16"/>
          <w:lang w:val="en-US"/>
        </w:rPr>
      </w:pPr>
    </w:p>
    <w:p w14:paraId="2E2E1461" w14:textId="77777777" w:rsidR="00214332" w:rsidRPr="00EA6C7A" w:rsidRDefault="00214332" w:rsidP="00214332">
      <w:pPr>
        <w:pStyle w:val="Sentencia2"/>
        <w:spacing w:line="240" w:lineRule="auto"/>
        <w:jc w:val="both"/>
        <w:rPr>
          <w:rFonts w:eastAsia="Calibri"/>
          <w:lang w:val="en-US"/>
        </w:rPr>
      </w:pPr>
      <w:bookmarkStart w:id="63" w:name="_Toc431801388"/>
      <w:bookmarkStart w:id="64" w:name="_Toc26002313"/>
      <w:r w:rsidRPr="00EA6C7A">
        <w:rPr>
          <w:rFonts w:eastAsia="Calibri"/>
          <w:lang w:val="en-US"/>
        </w:rPr>
        <w:t xml:space="preserve">VII.I. </w:t>
      </w:r>
      <w:r w:rsidR="00123BD3" w:rsidRPr="00EA6C7A">
        <w:rPr>
          <w:rFonts w:eastAsia="Calibri"/>
          <w:lang w:val="en-US"/>
        </w:rPr>
        <w:t>Rights to life</w:t>
      </w:r>
      <w:r w:rsidRPr="00EA6C7A">
        <w:rPr>
          <w:rStyle w:val="Refdenotaalpie"/>
          <w:rFonts w:eastAsia="Calibri"/>
          <w:lang w:val="en-US"/>
        </w:rPr>
        <w:footnoteReference w:id="165"/>
      </w:r>
      <w:r w:rsidRPr="00EA6C7A">
        <w:rPr>
          <w:rFonts w:eastAsia="Calibri"/>
          <w:lang w:val="en-US"/>
        </w:rPr>
        <w:t xml:space="preserve"> </w:t>
      </w:r>
      <w:r w:rsidR="004C1E19" w:rsidRPr="00EA6C7A">
        <w:rPr>
          <w:rFonts w:eastAsia="Calibri"/>
          <w:lang w:val="en-US"/>
        </w:rPr>
        <w:t>and personal</w:t>
      </w:r>
      <w:r w:rsidR="00515C34" w:rsidRPr="00EA6C7A">
        <w:rPr>
          <w:rFonts w:eastAsia="Calibri"/>
          <w:lang w:val="en-US"/>
        </w:rPr>
        <w:t xml:space="preserve"> integrity</w:t>
      </w:r>
      <w:r w:rsidR="004C1E19" w:rsidRPr="00EA6C7A">
        <w:rPr>
          <w:rFonts w:eastAsia="Calibri"/>
          <w:lang w:val="en-US"/>
        </w:rPr>
        <w:t>,</w:t>
      </w:r>
      <w:r w:rsidRPr="00EA6C7A">
        <w:rPr>
          <w:rStyle w:val="Refdenotaalpie"/>
          <w:rFonts w:eastAsia="Calibri"/>
          <w:lang w:val="en-US"/>
        </w:rPr>
        <w:footnoteReference w:id="166"/>
      </w:r>
      <w:r w:rsidRPr="00EA6C7A">
        <w:rPr>
          <w:rFonts w:eastAsia="Calibri"/>
          <w:lang w:val="en-US"/>
        </w:rPr>
        <w:t xml:space="preserve"> </w:t>
      </w:r>
      <w:r w:rsidR="00123BD3" w:rsidRPr="00EA6C7A">
        <w:rPr>
          <w:rFonts w:eastAsia="Calibri"/>
          <w:lang w:val="en-US"/>
        </w:rPr>
        <w:t>in relation to Articles 1(1)</w:t>
      </w:r>
      <w:r w:rsidRPr="00EA6C7A">
        <w:rPr>
          <w:rStyle w:val="Refdenotaalpie"/>
          <w:rFonts w:eastAsia="Calibri"/>
          <w:lang w:val="en-US"/>
        </w:rPr>
        <w:footnoteReference w:id="167"/>
      </w:r>
      <w:r w:rsidR="00D948A1" w:rsidRPr="00EA6C7A">
        <w:rPr>
          <w:rFonts w:eastAsia="Calibri"/>
          <w:lang w:val="en-US"/>
        </w:rPr>
        <w:t xml:space="preserve"> and </w:t>
      </w:r>
      <w:r w:rsidRPr="00EA6C7A">
        <w:rPr>
          <w:rFonts w:eastAsia="Calibri"/>
          <w:lang w:val="en-US"/>
        </w:rPr>
        <w:t>2</w:t>
      </w:r>
      <w:r w:rsidRPr="00EA6C7A">
        <w:rPr>
          <w:rStyle w:val="Refdenotaalpie"/>
          <w:rFonts w:eastAsia="Calibri"/>
          <w:lang w:val="en-US"/>
        </w:rPr>
        <w:footnoteReference w:id="168"/>
      </w:r>
      <w:r w:rsidR="0096418F" w:rsidRPr="00EA6C7A">
        <w:rPr>
          <w:rFonts w:eastAsia="Calibri"/>
          <w:lang w:val="en-US"/>
        </w:rPr>
        <w:t xml:space="preserve"> of the American Convention</w:t>
      </w:r>
      <w:r w:rsidR="00D948A1" w:rsidRPr="00EA6C7A">
        <w:rPr>
          <w:rFonts w:eastAsia="Calibri"/>
          <w:lang w:val="en-US"/>
        </w:rPr>
        <w:t xml:space="preserve"> and</w:t>
      </w:r>
      <w:r w:rsidRPr="00EA6C7A">
        <w:rPr>
          <w:rFonts w:eastAsia="Calibri"/>
          <w:lang w:val="en-US"/>
        </w:rPr>
        <w:t xml:space="preserve"> </w:t>
      </w:r>
      <w:r w:rsidR="0096418F" w:rsidRPr="00EA6C7A">
        <w:rPr>
          <w:rFonts w:eastAsia="Calibri"/>
          <w:lang w:val="en-US"/>
        </w:rPr>
        <w:t>Article</w:t>
      </w:r>
      <w:r w:rsidRPr="00EA6C7A">
        <w:rPr>
          <w:rFonts w:eastAsia="Calibri"/>
          <w:lang w:val="en-US"/>
        </w:rPr>
        <w:t xml:space="preserve"> 7</w:t>
      </w:r>
      <w:r w:rsidR="0096418F" w:rsidRPr="00EA6C7A">
        <w:rPr>
          <w:rFonts w:eastAsia="Calibri"/>
          <w:lang w:val="en-US"/>
        </w:rPr>
        <w:t xml:space="preserve"> of the </w:t>
      </w:r>
      <w:r w:rsidR="004554C7" w:rsidRPr="00EA6C7A">
        <w:rPr>
          <w:rFonts w:eastAsia="Calibri"/>
          <w:lang w:val="en-US"/>
        </w:rPr>
        <w:t>Convention of Belém</w:t>
      </w:r>
      <w:r w:rsidRPr="00EA6C7A">
        <w:rPr>
          <w:rFonts w:eastAsia="Calibri"/>
          <w:lang w:val="en-US"/>
        </w:rPr>
        <w:t xml:space="preserve"> do Pará</w:t>
      </w:r>
      <w:r w:rsidR="004C1E19" w:rsidRPr="00EA6C7A">
        <w:rPr>
          <w:rFonts w:eastAsia="Calibri"/>
          <w:lang w:val="en-US"/>
        </w:rPr>
        <w:t>,</w:t>
      </w:r>
      <w:r w:rsidRPr="00EA6C7A">
        <w:rPr>
          <w:rStyle w:val="Refdenotaalpie"/>
          <w:rFonts w:eastAsia="Calibri"/>
          <w:lang w:val="en-US"/>
        </w:rPr>
        <w:footnoteReference w:id="169"/>
      </w:r>
      <w:r w:rsidRPr="00EA6C7A">
        <w:rPr>
          <w:rFonts w:eastAsia="Calibri"/>
          <w:lang w:val="en-US"/>
        </w:rPr>
        <w:t xml:space="preserve"> </w:t>
      </w:r>
      <w:r w:rsidR="00123BD3" w:rsidRPr="00EA6C7A">
        <w:rPr>
          <w:rFonts w:eastAsia="Calibri"/>
          <w:lang w:val="en-US"/>
        </w:rPr>
        <w:t>to the detriment of</w:t>
      </w:r>
      <w:r w:rsidRPr="00EA6C7A">
        <w:rPr>
          <w:rFonts w:eastAsia="Calibri"/>
          <w:lang w:val="en-US"/>
        </w:rPr>
        <w:t xml:space="preserve"> Claudina Isabel Velásquez Paiz</w:t>
      </w:r>
      <w:bookmarkEnd w:id="63"/>
      <w:bookmarkEnd w:id="64"/>
    </w:p>
    <w:p w14:paraId="38D086EF" w14:textId="77777777" w:rsidR="00214332" w:rsidRPr="00EA6C7A" w:rsidRDefault="00214332" w:rsidP="00214332">
      <w:pPr>
        <w:pStyle w:val="ColorfulList-Accent11"/>
        <w:autoSpaceDE w:val="0"/>
        <w:autoSpaceDN w:val="0"/>
        <w:adjustRightInd w:val="0"/>
        <w:spacing w:after="0" w:line="240" w:lineRule="auto"/>
        <w:ind w:left="0"/>
        <w:contextualSpacing w:val="0"/>
        <w:jc w:val="both"/>
        <w:rPr>
          <w:rFonts w:ascii="Verdana" w:eastAsia="Calibri" w:hAnsi="Verdana" w:cs="Arial"/>
          <w:b/>
          <w:sz w:val="16"/>
          <w:lang w:val="en-US"/>
        </w:rPr>
      </w:pPr>
    </w:p>
    <w:p w14:paraId="32D5536B" w14:textId="77777777" w:rsidR="00214332" w:rsidRPr="00EA6C7A" w:rsidRDefault="00214332" w:rsidP="00214332">
      <w:pPr>
        <w:pStyle w:val="Sentencia2"/>
        <w:rPr>
          <w:rStyle w:val="nfasis"/>
          <w:rFonts w:eastAsia="Calibri"/>
          <w:lang w:val="en-US"/>
        </w:rPr>
      </w:pPr>
      <w:bookmarkStart w:id="65" w:name="_Toc26002314"/>
      <w:r w:rsidRPr="00EA6C7A">
        <w:rPr>
          <w:rStyle w:val="nfasis"/>
          <w:rFonts w:eastAsia="Calibri"/>
          <w:lang w:val="en-US"/>
        </w:rPr>
        <w:t xml:space="preserve">A. </w:t>
      </w:r>
      <w:r w:rsidR="001238A7" w:rsidRPr="00EA6C7A">
        <w:rPr>
          <w:rStyle w:val="nfasis"/>
          <w:rFonts w:eastAsia="Calibri"/>
          <w:lang w:val="en-US"/>
        </w:rPr>
        <w:t>Arguments</w:t>
      </w:r>
      <w:r w:rsidR="0096418F" w:rsidRPr="00EA6C7A">
        <w:rPr>
          <w:rStyle w:val="nfasis"/>
          <w:rFonts w:eastAsia="Calibri"/>
          <w:lang w:val="en-US"/>
        </w:rPr>
        <w:t xml:space="preserve"> of the Commission</w:t>
      </w:r>
      <w:r w:rsidR="00D948A1" w:rsidRPr="00EA6C7A">
        <w:rPr>
          <w:rStyle w:val="nfasis"/>
          <w:rFonts w:eastAsia="Calibri"/>
          <w:lang w:val="en-US"/>
        </w:rPr>
        <w:t xml:space="preserve"> and </w:t>
      </w:r>
      <w:r w:rsidR="00711077" w:rsidRPr="00EA6C7A">
        <w:rPr>
          <w:rStyle w:val="nfasis"/>
          <w:rFonts w:eastAsia="Calibri"/>
          <w:lang w:val="en-US"/>
        </w:rPr>
        <w:t>of the parties</w:t>
      </w:r>
      <w:bookmarkEnd w:id="65"/>
    </w:p>
    <w:p w14:paraId="3CEE0C7C" w14:textId="77777777" w:rsidR="00214332" w:rsidRPr="00EA6C7A" w:rsidRDefault="00214332" w:rsidP="00214332">
      <w:pPr>
        <w:pStyle w:val="ColorfulList-Accent11"/>
        <w:autoSpaceDE w:val="0"/>
        <w:autoSpaceDN w:val="0"/>
        <w:adjustRightInd w:val="0"/>
        <w:spacing w:after="0" w:line="240" w:lineRule="auto"/>
        <w:ind w:left="0"/>
        <w:contextualSpacing w:val="0"/>
        <w:jc w:val="both"/>
        <w:rPr>
          <w:rFonts w:ascii="Verdana" w:eastAsia="Calibri" w:hAnsi="Verdana" w:cs="Arial"/>
          <w:b/>
          <w:sz w:val="16"/>
          <w:lang w:val="en-US"/>
        </w:rPr>
      </w:pPr>
    </w:p>
    <w:p w14:paraId="1361B802" w14:textId="77777777" w:rsidR="00214332" w:rsidRPr="00EA6C7A" w:rsidRDefault="0096418F" w:rsidP="00077D21">
      <w:pPr>
        <w:pStyle w:val="PrrafodeSentencia"/>
        <w:rPr>
          <w:b/>
          <w:lang w:val="en-US"/>
        </w:rPr>
      </w:pPr>
      <w:r w:rsidRPr="00EA6C7A">
        <w:rPr>
          <w:lang w:val="en-US"/>
        </w:rPr>
        <w:t xml:space="preserve">The </w:t>
      </w:r>
      <w:r w:rsidRPr="00EA6C7A">
        <w:rPr>
          <w:b/>
          <w:bCs/>
          <w:i/>
          <w:iCs/>
          <w:lang w:val="en-US"/>
        </w:rPr>
        <w:t>Commission</w:t>
      </w:r>
      <w:r w:rsidR="00214332" w:rsidRPr="00EA6C7A">
        <w:rPr>
          <w:lang w:val="en-US"/>
        </w:rPr>
        <w:t xml:space="preserve"> </w:t>
      </w:r>
      <w:r w:rsidR="006E6042" w:rsidRPr="00EA6C7A">
        <w:rPr>
          <w:lang w:val="en-US"/>
        </w:rPr>
        <w:t>indicated</w:t>
      </w:r>
      <w:r w:rsidR="00711077" w:rsidRPr="00EA6C7A">
        <w:rPr>
          <w:lang w:val="en-US"/>
        </w:rPr>
        <w:t xml:space="preserve"> that </w:t>
      </w:r>
      <w:r w:rsidR="002F3848" w:rsidRPr="00EA6C7A">
        <w:rPr>
          <w:lang w:val="en-US"/>
        </w:rPr>
        <w:t>the State</w:t>
      </w:r>
      <w:r w:rsidR="00711077" w:rsidRPr="00EA6C7A">
        <w:rPr>
          <w:lang w:val="en-US"/>
        </w:rPr>
        <w:t xml:space="preserve"> had failed to comply with its positive obligation to avoid danger to</w:t>
      </w:r>
      <w:r w:rsidR="006E6042" w:rsidRPr="00EA6C7A">
        <w:rPr>
          <w:rFonts w:eastAsia="Calibri"/>
          <w:lang w:val="en-US"/>
        </w:rPr>
        <w:t xml:space="preserve"> Claudina Isabel Velásquez Paiz</w:t>
      </w:r>
      <w:r w:rsidR="006E6042" w:rsidRPr="00EA6C7A">
        <w:rPr>
          <w:lang w:val="en-US"/>
        </w:rPr>
        <w:t>,</w:t>
      </w:r>
      <w:r w:rsidR="00711077" w:rsidRPr="00EA6C7A">
        <w:rPr>
          <w:lang w:val="en-US"/>
        </w:rPr>
        <w:t xml:space="preserve"> and </w:t>
      </w:r>
      <w:r w:rsidR="006E6042" w:rsidRPr="00EA6C7A">
        <w:rPr>
          <w:lang w:val="en-US"/>
        </w:rPr>
        <w:t xml:space="preserve">to </w:t>
      </w:r>
      <w:r w:rsidR="00711077" w:rsidRPr="00EA6C7A">
        <w:rPr>
          <w:lang w:val="en-US"/>
        </w:rPr>
        <w:t xml:space="preserve">ensure </w:t>
      </w:r>
      <w:r w:rsidR="006E6042" w:rsidRPr="00EA6C7A">
        <w:rPr>
          <w:lang w:val="en-US"/>
        </w:rPr>
        <w:t>her</w:t>
      </w:r>
      <w:r w:rsidR="00214332" w:rsidRPr="00EA6C7A">
        <w:rPr>
          <w:lang w:val="en-US"/>
        </w:rPr>
        <w:t xml:space="preserve"> </w:t>
      </w:r>
      <w:r w:rsidR="00711077" w:rsidRPr="00EA6C7A">
        <w:rPr>
          <w:lang w:val="en-US"/>
        </w:rPr>
        <w:t xml:space="preserve">life </w:t>
      </w:r>
      <w:r w:rsidR="004C1E19" w:rsidRPr="00EA6C7A">
        <w:rPr>
          <w:lang w:val="en-US"/>
        </w:rPr>
        <w:t>and personal</w:t>
      </w:r>
      <w:r w:rsidR="00515C34" w:rsidRPr="00EA6C7A">
        <w:rPr>
          <w:lang w:val="en-US"/>
        </w:rPr>
        <w:t xml:space="preserve"> integrity</w:t>
      </w:r>
      <w:r w:rsidR="00214332" w:rsidRPr="00EA6C7A">
        <w:rPr>
          <w:rFonts w:eastAsia="Calibri"/>
          <w:lang w:val="en-US"/>
        </w:rPr>
        <w:t xml:space="preserve">, </w:t>
      </w:r>
      <w:r w:rsidR="00711077" w:rsidRPr="00EA6C7A">
        <w:rPr>
          <w:rFonts w:eastAsia="Calibri"/>
          <w:lang w:val="en-US"/>
        </w:rPr>
        <w:t>taking into account that, in 2005, it was aware of an increase in the violence against girls and women in the country and, consequently, of a real and imm</w:t>
      </w:r>
      <w:r w:rsidR="006E6042" w:rsidRPr="00EA6C7A">
        <w:rPr>
          <w:rFonts w:eastAsia="Calibri"/>
          <w:lang w:val="en-US"/>
        </w:rPr>
        <w:t>inent</w:t>
      </w:r>
      <w:r w:rsidR="00711077" w:rsidRPr="00EA6C7A">
        <w:rPr>
          <w:rFonts w:eastAsia="Calibri"/>
          <w:lang w:val="en-US"/>
        </w:rPr>
        <w:t xml:space="preserve"> risk of a possible sexual assault and murder. It argued that, following the first attempt by the parents of the </w:t>
      </w:r>
      <w:r w:rsidR="00711077" w:rsidRPr="00EA6C7A">
        <w:rPr>
          <w:lang w:val="en-US"/>
        </w:rPr>
        <w:t>presumed victim</w:t>
      </w:r>
      <w:r w:rsidR="006E6042" w:rsidRPr="00EA6C7A">
        <w:rPr>
          <w:rFonts w:eastAsia="Calibri"/>
          <w:lang w:val="en-US"/>
        </w:rPr>
        <w:t xml:space="preserve"> to report her disappearance</w:t>
      </w:r>
      <w:r w:rsidR="00711077" w:rsidRPr="00EA6C7A">
        <w:rPr>
          <w:lang w:val="en-US"/>
        </w:rPr>
        <w:t xml:space="preserve">, there </w:t>
      </w:r>
      <w:r w:rsidR="006E6042" w:rsidRPr="00EA6C7A">
        <w:rPr>
          <w:lang w:val="en-US"/>
        </w:rPr>
        <w:t>wa</w:t>
      </w:r>
      <w:r w:rsidR="00711077" w:rsidRPr="00EA6C7A">
        <w:rPr>
          <w:lang w:val="en-US"/>
        </w:rPr>
        <w:t xml:space="preserve">s no indication that the State </w:t>
      </w:r>
      <w:r w:rsidR="006E6042" w:rsidRPr="00EA6C7A">
        <w:rPr>
          <w:lang w:val="en-US"/>
        </w:rPr>
        <w:t xml:space="preserve">had </w:t>
      </w:r>
      <w:r w:rsidR="00711077" w:rsidRPr="00EA6C7A">
        <w:rPr>
          <w:lang w:val="en-US"/>
        </w:rPr>
        <w:t xml:space="preserve">adopted immediate and effective measures to find her alive. Indeed, the police agents not only failed to conduct a diligent investigation, but </w:t>
      </w:r>
      <w:r w:rsidR="006E6042" w:rsidRPr="00EA6C7A">
        <w:rPr>
          <w:lang w:val="en-US"/>
        </w:rPr>
        <w:t>even</w:t>
      </w:r>
      <w:r w:rsidR="00711077" w:rsidRPr="00EA6C7A">
        <w:rPr>
          <w:lang w:val="en-US"/>
        </w:rPr>
        <w:t xml:space="preserve"> refused to receive the report during the initial hours, which </w:t>
      </w:r>
      <w:r w:rsidR="002B325A" w:rsidRPr="00EA6C7A">
        <w:rPr>
          <w:lang w:val="en-US"/>
        </w:rPr>
        <w:t>we</w:t>
      </w:r>
      <w:r w:rsidR="00711077" w:rsidRPr="00EA6C7A">
        <w:rPr>
          <w:lang w:val="en-US"/>
        </w:rPr>
        <w:t xml:space="preserve">re of vital importance in the case of a young woman reported </w:t>
      </w:r>
      <w:r w:rsidR="002B325A" w:rsidRPr="00EA6C7A">
        <w:rPr>
          <w:lang w:val="en-US"/>
        </w:rPr>
        <w:t>missing</w:t>
      </w:r>
      <w:r w:rsidR="00711077" w:rsidRPr="00EA6C7A">
        <w:rPr>
          <w:lang w:val="en-US"/>
        </w:rPr>
        <w:t>.</w:t>
      </w:r>
      <w:r w:rsidR="002B325A" w:rsidRPr="00EA6C7A">
        <w:rPr>
          <w:lang w:val="en-US"/>
        </w:rPr>
        <w:t xml:space="preserve"> Furthermore, they did not take the report or the parent’s concern about the disappearance</w:t>
      </w:r>
      <w:r w:rsidR="006E6042" w:rsidRPr="00EA6C7A">
        <w:rPr>
          <w:lang w:val="en-US"/>
        </w:rPr>
        <w:t xml:space="preserve"> seriously</w:t>
      </w:r>
      <w:r w:rsidR="002B325A" w:rsidRPr="00EA6C7A">
        <w:rPr>
          <w:lang w:val="en-US"/>
        </w:rPr>
        <w:t>, despite th</w:t>
      </w:r>
      <w:r w:rsidR="006E6042" w:rsidRPr="00EA6C7A">
        <w:rPr>
          <w:lang w:val="en-US"/>
        </w:rPr>
        <w:t>at</w:t>
      </w:r>
      <w:r w:rsidR="002B325A" w:rsidRPr="00EA6C7A">
        <w:rPr>
          <w:lang w:val="en-US"/>
        </w:rPr>
        <w:t xml:space="preserve"> known context of violence against women and girls. In this case, </w:t>
      </w:r>
      <w:r w:rsidR="002B325A" w:rsidRPr="00EA6C7A">
        <w:rPr>
          <w:rFonts w:eastAsia="Calibri"/>
          <w:lang w:val="en-US"/>
        </w:rPr>
        <w:t>Claudina Velásquez wa</w:t>
      </w:r>
      <w:r w:rsidR="006E6042" w:rsidRPr="00EA6C7A">
        <w:rPr>
          <w:rFonts w:eastAsia="Calibri"/>
          <w:lang w:val="en-US"/>
        </w:rPr>
        <w:t xml:space="preserve">s </w:t>
      </w:r>
      <w:r w:rsidR="002B325A" w:rsidRPr="00EA6C7A">
        <w:rPr>
          <w:rFonts w:eastAsia="Calibri"/>
          <w:lang w:val="en-US"/>
        </w:rPr>
        <w:t>found dead with indications of violence and other ill-treatment, including sexual violence. Thus, the State’s lack of prevention had an impact on her</w:t>
      </w:r>
      <w:r w:rsidR="002B325A" w:rsidRPr="00EA6C7A">
        <w:rPr>
          <w:b/>
          <w:lang w:val="en-US"/>
        </w:rPr>
        <w:t xml:space="preserve"> </w:t>
      </w:r>
      <w:r w:rsidR="00515C34" w:rsidRPr="00EA6C7A">
        <w:rPr>
          <w:rFonts w:eastAsia="Calibri"/>
          <w:lang w:val="en-US"/>
        </w:rPr>
        <w:t>personal integrity</w:t>
      </w:r>
      <w:r w:rsidR="00214332" w:rsidRPr="00EA6C7A">
        <w:rPr>
          <w:rFonts w:eastAsia="Calibri"/>
          <w:lang w:val="en-US"/>
        </w:rPr>
        <w:t xml:space="preserve">. </w:t>
      </w:r>
      <w:r w:rsidR="008C4FF3" w:rsidRPr="00EA6C7A">
        <w:rPr>
          <w:lang w:val="en-US"/>
        </w:rPr>
        <w:t>Accordingly</w:t>
      </w:r>
      <w:r w:rsidR="002B325A" w:rsidRPr="00EA6C7A">
        <w:rPr>
          <w:lang w:val="en-US"/>
        </w:rPr>
        <w:t>,</w:t>
      </w:r>
      <w:r w:rsidR="00214332" w:rsidRPr="00EA6C7A">
        <w:rPr>
          <w:lang w:val="en-US"/>
        </w:rPr>
        <w:t xml:space="preserve"> </w:t>
      </w:r>
      <w:r w:rsidRPr="00EA6C7A">
        <w:rPr>
          <w:lang w:val="en-US"/>
        </w:rPr>
        <w:t>the Commission</w:t>
      </w:r>
      <w:r w:rsidR="00214332" w:rsidRPr="00EA6C7A">
        <w:rPr>
          <w:lang w:val="en-US"/>
        </w:rPr>
        <w:t xml:space="preserve"> conclu</w:t>
      </w:r>
      <w:r w:rsidR="002B325A" w:rsidRPr="00EA6C7A">
        <w:rPr>
          <w:lang w:val="en-US"/>
        </w:rPr>
        <w:t>ded that</w:t>
      </w:r>
      <w:r w:rsidR="00214332" w:rsidRPr="00EA6C7A">
        <w:rPr>
          <w:lang w:val="en-US"/>
        </w:rPr>
        <w:t xml:space="preserve"> </w:t>
      </w:r>
      <w:r w:rsidR="002F3848" w:rsidRPr="00EA6C7A">
        <w:rPr>
          <w:lang w:val="en-US"/>
        </w:rPr>
        <w:t>the State</w:t>
      </w:r>
      <w:r w:rsidR="00214332" w:rsidRPr="00EA6C7A">
        <w:rPr>
          <w:lang w:val="en-US"/>
        </w:rPr>
        <w:t xml:space="preserve"> </w:t>
      </w:r>
      <w:r w:rsidR="002B325A" w:rsidRPr="00EA6C7A">
        <w:rPr>
          <w:lang w:val="en-US"/>
        </w:rPr>
        <w:t>had violated</w:t>
      </w:r>
      <w:r w:rsidR="00214332" w:rsidRPr="00EA6C7A">
        <w:rPr>
          <w:lang w:val="en-US"/>
        </w:rPr>
        <w:t xml:space="preserve"> “</w:t>
      </w:r>
      <w:r w:rsidRPr="00EA6C7A">
        <w:rPr>
          <w:lang w:val="en-US"/>
        </w:rPr>
        <w:t>Article</w:t>
      </w:r>
      <w:r w:rsidR="00214332" w:rsidRPr="00EA6C7A">
        <w:rPr>
          <w:lang w:val="en-US"/>
        </w:rPr>
        <w:t xml:space="preserve"> 4</w:t>
      </w:r>
      <w:r w:rsidR="002B325A" w:rsidRPr="00EA6C7A">
        <w:rPr>
          <w:lang w:val="en-US"/>
        </w:rPr>
        <w:t>(1)</w:t>
      </w:r>
      <w:r w:rsidRPr="00EA6C7A">
        <w:rPr>
          <w:lang w:val="en-US"/>
        </w:rPr>
        <w:t xml:space="preserve"> of the American Convention</w:t>
      </w:r>
      <w:r w:rsidR="00214332" w:rsidRPr="00EA6C7A">
        <w:rPr>
          <w:lang w:val="en-US"/>
        </w:rPr>
        <w:t xml:space="preserve"> </w:t>
      </w:r>
      <w:r w:rsidR="002B325A" w:rsidRPr="00EA6C7A">
        <w:rPr>
          <w:lang w:val="en-US"/>
        </w:rPr>
        <w:t>in relation to Article</w:t>
      </w:r>
      <w:r w:rsidR="00515C34" w:rsidRPr="00EA6C7A">
        <w:rPr>
          <w:lang w:val="en-US"/>
        </w:rPr>
        <w:t xml:space="preserve"> 1(1)</w:t>
      </w:r>
      <w:r w:rsidR="002B325A" w:rsidRPr="00EA6C7A">
        <w:rPr>
          <w:lang w:val="en-US"/>
        </w:rPr>
        <w:t xml:space="preserve"> of the Convention</w:t>
      </w:r>
      <w:r w:rsidR="00214332" w:rsidRPr="00EA6C7A">
        <w:rPr>
          <w:lang w:val="en-US"/>
        </w:rPr>
        <w:t xml:space="preserve">, </w:t>
      </w:r>
      <w:r w:rsidRPr="00EA6C7A">
        <w:rPr>
          <w:lang w:val="en-US"/>
        </w:rPr>
        <w:t>Article</w:t>
      </w:r>
      <w:r w:rsidR="00214332" w:rsidRPr="00EA6C7A">
        <w:rPr>
          <w:lang w:val="en-US"/>
        </w:rPr>
        <w:t xml:space="preserve"> 5</w:t>
      </w:r>
      <w:r w:rsidRPr="00EA6C7A">
        <w:rPr>
          <w:lang w:val="en-US"/>
        </w:rPr>
        <w:t xml:space="preserve"> of the American Convention</w:t>
      </w:r>
      <w:r w:rsidR="00214332" w:rsidRPr="00EA6C7A">
        <w:rPr>
          <w:lang w:val="en-US"/>
        </w:rPr>
        <w:t xml:space="preserve"> </w:t>
      </w:r>
      <w:r w:rsidR="002B325A" w:rsidRPr="00EA6C7A">
        <w:rPr>
          <w:lang w:val="en-US"/>
        </w:rPr>
        <w:t>in relation to Article</w:t>
      </w:r>
      <w:r w:rsidR="00515C34" w:rsidRPr="00EA6C7A">
        <w:rPr>
          <w:lang w:val="en-US"/>
        </w:rPr>
        <w:t xml:space="preserve"> 1(1)</w:t>
      </w:r>
      <w:r w:rsidR="002B325A" w:rsidRPr="00EA6C7A">
        <w:rPr>
          <w:lang w:val="en-US"/>
        </w:rPr>
        <w:t xml:space="preserve"> of the Convention,</w:t>
      </w:r>
      <w:r w:rsidR="00D948A1" w:rsidRPr="00EA6C7A">
        <w:rPr>
          <w:lang w:val="en-US"/>
        </w:rPr>
        <w:t xml:space="preserve"> and </w:t>
      </w:r>
      <w:r w:rsidRPr="00EA6C7A">
        <w:rPr>
          <w:lang w:val="en-US"/>
        </w:rPr>
        <w:t>Article</w:t>
      </w:r>
      <w:r w:rsidR="00214332" w:rsidRPr="00EA6C7A">
        <w:rPr>
          <w:lang w:val="en-US"/>
        </w:rPr>
        <w:t xml:space="preserve"> 7</w:t>
      </w:r>
      <w:r w:rsidRPr="00EA6C7A">
        <w:rPr>
          <w:lang w:val="en-US"/>
        </w:rPr>
        <w:t xml:space="preserve"> of the </w:t>
      </w:r>
      <w:r w:rsidR="004554C7" w:rsidRPr="00EA6C7A">
        <w:rPr>
          <w:lang w:val="en-US"/>
        </w:rPr>
        <w:t>Convention of Belém</w:t>
      </w:r>
      <w:r w:rsidR="00214332" w:rsidRPr="00EA6C7A">
        <w:rPr>
          <w:lang w:val="en-US"/>
        </w:rPr>
        <w:t xml:space="preserve"> do Pará</w:t>
      </w:r>
      <w:r w:rsidR="002B325A" w:rsidRPr="00EA6C7A">
        <w:rPr>
          <w:lang w:val="en-US"/>
        </w:rPr>
        <w:t>.</w:t>
      </w:r>
      <w:r w:rsidR="00214332" w:rsidRPr="00EA6C7A">
        <w:rPr>
          <w:lang w:val="en-US"/>
        </w:rPr>
        <w:t xml:space="preserve">” </w:t>
      </w:r>
    </w:p>
    <w:p w14:paraId="26DCD8BB" w14:textId="77777777" w:rsidR="00214332" w:rsidRPr="00EA6C7A" w:rsidRDefault="00214332" w:rsidP="00214332">
      <w:pPr>
        <w:pStyle w:val="ColorfulList-Accent11"/>
        <w:autoSpaceDE w:val="0"/>
        <w:autoSpaceDN w:val="0"/>
        <w:adjustRightInd w:val="0"/>
        <w:spacing w:after="0" w:line="240" w:lineRule="auto"/>
        <w:ind w:left="0"/>
        <w:contextualSpacing w:val="0"/>
        <w:jc w:val="both"/>
        <w:rPr>
          <w:rFonts w:ascii="Verdana" w:hAnsi="Verdana" w:cs="Arial"/>
          <w:b/>
          <w:lang w:val="en-US"/>
        </w:rPr>
      </w:pPr>
    </w:p>
    <w:p w14:paraId="017333A9" w14:textId="77777777" w:rsidR="00214332" w:rsidRPr="00EA6C7A" w:rsidRDefault="00F422E2" w:rsidP="00077D21">
      <w:pPr>
        <w:pStyle w:val="PrrafodeSentencia"/>
        <w:rPr>
          <w:lang w:val="en-US"/>
        </w:rPr>
      </w:pPr>
      <w:r w:rsidRPr="00EA6C7A">
        <w:rPr>
          <w:lang w:val="en-US"/>
        </w:rPr>
        <w:t>Furthermore</w:t>
      </w:r>
      <w:r w:rsidR="00214332" w:rsidRPr="00EA6C7A">
        <w:rPr>
          <w:lang w:val="en-US"/>
        </w:rPr>
        <w:t>, dur</w:t>
      </w:r>
      <w:r w:rsidR="002B325A" w:rsidRPr="00EA6C7A">
        <w:rPr>
          <w:lang w:val="en-US"/>
        </w:rPr>
        <w:t xml:space="preserve">ing the hearing and in response to the arguments of the State </w:t>
      </w:r>
      <w:r w:rsidR="00214332" w:rsidRPr="00EA6C7A">
        <w:rPr>
          <w:lang w:val="en-US"/>
        </w:rPr>
        <w:t>(</w:t>
      </w:r>
      <w:r w:rsidR="00214332" w:rsidRPr="00EA6C7A">
        <w:rPr>
          <w:i/>
          <w:lang w:val="en-US"/>
        </w:rPr>
        <w:t xml:space="preserve">infra </w:t>
      </w:r>
      <w:r w:rsidR="002F3848" w:rsidRPr="00EA6C7A">
        <w:rPr>
          <w:lang w:val="en-US"/>
        </w:rPr>
        <w:t>para.</w:t>
      </w:r>
      <w:r w:rsidR="00214332" w:rsidRPr="00EA6C7A">
        <w:rPr>
          <w:lang w:val="en-US"/>
        </w:rPr>
        <w:t xml:space="preserve"> 104), </w:t>
      </w:r>
      <w:r w:rsidR="0096418F" w:rsidRPr="00EA6C7A">
        <w:rPr>
          <w:lang w:val="en-US"/>
        </w:rPr>
        <w:t>the Commission</w:t>
      </w:r>
      <w:r w:rsidR="00214332" w:rsidRPr="00EA6C7A">
        <w:rPr>
          <w:lang w:val="en-US"/>
        </w:rPr>
        <w:t xml:space="preserve"> </w:t>
      </w:r>
      <w:r w:rsidR="002B325A" w:rsidRPr="00EA6C7A">
        <w:rPr>
          <w:lang w:val="en-US"/>
        </w:rPr>
        <w:t>indicated that “the expres</w:t>
      </w:r>
      <w:r w:rsidR="001F7715" w:rsidRPr="00EA6C7A">
        <w:rPr>
          <w:lang w:val="en-US"/>
        </w:rPr>
        <w:t>sio</w:t>
      </w:r>
      <w:r w:rsidR="002B325A" w:rsidRPr="00EA6C7A">
        <w:rPr>
          <w:lang w:val="en-US"/>
        </w:rPr>
        <w:t>n ‘reasonable possibilit</w:t>
      </w:r>
      <w:r w:rsidRPr="00EA6C7A">
        <w:rPr>
          <w:lang w:val="en-US"/>
        </w:rPr>
        <w:t>y</w:t>
      </w:r>
      <w:r w:rsidR="002B325A" w:rsidRPr="00EA6C7A">
        <w:rPr>
          <w:lang w:val="en-US"/>
        </w:rPr>
        <w:t xml:space="preserve"> of avoiding the</w:t>
      </w:r>
      <w:r w:rsidRPr="00EA6C7A">
        <w:rPr>
          <w:lang w:val="en-US"/>
        </w:rPr>
        <w:t xml:space="preserve"> </w:t>
      </w:r>
      <w:r w:rsidR="00214332" w:rsidRPr="00EA6C7A">
        <w:rPr>
          <w:lang w:val="en-US"/>
        </w:rPr>
        <w:t>consum</w:t>
      </w:r>
      <w:r w:rsidR="00BD2AD6" w:rsidRPr="00EA6C7A">
        <w:rPr>
          <w:lang w:val="en-US"/>
        </w:rPr>
        <w:t>mation of the risk</w:t>
      </w:r>
      <w:r w:rsidR="00214332" w:rsidRPr="00EA6C7A">
        <w:rPr>
          <w:lang w:val="en-US"/>
        </w:rPr>
        <w:t>,</w:t>
      </w:r>
      <w:r w:rsidRPr="00EA6C7A">
        <w:rPr>
          <w:lang w:val="en-US"/>
        </w:rPr>
        <w:t>’</w:t>
      </w:r>
      <w:r w:rsidR="00214332" w:rsidRPr="00EA6C7A">
        <w:rPr>
          <w:lang w:val="en-US"/>
        </w:rPr>
        <w:t xml:space="preserve"> </w:t>
      </w:r>
      <w:r w:rsidR="001F7715" w:rsidRPr="00EA6C7A">
        <w:rPr>
          <w:lang w:val="en-US"/>
        </w:rPr>
        <w:t>according to the</w:t>
      </w:r>
      <w:r w:rsidR="00BD2AD6" w:rsidRPr="00EA6C7A">
        <w:rPr>
          <w:lang w:val="en-US"/>
        </w:rPr>
        <w:t xml:space="preserve"> original</w:t>
      </w:r>
      <w:r w:rsidR="001F7715" w:rsidRPr="00EA6C7A">
        <w:rPr>
          <w:lang w:val="en-US"/>
        </w:rPr>
        <w:t xml:space="preserve"> case law</w:t>
      </w:r>
      <w:r w:rsidR="0096418F" w:rsidRPr="00EA6C7A">
        <w:rPr>
          <w:lang w:val="en-US"/>
        </w:rPr>
        <w:t xml:space="preserve"> of the </w:t>
      </w:r>
      <w:r w:rsidR="001F7715" w:rsidRPr="00EA6C7A">
        <w:rPr>
          <w:lang w:val="en-US"/>
        </w:rPr>
        <w:t xml:space="preserve">European </w:t>
      </w:r>
      <w:r w:rsidR="0096418F" w:rsidRPr="00EA6C7A">
        <w:rPr>
          <w:lang w:val="en-US"/>
        </w:rPr>
        <w:t>Court</w:t>
      </w:r>
      <w:r w:rsidR="00214332" w:rsidRPr="00EA6C7A">
        <w:rPr>
          <w:lang w:val="en-US"/>
        </w:rPr>
        <w:t xml:space="preserve"> </w:t>
      </w:r>
      <w:r w:rsidR="001F7715" w:rsidRPr="00EA6C7A">
        <w:rPr>
          <w:lang w:val="en-US"/>
        </w:rPr>
        <w:t>in the case of</w:t>
      </w:r>
      <w:r w:rsidR="00214332" w:rsidRPr="00EA6C7A">
        <w:rPr>
          <w:lang w:val="en-US"/>
        </w:rPr>
        <w:t xml:space="preserve"> </w:t>
      </w:r>
      <w:r w:rsidR="00214332" w:rsidRPr="00EA6C7A">
        <w:rPr>
          <w:i/>
          <w:lang w:val="en-US"/>
        </w:rPr>
        <w:t xml:space="preserve">Osman v. </w:t>
      </w:r>
      <w:r w:rsidR="0092568A" w:rsidRPr="00EA6C7A">
        <w:rPr>
          <w:i/>
          <w:lang w:val="en-US"/>
        </w:rPr>
        <w:t xml:space="preserve">The </w:t>
      </w:r>
      <w:r w:rsidR="00214332" w:rsidRPr="00EA6C7A">
        <w:rPr>
          <w:i/>
          <w:lang w:val="en-US"/>
        </w:rPr>
        <w:t>United Kingdom</w:t>
      </w:r>
      <w:r w:rsidRPr="00EA6C7A">
        <w:rPr>
          <w:lang w:val="en-US"/>
        </w:rPr>
        <w:t xml:space="preserve">, </w:t>
      </w:r>
      <w:r w:rsidR="0092568A" w:rsidRPr="00EA6C7A">
        <w:rPr>
          <w:lang w:val="en-US"/>
        </w:rPr>
        <w:t>meant verifying whether the authorities</w:t>
      </w:r>
      <w:r w:rsidR="00214332" w:rsidRPr="00EA6C7A">
        <w:rPr>
          <w:lang w:val="en-US"/>
        </w:rPr>
        <w:t xml:space="preserve"> […] </w:t>
      </w:r>
      <w:r w:rsidR="0092568A" w:rsidRPr="00EA6C7A">
        <w:rPr>
          <w:lang w:val="en-US"/>
        </w:rPr>
        <w:t>had taken all the measures within</w:t>
      </w:r>
      <w:r w:rsidRPr="00EA6C7A">
        <w:rPr>
          <w:lang w:val="en-US"/>
        </w:rPr>
        <w:t xml:space="preserve"> the scope of</w:t>
      </w:r>
      <w:r w:rsidR="0092568A" w:rsidRPr="00EA6C7A">
        <w:rPr>
          <w:lang w:val="en-US"/>
        </w:rPr>
        <w:t xml:space="preserve"> their power</w:t>
      </w:r>
      <w:r w:rsidRPr="00EA6C7A">
        <w:rPr>
          <w:lang w:val="en-US"/>
        </w:rPr>
        <w:t>s which, judged reasonably,</w:t>
      </w:r>
      <w:r w:rsidR="0092568A" w:rsidRPr="00EA6C7A">
        <w:rPr>
          <w:lang w:val="en-US"/>
        </w:rPr>
        <w:t xml:space="preserve"> </w:t>
      </w:r>
      <w:r w:rsidRPr="00EA6C7A">
        <w:rPr>
          <w:lang w:val="en-US"/>
        </w:rPr>
        <w:t xml:space="preserve">might have been </w:t>
      </w:r>
      <w:r w:rsidR="0092568A" w:rsidRPr="00EA6C7A">
        <w:rPr>
          <w:lang w:val="en-US"/>
        </w:rPr>
        <w:t xml:space="preserve">expected </w:t>
      </w:r>
      <w:r w:rsidR="0092568A" w:rsidRPr="00EA6C7A">
        <w:rPr>
          <w:lang w:val="en-US"/>
        </w:rPr>
        <w:lastRenderedPageBreak/>
        <w:t xml:space="preserve">to avoid this risk. </w:t>
      </w:r>
      <w:r w:rsidR="00214332" w:rsidRPr="00EA6C7A">
        <w:rPr>
          <w:lang w:val="en-US"/>
        </w:rPr>
        <w:t>[…] [</w:t>
      </w:r>
      <w:r w:rsidR="00C559DD" w:rsidRPr="00EA6C7A">
        <w:rPr>
          <w:lang w:val="en-US"/>
        </w:rPr>
        <w:t>I</w:t>
      </w:r>
      <w:r w:rsidR="00214332" w:rsidRPr="00EA6C7A">
        <w:rPr>
          <w:lang w:val="en-US"/>
        </w:rPr>
        <w:t>]</w:t>
      </w:r>
      <w:r w:rsidR="00C559DD" w:rsidRPr="00EA6C7A">
        <w:rPr>
          <w:lang w:val="en-US"/>
        </w:rPr>
        <w:t xml:space="preserve">n this case, it is not necessary to determine whether or not Claudina was alive when the authorities became aware of the situation of </w:t>
      </w:r>
      <w:r w:rsidR="008A0082" w:rsidRPr="00EA6C7A">
        <w:rPr>
          <w:lang w:val="en-US"/>
        </w:rPr>
        <w:t>risk</w:t>
      </w:r>
      <w:r w:rsidR="00C559DD" w:rsidRPr="00EA6C7A">
        <w:rPr>
          <w:lang w:val="en-US"/>
        </w:rPr>
        <w:t xml:space="preserve"> and whether that situation would have an impact on the possibilit</w:t>
      </w:r>
      <w:r w:rsidR="008A0082" w:rsidRPr="00EA6C7A">
        <w:rPr>
          <w:lang w:val="en-US"/>
        </w:rPr>
        <w:t>y</w:t>
      </w:r>
      <w:r w:rsidR="00C559DD" w:rsidRPr="00EA6C7A">
        <w:rPr>
          <w:lang w:val="en-US"/>
        </w:rPr>
        <w:t xml:space="preserve"> of finding her. What is necessary, is to determine whether or not the authorities who were informed </w:t>
      </w:r>
      <w:r w:rsidR="008A0082" w:rsidRPr="00EA6C7A">
        <w:rPr>
          <w:lang w:val="en-US"/>
        </w:rPr>
        <w:t>that</w:t>
      </w:r>
      <w:r w:rsidR="00C559DD" w:rsidRPr="00EA6C7A">
        <w:rPr>
          <w:lang w:val="en-US"/>
        </w:rPr>
        <w:t xml:space="preserve"> Claudina</w:t>
      </w:r>
      <w:r w:rsidR="008A0082" w:rsidRPr="00EA6C7A">
        <w:rPr>
          <w:lang w:val="en-US"/>
        </w:rPr>
        <w:t xml:space="preserve"> was missing </w:t>
      </w:r>
      <w:r w:rsidR="00C559DD" w:rsidRPr="00EA6C7A">
        <w:rPr>
          <w:lang w:val="en-US"/>
        </w:rPr>
        <w:t xml:space="preserve">took the measures </w:t>
      </w:r>
      <w:r w:rsidR="008A0082" w:rsidRPr="00EA6C7A">
        <w:rPr>
          <w:lang w:val="en-US"/>
        </w:rPr>
        <w:t>within the scope of their powers</w:t>
      </w:r>
      <w:r w:rsidR="00C559DD" w:rsidRPr="00EA6C7A">
        <w:rPr>
          <w:lang w:val="en-US"/>
        </w:rPr>
        <w:t xml:space="preserve"> that were or could be expected</w:t>
      </w:r>
      <w:r w:rsidR="00214332" w:rsidRPr="00EA6C7A">
        <w:rPr>
          <w:lang w:val="en-US"/>
        </w:rPr>
        <w:t xml:space="preserve"> […</w:t>
      </w:r>
      <w:r w:rsidR="00C559DD" w:rsidRPr="00EA6C7A">
        <w:rPr>
          <w:lang w:val="en-US"/>
        </w:rPr>
        <w:t>in order</w:t>
      </w:r>
      <w:r w:rsidR="00214332" w:rsidRPr="00EA6C7A">
        <w:rPr>
          <w:lang w:val="en-US"/>
        </w:rPr>
        <w:t>]</w:t>
      </w:r>
      <w:r w:rsidR="00C559DD" w:rsidRPr="00EA6C7A">
        <w:rPr>
          <w:lang w:val="en-US"/>
        </w:rPr>
        <w:t xml:space="preserve"> to avoid that </w:t>
      </w:r>
      <w:r w:rsidR="008A0082" w:rsidRPr="00EA6C7A">
        <w:rPr>
          <w:lang w:val="en-US"/>
        </w:rPr>
        <w:t>risk</w:t>
      </w:r>
      <w:r w:rsidR="00C559DD" w:rsidRPr="00EA6C7A">
        <w:rPr>
          <w:lang w:val="en-US"/>
        </w:rPr>
        <w:t xml:space="preserve">.” </w:t>
      </w:r>
      <w:r w:rsidR="008A0082" w:rsidRPr="00EA6C7A">
        <w:rPr>
          <w:lang w:val="en-US"/>
        </w:rPr>
        <w:t>Moreover</w:t>
      </w:r>
      <w:r w:rsidR="00C559DD" w:rsidRPr="00EA6C7A">
        <w:rPr>
          <w:lang w:val="en-US"/>
        </w:rPr>
        <w:t xml:space="preserve">, it stressed that the State had </w:t>
      </w:r>
      <w:r w:rsidR="008A0082" w:rsidRPr="00EA6C7A">
        <w:rPr>
          <w:lang w:val="en-US"/>
        </w:rPr>
        <w:t xml:space="preserve">had </w:t>
      </w:r>
      <w:r w:rsidR="00C559DD" w:rsidRPr="00EA6C7A">
        <w:rPr>
          <w:lang w:val="en-US"/>
        </w:rPr>
        <w:t xml:space="preserve">at least one hour to look for </w:t>
      </w:r>
      <w:r w:rsidR="00214332" w:rsidRPr="00EA6C7A">
        <w:rPr>
          <w:lang w:val="en-US"/>
        </w:rPr>
        <w:t>Claudina Velásquez</w:t>
      </w:r>
      <w:r w:rsidR="00D948A1" w:rsidRPr="00EA6C7A">
        <w:rPr>
          <w:lang w:val="en-US"/>
        </w:rPr>
        <w:t xml:space="preserve"> and</w:t>
      </w:r>
      <w:r w:rsidR="00C559DD" w:rsidRPr="00EA6C7A">
        <w:rPr>
          <w:lang w:val="en-US"/>
        </w:rPr>
        <w:t>,</w:t>
      </w:r>
      <w:r w:rsidR="00D948A1" w:rsidRPr="00EA6C7A">
        <w:rPr>
          <w:lang w:val="en-US"/>
        </w:rPr>
        <w:t xml:space="preserve"> </w:t>
      </w:r>
      <w:r w:rsidR="00214332" w:rsidRPr="00EA6C7A">
        <w:rPr>
          <w:lang w:val="en-US"/>
        </w:rPr>
        <w:t>“[</w:t>
      </w:r>
      <w:r w:rsidR="00C559DD" w:rsidRPr="00EA6C7A">
        <w:rPr>
          <w:lang w:val="en-US"/>
        </w:rPr>
        <w:t>i</w:t>
      </w:r>
      <w:r w:rsidR="00214332" w:rsidRPr="00EA6C7A">
        <w:rPr>
          <w:lang w:val="en-US"/>
        </w:rPr>
        <w:t xml:space="preserve">]n </w:t>
      </w:r>
      <w:r w:rsidR="00C559DD" w:rsidRPr="00EA6C7A">
        <w:rPr>
          <w:lang w:val="en-US"/>
        </w:rPr>
        <w:t xml:space="preserve">any case, the determination of the exact time of [her] death […] is an aspect </w:t>
      </w:r>
      <w:r w:rsidR="008A0082" w:rsidRPr="00EA6C7A">
        <w:rPr>
          <w:lang w:val="en-US"/>
        </w:rPr>
        <w:t>regarding</w:t>
      </w:r>
      <w:r w:rsidR="00C559DD" w:rsidRPr="00EA6C7A">
        <w:rPr>
          <w:lang w:val="en-US"/>
        </w:rPr>
        <w:t xml:space="preserve"> which the authorities </w:t>
      </w:r>
      <w:r w:rsidR="00B61C25" w:rsidRPr="00EA6C7A">
        <w:rPr>
          <w:lang w:val="en-US"/>
        </w:rPr>
        <w:t xml:space="preserve">incurred in delays and errors that </w:t>
      </w:r>
      <w:r w:rsidR="00753C56" w:rsidRPr="00EA6C7A">
        <w:rPr>
          <w:lang w:val="en-US"/>
        </w:rPr>
        <w:t>mean that it is still not</w:t>
      </w:r>
      <w:r w:rsidR="00B61C25" w:rsidRPr="00EA6C7A">
        <w:rPr>
          <w:lang w:val="en-US"/>
        </w:rPr>
        <w:t xml:space="preserve"> </w:t>
      </w:r>
      <w:r w:rsidR="00753C56" w:rsidRPr="00EA6C7A">
        <w:rPr>
          <w:lang w:val="en-US"/>
        </w:rPr>
        <w:t>known with certainty</w:t>
      </w:r>
      <w:r w:rsidR="00B61C25" w:rsidRPr="00EA6C7A">
        <w:rPr>
          <w:lang w:val="en-US"/>
        </w:rPr>
        <w:t>.</w:t>
      </w:r>
      <w:r w:rsidR="00214332" w:rsidRPr="00EA6C7A">
        <w:rPr>
          <w:lang w:val="en-US"/>
        </w:rPr>
        <w:t>”</w:t>
      </w:r>
      <w:r w:rsidR="00214332" w:rsidRPr="00EA6C7A">
        <w:rPr>
          <w:b/>
          <w:lang w:val="en-US"/>
        </w:rPr>
        <w:t xml:space="preserve"> </w:t>
      </w:r>
    </w:p>
    <w:p w14:paraId="3B9196F0" w14:textId="77777777" w:rsidR="00214332" w:rsidRPr="00EA6C7A" w:rsidRDefault="00214332" w:rsidP="00214332">
      <w:pPr>
        <w:pStyle w:val="ColorfulList-Accent11"/>
        <w:autoSpaceDE w:val="0"/>
        <w:autoSpaceDN w:val="0"/>
        <w:adjustRightInd w:val="0"/>
        <w:spacing w:after="0" w:line="240" w:lineRule="auto"/>
        <w:ind w:left="0"/>
        <w:contextualSpacing w:val="0"/>
        <w:jc w:val="both"/>
        <w:rPr>
          <w:rFonts w:ascii="Verdana" w:hAnsi="Verdana" w:cs="Univers"/>
          <w:lang w:val="en-US"/>
        </w:rPr>
      </w:pPr>
    </w:p>
    <w:p w14:paraId="5B584609" w14:textId="77777777" w:rsidR="00214332" w:rsidRPr="00EA6C7A" w:rsidRDefault="00E43A75" w:rsidP="00077D21">
      <w:pPr>
        <w:pStyle w:val="PrrafodeSentencia"/>
        <w:rPr>
          <w:rFonts w:cs="Arial"/>
          <w:b/>
          <w:lang w:val="en-US"/>
        </w:rPr>
      </w:pPr>
      <w:r w:rsidRPr="00EA6C7A">
        <w:rPr>
          <w:lang w:val="en-US"/>
        </w:rPr>
        <w:t xml:space="preserve">The </w:t>
      </w:r>
      <w:r w:rsidRPr="00EA6C7A">
        <w:rPr>
          <w:b/>
          <w:bCs/>
          <w:i/>
          <w:iCs/>
          <w:lang w:val="en-US"/>
        </w:rPr>
        <w:t>representatives</w:t>
      </w:r>
      <w:r w:rsidR="00214332" w:rsidRPr="00EA6C7A">
        <w:rPr>
          <w:b/>
          <w:i/>
          <w:lang w:val="en-US"/>
        </w:rPr>
        <w:t xml:space="preserve"> </w:t>
      </w:r>
      <w:r w:rsidR="00214332" w:rsidRPr="00EA6C7A">
        <w:rPr>
          <w:rFonts w:cs="Arial"/>
          <w:lang w:val="en-US"/>
        </w:rPr>
        <w:t>a</w:t>
      </w:r>
      <w:r w:rsidR="00214332" w:rsidRPr="00EA6C7A">
        <w:rPr>
          <w:lang w:val="en-US"/>
        </w:rPr>
        <w:t>rgu</w:t>
      </w:r>
      <w:r w:rsidR="00B61C25" w:rsidRPr="00EA6C7A">
        <w:rPr>
          <w:lang w:val="en-US"/>
        </w:rPr>
        <w:t>ed that, in the context of the facts of the case, the abuse</w:t>
      </w:r>
      <w:r w:rsidR="0095557E" w:rsidRPr="00EA6C7A">
        <w:rPr>
          <w:lang w:val="en-US"/>
        </w:rPr>
        <w:t>s</w:t>
      </w:r>
      <w:r w:rsidR="00B61C25" w:rsidRPr="00EA6C7A">
        <w:rPr>
          <w:lang w:val="en-US"/>
        </w:rPr>
        <w:t xml:space="preserve"> perpetrated against </w:t>
      </w:r>
      <w:r w:rsidR="00214332" w:rsidRPr="00EA6C7A">
        <w:rPr>
          <w:lang w:val="en-US"/>
        </w:rPr>
        <w:t>Claudina Velásquez constitu</w:t>
      </w:r>
      <w:r w:rsidR="00B61C25" w:rsidRPr="00EA6C7A">
        <w:rPr>
          <w:lang w:val="en-US"/>
        </w:rPr>
        <w:t>ted, individually and collectively, viol</w:t>
      </w:r>
      <w:r w:rsidR="0095557E" w:rsidRPr="00EA6C7A">
        <w:rPr>
          <w:lang w:val="en-US"/>
        </w:rPr>
        <w:t xml:space="preserve">ence against women according to </w:t>
      </w:r>
      <w:r w:rsidR="0096418F" w:rsidRPr="00EA6C7A">
        <w:rPr>
          <w:lang w:val="en-US"/>
        </w:rPr>
        <w:t>the American Convention</w:t>
      </w:r>
      <w:r w:rsidR="00D948A1" w:rsidRPr="00EA6C7A">
        <w:rPr>
          <w:lang w:val="en-US"/>
        </w:rPr>
        <w:t xml:space="preserve"> and </w:t>
      </w:r>
      <w:r w:rsidR="0096418F" w:rsidRPr="00EA6C7A">
        <w:rPr>
          <w:lang w:val="en-US"/>
        </w:rPr>
        <w:t xml:space="preserve">the </w:t>
      </w:r>
      <w:r w:rsidR="004554C7" w:rsidRPr="00EA6C7A">
        <w:rPr>
          <w:lang w:val="en-US"/>
        </w:rPr>
        <w:t>Convention of Belém</w:t>
      </w:r>
      <w:r w:rsidR="00214332" w:rsidRPr="00EA6C7A">
        <w:rPr>
          <w:lang w:val="en-US"/>
        </w:rPr>
        <w:t xml:space="preserve"> do </w:t>
      </w:r>
      <w:r w:rsidR="00214332" w:rsidRPr="00EA6C7A">
        <w:rPr>
          <w:rFonts w:cs="Arial"/>
          <w:lang w:val="en-US"/>
        </w:rPr>
        <w:t>Pará</w:t>
      </w:r>
      <w:r w:rsidR="00214332" w:rsidRPr="00EA6C7A">
        <w:rPr>
          <w:lang w:val="en-US"/>
        </w:rPr>
        <w:t xml:space="preserve">. </w:t>
      </w:r>
      <w:r w:rsidR="0095557E" w:rsidRPr="00EA6C7A">
        <w:rPr>
          <w:lang w:val="en-US"/>
        </w:rPr>
        <w:t>They indicated that the State had violated its obligation to avoid danger to</w:t>
      </w:r>
      <w:r w:rsidR="00753C56" w:rsidRPr="00EA6C7A">
        <w:rPr>
          <w:lang w:val="en-US"/>
        </w:rPr>
        <w:t xml:space="preserve"> Claudina Velásquez</w:t>
      </w:r>
      <w:r w:rsidR="0095557E" w:rsidRPr="00EA6C7A">
        <w:rPr>
          <w:lang w:val="en-US"/>
        </w:rPr>
        <w:t xml:space="preserve"> and to ensure </w:t>
      </w:r>
      <w:r w:rsidR="00753C56" w:rsidRPr="00EA6C7A">
        <w:rPr>
          <w:lang w:val="en-US"/>
        </w:rPr>
        <w:t>her</w:t>
      </w:r>
      <w:r w:rsidR="0095557E" w:rsidRPr="00EA6C7A">
        <w:rPr>
          <w:lang w:val="en-US"/>
        </w:rPr>
        <w:t xml:space="preserve"> rights </w:t>
      </w:r>
      <w:r w:rsidR="00123BD3" w:rsidRPr="00EA6C7A">
        <w:rPr>
          <w:lang w:val="en-US"/>
        </w:rPr>
        <w:t>to life</w:t>
      </w:r>
      <w:r w:rsidR="00214332" w:rsidRPr="00EA6C7A">
        <w:rPr>
          <w:lang w:val="en-US"/>
        </w:rPr>
        <w:t xml:space="preserve">, </w:t>
      </w:r>
      <w:r w:rsidR="00515C34" w:rsidRPr="00EA6C7A">
        <w:rPr>
          <w:lang w:val="en-US"/>
        </w:rPr>
        <w:t>personal integrity</w:t>
      </w:r>
      <w:r w:rsidR="00214332" w:rsidRPr="00EA6C7A">
        <w:rPr>
          <w:lang w:val="en-US"/>
        </w:rPr>
        <w:t>,</w:t>
      </w:r>
      <w:r w:rsidR="00D948A1" w:rsidRPr="00EA6C7A">
        <w:rPr>
          <w:lang w:val="en-US"/>
        </w:rPr>
        <w:t xml:space="preserve"> </w:t>
      </w:r>
      <w:r w:rsidR="0095557E" w:rsidRPr="00EA6C7A">
        <w:rPr>
          <w:lang w:val="en-US"/>
        </w:rPr>
        <w:t>honor and dignity</w:t>
      </w:r>
      <w:r w:rsidR="00753C56" w:rsidRPr="00EA6C7A">
        <w:rPr>
          <w:lang w:val="en-US"/>
        </w:rPr>
        <w:t>;</w:t>
      </w:r>
      <w:r w:rsidR="00214332" w:rsidRPr="00EA6C7A">
        <w:rPr>
          <w:lang w:val="en-US"/>
        </w:rPr>
        <w:t xml:space="preserve"> </w:t>
      </w:r>
      <w:r w:rsidR="0095557E" w:rsidRPr="00EA6C7A">
        <w:rPr>
          <w:lang w:val="en-US"/>
        </w:rPr>
        <w:t>first</w:t>
      </w:r>
      <w:r w:rsidR="00214332" w:rsidRPr="00EA6C7A">
        <w:rPr>
          <w:lang w:val="en-US"/>
        </w:rPr>
        <w:t>,</w:t>
      </w:r>
      <w:r w:rsidR="0095557E" w:rsidRPr="00EA6C7A">
        <w:rPr>
          <w:lang w:val="en-US"/>
        </w:rPr>
        <w:t xml:space="preserve"> </w:t>
      </w:r>
      <w:r w:rsidR="00753C56" w:rsidRPr="00EA6C7A">
        <w:rPr>
          <w:lang w:val="en-US"/>
        </w:rPr>
        <w:t>before she went missing</w:t>
      </w:r>
      <w:r w:rsidR="0095557E" w:rsidRPr="00EA6C7A">
        <w:rPr>
          <w:lang w:val="en-US"/>
        </w:rPr>
        <w:t xml:space="preserve"> by not implementing and executing effective policies and programs to prevent and punish violence against women, including a lack of political will resulting in the failure to allocate the necessary resources to </w:t>
      </w:r>
      <w:r w:rsidR="008A607E" w:rsidRPr="00EA6C7A">
        <w:rPr>
          <w:lang w:val="en-US"/>
        </w:rPr>
        <w:t>address</w:t>
      </w:r>
      <w:r w:rsidR="0095557E" w:rsidRPr="00EA6C7A">
        <w:rPr>
          <w:lang w:val="en-US"/>
        </w:rPr>
        <w:t xml:space="preserve"> gender-based violence.</w:t>
      </w:r>
      <w:r w:rsidR="00214332" w:rsidRPr="00EA6C7A">
        <w:rPr>
          <w:rStyle w:val="Refdenotaalpie"/>
          <w:lang w:val="en-US"/>
        </w:rPr>
        <w:footnoteReference w:id="170"/>
      </w:r>
      <w:r w:rsidR="0095557E" w:rsidRPr="00EA6C7A">
        <w:rPr>
          <w:lang w:val="en-US"/>
        </w:rPr>
        <w:t xml:space="preserve"> Second, the State violated these rights following the reports by her parents and before her body was found, because it was fully aware of </w:t>
      </w:r>
      <w:r w:rsidR="00753C56" w:rsidRPr="00EA6C7A">
        <w:rPr>
          <w:lang w:val="en-US"/>
        </w:rPr>
        <w:t xml:space="preserve">the </w:t>
      </w:r>
      <w:r w:rsidR="0095557E" w:rsidRPr="00EA6C7A">
        <w:rPr>
          <w:lang w:val="en-US"/>
        </w:rPr>
        <w:t>dangerous situation in which she found herself owing to the patter</w:t>
      </w:r>
      <w:r w:rsidR="00277E55" w:rsidRPr="00EA6C7A">
        <w:rPr>
          <w:lang w:val="en-US"/>
        </w:rPr>
        <w:t>n</w:t>
      </w:r>
      <w:r w:rsidR="0095557E" w:rsidRPr="00EA6C7A">
        <w:rPr>
          <w:lang w:val="en-US"/>
        </w:rPr>
        <w:t xml:space="preserve"> of violenc</w:t>
      </w:r>
      <w:r w:rsidR="00277E55" w:rsidRPr="00EA6C7A">
        <w:rPr>
          <w:lang w:val="en-US"/>
        </w:rPr>
        <w:t>e against women and the murder of women</w:t>
      </w:r>
      <w:r w:rsidR="0095557E" w:rsidRPr="00EA6C7A">
        <w:rPr>
          <w:lang w:val="en-US"/>
        </w:rPr>
        <w:t xml:space="preserve"> in Guatemala. Despite this, it twice refused to receive th</w:t>
      </w:r>
      <w:r w:rsidR="00753C56" w:rsidRPr="00EA6C7A">
        <w:rPr>
          <w:lang w:val="en-US"/>
        </w:rPr>
        <w:t>o</w:t>
      </w:r>
      <w:r w:rsidR="0095557E" w:rsidRPr="00EA6C7A">
        <w:rPr>
          <w:lang w:val="en-US"/>
        </w:rPr>
        <w:t>se reports, requiring a delay of 24 hours to admit them.</w:t>
      </w:r>
      <w:r w:rsidR="00214332" w:rsidRPr="00EA6C7A">
        <w:rPr>
          <w:rStyle w:val="Refdenotaalpie"/>
          <w:lang w:val="en-US"/>
        </w:rPr>
        <w:footnoteReference w:id="171"/>
      </w:r>
      <w:r w:rsidR="0095557E" w:rsidRPr="00EA6C7A">
        <w:rPr>
          <w:lang w:val="en-US"/>
        </w:rPr>
        <w:t xml:space="preserve"> They also argued that the body of </w:t>
      </w:r>
      <w:r w:rsidR="00214332" w:rsidRPr="00EA6C7A">
        <w:rPr>
          <w:lang w:val="en-US"/>
        </w:rPr>
        <w:t xml:space="preserve"> Claudina Velásquez </w:t>
      </w:r>
      <w:r w:rsidR="0095557E" w:rsidRPr="00EA6C7A">
        <w:rPr>
          <w:lang w:val="en-US"/>
        </w:rPr>
        <w:t>was found with indications of violence and other ill-treatment. In addition, they argued</w:t>
      </w:r>
      <w:r w:rsidR="000C5930" w:rsidRPr="00EA6C7A">
        <w:rPr>
          <w:lang w:val="en-US"/>
        </w:rPr>
        <w:t xml:space="preserve"> that “the </w:t>
      </w:r>
      <w:r w:rsidR="00753C56" w:rsidRPr="00EA6C7A">
        <w:rPr>
          <w:lang w:val="en-US"/>
        </w:rPr>
        <w:t>rape</w:t>
      </w:r>
      <w:r w:rsidR="000C5930" w:rsidRPr="00EA6C7A">
        <w:rPr>
          <w:lang w:val="en-US"/>
        </w:rPr>
        <w:t xml:space="preserve"> of Claudina Isabel constituted, </w:t>
      </w:r>
      <w:r w:rsidR="00753C56" w:rsidRPr="00EA6C7A">
        <w:rPr>
          <w:lang w:val="en-US"/>
        </w:rPr>
        <w:t>in</w:t>
      </w:r>
      <w:r w:rsidR="000C5930" w:rsidRPr="00EA6C7A">
        <w:rPr>
          <w:lang w:val="en-US"/>
        </w:rPr>
        <w:t xml:space="preserve"> itself, one of the most aggressive interferences in her privacy as a woma</w:t>
      </w:r>
      <w:r w:rsidR="009004D2" w:rsidRPr="00EA6C7A">
        <w:rPr>
          <w:lang w:val="en-US"/>
        </w:rPr>
        <w:t xml:space="preserve">n. </w:t>
      </w:r>
      <w:r w:rsidR="00753C56" w:rsidRPr="00EA6C7A">
        <w:rPr>
          <w:lang w:val="en-US"/>
        </w:rPr>
        <w:t>When</w:t>
      </w:r>
      <w:r w:rsidR="009004D2" w:rsidRPr="00EA6C7A">
        <w:rPr>
          <w:lang w:val="en-US"/>
        </w:rPr>
        <w:t xml:space="preserve"> </w:t>
      </w:r>
      <w:r w:rsidR="00753C56" w:rsidRPr="00EA6C7A">
        <w:rPr>
          <w:lang w:val="en-US"/>
        </w:rPr>
        <w:t>she was</w:t>
      </w:r>
      <w:r w:rsidR="009004D2" w:rsidRPr="00EA6C7A">
        <w:rPr>
          <w:lang w:val="en-US"/>
        </w:rPr>
        <w:t xml:space="preserve"> sexually assaulted, </w:t>
      </w:r>
      <w:r w:rsidR="00753C56" w:rsidRPr="00EA6C7A">
        <w:rPr>
          <w:lang w:val="en-US"/>
        </w:rPr>
        <w:t>her body was</w:t>
      </w:r>
      <w:r w:rsidR="009004D2" w:rsidRPr="00EA6C7A">
        <w:rPr>
          <w:lang w:val="en-US"/>
        </w:rPr>
        <w:t xml:space="preserve"> invaded in the most arbitrary manner, affecting her most intimate sphere.</w:t>
      </w:r>
      <w:r w:rsidR="00214332" w:rsidRPr="00EA6C7A">
        <w:rPr>
          <w:lang w:val="en-US"/>
        </w:rPr>
        <w:t>”</w:t>
      </w:r>
      <w:r w:rsidR="00214332" w:rsidRPr="00EA6C7A">
        <w:rPr>
          <w:rStyle w:val="Refdenotaalpie"/>
          <w:lang w:val="en-US"/>
        </w:rPr>
        <w:footnoteReference w:id="172"/>
      </w:r>
      <w:r w:rsidR="009004D2" w:rsidRPr="00EA6C7A">
        <w:rPr>
          <w:lang w:val="en-US"/>
        </w:rPr>
        <w:t xml:space="preserve"> Furthermore, in response to the State’s argument that, at most, it would have had one hour to find </w:t>
      </w:r>
      <w:r w:rsidR="00214332" w:rsidRPr="00EA6C7A">
        <w:rPr>
          <w:lang w:val="en-US"/>
        </w:rPr>
        <w:t>Claudina Velásquez (</w:t>
      </w:r>
      <w:r w:rsidR="00214332" w:rsidRPr="00EA6C7A">
        <w:rPr>
          <w:i/>
          <w:lang w:val="en-US"/>
        </w:rPr>
        <w:t xml:space="preserve">infra </w:t>
      </w:r>
      <w:r w:rsidR="002F3848" w:rsidRPr="00EA6C7A">
        <w:rPr>
          <w:lang w:val="en-US"/>
        </w:rPr>
        <w:t>para.</w:t>
      </w:r>
      <w:r w:rsidR="00214332" w:rsidRPr="00EA6C7A">
        <w:rPr>
          <w:lang w:val="en-US"/>
        </w:rPr>
        <w:t xml:space="preserve"> 104), </w:t>
      </w:r>
      <w:r w:rsidRPr="00EA6C7A">
        <w:rPr>
          <w:lang w:val="en-US"/>
        </w:rPr>
        <w:t>the representatives</w:t>
      </w:r>
      <w:r w:rsidR="00214332" w:rsidRPr="00EA6C7A">
        <w:rPr>
          <w:lang w:val="en-US"/>
        </w:rPr>
        <w:t xml:space="preserve"> argu</w:t>
      </w:r>
      <w:r w:rsidR="009004D2" w:rsidRPr="00EA6C7A">
        <w:rPr>
          <w:lang w:val="en-US"/>
        </w:rPr>
        <w:t xml:space="preserve">ed that “there is no doubt that, during this hour, it would have been possible to save her” if, instead of rejecting the family’s report, they had searched for </w:t>
      </w:r>
      <w:r w:rsidRPr="00EA6C7A">
        <w:rPr>
          <w:lang w:val="en-US"/>
        </w:rPr>
        <w:t>the presumed victim</w:t>
      </w:r>
      <w:r w:rsidR="00214332" w:rsidRPr="00EA6C7A">
        <w:rPr>
          <w:lang w:val="en-US"/>
        </w:rPr>
        <w:t xml:space="preserve">. </w:t>
      </w:r>
      <w:r w:rsidR="009004D2" w:rsidRPr="00EA6C7A">
        <w:rPr>
          <w:lang w:val="en-US"/>
        </w:rPr>
        <w:t xml:space="preserve">Consequently, they asked the Court to declare the violation of </w:t>
      </w:r>
      <w:r w:rsidR="0096418F" w:rsidRPr="00EA6C7A">
        <w:rPr>
          <w:lang w:val="en-US"/>
        </w:rPr>
        <w:t>Articles</w:t>
      </w:r>
      <w:r w:rsidR="00214332" w:rsidRPr="00EA6C7A">
        <w:rPr>
          <w:lang w:val="en-US"/>
        </w:rPr>
        <w:t xml:space="preserve"> 4, 5</w:t>
      </w:r>
      <w:r w:rsidR="00D948A1" w:rsidRPr="00EA6C7A">
        <w:rPr>
          <w:lang w:val="en-US"/>
        </w:rPr>
        <w:t xml:space="preserve"> and </w:t>
      </w:r>
      <w:r w:rsidR="00214332" w:rsidRPr="00EA6C7A">
        <w:rPr>
          <w:lang w:val="en-US"/>
        </w:rPr>
        <w:t>11</w:t>
      </w:r>
      <w:r w:rsidR="0096418F" w:rsidRPr="00EA6C7A">
        <w:rPr>
          <w:lang w:val="en-US"/>
        </w:rPr>
        <w:t xml:space="preserve"> of the American Convention</w:t>
      </w:r>
      <w:r w:rsidR="00214332" w:rsidRPr="00EA6C7A">
        <w:rPr>
          <w:lang w:val="en-US"/>
        </w:rPr>
        <w:t xml:space="preserve">, </w:t>
      </w:r>
      <w:r w:rsidR="009004D2" w:rsidRPr="00EA6C7A">
        <w:rPr>
          <w:lang w:val="en-US"/>
        </w:rPr>
        <w:t xml:space="preserve">together with non-compliance with the obligations contained in </w:t>
      </w:r>
      <w:r w:rsidR="0096418F" w:rsidRPr="00EA6C7A">
        <w:rPr>
          <w:lang w:val="en-US"/>
        </w:rPr>
        <w:t>Articles</w:t>
      </w:r>
      <w:r w:rsidR="00214332" w:rsidRPr="00EA6C7A">
        <w:rPr>
          <w:lang w:val="en-US"/>
        </w:rPr>
        <w:t xml:space="preserve"> 1</w:t>
      </w:r>
      <w:r w:rsidR="009004D2" w:rsidRPr="00EA6C7A">
        <w:rPr>
          <w:lang w:val="en-US"/>
        </w:rPr>
        <w:t>(1)</w:t>
      </w:r>
      <w:r w:rsidR="00D948A1" w:rsidRPr="00EA6C7A">
        <w:rPr>
          <w:lang w:val="en-US"/>
        </w:rPr>
        <w:t xml:space="preserve"> and </w:t>
      </w:r>
      <w:r w:rsidR="00214332" w:rsidRPr="00EA6C7A">
        <w:rPr>
          <w:lang w:val="en-US"/>
        </w:rPr>
        <w:t xml:space="preserve">2 </w:t>
      </w:r>
      <w:r w:rsidR="009004D2" w:rsidRPr="00EA6C7A">
        <w:rPr>
          <w:lang w:val="en-US"/>
        </w:rPr>
        <w:t xml:space="preserve">of this instrument </w:t>
      </w:r>
      <w:r w:rsidR="00D948A1" w:rsidRPr="00EA6C7A">
        <w:rPr>
          <w:lang w:val="en-US"/>
        </w:rPr>
        <w:t xml:space="preserve">and </w:t>
      </w:r>
      <w:r w:rsidR="0096418F" w:rsidRPr="00EA6C7A">
        <w:rPr>
          <w:lang w:val="en-US"/>
        </w:rPr>
        <w:t>Article</w:t>
      </w:r>
      <w:r w:rsidR="00214332" w:rsidRPr="00EA6C7A">
        <w:rPr>
          <w:lang w:val="en-US"/>
        </w:rPr>
        <w:t xml:space="preserve"> 7</w:t>
      </w:r>
      <w:r w:rsidR="0096418F" w:rsidRPr="00EA6C7A">
        <w:rPr>
          <w:lang w:val="en-US"/>
        </w:rPr>
        <w:t xml:space="preserve"> of the </w:t>
      </w:r>
      <w:r w:rsidR="004554C7" w:rsidRPr="00EA6C7A">
        <w:rPr>
          <w:lang w:val="en-US"/>
        </w:rPr>
        <w:t>Convention of Belém</w:t>
      </w:r>
      <w:r w:rsidR="00214332" w:rsidRPr="00EA6C7A">
        <w:rPr>
          <w:lang w:val="en-US"/>
        </w:rPr>
        <w:t xml:space="preserve"> do Pará, </w:t>
      </w:r>
      <w:r w:rsidR="00123BD3" w:rsidRPr="00EA6C7A">
        <w:rPr>
          <w:lang w:val="en-US"/>
        </w:rPr>
        <w:t>to the detriment of</w:t>
      </w:r>
      <w:r w:rsidR="00214332" w:rsidRPr="00EA6C7A">
        <w:rPr>
          <w:lang w:val="en-US"/>
        </w:rPr>
        <w:t xml:space="preserve"> Claudina Velásquez</w:t>
      </w:r>
      <w:r w:rsidR="009004D2" w:rsidRPr="00EA6C7A">
        <w:rPr>
          <w:lang w:val="en-US"/>
        </w:rPr>
        <w:t>.</w:t>
      </w:r>
      <w:r w:rsidR="00214332" w:rsidRPr="00EA6C7A">
        <w:rPr>
          <w:rStyle w:val="Refdenotaalpie"/>
          <w:rFonts w:eastAsia="Calibri"/>
          <w:lang w:val="en-US" w:eastAsia="en-US"/>
        </w:rPr>
        <w:footnoteReference w:id="173"/>
      </w:r>
    </w:p>
    <w:p w14:paraId="6483AC32" w14:textId="77777777" w:rsidR="00214332" w:rsidRPr="00EA6C7A" w:rsidRDefault="00214332" w:rsidP="00214332">
      <w:pPr>
        <w:pStyle w:val="ColorfulList-Accent11"/>
        <w:autoSpaceDE w:val="0"/>
        <w:autoSpaceDN w:val="0"/>
        <w:adjustRightInd w:val="0"/>
        <w:spacing w:after="0" w:line="240" w:lineRule="auto"/>
        <w:ind w:left="0"/>
        <w:contextualSpacing w:val="0"/>
        <w:jc w:val="both"/>
        <w:rPr>
          <w:rFonts w:ascii="Verdana" w:eastAsia="Calibri" w:hAnsi="Verdana" w:cs="Arial"/>
          <w:b/>
          <w:lang w:val="en-US"/>
        </w:rPr>
      </w:pPr>
    </w:p>
    <w:p w14:paraId="2A71EDB5" w14:textId="77777777" w:rsidR="00214332" w:rsidRPr="00EA6C7A" w:rsidRDefault="009004D2" w:rsidP="00077D21">
      <w:pPr>
        <w:pStyle w:val="PrrafodeSentencia"/>
        <w:rPr>
          <w:lang w:val="en-US"/>
        </w:rPr>
      </w:pPr>
      <w:r w:rsidRPr="00EA6C7A">
        <w:rPr>
          <w:lang w:val="en-US"/>
        </w:rPr>
        <w:t>Lastly</w:t>
      </w:r>
      <w:r w:rsidR="00214332" w:rsidRPr="00EA6C7A">
        <w:rPr>
          <w:lang w:val="en-US"/>
        </w:rPr>
        <w:t xml:space="preserve">, </w:t>
      </w:r>
      <w:r w:rsidR="00E43A75" w:rsidRPr="00EA6C7A">
        <w:rPr>
          <w:lang w:val="en-US"/>
        </w:rPr>
        <w:t>the representatives</w:t>
      </w:r>
      <w:r w:rsidR="00214332" w:rsidRPr="00EA6C7A">
        <w:rPr>
          <w:lang w:val="en-US"/>
        </w:rPr>
        <w:t xml:space="preserve"> a</w:t>
      </w:r>
      <w:r w:rsidRPr="00EA6C7A">
        <w:rPr>
          <w:lang w:val="en-US"/>
        </w:rPr>
        <w:t>rgued that, “to determine whether the State had</w:t>
      </w:r>
      <w:r w:rsidR="00753C56" w:rsidRPr="00EA6C7A">
        <w:rPr>
          <w:lang w:val="en-US"/>
        </w:rPr>
        <w:t xml:space="preserve"> a</w:t>
      </w:r>
      <w:r w:rsidRPr="00EA6C7A">
        <w:rPr>
          <w:lang w:val="en-US"/>
        </w:rPr>
        <w:t xml:space="preserve"> reasonable possibilit</w:t>
      </w:r>
      <w:r w:rsidR="00753C56" w:rsidRPr="00EA6C7A">
        <w:rPr>
          <w:lang w:val="en-US"/>
        </w:rPr>
        <w:t>y</w:t>
      </w:r>
      <w:r w:rsidRPr="00EA6C7A">
        <w:rPr>
          <w:lang w:val="en-US"/>
        </w:rPr>
        <w:t xml:space="preserve"> of preventing or avoiding the violation of her rights, the time that elapsed between the moment that her parents reported that she was missing […] and the probable time of her death – determined many months after her body had been found – was of no importance</w:t>
      </w:r>
      <w:r w:rsidR="00214332" w:rsidRPr="00EA6C7A">
        <w:rPr>
          <w:lang w:val="en-US"/>
        </w:rPr>
        <w:t xml:space="preserve">. </w:t>
      </w:r>
      <w:r w:rsidRPr="00EA6C7A">
        <w:rPr>
          <w:lang w:val="en-US"/>
        </w:rPr>
        <w:t xml:space="preserve">What was important </w:t>
      </w:r>
      <w:r w:rsidR="00214332" w:rsidRPr="00EA6C7A">
        <w:rPr>
          <w:lang w:val="en-US"/>
        </w:rPr>
        <w:t xml:space="preserve">[…] </w:t>
      </w:r>
      <w:r w:rsidRPr="00EA6C7A">
        <w:rPr>
          <w:lang w:val="en-US"/>
        </w:rPr>
        <w:t xml:space="preserve">is the information that the authorities had when the parents made their report: that </w:t>
      </w:r>
      <w:r w:rsidR="00214332" w:rsidRPr="00EA6C7A">
        <w:rPr>
          <w:lang w:val="en-US"/>
        </w:rPr>
        <w:t xml:space="preserve">Claudina Isabel </w:t>
      </w:r>
      <w:r w:rsidRPr="00EA6C7A">
        <w:rPr>
          <w:lang w:val="en-US"/>
        </w:rPr>
        <w:t xml:space="preserve">was missing and that there was an extremely high probability that her life and integrity were threatened, given the context of femicide in </w:t>
      </w:r>
      <w:r w:rsidR="00214332" w:rsidRPr="00EA6C7A">
        <w:rPr>
          <w:lang w:val="en-US"/>
        </w:rPr>
        <w:t>Guatemala</w:t>
      </w:r>
      <w:r w:rsidR="00D948A1" w:rsidRPr="00EA6C7A">
        <w:rPr>
          <w:lang w:val="en-US"/>
        </w:rPr>
        <w:t xml:space="preserve"> and</w:t>
      </w:r>
      <w:r w:rsidR="00753C56" w:rsidRPr="00EA6C7A">
        <w:rPr>
          <w:lang w:val="en-US"/>
        </w:rPr>
        <w:t>,</w:t>
      </w:r>
      <w:r w:rsidRPr="00EA6C7A">
        <w:rPr>
          <w:lang w:val="en-US"/>
        </w:rPr>
        <w:t xml:space="preserve"> following </w:t>
      </w:r>
      <w:r w:rsidRPr="00EA6C7A">
        <w:rPr>
          <w:lang w:val="en-US"/>
        </w:rPr>
        <w:lastRenderedPageBreak/>
        <w:t xml:space="preserve">the </w:t>
      </w:r>
      <w:r w:rsidR="00753C56" w:rsidRPr="00EA6C7A">
        <w:rPr>
          <w:lang w:val="en-US"/>
        </w:rPr>
        <w:t>screams</w:t>
      </w:r>
      <w:r w:rsidRPr="00EA6C7A">
        <w:rPr>
          <w:lang w:val="en-US"/>
        </w:rPr>
        <w:t xml:space="preserve"> of </w:t>
      </w:r>
      <w:r w:rsidR="00214332" w:rsidRPr="00EA6C7A">
        <w:rPr>
          <w:lang w:val="en-US"/>
        </w:rPr>
        <w:t>Claudina Isabel</w:t>
      </w:r>
      <w:r w:rsidR="00753C56" w:rsidRPr="00EA6C7A">
        <w:rPr>
          <w:lang w:val="en-US"/>
        </w:rPr>
        <w:t>, the abrupt interruption</w:t>
      </w:r>
      <w:r w:rsidR="00214332" w:rsidRPr="00EA6C7A">
        <w:rPr>
          <w:lang w:val="en-US"/>
        </w:rPr>
        <w:t xml:space="preserve"> </w:t>
      </w:r>
      <w:r w:rsidRPr="00EA6C7A">
        <w:rPr>
          <w:lang w:val="en-US"/>
        </w:rPr>
        <w:t xml:space="preserve">of her </w:t>
      </w:r>
      <w:r w:rsidR="00753C56" w:rsidRPr="00EA6C7A">
        <w:rPr>
          <w:lang w:val="en-US"/>
        </w:rPr>
        <w:t>telephone call</w:t>
      </w:r>
      <w:r w:rsidRPr="00EA6C7A">
        <w:rPr>
          <w:lang w:val="en-US"/>
        </w:rPr>
        <w:t xml:space="preserve"> with </w:t>
      </w:r>
      <w:r w:rsidR="00214332" w:rsidRPr="00EA6C7A">
        <w:rPr>
          <w:lang w:val="en-US"/>
        </w:rPr>
        <w:t>[ZMB]</w:t>
      </w:r>
      <w:r w:rsidRPr="00EA6C7A">
        <w:rPr>
          <w:lang w:val="en-US"/>
        </w:rPr>
        <w:t>.</w:t>
      </w:r>
      <w:r w:rsidR="00214332" w:rsidRPr="00EA6C7A">
        <w:rPr>
          <w:lang w:val="en-US"/>
        </w:rPr>
        <w:t xml:space="preserve">” </w:t>
      </w:r>
      <w:r w:rsidRPr="00EA6C7A">
        <w:rPr>
          <w:lang w:val="en-US"/>
        </w:rPr>
        <w:t xml:space="preserve">They emphasized that, when analyzing whether the State had violated its positive obligation to protect life, the </w:t>
      </w:r>
      <w:r w:rsidR="00EB6E56" w:rsidRPr="00EA6C7A">
        <w:rPr>
          <w:lang w:val="en-US"/>
        </w:rPr>
        <w:t>European Court of Human Rights “has always assessed the reasonable</w:t>
      </w:r>
      <w:r w:rsidR="0093242B" w:rsidRPr="00EA6C7A">
        <w:rPr>
          <w:lang w:val="en-US"/>
        </w:rPr>
        <w:t xml:space="preserve"> nature</w:t>
      </w:r>
      <w:r w:rsidR="00EB6E56" w:rsidRPr="00EA6C7A">
        <w:rPr>
          <w:lang w:val="en-US"/>
        </w:rPr>
        <w:t xml:space="preserve"> of the measures taken by the authorities from the perspective of the knowledge they had when </w:t>
      </w:r>
      <w:r w:rsidR="00671A06" w:rsidRPr="00EA6C7A">
        <w:rPr>
          <w:lang w:val="en-US"/>
        </w:rPr>
        <w:t>they</w:t>
      </w:r>
      <w:r w:rsidR="00EB6E56" w:rsidRPr="00EA6C7A">
        <w:rPr>
          <w:lang w:val="en-US"/>
        </w:rPr>
        <w:t xml:space="preserve"> were notified of the danger to the victim. The victim’s actual fate – </w:t>
      </w:r>
      <w:r w:rsidR="0093242B" w:rsidRPr="00EA6C7A">
        <w:rPr>
          <w:lang w:val="en-US"/>
        </w:rPr>
        <w:t>which</w:t>
      </w:r>
      <w:r w:rsidR="00EB6E56" w:rsidRPr="00EA6C7A">
        <w:rPr>
          <w:lang w:val="en-US"/>
        </w:rPr>
        <w:t xml:space="preserve"> can only be known </w:t>
      </w:r>
      <w:r w:rsidR="00214332" w:rsidRPr="00EA6C7A">
        <w:rPr>
          <w:i/>
          <w:lang w:val="en-US"/>
        </w:rPr>
        <w:t xml:space="preserve">a posteriori – </w:t>
      </w:r>
      <w:r w:rsidR="00EB6E56" w:rsidRPr="00EA6C7A">
        <w:rPr>
          <w:lang w:val="en-US"/>
        </w:rPr>
        <w:t>does not enter into consideration.</w:t>
      </w:r>
      <w:r w:rsidR="00214332" w:rsidRPr="00EA6C7A">
        <w:rPr>
          <w:lang w:val="en-US"/>
        </w:rPr>
        <w:t xml:space="preserve">” </w:t>
      </w:r>
    </w:p>
    <w:p w14:paraId="6FB8EFAC" w14:textId="77777777" w:rsidR="00214332" w:rsidRPr="00EA6C7A" w:rsidRDefault="00214332" w:rsidP="00214332">
      <w:pPr>
        <w:pStyle w:val="ColorfulList-Accent11"/>
        <w:autoSpaceDE w:val="0"/>
        <w:autoSpaceDN w:val="0"/>
        <w:adjustRightInd w:val="0"/>
        <w:spacing w:after="0" w:line="240" w:lineRule="auto"/>
        <w:ind w:left="0"/>
        <w:contextualSpacing w:val="0"/>
        <w:jc w:val="both"/>
        <w:rPr>
          <w:rFonts w:ascii="Verdana" w:eastAsia="Calibri" w:hAnsi="Verdana" w:cs="Arial"/>
          <w:lang w:val="en-US"/>
        </w:rPr>
      </w:pPr>
    </w:p>
    <w:p w14:paraId="24CF9F29" w14:textId="77777777" w:rsidR="00214332" w:rsidRPr="00EA6C7A" w:rsidRDefault="002F3848" w:rsidP="00077D21">
      <w:pPr>
        <w:pStyle w:val="PrrafodeSentencia"/>
        <w:rPr>
          <w:rStyle w:val="nfasis"/>
          <w:rFonts w:eastAsia="Calibri"/>
          <w:b/>
          <w:bCs/>
          <w:iCs w:val="0"/>
          <w:sz w:val="6"/>
          <w:lang w:val="en-US"/>
        </w:rPr>
      </w:pPr>
      <w:r w:rsidRPr="00EA6C7A">
        <w:rPr>
          <w:lang w:val="en-US"/>
        </w:rPr>
        <w:t xml:space="preserve">The </w:t>
      </w:r>
      <w:r w:rsidRPr="00EA6C7A">
        <w:rPr>
          <w:b/>
          <w:bCs/>
          <w:i/>
          <w:iCs/>
          <w:lang w:val="en-US"/>
        </w:rPr>
        <w:t>State</w:t>
      </w:r>
      <w:r w:rsidR="00214332" w:rsidRPr="00EA6C7A">
        <w:rPr>
          <w:lang w:val="en-US"/>
        </w:rPr>
        <w:t xml:space="preserve"> </w:t>
      </w:r>
      <w:r w:rsidR="00EB6E56" w:rsidRPr="00EA6C7A">
        <w:rPr>
          <w:lang w:val="en-US"/>
        </w:rPr>
        <w:t xml:space="preserve">stressed that, in this case, it is not being argued that a State agent had killed Claudina Velásquez or violated her integrity. It also </w:t>
      </w:r>
      <w:r w:rsidR="0093242B" w:rsidRPr="00EA6C7A">
        <w:rPr>
          <w:lang w:val="en-US"/>
        </w:rPr>
        <w:t>alleged</w:t>
      </w:r>
      <w:r w:rsidR="00EB6E56" w:rsidRPr="00EA6C7A">
        <w:rPr>
          <w:lang w:val="en-US"/>
        </w:rPr>
        <w:t xml:space="preserve"> that the r</w:t>
      </w:r>
      <w:r w:rsidR="00123BD3" w:rsidRPr="00EA6C7A">
        <w:rPr>
          <w:lang w:val="en-US"/>
        </w:rPr>
        <w:t>ights to life</w:t>
      </w:r>
      <w:r w:rsidR="00214332" w:rsidRPr="00EA6C7A">
        <w:rPr>
          <w:lang w:val="en-US"/>
        </w:rPr>
        <w:t xml:space="preserve">, </w:t>
      </w:r>
      <w:r w:rsidR="00515C34" w:rsidRPr="00EA6C7A">
        <w:rPr>
          <w:lang w:val="en-US"/>
        </w:rPr>
        <w:t>personal integrity</w:t>
      </w:r>
      <w:r w:rsidR="0093242B" w:rsidRPr="00EA6C7A">
        <w:rPr>
          <w:lang w:val="en-US"/>
        </w:rPr>
        <w:t>,</w:t>
      </w:r>
      <w:r w:rsidR="00D948A1" w:rsidRPr="00EA6C7A">
        <w:rPr>
          <w:lang w:val="en-US"/>
        </w:rPr>
        <w:t xml:space="preserve"> and </w:t>
      </w:r>
      <w:r w:rsidR="00EB6E56" w:rsidRPr="00EA6C7A">
        <w:rPr>
          <w:lang w:val="en-US"/>
        </w:rPr>
        <w:t>honor and dignity</w:t>
      </w:r>
      <w:r w:rsidR="00214332" w:rsidRPr="00EA6C7A">
        <w:rPr>
          <w:lang w:val="en-US"/>
        </w:rPr>
        <w:t xml:space="preserve"> </w:t>
      </w:r>
      <w:r w:rsidR="00EB6E56" w:rsidRPr="00EA6C7A">
        <w:rPr>
          <w:lang w:val="en-US"/>
        </w:rPr>
        <w:t>were protected by domestic law. In addition, regarding the time before</w:t>
      </w:r>
      <w:r w:rsidR="00214332" w:rsidRPr="00EA6C7A">
        <w:rPr>
          <w:lang w:val="en-US"/>
        </w:rPr>
        <w:t xml:space="preserve"> Claudina</w:t>
      </w:r>
      <w:r w:rsidR="00EB6E56" w:rsidRPr="00EA6C7A">
        <w:rPr>
          <w:lang w:val="en-US"/>
        </w:rPr>
        <w:t xml:space="preserve"> </w:t>
      </w:r>
      <w:r w:rsidR="00214332" w:rsidRPr="00EA6C7A">
        <w:rPr>
          <w:lang w:val="en-US"/>
        </w:rPr>
        <w:t>Velásquez</w:t>
      </w:r>
      <w:r w:rsidR="00EB6E56" w:rsidRPr="00EA6C7A">
        <w:rPr>
          <w:lang w:val="en-US"/>
        </w:rPr>
        <w:t xml:space="preserve"> went missing</w:t>
      </w:r>
      <w:r w:rsidR="00214332" w:rsidRPr="00EA6C7A">
        <w:rPr>
          <w:lang w:val="en-US"/>
        </w:rPr>
        <w:t xml:space="preserve">, </w:t>
      </w:r>
      <w:r w:rsidR="00EB6E56" w:rsidRPr="00EA6C7A">
        <w:rPr>
          <w:lang w:val="en-US"/>
        </w:rPr>
        <w:t>it argued that neither</w:t>
      </w:r>
      <w:r w:rsidR="00214332" w:rsidRPr="00EA6C7A">
        <w:rPr>
          <w:lang w:val="en-US"/>
        </w:rPr>
        <w:t xml:space="preserve"> </w:t>
      </w:r>
      <w:r w:rsidR="0096418F" w:rsidRPr="00EA6C7A">
        <w:rPr>
          <w:lang w:val="en-US"/>
        </w:rPr>
        <w:t>the Commission</w:t>
      </w:r>
      <w:r w:rsidR="00214332" w:rsidRPr="00EA6C7A">
        <w:rPr>
          <w:lang w:val="en-US"/>
        </w:rPr>
        <w:t xml:space="preserve"> n</w:t>
      </w:r>
      <w:r w:rsidR="00EB6E56" w:rsidRPr="00EA6C7A">
        <w:rPr>
          <w:lang w:val="en-US"/>
        </w:rPr>
        <w:t>or</w:t>
      </w:r>
      <w:r w:rsidR="00214332" w:rsidRPr="00EA6C7A">
        <w:rPr>
          <w:lang w:val="en-US"/>
        </w:rPr>
        <w:t xml:space="preserve"> </w:t>
      </w:r>
      <w:r w:rsidR="00E43A75" w:rsidRPr="00EA6C7A">
        <w:rPr>
          <w:lang w:val="en-US"/>
        </w:rPr>
        <w:t>the representatives</w:t>
      </w:r>
      <w:r w:rsidR="00214332" w:rsidRPr="00EA6C7A">
        <w:rPr>
          <w:lang w:val="en-US"/>
        </w:rPr>
        <w:t xml:space="preserve"> ha</w:t>
      </w:r>
      <w:r w:rsidR="00EB6E56" w:rsidRPr="00EA6C7A">
        <w:rPr>
          <w:lang w:val="en-US"/>
        </w:rPr>
        <w:t xml:space="preserve">d argued that a threat against her existed, and </w:t>
      </w:r>
      <w:r w:rsidR="0096418F" w:rsidRPr="00EA6C7A">
        <w:rPr>
          <w:lang w:val="en-US"/>
        </w:rPr>
        <w:t>the Court</w:t>
      </w:r>
      <w:r w:rsidR="00214332" w:rsidRPr="00EA6C7A">
        <w:rPr>
          <w:lang w:val="en-US"/>
        </w:rPr>
        <w:t xml:space="preserve"> </w:t>
      </w:r>
      <w:r w:rsidR="00EB6E56" w:rsidRPr="00EA6C7A">
        <w:rPr>
          <w:lang w:val="en-US"/>
        </w:rPr>
        <w:t xml:space="preserve">had acknowledged in </w:t>
      </w:r>
      <w:r w:rsidR="007E6E93" w:rsidRPr="00EA6C7A">
        <w:rPr>
          <w:lang w:val="en-US"/>
        </w:rPr>
        <w:t>the case of</w:t>
      </w:r>
      <w:r w:rsidR="001914FC" w:rsidRPr="00EA6C7A">
        <w:rPr>
          <w:lang w:val="en-US"/>
        </w:rPr>
        <w:t xml:space="preserve"> </w:t>
      </w:r>
      <w:r w:rsidR="00214332" w:rsidRPr="00EA6C7A">
        <w:rPr>
          <w:i/>
          <w:lang w:val="en-US"/>
        </w:rPr>
        <w:t xml:space="preserve">Veliz Franco </w:t>
      </w:r>
      <w:r w:rsidR="006A51FD" w:rsidRPr="00EA6C7A">
        <w:rPr>
          <w:i/>
          <w:lang w:val="en-US"/>
        </w:rPr>
        <w:t>et al.</w:t>
      </w:r>
      <w:r w:rsidR="00214332" w:rsidRPr="00EA6C7A">
        <w:rPr>
          <w:i/>
          <w:lang w:val="en-US"/>
        </w:rPr>
        <w:t xml:space="preserve"> </w:t>
      </w:r>
      <w:r w:rsidR="00EB6E56" w:rsidRPr="00EA6C7A">
        <w:rPr>
          <w:lang w:val="en-US"/>
        </w:rPr>
        <w:t>that</w:t>
      </w:r>
      <w:r w:rsidR="00214332" w:rsidRPr="00EA6C7A">
        <w:rPr>
          <w:lang w:val="en-US"/>
        </w:rPr>
        <w:t xml:space="preserve"> Guatemala </w:t>
      </w:r>
      <w:r w:rsidR="00EB6E56" w:rsidRPr="00EA6C7A">
        <w:rPr>
          <w:lang w:val="en-US"/>
        </w:rPr>
        <w:t xml:space="preserve">had taken steps to deal with the problem of violence against women prior to December </w:t>
      </w:r>
      <w:r w:rsidR="00214332" w:rsidRPr="00EA6C7A">
        <w:rPr>
          <w:lang w:val="en-US"/>
        </w:rPr>
        <w:t xml:space="preserve">2001. </w:t>
      </w:r>
      <w:r w:rsidR="00EB6E56" w:rsidRPr="00EA6C7A">
        <w:rPr>
          <w:lang w:val="en-US"/>
        </w:rPr>
        <w:t xml:space="preserve">With regard to the time before the </w:t>
      </w:r>
      <w:r w:rsidR="0093242B" w:rsidRPr="00EA6C7A">
        <w:rPr>
          <w:lang w:val="en-US"/>
        </w:rPr>
        <w:t>d</w:t>
      </w:r>
      <w:r w:rsidR="00EB6E56" w:rsidRPr="00EA6C7A">
        <w:rPr>
          <w:lang w:val="en-US"/>
        </w:rPr>
        <w:t>iscovery of the body, it asserted that it was following</w:t>
      </w:r>
      <w:r w:rsidR="00214332" w:rsidRPr="00EA6C7A">
        <w:rPr>
          <w:lang w:val="en-US"/>
        </w:rPr>
        <w:t xml:space="preserve"> 3 a</w:t>
      </w:r>
      <w:r w:rsidR="0093242B" w:rsidRPr="00EA6C7A">
        <w:rPr>
          <w:lang w:val="en-US"/>
        </w:rPr>
        <w:t>.</w:t>
      </w:r>
      <w:r w:rsidR="00214332" w:rsidRPr="00EA6C7A">
        <w:rPr>
          <w:lang w:val="en-US"/>
        </w:rPr>
        <w:t>m</w:t>
      </w:r>
      <w:r w:rsidR="0093242B" w:rsidRPr="00EA6C7A">
        <w:rPr>
          <w:lang w:val="en-US"/>
        </w:rPr>
        <w:t>.</w:t>
      </w:r>
      <w:r w:rsidR="00214332" w:rsidRPr="00EA6C7A">
        <w:rPr>
          <w:lang w:val="en-US"/>
        </w:rPr>
        <w:t xml:space="preserve">, </w:t>
      </w:r>
      <w:r w:rsidR="00EB6E56" w:rsidRPr="00EA6C7A">
        <w:rPr>
          <w:lang w:val="en-US"/>
        </w:rPr>
        <w:t xml:space="preserve">when the police arrived, that it could be indicated that the State became aware of the disappearance </w:t>
      </w:r>
      <w:r w:rsidR="00D10759" w:rsidRPr="00EA6C7A">
        <w:rPr>
          <w:lang w:val="en-US"/>
        </w:rPr>
        <w:t xml:space="preserve">of the </w:t>
      </w:r>
      <w:r w:rsidR="00E43A75" w:rsidRPr="00EA6C7A">
        <w:rPr>
          <w:lang w:val="en-US"/>
        </w:rPr>
        <w:t>presumed victim</w:t>
      </w:r>
      <w:r w:rsidR="00214332" w:rsidRPr="00EA6C7A">
        <w:rPr>
          <w:lang w:val="en-US"/>
        </w:rPr>
        <w:t xml:space="preserve">. </w:t>
      </w:r>
      <w:r w:rsidR="00EB6E56" w:rsidRPr="00EA6C7A">
        <w:rPr>
          <w:lang w:val="en-US"/>
        </w:rPr>
        <w:t>It clarified that there is no evidence that an attempt was made to file a “missing person” report, and it could be assumed that the police, when they indicated that they would continue their patrol, were also going to continue looking for the young woman. In its f</w:t>
      </w:r>
      <w:r w:rsidR="00C016A8" w:rsidRPr="00EA6C7A">
        <w:rPr>
          <w:lang w:val="en-US"/>
        </w:rPr>
        <w:t>inal written arguments</w:t>
      </w:r>
      <w:r w:rsidR="00214332" w:rsidRPr="00EA6C7A">
        <w:rPr>
          <w:lang w:val="en-US"/>
        </w:rPr>
        <w:t xml:space="preserve">, </w:t>
      </w:r>
      <w:r w:rsidR="00EB6E56" w:rsidRPr="00EA6C7A">
        <w:rPr>
          <w:lang w:val="en-US"/>
        </w:rPr>
        <w:t>the State emphasized that th</w:t>
      </w:r>
      <w:r w:rsidR="0093242B" w:rsidRPr="00EA6C7A">
        <w:rPr>
          <w:lang w:val="en-US"/>
        </w:rPr>
        <w:t>o</w:t>
      </w:r>
      <w:r w:rsidR="00EB6E56" w:rsidRPr="00EA6C7A">
        <w:rPr>
          <w:lang w:val="en-US"/>
        </w:rPr>
        <w:t>se police agents went immediately to the place where Claudina Velásquez had been seen for the last time and supported the family members in their search in the area of</w:t>
      </w:r>
      <w:r w:rsidR="00EB6E56" w:rsidRPr="00EA6C7A">
        <w:rPr>
          <w:rFonts w:eastAsia="Calibri"/>
          <w:b/>
          <w:bCs/>
          <w:i/>
          <w:sz w:val="6"/>
          <w:lang w:val="en-US"/>
        </w:rPr>
        <w:t xml:space="preserve"> </w:t>
      </w:r>
      <w:r w:rsidR="00214332" w:rsidRPr="00EA6C7A">
        <w:rPr>
          <w:lang w:val="en-US"/>
        </w:rPr>
        <w:t>Colonia Panorama</w:t>
      </w:r>
      <w:r w:rsidR="00D948A1" w:rsidRPr="00EA6C7A">
        <w:rPr>
          <w:lang w:val="en-US"/>
        </w:rPr>
        <w:t xml:space="preserve"> and </w:t>
      </w:r>
      <w:r w:rsidR="00EB6E56" w:rsidRPr="00EA6C7A">
        <w:rPr>
          <w:lang w:val="en-US"/>
        </w:rPr>
        <w:t xml:space="preserve">nearby. Thus, the absence of a written report should be assessed as a simple formality, regardless of the conduct and attitude of the police agents. In addition, the State asserted that Claudina Velásquez was probably deceased before it became aware that she was missing, so that it had no possibility of avoiding or preventing the </w:t>
      </w:r>
      <w:r w:rsidR="0093242B" w:rsidRPr="00EA6C7A">
        <w:rPr>
          <w:lang w:val="en-US"/>
        </w:rPr>
        <w:t>perpetration</w:t>
      </w:r>
      <w:r w:rsidR="00EB6E56" w:rsidRPr="00EA6C7A">
        <w:rPr>
          <w:lang w:val="en-US"/>
        </w:rPr>
        <w:t xml:space="preserve"> of a crime. “And, at best, the State would only have had one hour to find her, because her body appeared about two hours after the phone call to the </w:t>
      </w:r>
      <w:r w:rsidR="0093242B" w:rsidRPr="00EA6C7A">
        <w:rPr>
          <w:lang w:val="en-US"/>
        </w:rPr>
        <w:t>p</w:t>
      </w:r>
      <w:r w:rsidR="00EB6E56" w:rsidRPr="00EA6C7A">
        <w:rPr>
          <w:lang w:val="en-US"/>
        </w:rPr>
        <w:t xml:space="preserve">olice.” According to the State, the Court should take into account the reasonable nature of the time that it had to protect the life and integrity of Claudina Velásquez. Lastly, it added that the examinations conducted by the doctors of the Judiciary </w:t>
      </w:r>
      <w:r w:rsidR="00D948A1" w:rsidRPr="00EA6C7A">
        <w:rPr>
          <w:lang w:val="en-US"/>
        </w:rPr>
        <w:t xml:space="preserve">and </w:t>
      </w:r>
      <w:r w:rsidR="003E2012" w:rsidRPr="00EA6C7A">
        <w:rPr>
          <w:lang w:val="en-US"/>
        </w:rPr>
        <w:t>of the Public</w:t>
      </w:r>
      <w:r w:rsidR="00B3248B" w:rsidRPr="00EA6C7A">
        <w:rPr>
          <w:lang w:val="en-US"/>
        </w:rPr>
        <w:t xml:space="preserve"> Prosecution Service</w:t>
      </w:r>
      <w:r w:rsidR="00214332" w:rsidRPr="00EA6C7A">
        <w:rPr>
          <w:lang w:val="en-US"/>
        </w:rPr>
        <w:t xml:space="preserve"> </w:t>
      </w:r>
      <w:r w:rsidR="00EB6E56" w:rsidRPr="00EA6C7A">
        <w:rPr>
          <w:lang w:val="en-US"/>
        </w:rPr>
        <w:t xml:space="preserve">did not determine that </w:t>
      </w:r>
      <w:r w:rsidR="00214332" w:rsidRPr="00EA6C7A">
        <w:rPr>
          <w:lang w:val="en-US"/>
        </w:rPr>
        <w:t>Claudina Velásquez ha</w:t>
      </w:r>
      <w:r w:rsidR="00EB6E56" w:rsidRPr="00EA6C7A">
        <w:rPr>
          <w:lang w:val="en-US"/>
        </w:rPr>
        <w:t xml:space="preserve">d suffered any violation of her integrity before her death. Consequently, the State asserted that it had not violated </w:t>
      </w:r>
      <w:r w:rsidR="0096418F" w:rsidRPr="00EA6C7A">
        <w:rPr>
          <w:lang w:val="en-US"/>
        </w:rPr>
        <w:t>Articles</w:t>
      </w:r>
      <w:r w:rsidR="00214332" w:rsidRPr="00EA6C7A">
        <w:rPr>
          <w:lang w:val="en-US"/>
        </w:rPr>
        <w:t xml:space="preserve"> 4, 5</w:t>
      </w:r>
      <w:r w:rsidR="00D948A1" w:rsidRPr="00EA6C7A">
        <w:rPr>
          <w:lang w:val="en-US"/>
        </w:rPr>
        <w:t xml:space="preserve"> and </w:t>
      </w:r>
      <w:r w:rsidR="00214332" w:rsidRPr="00EA6C7A">
        <w:rPr>
          <w:lang w:val="en-US"/>
        </w:rPr>
        <w:t>11</w:t>
      </w:r>
      <w:r w:rsidR="0096418F" w:rsidRPr="00EA6C7A">
        <w:rPr>
          <w:lang w:val="en-US"/>
        </w:rPr>
        <w:t xml:space="preserve"> of the American Convention</w:t>
      </w:r>
      <w:r w:rsidR="00EB6E56" w:rsidRPr="00EA6C7A">
        <w:rPr>
          <w:lang w:val="en-US"/>
        </w:rPr>
        <w:t>,</w:t>
      </w:r>
      <w:r w:rsidR="00214332" w:rsidRPr="00EA6C7A">
        <w:rPr>
          <w:rStyle w:val="Refdenotaalpie"/>
          <w:lang w:val="en-US"/>
        </w:rPr>
        <w:footnoteReference w:id="174"/>
      </w:r>
      <w:r w:rsidR="00214332" w:rsidRPr="00EA6C7A">
        <w:rPr>
          <w:lang w:val="en-US"/>
        </w:rPr>
        <w:t xml:space="preserve"> </w:t>
      </w:r>
      <w:r w:rsidR="00123BD3" w:rsidRPr="00EA6C7A">
        <w:rPr>
          <w:lang w:val="en-US"/>
        </w:rPr>
        <w:t>in relation to Articles 1(1)</w:t>
      </w:r>
      <w:r w:rsidR="00D948A1" w:rsidRPr="00EA6C7A">
        <w:rPr>
          <w:lang w:val="en-US"/>
        </w:rPr>
        <w:t xml:space="preserve"> and </w:t>
      </w:r>
      <w:r w:rsidR="00214332" w:rsidRPr="00EA6C7A">
        <w:rPr>
          <w:lang w:val="en-US"/>
        </w:rPr>
        <w:t xml:space="preserve">2 </w:t>
      </w:r>
      <w:r w:rsidR="00EB6E56" w:rsidRPr="00EA6C7A">
        <w:rPr>
          <w:lang w:val="en-US"/>
        </w:rPr>
        <w:t>of this instrument,</w:t>
      </w:r>
      <w:r w:rsidR="00D948A1" w:rsidRPr="00EA6C7A">
        <w:rPr>
          <w:lang w:val="en-US"/>
        </w:rPr>
        <w:t xml:space="preserve"> and </w:t>
      </w:r>
      <w:r w:rsidR="0096418F" w:rsidRPr="00EA6C7A">
        <w:rPr>
          <w:lang w:val="en-US"/>
        </w:rPr>
        <w:t>Article</w:t>
      </w:r>
      <w:r w:rsidR="00214332" w:rsidRPr="00EA6C7A">
        <w:rPr>
          <w:lang w:val="en-US"/>
        </w:rPr>
        <w:t xml:space="preserve"> 7</w:t>
      </w:r>
      <w:r w:rsidR="0096418F" w:rsidRPr="00EA6C7A">
        <w:rPr>
          <w:lang w:val="en-US"/>
        </w:rPr>
        <w:t xml:space="preserve"> of the </w:t>
      </w:r>
      <w:r w:rsidR="004554C7" w:rsidRPr="00EA6C7A">
        <w:rPr>
          <w:lang w:val="en-US"/>
        </w:rPr>
        <w:t>Convention of Belém</w:t>
      </w:r>
      <w:r w:rsidR="00214332" w:rsidRPr="00EA6C7A">
        <w:rPr>
          <w:lang w:val="en-US"/>
        </w:rPr>
        <w:t xml:space="preserve"> do Pará. </w:t>
      </w:r>
    </w:p>
    <w:p w14:paraId="4C199D2B" w14:textId="77777777" w:rsidR="00214332" w:rsidRPr="00EA6C7A" w:rsidRDefault="00214332" w:rsidP="00214332">
      <w:pPr>
        <w:pStyle w:val="Sentencia2"/>
        <w:spacing w:line="240" w:lineRule="auto"/>
        <w:rPr>
          <w:rStyle w:val="nfasis"/>
          <w:rFonts w:eastAsia="Calibri"/>
          <w:b w:val="0"/>
          <w:bCs w:val="0"/>
          <w:iCs w:val="0"/>
          <w:sz w:val="22"/>
          <w:szCs w:val="22"/>
          <w:lang w:val="en-US" w:eastAsia="en-US"/>
        </w:rPr>
      </w:pPr>
    </w:p>
    <w:p w14:paraId="0DAF5A15" w14:textId="77777777" w:rsidR="00214332" w:rsidRPr="00EA6C7A" w:rsidRDefault="00214332" w:rsidP="00214332">
      <w:pPr>
        <w:pStyle w:val="Sentencia2"/>
        <w:spacing w:line="240" w:lineRule="auto"/>
        <w:rPr>
          <w:rStyle w:val="nfasis"/>
          <w:rFonts w:eastAsia="Calibri"/>
          <w:b w:val="0"/>
          <w:bCs w:val="0"/>
          <w:iCs w:val="0"/>
          <w:sz w:val="22"/>
          <w:szCs w:val="22"/>
          <w:lang w:val="en-US" w:eastAsia="en-US"/>
        </w:rPr>
      </w:pPr>
      <w:bookmarkStart w:id="66" w:name="_Toc26002315"/>
      <w:r w:rsidRPr="00EA6C7A">
        <w:rPr>
          <w:rStyle w:val="nfasis"/>
          <w:rFonts w:eastAsia="Calibri"/>
          <w:lang w:val="en-US"/>
        </w:rPr>
        <w:t xml:space="preserve">B. </w:t>
      </w:r>
      <w:r w:rsidR="008524CB" w:rsidRPr="00EA6C7A">
        <w:rPr>
          <w:rStyle w:val="nfasis"/>
          <w:rFonts w:eastAsia="Calibri"/>
          <w:lang w:val="en-US"/>
        </w:rPr>
        <w:t>Considerations of the</w:t>
      </w:r>
      <w:r w:rsidR="0096418F" w:rsidRPr="00EA6C7A">
        <w:rPr>
          <w:rStyle w:val="nfasis"/>
          <w:rFonts w:eastAsia="Calibri"/>
          <w:lang w:val="en-US"/>
        </w:rPr>
        <w:t xml:space="preserve"> Court</w:t>
      </w:r>
      <w:bookmarkEnd w:id="66"/>
    </w:p>
    <w:p w14:paraId="1B1F9AD8" w14:textId="77777777" w:rsidR="00214332" w:rsidRPr="00EA6C7A" w:rsidRDefault="00214332" w:rsidP="00214332">
      <w:pPr>
        <w:pStyle w:val="ColorfulList-Accent11"/>
        <w:autoSpaceDE w:val="0"/>
        <w:autoSpaceDN w:val="0"/>
        <w:adjustRightInd w:val="0"/>
        <w:spacing w:after="0" w:line="240" w:lineRule="auto"/>
        <w:ind w:left="0"/>
        <w:jc w:val="both"/>
        <w:rPr>
          <w:rFonts w:ascii="Verdana" w:hAnsi="Verdana"/>
          <w:lang w:val="en-US"/>
        </w:rPr>
      </w:pPr>
    </w:p>
    <w:p w14:paraId="26840153" w14:textId="77777777" w:rsidR="00214332" w:rsidRPr="00EA6C7A" w:rsidRDefault="001238A7" w:rsidP="00077D21">
      <w:pPr>
        <w:pStyle w:val="PrrafodeSentencia"/>
        <w:rPr>
          <w:lang w:val="en-US"/>
        </w:rPr>
      </w:pPr>
      <w:r w:rsidRPr="00EA6C7A">
        <w:rPr>
          <w:lang w:val="en-US"/>
        </w:rPr>
        <w:t xml:space="preserve">In this case it has not been alleged that the State violated its obligation to respect the </w:t>
      </w:r>
      <w:r w:rsidR="002D43FE" w:rsidRPr="00EA6C7A">
        <w:rPr>
          <w:lang w:val="en-US"/>
        </w:rPr>
        <w:t>r</w:t>
      </w:r>
      <w:r w:rsidR="00123BD3" w:rsidRPr="00EA6C7A">
        <w:rPr>
          <w:lang w:val="en-US"/>
        </w:rPr>
        <w:t>ights to life</w:t>
      </w:r>
      <w:r w:rsidR="00214332" w:rsidRPr="00EA6C7A">
        <w:rPr>
          <w:lang w:val="en-US"/>
        </w:rPr>
        <w:t xml:space="preserve">, </w:t>
      </w:r>
      <w:r w:rsidR="00515C34" w:rsidRPr="00EA6C7A">
        <w:rPr>
          <w:lang w:val="en-US"/>
        </w:rPr>
        <w:t>personal integrity</w:t>
      </w:r>
      <w:r w:rsidR="00D948A1" w:rsidRPr="00EA6C7A">
        <w:rPr>
          <w:lang w:val="en-US"/>
        </w:rPr>
        <w:t xml:space="preserve"> and </w:t>
      </w:r>
      <w:r w:rsidR="00EB6E56" w:rsidRPr="00EA6C7A">
        <w:rPr>
          <w:lang w:val="en-US"/>
        </w:rPr>
        <w:t>honor and dignity</w:t>
      </w:r>
      <w:r w:rsidR="00214332" w:rsidRPr="00EA6C7A">
        <w:rPr>
          <w:lang w:val="en-US"/>
        </w:rPr>
        <w:t xml:space="preserve">. </w:t>
      </w:r>
      <w:r w:rsidRPr="00EA6C7A">
        <w:rPr>
          <w:lang w:val="en-US"/>
        </w:rPr>
        <w:t xml:space="preserve">The dispute has been presented only with regard to the State’s alleged </w:t>
      </w:r>
      <w:r w:rsidR="0093242B" w:rsidRPr="00EA6C7A">
        <w:rPr>
          <w:lang w:val="en-US"/>
        </w:rPr>
        <w:t xml:space="preserve">non-compliance with the obligation </w:t>
      </w:r>
      <w:r w:rsidRPr="00EA6C7A">
        <w:rPr>
          <w:lang w:val="en-US"/>
        </w:rPr>
        <w:t>to ensure th</w:t>
      </w:r>
      <w:r w:rsidR="0093242B" w:rsidRPr="00EA6C7A">
        <w:rPr>
          <w:lang w:val="en-US"/>
        </w:rPr>
        <w:t>o</w:t>
      </w:r>
      <w:r w:rsidRPr="00EA6C7A">
        <w:rPr>
          <w:lang w:val="en-US"/>
        </w:rPr>
        <w:t>se rights</w:t>
      </w:r>
      <w:r w:rsidR="00CB24D1" w:rsidRPr="00EA6C7A">
        <w:rPr>
          <w:lang w:val="en-US"/>
        </w:rPr>
        <w:t>;</w:t>
      </w:r>
      <w:r w:rsidRPr="00EA6C7A">
        <w:rPr>
          <w:lang w:val="en-US"/>
        </w:rPr>
        <w:t xml:space="preserve"> on the one hand, by </w:t>
      </w:r>
      <w:r w:rsidR="00CB24D1" w:rsidRPr="00EA6C7A">
        <w:rPr>
          <w:lang w:val="en-US"/>
        </w:rPr>
        <w:t>failing to</w:t>
      </w:r>
      <w:r w:rsidRPr="00EA6C7A">
        <w:rPr>
          <w:lang w:val="en-US"/>
        </w:rPr>
        <w:t xml:space="preserve"> prevent their violation and, on the other, b</w:t>
      </w:r>
      <w:r w:rsidR="00CB24D1" w:rsidRPr="00EA6C7A">
        <w:rPr>
          <w:lang w:val="en-US"/>
        </w:rPr>
        <w:t>y</w:t>
      </w:r>
      <w:r w:rsidRPr="00EA6C7A">
        <w:rPr>
          <w:lang w:val="en-US"/>
        </w:rPr>
        <w:t xml:space="preserve"> </w:t>
      </w:r>
      <w:r w:rsidR="00CB24D1" w:rsidRPr="00EA6C7A">
        <w:rPr>
          <w:lang w:val="en-US"/>
        </w:rPr>
        <w:t>failing to</w:t>
      </w:r>
      <w:r w:rsidRPr="00EA6C7A">
        <w:rPr>
          <w:lang w:val="en-US"/>
        </w:rPr>
        <w:t xml:space="preserve"> investigat</w:t>
      </w:r>
      <w:r w:rsidR="00CB24D1" w:rsidRPr="00EA6C7A">
        <w:rPr>
          <w:lang w:val="en-US"/>
        </w:rPr>
        <w:t>e</w:t>
      </w:r>
      <w:r w:rsidRPr="00EA6C7A">
        <w:rPr>
          <w:lang w:val="en-US"/>
        </w:rPr>
        <w:t xml:space="preserve"> the case effectively. In this chapter, the Court will only examine the State’s alleged non-compliance with its obligation to prevent the violation </w:t>
      </w:r>
      <w:r w:rsidR="001914FC" w:rsidRPr="00EA6C7A">
        <w:rPr>
          <w:lang w:val="en-US"/>
        </w:rPr>
        <w:t xml:space="preserve">of the </w:t>
      </w:r>
      <w:r w:rsidRPr="00EA6C7A">
        <w:rPr>
          <w:lang w:val="en-US"/>
        </w:rPr>
        <w:t xml:space="preserve">said rights. The alleged failure to comply with the obligation to investigate will be examined </w:t>
      </w:r>
      <w:r w:rsidR="00600072" w:rsidRPr="00EA6C7A">
        <w:rPr>
          <w:lang w:val="en-US"/>
        </w:rPr>
        <w:t>i</w:t>
      </w:r>
      <w:r w:rsidR="00123BD3" w:rsidRPr="00EA6C7A">
        <w:rPr>
          <w:lang w:val="en-US"/>
        </w:rPr>
        <w:t xml:space="preserve">n </w:t>
      </w:r>
      <w:r w:rsidR="00600072" w:rsidRPr="00EA6C7A">
        <w:rPr>
          <w:lang w:val="en-US"/>
        </w:rPr>
        <w:t>the following c</w:t>
      </w:r>
      <w:r w:rsidR="00123BD3" w:rsidRPr="00EA6C7A">
        <w:rPr>
          <w:lang w:val="en-US"/>
        </w:rPr>
        <w:t>hapter</w:t>
      </w:r>
      <w:r w:rsidR="00214332" w:rsidRPr="00EA6C7A">
        <w:rPr>
          <w:lang w:val="en-US"/>
        </w:rPr>
        <w:t xml:space="preserve"> </w:t>
      </w:r>
      <w:r w:rsidR="00600072" w:rsidRPr="00EA6C7A">
        <w:rPr>
          <w:lang w:val="en-US"/>
        </w:rPr>
        <w:t>of this judgment</w:t>
      </w:r>
      <w:r w:rsidR="00214332" w:rsidRPr="00EA6C7A">
        <w:rPr>
          <w:lang w:val="en-US"/>
        </w:rPr>
        <w:t xml:space="preserve">. </w:t>
      </w:r>
    </w:p>
    <w:p w14:paraId="3133911D" w14:textId="77777777" w:rsidR="00214332" w:rsidRPr="00EA6C7A" w:rsidRDefault="00214332" w:rsidP="00214332">
      <w:pPr>
        <w:pStyle w:val="ColorfulList-Accent11"/>
        <w:autoSpaceDE w:val="0"/>
        <w:autoSpaceDN w:val="0"/>
        <w:adjustRightInd w:val="0"/>
        <w:spacing w:after="0" w:line="240" w:lineRule="auto"/>
        <w:ind w:left="0"/>
        <w:jc w:val="both"/>
        <w:rPr>
          <w:rFonts w:ascii="Verdana" w:eastAsia="Calibri" w:hAnsi="Verdana"/>
          <w:lang w:val="en-US" w:eastAsia="x-none"/>
        </w:rPr>
      </w:pPr>
    </w:p>
    <w:p w14:paraId="2252D5B6" w14:textId="77777777" w:rsidR="00214332" w:rsidRPr="00EA6C7A" w:rsidRDefault="001A1486" w:rsidP="00077D21">
      <w:pPr>
        <w:pStyle w:val="PrrafodeSentencia"/>
        <w:rPr>
          <w:lang w:val="en-US"/>
        </w:rPr>
      </w:pPr>
      <w:r w:rsidRPr="00EA6C7A">
        <w:rPr>
          <w:lang w:val="en-US"/>
        </w:rPr>
        <w:lastRenderedPageBreak/>
        <w:t>According to</w:t>
      </w:r>
      <w:r w:rsidR="00214332" w:rsidRPr="00EA6C7A">
        <w:rPr>
          <w:lang w:val="en-US"/>
        </w:rPr>
        <w:t xml:space="preserve"> </w:t>
      </w:r>
      <w:r w:rsidR="00515C34" w:rsidRPr="00EA6C7A">
        <w:rPr>
          <w:lang w:val="en-US"/>
        </w:rPr>
        <w:t>Article 1(1)</w:t>
      </w:r>
      <w:r w:rsidR="0096418F" w:rsidRPr="00EA6C7A">
        <w:rPr>
          <w:lang w:val="en-US"/>
        </w:rPr>
        <w:t xml:space="preserve"> of the Convention</w:t>
      </w:r>
      <w:r w:rsidR="00214332" w:rsidRPr="00EA6C7A">
        <w:rPr>
          <w:lang w:val="en-US"/>
        </w:rPr>
        <w:t xml:space="preserve">, </w:t>
      </w:r>
      <w:r w:rsidRPr="00EA6C7A">
        <w:rPr>
          <w:lang w:val="en-US"/>
        </w:rPr>
        <w:t>States are obliged to respect and ensure the human rights recognized therein.</w:t>
      </w:r>
      <w:r w:rsidR="00214332" w:rsidRPr="00EA6C7A">
        <w:rPr>
          <w:vertAlign w:val="superscript"/>
        </w:rPr>
        <w:footnoteReference w:id="175"/>
      </w:r>
      <w:r w:rsidR="00214332" w:rsidRPr="00EA6C7A">
        <w:rPr>
          <w:lang w:val="en-US"/>
        </w:rPr>
        <w:t xml:space="preserve"> </w:t>
      </w:r>
      <w:r w:rsidRPr="00EA6C7A">
        <w:rPr>
          <w:lang w:val="en-US"/>
        </w:rPr>
        <w:t>I</w:t>
      </w:r>
      <w:r w:rsidR="00214332" w:rsidRPr="00EA6C7A">
        <w:rPr>
          <w:lang w:val="en-US"/>
        </w:rPr>
        <w:t xml:space="preserve">n particular, </w:t>
      </w:r>
      <w:r w:rsidRPr="00EA6C7A">
        <w:rPr>
          <w:lang w:val="en-US"/>
        </w:rPr>
        <w:t>in the case of the</w:t>
      </w:r>
      <w:r w:rsidR="00214332" w:rsidRPr="00EA6C7A">
        <w:rPr>
          <w:lang w:val="en-US"/>
        </w:rPr>
        <w:t xml:space="preserve"> </w:t>
      </w:r>
      <w:r w:rsidRPr="00EA6C7A">
        <w:rPr>
          <w:lang w:val="en-US"/>
        </w:rPr>
        <w:t>r</w:t>
      </w:r>
      <w:r w:rsidR="00123BD3" w:rsidRPr="00EA6C7A">
        <w:rPr>
          <w:lang w:val="en-US"/>
        </w:rPr>
        <w:t>ights to life</w:t>
      </w:r>
      <w:r w:rsidR="00214332" w:rsidRPr="00EA6C7A">
        <w:rPr>
          <w:lang w:val="en-US"/>
        </w:rPr>
        <w:t xml:space="preserve">, </w:t>
      </w:r>
      <w:r w:rsidR="008F5E1D" w:rsidRPr="00EA6C7A">
        <w:rPr>
          <w:lang w:val="en-US"/>
        </w:rPr>
        <w:t xml:space="preserve">to </w:t>
      </w:r>
      <w:r w:rsidR="00515C34" w:rsidRPr="00EA6C7A">
        <w:rPr>
          <w:lang w:val="en-US"/>
        </w:rPr>
        <w:t>personal integrity</w:t>
      </w:r>
      <w:r w:rsidR="00214332" w:rsidRPr="00EA6C7A">
        <w:rPr>
          <w:lang w:val="en-US"/>
        </w:rPr>
        <w:t>,</w:t>
      </w:r>
      <w:r w:rsidR="00D948A1" w:rsidRPr="00EA6C7A">
        <w:rPr>
          <w:lang w:val="en-US"/>
        </w:rPr>
        <w:t xml:space="preserve"> and </w:t>
      </w:r>
      <w:r w:rsidR="008F5E1D" w:rsidRPr="00EA6C7A">
        <w:rPr>
          <w:lang w:val="en-US"/>
        </w:rPr>
        <w:t xml:space="preserve">to </w:t>
      </w:r>
      <w:r w:rsidR="00EB6E56" w:rsidRPr="00EA6C7A">
        <w:rPr>
          <w:lang w:val="en-US"/>
        </w:rPr>
        <w:t>honor and dignity</w:t>
      </w:r>
      <w:r w:rsidR="00A3345D" w:rsidRPr="00EA6C7A">
        <w:rPr>
          <w:lang w:val="en-US"/>
        </w:rPr>
        <w:t xml:space="preserve">, </w:t>
      </w:r>
      <w:r w:rsidRPr="00EA6C7A">
        <w:rPr>
          <w:lang w:val="en-US"/>
        </w:rPr>
        <w:t>these obligations imply not only that the State must respect them (negative obligation), but they</w:t>
      </w:r>
      <w:r w:rsidR="008F5E1D" w:rsidRPr="00EA6C7A">
        <w:rPr>
          <w:lang w:val="en-US"/>
        </w:rPr>
        <w:t xml:space="preserve"> also</w:t>
      </w:r>
      <w:r w:rsidRPr="00EA6C7A">
        <w:rPr>
          <w:lang w:val="en-US"/>
        </w:rPr>
        <w:t xml:space="preserve"> require that the State take all appropriate measures to ensure them (positive obligation</w:t>
      </w:r>
      <w:r w:rsidR="00214332" w:rsidRPr="00EA6C7A">
        <w:rPr>
          <w:lang w:val="en-US"/>
        </w:rPr>
        <w:t>)</w:t>
      </w:r>
      <w:r w:rsidRPr="00EA6C7A">
        <w:rPr>
          <w:lang w:val="en-US"/>
        </w:rPr>
        <w:t>.</w:t>
      </w:r>
      <w:r w:rsidR="00214332" w:rsidRPr="00EA6C7A">
        <w:rPr>
          <w:vertAlign w:val="superscript"/>
        </w:rPr>
        <w:footnoteReference w:id="176"/>
      </w:r>
      <w:r w:rsidR="00214332" w:rsidRPr="00EA6C7A">
        <w:rPr>
          <w:lang w:val="en-US"/>
        </w:rPr>
        <w:t xml:space="preserve"> </w:t>
      </w:r>
    </w:p>
    <w:p w14:paraId="5EDD683A" w14:textId="77777777" w:rsidR="00214332" w:rsidRPr="00EA6C7A" w:rsidRDefault="00214332" w:rsidP="00214332">
      <w:pPr>
        <w:pStyle w:val="ColorfulList-Accent11"/>
        <w:autoSpaceDE w:val="0"/>
        <w:autoSpaceDN w:val="0"/>
        <w:adjustRightInd w:val="0"/>
        <w:spacing w:after="0" w:line="240" w:lineRule="auto"/>
        <w:ind w:left="0"/>
        <w:jc w:val="both"/>
        <w:rPr>
          <w:rFonts w:ascii="Verdana" w:hAnsi="Verdana" w:cs="Tahoma"/>
          <w:lang w:val="en-US"/>
        </w:rPr>
      </w:pPr>
    </w:p>
    <w:p w14:paraId="6EF4735A" w14:textId="77777777" w:rsidR="00214332" w:rsidRPr="00EA6C7A" w:rsidRDefault="001A1486" w:rsidP="00077D21">
      <w:pPr>
        <w:pStyle w:val="PrrafodeSentencia"/>
        <w:rPr>
          <w:lang w:val="en-US"/>
        </w:rPr>
      </w:pPr>
      <w:r w:rsidRPr="00EA6C7A">
        <w:rPr>
          <w:lang w:val="en-US"/>
        </w:rPr>
        <w:t>This Court has established that the obligation to ensure the rights</w:t>
      </w:r>
      <w:r w:rsidR="00123BD3" w:rsidRPr="00EA6C7A">
        <w:rPr>
          <w:lang w:val="en-US"/>
        </w:rPr>
        <w:t xml:space="preserve"> to life</w:t>
      </w:r>
      <w:r w:rsidR="00214332" w:rsidRPr="00EA6C7A">
        <w:rPr>
          <w:rFonts w:eastAsia="Calibri"/>
          <w:lang w:val="en-US"/>
        </w:rPr>
        <w:t xml:space="preserve"> </w:t>
      </w:r>
      <w:r w:rsidR="004C1E19" w:rsidRPr="00EA6C7A">
        <w:rPr>
          <w:rFonts w:eastAsia="Calibri"/>
          <w:lang w:val="en-US"/>
        </w:rPr>
        <w:t>and personal</w:t>
      </w:r>
      <w:r w:rsidR="00515C34" w:rsidRPr="00EA6C7A">
        <w:rPr>
          <w:rFonts w:eastAsia="Calibri"/>
          <w:lang w:val="en-US"/>
        </w:rPr>
        <w:t xml:space="preserve"> integrity</w:t>
      </w:r>
      <w:r w:rsidR="00214332" w:rsidRPr="00EA6C7A">
        <w:rPr>
          <w:rFonts w:eastAsia="Calibri"/>
          <w:lang w:val="en-US"/>
        </w:rPr>
        <w:t xml:space="preserve"> </w:t>
      </w:r>
      <w:r w:rsidR="00214332" w:rsidRPr="00EA6C7A">
        <w:rPr>
          <w:lang w:val="en-US"/>
        </w:rPr>
        <w:t>presup</w:t>
      </w:r>
      <w:r w:rsidRPr="00EA6C7A">
        <w:rPr>
          <w:lang w:val="en-US"/>
        </w:rPr>
        <w:t xml:space="preserve">poses the obligation of States to prevent violations of these rights. </w:t>
      </w:r>
      <w:r w:rsidR="008F5E1D" w:rsidRPr="00EA6C7A">
        <w:rPr>
          <w:lang w:val="en-US"/>
        </w:rPr>
        <w:t>T</w:t>
      </w:r>
      <w:r w:rsidR="008F5E1D" w:rsidRPr="00EA6C7A">
        <w:rPr>
          <w:rFonts w:cs="Arial"/>
          <w:lang w:val="en-US"/>
        </w:rPr>
        <w:t>his obligation of prevention encompasses all those measures of a legal, political, administrative or cultural nature that promote the safeguard of human rights and ensure that eventual violations of these rights are truly considered and dealt with as wrongful acts that, as such, may result in punishment for those who commit them, as well as the obligation to compensate the victims for the harmful consequences</w:t>
      </w:r>
      <w:r w:rsidRPr="00EA6C7A">
        <w:rPr>
          <w:lang w:val="en-US"/>
        </w:rPr>
        <w:t>. It is also eviden</w:t>
      </w:r>
      <w:r w:rsidR="008F5E1D" w:rsidRPr="00EA6C7A">
        <w:rPr>
          <w:lang w:val="en-US"/>
        </w:rPr>
        <w:t>t</w:t>
      </w:r>
      <w:r w:rsidRPr="00EA6C7A">
        <w:rPr>
          <w:lang w:val="en-US"/>
        </w:rPr>
        <w:t>, that the obligation to prevent is an obligation of means or conduct</w:t>
      </w:r>
      <w:r w:rsidR="008F5E1D" w:rsidRPr="00EA6C7A">
        <w:rPr>
          <w:lang w:val="en-US"/>
        </w:rPr>
        <w:t>,</w:t>
      </w:r>
      <w:r w:rsidRPr="00EA6C7A">
        <w:rPr>
          <w:lang w:val="en-US"/>
        </w:rPr>
        <w:t xml:space="preserve"> and failure to comply with it is not proved by the mere fact that a right has been violated.</w:t>
      </w:r>
      <w:r w:rsidR="00214332" w:rsidRPr="00EA6C7A">
        <w:rPr>
          <w:vertAlign w:val="superscript"/>
        </w:rPr>
        <w:footnoteReference w:id="177"/>
      </w:r>
    </w:p>
    <w:p w14:paraId="32FA2E52" w14:textId="77777777" w:rsidR="00214332" w:rsidRPr="00EA6C7A" w:rsidRDefault="00214332" w:rsidP="00214332">
      <w:pPr>
        <w:pStyle w:val="ColorfulList-Accent11"/>
        <w:autoSpaceDE w:val="0"/>
        <w:autoSpaceDN w:val="0"/>
        <w:adjustRightInd w:val="0"/>
        <w:spacing w:after="0" w:line="240" w:lineRule="auto"/>
        <w:ind w:left="0"/>
        <w:jc w:val="both"/>
        <w:rPr>
          <w:rFonts w:ascii="Verdana" w:hAnsi="Verdana"/>
          <w:lang w:val="en-US"/>
        </w:rPr>
      </w:pPr>
    </w:p>
    <w:p w14:paraId="42CFC58C" w14:textId="77777777" w:rsidR="00214332" w:rsidRPr="00EA6C7A" w:rsidRDefault="0092568A" w:rsidP="00077D21">
      <w:pPr>
        <w:pStyle w:val="PrrafodeSentencia"/>
        <w:rPr>
          <w:b/>
          <w:lang w:val="en-US"/>
        </w:rPr>
      </w:pPr>
      <w:r w:rsidRPr="00EA6C7A">
        <w:rPr>
          <w:lang w:val="en-US"/>
        </w:rPr>
        <w:t>Article</w:t>
      </w:r>
      <w:r w:rsidR="00214332" w:rsidRPr="00EA6C7A">
        <w:rPr>
          <w:lang w:val="en-US"/>
        </w:rPr>
        <w:t xml:space="preserve"> 7</w:t>
      </w:r>
      <w:r w:rsidR="0096418F" w:rsidRPr="00EA6C7A">
        <w:rPr>
          <w:lang w:val="en-US"/>
        </w:rPr>
        <w:t xml:space="preserve"> of the </w:t>
      </w:r>
      <w:r w:rsidR="004554C7" w:rsidRPr="00EA6C7A">
        <w:rPr>
          <w:lang w:val="en-US"/>
        </w:rPr>
        <w:t>Convention of Belém</w:t>
      </w:r>
      <w:r w:rsidR="00214332" w:rsidRPr="00EA6C7A">
        <w:rPr>
          <w:lang w:val="en-US"/>
        </w:rPr>
        <w:t xml:space="preserve"> do Pará </w:t>
      </w:r>
      <w:r w:rsidR="001A1486" w:rsidRPr="00EA6C7A">
        <w:rPr>
          <w:lang w:val="en-US"/>
        </w:rPr>
        <w:t>establishes State obligations to prevent, punish and eradicate violence against women</w:t>
      </w:r>
      <w:r w:rsidR="00214332" w:rsidRPr="00EA6C7A">
        <w:rPr>
          <w:rStyle w:val="Refdenotaalpie"/>
          <w:lang w:val="en-US"/>
        </w:rPr>
        <w:footnoteReference w:id="178"/>
      </w:r>
      <w:r w:rsidR="00214332" w:rsidRPr="00EA6C7A">
        <w:rPr>
          <w:lang w:val="en-US"/>
        </w:rPr>
        <w:t xml:space="preserve"> </w:t>
      </w:r>
      <w:r w:rsidR="001A1486" w:rsidRPr="00EA6C7A">
        <w:rPr>
          <w:lang w:val="en-US"/>
        </w:rPr>
        <w:t xml:space="preserve">that </w:t>
      </w:r>
      <w:r w:rsidR="008F5E1D" w:rsidRPr="00EA6C7A">
        <w:rPr>
          <w:lang w:val="en-US"/>
        </w:rPr>
        <w:t>define</w:t>
      </w:r>
      <w:r w:rsidR="001A1486" w:rsidRPr="00EA6C7A">
        <w:rPr>
          <w:lang w:val="en-US"/>
        </w:rPr>
        <w:t xml:space="preserve"> and supplement the State obligation </w:t>
      </w:r>
      <w:r w:rsidR="008F5E1D" w:rsidRPr="00EA6C7A">
        <w:rPr>
          <w:lang w:val="en-US"/>
        </w:rPr>
        <w:t>to</w:t>
      </w:r>
      <w:r w:rsidR="001A1486" w:rsidRPr="00EA6C7A">
        <w:rPr>
          <w:lang w:val="en-US"/>
        </w:rPr>
        <w:t xml:space="preserve"> compl</w:t>
      </w:r>
      <w:r w:rsidR="008F5E1D" w:rsidRPr="00EA6C7A">
        <w:rPr>
          <w:lang w:val="en-US"/>
        </w:rPr>
        <w:t>y</w:t>
      </w:r>
      <w:r w:rsidR="001A1486" w:rsidRPr="00EA6C7A">
        <w:rPr>
          <w:lang w:val="en-US"/>
        </w:rPr>
        <w:t xml:space="preserve"> with the rights recognized in </w:t>
      </w:r>
      <w:r w:rsidR="0096418F" w:rsidRPr="00EA6C7A">
        <w:rPr>
          <w:lang w:val="en-US"/>
        </w:rPr>
        <w:t>the American Convention</w:t>
      </w:r>
      <w:r w:rsidR="00214332" w:rsidRPr="00EA6C7A">
        <w:rPr>
          <w:lang w:val="en-US"/>
        </w:rPr>
        <w:t xml:space="preserve">, </w:t>
      </w:r>
      <w:r w:rsidR="001A1486" w:rsidRPr="00EA6C7A">
        <w:rPr>
          <w:lang w:val="en-US"/>
        </w:rPr>
        <w:t xml:space="preserve">such as those established in </w:t>
      </w:r>
      <w:r w:rsidR="0096418F" w:rsidRPr="00EA6C7A">
        <w:rPr>
          <w:lang w:val="en-US"/>
        </w:rPr>
        <w:t>Articles</w:t>
      </w:r>
      <w:r w:rsidR="00214332" w:rsidRPr="00EA6C7A">
        <w:rPr>
          <w:lang w:val="en-US"/>
        </w:rPr>
        <w:t xml:space="preserve"> 4</w:t>
      </w:r>
      <w:r w:rsidR="00D948A1" w:rsidRPr="00EA6C7A">
        <w:rPr>
          <w:lang w:val="en-US"/>
        </w:rPr>
        <w:t xml:space="preserve"> and </w:t>
      </w:r>
      <w:r w:rsidR="00214332" w:rsidRPr="00EA6C7A">
        <w:rPr>
          <w:lang w:val="en-US"/>
        </w:rPr>
        <w:t>5</w:t>
      </w:r>
      <w:r w:rsidR="001A1486" w:rsidRPr="00EA6C7A">
        <w:rPr>
          <w:lang w:val="en-US"/>
        </w:rPr>
        <w:t>.</w:t>
      </w:r>
      <w:r w:rsidR="00214332" w:rsidRPr="00EA6C7A">
        <w:rPr>
          <w:rStyle w:val="Refdenotaalpie"/>
          <w:lang w:val="en-US"/>
        </w:rPr>
        <w:footnoteReference w:id="179"/>
      </w:r>
      <w:r w:rsidR="001A1486" w:rsidRPr="00EA6C7A">
        <w:rPr>
          <w:lang w:val="en-US"/>
        </w:rPr>
        <w:t xml:space="preserve"> In this regard, the Court has established that States must adopt comprehensive measures to comply with due diligence in case</w:t>
      </w:r>
      <w:r w:rsidR="008F5E1D" w:rsidRPr="00EA6C7A">
        <w:rPr>
          <w:lang w:val="en-US"/>
        </w:rPr>
        <w:t>s</w:t>
      </w:r>
      <w:r w:rsidR="001A1486" w:rsidRPr="00EA6C7A">
        <w:rPr>
          <w:lang w:val="en-US"/>
        </w:rPr>
        <w:t xml:space="preserve"> of violence against women. In particular, they must </w:t>
      </w:r>
      <w:r w:rsidR="008F5E1D" w:rsidRPr="00EA6C7A">
        <w:rPr>
          <w:lang w:val="en-US"/>
        </w:rPr>
        <w:t>have</w:t>
      </w:r>
      <w:r w:rsidR="001A1486" w:rsidRPr="00EA6C7A">
        <w:rPr>
          <w:lang w:val="en-US"/>
        </w:rPr>
        <w:t xml:space="preserve"> an a</w:t>
      </w:r>
      <w:r w:rsidR="008F5E1D" w:rsidRPr="00EA6C7A">
        <w:rPr>
          <w:lang w:val="en-US"/>
        </w:rPr>
        <w:t>dequate</w:t>
      </w:r>
      <w:r w:rsidR="001A1486" w:rsidRPr="00EA6C7A">
        <w:rPr>
          <w:lang w:val="en-US"/>
        </w:rPr>
        <w:t xml:space="preserve"> legal protection framework </w:t>
      </w:r>
      <w:r w:rsidR="008F5E1D" w:rsidRPr="00EA6C7A">
        <w:rPr>
          <w:lang w:val="en-US"/>
        </w:rPr>
        <w:t>that is enforced effectively,</w:t>
      </w:r>
      <w:r w:rsidR="001A1486" w:rsidRPr="00EA6C7A">
        <w:rPr>
          <w:lang w:val="en-US"/>
        </w:rPr>
        <w:t xml:space="preserve"> and prevention policies and practices that permit an eff</w:t>
      </w:r>
      <w:r w:rsidR="005640CE" w:rsidRPr="00EA6C7A">
        <w:rPr>
          <w:lang w:val="en-US"/>
        </w:rPr>
        <w:t>icient</w:t>
      </w:r>
      <w:r w:rsidR="001A1486" w:rsidRPr="00EA6C7A">
        <w:rPr>
          <w:lang w:val="en-US"/>
        </w:rPr>
        <w:t xml:space="preserve"> response to complaints.</w:t>
      </w:r>
      <w:r w:rsidR="00214332" w:rsidRPr="00EA6C7A">
        <w:rPr>
          <w:rStyle w:val="Refdenotaalpie"/>
          <w:lang w:val="en-US"/>
        </w:rPr>
        <w:footnoteReference w:id="180"/>
      </w:r>
      <w:r w:rsidR="00214332" w:rsidRPr="00EA6C7A">
        <w:rPr>
          <w:lang w:val="en-US"/>
        </w:rPr>
        <w:t xml:space="preserve"> </w:t>
      </w:r>
      <w:r w:rsidR="001A1486" w:rsidRPr="00EA6C7A">
        <w:rPr>
          <w:lang w:val="en-US"/>
        </w:rPr>
        <w:t>The prevention strategy must be comprehensive; that is, it must prevent the risk factors and also reinforce institutions so that they can provide an effective response to cases of violence against women. In addition, State</w:t>
      </w:r>
      <w:r w:rsidR="005640CE" w:rsidRPr="00EA6C7A">
        <w:rPr>
          <w:lang w:val="en-US"/>
        </w:rPr>
        <w:t>s</w:t>
      </w:r>
      <w:r w:rsidR="001A1486" w:rsidRPr="00EA6C7A">
        <w:rPr>
          <w:lang w:val="en-US"/>
        </w:rPr>
        <w:t xml:space="preserve"> must adopt preventive measures in specific cases in which it is evident that certain women and girls may be victims of violence.</w:t>
      </w:r>
      <w:r w:rsidR="00214332" w:rsidRPr="00EA6C7A">
        <w:rPr>
          <w:rStyle w:val="Refdenotaalpie"/>
          <w:lang w:val="en-US"/>
        </w:rPr>
        <w:footnoteReference w:id="181"/>
      </w:r>
      <w:r w:rsidR="001A1486" w:rsidRPr="00EA6C7A">
        <w:rPr>
          <w:lang w:val="en-US"/>
        </w:rPr>
        <w:t xml:space="preserve"> All this must take into account that, in cases of violence against women, State</w:t>
      </w:r>
      <w:r w:rsidR="005640CE" w:rsidRPr="00EA6C7A">
        <w:rPr>
          <w:lang w:val="en-US"/>
        </w:rPr>
        <w:t>s</w:t>
      </w:r>
      <w:r w:rsidR="001A1486" w:rsidRPr="00EA6C7A">
        <w:rPr>
          <w:lang w:val="en-US"/>
        </w:rPr>
        <w:t xml:space="preserve"> also have the general obligations contained in </w:t>
      </w:r>
      <w:r w:rsidR="0096418F" w:rsidRPr="00EA6C7A">
        <w:rPr>
          <w:lang w:val="en-US"/>
        </w:rPr>
        <w:t>the American Convention</w:t>
      </w:r>
      <w:r w:rsidR="00214332" w:rsidRPr="00EA6C7A">
        <w:rPr>
          <w:lang w:val="en-US"/>
        </w:rPr>
        <w:t xml:space="preserve">, </w:t>
      </w:r>
      <w:r w:rsidR="001A1486" w:rsidRPr="00EA6C7A">
        <w:rPr>
          <w:lang w:val="en-US"/>
        </w:rPr>
        <w:t xml:space="preserve">and specific obligations based on </w:t>
      </w:r>
      <w:r w:rsidR="0096418F" w:rsidRPr="00EA6C7A">
        <w:rPr>
          <w:lang w:val="en-US"/>
        </w:rPr>
        <w:t xml:space="preserve">the </w:t>
      </w:r>
      <w:r w:rsidR="004554C7" w:rsidRPr="00EA6C7A">
        <w:rPr>
          <w:lang w:val="en-US"/>
        </w:rPr>
        <w:t>Convention of Belém</w:t>
      </w:r>
      <w:r w:rsidR="00214332" w:rsidRPr="00EA6C7A">
        <w:rPr>
          <w:lang w:val="en-US"/>
        </w:rPr>
        <w:t xml:space="preserve"> do Pará. </w:t>
      </w:r>
    </w:p>
    <w:p w14:paraId="37DA69D2" w14:textId="77777777" w:rsidR="00214332" w:rsidRPr="00EA6C7A" w:rsidRDefault="00214332" w:rsidP="00214332">
      <w:pPr>
        <w:pStyle w:val="ColorfulList-Accent11"/>
        <w:autoSpaceDE w:val="0"/>
        <w:autoSpaceDN w:val="0"/>
        <w:adjustRightInd w:val="0"/>
        <w:spacing w:after="0" w:line="240" w:lineRule="auto"/>
        <w:ind w:left="0"/>
        <w:jc w:val="both"/>
        <w:rPr>
          <w:rFonts w:ascii="Verdana" w:hAnsi="Verdana"/>
          <w:b/>
          <w:lang w:val="en-US"/>
        </w:rPr>
      </w:pPr>
    </w:p>
    <w:p w14:paraId="511A6E96" w14:textId="77777777" w:rsidR="00214332" w:rsidRPr="00EA6C7A" w:rsidRDefault="001A1486" w:rsidP="00077D21">
      <w:pPr>
        <w:pStyle w:val="PrrafodeSentencia"/>
        <w:rPr>
          <w:b/>
          <w:lang w:val="en-US"/>
        </w:rPr>
      </w:pPr>
      <w:r w:rsidRPr="00EA6C7A">
        <w:rPr>
          <w:lang w:val="en-US"/>
        </w:rPr>
        <w:t>That said, based on the Court’s case law, it is clear that a State cannot be held responsible for every human rights</w:t>
      </w:r>
      <w:r w:rsidR="005640CE" w:rsidRPr="00EA6C7A">
        <w:rPr>
          <w:lang w:val="en-US"/>
        </w:rPr>
        <w:t xml:space="preserve"> violation</w:t>
      </w:r>
      <w:r w:rsidRPr="00EA6C7A">
        <w:rPr>
          <w:lang w:val="en-US"/>
        </w:rPr>
        <w:t xml:space="preserve"> committed between individuals </w:t>
      </w:r>
      <w:r w:rsidR="005640CE" w:rsidRPr="00EA6C7A">
        <w:rPr>
          <w:lang w:val="en-US"/>
        </w:rPr>
        <w:t>subject to</w:t>
      </w:r>
      <w:r w:rsidRPr="00EA6C7A">
        <w:rPr>
          <w:lang w:val="en-US"/>
        </w:rPr>
        <w:t xml:space="preserve"> its jurisdiction</w:t>
      </w:r>
      <w:r w:rsidR="00214332" w:rsidRPr="00EA6C7A">
        <w:rPr>
          <w:lang w:val="en-US"/>
        </w:rPr>
        <w:t>.</w:t>
      </w:r>
      <w:r w:rsidRPr="00EA6C7A">
        <w:rPr>
          <w:lang w:val="en-US"/>
        </w:rPr>
        <w:t xml:space="preserve"> Indeed, the State’s </w:t>
      </w:r>
      <w:r w:rsidR="0074682E" w:rsidRPr="00EA6C7A">
        <w:rPr>
          <w:lang w:val="en-US"/>
        </w:rPr>
        <w:t>Convention</w:t>
      </w:r>
      <w:r w:rsidRPr="00EA6C7A">
        <w:rPr>
          <w:lang w:val="en-US"/>
        </w:rPr>
        <w:t xml:space="preserve"> obligation of guarantee do</w:t>
      </w:r>
      <w:r w:rsidR="005640CE" w:rsidRPr="00EA6C7A">
        <w:rPr>
          <w:lang w:val="en-US"/>
        </w:rPr>
        <w:t>es</w:t>
      </w:r>
      <w:r w:rsidRPr="00EA6C7A">
        <w:rPr>
          <w:lang w:val="en-US"/>
        </w:rPr>
        <w:t xml:space="preserve"> not mean that it has unlimited responsibility in the case of </w:t>
      </w:r>
      <w:r w:rsidR="005640CE" w:rsidRPr="00EA6C7A">
        <w:rPr>
          <w:lang w:val="en-US"/>
        </w:rPr>
        <w:t>every</w:t>
      </w:r>
      <w:r w:rsidRPr="00EA6C7A">
        <w:rPr>
          <w:lang w:val="en-US"/>
        </w:rPr>
        <w:t xml:space="preserve"> act or act</w:t>
      </w:r>
      <w:r w:rsidR="005640CE" w:rsidRPr="00EA6C7A">
        <w:rPr>
          <w:lang w:val="en-US"/>
        </w:rPr>
        <w:t>ion</w:t>
      </w:r>
      <w:r w:rsidRPr="00EA6C7A">
        <w:rPr>
          <w:lang w:val="en-US"/>
        </w:rPr>
        <w:t xml:space="preserve"> of private individuals, because its obligation to adopt measures of prevention and protection for individuals in their relations </w:t>
      </w:r>
      <w:r w:rsidR="005640CE" w:rsidRPr="00EA6C7A">
        <w:rPr>
          <w:lang w:val="en-US"/>
        </w:rPr>
        <w:t>with one another</w:t>
      </w:r>
      <w:r w:rsidRPr="00EA6C7A">
        <w:rPr>
          <w:lang w:val="en-US"/>
        </w:rPr>
        <w:t xml:space="preserve"> are conditioned </w:t>
      </w:r>
      <w:r w:rsidR="005640CE" w:rsidRPr="00EA6C7A">
        <w:rPr>
          <w:lang w:val="en-US"/>
        </w:rPr>
        <w:t>by</w:t>
      </w:r>
      <w:r w:rsidRPr="00EA6C7A">
        <w:rPr>
          <w:lang w:val="en-US"/>
        </w:rPr>
        <w:t xml:space="preserve"> its awareness of a situation of real and immediate risk for an </w:t>
      </w:r>
      <w:r w:rsidRPr="00EA6C7A">
        <w:rPr>
          <w:lang w:val="en-US"/>
        </w:rPr>
        <w:lastRenderedPageBreak/>
        <w:t>identified individual or group of individuals – or that the State should be aware of this situation of real and immediate risk – and the reasonable possibilit</w:t>
      </w:r>
      <w:r w:rsidR="005640CE" w:rsidRPr="00EA6C7A">
        <w:rPr>
          <w:lang w:val="en-US"/>
        </w:rPr>
        <w:t>y</w:t>
      </w:r>
      <w:r w:rsidRPr="00EA6C7A">
        <w:rPr>
          <w:lang w:val="en-US"/>
        </w:rPr>
        <w:t xml:space="preserve"> of preventing or avoiding this </w:t>
      </w:r>
      <w:r w:rsidR="005640CE" w:rsidRPr="00EA6C7A">
        <w:rPr>
          <w:lang w:val="en-US"/>
        </w:rPr>
        <w:t>risk</w:t>
      </w:r>
      <w:r w:rsidRPr="00EA6C7A">
        <w:rPr>
          <w:lang w:val="en-US"/>
        </w:rPr>
        <w:t>.</w:t>
      </w:r>
      <w:r w:rsidR="00214332" w:rsidRPr="00EA6C7A">
        <w:rPr>
          <w:vertAlign w:val="superscript"/>
        </w:rPr>
        <w:footnoteReference w:id="182"/>
      </w:r>
      <w:r w:rsidRPr="00EA6C7A">
        <w:rPr>
          <w:lang w:val="en-US"/>
        </w:rPr>
        <w:t xml:space="preserve"> In other words, even though the legal consequence of an</w:t>
      </w:r>
      <w:r w:rsidR="005640CE" w:rsidRPr="00EA6C7A">
        <w:rPr>
          <w:lang w:val="en-US"/>
        </w:rPr>
        <w:t xml:space="preserve"> individual’s</w:t>
      </w:r>
      <w:r w:rsidRPr="00EA6C7A">
        <w:rPr>
          <w:lang w:val="en-US"/>
        </w:rPr>
        <w:t xml:space="preserve"> act or omission is the violation of certain human rights of another individual, this cannot automatically </w:t>
      </w:r>
      <w:r w:rsidR="005640CE" w:rsidRPr="00EA6C7A">
        <w:rPr>
          <w:lang w:val="en-US"/>
        </w:rPr>
        <w:t xml:space="preserve">be </w:t>
      </w:r>
      <w:r w:rsidRPr="00EA6C7A">
        <w:rPr>
          <w:lang w:val="en-US"/>
        </w:rPr>
        <w:t>attributed to the State because the particular circumstances of the case and the implementation of th</w:t>
      </w:r>
      <w:r w:rsidR="005640CE" w:rsidRPr="00EA6C7A">
        <w:rPr>
          <w:lang w:val="en-US"/>
        </w:rPr>
        <w:t>is</w:t>
      </w:r>
      <w:r w:rsidRPr="00EA6C7A">
        <w:rPr>
          <w:lang w:val="en-US"/>
        </w:rPr>
        <w:t xml:space="preserve"> obligation of guarantee must be taken into account.</w:t>
      </w:r>
      <w:r w:rsidR="00214332" w:rsidRPr="00EA6C7A">
        <w:rPr>
          <w:vertAlign w:val="superscript"/>
        </w:rPr>
        <w:footnoteReference w:id="183"/>
      </w:r>
      <w:r w:rsidRPr="00EA6C7A">
        <w:rPr>
          <w:lang w:val="en-US"/>
        </w:rPr>
        <w:t xml:space="preserve"> In this regard</w:t>
      </w:r>
      <w:r w:rsidR="00214332" w:rsidRPr="00EA6C7A">
        <w:rPr>
          <w:lang w:val="en-US"/>
        </w:rPr>
        <w:t xml:space="preserve">, </w:t>
      </w:r>
      <w:r w:rsidR="0096418F" w:rsidRPr="00EA6C7A">
        <w:rPr>
          <w:lang w:val="en-US"/>
        </w:rPr>
        <w:t>the Court</w:t>
      </w:r>
      <w:r w:rsidR="00214332" w:rsidRPr="00EA6C7A">
        <w:rPr>
          <w:lang w:val="en-US"/>
        </w:rPr>
        <w:t xml:space="preserve"> </w:t>
      </w:r>
      <w:r w:rsidRPr="00EA6C7A">
        <w:rPr>
          <w:lang w:val="en-US"/>
        </w:rPr>
        <w:t>clarifies that, in order to establish non-compliance with the obligation to prevent violations of the r</w:t>
      </w:r>
      <w:r w:rsidR="00123BD3" w:rsidRPr="00EA6C7A">
        <w:rPr>
          <w:lang w:val="en-US"/>
        </w:rPr>
        <w:t>ights to life</w:t>
      </w:r>
      <w:r w:rsidR="00214332" w:rsidRPr="00EA6C7A">
        <w:rPr>
          <w:lang w:val="en-US"/>
        </w:rPr>
        <w:t xml:space="preserve"> </w:t>
      </w:r>
      <w:r w:rsidR="004C1E19" w:rsidRPr="00EA6C7A">
        <w:rPr>
          <w:lang w:val="en-US"/>
        </w:rPr>
        <w:t>and personal</w:t>
      </w:r>
      <w:r w:rsidR="00515C34" w:rsidRPr="00EA6C7A">
        <w:rPr>
          <w:lang w:val="en-US"/>
        </w:rPr>
        <w:t xml:space="preserve"> integrity</w:t>
      </w:r>
      <w:r w:rsidR="00214332" w:rsidRPr="00EA6C7A">
        <w:rPr>
          <w:lang w:val="en-US"/>
        </w:rPr>
        <w:t xml:space="preserve">, </w:t>
      </w:r>
      <w:r w:rsidRPr="00EA6C7A">
        <w:rPr>
          <w:lang w:val="en-US"/>
        </w:rPr>
        <w:t xml:space="preserve">it </w:t>
      </w:r>
      <w:r w:rsidR="005640CE" w:rsidRPr="00EA6C7A">
        <w:rPr>
          <w:lang w:val="en-US"/>
        </w:rPr>
        <w:t>must be</w:t>
      </w:r>
      <w:r w:rsidRPr="00EA6C7A">
        <w:rPr>
          <w:lang w:val="en-US"/>
        </w:rPr>
        <w:t xml:space="preserve"> verif</w:t>
      </w:r>
      <w:r w:rsidR="005640CE" w:rsidRPr="00EA6C7A">
        <w:rPr>
          <w:lang w:val="en-US"/>
        </w:rPr>
        <w:t>ied</w:t>
      </w:r>
      <w:r w:rsidRPr="00EA6C7A">
        <w:rPr>
          <w:lang w:val="en-US"/>
        </w:rPr>
        <w:t xml:space="preserve"> that</w:t>
      </w:r>
      <w:r w:rsidR="00214332" w:rsidRPr="00EA6C7A">
        <w:rPr>
          <w:rFonts w:eastAsia="Calibri"/>
          <w:lang w:val="en-US" w:eastAsia="x-none"/>
        </w:rPr>
        <w:t xml:space="preserve">: </w:t>
      </w:r>
      <w:r w:rsidRPr="00EA6C7A">
        <w:rPr>
          <w:rFonts w:eastAsia="Calibri"/>
          <w:lang w:val="en-US" w:eastAsia="x-none"/>
        </w:rPr>
        <w:t>(</w:t>
      </w:r>
      <w:r w:rsidR="00214332" w:rsidRPr="00EA6C7A">
        <w:rPr>
          <w:rFonts w:eastAsia="Calibri"/>
          <w:lang w:val="en-US" w:eastAsia="x-none"/>
        </w:rPr>
        <w:t xml:space="preserve">i) </w:t>
      </w:r>
      <w:r w:rsidRPr="00EA6C7A">
        <w:rPr>
          <w:rFonts w:eastAsia="Calibri"/>
          <w:lang w:val="en-US" w:eastAsia="x-none"/>
        </w:rPr>
        <w:t xml:space="preserve">the State authorities knew, or </w:t>
      </w:r>
      <w:r w:rsidR="0074682E" w:rsidRPr="00EA6C7A">
        <w:rPr>
          <w:rFonts w:eastAsia="Calibri"/>
          <w:lang w:val="en-US" w:eastAsia="x-none"/>
        </w:rPr>
        <w:t>ought to</w:t>
      </w:r>
      <w:r w:rsidRPr="00EA6C7A">
        <w:rPr>
          <w:rFonts w:eastAsia="Calibri"/>
          <w:lang w:val="en-US" w:eastAsia="x-none"/>
        </w:rPr>
        <w:t xml:space="preserve"> have known of the existence of a real and immediate risk for the life and/or </w:t>
      </w:r>
      <w:r w:rsidR="00515C34" w:rsidRPr="00EA6C7A">
        <w:rPr>
          <w:rFonts w:eastAsia="Calibri"/>
          <w:lang w:val="en-US" w:eastAsia="x-none"/>
        </w:rPr>
        <w:t>personal integrity</w:t>
      </w:r>
      <w:r w:rsidR="00214332" w:rsidRPr="00EA6C7A">
        <w:rPr>
          <w:rFonts w:eastAsia="Calibri"/>
          <w:lang w:val="en-US" w:eastAsia="x-none"/>
        </w:rPr>
        <w:t xml:space="preserve"> </w:t>
      </w:r>
      <w:r w:rsidRPr="00EA6C7A">
        <w:rPr>
          <w:rFonts w:eastAsia="Calibri"/>
          <w:lang w:val="en-US" w:eastAsia="x-none"/>
        </w:rPr>
        <w:t>of an identified individual or group of individuals, and (ii) these authorities failed to take the necessary measures within the scope of their powers that, judged reasonably, might have been expected to prevent or avoid that risk.</w:t>
      </w:r>
      <w:r w:rsidR="00214332" w:rsidRPr="00EA6C7A">
        <w:rPr>
          <w:rFonts w:eastAsia="Calibri"/>
          <w:vertAlign w:val="superscript"/>
          <w:lang w:eastAsia="x-none"/>
        </w:rPr>
        <w:footnoteReference w:id="184"/>
      </w:r>
      <w:r w:rsidR="00214332" w:rsidRPr="00EA6C7A">
        <w:rPr>
          <w:rFonts w:eastAsia="Calibri"/>
          <w:lang w:val="en-US" w:eastAsia="x-none"/>
        </w:rPr>
        <w:t xml:space="preserve"> </w:t>
      </w:r>
      <w:r w:rsidRPr="00EA6C7A">
        <w:rPr>
          <w:rFonts w:eastAsia="Calibri"/>
          <w:lang w:val="en-US" w:eastAsia="x-none"/>
        </w:rPr>
        <w:t xml:space="preserve">This has been the Court’s criteria since the delivery of the judgment in </w:t>
      </w:r>
      <w:r w:rsidR="007E6E93" w:rsidRPr="00EA6C7A">
        <w:rPr>
          <w:rFonts w:eastAsia="Calibri"/>
          <w:lang w:val="en-US" w:eastAsia="x-none"/>
        </w:rPr>
        <w:t>the case of</w:t>
      </w:r>
      <w:r w:rsidR="001914FC" w:rsidRPr="00EA6C7A">
        <w:rPr>
          <w:rFonts w:eastAsia="Calibri"/>
          <w:i/>
          <w:lang w:val="en-US" w:eastAsia="x-none"/>
        </w:rPr>
        <w:t xml:space="preserve"> </w:t>
      </w:r>
      <w:r w:rsidRPr="00EA6C7A">
        <w:rPr>
          <w:rFonts w:eastAsia="Calibri"/>
          <w:i/>
          <w:lang w:val="en-US" w:eastAsia="x-none"/>
        </w:rPr>
        <w:t>the</w:t>
      </w:r>
      <w:r w:rsidR="00214332" w:rsidRPr="00EA6C7A">
        <w:rPr>
          <w:rFonts w:eastAsia="Calibri"/>
          <w:i/>
          <w:lang w:val="en-US" w:eastAsia="x-none"/>
        </w:rPr>
        <w:t xml:space="preserve"> Pueblo Bello</w:t>
      </w:r>
      <w:r w:rsidRPr="00EA6C7A">
        <w:rPr>
          <w:rFonts w:eastAsia="Calibri"/>
          <w:i/>
          <w:lang w:val="en-US" w:eastAsia="x-none"/>
        </w:rPr>
        <w:t xml:space="preserve"> Massacre</w:t>
      </w:r>
      <w:r w:rsidR="00214332" w:rsidRPr="00EA6C7A">
        <w:rPr>
          <w:rFonts w:eastAsia="Calibri"/>
          <w:i/>
          <w:lang w:val="en-US" w:eastAsia="x-none"/>
        </w:rPr>
        <w:t xml:space="preserve"> </w:t>
      </w:r>
      <w:r w:rsidR="001914FC" w:rsidRPr="00EA6C7A">
        <w:rPr>
          <w:rFonts w:eastAsia="Calibri"/>
          <w:i/>
          <w:lang w:val="en-US" w:eastAsia="x-none"/>
        </w:rPr>
        <w:t>v.</w:t>
      </w:r>
      <w:r w:rsidR="00214332" w:rsidRPr="00EA6C7A">
        <w:rPr>
          <w:rFonts w:eastAsia="Calibri"/>
          <w:i/>
          <w:lang w:val="en-US" w:eastAsia="x-none"/>
        </w:rPr>
        <w:t xml:space="preserve"> Colombia</w:t>
      </w:r>
      <w:r w:rsidRPr="00EA6C7A">
        <w:rPr>
          <w:rFonts w:eastAsia="Calibri"/>
          <w:i/>
          <w:lang w:val="en-US" w:eastAsia="x-none"/>
        </w:rPr>
        <w:t>,</w:t>
      </w:r>
      <w:r w:rsidR="00214332" w:rsidRPr="00EA6C7A">
        <w:rPr>
          <w:rStyle w:val="Refdenotaalpie"/>
          <w:rFonts w:eastAsia="Calibri"/>
          <w:lang w:val="en-US" w:eastAsia="x-none"/>
        </w:rPr>
        <w:footnoteReference w:id="185"/>
      </w:r>
      <w:r w:rsidR="00D948A1" w:rsidRPr="00EA6C7A">
        <w:rPr>
          <w:rFonts w:eastAsia="Calibri"/>
          <w:lang w:val="en-US" w:eastAsia="x-none"/>
        </w:rPr>
        <w:t xml:space="preserve"> and</w:t>
      </w:r>
      <w:r w:rsidRPr="00EA6C7A">
        <w:rPr>
          <w:rFonts w:eastAsia="Calibri"/>
          <w:lang w:val="en-US" w:eastAsia="x-none"/>
        </w:rPr>
        <w:t xml:space="preserve"> it has been reiterated in its consistent case law.</w:t>
      </w:r>
      <w:r w:rsidR="00214332" w:rsidRPr="00EA6C7A">
        <w:rPr>
          <w:rStyle w:val="Refdenotaalpie"/>
          <w:rFonts w:eastAsia="Calibri"/>
          <w:lang w:val="en-US" w:eastAsia="x-none"/>
        </w:rPr>
        <w:footnoteReference w:id="186"/>
      </w:r>
    </w:p>
    <w:p w14:paraId="7E114D66" w14:textId="77777777" w:rsidR="00214332" w:rsidRPr="00EA6C7A" w:rsidRDefault="00214332" w:rsidP="00214332">
      <w:pPr>
        <w:pStyle w:val="ColorfulList-Accent11"/>
        <w:autoSpaceDE w:val="0"/>
        <w:autoSpaceDN w:val="0"/>
        <w:adjustRightInd w:val="0"/>
        <w:spacing w:after="0" w:line="240" w:lineRule="auto"/>
        <w:ind w:left="0"/>
        <w:jc w:val="both"/>
        <w:rPr>
          <w:rFonts w:ascii="Verdana" w:hAnsi="Verdana"/>
          <w:lang w:val="en-US"/>
        </w:rPr>
      </w:pPr>
    </w:p>
    <w:p w14:paraId="78D34B3F" w14:textId="77777777" w:rsidR="00214332" w:rsidRPr="00EA6C7A" w:rsidRDefault="001A1486" w:rsidP="00077D21">
      <w:pPr>
        <w:pStyle w:val="PrrafodeSentencia"/>
        <w:rPr>
          <w:b/>
          <w:lang w:val="en-US"/>
        </w:rPr>
      </w:pPr>
      <w:r w:rsidRPr="00EA6C7A">
        <w:rPr>
          <w:lang w:val="en-US"/>
        </w:rPr>
        <w:t>In the insta</w:t>
      </w:r>
      <w:r w:rsidR="001B5C0B" w:rsidRPr="00EA6C7A">
        <w:rPr>
          <w:lang w:val="en-US"/>
        </w:rPr>
        <w:t>n</w:t>
      </w:r>
      <w:r w:rsidRPr="00EA6C7A">
        <w:rPr>
          <w:lang w:val="en-US"/>
        </w:rPr>
        <w:t xml:space="preserve">t case, there </w:t>
      </w:r>
      <w:r w:rsidR="00812408" w:rsidRPr="00EA6C7A">
        <w:rPr>
          <w:lang w:val="en-US"/>
        </w:rPr>
        <w:t>a</w:t>
      </w:r>
      <w:r w:rsidRPr="00EA6C7A">
        <w:rPr>
          <w:lang w:val="en-US"/>
        </w:rPr>
        <w:t xml:space="preserve">re two </w:t>
      </w:r>
      <w:r w:rsidR="005C3073" w:rsidRPr="00EA6C7A">
        <w:rPr>
          <w:lang w:val="en-US"/>
        </w:rPr>
        <w:t>moments</w:t>
      </w:r>
      <w:r w:rsidRPr="00EA6C7A">
        <w:rPr>
          <w:lang w:val="en-US"/>
        </w:rPr>
        <w:t xml:space="preserve"> </w:t>
      </w:r>
      <w:r w:rsidR="00B044B7" w:rsidRPr="00EA6C7A">
        <w:rPr>
          <w:lang w:val="en-US"/>
        </w:rPr>
        <w:t>at</w:t>
      </w:r>
      <w:r w:rsidRPr="00EA6C7A">
        <w:rPr>
          <w:lang w:val="en-US"/>
        </w:rPr>
        <w:t xml:space="preserve"> which the obligation of prevention must be analyzed. The first is before the disappearance of </w:t>
      </w:r>
      <w:r w:rsidR="00214332" w:rsidRPr="00EA6C7A">
        <w:rPr>
          <w:lang w:val="en-US"/>
        </w:rPr>
        <w:t>Claudina Velásquez</w:t>
      </w:r>
      <w:r w:rsidR="00D948A1" w:rsidRPr="00EA6C7A">
        <w:rPr>
          <w:lang w:val="en-US"/>
        </w:rPr>
        <w:t xml:space="preserve"> and</w:t>
      </w:r>
      <w:r w:rsidRPr="00EA6C7A">
        <w:rPr>
          <w:lang w:val="en-US"/>
        </w:rPr>
        <w:t xml:space="preserve"> the second is before the discovery of her body.</w:t>
      </w:r>
    </w:p>
    <w:p w14:paraId="5CFAA034" w14:textId="77777777" w:rsidR="00214332" w:rsidRPr="00EA6C7A" w:rsidRDefault="00214332" w:rsidP="00214332">
      <w:pPr>
        <w:pStyle w:val="ColorfulList-Accent11"/>
        <w:spacing w:after="0"/>
        <w:ind w:left="0"/>
        <w:jc w:val="both"/>
        <w:rPr>
          <w:rFonts w:ascii="Verdana" w:hAnsi="Verdana"/>
          <w:b/>
          <w:sz w:val="16"/>
          <w:lang w:val="en-US"/>
        </w:rPr>
      </w:pPr>
    </w:p>
    <w:p w14:paraId="15E0CF86" w14:textId="77777777" w:rsidR="00214332" w:rsidRPr="00EA6C7A" w:rsidRDefault="00214332" w:rsidP="00214332">
      <w:pPr>
        <w:pStyle w:val="Sentencia3"/>
        <w:spacing w:line="240" w:lineRule="auto"/>
        <w:rPr>
          <w:b/>
          <w:lang w:val="en-US"/>
        </w:rPr>
      </w:pPr>
      <w:bookmarkStart w:id="68" w:name="_Toc26002316"/>
      <w:r w:rsidRPr="00EA6C7A">
        <w:rPr>
          <w:lang w:val="en-US"/>
        </w:rPr>
        <w:t xml:space="preserve">B.1. </w:t>
      </w:r>
      <w:r w:rsidR="0001699C" w:rsidRPr="00EA6C7A">
        <w:rPr>
          <w:lang w:val="en-US"/>
        </w:rPr>
        <w:t>Before the disappearance</w:t>
      </w:r>
      <w:r w:rsidRPr="00EA6C7A">
        <w:rPr>
          <w:lang w:val="en-US"/>
        </w:rPr>
        <w:t xml:space="preserve"> Claudina Velásquez: </w:t>
      </w:r>
      <w:r w:rsidR="0001699C" w:rsidRPr="00EA6C7A">
        <w:rPr>
          <w:lang w:val="en-US"/>
        </w:rPr>
        <w:t>general obligation to preven</w:t>
      </w:r>
      <w:r w:rsidR="00812408" w:rsidRPr="00EA6C7A">
        <w:rPr>
          <w:lang w:val="en-US"/>
        </w:rPr>
        <w:t>t</w:t>
      </w:r>
      <w:r w:rsidR="0001699C" w:rsidRPr="00EA6C7A">
        <w:rPr>
          <w:lang w:val="en-US"/>
        </w:rPr>
        <w:t xml:space="preserve"> the disappearance and murder of women</w:t>
      </w:r>
      <w:bookmarkEnd w:id="68"/>
    </w:p>
    <w:p w14:paraId="6C85F8FB" w14:textId="77777777" w:rsidR="00214332" w:rsidRPr="00EA6C7A" w:rsidRDefault="00214332" w:rsidP="00214332">
      <w:pPr>
        <w:pStyle w:val="ColorfulList-Accent11"/>
        <w:spacing w:after="0"/>
        <w:ind w:left="0"/>
        <w:jc w:val="both"/>
        <w:rPr>
          <w:rFonts w:ascii="Verdana" w:hAnsi="Verdana"/>
          <w:i/>
          <w:sz w:val="16"/>
          <w:lang w:val="en-US"/>
        </w:rPr>
      </w:pPr>
    </w:p>
    <w:p w14:paraId="6AADA2F4" w14:textId="77777777" w:rsidR="00214332" w:rsidRPr="00EA6C7A" w:rsidRDefault="00812408" w:rsidP="00077D21">
      <w:pPr>
        <w:pStyle w:val="PrrafodeSentencia"/>
        <w:rPr>
          <w:rFonts w:cs="Calibri"/>
          <w:b/>
        </w:rPr>
      </w:pPr>
      <w:r w:rsidRPr="00EA6C7A">
        <w:rPr>
          <w:lang w:val="en-US"/>
        </w:rPr>
        <w:t>Regarding the first</w:t>
      </w:r>
      <w:r w:rsidR="00214332" w:rsidRPr="00EA6C7A">
        <w:rPr>
          <w:lang w:val="en-US"/>
        </w:rPr>
        <w:t xml:space="preserve"> </w:t>
      </w:r>
      <w:r w:rsidR="005C3073" w:rsidRPr="00EA6C7A">
        <w:rPr>
          <w:lang w:val="en-US"/>
        </w:rPr>
        <w:t>moment</w:t>
      </w:r>
      <w:r w:rsidRPr="00EA6C7A">
        <w:rPr>
          <w:lang w:val="en-US"/>
        </w:rPr>
        <w:t xml:space="preserve"> – that is,  </w:t>
      </w:r>
      <w:r w:rsidR="0001699C" w:rsidRPr="00EA6C7A">
        <w:rPr>
          <w:lang w:val="en-US"/>
        </w:rPr>
        <w:t>before the disappearance</w:t>
      </w:r>
      <w:r w:rsidRPr="00EA6C7A">
        <w:rPr>
          <w:lang w:val="en-US"/>
        </w:rPr>
        <w:t xml:space="preserve"> of</w:t>
      </w:r>
      <w:r w:rsidR="00214332" w:rsidRPr="00EA6C7A">
        <w:rPr>
          <w:lang w:val="en-US"/>
        </w:rPr>
        <w:t xml:space="preserve"> Claudina Velásquez, </w:t>
      </w:r>
      <w:r w:rsidRPr="00EA6C7A">
        <w:rPr>
          <w:lang w:val="en-US"/>
        </w:rPr>
        <w:t xml:space="preserve">the Court has already established that, in December 2001, there was a context of an </w:t>
      </w:r>
      <w:r w:rsidR="00AD1D9E" w:rsidRPr="00EA6C7A">
        <w:rPr>
          <w:lang w:val="en-US"/>
        </w:rPr>
        <w:t>escalation of</w:t>
      </w:r>
      <w:r w:rsidRPr="00EA6C7A">
        <w:rPr>
          <w:lang w:val="en-US"/>
        </w:rPr>
        <w:t xml:space="preserve"> homicidal violence against women in Guatemala, that this increase</w:t>
      </w:r>
      <w:r w:rsidR="00031FDF" w:rsidRPr="00EA6C7A">
        <w:rPr>
          <w:lang w:val="en-US"/>
        </w:rPr>
        <w:t xml:space="preserve"> had grown constantly throughout the country </w:t>
      </w:r>
      <w:r w:rsidR="00031FDF" w:rsidRPr="00EA6C7A">
        <w:rPr>
          <w:rFonts w:eastAsia="Calibri"/>
          <w:lang w:val="en-US"/>
        </w:rPr>
        <w:t>in</w:t>
      </w:r>
      <w:r w:rsidR="00214332" w:rsidRPr="00EA6C7A">
        <w:rPr>
          <w:rFonts w:eastAsia="Calibri"/>
          <w:lang w:val="en-US"/>
        </w:rPr>
        <w:t xml:space="preserve"> 2004</w:t>
      </w:r>
      <w:r w:rsidR="00D948A1" w:rsidRPr="00EA6C7A">
        <w:rPr>
          <w:rFonts w:eastAsia="Calibri"/>
          <w:lang w:val="en-US"/>
        </w:rPr>
        <w:t xml:space="preserve"> and </w:t>
      </w:r>
      <w:r w:rsidR="00214332" w:rsidRPr="00EA6C7A">
        <w:rPr>
          <w:rFonts w:eastAsia="Calibri"/>
          <w:lang w:val="en-US"/>
        </w:rPr>
        <w:t>2005,</w:t>
      </w:r>
      <w:r w:rsidR="00D948A1" w:rsidRPr="00EA6C7A">
        <w:rPr>
          <w:rFonts w:eastAsia="Calibri"/>
          <w:lang w:val="en-US"/>
        </w:rPr>
        <w:t xml:space="preserve"> and </w:t>
      </w:r>
      <w:r w:rsidR="00031FDF" w:rsidRPr="00EA6C7A">
        <w:rPr>
          <w:rFonts w:eastAsia="Calibri"/>
          <w:lang w:val="en-US"/>
        </w:rPr>
        <w:t>that</w:t>
      </w:r>
      <w:r w:rsidR="0074682E" w:rsidRPr="00EA6C7A">
        <w:rPr>
          <w:rFonts w:eastAsia="Calibri"/>
          <w:lang w:val="en-US"/>
        </w:rPr>
        <w:t>, to this day,</w:t>
      </w:r>
      <w:r w:rsidR="00031FDF" w:rsidRPr="00EA6C7A">
        <w:rPr>
          <w:rFonts w:eastAsia="Calibri"/>
          <w:lang w:val="en-US"/>
        </w:rPr>
        <w:t xml:space="preserve"> the levels continue to be very </w:t>
      </w:r>
      <w:r w:rsidR="00031FDF" w:rsidRPr="00EA6C7A">
        <w:rPr>
          <w:rFonts w:eastAsia="Calibri"/>
          <w:lang w:val="en-US"/>
        </w:rPr>
        <w:lastRenderedPageBreak/>
        <w:t xml:space="preserve">high </w:t>
      </w:r>
      <w:r w:rsidR="00214332" w:rsidRPr="00EA6C7A">
        <w:rPr>
          <w:lang w:val="en-US"/>
        </w:rPr>
        <w:t>(</w:t>
      </w:r>
      <w:r w:rsidR="00214332" w:rsidRPr="00EA6C7A">
        <w:rPr>
          <w:i/>
          <w:lang w:val="en-US"/>
        </w:rPr>
        <w:t xml:space="preserve">supra </w:t>
      </w:r>
      <w:r w:rsidR="002F3848" w:rsidRPr="00EA6C7A">
        <w:rPr>
          <w:lang w:val="en-US"/>
        </w:rPr>
        <w:t>para.</w:t>
      </w:r>
      <w:r w:rsidR="00214332" w:rsidRPr="00EA6C7A">
        <w:rPr>
          <w:lang w:val="en-US"/>
        </w:rPr>
        <w:t xml:space="preserve"> 45). </w:t>
      </w:r>
      <w:r w:rsidR="00031FDF" w:rsidRPr="00EA6C7A">
        <w:rPr>
          <w:lang w:val="en-US"/>
        </w:rPr>
        <w:t xml:space="preserve">It is plain that, at the time of the facts of this case, </w:t>
      </w:r>
      <w:r w:rsidR="007B566E" w:rsidRPr="00EA6C7A">
        <w:rPr>
          <w:lang w:val="en-US"/>
        </w:rPr>
        <w:t>August</w:t>
      </w:r>
      <w:r w:rsidR="00214332" w:rsidRPr="00EA6C7A">
        <w:rPr>
          <w:lang w:val="en-US"/>
        </w:rPr>
        <w:t xml:space="preserve"> 2005, </w:t>
      </w:r>
      <w:r w:rsidR="002F3848" w:rsidRPr="00EA6C7A">
        <w:rPr>
          <w:lang w:val="en-US"/>
        </w:rPr>
        <w:t>the State</w:t>
      </w:r>
      <w:r w:rsidR="00214332" w:rsidRPr="00EA6C7A">
        <w:rPr>
          <w:lang w:val="en-US"/>
        </w:rPr>
        <w:t xml:space="preserve"> </w:t>
      </w:r>
      <w:r w:rsidR="00031FDF" w:rsidRPr="00EA6C7A">
        <w:rPr>
          <w:lang w:val="en-US"/>
        </w:rPr>
        <w:t>had already been alerted to this situation by both national and international agencies, a</w:t>
      </w:r>
      <w:r w:rsidR="0074682E" w:rsidRPr="00EA6C7A">
        <w:rPr>
          <w:lang w:val="en-US"/>
        </w:rPr>
        <w:t>s well as</w:t>
      </w:r>
      <w:r w:rsidR="00031FDF" w:rsidRPr="00EA6C7A">
        <w:rPr>
          <w:lang w:val="en-US"/>
        </w:rPr>
        <w:t xml:space="preserve"> civil society organization</w:t>
      </w:r>
      <w:r w:rsidR="0074682E" w:rsidRPr="00EA6C7A">
        <w:rPr>
          <w:lang w:val="en-US"/>
        </w:rPr>
        <w:t>s</w:t>
      </w:r>
      <w:r w:rsidR="00031FDF" w:rsidRPr="00EA6C7A">
        <w:rPr>
          <w:lang w:val="en-US"/>
        </w:rPr>
        <w:t>, in documents that date from 2001 to February</w:t>
      </w:r>
      <w:r w:rsidR="00031FDF" w:rsidRPr="00EA6C7A">
        <w:rPr>
          <w:rFonts w:cs="Calibri"/>
          <w:b/>
          <w:lang w:val="en-US"/>
        </w:rPr>
        <w:t xml:space="preserve"> </w:t>
      </w:r>
      <w:r w:rsidR="00214332" w:rsidRPr="00EA6C7A">
        <w:rPr>
          <w:lang w:val="en-US"/>
        </w:rPr>
        <w:t>2005</w:t>
      </w:r>
      <w:r w:rsidR="00031FDF" w:rsidRPr="00EA6C7A">
        <w:rPr>
          <w:lang w:val="en-US"/>
        </w:rPr>
        <w:t>.</w:t>
      </w:r>
      <w:r w:rsidR="00214332" w:rsidRPr="00EA6C7A">
        <w:rPr>
          <w:rStyle w:val="Refdenotaalpie"/>
          <w:lang w:val="en-US"/>
        </w:rPr>
        <w:footnoteReference w:id="187"/>
      </w:r>
      <w:r w:rsidR="00031FDF" w:rsidRPr="00EA6C7A">
        <w:rPr>
          <w:lang w:val="en-US"/>
        </w:rPr>
        <w:t xml:space="preserve"> It is worth emphasizing that, by January 2003</w:t>
      </w:r>
      <w:r w:rsidR="00214332" w:rsidRPr="00EA6C7A">
        <w:rPr>
          <w:rFonts w:cs="Calibri"/>
          <w:lang w:val="en-US"/>
        </w:rPr>
        <w:t xml:space="preserve">, </w:t>
      </w:r>
      <w:r w:rsidR="00031FDF" w:rsidRPr="00EA6C7A">
        <w:rPr>
          <w:rFonts w:cs="Calibri"/>
          <w:lang w:val="en-US"/>
        </w:rPr>
        <w:t>the Ombudsman’s Office</w:t>
      </w:r>
      <w:r w:rsidR="00214332" w:rsidRPr="00EA6C7A">
        <w:rPr>
          <w:rFonts w:cs="Calibri"/>
          <w:lang w:val="en-US"/>
        </w:rPr>
        <w:t xml:space="preserve">, </w:t>
      </w:r>
      <w:r w:rsidR="00031FDF" w:rsidRPr="00EA6C7A">
        <w:rPr>
          <w:rFonts w:cs="Calibri"/>
          <w:lang w:val="en-US"/>
        </w:rPr>
        <w:t>a State organ, had already linked the existence of violent acts committed against women in 2001 to “discrimination, with cultural roots in Guatemalan society,” and indicated that this violence was inserted in a context of discrimination against women in Guatemala in different spheres.</w:t>
      </w:r>
      <w:r w:rsidR="00214332" w:rsidRPr="00EA6C7A">
        <w:rPr>
          <w:rStyle w:val="Refdenotaalpie"/>
          <w:rFonts w:cs="Calibri"/>
          <w:lang w:val="en-US"/>
        </w:rPr>
        <w:footnoteReference w:id="188"/>
      </w:r>
      <w:r w:rsidR="00031FDF" w:rsidRPr="00EA6C7A">
        <w:rPr>
          <w:rFonts w:cs="Calibri"/>
          <w:lang w:val="en-US"/>
        </w:rPr>
        <w:t xml:space="preserve"> Moreover, as already indicated, the level of violence against women has increased since then, as ha</w:t>
      </w:r>
      <w:r w:rsidR="00FC74BD" w:rsidRPr="00EA6C7A">
        <w:rPr>
          <w:rFonts w:cs="Calibri"/>
          <w:lang w:val="en-US"/>
        </w:rPr>
        <w:t>ve</w:t>
      </w:r>
      <w:r w:rsidR="00031FDF" w:rsidRPr="00EA6C7A">
        <w:rPr>
          <w:rFonts w:cs="Calibri"/>
          <w:lang w:val="en-US"/>
        </w:rPr>
        <w:t xml:space="preserve"> the</w:t>
      </w:r>
      <w:r w:rsidR="00FC74BD" w:rsidRPr="00EA6C7A">
        <w:rPr>
          <w:rFonts w:cs="Calibri"/>
          <w:lang w:val="en-US"/>
        </w:rPr>
        <w:t xml:space="preserve"> acts </w:t>
      </w:r>
      <w:r w:rsidR="0074682E" w:rsidRPr="00EA6C7A">
        <w:rPr>
          <w:rFonts w:cs="Calibri"/>
          <w:lang w:val="en-US"/>
        </w:rPr>
        <w:t>o</w:t>
      </w:r>
      <w:r w:rsidR="00FC74BD" w:rsidRPr="00EA6C7A">
        <w:rPr>
          <w:rFonts w:cs="Calibri"/>
          <w:lang w:val="en-US"/>
        </w:rPr>
        <w:t>f</w:t>
      </w:r>
      <w:r w:rsidR="00031FDF" w:rsidRPr="00EA6C7A">
        <w:rPr>
          <w:rFonts w:cs="Calibri"/>
          <w:lang w:val="en-US"/>
        </w:rPr>
        <w:t xml:space="preserve"> </w:t>
      </w:r>
      <w:r w:rsidR="0074682E" w:rsidRPr="00EA6C7A">
        <w:rPr>
          <w:rFonts w:cs="Calibri"/>
          <w:lang w:val="en-US"/>
        </w:rPr>
        <w:t>cruel</w:t>
      </w:r>
      <w:r w:rsidR="00031FDF" w:rsidRPr="00EA6C7A">
        <w:rPr>
          <w:rFonts w:cs="Calibri"/>
          <w:lang w:val="en-US"/>
        </w:rPr>
        <w:t xml:space="preserve">ty </w:t>
      </w:r>
      <w:r w:rsidR="0050033C" w:rsidRPr="00EA6C7A">
        <w:rPr>
          <w:rFonts w:cs="Calibri"/>
          <w:lang w:val="en-US"/>
        </w:rPr>
        <w:t>inflicted</w:t>
      </w:r>
      <w:r w:rsidR="00031FDF" w:rsidRPr="00EA6C7A">
        <w:rPr>
          <w:rFonts w:cs="Calibri"/>
          <w:lang w:val="en-US"/>
        </w:rPr>
        <w:t xml:space="preserve"> on the bodies of many </w:t>
      </w:r>
      <w:r w:rsidR="00FC74BD" w:rsidRPr="00EA6C7A">
        <w:rPr>
          <w:rFonts w:cs="Calibri"/>
          <w:lang w:val="en-US"/>
        </w:rPr>
        <w:t>of the victims. Added to this, the killings of women in Guatemala take place in a context of different forms of violence against them, such as intrafamil</w:t>
      </w:r>
      <w:r w:rsidR="001313E6" w:rsidRPr="00EA6C7A">
        <w:rPr>
          <w:rFonts w:cs="Calibri"/>
          <w:lang w:val="en-US"/>
        </w:rPr>
        <w:t>ial</w:t>
      </w:r>
      <w:r w:rsidR="00FC74BD" w:rsidRPr="00EA6C7A">
        <w:rPr>
          <w:rFonts w:cs="Calibri"/>
          <w:lang w:val="en-US"/>
        </w:rPr>
        <w:t xml:space="preserve"> and domestic violence, rape and violation, harassment, exploitation</w:t>
      </w:r>
      <w:r w:rsidR="0074682E" w:rsidRPr="00EA6C7A">
        <w:rPr>
          <w:rFonts w:cs="Calibri"/>
          <w:lang w:val="en-US"/>
        </w:rPr>
        <w:t>,</w:t>
      </w:r>
      <w:r w:rsidR="00FC74BD" w:rsidRPr="00EA6C7A">
        <w:rPr>
          <w:rFonts w:cs="Calibri"/>
          <w:lang w:val="en-US"/>
        </w:rPr>
        <w:t xml:space="preserve"> and other forms of sexual violence</w:t>
      </w:r>
      <w:r w:rsidR="00FC74BD" w:rsidRPr="00EA6C7A">
        <w:rPr>
          <w:rFonts w:cs="Calibri"/>
          <w:b/>
          <w:lang w:val="en-US"/>
        </w:rPr>
        <w:t xml:space="preserve"> </w:t>
      </w:r>
      <w:r w:rsidR="00214332" w:rsidRPr="00EA6C7A">
        <w:rPr>
          <w:lang w:val="en-US"/>
        </w:rPr>
        <w:t>(</w:t>
      </w:r>
      <w:r w:rsidR="00214332" w:rsidRPr="00EA6C7A">
        <w:rPr>
          <w:i/>
          <w:lang w:val="en-US"/>
        </w:rPr>
        <w:t xml:space="preserve">supra </w:t>
      </w:r>
      <w:r w:rsidR="002F3848" w:rsidRPr="00EA6C7A">
        <w:rPr>
          <w:lang w:val="en-US"/>
        </w:rPr>
        <w:t>para.</w:t>
      </w:r>
      <w:r w:rsidR="00214332" w:rsidRPr="00EA6C7A">
        <w:rPr>
          <w:lang w:val="en-US"/>
        </w:rPr>
        <w:t xml:space="preserve"> </w:t>
      </w:r>
      <w:r w:rsidR="00214332" w:rsidRPr="00EA6C7A">
        <w:t>48).</w:t>
      </w:r>
    </w:p>
    <w:p w14:paraId="22514887" w14:textId="77777777" w:rsidR="00214332" w:rsidRPr="00EA6C7A" w:rsidRDefault="00214332" w:rsidP="00214332">
      <w:pPr>
        <w:pStyle w:val="ColorfulList-Accent11"/>
        <w:spacing w:after="0"/>
        <w:ind w:left="0"/>
        <w:jc w:val="both"/>
        <w:rPr>
          <w:rFonts w:ascii="Verdana" w:hAnsi="Verdana" w:cs="Calibri"/>
          <w:b/>
          <w:lang w:val="en-US"/>
        </w:rPr>
      </w:pPr>
    </w:p>
    <w:p w14:paraId="23582D60" w14:textId="77777777" w:rsidR="00214332" w:rsidRPr="00EA6C7A" w:rsidRDefault="00FC74BD" w:rsidP="00077D21">
      <w:pPr>
        <w:pStyle w:val="PrrafodeSentencia"/>
        <w:rPr>
          <w:lang w:val="en-US"/>
        </w:rPr>
      </w:pPr>
      <w:r w:rsidRPr="00EA6C7A">
        <w:rPr>
          <w:lang w:val="en-US"/>
        </w:rPr>
        <w:t xml:space="preserve">That said, in its judgment in </w:t>
      </w:r>
      <w:r w:rsidR="007E6E93" w:rsidRPr="00EA6C7A">
        <w:rPr>
          <w:lang w:val="en-US"/>
        </w:rPr>
        <w:t>the case of</w:t>
      </w:r>
      <w:r w:rsidR="001914FC" w:rsidRPr="00EA6C7A">
        <w:rPr>
          <w:i/>
          <w:lang w:val="en-US"/>
        </w:rPr>
        <w:t xml:space="preserve"> </w:t>
      </w:r>
      <w:r w:rsidR="00214332" w:rsidRPr="00EA6C7A">
        <w:rPr>
          <w:i/>
          <w:lang w:val="en-US"/>
        </w:rPr>
        <w:t xml:space="preserve">Veliz Franco </w:t>
      </w:r>
      <w:r w:rsidR="006A51FD" w:rsidRPr="00EA6C7A">
        <w:rPr>
          <w:i/>
          <w:lang w:val="en-US"/>
        </w:rPr>
        <w:t>et al.</w:t>
      </w:r>
      <w:r w:rsidR="00214332" w:rsidRPr="00EA6C7A">
        <w:rPr>
          <w:i/>
          <w:lang w:val="en-US"/>
        </w:rPr>
        <w:t xml:space="preserve">, </w:t>
      </w:r>
      <w:r w:rsidR="0096418F" w:rsidRPr="00EA6C7A">
        <w:rPr>
          <w:lang w:val="en-US"/>
        </w:rPr>
        <w:t>the Court</w:t>
      </w:r>
      <w:r w:rsidR="00214332" w:rsidRPr="00EA6C7A">
        <w:rPr>
          <w:lang w:val="en-US"/>
        </w:rPr>
        <w:t xml:space="preserve"> </w:t>
      </w:r>
      <w:r w:rsidRPr="00EA6C7A">
        <w:rPr>
          <w:lang w:val="en-US"/>
        </w:rPr>
        <w:t>stressed that, before</w:t>
      </w:r>
      <w:r w:rsidR="00214332" w:rsidRPr="00EA6C7A">
        <w:rPr>
          <w:rStyle w:val="Refdenotaalpie"/>
          <w:rFonts w:cs="Calibri"/>
          <w:lang w:val="en-US"/>
        </w:rPr>
        <w:footnoteReference w:id="189"/>
      </w:r>
      <w:r w:rsidR="00D948A1" w:rsidRPr="00EA6C7A">
        <w:rPr>
          <w:lang w:val="en-US"/>
        </w:rPr>
        <w:t xml:space="preserve"> and </w:t>
      </w:r>
      <w:r w:rsidRPr="00EA6C7A">
        <w:rPr>
          <w:lang w:val="en-US"/>
        </w:rPr>
        <w:t xml:space="preserve">after the facts of that case, which took place in 2001, the State had taken various measures aimed at </w:t>
      </w:r>
      <w:r w:rsidR="0074682E" w:rsidRPr="00EA6C7A">
        <w:rPr>
          <w:lang w:val="en-US"/>
        </w:rPr>
        <w:t>addressing</w:t>
      </w:r>
      <w:r w:rsidRPr="00EA6C7A">
        <w:rPr>
          <w:lang w:val="en-US"/>
        </w:rPr>
        <w:t xml:space="preserve"> discrimination and violence against women. </w:t>
      </w:r>
      <w:r w:rsidR="0074682E" w:rsidRPr="00EA6C7A">
        <w:rPr>
          <w:lang w:val="en-US"/>
        </w:rPr>
        <w:t>In this regard</w:t>
      </w:r>
      <w:r w:rsidRPr="00EA6C7A">
        <w:rPr>
          <w:lang w:val="en-US"/>
        </w:rPr>
        <w:t xml:space="preserve">, it underlined </w:t>
      </w:r>
      <w:r w:rsidR="00577D56" w:rsidRPr="00EA6C7A">
        <w:rPr>
          <w:lang w:val="en-US"/>
        </w:rPr>
        <w:t xml:space="preserve">the Law for the Prevention, Punishment and </w:t>
      </w:r>
      <w:r w:rsidR="002327A1" w:rsidRPr="00EA6C7A">
        <w:rPr>
          <w:lang w:val="en-US"/>
        </w:rPr>
        <w:t>Eradication of Domestic Violence</w:t>
      </w:r>
      <w:r w:rsidR="00214332" w:rsidRPr="00EA6C7A">
        <w:rPr>
          <w:bCs/>
          <w:lang w:val="en-US"/>
        </w:rPr>
        <w:t xml:space="preserve"> </w:t>
      </w:r>
      <w:r w:rsidR="00826E21" w:rsidRPr="00EA6C7A">
        <w:rPr>
          <w:bCs/>
          <w:lang w:val="en-US"/>
        </w:rPr>
        <w:t xml:space="preserve">of </w:t>
      </w:r>
      <w:r w:rsidR="003F510E" w:rsidRPr="00EA6C7A">
        <w:rPr>
          <w:bCs/>
          <w:lang w:val="en-US"/>
        </w:rPr>
        <w:t xml:space="preserve">November </w:t>
      </w:r>
      <w:r w:rsidR="00826E21" w:rsidRPr="00EA6C7A">
        <w:rPr>
          <w:bCs/>
          <w:lang w:val="en-US"/>
        </w:rPr>
        <w:t>2</w:t>
      </w:r>
      <w:r w:rsidR="003F510E" w:rsidRPr="00EA6C7A">
        <w:rPr>
          <w:bCs/>
          <w:lang w:val="en-US"/>
        </w:rPr>
        <w:t>8,</w:t>
      </w:r>
      <w:r w:rsidR="00214332" w:rsidRPr="00EA6C7A">
        <w:rPr>
          <w:bCs/>
          <w:lang w:val="en-US"/>
        </w:rPr>
        <w:t xml:space="preserve"> 1996, </w:t>
      </w:r>
      <w:r w:rsidR="00E269D3" w:rsidRPr="00EA6C7A">
        <w:rPr>
          <w:rFonts w:cs="Arial"/>
          <w:lang w:val="en-US"/>
        </w:rPr>
        <w:t>and the Law against Femicide and Other Forms of Violence against Women (hereinafter also “Law against Femicide”) enacted in 2008</w:t>
      </w:r>
      <w:r w:rsidR="00E269D3" w:rsidRPr="00EA6C7A">
        <w:rPr>
          <w:bCs/>
          <w:lang w:val="en-US"/>
        </w:rPr>
        <w:t>.</w:t>
      </w:r>
      <w:r w:rsidR="00214332" w:rsidRPr="00EA6C7A">
        <w:rPr>
          <w:rStyle w:val="Refdenotaalpie"/>
          <w:lang w:val="en-US"/>
        </w:rPr>
        <w:footnoteReference w:id="190"/>
      </w:r>
      <w:r w:rsidR="00214332" w:rsidRPr="00EA6C7A">
        <w:rPr>
          <w:lang w:val="en-US"/>
        </w:rPr>
        <w:t xml:space="preserve"> </w:t>
      </w:r>
    </w:p>
    <w:p w14:paraId="08D1768C" w14:textId="77777777" w:rsidR="00214332" w:rsidRPr="00EA6C7A" w:rsidRDefault="00214332" w:rsidP="00214332">
      <w:pPr>
        <w:pStyle w:val="Prrafodelista"/>
        <w:spacing w:after="0" w:line="240" w:lineRule="auto"/>
        <w:ind w:left="0"/>
        <w:rPr>
          <w:rFonts w:ascii="Verdana" w:hAnsi="Verdana" w:cs="Calibri"/>
          <w:lang w:val="en-US"/>
        </w:rPr>
      </w:pPr>
    </w:p>
    <w:p w14:paraId="66BD94F3" w14:textId="77777777" w:rsidR="00214332" w:rsidRPr="00EA6C7A" w:rsidRDefault="004B2140" w:rsidP="00077D21">
      <w:pPr>
        <w:pStyle w:val="PrrafodeSentencia"/>
        <w:rPr>
          <w:sz w:val="24"/>
          <w:szCs w:val="24"/>
          <w:lang w:val="en-US"/>
        </w:rPr>
      </w:pPr>
      <w:r w:rsidRPr="00EA6C7A">
        <w:rPr>
          <w:lang w:val="en-US"/>
        </w:rPr>
        <w:lastRenderedPageBreak/>
        <w:t>In this case, the State referred to diverse measures o</w:t>
      </w:r>
      <w:r w:rsidR="00997B2F" w:rsidRPr="00EA6C7A">
        <w:rPr>
          <w:lang w:val="en-US"/>
        </w:rPr>
        <w:t>r</w:t>
      </w:r>
      <w:r w:rsidRPr="00EA6C7A">
        <w:rPr>
          <w:lang w:val="en-US"/>
        </w:rPr>
        <w:t xml:space="preserve"> mechanisms implemented to </w:t>
      </w:r>
      <w:r w:rsidR="008A607E" w:rsidRPr="00EA6C7A">
        <w:rPr>
          <w:lang w:val="en-US"/>
        </w:rPr>
        <w:t>address</w:t>
      </w:r>
      <w:r w:rsidRPr="00EA6C7A">
        <w:rPr>
          <w:lang w:val="en-US"/>
        </w:rPr>
        <w:t xml:space="preserve"> the problem of violence against women in </w:t>
      </w:r>
      <w:r w:rsidR="00214332" w:rsidRPr="00EA6C7A">
        <w:rPr>
          <w:lang w:val="en-US"/>
        </w:rPr>
        <w:t xml:space="preserve">Guatemala. </w:t>
      </w:r>
      <w:r w:rsidR="0096418F" w:rsidRPr="00EA6C7A">
        <w:rPr>
          <w:lang w:val="en-US"/>
        </w:rPr>
        <w:t>The Court</w:t>
      </w:r>
      <w:r w:rsidR="00214332" w:rsidRPr="00EA6C7A">
        <w:rPr>
          <w:lang w:val="en-US"/>
        </w:rPr>
        <w:t xml:space="preserve"> not</w:t>
      </w:r>
      <w:r w:rsidRPr="00EA6C7A">
        <w:rPr>
          <w:lang w:val="en-US"/>
        </w:rPr>
        <w:t>es that</w:t>
      </w:r>
      <w:r w:rsidR="00214332" w:rsidRPr="00EA6C7A">
        <w:rPr>
          <w:lang w:val="en-US"/>
        </w:rPr>
        <w:t xml:space="preserve"> </w:t>
      </w:r>
      <w:r w:rsidR="002F3848" w:rsidRPr="00EA6C7A">
        <w:rPr>
          <w:lang w:val="en-US"/>
        </w:rPr>
        <w:t>the State</w:t>
      </w:r>
      <w:r w:rsidR="00214332" w:rsidRPr="00EA6C7A">
        <w:rPr>
          <w:lang w:val="en-US"/>
        </w:rPr>
        <w:t xml:space="preserve"> men</w:t>
      </w:r>
      <w:r w:rsidRPr="00EA6C7A">
        <w:rPr>
          <w:lang w:val="en-US"/>
        </w:rPr>
        <w:t>tioned</w:t>
      </w:r>
      <w:r w:rsidR="00214332" w:rsidRPr="00EA6C7A">
        <w:rPr>
          <w:lang w:val="en-US"/>
        </w:rPr>
        <w:t xml:space="preserve">: </w:t>
      </w:r>
      <w:r w:rsidRPr="00EA6C7A">
        <w:rPr>
          <w:lang w:val="en-US"/>
        </w:rPr>
        <w:t>(</w:t>
      </w:r>
      <w:r w:rsidR="00214332" w:rsidRPr="00EA6C7A">
        <w:rPr>
          <w:lang w:val="en-US"/>
        </w:rPr>
        <w:t>i) me</w:t>
      </w:r>
      <w:r w:rsidRPr="00EA6C7A">
        <w:rPr>
          <w:lang w:val="en-US"/>
        </w:rPr>
        <w:t xml:space="preserve">asures implemented before the facts of this case, that is, before </w:t>
      </w:r>
      <w:r w:rsidR="007B566E" w:rsidRPr="00EA6C7A">
        <w:rPr>
          <w:lang w:val="en-US"/>
        </w:rPr>
        <w:t>August</w:t>
      </w:r>
      <w:r w:rsidR="00214332" w:rsidRPr="00EA6C7A">
        <w:rPr>
          <w:lang w:val="en-US"/>
        </w:rPr>
        <w:t xml:space="preserve"> 2005; </w:t>
      </w:r>
      <w:r w:rsidRPr="00EA6C7A">
        <w:rPr>
          <w:lang w:val="en-US"/>
        </w:rPr>
        <w:t>(</w:t>
      </w:r>
      <w:r w:rsidR="00214332" w:rsidRPr="00EA6C7A">
        <w:rPr>
          <w:lang w:val="en-US"/>
        </w:rPr>
        <w:t>ii) me</w:t>
      </w:r>
      <w:r w:rsidRPr="00EA6C7A">
        <w:rPr>
          <w:lang w:val="en-US"/>
        </w:rPr>
        <w:t>asures implemented following the facts of the case,</w:t>
      </w:r>
      <w:r w:rsidR="00214332" w:rsidRPr="00EA6C7A">
        <w:rPr>
          <w:rStyle w:val="Refdenotaalpie"/>
          <w:rFonts w:cs="Calibri"/>
          <w:lang w:val="en-US"/>
        </w:rPr>
        <w:footnoteReference w:id="191"/>
      </w:r>
      <w:r w:rsidR="00D948A1" w:rsidRPr="00EA6C7A">
        <w:rPr>
          <w:lang w:val="en-US"/>
        </w:rPr>
        <w:t xml:space="preserve"> and </w:t>
      </w:r>
      <w:r w:rsidRPr="00EA6C7A">
        <w:rPr>
          <w:lang w:val="en-US"/>
        </w:rPr>
        <w:t>(</w:t>
      </w:r>
      <w:r w:rsidR="00214332" w:rsidRPr="00EA6C7A">
        <w:rPr>
          <w:lang w:val="en-US"/>
        </w:rPr>
        <w:t xml:space="preserve">iii) </w:t>
      </w:r>
      <w:r w:rsidRPr="00EA6C7A">
        <w:rPr>
          <w:lang w:val="en-US"/>
        </w:rPr>
        <w:t>measures that</w:t>
      </w:r>
      <w:r w:rsidR="00214332" w:rsidRPr="00EA6C7A">
        <w:rPr>
          <w:lang w:val="en-US"/>
        </w:rPr>
        <w:t xml:space="preserve"> Guatemala </w:t>
      </w:r>
      <w:r w:rsidR="00B90FCD" w:rsidRPr="00EA6C7A">
        <w:rPr>
          <w:lang w:val="en-US"/>
        </w:rPr>
        <w:t>guarantees</w:t>
      </w:r>
      <w:r w:rsidRPr="00EA6C7A">
        <w:rPr>
          <w:lang w:val="en-US"/>
        </w:rPr>
        <w:t xml:space="preserve"> have been implemented but regarding which it did not provide clear information on the dates they were implemented.</w:t>
      </w:r>
      <w:r w:rsidR="00214332" w:rsidRPr="00EA6C7A">
        <w:rPr>
          <w:rStyle w:val="Refdenotaalpie"/>
          <w:rFonts w:cs="Calibri"/>
          <w:lang w:val="en-US"/>
        </w:rPr>
        <w:footnoteReference w:id="192"/>
      </w:r>
      <w:r w:rsidR="00214332" w:rsidRPr="00EA6C7A">
        <w:rPr>
          <w:lang w:val="en-US"/>
        </w:rPr>
        <w:t xml:space="preserve"> </w:t>
      </w:r>
      <w:r w:rsidRPr="00EA6C7A">
        <w:rPr>
          <w:lang w:val="en-US"/>
        </w:rPr>
        <w:t xml:space="preserve">In order to analyze the first moment of the obligation to </w:t>
      </w:r>
      <w:r w:rsidRPr="00EA6C7A">
        <w:rPr>
          <w:lang w:val="en-US"/>
        </w:rPr>
        <w:lastRenderedPageBreak/>
        <w:t xml:space="preserve">prevent, that is, before the disappearance </w:t>
      </w:r>
      <w:r w:rsidR="00D10759" w:rsidRPr="00EA6C7A">
        <w:rPr>
          <w:lang w:val="en-US"/>
        </w:rPr>
        <w:t xml:space="preserve">of the </w:t>
      </w:r>
      <w:r w:rsidR="00E43A75" w:rsidRPr="00EA6C7A">
        <w:rPr>
          <w:lang w:val="en-US"/>
        </w:rPr>
        <w:t>presumed victim</w:t>
      </w:r>
      <w:r w:rsidR="00214332" w:rsidRPr="00EA6C7A">
        <w:rPr>
          <w:lang w:val="en-US"/>
        </w:rPr>
        <w:t xml:space="preserve">, </w:t>
      </w:r>
      <w:r w:rsidR="0096418F" w:rsidRPr="00EA6C7A">
        <w:rPr>
          <w:lang w:val="en-US"/>
        </w:rPr>
        <w:t>the Court</w:t>
      </w:r>
      <w:r w:rsidR="00214332" w:rsidRPr="00EA6C7A">
        <w:rPr>
          <w:lang w:val="en-US"/>
        </w:rPr>
        <w:t xml:space="preserve"> </w:t>
      </w:r>
      <w:r w:rsidRPr="00EA6C7A">
        <w:rPr>
          <w:lang w:val="en-US"/>
        </w:rPr>
        <w:t>will only consider the measures that were implemented before the facts of the case.</w:t>
      </w:r>
      <w:r w:rsidR="00214332" w:rsidRPr="00EA6C7A">
        <w:rPr>
          <w:sz w:val="24"/>
          <w:szCs w:val="24"/>
          <w:lang w:val="en-US"/>
        </w:rPr>
        <w:t xml:space="preserve"> </w:t>
      </w:r>
    </w:p>
    <w:p w14:paraId="1208220B" w14:textId="77777777" w:rsidR="00214332" w:rsidRPr="00EA6C7A" w:rsidRDefault="00214332" w:rsidP="00214332">
      <w:pPr>
        <w:pStyle w:val="ColorfulList-Accent11"/>
        <w:spacing w:after="0" w:line="240" w:lineRule="auto"/>
        <w:ind w:left="0"/>
        <w:jc w:val="both"/>
        <w:rPr>
          <w:rFonts w:ascii="Verdana" w:hAnsi="Verdana" w:cs="Calibri"/>
          <w:lang w:val="en-US"/>
        </w:rPr>
      </w:pPr>
    </w:p>
    <w:p w14:paraId="5D0ECBD2" w14:textId="77777777" w:rsidR="00214332" w:rsidRPr="00EA6C7A" w:rsidRDefault="00FC7D3B" w:rsidP="00077D21">
      <w:pPr>
        <w:pStyle w:val="PrrafodeSentencia"/>
        <w:rPr>
          <w:lang w:val="en-US"/>
        </w:rPr>
      </w:pPr>
      <w:r w:rsidRPr="00EA6C7A">
        <w:rPr>
          <w:lang w:val="en-US"/>
        </w:rPr>
        <w:t xml:space="preserve">The briefs and evidence submitted by the State reveal that, in 2000 and 2001, Guatemala created the </w:t>
      </w:r>
      <w:r w:rsidR="00C66427" w:rsidRPr="00EA6C7A">
        <w:rPr>
          <w:lang w:val="en-US" w:eastAsia="es-CR"/>
        </w:rPr>
        <w:t xml:space="preserve">Coordinating Body for the Prevention, Punishment and </w:t>
      </w:r>
      <w:r w:rsidR="002327A1" w:rsidRPr="00EA6C7A">
        <w:rPr>
          <w:lang w:val="en-US" w:eastAsia="es-CR"/>
        </w:rPr>
        <w:t>Eradication of Domestic Violence</w:t>
      </w:r>
      <w:r w:rsidR="00C66427" w:rsidRPr="00EA6C7A">
        <w:rPr>
          <w:lang w:val="en-US" w:eastAsia="es-CR"/>
        </w:rPr>
        <w:t xml:space="preserve"> and Violence against Women</w:t>
      </w:r>
      <w:r w:rsidR="00C66427" w:rsidRPr="00EA6C7A">
        <w:rPr>
          <w:sz w:val="16"/>
          <w:szCs w:val="16"/>
          <w:lang w:val="en-US" w:eastAsia="es-CR"/>
        </w:rPr>
        <w:t xml:space="preserve"> </w:t>
      </w:r>
      <w:r w:rsidR="00214332" w:rsidRPr="00EA6C7A">
        <w:rPr>
          <w:lang w:val="en-US"/>
        </w:rPr>
        <w:t xml:space="preserve">(CONAPREVI), </w:t>
      </w:r>
      <w:r w:rsidRPr="00EA6C7A">
        <w:rPr>
          <w:lang w:val="en-US"/>
        </w:rPr>
        <w:t xml:space="preserve">which, according to the State is ”the agency responsible for coordinating, promoting and providing advice on public policies to reduce </w:t>
      </w:r>
      <w:r w:rsidR="00C12C08" w:rsidRPr="00EA6C7A">
        <w:rPr>
          <w:lang w:val="en-US"/>
        </w:rPr>
        <w:t>violence against women</w:t>
      </w:r>
      <w:r w:rsidR="00214332" w:rsidRPr="00EA6C7A">
        <w:rPr>
          <w:lang w:val="en-US"/>
        </w:rPr>
        <w:t>”</w:t>
      </w:r>
      <w:r w:rsidR="00D217E1" w:rsidRPr="00EA6C7A">
        <w:rPr>
          <w:lang w:val="en-US"/>
        </w:rPr>
        <w:t>;</w:t>
      </w:r>
      <w:r w:rsidR="00D948A1" w:rsidRPr="00EA6C7A">
        <w:rPr>
          <w:lang w:val="en-US"/>
        </w:rPr>
        <w:t xml:space="preserve"> </w:t>
      </w:r>
      <w:r w:rsidRPr="00EA6C7A">
        <w:rPr>
          <w:lang w:val="en-US"/>
        </w:rPr>
        <w:t xml:space="preserve">its mission is </w:t>
      </w:r>
      <w:r w:rsidR="00214332" w:rsidRPr="00EA6C7A">
        <w:rPr>
          <w:lang w:val="en-US"/>
        </w:rPr>
        <w:t>“</w:t>
      </w:r>
      <w:r w:rsidRPr="00EA6C7A">
        <w:rPr>
          <w:lang w:val="en-US"/>
        </w:rPr>
        <w:t xml:space="preserve">to eradicate </w:t>
      </w:r>
      <w:r w:rsidR="00C12C08" w:rsidRPr="00EA6C7A">
        <w:rPr>
          <w:lang w:val="en-US"/>
        </w:rPr>
        <w:t>violence against women</w:t>
      </w:r>
      <w:r w:rsidR="00214332" w:rsidRPr="00EA6C7A">
        <w:rPr>
          <w:lang w:val="en-US"/>
        </w:rPr>
        <w:t xml:space="preserve"> </w:t>
      </w:r>
      <w:r w:rsidRPr="00EA6C7A">
        <w:rPr>
          <w:lang w:val="en-US"/>
        </w:rPr>
        <w:t>i</w:t>
      </w:r>
      <w:r w:rsidR="00214332" w:rsidRPr="00EA6C7A">
        <w:rPr>
          <w:lang w:val="en-US"/>
        </w:rPr>
        <w:t>n Guatemala</w:t>
      </w:r>
      <w:r w:rsidRPr="00EA6C7A">
        <w:rPr>
          <w:lang w:val="en-US"/>
        </w:rPr>
        <w:t xml:space="preserve"> by promoti</w:t>
      </w:r>
      <w:r w:rsidR="00D217E1" w:rsidRPr="00EA6C7A">
        <w:rPr>
          <w:lang w:val="en-US"/>
        </w:rPr>
        <w:t>ng</w:t>
      </w:r>
      <w:r w:rsidRPr="00EA6C7A">
        <w:rPr>
          <w:lang w:val="en-US"/>
        </w:rPr>
        <w:t>, guid</w:t>
      </w:r>
      <w:r w:rsidR="00D217E1" w:rsidRPr="00EA6C7A">
        <w:rPr>
          <w:lang w:val="en-US"/>
        </w:rPr>
        <w:t>ing</w:t>
      </w:r>
      <w:r w:rsidRPr="00EA6C7A">
        <w:rPr>
          <w:lang w:val="en-US"/>
        </w:rPr>
        <w:t xml:space="preserve"> and monitoring public policies in coordination with the institution</w:t>
      </w:r>
      <w:r w:rsidR="00D217E1" w:rsidRPr="00EA6C7A">
        <w:rPr>
          <w:lang w:val="en-US"/>
        </w:rPr>
        <w:t>s</w:t>
      </w:r>
      <w:r w:rsidRPr="00EA6C7A">
        <w:rPr>
          <w:lang w:val="en-US"/>
        </w:rPr>
        <w:t xml:space="preserve"> working in this area.</w:t>
      </w:r>
      <w:r w:rsidR="00214332" w:rsidRPr="00EA6C7A">
        <w:rPr>
          <w:lang w:val="en-US"/>
        </w:rPr>
        <w:t>”</w:t>
      </w:r>
      <w:r w:rsidR="00214332" w:rsidRPr="00EA6C7A">
        <w:rPr>
          <w:rStyle w:val="Refdenotaalpie"/>
          <w:lang w:val="en-US"/>
        </w:rPr>
        <w:footnoteReference w:id="193"/>
      </w:r>
      <w:r w:rsidR="00214332" w:rsidRPr="00EA6C7A">
        <w:rPr>
          <w:lang w:val="en-US"/>
        </w:rPr>
        <w:t xml:space="preserve"> </w:t>
      </w:r>
      <w:r w:rsidRPr="00EA6C7A">
        <w:rPr>
          <w:lang w:val="en-US"/>
        </w:rPr>
        <w:t>In</w:t>
      </w:r>
      <w:r w:rsidR="00214332" w:rsidRPr="00EA6C7A">
        <w:rPr>
          <w:lang w:val="en-US"/>
        </w:rPr>
        <w:t xml:space="preserve"> 2004, CONAPREVI la</w:t>
      </w:r>
      <w:r w:rsidRPr="00EA6C7A">
        <w:rPr>
          <w:lang w:val="en-US"/>
        </w:rPr>
        <w:t>unched</w:t>
      </w:r>
      <w:r w:rsidR="00214332" w:rsidRPr="00EA6C7A">
        <w:rPr>
          <w:lang w:val="en-US"/>
        </w:rPr>
        <w:t xml:space="preserve"> </w:t>
      </w:r>
      <w:r w:rsidR="00577D56" w:rsidRPr="00EA6C7A">
        <w:rPr>
          <w:lang w:val="en-US"/>
        </w:rPr>
        <w:t xml:space="preserve">the National Plan for the Prevention and </w:t>
      </w:r>
      <w:r w:rsidR="002327A1" w:rsidRPr="00EA6C7A">
        <w:rPr>
          <w:lang w:val="en-US"/>
        </w:rPr>
        <w:t>Eradication of Domestic Violence</w:t>
      </w:r>
      <w:r w:rsidR="00577D56" w:rsidRPr="00EA6C7A">
        <w:rPr>
          <w:lang w:val="en-US"/>
        </w:rPr>
        <w:t xml:space="preserve"> and Violence against Women</w:t>
      </w:r>
      <w:r w:rsidR="00214332" w:rsidRPr="00EA6C7A">
        <w:rPr>
          <w:lang w:val="en-US"/>
        </w:rPr>
        <w:t xml:space="preserve">(PLANOVI) 2004-2014, </w:t>
      </w:r>
      <w:r w:rsidRPr="00EA6C7A">
        <w:rPr>
          <w:lang w:val="en-US"/>
        </w:rPr>
        <w:t>with the</w:t>
      </w:r>
      <w:r w:rsidR="00214332" w:rsidRPr="00EA6C7A">
        <w:rPr>
          <w:lang w:val="en-US"/>
        </w:rPr>
        <w:t xml:space="preserve"> “general</w:t>
      </w:r>
      <w:r w:rsidRPr="00EA6C7A">
        <w:rPr>
          <w:lang w:val="en-US"/>
        </w:rPr>
        <w:t xml:space="preserve"> objective of reinforcing the State’s political and institutional framework in order to </w:t>
      </w:r>
      <w:r w:rsidR="008A607E" w:rsidRPr="00EA6C7A">
        <w:rPr>
          <w:lang w:val="en-US"/>
        </w:rPr>
        <w:t>address</w:t>
      </w:r>
      <w:r w:rsidRPr="00EA6C7A">
        <w:rPr>
          <w:lang w:val="en-US"/>
        </w:rPr>
        <w:t xml:space="preserve"> the problem of </w:t>
      </w:r>
      <w:r w:rsidR="00C12C08" w:rsidRPr="00EA6C7A">
        <w:rPr>
          <w:lang w:val="en-US"/>
        </w:rPr>
        <w:t>violence against women</w:t>
      </w:r>
      <w:r w:rsidR="00214332" w:rsidRPr="00EA6C7A">
        <w:rPr>
          <w:lang w:val="en-US"/>
        </w:rPr>
        <w:t xml:space="preserve"> </w:t>
      </w:r>
      <w:r w:rsidRPr="00EA6C7A">
        <w:rPr>
          <w:lang w:val="en-US"/>
        </w:rPr>
        <w:t>i</w:t>
      </w:r>
      <w:r w:rsidR="00214332" w:rsidRPr="00EA6C7A">
        <w:rPr>
          <w:lang w:val="en-US"/>
        </w:rPr>
        <w:t>n Guatemala</w:t>
      </w:r>
      <w:r w:rsidRPr="00EA6C7A">
        <w:rPr>
          <w:lang w:val="en-US"/>
        </w:rPr>
        <w:t xml:space="preserve"> effectively</w:t>
      </w:r>
      <w:r w:rsidR="00214332" w:rsidRPr="00EA6C7A">
        <w:rPr>
          <w:lang w:val="en-US"/>
        </w:rPr>
        <w:t>, [</w:t>
      </w:r>
      <w:proofErr w:type="spellStart"/>
      <w:r w:rsidRPr="00EA6C7A">
        <w:rPr>
          <w:lang w:val="en-US"/>
        </w:rPr>
        <w:t>i</w:t>
      </w:r>
      <w:proofErr w:type="spellEnd"/>
      <w:r w:rsidR="00214332" w:rsidRPr="00EA6C7A">
        <w:rPr>
          <w:lang w:val="en-US"/>
        </w:rPr>
        <w:t>]</w:t>
      </w:r>
      <w:proofErr w:type="spellStart"/>
      <w:r w:rsidRPr="00EA6C7A">
        <w:rPr>
          <w:lang w:val="en-US"/>
        </w:rPr>
        <w:t>mproving</w:t>
      </w:r>
      <w:proofErr w:type="spellEnd"/>
      <w:r w:rsidRPr="00EA6C7A">
        <w:rPr>
          <w:lang w:val="en-US"/>
        </w:rPr>
        <w:t xml:space="preserve"> the institutional response</w:t>
      </w:r>
      <w:r w:rsidR="00D217E1" w:rsidRPr="00EA6C7A">
        <w:rPr>
          <w:lang w:val="en-US"/>
        </w:rPr>
        <w:t xml:space="preserve"> and</w:t>
      </w:r>
      <w:r w:rsidRPr="00EA6C7A">
        <w:rPr>
          <w:lang w:val="en-US"/>
        </w:rPr>
        <w:t xml:space="preserve"> the quality and timeliness of the comprehensive care services</w:t>
      </w:r>
      <w:r w:rsidR="000B5788" w:rsidRPr="00EA6C7A">
        <w:rPr>
          <w:lang w:val="en-US"/>
        </w:rPr>
        <w:t>,</w:t>
      </w:r>
      <w:r w:rsidRPr="00EA6C7A">
        <w:rPr>
          <w:lang w:val="en-US"/>
        </w:rPr>
        <w:t xml:space="preserve"> and </w:t>
      </w:r>
      <w:r w:rsidR="000B5788" w:rsidRPr="00EA6C7A">
        <w:rPr>
          <w:lang w:val="en-US"/>
        </w:rPr>
        <w:t>enhancing</w:t>
      </w:r>
      <w:r w:rsidRPr="00EA6C7A">
        <w:rPr>
          <w:lang w:val="en-US"/>
        </w:rPr>
        <w:t xml:space="preserve"> awareness-raising and educational processes.</w:t>
      </w:r>
      <w:r w:rsidR="00214332" w:rsidRPr="00EA6C7A">
        <w:rPr>
          <w:lang w:val="en-US"/>
        </w:rPr>
        <w:t>”</w:t>
      </w:r>
      <w:r w:rsidR="00214332" w:rsidRPr="00EA6C7A">
        <w:rPr>
          <w:rStyle w:val="Refdenotaalpie"/>
          <w:rFonts w:cs="Calibri"/>
          <w:lang w:val="en-US"/>
        </w:rPr>
        <w:footnoteReference w:id="194"/>
      </w:r>
      <w:r w:rsidR="00214332" w:rsidRPr="00EA6C7A">
        <w:rPr>
          <w:lang w:val="en-US"/>
        </w:rPr>
        <w:t xml:space="preserve"> </w:t>
      </w:r>
    </w:p>
    <w:p w14:paraId="1BAE309A" w14:textId="77777777" w:rsidR="00214332" w:rsidRPr="00EA6C7A" w:rsidRDefault="00214332" w:rsidP="00214332">
      <w:pPr>
        <w:pStyle w:val="ColorfulList-Accent11"/>
        <w:spacing w:after="0" w:line="240" w:lineRule="auto"/>
        <w:ind w:left="0"/>
        <w:jc w:val="both"/>
        <w:rPr>
          <w:rFonts w:ascii="Verdana" w:hAnsi="Verdana"/>
          <w:lang w:val="en-US"/>
        </w:rPr>
      </w:pPr>
    </w:p>
    <w:p w14:paraId="048B3A59" w14:textId="77777777" w:rsidR="004C2623" w:rsidRPr="00EA6C7A" w:rsidRDefault="000B5788" w:rsidP="00077D21">
      <w:pPr>
        <w:pStyle w:val="PrrafodeSentencia"/>
        <w:rPr>
          <w:rFonts w:cs="Calibri"/>
          <w:lang w:val="en-US"/>
        </w:rPr>
      </w:pPr>
      <w:r w:rsidRPr="00EA6C7A">
        <w:rPr>
          <w:rFonts w:cs="Calibri"/>
          <w:lang w:val="en-US"/>
        </w:rPr>
        <w:t xml:space="preserve">Furthermore, in 2000, </w:t>
      </w:r>
      <w:r w:rsidR="00C66427" w:rsidRPr="00EA6C7A">
        <w:rPr>
          <w:rFonts w:cs="Calibri"/>
          <w:lang w:val="en-US"/>
        </w:rPr>
        <w:t>the Presidential Secretariat for Women</w:t>
      </w:r>
      <w:r w:rsidR="00214332" w:rsidRPr="00EA6C7A">
        <w:rPr>
          <w:lang w:val="en-US"/>
        </w:rPr>
        <w:t xml:space="preserve"> (SEPREM)</w:t>
      </w:r>
      <w:r w:rsidRPr="00EA6C7A">
        <w:rPr>
          <w:lang w:val="en-US"/>
        </w:rPr>
        <w:t xml:space="preserve"> was created. According to </w:t>
      </w:r>
      <w:r w:rsidR="002F3848" w:rsidRPr="00EA6C7A">
        <w:rPr>
          <w:lang w:val="en-US"/>
        </w:rPr>
        <w:t>the State</w:t>
      </w:r>
      <w:r w:rsidR="00214332" w:rsidRPr="00EA6C7A">
        <w:rPr>
          <w:lang w:val="en-US"/>
        </w:rPr>
        <w:t>,</w:t>
      </w:r>
      <w:r w:rsidRPr="00EA6C7A">
        <w:rPr>
          <w:lang w:val="en-US"/>
        </w:rPr>
        <w:t xml:space="preserve"> this</w:t>
      </w:r>
      <w:r w:rsidR="00D217E1" w:rsidRPr="00EA6C7A">
        <w:rPr>
          <w:lang w:val="en-US"/>
        </w:rPr>
        <w:t xml:space="preserve"> is</w:t>
      </w:r>
      <w:r w:rsidR="00214332" w:rsidRPr="00EA6C7A">
        <w:rPr>
          <w:lang w:val="en-US"/>
        </w:rPr>
        <w:t xml:space="preserve"> “</w:t>
      </w:r>
      <w:r w:rsidRPr="00EA6C7A">
        <w:rPr>
          <w:lang w:val="en-US"/>
        </w:rPr>
        <w:t>the Executive’s office that advises and coordinates public policies to promote the holistic development of Guatemalan women and</w:t>
      </w:r>
      <w:r w:rsidR="004C2623" w:rsidRPr="00EA6C7A">
        <w:rPr>
          <w:lang w:val="en-US"/>
        </w:rPr>
        <w:t xml:space="preserve"> a democratic culture</w:t>
      </w:r>
      <w:r w:rsidR="00214332" w:rsidRPr="00EA6C7A">
        <w:rPr>
          <w:lang w:val="en-US"/>
        </w:rPr>
        <w:t>”</w:t>
      </w:r>
      <w:r w:rsidR="004C2623" w:rsidRPr="00EA6C7A">
        <w:rPr>
          <w:lang w:val="en-US"/>
        </w:rPr>
        <w:t>;</w:t>
      </w:r>
      <w:r w:rsidR="00214332" w:rsidRPr="00EA6C7A">
        <w:rPr>
          <w:rStyle w:val="Refdenotaalpie"/>
          <w:lang w:val="en-US"/>
        </w:rPr>
        <w:footnoteReference w:id="195"/>
      </w:r>
      <w:r w:rsidR="004C2623" w:rsidRPr="00EA6C7A">
        <w:rPr>
          <w:lang w:val="en-US"/>
        </w:rPr>
        <w:t xml:space="preserve"> its “main function is to provide advice and support to the President of the Republic </w:t>
      </w:r>
      <w:r w:rsidR="00D217E1" w:rsidRPr="00EA6C7A">
        <w:rPr>
          <w:lang w:val="en-US"/>
        </w:rPr>
        <w:t>on</w:t>
      </w:r>
      <w:r w:rsidR="004C2623" w:rsidRPr="00EA6C7A">
        <w:rPr>
          <w:lang w:val="en-US"/>
        </w:rPr>
        <w:t xml:space="preserve"> programs and projects for the promotion and adoption of the necessary public policies for the holistic development of women, encouraging conditions for equality between men and women, based on the country’s socio-cultural diversity.”</w:t>
      </w:r>
    </w:p>
    <w:p w14:paraId="6C4A16DC" w14:textId="77777777" w:rsidR="00214332" w:rsidRPr="00EA6C7A" w:rsidRDefault="00214332" w:rsidP="00214332">
      <w:pPr>
        <w:pStyle w:val="ColorfulList-Accent11"/>
        <w:spacing w:after="0" w:line="240" w:lineRule="auto"/>
        <w:ind w:left="0"/>
        <w:jc w:val="both"/>
        <w:rPr>
          <w:rFonts w:ascii="Verdana" w:hAnsi="Verdana" w:cs="Calibri"/>
          <w:lang w:val="en-US"/>
        </w:rPr>
      </w:pPr>
    </w:p>
    <w:p w14:paraId="715BEE67" w14:textId="77777777" w:rsidR="00214332" w:rsidRPr="00EA6C7A" w:rsidRDefault="004C2623" w:rsidP="00077D21">
      <w:pPr>
        <w:pStyle w:val="PrrafodeSentencia"/>
        <w:rPr>
          <w:rFonts w:cs="Arial"/>
          <w:lang w:val="en-US"/>
        </w:rPr>
      </w:pPr>
      <w:r w:rsidRPr="00EA6C7A">
        <w:rPr>
          <w:lang w:val="en-US"/>
        </w:rPr>
        <w:t>In addition, it is uncontested that, before the facts of this case, the State had established</w:t>
      </w:r>
      <w:r w:rsidR="00214332" w:rsidRPr="00EA6C7A">
        <w:rPr>
          <w:lang w:val="en-US"/>
        </w:rPr>
        <w:t xml:space="preserve"> </w:t>
      </w:r>
      <w:r w:rsidR="009C5D41" w:rsidRPr="00EA6C7A">
        <w:rPr>
          <w:lang w:val="en-US"/>
        </w:rPr>
        <w:t>the Special Prosecutor’s Office for Women’s Affair</w:t>
      </w:r>
      <w:r w:rsidR="001D1DD4" w:rsidRPr="00EA6C7A">
        <w:rPr>
          <w:lang w:val="en-US"/>
        </w:rPr>
        <w:t>s</w:t>
      </w:r>
      <w:r w:rsidR="00D948A1" w:rsidRPr="00EA6C7A">
        <w:rPr>
          <w:lang w:val="en-US"/>
        </w:rPr>
        <w:t xml:space="preserve"> and </w:t>
      </w:r>
      <w:r w:rsidRPr="00EA6C7A">
        <w:rPr>
          <w:rFonts w:cs="Arial"/>
          <w:lang w:val="en-US"/>
        </w:rPr>
        <w:t>a</w:t>
      </w:r>
      <w:r w:rsidR="00214332" w:rsidRPr="00EA6C7A">
        <w:rPr>
          <w:rFonts w:cs="Arial"/>
          <w:lang w:val="en-US"/>
        </w:rPr>
        <w:t xml:space="preserve"> </w:t>
      </w:r>
      <w:r w:rsidRPr="00EA6C7A">
        <w:rPr>
          <w:lang w:val="en-US"/>
        </w:rPr>
        <w:t>National Policy for the Comprehensive Promotion</w:t>
      </w:r>
      <w:r w:rsidR="00CF08AC" w:rsidRPr="00EA6C7A">
        <w:rPr>
          <w:lang w:val="en-US"/>
        </w:rPr>
        <w:t xml:space="preserve"> and Development of Women </w:t>
      </w:r>
      <w:r w:rsidR="00D217E1" w:rsidRPr="00EA6C7A">
        <w:rPr>
          <w:rFonts w:cs="Arial"/>
          <w:lang w:val="en-US"/>
        </w:rPr>
        <w:t>together with</w:t>
      </w:r>
      <w:r w:rsidR="00D948A1" w:rsidRPr="00EA6C7A">
        <w:rPr>
          <w:rFonts w:cs="Arial"/>
          <w:lang w:val="en-US"/>
        </w:rPr>
        <w:t xml:space="preserve"> </w:t>
      </w:r>
      <w:r w:rsidRPr="00EA6C7A">
        <w:rPr>
          <w:rFonts w:cs="Arial"/>
          <w:lang w:val="en-US"/>
        </w:rPr>
        <w:t>its</w:t>
      </w:r>
      <w:r w:rsidR="00214332" w:rsidRPr="00EA6C7A">
        <w:rPr>
          <w:rFonts w:cs="Arial"/>
          <w:lang w:val="en-US"/>
        </w:rPr>
        <w:t xml:space="preserve"> </w:t>
      </w:r>
      <w:r w:rsidRPr="00EA6C7A">
        <w:rPr>
          <w:rFonts w:cs="Arial"/>
          <w:lang w:val="en-US"/>
        </w:rPr>
        <w:t>Equal Opportunities Plan</w:t>
      </w:r>
      <w:r w:rsidR="00214332" w:rsidRPr="00EA6C7A">
        <w:rPr>
          <w:rFonts w:cs="Arial"/>
          <w:lang w:val="en-US"/>
        </w:rPr>
        <w:t xml:space="preserve"> (2001-</w:t>
      </w:r>
      <w:r w:rsidR="00214332" w:rsidRPr="00EA6C7A">
        <w:rPr>
          <w:lang w:val="en-US"/>
        </w:rPr>
        <w:t>2006)</w:t>
      </w:r>
      <w:r w:rsidRPr="00EA6C7A">
        <w:rPr>
          <w:lang w:val="en-US"/>
        </w:rPr>
        <w:t>.</w:t>
      </w:r>
      <w:r w:rsidR="00214332" w:rsidRPr="00EA6C7A">
        <w:rPr>
          <w:rStyle w:val="Refdenotaalpie"/>
          <w:rFonts w:eastAsia="Calibri" w:cs="Arial"/>
          <w:lang w:val="en-US" w:eastAsia="en-US"/>
        </w:rPr>
        <w:footnoteReference w:id="196"/>
      </w:r>
      <w:r w:rsidR="00214332" w:rsidRPr="00EA6C7A">
        <w:rPr>
          <w:lang w:val="en-US"/>
        </w:rPr>
        <w:t xml:space="preserve"> </w:t>
      </w:r>
    </w:p>
    <w:p w14:paraId="6ED5E89D" w14:textId="77777777" w:rsidR="00214332" w:rsidRPr="00EA6C7A" w:rsidRDefault="00214332" w:rsidP="00214332">
      <w:pPr>
        <w:pStyle w:val="Prrafodelista"/>
        <w:spacing w:after="0" w:line="240" w:lineRule="auto"/>
        <w:rPr>
          <w:rFonts w:ascii="Verdana" w:eastAsia="Calibri" w:hAnsi="Verdana" w:cs="Arial"/>
          <w:lang w:val="en-US"/>
        </w:rPr>
      </w:pPr>
    </w:p>
    <w:p w14:paraId="1F49D156" w14:textId="77777777" w:rsidR="00214332" w:rsidRPr="00EA6C7A" w:rsidRDefault="004C2623" w:rsidP="00077D21">
      <w:pPr>
        <w:pStyle w:val="PrrafodeSentencia"/>
        <w:rPr>
          <w:lang w:val="en-US"/>
        </w:rPr>
      </w:pPr>
      <w:r w:rsidRPr="00EA6C7A">
        <w:rPr>
          <w:lang w:val="en-US"/>
        </w:rPr>
        <w:t xml:space="preserve">Regarding the measures taken by the Judiciary, the State indicated that, starting in 2001, the Judiciary’s Modernization Unit began to </w:t>
      </w:r>
      <w:r w:rsidR="008A607E" w:rsidRPr="00EA6C7A">
        <w:rPr>
          <w:lang w:val="en-US"/>
        </w:rPr>
        <w:t>address</w:t>
      </w:r>
      <w:r w:rsidRPr="00EA6C7A">
        <w:rPr>
          <w:lang w:val="en-US"/>
        </w:rPr>
        <w:t xml:space="preserve"> the issue of violence against women and girls by organizing workshops on</w:t>
      </w:r>
      <w:r w:rsidR="00214332" w:rsidRPr="00EA6C7A">
        <w:rPr>
          <w:lang w:val="en-US"/>
        </w:rPr>
        <w:t xml:space="preserve"> interculturali</w:t>
      </w:r>
      <w:r w:rsidRPr="00EA6C7A">
        <w:rPr>
          <w:lang w:val="en-US"/>
        </w:rPr>
        <w:t>ty</w:t>
      </w:r>
      <w:r w:rsidR="00214332" w:rsidRPr="00EA6C7A">
        <w:rPr>
          <w:lang w:val="en-US"/>
        </w:rPr>
        <w:t>,</w:t>
      </w:r>
      <w:r w:rsidRPr="00EA6C7A">
        <w:rPr>
          <w:lang w:val="en-US"/>
        </w:rPr>
        <w:t xml:space="preserve"> women’s human rights in the context of </w:t>
      </w:r>
      <w:r w:rsidRPr="00EA6C7A">
        <w:rPr>
          <w:lang w:val="en-US"/>
        </w:rPr>
        <w:lastRenderedPageBreak/>
        <w:t>the cultural values of the indigenous peoples,</w:t>
      </w:r>
      <w:r w:rsidR="00214332" w:rsidRPr="00EA6C7A">
        <w:rPr>
          <w:lang w:val="en-US"/>
        </w:rPr>
        <w:t xml:space="preserve"> </w:t>
      </w:r>
      <w:r w:rsidR="00C12C08" w:rsidRPr="00EA6C7A">
        <w:rPr>
          <w:lang w:val="en-US"/>
        </w:rPr>
        <w:t>violence against women</w:t>
      </w:r>
      <w:r w:rsidR="00214332" w:rsidRPr="00EA6C7A">
        <w:rPr>
          <w:lang w:val="en-US"/>
        </w:rPr>
        <w:t xml:space="preserve">, </w:t>
      </w:r>
      <w:r w:rsidRPr="00EA6C7A">
        <w:rPr>
          <w:lang w:val="en-US"/>
        </w:rPr>
        <w:t>the Mayan legal system, and the role of the indigenous authorities.</w:t>
      </w:r>
    </w:p>
    <w:p w14:paraId="6DF0A549" w14:textId="77777777" w:rsidR="00214332" w:rsidRPr="00EA6C7A" w:rsidRDefault="00214332" w:rsidP="00214332">
      <w:pPr>
        <w:pStyle w:val="ColorfulList-Accent11"/>
        <w:spacing w:after="0" w:line="240" w:lineRule="auto"/>
        <w:ind w:left="0"/>
        <w:jc w:val="both"/>
        <w:rPr>
          <w:rFonts w:ascii="Verdana" w:hAnsi="Verdana" w:cs="Calibri"/>
          <w:lang w:val="en-US"/>
        </w:rPr>
      </w:pPr>
    </w:p>
    <w:p w14:paraId="4401C194" w14:textId="77777777" w:rsidR="00214332" w:rsidRPr="00EA6C7A" w:rsidRDefault="00556BD4" w:rsidP="00077D21">
      <w:pPr>
        <w:pStyle w:val="PrrafodeSentencia"/>
        <w:rPr>
          <w:lang w:val="en-US"/>
        </w:rPr>
      </w:pPr>
      <w:r w:rsidRPr="00EA6C7A">
        <w:rPr>
          <w:lang w:val="en-US"/>
        </w:rPr>
        <w:t>In this regard</w:t>
      </w:r>
      <w:r w:rsidR="00214332" w:rsidRPr="00EA6C7A">
        <w:rPr>
          <w:lang w:val="en-US"/>
        </w:rPr>
        <w:t xml:space="preserve">, </w:t>
      </w:r>
      <w:r w:rsidR="0096418F" w:rsidRPr="00EA6C7A">
        <w:rPr>
          <w:lang w:val="en-US"/>
        </w:rPr>
        <w:t>the Court</w:t>
      </w:r>
      <w:r w:rsidR="00214332" w:rsidRPr="00EA6C7A">
        <w:rPr>
          <w:lang w:val="en-US"/>
        </w:rPr>
        <w:t xml:space="preserve"> not</w:t>
      </w:r>
      <w:r w:rsidRPr="00EA6C7A">
        <w:rPr>
          <w:lang w:val="en-US"/>
        </w:rPr>
        <w:t>es that, at the time, various reports of national and international agencies and organizations criticized the effectiveness of these State measures and institutions:</w:t>
      </w:r>
    </w:p>
    <w:p w14:paraId="126C1F83" w14:textId="77777777" w:rsidR="00214332" w:rsidRPr="00EA6C7A" w:rsidRDefault="00214332" w:rsidP="00214332">
      <w:pPr>
        <w:pStyle w:val="ColorfulList-Accent11"/>
        <w:spacing w:after="0" w:line="240" w:lineRule="auto"/>
        <w:ind w:left="0"/>
        <w:jc w:val="both"/>
        <w:rPr>
          <w:rFonts w:ascii="Verdana" w:hAnsi="Verdana" w:cs="Calibri"/>
          <w:lang w:val="en-US"/>
        </w:rPr>
      </w:pPr>
    </w:p>
    <w:p w14:paraId="5901A8C6" w14:textId="77777777" w:rsidR="00214332" w:rsidRPr="00EA6C7A" w:rsidRDefault="00D92970" w:rsidP="00F81942">
      <w:pPr>
        <w:pStyle w:val="ColorfulList-Accent11"/>
        <w:numPr>
          <w:ilvl w:val="0"/>
          <w:numId w:val="5"/>
        </w:numPr>
        <w:spacing w:after="0" w:line="240" w:lineRule="auto"/>
        <w:ind w:left="540"/>
        <w:jc w:val="both"/>
        <w:rPr>
          <w:rFonts w:ascii="Verdana" w:hAnsi="Verdana" w:cs="Calibri"/>
          <w:lang w:val="en-US"/>
        </w:rPr>
      </w:pPr>
      <w:r w:rsidRPr="00EA6C7A">
        <w:rPr>
          <w:rFonts w:ascii="Verdana" w:hAnsi="Verdana" w:cs="Calibri"/>
          <w:lang w:val="en-US"/>
        </w:rPr>
        <w:t>In February</w:t>
      </w:r>
      <w:r w:rsidR="00214332" w:rsidRPr="00EA6C7A">
        <w:rPr>
          <w:rFonts w:ascii="Verdana" w:hAnsi="Verdana" w:cs="Calibri"/>
          <w:lang w:val="en-US"/>
        </w:rPr>
        <w:t xml:space="preserve"> 2005, </w:t>
      </w:r>
      <w:r w:rsidRPr="00EA6C7A">
        <w:rPr>
          <w:rFonts w:ascii="Verdana" w:hAnsi="Verdana" w:cs="Calibri"/>
          <w:lang w:val="en-US"/>
        </w:rPr>
        <w:t>the Special Rapporteur on</w:t>
      </w:r>
      <w:r w:rsidR="00214332" w:rsidRPr="00EA6C7A">
        <w:rPr>
          <w:rFonts w:ascii="Verdana" w:hAnsi="Verdana" w:cs="Calibri"/>
          <w:lang w:val="en-US"/>
        </w:rPr>
        <w:t xml:space="preserve"> </w:t>
      </w:r>
      <w:r w:rsidR="00C12C08" w:rsidRPr="00EA6C7A">
        <w:rPr>
          <w:rFonts w:ascii="Verdana" w:hAnsi="Verdana" w:cs="Calibri"/>
          <w:lang w:val="en-US"/>
        </w:rPr>
        <w:t>violence against women</w:t>
      </w:r>
      <w:r w:rsidR="00214332" w:rsidRPr="00EA6C7A">
        <w:rPr>
          <w:rFonts w:ascii="Verdana" w:hAnsi="Verdana" w:cs="Calibri"/>
          <w:lang w:val="en-US"/>
        </w:rPr>
        <w:t xml:space="preserve">, </w:t>
      </w:r>
      <w:r w:rsidRPr="00EA6C7A">
        <w:rPr>
          <w:rFonts w:ascii="Verdana" w:hAnsi="Verdana" w:cs="Calibri"/>
          <w:lang w:val="en-US"/>
        </w:rPr>
        <w:t>its causes and consequences indicated that “</w:t>
      </w:r>
      <w:r w:rsidR="00F81942" w:rsidRPr="00EA6C7A">
        <w:rPr>
          <w:rFonts w:ascii="Verdana" w:hAnsi="Verdana"/>
          <w:lang w:val="en-US"/>
        </w:rPr>
        <w:t>[t]</w:t>
      </w:r>
      <w:r w:rsidRPr="00EA6C7A">
        <w:rPr>
          <w:rFonts w:ascii="Verdana" w:hAnsi="Verdana"/>
          <w:lang w:val="en-US"/>
        </w:rPr>
        <w:t>here are a number of parallel institutions for the advancement of women with overlapping mandates reflecting the fragmented and divided nature of Guatemalan society.” Also, that “</w:t>
      </w:r>
      <w:r w:rsidR="00F81942" w:rsidRPr="00EA6C7A">
        <w:rPr>
          <w:rFonts w:ascii="Verdana" w:hAnsi="Verdana"/>
          <w:lang w:val="en-US"/>
        </w:rPr>
        <w:t xml:space="preserve">CONAPREVI </w:t>
      </w:r>
      <w:r w:rsidRPr="00EA6C7A">
        <w:rPr>
          <w:rFonts w:ascii="Verdana" w:hAnsi="Verdana"/>
          <w:lang w:val="en-US"/>
        </w:rPr>
        <w:t>ha</w:t>
      </w:r>
      <w:r w:rsidR="00F81942" w:rsidRPr="00EA6C7A">
        <w:rPr>
          <w:rFonts w:ascii="Verdana" w:hAnsi="Verdana"/>
          <w:lang w:val="en-US"/>
        </w:rPr>
        <w:t>[d]</w:t>
      </w:r>
      <w:r w:rsidRPr="00EA6C7A">
        <w:rPr>
          <w:rFonts w:ascii="Verdana" w:hAnsi="Verdana"/>
          <w:lang w:val="en-US"/>
        </w:rPr>
        <w:t xml:space="preserve"> not received the necessary political and budgetary support needed for the fulfilment of its tasks to date.</w:t>
      </w:r>
      <w:r w:rsidR="00214332" w:rsidRPr="00EA6C7A">
        <w:rPr>
          <w:rFonts w:ascii="Verdana" w:eastAsia="Calibri" w:hAnsi="Verdana" w:cs="TimesNewRoman"/>
          <w:lang w:val="en-US"/>
        </w:rPr>
        <w:t>”</w:t>
      </w:r>
      <w:r w:rsidR="00214332" w:rsidRPr="00EA6C7A">
        <w:rPr>
          <w:rStyle w:val="Refdenotaalpie"/>
          <w:rFonts w:ascii="Verdana" w:eastAsia="Calibri" w:hAnsi="Verdana" w:cs="TimesNewRoman"/>
          <w:lang w:val="en-US"/>
        </w:rPr>
        <w:footnoteReference w:id="197"/>
      </w:r>
      <w:r w:rsidR="00214332" w:rsidRPr="00EA6C7A">
        <w:rPr>
          <w:rFonts w:ascii="Verdana" w:eastAsia="Calibri" w:hAnsi="Verdana" w:cs="TimesNewRoman"/>
          <w:lang w:val="en-US"/>
        </w:rPr>
        <w:t xml:space="preserve"> </w:t>
      </w:r>
    </w:p>
    <w:p w14:paraId="2FB49902" w14:textId="77777777" w:rsidR="00214332" w:rsidRPr="00EA6C7A" w:rsidRDefault="00214332" w:rsidP="00214332">
      <w:pPr>
        <w:pStyle w:val="ColorfulList-Accent11"/>
        <w:spacing w:after="0" w:line="240" w:lineRule="auto"/>
        <w:ind w:left="540"/>
        <w:jc w:val="both"/>
        <w:rPr>
          <w:rFonts w:ascii="Verdana" w:hAnsi="Verdana" w:cs="Calibri"/>
          <w:lang w:val="en-US"/>
        </w:rPr>
      </w:pPr>
    </w:p>
    <w:p w14:paraId="3E5EBCD7" w14:textId="77777777" w:rsidR="00214332" w:rsidRPr="00EA6C7A" w:rsidRDefault="00D92970" w:rsidP="00F81942">
      <w:pPr>
        <w:pStyle w:val="ColorfulList-Accent11"/>
        <w:numPr>
          <w:ilvl w:val="0"/>
          <w:numId w:val="5"/>
        </w:numPr>
        <w:spacing w:after="0" w:line="240" w:lineRule="auto"/>
        <w:ind w:left="540"/>
        <w:jc w:val="both"/>
        <w:rPr>
          <w:rFonts w:ascii="Verdana" w:hAnsi="Verdana" w:cs="Arial"/>
          <w:color w:val="525252"/>
          <w:lang w:val="en-US"/>
        </w:rPr>
      </w:pPr>
      <w:r w:rsidRPr="00EA6C7A">
        <w:rPr>
          <w:rFonts w:ascii="Verdana" w:hAnsi="Verdana" w:cs="Calibri"/>
          <w:lang w:val="en-US"/>
        </w:rPr>
        <w:t>In February</w:t>
      </w:r>
      <w:r w:rsidR="00214332" w:rsidRPr="00EA6C7A">
        <w:rPr>
          <w:rFonts w:ascii="Verdana" w:hAnsi="Verdana" w:cs="Calibri"/>
          <w:lang w:val="en-US"/>
        </w:rPr>
        <w:t xml:space="preserve"> 2006, </w:t>
      </w:r>
      <w:r w:rsidR="00F81942" w:rsidRPr="00EA6C7A">
        <w:rPr>
          <w:rFonts w:ascii="Verdana" w:hAnsi="Verdana" w:cs="Calibri"/>
          <w:lang w:val="en-US"/>
        </w:rPr>
        <w:t>the</w:t>
      </w:r>
      <w:r w:rsidR="00F81942" w:rsidRPr="00EA6C7A">
        <w:rPr>
          <w:rFonts w:ascii="Verdana" w:hAnsi="Verdana"/>
          <w:lang w:val="en-US"/>
        </w:rPr>
        <w:t xml:space="preserve"> </w:t>
      </w:r>
      <w:r w:rsidR="00B3248B" w:rsidRPr="00EA6C7A">
        <w:rPr>
          <w:rFonts w:ascii="Verdana" w:hAnsi="Verdana"/>
          <w:lang w:val="en-US"/>
        </w:rPr>
        <w:t>United Nations</w:t>
      </w:r>
      <w:r w:rsidR="00F81942" w:rsidRPr="00EA6C7A">
        <w:rPr>
          <w:rFonts w:ascii="Verdana" w:hAnsi="Verdana"/>
          <w:lang w:val="en-US"/>
        </w:rPr>
        <w:t xml:space="preserve"> High Commission for Human Rights</w:t>
      </w:r>
      <w:r w:rsidR="00214332" w:rsidRPr="00EA6C7A">
        <w:rPr>
          <w:rFonts w:ascii="Verdana" w:hAnsi="Verdana" w:cs="Calibri"/>
          <w:lang w:val="en-US"/>
        </w:rPr>
        <w:t xml:space="preserve"> </w:t>
      </w:r>
      <w:r w:rsidR="00F81942" w:rsidRPr="00EA6C7A">
        <w:rPr>
          <w:rFonts w:ascii="Verdana" w:hAnsi="Verdana" w:cs="Calibri"/>
          <w:lang w:val="en-US"/>
        </w:rPr>
        <w:t>asserted in his report on the situation of human rights</w:t>
      </w:r>
      <w:r w:rsidR="00FC7D3B" w:rsidRPr="00EA6C7A">
        <w:rPr>
          <w:rFonts w:ascii="Verdana" w:hAnsi="Verdana"/>
          <w:lang w:val="en-US"/>
        </w:rPr>
        <w:t xml:space="preserve"> in Guatemala</w:t>
      </w:r>
      <w:r w:rsidR="00214332" w:rsidRPr="00EA6C7A">
        <w:rPr>
          <w:rFonts w:ascii="Verdana" w:hAnsi="Verdana"/>
          <w:lang w:val="en-US"/>
        </w:rPr>
        <w:t xml:space="preserve"> </w:t>
      </w:r>
      <w:r w:rsidR="00F81942" w:rsidRPr="00EA6C7A">
        <w:rPr>
          <w:rFonts w:ascii="Verdana" w:hAnsi="Verdana" w:cs="Calibri"/>
          <w:lang w:val="en-US"/>
        </w:rPr>
        <w:t>that</w:t>
      </w:r>
      <w:r w:rsidR="00214332" w:rsidRPr="00EA6C7A">
        <w:rPr>
          <w:rFonts w:ascii="Verdana" w:hAnsi="Verdana" w:cs="Calibri"/>
          <w:lang w:val="en-US"/>
        </w:rPr>
        <w:t>,</w:t>
      </w:r>
      <w:r w:rsidR="00F81942" w:rsidRPr="00EA6C7A">
        <w:rPr>
          <w:rFonts w:ascii="Verdana" w:hAnsi="Verdana"/>
          <w:lang w:val="en-US"/>
        </w:rPr>
        <w:t xml:space="preserve"> “[i]n addition to the [Special Prosecutor’s Office for Women’s Affairs] there exist other institutions, such as the Presidential Office for Women, the Office for the Defence of Indigenous Women’s Rights, the offices of the PNC on gender equity and victim support, and the recently established Women’s Homicide Unit.” However, he also indicated that some of the main problems related to</w:t>
      </w:r>
      <w:r w:rsidR="00214332" w:rsidRPr="00EA6C7A">
        <w:rPr>
          <w:rFonts w:ascii="Verdana" w:hAnsi="Verdana"/>
          <w:lang w:val="en-US"/>
        </w:rPr>
        <w:t xml:space="preserve"> “</w:t>
      </w:r>
      <w:r w:rsidR="00F81942" w:rsidRPr="00EA6C7A">
        <w:rPr>
          <w:rFonts w:ascii="Verdana" w:hAnsi="Verdana"/>
          <w:lang w:val="en-US"/>
        </w:rPr>
        <w:t>[p]</w:t>
      </w:r>
      <w:proofErr w:type="spellStart"/>
      <w:r w:rsidR="00F81942" w:rsidRPr="00EA6C7A">
        <w:rPr>
          <w:rFonts w:ascii="Verdana" w:hAnsi="Verdana"/>
          <w:lang w:val="en-US"/>
        </w:rPr>
        <w:t>oor</w:t>
      </w:r>
      <w:proofErr w:type="spellEnd"/>
      <w:r w:rsidR="00F81942" w:rsidRPr="00EA6C7A">
        <w:rPr>
          <w:rFonts w:ascii="Verdana" w:hAnsi="Verdana"/>
          <w:lang w:val="en-US"/>
        </w:rPr>
        <w:t xml:space="preserve"> institutional coordination and the lack of resources to implement its programmes, such as the National Plan for the Prevention and </w:t>
      </w:r>
      <w:r w:rsidR="002327A1" w:rsidRPr="00EA6C7A">
        <w:rPr>
          <w:rFonts w:ascii="Verdana" w:hAnsi="Verdana"/>
          <w:lang w:val="en-US"/>
        </w:rPr>
        <w:t>Eradication of Domestic Violence</w:t>
      </w:r>
      <w:r w:rsidR="00F81942" w:rsidRPr="00EA6C7A">
        <w:rPr>
          <w:rFonts w:ascii="Verdana" w:hAnsi="Verdana"/>
          <w:lang w:val="en-US"/>
        </w:rPr>
        <w:t xml:space="preserve"> and Violence against Women (PLANOVI 2004-2014).”</w:t>
      </w:r>
      <w:r w:rsidR="00214332" w:rsidRPr="00EA6C7A">
        <w:rPr>
          <w:rStyle w:val="Refdenotaalpie"/>
          <w:rFonts w:ascii="Verdana" w:hAnsi="Verdana"/>
          <w:lang w:val="en-US"/>
        </w:rPr>
        <w:footnoteReference w:id="198"/>
      </w:r>
      <w:r w:rsidR="00214332" w:rsidRPr="00EA6C7A">
        <w:rPr>
          <w:rFonts w:ascii="Verdana" w:hAnsi="Verdana" w:cs="Calibri"/>
          <w:lang w:val="en-US"/>
        </w:rPr>
        <w:t xml:space="preserve"> </w:t>
      </w:r>
    </w:p>
    <w:p w14:paraId="537F5926" w14:textId="77777777" w:rsidR="00214332" w:rsidRPr="00EA6C7A" w:rsidRDefault="00214332" w:rsidP="00214332">
      <w:pPr>
        <w:pStyle w:val="ColorfulList-Accent11"/>
        <w:spacing w:after="0" w:line="240" w:lineRule="auto"/>
        <w:ind w:left="540"/>
        <w:jc w:val="both"/>
        <w:rPr>
          <w:rFonts w:ascii="Verdana" w:eastAsia="Calibri" w:hAnsi="Verdana"/>
          <w:lang w:val="en-US"/>
        </w:rPr>
      </w:pPr>
    </w:p>
    <w:p w14:paraId="578BE6DD" w14:textId="77777777" w:rsidR="00214332" w:rsidRPr="00EA6C7A" w:rsidRDefault="00D92970" w:rsidP="00BA5534">
      <w:pPr>
        <w:pStyle w:val="ColorfulList-Accent11"/>
        <w:numPr>
          <w:ilvl w:val="0"/>
          <w:numId w:val="5"/>
        </w:numPr>
        <w:spacing w:after="0" w:line="240" w:lineRule="auto"/>
        <w:ind w:left="540"/>
        <w:jc w:val="both"/>
        <w:rPr>
          <w:rFonts w:ascii="Verdana" w:eastAsia="Calibri" w:hAnsi="Verdana"/>
          <w:lang w:val="en-US"/>
        </w:rPr>
      </w:pPr>
      <w:r w:rsidRPr="00EA6C7A">
        <w:rPr>
          <w:rFonts w:ascii="Verdana" w:eastAsia="Calibri" w:hAnsi="Verdana"/>
          <w:lang w:val="en-US"/>
        </w:rPr>
        <w:t>In May</w:t>
      </w:r>
      <w:r w:rsidR="00214332" w:rsidRPr="00EA6C7A">
        <w:rPr>
          <w:rFonts w:ascii="Verdana" w:eastAsia="Calibri" w:hAnsi="Verdana"/>
          <w:lang w:val="en-US"/>
        </w:rPr>
        <w:t xml:space="preserve"> 2006, </w:t>
      </w:r>
      <w:r w:rsidR="00F81942" w:rsidRPr="00EA6C7A">
        <w:rPr>
          <w:rFonts w:ascii="Verdana" w:eastAsia="Calibri" w:hAnsi="Verdana"/>
          <w:lang w:val="en-US"/>
        </w:rPr>
        <w:t>the Committe</w:t>
      </w:r>
      <w:r w:rsidR="00BA5534" w:rsidRPr="00EA6C7A">
        <w:rPr>
          <w:rFonts w:ascii="Verdana" w:eastAsia="Calibri" w:hAnsi="Verdana"/>
          <w:lang w:val="en-US"/>
        </w:rPr>
        <w:t xml:space="preserve">e for the Elimination of Discrimination against Women </w:t>
      </w:r>
      <w:r w:rsidR="00214332" w:rsidRPr="00EA6C7A">
        <w:rPr>
          <w:rFonts w:ascii="Verdana" w:eastAsia="Calibri" w:hAnsi="Verdana"/>
          <w:lang w:val="en-US"/>
        </w:rPr>
        <w:t xml:space="preserve">(CEDAW) </w:t>
      </w:r>
      <w:r w:rsidR="00BA5534" w:rsidRPr="00EA6C7A">
        <w:rPr>
          <w:rFonts w:ascii="Verdana" w:eastAsia="Calibri" w:hAnsi="Verdana"/>
          <w:lang w:val="en-US"/>
        </w:rPr>
        <w:t xml:space="preserve">indicated, with regard to </w:t>
      </w:r>
      <w:r w:rsidR="00214332" w:rsidRPr="00EA6C7A">
        <w:rPr>
          <w:rFonts w:ascii="Verdana" w:eastAsia="Calibri" w:hAnsi="Verdana"/>
          <w:lang w:val="en-US"/>
        </w:rPr>
        <w:t>Guatemala</w:t>
      </w:r>
      <w:r w:rsidR="00BA5534" w:rsidRPr="00EA6C7A">
        <w:rPr>
          <w:rFonts w:ascii="Verdana" w:eastAsia="Calibri" w:hAnsi="Verdana"/>
          <w:lang w:val="en-US"/>
        </w:rPr>
        <w:t xml:space="preserve">, that, </w:t>
      </w:r>
      <w:r w:rsidR="00214332" w:rsidRPr="00EA6C7A">
        <w:rPr>
          <w:rFonts w:ascii="Verdana" w:eastAsia="Calibri" w:hAnsi="Verdana"/>
          <w:lang w:val="en-US"/>
        </w:rPr>
        <w:t>“[</w:t>
      </w:r>
      <w:r w:rsidR="00B811C1" w:rsidRPr="00EA6C7A">
        <w:rPr>
          <w:rFonts w:ascii="Verdana" w:eastAsia="Calibri" w:hAnsi="Verdana"/>
          <w:lang w:val="en-US"/>
        </w:rPr>
        <w:t>w</w:t>
      </w:r>
      <w:r w:rsidR="00BA5534" w:rsidRPr="00EA6C7A">
        <w:rPr>
          <w:rFonts w:ascii="Verdana" w:eastAsia="Calibri" w:hAnsi="Verdana"/>
          <w:lang w:val="en-US"/>
        </w:rPr>
        <w:t>]</w:t>
      </w:r>
      <w:proofErr w:type="spellStart"/>
      <w:r w:rsidR="00B811C1" w:rsidRPr="00EA6C7A">
        <w:rPr>
          <w:rFonts w:ascii="Verdana" w:eastAsia="Calibri" w:hAnsi="Verdana"/>
          <w:lang w:val="en-US"/>
        </w:rPr>
        <w:t>hile</w:t>
      </w:r>
      <w:proofErr w:type="spellEnd"/>
      <w:r w:rsidR="00BA5534" w:rsidRPr="00EA6C7A">
        <w:rPr>
          <w:rFonts w:ascii="Verdana" w:eastAsia="Calibri" w:hAnsi="Verdana"/>
          <w:lang w:val="en-US"/>
        </w:rPr>
        <w:t xml:space="preserve"> not</w:t>
      </w:r>
      <w:r w:rsidR="00B811C1" w:rsidRPr="00EA6C7A">
        <w:rPr>
          <w:rFonts w:ascii="Verdana" w:eastAsia="Calibri" w:hAnsi="Verdana"/>
          <w:lang w:val="en-US"/>
        </w:rPr>
        <w:t>ing</w:t>
      </w:r>
      <w:r w:rsidR="00BA5534" w:rsidRPr="00EA6C7A">
        <w:rPr>
          <w:rFonts w:ascii="Verdana" w:eastAsia="Calibri" w:hAnsi="Verdana"/>
          <w:lang w:val="en-US"/>
        </w:rPr>
        <w:t xml:space="preserve"> the </w:t>
      </w:r>
      <w:r w:rsidR="00B811C1" w:rsidRPr="00EA6C7A">
        <w:rPr>
          <w:rFonts w:ascii="Verdana" w:eastAsia="Calibri" w:hAnsi="Verdana"/>
          <w:lang w:val="en-US"/>
        </w:rPr>
        <w:t>steps taken</w:t>
      </w:r>
      <w:r w:rsidR="00BA5534" w:rsidRPr="00EA6C7A">
        <w:rPr>
          <w:rFonts w:ascii="Verdana" w:eastAsia="Calibri" w:hAnsi="Verdana"/>
          <w:lang w:val="en-US"/>
        </w:rPr>
        <w:t xml:space="preserve"> by the State </w:t>
      </w:r>
      <w:r w:rsidR="00B811C1" w:rsidRPr="00EA6C7A">
        <w:rPr>
          <w:rFonts w:ascii="Verdana" w:eastAsia="Calibri" w:hAnsi="Verdana"/>
          <w:lang w:val="en-US"/>
        </w:rPr>
        <w:t>p</w:t>
      </w:r>
      <w:r w:rsidR="00BA5534" w:rsidRPr="00EA6C7A">
        <w:rPr>
          <w:rFonts w:ascii="Verdana" w:eastAsia="Calibri" w:hAnsi="Verdana"/>
          <w:lang w:val="en-US"/>
        </w:rPr>
        <w:t>arty to s</w:t>
      </w:r>
      <w:r w:rsidR="00B811C1" w:rsidRPr="00EA6C7A">
        <w:rPr>
          <w:rFonts w:ascii="Verdana" w:eastAsia="Calibri" w:hAnsi="Verdana"/>
          <w:lang w:val="en-US"/>
        </w:rPr>
        <w:t>trengthen</w:t>
      </w:r>
      <w:r w:rsidR="00BA5534" w:rsidRPr="00EA6C7A">
        <w:rPr>
          <w:rFonts w:ascii="Verdana" w:eastAsia="Calibri" w:hAnsi="Verdana"/>
          <w:lang w:val="en-US"/>
        </w:rPr>
        <w:t xml:space="preserve"> the national mechanisms for the advancement of women, […</w:t>
      </w:r>
      <w:r w:rsidR="00B811C1" w:rsidRPr="00EA6C7A">
        <w:rPr>
          <w:rFonts w:ascii="Verdana" w:eastAsia="Calibri" w:hAnsi="Verdana"/>
          <w:lang w:val="en-US"/>
        </w:rPr>
        <w:t>it</w:t>
      </w:r>
      <w:r w:rsidR="00BA5534" w:rsidRPr="00EA6C7A">
        <w:rPr>
          <w:rFonts w:ascii="Verdana" w:eastAsia="Calibri" w:hAnsi="Verdana"/>
          <w:lang w:val="en-US"/>
        </w:rPr>
        <w:t>] expresses its concern that the</w:t>
      </w:r>
      <w:r w:rsidR="00B811C1" w:rsidRPr="00EA6C7A">
        <w:rPr>
          <w:rFonts w:ascii="Verdana" w:eastAsia="Calibri" w:hAnsi="Verdana"/>
          <w:lang w:val="en-US"/>
        </w:rPr>
        <w:t xml:space="preserve"> national</w:t>
      </w:r>
      <w:r w:rsidR="00BA5534" w:rsidRPr="00EA6C7A">
        <w:rPr>
          <w:rFonts w:ascii="Verdana" w:eastAsia="Calibri" w:hAnsi="Verdana"/>
          <w:lang w:val="en-US"/>
        </w:rPr>
        <w:t xml:space="preserve"> m</w:t>
      </w:r>
      <w:r w:rsidR="00B811C1" w:rsidRPr="00EA6C7A">
        <w:rPr>
          <w:rFonts w:ascii="Verdana" w:eastAsia="Calibri" w:hAnsi="Verdana"/>
          <w:lang w:val="en-US"/>
        </w:rPr>
        <w:t>achinery</w:t>
      </w:r>
      <w:r w:rsidR="00BA5534" w:rsidRPr="00EA6C7A">
        <w:rPr>
          <w:rFonts w:ascii="Verdana" w:eastAsia="Calibri" w:hAnsi="Verdana"/>
          <w:lang w:val="en-US"/>
        </w:rPr>
        <w:t xml:space="preserve"> </w:t>
      </w:r>
      <w:r w:rsidR="00B811C1" w:rsidRPr="00EA6C7A">
        <w:rPr>
          <w:rFonts w:ascii="Verdana" w:eastAsia="Calibri" w:hAnsi="Verdana"/>
          <w:lang w:val="en-US"/>
        </w:rPr>
        <w:t>does not have enough</w:t>
      </w:r>
      <w:r w:rsidR="00BA5534" w:rsidRPr="00EA6C7A">
        <w:rPr>
          <w:rFonts w:ascii="Verdana" w:eastAsia="Calibri" w:hAnsi="Verdana"/>
          <w:lang w:val="en-US"/>
        </w:rPr>
        <w:t xml:space="preserve"> human and financial resources to </w:t>
      </w:r>
      <w:r w:rsidR="00B811C1" w:rsidRPr="00EA6C7A">
        <w:rPr>
          <w:rFonts w:ascii="Verdana" w:eastAsia="Calibri" w:hAnsi="Verdana"/>
          <w:lang w:val="en-US"/>
        </w:rPr>
        <w:t>carry out its</w:t>
      </w:r>
      <w:r w:rsidR="00BA5534" w:rsidRPr="00EA6C7A">
        <w:rPr>
          <w:rFonts w:ascii="Verdana" w:eastAsia="Calibri" w:hAnsi="Verdana"/>
          <w:lang w:val="en-US"/>
        </w:rPr>
        <w:t xml:space="preserve"> mandate […]. It </w:t>
      </w:r>
      <w:r w:rsidR="00B811C1" w:rsidRPr="00EA6C7A">
        <w:rPr>
          <w:rFonts w:ascii="Verdana" w:eastAsia="Calibri" w:hAnsi="Verdana"/>
          <w:lang w:val="en-US"/>
        </w:rPr>
        <w:t>i</w:t>
      </w:r>
      <w:r w:rsidR="00BA5534" w:rsidRPr="00EA6C7A">
        <w:rPr>
          <w:rFonts w:ascii="Verdana" w:eastAsia="Calibri" w:hAnsi="Verdana"/>
          <w:lang w:val="en-US"/>
        </w:rPr>
        <w:t>s also concerned about the limited capacity of the Presidential Secretariat to</w:t>
      </w:r>
      <w:r w:rsidR="00B811C1" w:rsidRPr="00EA6C7A">
        <w:rPr>
          <w:rFonts w:ascii="Verdana" w:eastAsia="Calibri" w:hAnsi="Verdana"/>
          <w:lang w:val="en-US"/>
        </w:rPr>
        <w:t xml:space="preserve"> undertaken effective</w:t>
      </w:r>
      <w:r w:rsidR="00BA5534" w:rsidRPr="00EA6C7A">
        <w:rPr>
          <w:rFonts w:ascii="Verdana" w:eastAsia="Calibri" w:hAnsi="Verdana"/>
          <w:lang w:val="en-US"/>
        </w:rPr>
        <w:t xml:space="preserve"> coordinat</w:t>
      </w:r>
      <w:r w:rsidR="00B811C1" w:rsidRPr="00EA6C7A">
        <w:rPr>
          <w:rFonts w:ascii="Verdana" w:eastAsia="Calibri" w:hAnsi="Verdana"/>
          <w:lang w:val="en-US"/>
        </w:rPr>
        <w:t>ion</w:t>
      </w:r>
      <w:r w:rsidR="00BA5534" w:rsidRPr="00EA6C7A">
        <w:rPr>
          <w:rFonts w:ascii="Verdana" w:eastAsia="Calibri" w:hAnsi="Verdana"/>
          <w:lang w:val="en-US"/>
        </w:rPr>
        <w:t xml:space="preserve"> and cooperat</w:t>
      </w:r>
      <w:r w:rsidR="00B811C1" w:rsidRPr="00EA6C7A">
        <w:rPr>
          <w:rFonts w:ascii="Verdana" w:eastAsia="Calibri" w:hAnsi="Verdana"/>
          <w:lang w:val="en-US"/>
        </w:rPr>
        <w:t xml:space="preserve">ion </w:t>
      </w:r>
      <w:r w:rsidR="00BA5534" w:rsidRPr="00EA6C7A">
        <w:rPr>
          <w:rFonts w:ascii="Verdana" w:eastAsia="Calibri" w:hAnsi="Verdana"/>
          <w:lang w:val="en-US"/>
        </w:rPr>
        <w:t xml:space="preserve">with the </w:t>
      </w:r>
      <w:r w:rsidR="00B811C1" w:rsidRPr="00EA6C7A">
        <w:rPr>
          <w:rFonts w:ascii="Verdana" w:eastAsia="Calibri" w:hAnsi="Verdana"/>
          <w:lang w:val="en-US"/>
        </w:rPr>
        <w:t>l</w:t>
      </w:r>
      <w:r w:rsidR="00BA5534" w:rsidRPr="00EA6C7A">
        <w:rPr>
          <w:rFonts w:ascii="Verdana" w:eastAsia="Calibri" w:hAnsi="Verdana"/>
          <w:lang w:val="en-US"/>
        </w:rPr>
        <w:t>egislat</w:t>
      </w:r>
      <w:r w:rsidR="00B811C1" w:rsidRPr="00EA6C7A">
        <w:rPr>
          <w:rFonts w:ascii="Verdana" w:eastAsia="Calibri" w:hAnsi="Verdana"/>
          <w:lang w:val="en-US"/>
        </w:rPr>
        <w:t>ive</w:t>
      </w:r>
      <w:r w:rsidR="00BA5534" w:rsidRPr="00EA6C7A">
        <w:rPr>
          <w:rFonts w:ascii="Verdana" w:eastAsia="Calibri" w:hAnsi="Verdana"/>
          <w:lang w:val="en-US"/>
        </w:rPr>
        <w:t xml:space="preserve"> and the </w:t>
      </w:r>
      <w:r w:rsidR="00B811C1" w:rsidRPr="00EA6C7A">
        <w:rPr>
          <w:rFonts w:ascii="Verdana" w:eastAsia="Calibri" w:hAnsi="Verdana"/>
          <w:lang w:val="en-US"/>
        </w:rPr>
        <w:t>j</w:t>
      </w:r>
      <w:r w:rsidR="00BA5534" w:rsidRPr="00EA6C7A">
        <w:rPr>
          <w:rFonts w:ascii="Verdana" w:eastAsia="Calibri" w:hAnsi="Verdana"/>
          <w:lang w:val="en-US"/>
        </w:rPr>
        <w:t>udicia</w:t>
      </w:r>
      <w:r w:rsidR="00B811C1" w:rsidRPr="00EA6C7A">
        <w:rPr>
          <w:rFonts w:ascii="Verdana" w:eastAsia="Calibri" w:hAnsi="Verdana"/>
          <w:lang w:val="en-US"/>
        </w:rPr>
        <w:t>l branches</w:t>
      </w:r>
      <w:r w:rsidR="00BA5534" w:rsidRPr="00EA6C7A">
        <w:rPr>
          <w:rFonts w:ascii="Verdana" w:eastAsia="Calibri" w:hAnsi="Verdana"/>
          <w:lang w:val="en-US"/>
        </w:rPr>
        <w:t xml:space="preserve">.” The Committee </w:t>
      </w:r>
      <w:r w:rsidR="00B811C1" w:rsidRPr="00EA6C7A">
        <w:rPr>
          <w:rFonts w:ascii="Verdana" w:eastAsia="Calibri" w:hAnsi="Verdana"/>
          <w:lang w:val="en-US"/>
        </w:rPr>
        <w:t>“</w:t>
      </w:r>
      <w:r w:rsidR="00BA5534" w:rsidRPr="00EA6C7A">
        <w:rPr>
          <w:rFonts w:ascii="Verdana" w:eastAsia="Calibri" w:hAnsi="Verdana"/>
          <w:lang w:val="en-US"/>
        </w:rPr>
        <w:t>urge</w:t>
      </w:r>
      <w:r w:rsidR="00B811C1" w:rsidRPr="00EA6C7A">
        <w:rPr>
          <w:rFonts w:ascii="Verdana" w:eastAsia="Calibri" w:hAnsi="Verdana"/>
          <w:lang w:val="en-US"/>
        </w:rPr>
        <w:t>[d]</w:t>
      </w:r>
      <w:r w:rsidR="00BA5534" w:rsidRPr="00EA6C7A">
        <w:rPr>
          <w:rFonts w:ascii="Verdana" w:eastAsia="Calibri" w:hAnsi="Verdana"/>
          <w:lang w:val="en-US"/>
        </w:rPr>
        <w:t xml:space="preserve"> the State </w:t>
      </w:r>
      <w:r w:rsidR="00B811C1" w:rsidRPr="00EA6C7A">
        <w:rPr>
          <w:rFonts w:ascii="Verdana" w:eastAsia="Calibri" w:hAnsi="Verdana"/>
          <w:lang w:val="en-US"/>
        </w:rPr>
        <w:t xml:space="preserve">party </w:t>
      </w:r>
      <w:r w:rsidR="00BA5534" w:rsidRPr="00EA6C7A">
        <w:rPr>
          <w:rFonts w:ascii="Verdana" w:eastAsia="Calibri" w:hAnsi="Verdana"/>
          <w:lang w:val="en-US"/>
        </w:rPr>
        <w:t xml:space="preserve">to </w:t>
      </w:r>
      <w:r w:rsidR="00B811C1" w:rsidRPr="00EA6C7A">
        <w:rPr>
          <w:rFonts w:ascii="Verdana" w:eastAsia="Calibri" w:hAnsi="Verdana"/>
          <w:lang w:val="en-US"/>
        </w:rPr>
        <w:t>accord</w:t>
      </w:r>
      <w:r w:rsidR="00BA5534" w:rsidRPr="00EA6C7A">
        <w:rPr>
          <w:rFonts w:ascii="Verdana" w:eastAsia="Calibri" w:hAnsi="Verdana"/>
          <w:lang w:val="en-US"/>
        </w:rPr>
        <w:t xml:space="preserve"> priority attention to the adoption of a </w:t>
      </w:r>
      <w:r w:rsidR="00B811C1" w:rsidRPr="00EA6C7A">
        <w:rPr>
          <w:rFonts w:ascii="Verdana" w:eastAsia="Calibri" w:hAnsi="Verdana"/>
          <w:lang w:val="en-US"/>
        </w:rPr>
        <w:t>comprehensive</w:t>
      </w:r>
      <w:r w:rsidR="00BA5534" w:rsidRPr="00EA6C7A">
        <w:rPr>
          <w:rFonts w:ascii="Verdana" w:eastAsia="Calibri" w:hAnsi="Verdana"/>
          <w:lang w:val="en-US"/>
        </w:rPr>
        <w:t xml:space="preserve"> and integrated approach </w:t>
      </w:r>
      <w:r w:rsidR="00B811C1" w:rsidRPr="00EA6C7A">
        <w:rPr>
          <w:rFonts w:ascii="Verdana" w:eastAsia="Calibri" w:hAnsi="Verdana"/>
          <w:lang w:val="en-US"/>
        </w:rPr>
        <w:t>to address</w:t>
      </w:r>
      <w:r w:rsidR="00BA5534" w:rsidRPr="00EA6C7A">
        <w:rPr>
          <w:rFonts w:ascii="Verdana" w:eastAsia="Calibri" w:hAnsi="Verdana"/>
          <w:lang w:val="en-US"/>
        </w:rPr>
        <w:t xml:space="preserve"> violence against women and girls,</w:t>
      </w:r>
      <w:r w:rsidR="00B811C1" w:rsidRPr="00EA6C7A">
        <w:rPr>
          <w:rFonts w:ascii="Verdana" w:eastAsia="Calibri" w:hAnsi="Verdana"/>
          <w:lang w:val="en-US"/>
        </w:rPr>
        <w:t xml:space="preserve"> […]</w:t>
      </w:r>
      <w:r w:rsidR="00BA5534" w:rsidRPr="00EA6C7A">
        <w:rPr>
          <w:rFonts w:ascii="Verdana" w:eastAsia="Calibri" w:hAnsi="Verdana"/>
          <w:lang w:val="en-US"/>
        </w:rPr>
        <w:t xml:space="preserve"> and to </w:t>
      </w:r>
      <w:r w:rsidR="00B811C1" w:rsidRPr="00EA6C7A">
        <w:rPr>
          <w:rFonts w:ascii="Verdana" w:eastAsia="Calibri" w:hAnsi="Verdana"/>
          <w:lang w:val="en-US"/>
        </w:rPr>
        <w:t>enact</w:t>
      </w:r>
      <w:r w:rsidR="00BA5534" w:rsidRPr="00EA6C7A">
        <w:rPr>
          <w:rFonts w:ascii="Verdana" w:eastAsia="Calibri" w:hAnsi="Verdana"/>
          <w:lang w:val="en-US"/>
        </w:rPr>
        <w:t xml:space="preserve"> the pending reforms </w:t>
      </w:r>
      <w:r w:rsidR="00B811C1" w:rsidRPr="00EA6C7A">
        <w:rPr>
          <w:rFonts w:ascii="Verdana" w:eastAsia="Calibri" w:hAnsi="Verdana"/>
          <w:lang w:val="en-US"/>
        </w:rPr>
        <w:t>to</w:t>
      </w:r>
      <w:r w:rsidR="00BA5534" w:rsidRPr="00EA6C7A">
        <w:rPr>
          <w:rFonts w:ascii="Verdana" w:eastAsia="Calibri" w:hAnsi="Verdana"/>
          <w:lang w:val="en-US"/>
        </w:rPr>
        <w:t xml:space="preserve"> the Criminal Code to </w:t>
      </w:r>
      <w:r w:rsidR="00B811C1" w:rsidRPr="00EA6C7A">
        <w:rPr>
          <w:rFonts w:ascii="Verdana" w:eastAsia="Calibri" w:hAnsi="Verdana"/>
          <w:lang w:val="en-US"/>
        </w:rPr>
        <w:t>criminalize</w:t>
      </w:r>
      <w:r w:rsidR="00BA5534" w:rsidRPr="00EA6C7A">
        <w:rPr>
          <w:rFonts w:ascii="Verdana" w:eastAsia="Calibri" w:hAnsi="Verdana"/>
          <w:lang w:val="en-US"/>
        </w:rPr>
        <w:t xml:space="preserve"> </w:t>
      </w:r>
      <w:r w:rsidR="00B811C1" w:rsidRPr="00EA6C7A">
        <w:rPr>
          <w:rFonts w:ascii="Verdana" w:eastAsia="Calibri" w:hAnsi="Verdana"/>
          <w:lang w:val="en-US"/>
        </w:rPr>
        <w:t>domestic</w:t>
      </w:r>
      <w:r w:rsidR="00BA5534" w:rsidRPr="00EA6C7A">
        <w:rPr>
          <w:rFonts w:ascii="Verdana" w:eastAsia="Calibri" w:hAnsi="Verdana"/>
          <w:lang w:val="en-US"/>
        </w:rPr>
        <w:t xml:space="preserve"> violence and to allocate the necessary resources to implement </w:t>
      </w:r>
      <w:r w:rsidR="00B811C1" w:rsidRPr="00EA6C7A">
        <w:rPr>
          <w:rFonts w:ascii="Verdana" w:eastAsia="Calibri" w:hAnsi="Verdana"/>
          <w:lang w:val="en-US"/>
        </w:rPr>
        <w:t>[</w:t>
      </w:r>
      <w:r w:rsidR="00214332" w:rsidRPr="00EA6C7A">
        <w:rPr>
          <w:rFonts w:ascii="Verdana" w:eastAsia="Calibri" w:hAnsi="Verdana"/>
          <w:lang w:val="en-US"/>
        </w:rPr>
        <w:t>PLANOVI</w:t>
      </w:r>
      <w:r w:rsidR="00B811C1" w:rsidRPr="00EA6C7A">
        <w:rPr>
          <w:rFonts w:ascii="Verdana" w:eastAsia="Calibri" w:hAnsi="Verdana"/>
          <w:lang w:val="en-US"/>
        </w:rPr>
        <w:t>]</w:t>
      </w:r>
      <w:r w:rsidR="00214332" w:rsidRPr="00EA6C7A">
        <w:rPr>
          <w:rFonts w:ascii="Verdana" w:eastAsia="Calibri" w:hAnsi="Verdana"/>
          <w:lang w:val="en-US"/>
        </w:rPr>
        <w:t xml:space="preserve"> </w:t>
      </w:r>
      <w:r w:rsidR="00214332" w:rsidRPr="00EA6C7A">
        <w:rPr>
          <w:rFonts w:ascii="Verdana" w:hAnsi="Verdana"/>
          <w:lang w:val="en-US"/>
        </w:rPr>
        <w:t>2004-2014</w:t>
      </w:r>
      <w:r w:rsidR="00BA5534" w:rsidRPr="00EA6C7A">
        <w:rPr>
          <w:rFonts w:ascii="Verdana" w:hAnsi="Verdana"/>
          <w:lang w:val="en-US"/>
        </w:rPr>
        <w:t>.</w:t>
      </w:r>
      <w:r w:rsidR="00B811C1" w:rsidRPr="00EA6C7A">
        <w:rPr>
          <w:rFonts w:ascii="Verdana" w:hAnsi="Verdana"/>
          <w:lang w:val="en-US"/>
        </w:rPr>
        <w:t>”</w:t>
      </w:r>
      <w:r w:rsidR="00214332" w:rsidRPr="00EA6C7A">
        <w:rPr>
          <w:rStyle w:val="Refdenotaalpie"/>
          <w:rFonts w:ascii="Verdana" w:hAnsi="Verdana"/>
          <w:lang w:val="en-US"/>
        </w:rPr>
        <w:footnoteReference w:id="199"/>
      </w:r>
    </w:p>
    <w:p w14:paraId="2D2480E1" w14:textId="77777777" w:rsidR="00214332" w:rsidRPr="00EA6C7A" w:rsidRDefault="00214332" w:rsidP="00214332">
      <w:pPr>
        <w:pStyle w:val="ColorfulList-Accent11"/>
        <w:spacing w:after="0" w:line="240" w:lineRule="auto"/>
        <w:ind w:left="540"/>
        <w:jc w:val="both"/>
        <w:rPr>
          <w:rFonts w:ascii="Verdana" w:eastAsia="Calibri" w:hAnsi="Verdana"/>
          <w:lang w:val="en-US"/>
        </w:rPr>
      </w:pPr>
    </w:p>
    <w:p w14:paraId="6C711459" w14:textId="77777777" w:rsidR="00214332" w:rsidRPr="00EA6C7A" w:rsidRDefault="008320BB" w:rsidP="00E11A7C">
      <w:pPr>
        <w:pStyle w:val="ColorfulList-Accent11"/>
        <w:numPr>
          <w:ilvl w:val="0"/>
          <w:numId w:val="5"/>
        </w:numPr>
        <w:spacing w:after="0" w:line="240" w:lineRule="auto"/>
        <w:ind w:left="540"/>
        <w:jc w:val="both"/>
        <w:rPr>
          <w:rFonts w:ascii="Verdana" w:eastAsia="Calibri" w:hAnsi="Verdana"/>
          <w:lang w:val="en-US"/>
        </w:rPr>
      </w:pPr>
      <w:r w:rsidRPr="00EA6C7A">
        <w:rPr>
          <w:rFonts w:ascii="Verdana" w:eastAsia="Calibri" w:hAnsi="Verdana"/>
          <w:lang w:val="en-US"/>
        </w:rPr>
        <w:t>I</w:t>
      </w:r>
      <w:r w:rsidR="00214332" w:rsidRPr="00EA6C7A">
        <w:rPr>
          <w:rFonts w:ascii="Verdana" w:eastAsia="Calibri" w:hAnsi="Verdana"/>
          <w:lang w:val="en-US"/>
        </w:rPr>
        <w:t xml:space="preserve">n </w:t>
      </w:r>
      <w:r w:rsidR="007B566E" w:rsidRPr="00EA6C7A">
        <w:rPr>
          <w:rFonts w:ascii="Verdana" w:eastAsia="Calibri" w:hAnsi="Verdana"/>
          <w:lang w:val="en-US"/>
        </w:rPr>
        <w:t>September</w:t>
      </w:r>
      <w:r w:rsidR="00214332" w:rsidRPr="00EA6C7A">
        <w:rPr>
          <w:rFonts w:ascii="Verdana" w:eastAsia="Calibri" w:hAnsi="Verdana"/>
          <w:lang w:val="en-US"/>
        </w:rPr>
        <w:t xml:space="preserve"> 2004, </w:t>
      </w:r>
      <w:r w:rsidRPr="00EA6C7A">
        <w:rPr>
          <w:rFonts w:ascii="Verdana" w:eastAsia="Calibri" w:hAnsi="Verdana"/>
          <w:lang w:val="en-US"/>
        </w:rPr>
        <w:t>the Special Rapporteur</w:t>
      </w:r>
      <w:r w:rsidR="00214332" w:rsidRPr="00EA6C7A">
        <w:rPr>
          <w:rFonts w:ascii="Verdana" w:eastAsia="Calibri" w:hAnsi="Verdana"/>
          <w:lang w:val="en-US"/>
        </w:rPr>
        <w:t xml:space="preserve"> </w:t>
      </w:r>
      <w:r w:rsidRPr="00EA6C7A">
        <w:rPr>
          <w:rFonts w:ascii="Verdana" w:eastAsia="Calibri" w:hAnsi="Verdana"/>
          <w:lang w:val="en-US"/>
        </w:rPr>
        <w:t xml:space="preserve">on the Rights of Women </w:t>
      </w:r>
      <w:r w:rsidR="0096418F" w:rsidRPr="00EA6C7A">
        <w:rPr>
          <w:rFonts w:ascii="Verdana" w:eastAsia="Calibri" w:hAnsi="Verdana"/>
          <w:lang w:val="en-US"/>
        </w:rPr>
        <w:t>of the Inter-American Commission</w:t>
      </w:r>
      <w:r w:rsidR="00214332" w:rsidRPr="00EA6C7A">
        <w:rPr>
          <w:rFonts w:ascii="Verdana" w:eastAsia="Calibri" w:hAnsi="Verdana"/>
          <w:lang w:val="en-US"/>
        </w:rPr>
        <w:t xml:space="preserve"> observ</w:t>
      </w:r>
      <w:r w:rsidRPr="00EA6C7A">
        <w:rPr>
          <w:rFonts w:ascii="Verdana" w:eastAsia="Calibri" w:hAnsi="Verdana"/>
          <w:lang w:val="en-US"/>
        </w:rPr>
        <w:t>ed that</w:t>
      </w:r>
      <w:r w:rsidR="00214332" w:rsidRPr="00EA6C7A">
        <w:rPr>
          <w:rFonts w:ascii="Verdana" w:eastAsia="Calibri" w:hAnsi="Verdana"/>
          <w:lang w:val="en-US"/>
        </w:rPr>
        <w:t xml:space="preserve"> </w:t>
      </w:r>
      <w:r w:rsidR="002F3848" w:rsidRPr="00EA6C7A">
        <w:rPr>
          <w:rFonts w:ascii="Verdana" w:eastAsia="Calibri" w:hAnsi="Verdana"/>
          <w:lang w:val="en-US"/>
        </w:rPr>
        <w:t>the State</w:t>
      </w:r>
      <w:r w:rsidR="00214332" w:rsidRPr="00EA6C7A">
        <w:rPr>
          <w:rFonts w:ascii="Verdana" w:eastAsia="Calibri" w:hAnsi="Verdana"/>
          <w:lang w:val="en-US"/>
        </w:rPr>
        <w:t xml:space="preserve"> ha</w:t>
      </w:r>
      <w:r w:rsidRPr="00EA6C7A">
        <w:rPr>
          <w:rFonts w:ascii="Verdana" w:eastAsia="Calibri" w:hAnsi="Verdana"/>
          <w:lang w:val="en-US"/>
        </w:rPr>
        <w:t xml:space="preserve">d taken important steps to improve the institutional framework for overcoming the epidemic of </w:t>
      </w:r>
      <w:r w:rsidR="00C12C08" w:rsidRPr="00EA6C7A">
        <w:rPr>
          <w:rFonts w:ascii="Verdana" w:eastAsia="Calibri" w:hAnsi="Verdana"/>
          <w:lang w:val="en-US"/>
        </w:rPr>
        <w:t>violence against women</w:t>
      </w:r>
      <w:r w:rsidRPr="00EA6C7A">
        <w:rPr>
          <w:rFonts w:ascii="Verdana" w:eastAsia="Calibri" w:hAnsi="Verdana"/>
          <w:lang w:val="en-US"/>
        </w:rPr>
        <w:t>. However, she underlined that</w:t>
      </w:r>
      <w:r w:rsidR="00214332" w:rsidRPr="00EA6C7A">
        <w:rPr>
          <w:rFonts w:ascii="Verdana" w:eastAsia="Calibri" w:hAnsi="Verdana"/>
          <w:lang w:val="en-US"/>
        </w:rPr>
        <w:t xml:space="preserve"> “</w:t>
      </w:r>
      <w:r w:rsidRPr="00EA6C7A">
        <w:rPr>
          <w:rFonts w:ascii="Verdana" w:eastAsia="Calibri" w:hAnsi="Verdana"/>
          <w:lang w:val="en-US"/>
        </w:rPr>
        <w:t>these institutions have scant resources with which to carry out their mission and lack sorely needed inter-institutional coordination.</w:t>
      </w:r>
      <w:r w:rsidR="00214332" w:rsidRPr="00EA6C7A">
        <w:rPr>
          <w:rFonts w:ascii="Verdana" w:eastAsia="Calibri" w:hAnsi="Verdana"/>
          <w:lang w:val="en-US"/>
        </w:rPr>
        <w:t>”</w:t>
      </w:r>
      <w:r w:rsidR="00214332" w:rsidRPr="00EA6C7A">
        <w:rPr>
          <w:rStyle w:val="Refdenotaalpie"/>
          <w:rFonts w:ascii="Verdana" w:eastAsia="Calibri" w:hAnsi="Verdana"/>
          <w:lang w:val="en-US"/>
        </w:rPr>
        <w:footnoteReference w:id="200"/>
      </w:r>
    </w:p>
    <w:p w14:paraId="492687A7" w14:textId="77777777" w:rsidR="00214332" w:rsidRPr="00EA6C7A" w:rsidRDefault="00214332" w:rsidP="00214332">
      <w:pPr>
        <w:pStyle w:val="ColorfulList-Accent11"/>
        <w:autoSpaceDE w:val="0"/>
        <w:autoSpaceDN w:val="0"/>
        <w:adjustRightInd w:val="0"/>
        <w:spacing w:after="0" w:line="240" w:lineRule="auto"/>
        <w:ind w:left="540"/>
        <w:jc w:val="both"/>
        <w:rPr>
          <w:rFonts w:ascii="Verdana" w:eastAsia="Calibri" w:hAnsi="Verdana"/>
          <w:lang w:val="en-US"/>
        </w:rPr>
      </w:pPr>
    </w:p>
    <w:p w14:paraId="662EEC1B" w14:textId="77777777" w:rsidR="00214332" w:rsidRPr="00EA6C7A" w:rsidRDefault="004E44D6" w:rsidP="008A607E">
      <w:pPr>
        <w:pStyle w:val="ColorfulList-Accent11"/>
        <w:numPr>
          <w:ilvl w:val="0"/>
          <w:numId w:val="5"/>
        </w:numPr>
        <w:spacing w:after="0" w:line="240" w:lineRule="auto"/>
        <w:ind w:left="540"/>
        <w:jc w:val="both"/>
        <w:rPr>
          <w:rFonts w:ascii="Verdana" w:eastAsia="Calibri" w:hAnsi="Verdana"/>
          <w:lang w:val="en-US"/>
        </w:rPr>
      </w:pPr>
      <w:r w:rsidRPr="00EA6C7A">
        <w:rPr>
          <w:rFonts w:ascii="Verdana" w:eastAsia="Calibri" w:hAnsi="Verdana"/>
          <w:lang w:val="en-US"/>
        </w:rPr>
        <w:t>In June</w:t>
      </w:r>
      <w:r w:rsidR="00214332" w:rsidRPr="00EA6C7A">
        <w:rPr>
          <w:rFonts w:ascii="Verdana" w:eastAsia="Calibri" w:hAnsi="Verdana"/>
          <w:lang w:val="en-US"/>
        </w:rPr>
        <w:t xml:space="preserve"> </w:t>
      </w:r>
      <w:r w:rsidR="00214332" w:rsidRPr="00EA6C7A">
        <w:rPr>
          <w:rFonts w:ascii="Verdana" w:hAnsi="Verdana" w:cs="Calibri"/>
          <w:lang w:val="en-US"/>
        </w:rPr>
        <w:t>2005</w:t>
      </w:r>
      <w:r w:rsidR="00214332" w:rsidRPr="00EA6C7A">
        <w:rPr>
          <w:rFonts w:ascii="Verdana" w:eastAsia="Calibri" w:hAnsi="Verdana"/>
          <w:lang w:val="en-US"/>
        </w:rPr>
        <w:t xml:space="preserve">, </w:t>
      </w:r>
      <w:r w:rsidR="00781EBE" w:rsidRPr="00EA6C7A">
        <w:rPr>
          <w:rFonts w:ascii="Verdana" w:eastAsia="Calibri" w:hAnsi="Verdana"/>
          <w:lang w:val="en-US"/>
        </w:rPr>
        <w:t>the Guatemalan Ombudsman</w:t>
      </w:r>
      <w:r w:rsidR="00214332" w:rsidRPr="00EA6C7A">
        <w:rPr>
          <w:rFonts w:ascii="Verdana" w:eastAsia="Calibri" w:hAnsi="Verdana"/>
          <w:lang w:val="en-US"/>
        </w:rPr>
        <w:t xml:space="preserve"> </w:t>
      </w:r>
      <w:r w:rsidRPr="00EA6C7A">
        <w:rPr>
          <w:rFonts w:ascii="Verdana" w:eastAsia="Calibri" w:hAnsi="Verdana"/>
          <w:lang w:val="en-US"/>
        </w:rPr>
        <w:t xml:space="preserve">indicated that the Government’s efforts to address </w:t>
      </w:r>
      <w:r w:rsidR="00C12C08" w:rsidRPr="00EA6C7A">
        <w:rPr>
          <w:rFonts w:ascii="Verdana" w:eastAsia="Calibri" w:hAnsi="Verdana" w:cs="Garamond"/>
          <w:lang w:val="en-US"/>
        </w:rPr>
        <w:t>violence against women</w:t>
      </w:r>
      <w:r w:rsidR="00214332" w:rsidRPr="00EA6C7A">
        <w:rPr>
          <w:rFonts w:ascii="Verdana" w:eastAsia="Calibri" w:hAnsi="Verdana" w:cs="Garamond"/>
          <w:lang w:val="en-US"/>
        </w:rPr>
        <w:t xml:space="preserve"> </w:t>
      </w:r>
      <w:r w:rsidR="008A607E" w:rsidRPr="00EA6C7A">
        <w:rPr>
          <w:rFonts w:ascii="Verdana" w:eastAsia="Calibri" w:hAnsi="Verdana" w:cs="Garamond"/>
          <w:lang w:val="en-US"/>
        </w:rPr>
        <w:t>up until then</w:t>
      </w:r>
      <w:r w:rsidR="0050033C" w:rsidRPr="00EA6C7A">
        <w:rPr>
          <w:rFonts w:ascii="Verdana" w:eastAsia="Calibri" w:hAnsi="Verdana" w:cs="Garamond"/>
          <w:lang w:val="en-US"/>
        </w:rPr>
        <w:t xml:space="preserve"> had</w:t>
      </w:r>
      <w:r w:rsidR="008A607E" w:rsidRPr="00EA6C7A">
        <w:rPr>
          <w:rFonts w:ascii="Verdana" w:eastAsia="Calibri" w:hAnsi="Verdana" w:cs="Garamond"/>
          <w:lang w:val="en-US"/>
        </w:rPr>
        <w:t xml:space="preserve"> </w:t>
      </w:r>
      <w:r w:rsidR="00214332" w:rsidRPr="00EA6C7A">
        <w:rPr>
          <w:rFonts w:ascii="Verdana" w:eastAsia="Calibri" w:hAnsi="Verdana" w:cs="Garamond"/>
          <w:lang w:val="en-US"/>
        </w:rPr>
        <w:t>“</w:t>
      </w:r>
      <w:r w:rsidR="0050033C" w:rsidRPr="00EA6C7A">
        <w:rPr>
          <w:rFonts w:ascii="Verdana" w:eastAsia="Calibri" w:hAnsi="Verdana" w:cs="Garamond"/>
          <w:lang w:val="en-US"/>
        </w:rPr>
        <w:t>achiev</w:t>
      </w:r>
      <w:r w:rsidR="008A607E" w:rsidRPr="00EA6C7A">
        <w:rPr>
          <w:rFonts w:ascii="Verdana" w:eastAsia="Calibri" w:hAnsi="Verdana" w:cs="Garamond"/>
          <w:lang w:val="en-US"/>
        </w:rPr>
        <w:t xml:space="preserve">e[d] </w:t>
      </w:r>
      <w:r w:rsidR="0050033C" w:rsidRPr="00EA6C7A">
        <w:rPr>
          <w:rFonts w:ascii="Verdana" w:eastAsia="Calibri" w:hAnsi="Verdana" w:cs="Garamond"/>
          <w:lang w:val="en-US"/>
        </w:rPr>
        <w:t>measures</w:t>
      </w:r>
      <w:r w:rsidR="008A607E" w:rsidRPr="00EA6C7A">
        <w:rPr>
          <w:rFonts w:ascii="Verdana" w:eastAsia="Calibri" w:hAnsi="Verdana" w:cs="Garamond"/>
          <w:lang w:val="en-US"/>
        </w:rPr>
        <w:t xml:space="preserve"> such as the </w:t>
      </w:r>
      <w:r w:rsidR="008A607E" w:rsidRPr="00EA6C7A">
        <w:rPr>
          <w:rFonts w:ascii="Verdana" w:eastAsia="Calibri" w:hAnsi="Verdana" w:cs="Garamond"/>
          <w:lang w:val="en-US"/>
        </w:rPr>
        <w:lastRenderedPageBreak/>
        <w:t xml:space="preserve">creation of agencies to provide support, the enactment of specific laws, and the elaboration of proposals. However, the limited number of direct actions implemented had been insufficient to combat the phenomenon. </w:t>
      </w:r>
      <w:r w:rsidR="0050033C" w:rsidRPr="00EA6C7A">
        <w:rPr>
          <w:rFonts w:ascii="Verdana" w:eastAsia="Calibri" w:hAnsi="Verdana" w:cs="Garamond"/>
          <w:lang w:val="en-US"/>
        </w:rPr>
        <w:t>Moreover</w:t>
      </w:r>
      <w:r w:rsidR="008A607E" w:rsidRPr="00EA6C7A">
        <w:rPr>
          <w:rFonts w:ascii="Verdana" w:eastAsia="Calibri" w:hAnsi="Verdana" w:cs="Garamond"/>
          <w:lang w:val="en-US"/>
        </w:rPr>
        <w:t xml:space="preserve">, such actions were isolated </w:t>
      </w:r>
      <w:r w:rsidR="0050033C" w:rsidRPr="00EA6C7A">
        <w:rPr>
          <w:rFonts w:ascii="Verdana" w:eastAsia="Calibri" w:hAnsi="Verdana" w:cs="Garamond"/>
          <w:lang w:val="en-US"/>
        </w:rPr>
        <w:t>and</w:t>
      </w:r>
      <w:r w:rsidR="008A607E" w:rsidRPr="00EA6C7A">
        <w:rPr>
          <w:rFonts w:ascii="Verdana" w:eastAsia="Calibri" w:hAnsi="Verdana" w:cs="Garamond"/>
          <w:lang w:val="en-US"/>
        </w:rPr>
        <w:t xml:space="preserve"> were not inserted in a specific policy</w:t>
      </w:r>
      <w:r w:rsidR="0050033C" w:rsidRPr="00EA6C7A">
        <w:rPr>
          <w:rFonts w:ascii="Verdana" w:eastAsia="Calibri" w:hAnsi="Verdana" w:cs="Garamond"/>
          <w:lang w:val="en-US"/>
        </w:rPr>
        <w:t>;</w:t>
      </w:r>
      <w:r w:rsidR="008A607E" w:rsidRPr="00EA6C7A">
        <w:rPr>
          <w:rFonts w:ascii="Verdana" w:eastAsia="Calibri" w:hAnsi="Verdana" w:cs="Garamond"/>
          <w:lang w:val="en-US"/>
        </w:rPr>
        <w:t xml:space="preserve"> therefore, it was difficult to evaluate their results.</w:t>
      </w:r>
      <w:r w:rsidR="00214332" w:rsidRPr="00EA6C7A">
        <w:rPr>
          <w:rFonts w:ascii="Verdana" w:eastAsia="Calibri" w:hAnsi="Verdana" w:cs="Garamond"/>
          <w:lang w:val="en-US"/>
        </w:rPr>
        <w:t>”</w:t>
      </w:r>
      <w:r w:rsidR="00214332" w:rsidRPr="00EA6C7A">
        <w:rPr>
          <w:rStyle w:val="Refdenotaalpie"/>
          <w:rFonts w:ascii="Verdana" w:eastAsia="Calibri" w:hAnsi="Verdana" w:cs="Garamond"/>
          <w:lang w:val="en-US"/>
        </w:rPr>
        <w:footnoteReference w:id="201"/>
      </w:r>
    </w:p>
    <w:p w14:paraId="3124AADD" w14:textId="77777777" w:rsidR="00214332" w:rsidRPr="00EA6C7A" w:rsidRDefault="00214332" w:rsidP="00214332">
      <w:pPr>
        <w:pStyle w:val="ColorfulList-Accent11"/>
        <w:spacing w:after="0" w:line="240" w:lineRule="auto"/>
        <w:ind w:left="540"/>
        <w:jc w:val="both"/>
        <w:rPr>
          <w:rFonts w:ascii="Verdana" w:eastAsia="Calibri" w:hAnsi="Verdana"/>
          <w:lang w:val="en-US"/>
        </w:rPr>
      </w:pPr>
    </w:p>
    <w:p w14:paraId="66BBBF11" w14:textId="77777777" w:rsidR="00214332" w:rsidRPr="00EA6C7A" w:rsidRDefault="00DB183F" w:rsidP="004D0D40">
      <w:pPr>
        <w:pStyle w:val="ColorfulList-Accent11"/>
        <w:numPr>
          <w:ilvl w:val="0"/>
          <w:numId w:val="5"/>
        </w:numPr>
        <w:spacing w:after="0" w:line="240" w:lineRule="auto"/>
        <w:ind w:left="540"/>
        <w:jc w:val="both"/>
        <w:rPr>
          <w:rFonts w:ascii="Verdana" w:eastAsia="Calibri" w:hAnsi="Verdana"/>
          <w:lang w:val="en-US"/>
        </w:rPr>
      </w:pPr>
      <w:r w:rsidRPr="00EA6C7A">
        <w:rPr>
          <w:rFonts w:ascii="Verdana" w:eastAsia="Calibri" w:hAnsi="Verdana"/>
          <w:lang w:val="en-US"/>
        </w:rPr>
        <w:t>I</w:t>
      </w:r>
      <w:r w:rsidR="00214332" w:rsidRPr="00EA6C7A">
        <w:rPr>
          <w:rFonts w:ascii="Verdana" w:eastAsia="Calibri" w:hAnsi="Verdana"/>
          <w:lang w:val="en-US"/>
        </w:rPr>
        <w:t xml:space="preserve">n </w:t>
      </w:r>
      <w:r w:rsidR="007B566E" w:rsidRPr="00EA6C7A">
        <w:rPr>
          <w:rFonts w:ascii="Verdana" w:eastAsia="Calibri" w:hAnsi="Verdana"/>
          <w:lang w:val="en-US"/>
        </w:rPr>
        <w:t>June</w:t>
      </w:r>
      <w:r w:rsidR="00214332" w:rsidRPr="00EA6C7A">
        <w:rPr>
          <w:rFonts w:ascii="Verdana" w:eastAsia="Calibri" w:hAnsi="Verdana"/>
          <w:lang w:val="en-US"/>
        </w:rPr>
        <w:t xml:space="preserve"> 2005, </w:t>
      </w:r>
      <w:r w:rsidRPr="00EA6C7A">
        <w:rPr>
          <w:rFonts w:ascii="Verdana" w:eastAsia="Calibri" w:hAnsi="Verdana"/>
          <w:lang w:val="en-US"/>
        </w:rPr>
        <w:t>in its report</w:t>
      </w:r>
      <w:r w:rsidR="00214332" w:rsidRPr="00EA6C7A">
        <w:rPr>
          <w:rFonts w:ascii="Verdana" w:eastAsia="Calibri" w:hAnsi="Verdana"/>
          <w:lang w:val="en-US"/>
        </w:rPr>
        <w:t xml:space="preserve"> “</w:t>
      </w:r>
      <w:r w:rsidRPr="00EA6C7A">
        <w:rPr>
          <w:rFonts w:ascii="Verdana" w:eastAsia="Calibri" w:hAnsi="Verdana"/>
          <w:lang w:val="en-US"/>
        </w:rPr>
        <w:t>No protection no justice: Killings of women in Guatemala,”</w:t>
      </w:r>
      <w:r w:rsidR="00214332" w:rsidRPr="00EA6C7A">
        <w:rPr>
          <w:rFonts w:ascii="Verdana" w:eastAsia="Calibri" w:hAnsi="Verdana"/>
          <w:lang w:val="en-US"/>
        </w:rPr>
        <w:t xml:space="preserve"> Amn</w:t>
      </w:r>
      <w:r w:rsidRPr="00EA6C7A">
        <w:rPr>
          <w:rFonts w:ascii="Verdana" w:eastAsia="Calibri" w:hAnsi="Verdana"/>
          <w:lang w:val="en-US"/>
        </w:rPr>
        <w:t>esty</w:t>
      </w:r>
      <w:r w:rsidR="00214332" w:rsidRPr="00EA6C7A">
        <w:rPr>
          <w:rFonts w:ascii="Verdana" w:eastAsia="Calibri" w:hAnsi="Verdana"/>
          <w:lang w:val="en-US"/>
        </w:rPr>
        <w:t xml:space="preserve"> Interna</w:t>
      </w:r>
      <w:r w:rsidRPr="00EA6C7A">
        <w:rPr>
          <w:rFonts w:ascii="Verdana" w:eastAsia="Calibri" w:hAnsi="Verdana"/>
          <w:lang w:val="en-US"/>
        </w:rPr>
        <w:t>t</w:t>
      </w:r>
      <w:r w:rsidR="00214332" w:rsidRPr="00EA6C7A">
        <w:rPr>
          <w:rFonts w:ascii="Verdana" w:eastAsia="Calibri" w:hAnsi="Verdana"/>
          <w:lang w:val="en-US"/>
        </w:rPr>
        <w:t>ional “</w:t>
      </w:r>
      <w:r w:rsidR="004D0D40" w:rsidRPr="00EA6C7A">
        <w:rPr>
          <w:rFonts w:ascii="Verdana" w:eastAsia="Calibri" w:hAnsi="Verdana"/>
          <w:lang w:val="en-US"/>
        </w:rPr>
        <w:t>a</w:t>
      </w:r>
      <w:r w:rsidR="004D0D40" w:rsidRPr="00EA6C7A">
        <w:rPr>
          <w:rFonts w:ascii="Verdana" w:hAnsi="Verdana" w:cs="Arial"/>
          <w:lang w:val="en-US"/>
        </w:rPr>
        <w:t xml:space="preserve">cknowledge[d] that some </w:t>
      </w:r>
      <w:r w:rsidR="004D0D40" w:rsidRPr="00EA6C7A">
        <w:rPr>
          <w:rStyle w:val="highlight"/>
          <w:rFonts w:ascii="Verdana" w:hAnsi="Verdana" w:cs="Arial"/>
          <w:lang w:val="en-US"/>
        </w:rPr>
        <w:t xml:space="preserve">positive </w:t>
      </w:r>
      <w:r w:rsidR="004D0D40" w:rsidRPr="00EA6C7A">
        <w:rPr>
          <w:rFonts w:ascii="Verdana" w:hAnsi="Verdana" w:cs="Arial"/>
          <w:lang w:val="en-US"/>
        </w:rPr>
        <w:t>steps to prevent violence against women have been taken by the Guatemalan authorities […]. However, these measures ha[d] frequently not been effectively implemented, monitored or reviewed and have therefore seldom prevented women from suffering violence.</w:t>
      </w:r>
      <w:r w:rsidR="00214332" w:rsidRPr="00EA6C7A">
        <w:rPr>
          <w:rFonts w:ascii="Verdana" w:eastAsia="Calibri" w:hAnsi="Verdana"/>
          <w:lang w:val="en-US"/>
        </w:rPr>
        <w:t>”</w:t>
      </w:r>
      <w:r w:rsidR="00214332" w:rsidRPr="00EA6C7A">
        <w:rPr>
          <w:rStyle w:val="Refdenotaalpie"/>
          <w:rFonts w:ascii="Verdana" w:eastAsia="Calibri" w:hAnsi="Verdana"/>
          <w:lang w:val="en-US"/>
        </w:rPr>
        <w:footnoteReference w:id="202"/>
      </w:r>
    </w:p>
    <w:p w14:paraId="4B9DE6C3" w14:textId="77777777" w:rsidR="00214332" w:rsidRPr="00EA6C7A" w:rsidRDefault="00214332" w:rsidP="00214332">
      <w:pPr>
        <w:pStyle w:val="ColorfulList-Accent11"/>
        <w:spacing w:after="0" w:line="240" w:lineRule="auto"/>
        <w:ind w:left="0"/>
        <w:jc w:val="both"/>
        <w:rPr>
          <w:rFonts w:ascii="Verdana" w:eastAsia="Calibri" w:hAnsi="Verdana"/>
          <w:lang w:val="en-US"/>
        </w:rPr>
      </w:pPr>
    </w:p>
    <w:p w14:paraId="03AA9CC9" w14:textId="77777777" w:rsidR="00214332" w:rsidRPr="00EA6C7A" w:rsidRDefault="002465B3" w:rsidP="00077D21">
      <w:pPr>
        <w:pStyle w:val="PrrafodeSentencia"/>
        <w:rPr>
          <w:rFonts w:eastAsia="Calibri"/>
          <w:lang w:val="en-US" w:eastAsia="en-US"/>
        </w:rPr>
      </w:pPr>
      <w:r w:rsidRPr="00EA6C7A">
        <w:rPr>
          <w:lang w:val="en-US"/>
        </w:rPr>
        <w:t xml:space="preserve">In addition, in an expert opinion submitted to this Court, expert </w:t>
      </w:r>
      <w:r w:rsidR="00214332" w:rsidRPr="00EA6C7A">
        <w:rPr>
          <w:lang w:val="en-US"/>
        </w:rPr>
        <w:t xml:space="preserve">Karen Musalo </w:t>
      </w:r>
      <w:r w:rsidRPr="00EA6C7A">
        <w:rPr>
          <w:lang w:val="en-US"/>
        </w:rPr>
        <w:t xml:space="preserve">indicated that, even though the Guatemalan Government had launched some initiatives to address </w:t>
      </w:r>
      <w:r w:rsidR="00C12C08" w:rsidRPr="00EA6C7A">
        <w:rPr>
          <w:lang w:val="en-US"/>
        </w:rPr>
        <w:t>violence against women</w:t>
      </w:r>
      <w:r w:rsidR="00214332" w:rsidRPr="00EA6C7A">
        <w:rPr>
          <w:lang w:val="en-US"/>
        </w:rPr>
        <w:t xml:space="preserve"> </w:t>
      </w:r>
      <w:r w:rsidRPr="00EA6C7A">
        <w:rPr>
          <w:lang w:val="en-US"/>
        </w:rPr>
        <w:t>between</w:t>
      </w:r>
      <w:r w:rsidR="00214332" w:rsidRPr="00EA6C7A">
        <w:rPr>
          <w:lang w:val="en-US"/>
        </w:rPr>
        <w:t xml:space="preserve"> 2000</w:t>
      </w:r>
      <w:r w:rsidR="00D948A1" w:rsidRPr="00EA6C7A">
        <w:rPr>
          <w:lang w:val="en-US"/>
        </w:rPr>
        <w:t xml:space="preserve"> and </w:t>
      </w:r>
      <w:r w:rsidR="00214332" w:rsidRPr="00EA6C7A">
        <w:rPr>
          <w:lang w:val="en-US"/>
        </w:rPr>
        <w:t xml:space="preserve">2005, </w:t>
      </w:r>
      <w:r w:rsidRPr="00EA6C7A">
        <w:rPr>
          <w:lang w:val="en-US"/>
        </w:rPr>
        <w:t xml:space="preserve">these were limited, mainly “owing to the </w:t>
      </w:r>
      <w:r w:rsidR="00D42A99" w:rsidRPr="00EA6C7A">
        <w:rPr>
          <w:lang w:val="en-US"/>
        </w:rPr>
        <w:t>failure to allocate</w:t>
      </w:r>
      <w:r w:rsidR="00463E47" w:rsidRPr="00EA6C7A">
        <w:rPr>
          <w:lang w:val="en-US"/>
        </w:rPr>
        <w:t xml:space="preserve"> the</w:t>
      </w:r>
      <w:r w:rsidR="00D42A99" w:rsidRPr="00EA6C7A">
        <w:rPr>
          <w:lang w:val="en-US"/>
        </w:rPr>
        <w:t xml:space="preserve"> </w:t>
      </w:r>
      <w:r w:rsidRPr="00EA6C7A">
        <w:rPr>
          <w:lang w:val="en-US"/>
        </w:rPr>
        <w:t>funds</w:t>
      </w:r>
      <w:r w:rsidR="00463E47" w:rsidRPr="00EA6C7A">
        <w:rPr>
          <w:lang w:val="en-US"/>
        </w:rPr>
        <w:t xml:space="preserve"> needed</w:t>
      </w:r>
      <w:r w:rsidRPr="00EA6C7A">
        <w:rPr>
          <w:lang w:val="en-US"/>
        </w:rPr>
        <w:t xml:space="preserve"> </w:t>
      </w:r>
      <w:r w:rsidR="00D42A99" w:rsidRPr="00EA6C7A">
        <w:rPr>
          <w:lang w:val="en-US"/>
        </w:rPr>
        <w:t xml:space="preserve">to </w:t>
      </w:r>
      <w:r w:rsidR="00463E47" w:rsidRPr="00EA6C7A">
        <w:rPr>
          <w:lang w:val="en-US"/>
        </w:rPr>
        <w:t>meet</w:t>
      </w:r>
      <w:r w:rsidR="00D42A99" w:rsidRPr="00EA6C7A">
        <w:rPr>
          <w:lang w:val="en-US"/>
        </w:rPr>
        <w:t xml:space="preserve"> their objectives</w:t>
      </w:r>
      <w:r w:rsidRPr="00EA6C7A">
        <w:rPr>
          <w:lang w:val="en-US"/>
        </w:rPr>
        <w:t>” and “the absence of political will.</w:t>
      </w:r>
      <w:r w:rsidR="00214332" w:rsidRPr="00EA6C7A">
        <w:rPr>
          <w:lang w:val="en-US"/>
        </w:rPr>
        <w:t>”</w:t>
      </w:r>
      <w:r w:rsidR="00214332" w:rsidRPr="00EA6C7A">
        <w:rPr>
          <w:rStyle w:val="Refdenotaalpie"/>
          <w:rFonts w:cs="Calibri"/>
          <w:lang w:val="en-US"/>
        </w:rPr>
        <w:footnoteReference w:id="203"/>
      </w:r>
      <w:r w:rsidR="00214332" w:rsidRPr="00EA6C7A">
        <w:rPr>
          <w:lang w:val="en-US"/>
        </w:rPr>
        <w:t xml:space="preserve">  </w:t>
      </w:r>
    </w:p>
    <w:p w14:paraId="434D8B9C" w14:textId="77777777" w:rsidR="00214332" w:rsidRPr="00EA6C7A" w:rsidRDefault="00214332" w:rsidP="00214332">
      <w:pPr>
        <w:pStyle w:val="ColorfulList-Accent11"/>
        <w:autoSpaceDE w:val="0"/>
        <w:autoSpaceDN w:val="0"/>
        <w:adjustRightInd w:val="0"/>
        <w:spacing w:after="0" w:line="240" w:lineRule="auto"/>
        <w:ind w:left="0"/>
        <w:jc w:val="both"/>
        <w:rPr>
          <w:rFonts w:ascii="Verdana" w:eastAsia="Calibri" w:hAnsi="Verdana"/>
          <w:lang w:val="en-US"/>
        </w:rPr>
      </w:pPr>
    </w:p>
    <w:p w14:paraId="10F1A92E" w14:textId="77777777" w:rsidR="00214332" w:rsidRPr="00EA6C7A" w:rsidRDefault="002465B3" w:rsidP="00077D21">
      <w:pPr>
        <w:pStyle w:val="PrrafodeSentencia"/>
        <w:rPr>
          <w:u w:val="single"/>
          <w:lang w:val="en-US"/>
        </w:rPr>
      </w:pPr>
      <w:r w:rsidRPr="00EA6C7A">
        <w:rPr>
          <w:lang w:val="en-US"/>
        </w:rPr>
        <w:t>In this regard, the Court notes that, in August 2005</w:t>
      </w:r>
      <w:r w:rsidR="00682F6F" w:rsidRPr="00EA6C7A">
        <w:rPr>
          <w:lang w:val="en-US"/>
        </w:rPr>
        <w:t xml:space="preserve"> – that is, at the time of the facts of this case – the State  had implemented actions aimed at addressing the problem of violence against women. However, both the national and international agencies indicated above, and  expert witness Musalo agree that those measures were insufficient to resolve the problem owing to the sca</w:t>
      </w:r>
      <w:r w:rsidR="00FF3550" w:rsidRPr="00EA6C7A">
        <w:rPr>
          <w:lang w:val="en-US"/>
        </w:rPr>
        <w:t>n</w:t>
      </w:r>
      <w:r w:rsidR="00682F6F" w:rsidRPr="00EA6C7A">
        <w:rPr>
          <w:lang w:val="en-US"/>
        </w:rPr>
        <w:t>t resources allocated to them</w:t>
      </w:r>
      <w:r w:rsidR="0050033C" w:rsidRPr="00EA6C7A">
        <w:rPr>
          <w:lang w:val="en-US"/>
        </w:rPr>
        <w:t>,</w:t>
      </w:r>
      <w:r w:rsidR="00682F6F" w:rsidRPr="00EA6C7A">
        <w:rPr>
          <w:lang w:val="en-US"/>
        </w:rPr>
        <w:t xml:space="preserve"> </w:t>
      </w:r>
      <w:r w:rsidR="0050033C" w:rsidRPr="00EA6C7A">
        <w:rPr>
          <w:lang w:val="en-US"/>
        </w:rPr>
        <w:t xml:space="preserve">and </w:t>
      </w:r>
      <w:r w:rsidR="00682F6F" w:rsidRPr="00EA6C7A">
        <w:rPr>
          <w:lang w:val="en-US"/>
        </w:rPr>
        <w:t xml:space="preserve">the </w:t>
      </w:r>
      <w:r w:rsidR="0050033C" w:rsidRPr="00EA6C7A">
        <w:rPr>
          <w:lang w:val="en-US"/>
        </w:rPr>
        <w:t>absence</w:t>
      </w:r>
      <w:r w:rsidR="00682F6F" w:rsidRPr="00EA6C7A">
        <w:rPr>
          <w:lang w:val="en-US"/>
        </w:rPr>
        <w:t xml:space="preserve"> of coordination between the different institutions and a comprehensive protection strategy</w:t>
      </w:r>
      <w:r w:rsidR="00214332" w:rsidRPr="00EA6C7A">
        <w:rPr>
          <w:lang w:val="en-US"/>
        </w:rPr>
        <w:t xml:space="preserve"> (</w:t>
      </w:r>
      <w:r w:rsidR="00214332" w:rsidRPr="00EA6C7A">
        <w:rPr>
          <w:i/>
          <w:lang w:val="en-US"/>
        </w:rPr>
        <w:t>supra</w:t>
      </w:r>
      <w:r w:rsidR="00214332" w:rsidRPr="00EA6C7A">
        <w:rPr>
          <w:lang w:val="en-US"/>
        </w:rPr>
        <w:t xml:space="preserve"> </w:t>
      </w:r>
      <w:r w:rsidR="008524CB" w:rsidRPr="00EA6C7A">
        <w:rPr>
          <w:lang w:val="en-US"/>
        </w:rPr>
        <w:t>paras.</w:t>
      </w:r>
      <w:r w:rsidR="00214332" w:rsidRPr="00EA6C7A">
        <w:rPr>
          <w:lang w:val="en-US"/>
        </w:rPr>
        <w:t xml:space="preserve"> 118</w:t>
      </w:r>
      <w:r w:rsidR="00D948A1" w:rsidRPr="00EA6C7A">
        <w:rPr>
          <w:lang w:val="en-US"/>
        </w:rPr>
        <w:t xml:space="preserve"> and </w:t>
      </w:r>
      <w:r w:rsidR="00214332" w:rsidRPr="00EA6C7A">
        <w:rPr>
          <w:lang w:val="en-US"/>
        </w:rPr>
        <w:t xml:space="preserve">119). </w:t>
      </w:r>
      <w:r w:rsidR="00682F6F" w:rsidRPr="00EA6C7A">
        <w:rPr>
          <w:lang w:val="en-US"/>
        </w:rPr>
        <w:t xml:space="preserve">Accordingly, the Court notes that, in the August 7, 2012, </w:t>
      </w:r>
      <w:r w:rsidR="0050033C" w:rsidRPr="00EA6C7A">
        <w:rPr>
          <w:lang w:val="en-US"/>
        </w:rPr>
        <w:t xml:space="preserve">National Report </w:t>
      </w:r>
      <w:r w:rsidR="00FF3550" w:rsidRPr="00EA6C7A">
        <w:rPr>
          <w:lang w:val="en-US"/>
        </w:rPr>
        <w:t>submitted</w:t>
      </w:r>
      <w:r w:rsidR="00682F6F" w:rsidRPr="00EA6C7A">
        <w:rPr>
          <w:lang w:val="en-US"/>
        </w:rPr>
        <w:t xml:space="preserve"> to the Working Group on the Universal Periodic Review of the UN Human Rights Council</w:t>
      </w:r>
      <w:r w:rsidR="00214332" w:rsidRPr="00EA6C7A">
        <w:rPr>
          <w:lang w:val="en-US"/>
        </w:rPr>
        <w:t xml:space="preserve">, </w:t>
      </w:r>
      <w:r w:rsidR="002F3848" w:rsidRPr="00EA6C7A">
        <w:rPr>
          <w:lang w:val="en-US"/>
        </w:rPr>
        <w:t>the State</w:t>
      </w:r>
      <w:r w:rsidR="00214332" w:rsidRPr="00EA6C7A">
        <w:rPr>
          <w:lang w:val="en-US"/>
        </w:rPr>
        <w:t xml:space="preserve"> </w:t>
      </w:r>
      <w:r w:rsidR="00682F6F" w:rsidRPr="00EA6C7A">
        <w:rPr>
          <w:lang w:val="en-US"/>
        </w:rPr>
        <w:t>acknowledged that, among the challenges it faced, was</w:t>
      </w:r>
      <w:r w:rsidR="00FF3550" w:rsidRPr="00EA6C7A">
        <w:rPr>
          <w:lang w:val="en-US"/>
        </w:rPr>
        <w:t xml:space="preserve"> “implementation of a coordinated inter-agency </w:t>
      </w:r>
      <w:r w:rsidR="00FF3550" w:rsidRPr="00EA6C7A">
        <w:rPr>
          <w:rStyle w:val="highlight"/>
          <w:lang w:val="en-US"/>
        </w:rPr>
        <w:t>strategy</w:t>
      </w:r>
      <w:r w:rsidR="00FF3550" w:rsidRPr="00EA6C7A">
        <w:rPr>
          <w:lang w:val="en-US"/>
        </w:rPr>
        <w:t xml:space="preserve"> for preventing violence against women in all circumstances.</w:t>
      </w:r>
      <w:r w:rsidR="00214332" w:rsidRPr="00EA6C7A">
        <w:rPr>
          <w:lang w:val="en-US"/>
        </w:rPr>
        <w:t>”</w:t>
      </w:r>
      <w:r w:rsidR="00214332" w:rsidRPr="00EA6C7A">
        <w:rPr>
          <w:vertAlign w:val="superscript"/>
        </w:rPr>
        <w:footnoteReference w:id="204"/>
      </w:r>
      <w:r w:rsidR="00214332" w:rsidRPr="00EA6C7A">
        <w:rPr>
          <w:lang w:val="en-US"/>
        </w:rPr>
        <w:t xml:space="preserve"> </w:t>
      </w:r>
    </w:p>
    <w:p w14:paraId="21F40475" w14:textId="77777777" w:rsidR="00214332" w:rsidRPr="00EA6C7A" w:rsidRDefault="00214332" w:rsidP="00214332">
      <w:pPr>
        <w:pStyle w:val="ColorfulList-Accent11"/>
        <w:autoSpaceDE w:val="0"/>
        <w:autoSpaceDN w:val="0"/>
        <w:adjustRightInd w:val="0"/>
        <w:spacing w:after="0" w:line="240" w:lineRule="auto"/>
        <w:ind w:left="0"/>
        <w:jc w:val="both"/>
        <w:rPr>
          <w:rFonts w:ascii="Verdana" w:eastAsia="Calibri" w:hAnsi="Verdana"/>
          <w:u w:val="single"/>
          <w:lang w:val="en-US"/>
        </w:rPr>
      </w:pPr>
    </w:p>
    <w:p w14:paraId="295BBF91" w14:textId="77777777" w:rsidR="00214332" w:rsidRPr="00EA6C7A" w:rsidRDefault="00214332" w:rsidP="004D0B0A">
      <w:pPr>
        <w:pStyle w:val="Sentencia3"/>
        <w:spacing w:line="240" w:lineRule="auto"/>
        <w:jc w:val="both"/>
        <w:rPr>
          <w:i w:val="0"/>
          <w:color w:val="auto"/>
          <w:lang w:val="en-US" w:eastAsia="es-CR"/>
        </w:rPr>
      </w:pPr>
      <w:bookmarkStart w:id="69" w:name="_Toc26002317"/>
      <w:r w:rsidRPr="00EA6C7A">
        <w:rPr>
          <w:lang w:val="en-US"/>
        </w:rPr>
        <w:t xml:space="preserve">B.2. </w:t>
      </w:r>
      <w:r w:rsidR="004D0B0A" w:rsidRPr="00EA6C7A">
        <w:rPr>
          <w:lang w:val="en-US"/>
        </w:rPr>
        <w:t xml:space="preserve">Before the discovery of the body of </w:t>
      </w:r>
      <w:r w:rsidRPr="00EA6C7A">
        <w:rPr>
          <w:lang w:val="en-US"/>
        </w:rPr>
        <w:t xml:space="preserve">Claudina Velásquez: </w:t>
      </w:r>
      <w:r w:rsidR="004D0B0A" w:rsidRPr="00EA6C7A">
        <w:rPr>
          <w:lang w:val="en-US"/>
        </w:rPr>
        <w:t>specific obligation to prevent violations of the rights to integrity and life of</w:t>
      </w:r>
      <w:r w:rsidRPr="00EA6C7A">
        <w:rPr>
          <w:lang w:val="en-US"/>
        </w:rPr>
        <w:t xml:space="preserve"> Claudina Velásquez</w:t>
      </w:r>
      <w:bookmarkEnd w:id="69"/>
      <w:r w:rsidRPr="00EA6C7A">
        <w:rPr>
          <w:i w:val="0"/>
          <w:color w:val="auto"/>
          <w:lang w:val="en-US" w:eastAsia="es-CR"/>
        </w:rPr>
        <w:t xml:space="preserve"> </w:t>
      </w:r>
    </w:p>
    <w:p w14:paraId="3FD0E6F5" w14:textId="77777777" w:rsidR="00214332" w:rsidRPr="00EA6C7A" w:rsidRDefault="00214332" w:rsidP="00214332">
      <w:pPr>
        <w:pStyle w:val="ColorfulList-Accent11"/>
        <w:spacing w:after="0"/>
        <w:ind w:left="0" w:firstLine="720"/>
        <w:jc w:val="both"/>
        <w:rPr>
          <w:rFonts w:ascii="Verdana" w:hAnsi="Verdana"/>
          <w:bCs/>
          <w:lang w:val="en-US"/>
        </w:rPr>
      </w:pPr>
    </w:p>
    <w:p w14:paraId="4C391135" w14:textId="77777777" w:rsidR="00214332" w:rsidRPr="00EA6C7A" w:rsidRDefault="00D44468" w:rsidP="00077D21">
      <w:pPr>
        <w:pStyle w:val="PrrafodeSentencia"/>
        <w:rPr>
          <w:b/>
          <w:lang w:val="en-US"/>
        </w:rPr>
      </w:pPr>
      <w:r w:rsidRPr="00EA6C7A">
        <w:rPr>
          <w:lang w:val="en-US"/>
        </w:rPr>
        <w:t>Regarding</w:t>
      </w:r>
      <w:r w:rsidR="00214332" w:rsidRPr="00EA6C7A">
        <w:rPr>
          <w:lang w:val="en-US"/>
        </w:rPr>
        <w:t xml:space="preserve"> </w:t>
      </w:r>
      <w:r w:rsidR="002A4EC9" w:rsidRPr="00EA6C7A">
        <w:rPr>
          <w:lang w:val="en-US"/>
        </w:rPr>
        <w:t xml:space="preserve">the second </w:t>
      </w:r>
      <w:r w:rsidR="005C3073" w:rsidRPr="00EA6C7A">
        <w:rPr>
          <w:lang w:val="en-US"/>
        </w:rPr>
        <w:t>moment</w:t>
      </w:r>
      <w:r w:rsidR="00214332" w:rsidRPr="00EA6C7A">
        <w:rPr>
          <w:lang w:val="en-US"/>
        </w:rPr>
        <w:t xml:space="preserve"> – </w:t>
      </w:r>
      <w:r w:rsidR="002A4EC9" w:rsidRPr="00EA6C7A">
        <w:rPr>
          <w:lang w:val="en-US"/>
        </w:rPr>
        <w:t xml:space="preserve">before the discovery of </w:t>
      </w:r>
      <w:r w:rsidR="00214332" w:rsidRPr="00EA6C7A">
        <w:rPr>
          <w:lang w:val="en-US"/>
        </w:rPr>
        <w:t>Claudina Velásquez</w:t>
      </w:r>
      <w:r w:rsidR="002A4EC9" w:rsidRPr="00EA6C7A">
        <w:rPr>
          <w:lang w:val="en-US"/>
        </w:rPr>
        <w:t xml:space="preserve">’s corpse </w:t>
      </w:r>
      <w:r w:rsidR="00214332" w:rsidRPr="00EA6C7A">
        <w:rPr>
          <w:lang w:val="en-US"/>
        </w:rPr>
        <w:t xml:space="preserve"> – </w:t>
      </w:r>
      <w:r w:rsidR="002A4EC9" w:rsidRPr="00EA6C7A">
        <w:rPr>
          <w:lang w:val="en-US"/>
        </w:rPr>
        <w:t xml:space="preserve">it is necessary, first, to verify the moment </w:t>
      </w:r>
      <w:r w:rsidRPr="00EA6C7A">
        <w:rPr>
          <w:lang w:val="en-US"/>
        </w:rPr>
        <w:t xml:space="preserve">when the State authorities knew or </w:t>
      </w:r>
      <w:r w:rsidR="0074682E" w:rsidRPr="00EA6C7A">
        <w:rPr>
          <w:lang w:val="en-US"/>
        </w:rPr>
        <w:t>ought to</w:t>
      </w:r>
      <w:r w:rsidRPr="00EA6C7A">
        <w:rPr>
          <w:lang w:val="en-US"/>
        </w:rPr>
        <w:t xml:space="preserve"> have known about the existence of a real and immediate </w:t>
      </w:r>
      <w:r w:rsidR="0050033C" w:rsidRPr="00EA6C7A">
        <w:rPr>
          <w:lang w:val="en-US"/>
        </w:rPr>
        <w:t>danger</w:t>
      </w:r>
      <w:r w:rsidRPr="00EA6C7A">
        <w:rPr>
          <w:lang w:val="en-US"/>
        </w:rPr>
        <w:t xml:space="preserve"> </w:t>
      </w:r>
      <w:r w:rsidR="0050033C" w:rsidRPr="00EA6C7A">
        <w:rPr>
          <w:lang w:val="en-US"/>
        </w:rPr>
        <w:t>to</w:t>
      </w:r>
      <w:r w:rsidRPr="00EA6C7A">
        <w:rPr>
          <w:lang w:val="en-US"/>
        </w:rPr>
        <w:t xml:space="preserve"> the life and integrity of Claudina Velásquez. In this regard, the case file reveals that, around</w:t>
      </w:r>
      <w:r w:rsidRPr="00EA6C7A">
        <w:rPr>
          <w:b/>
          <w:lang w:val="en-US"/>
        </w:rPr>
        <w:t xml:space="preserve"> </w:t>
      </w:r>
      <w:r w:rsidR="00214332" w:rsidRPr="00EA6C7A">
        <w:rPr>
          <w:lang w:val="en-US"/>
        </w:rPr>
        <w:t>2</w:t>
      </w:r>
      <w:r w:rsidR="0050033C" w:rsidRPr="00EA6C7A">
        <w:rPr>
          <w:lang w:val="en-US"/>
        </w:rPr>
        <w:t>.</w:t>
      </w:r>
      <w:r w:rsidR="00214332" w:rsidRPr="00EA6C7A">
        <w:rPr>
          <w:lang w:val="en-US"/>
        </w:rPr>
        <w:t>50 o</w:t>
      </w:r>
      <w:r w:rsidRPr="00EA6C7A">
        <w:rPr>
          <w:lang w:val="en-US"/>
        </w:rPr>
        <w:t>r</w:t>
      </w:r>
      <w:r w:rsidR="00214332" w:rsidRPr="00EA6C7A">
        <w:rPr>
          <w:lang w:val="en-US"/>
        </w:rPr>
        <w:t xml:space="preserve"> 2</w:t>
      </w:r>
      <w:r w:rsidR="0050033C" w:rsidRPr="00EA6C7A">
        <w:rPr>
          <w:lang w:val="en-US"/>
        </w:rPr>
        <w:t>.</w:t>
      </w:r>
      <w:r w:rsidR="00214332" w:rsidRPr="00EA6C7A">
        <w:rPr>
          <w:lang w:val="en-US"/>
        </w:rPr>
        <w:t>55 a.m.</w:t>
      </w:r>
      <w:r w:rsidRPr="00EA6C7A">
        <w:rPr>
          <w:lang w:val="en-US"/>
        </w:rPr>
        <w:t>, her parents,</w:t>
      </w:r>
      <w:r w:rsidR="00214332" w:rsidRPr="00EA6C7A">
        <w:rPr>
          <w:lang w:val="en-US"/>
        </w:rPr>
        <w:t xml:space="preserve"> Jorge Velásquez</w:t>
      </w:r>
      <w:r w:rsidR="00D948A1" w:rsidRPr="00EA6C7A">
        <w:rPr>
          <w:lang w:val="en-US"/>
        </w:rPr>
        <w:t xml:space="preserve"> and </w:t>
      </w:r>
      <w:r w:rsidR="00214332" w:rsidRPr="00EA6C7A">
        <w:rPr>
          <w:lang w:val="en-US"/>
        </w:rPr>
        <w:t xml:space="preserve">Elsa Paiz, </w:t>
      </w:r>
      <w:r w:rsidRPr="00EA6C7A">
        <w:rPr>
          <w:lang w:val="en-US"/>
        </w:rPr>
        <w:t xml:space="preserve">made </w:t>
      </w:r>
      <w:r w:rsidR="0050033C" w:rsidRPr="00EA6C7A">
        <w:rPr>
          <w:lang w:val="en-US"/>
        </w:rPr>
        <w:t>telephoned</w:t>
      </w:r>
      <w:r w:rsidRPr="00EA6C7A">
        <w:rPr>
          <w:lang w:val="en-US"/>
        </w:rPr>
        <w:t xml:space="preserve"> </w:t>
      </w:r>
      <w:r w:rsidR="000B3E6E" w:rsidRPr="00EA6C7A">
        <w:rPr>
          <w:lang w:val="en-US"/>
        </w:rPr>
        <w:t>the National Civil Police</w:t>
      </w:r>
      <w:r w:rsidR="00214332" w:rsidRPr="00EA6C7A">
        <w:rPr>
          <w:lang w:val="en-US"/>
        </w:rPr>
        <w:t xml:space="preserve"> </w:t>
      </w:r>
      <w:r w:rsidRPr="00EA6C7A">
        <w:rPr>
          <w:lang w:val="en-US"/>
        </w:rPr>
        <w:t>and, in response, a patrol came to the main guardhouse of</w:t>
      </w:r>
      <w:r w:rsidR="00214332" w:rsidRPr="00EA6C7A">
        <w:rPr>
          <w:lang w:val="en-US"/>
        </w:rPr>
        <w:t xml:space="preserve"> Colonia Panorama </w:t>
      </w:r>
      <w:r w:rsidRPr="00EA6C7A">
        <w:rPr>
          <w:lang w:val="en-US"/>
        </w:rPr>
        <w:t>at approximately</w:t>
      </w:r>
      <w:r w:rsidR="00214332" w:rsidRPr="00EA6C7A">
        <w:rPr>
          <w:lang w:val="en-US"/>
        </w:rPr>
        <w:t xml:space="preserve"> 3 a.m. </w:t>
      </w:r>
      <w:r w:rsidRPr="00EA6C7A">
        <w:rPr>
          <w:lang w:val="en-US"/>
        </w:rPr>
        <w:t xml:space="preserve">At that time, Claudina Velásquez’s parents advised the police that they were searching for their daughter who </w:t>
      </w:r>
      <w:r w:rsidRPr="00EA6C7A">
        <w:rPr>
          <w:lang w:val="en-US"/>
        </w:rPr>
        <w:lastRenderedPageBreak/>
        <w:t xml:space="preserve">was missing </w:t>
      </w:r>
      <w:r w:rsidR="00D948A1" w:rsidRPr="00EA6C7A">
        <w:rPr>
          <w:lang w:val="en-US"/>
        </w:rPr>
        <w:t xml:space="preserve">and </w:t>
      </w:r>
      <w:r w:rsidRPr="00EA6C7A">
        <w:rPr>
          <w:lang w:val="en-US"/>
        </w:rPr>
        <w:t>that they had information that she could be in danger.</w:t>
      </w:r>
      <w:r w:rsidR="00214332" w:rsidRPr="00EA6C7A">
        <w:rPr>
          <w:rStyle w:val="Refdenotaalpie"/>
          <w:lang w:val="en-US"/>
        </w:rPr>
        <w:footnoteReference w:id="205"/>
      </w:r>
      <w:r w:rsidR="00214332" w:rsidRPr="00EA6C7A">
        <w:rPr>
          <w:lang w:val="en-US"/>
        </w:rPr>
        <w:t xml:space="preserve"> </w:t>
      </w:r>
      <w:r w:rsidR="002C5308" w:rsidRPr="00EA6C7A">
        <w:rPr>
          <w:lang w:val="en-US"/>
        </w:rPr>
        <w:t xml:space="preserve">Accordingly, in view of the context of an </w:t>
      </w:r>
      <w:r w:rsidR="00AD1D9E" w:rsidRPr="00EA6C7A">
        <w:rPr>
          <w:lang w:val="en-US"/>
        </w:rPr>
        <w:t>escalation of</w:t>
      </w:r>
      <w:r w:rsidR="002C5308" w:rsidRPr="00EA6C7A">
        <w:rPr>
          <w:lang w:val="en-US"/>
        </w:rPr>
        <w:t xml:space="preserve"> </w:t>
      </w:r>
      <w:r w:rsidR="00812408" w:rsidRPr="00EA6C7A">
        <w:rPr>
          <w:lang w:val="en-US"/>
        </w:rPr>
        <w:t>homicidal violence</w:t>
      </w:r>
      <w:r w:rsidR="00214332" w:rsidRPr="00EA6C7A">
        <w:rPr>
          <w:lang w:val="en-US"/>
        </w:rPr>
        <w:t xml:space="preserve"> </w:t>
      </w:r>
      <w:r w:rsidR="002C5308" w:rsidRPr="00EA6C7A">
        <w:rPr>
          <w:lang w:val="en-US"/>
        </w:rPr>
        <w:t xml:space="preserve">against women </w:t>
      </w:r>
      <w:r w:rsidR="00FC7D3B" w:rsidRPr="00EA6C7A">
        <w:rPr>
          <w:rFonts w:cs="Calibri"/>
          <w:lang w:val="en-US"/>
        </w:rPr>
        <w:t>in Guatemala</w:t>
      </w:r>
      <w:r w:rsidR="00D948A1" w:rsidRPr="00EA6C7A">
        <w:rPr>
          <w:lang w:val="en-US"/>
        </w:rPr>
        <w:t xml:space="preserve"> and </w:t>
      </w:r>
      <w:r w:rsidR="002C5308" w:rsidRPr="00EA6C7A">
        <w:rPr>
          <w:lang w:val="en-US"/>
        </w:rPr>
        <w:t xml:space="preserve">the increase in the level of violence and cruelty inflicted on the bodies of many of the victims </w:t>
      </w:r>
      <w:r w:rsidR="00214332" w:rsidRPr="00EA6C7A">
        <w:rPr>
          <w:lang w:val="en-US"/>
        </w:rPr>
        <w:t>(</w:t>
      </w:r>
      <w:r w:rsidR="00214332" w:rsidRPr="00EA6C7A">
        <w:rPr>
          <w:i/>
          <w:lang w:val="en-US"/>
        </w:rPr>
        <w:t xml:space="preserve">supra </w:t>
      </w:r>
      <w:r w:rsidR="008524CB" w:rsidRPr="00EA6C7A">
        <w:rPr>
          <w:lang w:val="en-US"/>
        </w:rPr>
        <w:t>paras.</w:t>
      </w:r>
      <w:r w:rsidR="00214332" w:rsidRPr="00EA6C7A">
        <w:rPr>
          <w:lang w:val="en-US"/>
        </w:rPr>
        <w:t xml:space="preserve"> 45 </w:t>
      </w:r>
      <w:r w:rsidR="002C5308" w:rsidRPr="00EA6C7A">
        <w:rPr>
          <w:lang w:val="en-US"/>
        </w:rPr>
        <w:t>to</w:t>
      </w:r>
      <w:r w:rsidR="00214332" w:rsidRPr="00EA6C7A">
        <w:rPr>
          <w:lang w:val="en-US"/>
        </w:rPr>
        <w:t xml:space="preserve"> 48), </w:t>
      </w:r>
      <w:r w:rsidR="002C5308" w:rsidRPr="00EA6C7A">
        <w:rPr>
          <w:lang w:val="en-US"/>
        </w:rPr>
        <w:t xml:space="preserve">it is clear that, as of this moment, the State was aware that a real and immediate risk existed that </w:t>
      </w:r>
      <w:r w:rsidR="00214332" w:rsidRPr="00EA6C7A">
        <w:rPr>
          <w:lang w:val="en-US"/>
        </w:rPr>
        <w:t xml:space="preserve">Claudina Velásquez </w:t>
      </w:r>
      <w:r w:rsidR="002C5308" w:rsidRPr="00EA6C7A">
        <w:rPr>
          <w:lang w:val="en-US"/>
        </w:rPr>
        <w:t>could be sexually assaulted, subjected to abuse and/or murdered.</w:t>
      </w:r>
    </w:p>
    <w:p w14:paraId="4455EDAE" w14:textId="77777777" w:rsidR="00214332" w:rsidRPr="00EA6C7A" w:rsidRDefault="00214332" w:rsidP="00077D21">
      <w:pPr>
        <w:pStyle w:val="ColorfulList-Accent11"/>
        <w:tabs>
          <w:tab w:val="left" w:pos="0"/>
        </w:tabs>
        <w:spacing w:after="0" w:line="240" w:lineRule="auto"/>
        <w:ind w:left="0"/>
        <w:jc w:val="both"/>
        <w:rPr>
          <w:rFonts w:ascii="Verdana" w:hAnsi="Verdana"/>
          <w:lang w:val="en-US"/>
        </w:rPr>
      </w:pPr>
    </w:p>
    <w:p w14:paraId="2F8BF45E" w14:textId="77777777" w:rsidR="00214332" w:rsidRPr="00EA6C7A" w:rsidRDefault="0096418F" w:rsidP="00077D21">
      <w:pPr>
        <w:pStyle w:val="PrrafodeSentencia"/>
        <w:rPr>
          <w:b/>
          <w:lang w:val="en-US"/>
        </w:rPr>
      </w:pPr>
      <w:r w:rsidRPr="00EA6C7A">
        <w:rPr>
          <w:lang w:val="en-US"/>
        </w:rPr>
        <w:t>The Court</w:t>
      </w:r>
      <w:r w:rsidR="00214332" w:rsidRPr="00EA6C7A">
        <w:rPr>
          <w:lang w:val="en-US"/>
        </w:rPr>
        <w:t xml:space="preserve"> ha</w:t>
      </w:r>
      <w:r w:rsidR="00E14478" w:rsidRPr="00EA6C7A">
        <w:rPr>
          <w:lang w:val="en-US"/>
        </w:rPr>
        <w:t>s considered repeatedly that, in this context when there are report</w:t>
      </w:r>
      <w:r w:rsidR="00097EB2" w:rsidRPr="00EA6C7A">
        <w:rPr>
          <w:lang w:val="en-US"/>
        </w:rPr>
        <w:t>s</w:t>
      </w:r>
      <w:r w:rsidR="00E14478" w:rsidRPr="00EA6C7A">
        <w:rPr>
          <w:lang w:val="en-US"/>
        </w:rPr>
        <w:t xml:space="preserve"> of missing women, an obligation of strict due diligence arises as regards searching for them during the first hours and days. Since this obligation of means is very strict, it requires </w:t>
      </w:r>
      <w:r w:rsidR="00097EB2" w:rsidRPr="00EA6C7A">
        <w:rPr>
          <w:lang w:val="en-US"/>
        </w:rPr>
        <w:t>that</w:t>
      </w:r>
      <w:r w:rsidR="00E14478" w:rsidRPr="00EA6C7A">
        <w:rPr>
          <w:lang w:val="en-US"/>
        </w:rPr>
        <w:t xml:space="preserve"> thorough search activities</w:t>
      </w:r>
      <w:r w:rsidR="00097EB2" w:rsidRPr="00EA6C7A">
        <w:rPr>
          <w:lang w:val="en-US"/>
        </w:rPr>
        <w:t xml:space="preserve"> be undertaken</w:t>
      </w:r>
      <w:r w:rsidR="00E14478" w:rsidRPr="00EA6C7A">
        <w:rPr>
          <w:lang w:val="en-US"/>
        </w:rPr>
        <w:t>. In particular, the prompt and immediate action of the police, prosecution and judicial authorities is essential</w:t>
      </w:r>
      <w:r w:rsidR="00097EB2" w:rsidRPr="00EA6C7A">
        <w:rPr>
          <w:lang w:val="en-US"/>
        </w:rPr>
        <w:t>,</w:t>
      </w:r>
      <w:r w:rsidR="00E14478" w:rsidRPr="00EA6C7A">
        <w:rPr>
          <w:lang w:val="en-US"/>
        </w:rPr>
        <w:t xml:space="preserve"> ordering </w:t>
      </w:r>
      <w:r w:rsidR="00097EB2" w:rsidRPr="00EA6C7A">
        <w:rPr>
          <w:lang w:val="en-US"/>
        </w:rPr>
        <w:t>prompt</w:t>
      </w:r>
      <w:r w:rsidR="00E14478" w:rsidRPr="00EA6C7A">
        <w:rPr>
          <w:lang w:val="en-US"/>
        </w:rPr>
        <w:t xml:space="preserve"> and necessary measures to discover the victim’s whereabouts. Appropriate procedures should exist for reports, and these should lead to an effective investigation starting </w:t>
      </w:r>
      <w:r w:rsidR="00097EB2" w:rsidRPr="00EA6C7A">
        <w:rPr>
          <w:lang w:val="en-US"/>
        </w:rPr>
        <w:t>immediately</w:t>
      </w:r>
      <w:r w:rsidR="00E14478" w:rsidRPr="00EA6C7A">
        <w:rPr>
          <w:lang w:val="en-US"/>
        </w:rPr>
        <w:t>. The authorities should presume that the person missing is still alive until the uncertainty about their fate end</w:t>
      </w:r>
      <w:r w:rsidR="00097EB2" w:rsidRPr="00EA6C7A">
        <w:rPr>
          <w:lang w:val="en-US"/>
        </w:rPr>
        <w:t>s</w:t>
      </w:r>
      <w:r w:rsidR="00E14478" w:rsidRPr="00EA6C7A">
        <w:rPr>
          <w:lang w:val="en-US"/>
        </w:rPr>
        <w:t>.</w:t>
      </w:r>
      <w:r w:rsidR="00214332" w:rsidRPr="00EA6C7A">
        <w:rPr>
          <w:rStyle w:val="Refdenotaalpie"/>
          <w:lang w:val="en-US"/>
        </w:rPr>
        <w:footnoteReference w:id="206"/>
      </w:r>
      <w:r w:rsidR="00214332" w:rsidRPr="00EA6C7A">
        <w:rPr>
          <w:lang w:val="en-US"/>
        </w:rPr>
        <w:t xml:space="preserve"> </w:t>
      </w:r>
    </w:p>
    <w:p w14:paraId="272A90EB" w14:textId="77777777" w:rsidR="00214332" w:rsidRPr="00EA6C7A" w:rsidRDefault="00214332" w:rsidP="00077D21">
      <w:pPr>
        <w:pStyle w:val="ColorfulList-Accent11"/>
        <w:tabs>
          <w:tab w:val="left" w:pos="0"/>
        </w:tabs>
        <w:spacing w:after="0" w:line="240" w:lineRule="auto"/>
        <w:ind w:left="0"/>
        <w:jc w:val="both"/>
        <w:rPr>
          <w:rFonts w:ascii="Verdana" w:hAnsi="Verdana"/>
          <w:b/>
          <w:lang w:val="en-US"/>
        </w:rPr>
      </w:pPr>
    </w:p>
    <w:p w14:paraId="270647E3" w14:textId="77777777" w:rsidR="00E14478" w:rsidRPr="00EA6C7A" w:rsidRDefault="00E14478" w:rsidP="00077D21">
      <w:pPr>
        <w:pStyle w:val="PrrafodeSentencia"/>
        <w:rPr>
          <w:lang w:val="en-US"/>
        </w:rPr>
      </w:pPr>
      <w:r w:rsidRPr="00EA6C7A">
        <w:rPr>
          <w:lang w:val="en-US"/>
        </w:rPr>
        <w:t>Accordingly, the Court must now examine the steps taken by the Guatemalan authorities</w:t>
      </w:r>
      <w:r w:rsidR="002E7122" w:rsidRPr="00EA6C7A">
        <w:rPr>
          <w:lang w:val="en-US"/>
        </w:rPr>
        <w:t>,</w:t>
      </w:r>
      <w:r w:rsidRPr="00EA6C7A">
        <w:rPr>
          <w:lang w:val="en-US"/>
        </w:rPr>
        <w:t xml:space="preserve"> know</w:t>
      </w:r>
      <w:r w:rsidR="002E7122" w:rsidRPr="00EA6C7A">
        <w:rPr>
          <w:lang w:val="en-US"/>
        </w:rPr>
        <w:t>ing the</w:t>
      </w:r>
      <w:r w:rsidRPr="00EA6C7A">
        <w:rPr>
          <w:lang w:val="en-US"/>
        </w:rPr>
        <w:t xml:space="preserve"> context and the nature of the </w:t>
      </w:r>
      <w:r w:rsidR="00097EB2" w:rsidRPr="00EA6C7A">
        <w:rPr>
          <w:lang w:val="en-US"/>
        </w:rPr>
        <w:t>danger</w:t>
      </w:r>
      <w:r w:rsidRPr="00EA6C7A">
        <w:rPr>
          <w:lang w:val="en-US"/>
        </w:rPr>
        <w:t xml:space="preserve"> reported, in order to determine whether th</w:t>
      </w:r>
      <w:r w:rsidR="002E7122" w:rsidRPr="00EA6C7A">
        <w:rPr>
          <w:lang w:val="en-US"/>
        </w:rPr>
        <w:t>o</w:t>
      </w:r>
      <w:r w:rsidRPr="00EA6C7A">
        <w:rPr>
          <w:lang w:val="en-US"/>
        </w:rPr>
        <w:t>se authorities</w:t>
      </w:r>
      <w:r w:rsidR="002E7122" w:rsidRPr="00EA6C7A">
        <w:rPr>
          <w:lang w:val="en-US"/>
        </w:rPr>
        <w:t xml:space="preserve"> promptly</w:t>
      </w:r>
      <w:r w:rsidRPr="00EA6C7A">
        <w:rPr>
          <w:lang w:val="en-US"/>
        </w:rPr>
        <w:t xml:space="preserve"> took the necessary measures within the</w:t>
      </w:r>
      <w:r w:rsidR="002E7122" w:rsidRPr="00EA6C7A">
        <w:rPr>
          <w:lang w:val="en-US"/>
        </w:rPr>
        <w:t xml:space="preserve"> scope of their</w:t>
      </w:r>
      <w:r w:rsidRPr="00EA6C7A">
        <w:rPr>
          <w:lang w:val="en-US"/>
        </w:rPr>
        <w:t xml:space="preserve"> powers that could reasonably</w:t>
      </w:r>
      <w:r w:rsidR="002E7122" w:rsidRPr="00EA6C7A">
        <w:rPr>
          <w:lang w:val="en-US"/>
        </w:rPr>
        <w:t xml:space="preserve"> be</w:t>
      </w:r>
      <w:r w:rsidRPr="00EA6C7A">
        <w:rPr>
          <w:lang w:val="en-US"/>
        </w:rPr>
        <w:t xml:space="preserve"> expected to prevent or avoid that </w:t>
      </w:r>
      <w:r w:rsidR="00077D21" w:rsidRPr="00EA6C7A">
        <w:rPr>
          <w:lang w:val="en-US"/>
        </w:rPr>
        <w:t>danger</w:t>
      </w:r>
      <w:r w:rsidRPr="00EA6C7A">
        <w:rPr>
          <w:lang w:val="en-US"/>
        </w:rPr>
        <w:t>.</w:t>
      </w:r>
    </w:p>
    <w:p w14:paraId="37009201" w14:textId="77777777" w:rsidR="00214332" w:rsidRPr="00EA6C7A" w:rsidRDefault="00214332" w:rsidP="00077D21">
      <w:pPr>
        <w:pStyle w:val="ColorfulList-Accent11"/>
        <w:tabs>
          <w:tab w:val="left" w:pos="0"/>
        </w:tabs>
        <w:spacing w:after="0" w:line="240" w:lineRule="auto"/>
        <w:ind w:left="0"/>
        <w:jc w:val="both"/>
        <w:rPr>
          <w:rFonts w:ascii="Verdana" w:hAnsi="Verdana"/>
          <w:b/>
          <w:lang w:val="en-US"/>
        </w:rPr>
      </w:pPr>
    </w:p>
    <w:p w14:paraId="2BEDEF3B" w14:textId="77777777" w:rsidR="00214332" w:rsidRPr="00EA6C7A" w:rsidRDefault="00E14478" w:rsidP="00077D21">
      <w:pPr>
        <w:pStyle w:val="PrrafodeSentencia"/>
        <w:rPr>
          <w:b/>
          <w:lang w:val="en-US"/>
        </w:rPr>
      </w:pPr>
      <w:r w:rsidRPr="00EA6C7A">
        <w:rPr>
          <w:lang w:val="en-US"/>
        </w:rPr>
        <w:t xml:space="preserve">The repeated statements by </w:t>
      </w:r>
      <w:r w:rsidR="00214332" w:rsidRPr="00EA6C7A">
        <w:rPr>
          <w:lang w:val="en-US"/>
        </w:rPr>
        <w:t>Claudina Velásquez</w:t>
      </w:r>
      <w:r w:rsidRPr="00EA6C7A">
        <w:rPr>
          <w:lang w:val="en-US"/>
        </w:rPr>
        <w:t xml:space="preserve">’s parents reveal that they followed the police patrol looking for their daughter from the main entrance </w:t>
      </w:r>
      <w:r w:rsidR="002E7122" w:rsidRPr="00EA6C7A">
        <w:rPr>
          <w:lang w:val="en-US"/>
        </w:rPr>
        <w:t>of</w:t>
      </w:r>
      <w:r w:rsidRPr="00EA6C7A">
        <w:rPr>
          <w:lang w:val="en-US"/>
        </w:rPr>
        <w:t xml:space="preserve"> </w:t>
      </w:r>
      <w:r w:rsidR="00214332" w:rsidRPr="00EA6C7A">
        <w:rPr>
          <w:lang w:val="en-US"/>
        </w:rPr>
        <w:t xml:space="preserve">Colonia Panorama </w:t>
      </w:r>
      <w:r w:rsidRPr="00EA6C7A">
        <w:rPr>
          <w:lang w:val="en-US"/>
        </w:rPr>
        <w:t xml:space="preserve">to the entrance </w:t>
      </w:r>
      <w:r w:rsidR="002E7122" w:rsidRPr="00EA6C7A">
        <w:rPr>
          <w:lang w:val="en-US"/>
        </w:rPr>
        <w:t>of</w:t>
      </w:r>
      <w:r w:rsidRPr="00EA6C7A">
        <w:rPr>
          <w:lang w:val="en-US"/>
        </w:rPr>
        <w:t xml:space="preserve"> </w:t>
      </w:r>
      <w:r w:rsidR="00214332" w:rsidRPr="00EA6C7A">
        <w:rPr>
          <w:lang w:val="en-US"/>
        </w:rPr>
        <w:t xml:space="preserve">Colonia Pinares, </w:t>
      </w:r>
      <w:r w:rsidRPr="00EA6C7A">
        <w:rPr>
          <w:lang w:val="en-US"/>
        </w:rPr>
        <w:t>where the police agents told them that they “could not do anything more and would continue patrol</w:t>
      </w:r>
      <w:r w:rsidR="002E7122" w:rsidRPr="00EA6C7A">
        <w:rPr>
          <w:lang w:val="en-US"/>
        </w:rPr>
        <w:t>ling</w:t>
      </w:r>
      <w:r w:rsidRPr="00EA6C7A">
        <w:rPr>
          <w:lang w:val="en-US"/>
        </w:rPr>
        <w:t>,</w:t>
      </w:r>
      <w:r w:rsidR="00214332" w:rsidRPr="00EA6C7A">
        <w:rPr>
          <w:lang w:val="en-US"/>
        </w:rPr>
        <w:t>”</w:t>
      </w:r>
      <w:r w:rsidR="00214332" w:rsidRPr="00EA6C7A">
        <w:rPr>
          <w:rStyle w:val="Refdenotaalpie"/>
          <w:lang w:val="en-US"/>
        </w:rPr>
        <w:footnoteReference w:id="207"/>
      </w:r>
      <w:r w:rsidRPr="00EA6C7A">
        <w:rPr>
          <w:lang w:val="en-US"/>
        </w:rPr>
        <w:t xml:space="preserve"> informing them also that they would “have to wait at least 24 hours to be able to report that</w:t>
      </w:r>
      <w:r w:rsidR="00214332" w:rsidRPr="00EA6C7A">
        <w:rPr>
          <w:lang w:val="en-US"/>
        </w:rPr>
        <w:t xml:space="preserve"> Claudina Velásquez </w:t>
      </w:r>
      <w:r w:rsidRPr="00EA6C7A">
        <w:rPr>
          <w:lang w:val="en-US"/>
        </w:rPr>
        <w:t>was missing.</w:t>
      </w:r>
      <w:r w:rsidR="00214332" w:rsidRPr="00EA6C7A">
        <w:rPr>
          <w:rStyle w:val="Refdenotaalpie"/>
          <w:lang w:val="en-US"/>
        </w:rPr>
        <w:footnoteReference w:id="208"/>
      </w:r>
      <w:r w:rsidR="00214332" w:rsidRPr="00EA6C7A">
        <w:rPr>
          <w:lang w:val="en-US"/>
        </w:rPr>
        <w:t xml:space="preserve"> </w:t>
      </w:r>
      <w:r w:rsidR="00214332" w:rsidRPr="00EA6C7A">
        <w:rPr>
          <w:b/>
          <w:lang w:val="en-US"/>
        </w:rPr>
        <w:t xml:space="preserve"> </w:t>
      </w:r>
    </w:p>
    <w:p w14:paraId="61FF6D1E" w14:textId="77777777" w:rsidR="00214332" w:rsidRPr="00EA6C7A" w:rsidRDefault="00214332" w:rsidP="00077D21">
      <w:pPr>
        <w:pStyle w:val="PrrafodeSentencia"/>
        <w:numPr>
          <w:ilvl w:val="0"/>
          <w:numId w:val="0"/>
        </w:numPr>
        <w:rPr>
          <w:lang w:val="en-US"/>
        </w:rPr>
      </w:pPr>
    </w:p>
    <w:p w14:paraId="1F0A0B11" w14:textId="77777777" w:rsidR="00214332" w:rsidRPr="00EA6C7A" w:rsidRDefault="00E14478" w:rsidP="00077D21">
      <w:pPr>
        <w:pStyle w:val="PrrafodeSentencia"/>
        <w:rPr>
          <w:b/>
          <w:lang w:val="en-US"/>
        </w:rPr>
      </w:pPr>
      <w:r w:rsidRPr="00EA6C7A">
        <w:rPr>
          <w:lang w:val="en-US"/>
        </w:rPr>
        <w:t xml:space="preserve">When the police left, </w:t>
      </w:r>
      <w:r w:rsidR="00214332" w:rsidRPr="00EA6C7A">
        <w:rPr>
          <w:lang w:val="en-US"/>
        </w:rPr>
        <w:t>Claudina Velásquez</w:t>
      </w:r>
      <w:r w:rsidRPr="00EA6C7A">
        <w:rPr>
          <w:lang w:val="en-US"/>
        </w:rPr>
        <w:t>’s parents continued their efforts to find her</w:t>
      </w:r>
      <w:r w:rsidR="00214332" w:rsidRPr="00EA6C7A">
        <w:rPr>
          <w:lang w:val="en-US"/>
        </w:rPr>
        <w:t xml:space="preserve"> (</w:t>
      </w:r>
      <w:r w:rsidR="00214332" w:rsidRPr="00EA6C7A">
        <w:rPr>
          <w:i/>
          <w:lang w:val="en-US"/>
        </w:rPr>
        <w:t xml:space="preserve">infra </w:t>
      </w:r>
      <w:r w:rsidR="008524CB" w:rsidRPr="00EA6C7A">
        <w:rPr>
          <w:lang w:val="en-US"/>
        </w:rPr>
        <w:t>paras.</w:t>
      </w:r>
      <w:r w:rsidR="00214332" w:rsidRPr="00EA6C7A">
        <w:rPr>
          <w:lang w:val="en-US"/>
        </w:rPr>
        <w:t xml:space="preserve"> 127</w:t>
      </w:r>
      <w:r w:rsidR="00D948A1" w:rsidRPr="00EA6C7A">
        <w:rPr>
          <w:lang w:val="en-US"/>
        </w:rPr>
        <w:t xml:space="preserve"> and </w:t>
      </w:r>
      <w:r w:rsidR="00214332" w:rsidRPr="00EA6C7A">
        <w:rPr>
          <w:lang w:val="en-US"/>
        </w:rPr>
        <w:t>128). A</w:t>
      </w:r>
      <w:r w:rsidRPr="00EA6C7A">
        <w:rPr>
          <w:lang w:val="en-US"/>
        </w:rPr>
        <w:t>t around</w:t>
      </w:r>
      <w:r w:rsidR="00214332" w:rsidRPr="00EA6C7A">
        <w:rPr>
          <w:lang w:val="en-US"/>
        </w:rPr>
        <w:t xml:space="preserve"> 5 a.m.</w:t>
      </w:r>
      <w:r w:rsidRPr="00EA6C7A">
        <w:rPr>
          <w:lang w:val="en-US"/>
        </w:rPr>
        <w:t xml:space="preserve">, they went to the </w:t>
      </w:r>
      <w:r w:rsidR="00214332" w:rsidRPr="00EA6C7A">
        <w:rPr>
          <w:lang w:val="en-US"/>
        </w:rPr>
        <w:t xml:space="preserve">Ciudad San Cristóbal </w:t>
      </w:r>
      <w:r w:rsidRPr="00EA6C7A">
        <w:rPr>
          <w:lang w:val="en-US"/>
        </w:rPr>
        <w:t xml:space="preserve">police station to report their daughter’s disappearance; however, once again they were told that they </w:t>
      </w:r>
      <w:r w:rsidR="00A12DF5" w:rsidRPr="00EA6C7A">
        <w:rPr>
          <w:lang w:val="en-US"/>
        </w:rPr>
        <w:t>must wait 24 hours.</w:t>
      </w:r>
      <w:r w:rsidR="00214332" w:rsidRPr="00EA6C7A">
        <w:rPr>
          <w:rStyle w:val="Refdenotaalpie"/>
          <w:lang w:val="en-US"/>
        </w:rPr>
        <w:footnoteReference w:id="209"/>
      </w:r>
      <w:r w:rsidR="00A12DF5" w:rsidRPr="00EA6C7A">
        <w:rPr>
          <w:lang w:val="en-US"/>
        </w:rPr>
        <w:t xml:space="preserve"> In this regard,</w:t>
      </w:r>
      <w:r w:rsidR="00214332" w:rsidRPr="00EA6C7A">
        <w:rPr>
          <w:lang w:val="en-US"/>
        </w:rPr>
        <w:t xml:space="preserve"> </w:t>
      </w:r>
      <w:r w:rsidR="00A12DF5" w:rsidRPr="00EA6C7A">
        <w:rPr>
          <w:lang w:val="en-US"/>
        </w:rPr>
        <w:t>during the</w:t>
      </w:r>
      <w:r w:rsidR="00214332" w:rsidRPr="00EA6C7A">
        <w:rPr>
          <w:lang w:val="en-US"/>
        </w:rPr>
        <w:t xml:space="preserve"> </w:t>
      </w:r>
      <w:r w:rsidR="00E43A75" w:rsidRPr="00EA6C7A">
        <w:rPr>
          <w:lang w:val="en-US"/>
        </w:rPr>
        <w:t>public hearing</w:t>
      </w:r>
      <w:r w:rsidR="00A12DF5" w:rsidRPr="00EA6C7A">
        <w:rPr>
          <w:lang w:val="en-US"/>
        </w:rPr>
        <w:t xml:space="preserve"> before this Court, </w:t>
      </w:r>
      <w:r w:rsidR="00214332" w:rsidRPr="00EA6C7A">
        <w:rPr>
          <w:lang w:val="en-US"/>
        </w:rPr>
        <w:t xml:space="preserve">Jorge </w:t>
      </w:r>
      <w:r w:rsidR="00214332" w:rsidRPr="00EA6C7A">
        <w:rPr>
          <w:lang w:val="en-US"/>
        </w:rPr>
        <w:lastRenderedPageBreak/>
        <w:t xml:space="preserve">Velásquez </w:t>
      </w:r>
      <w:r w:rsidR="00A12DF5" w:rsidRPr="00EA6C7A">
        <w:rPr>
          <w:lang w:val="en-US"/>
        </w:rPr>
        <w:t>stated</w:t>
      </w:r>
      <w:r w:rsidR="00214332" w:rsidRPr="00EA6C7A">
        <w:rPr>
          <w:lang w:val="en-US"/>
        </w:rPr>
        <w:t>: “</w:t>
      </w:r>
      <w:r w:rsidR="00A12DF5" w:rsidRPr="00EA6C7A">
        <w:rPr>
          <w:lang w:val="en-US"/>
        </w:rPr>
        <w:t>we told them, we explain</w:t>
      </w:r>
      <w:r w:rsidR="002E7122" w:rsidRPr="00EA6C7A">
        <w:rPr>
          <w:lang w:val="en-US"/>
        </w:rPr>
        <w:t>ed</w:t>
      </w:r>
      <w:r w:rsidR="00A12DF5" w:rsidRPr="00EA6C7A">
        <w:rPr>
          <w:lang w:val="en-US"/>
        </w:rPr>
        <w:t xml:space="preserve"> that the situation was very dangerous; my wife even took a photograph of </w:t>
      </w:r>
      <w:r w:rsidR="00214332" w:rsidRPr="00EA6C7A">
        <w:rPr>
          <w:lang w:val="en-US"/>
        </w:rPr>
        <w:t xml:space="preserve">Claudina </w:t>
      </w:r>
      <w:r w:rsidR="00A12DF5" w:rsidRPr="00EA6C7A">
        <w:rPr>
          <w:lang w:val="en-US"/>
        </w:rPr>
        <w:t xml:space="preserve">so that, based on this photograph, they could look for her, but they refused and repeated that the famous 24 hours had </w:t>
      </w:r>
      <w:r w:rsidR="002E7122" w:rsidRPr="00EA6C7A">
        <w:rPr>
          <w:lang w:val="en-US"/>
        </w:rPr>
        <w:t>to</w:t>
      </w:r>
      <w:r w:rsidR="00A12DF5" w:rsidRPr="00EA6C7A">
        <w:rPr>
          <w:lang w:val="en-US"/>
        </w:rPr>
        <w:t xml:space="preserve"> elapse.</w:t>
      </w:r>
      <w:r w:rsidR="00214332" w:rsidRPr="00EA6C7A">
        <w:rPr>
          <w:lang w:val="en-US"/>
        </w:rPr>
        <w:t>”</w:t>
      </w:r>
      <w:r w:rsidR="00A12DF5" w:rsidRPr="00EA6C7A">
        <w:rPr>
          <w:lang w:val="en-US"/>
        </w:rPr>
        <w:t xml:space="preserve"> Subsequently, they went to PNC </w:t>
      </w:r>
      <w:r w:rsidR="00214332" w:rsidRPr="00EA6C7A">
        <w:rPr>
          <w:lang w:val="en-US"/>
        </w:rPr>
        <w:t>San Cristóbal 1651</w:t>
      </w:r>
      <w:r w:rsidR="00A12DF5" w:rsidRPr="00EA6C7A">
        <w:rPr>
          <w:lang w:val="en-US"/>
        </w:rPr>
        <w:t xml:space="preserve"> Sub-Station</w:t>
      </w:r>
      <w:r w:rsidR="00214332" w:rsidRPr="00EA6C7A">
        <w:rPr>
          <w:lang w:val="en-US"/>
        </w:rPr>
        <w:t xml:space="preserve"> </w:t>
      </w:r>
      <w:r w:rsidR="00D948A1" w:rsidRPr="00EA6C7A">
        <w:rPr>
          <w:lang w:val="en-US"/>
        </w:rPr>
        <w:t>and</w:t>
      </w:r>
      <w:r w:rsidR="00A12DF5" w:rsidRPr="00EA6C7A">
        <w:rPr>
          <w:lang w:val="en-US"/>
        </w:rPr>
        <w:t>,</w:t>
      </w:r>
      <w:r w:rsidR="00D948A1" w:rsidRPr="00EA6C7A">
        <w:rPr>
          <w:lang w:val="en-US"/>
        </w:rPr>
        <w:t xml:space="preserve"> </w:t>
      </w:r>
      <w:r w:rsidR="00A12DF5" w:rsidRPr="00EA6C7A">
        <w:rPr>
          <w:lang w:val="en-US"/>
        </w:rPr>
        <w:t>at</w:t>
      </w:r>
      <w:r w:rsidR="00214332" w:rsidRPr="00EA6C7A">
        <w:rPr>
          <w:lang w:val="en-US"/>
        </w:rPr>
        <w:t xml:space="preserve"> 8</w:t>
      </w:r>
      <w:r w:rsidR="002E7122" w:rsidRPr="00EA6C7A">
        <w:rPr>
          <w:lang w:val="en-US"/>
        </w:rPr>
        <w:t>.</w:t>
      </w:r>
      <w:r w:rsidR="00214332" w:rsidRPr="00EA6C7A">
        <w:rPr>
          <w:lang w:val="en-US"/>
        </w:rPr>
        <w:t>30 a.m.</w:t>
      </w:r>
      <w:r w:rsidR="00A12DF5" w:rsidRPr="00EA6C7A">
        <w:rPr>
          <w:lang w:val="en-US"/>
        </w:rPr>
        <w:t>,</w:t>
      </w:r>
      <w:r w:rsidR="00214332" w:rsidRPr="00EA6C7A">
        <w:rPr>
          <w:lang w:val="en-US"/>
        </w:rPr>
        <w:t xml:space="preserve"> </w:t>
      </w:r>
      <w:r w:rsidR="00A12DF5" w:rsidRPr="00EA6C7A">
        <w:rPr>
          <w:lang w:val="en-US"/>
        </w:rPr>
        <w:t xml:space="preserve">the police finally made a written report of the disappearance of </w:t>
      </w:r>
      <w:r w:rsidR="00214332" w:rsidRPr="00EA6C7A">
        <w:rPr>
          <w:lang w:val="en-US"/>
        </w:rPr>
        <w:t>Claudina Velásquez</w:t>
      </w:r>
      <w:r w:rsidR="00A12DF5" w:rsidRPr="00EA6C7A">
        <w:rPr>
          <w:lang w:val="en-US"/>
        </w:rPr>
        <w:t>.</w:t>
      </w:r>
      <w:r w:rsidR="00214332" w:rsidRPr="00EA6C7A">
        <w:rPr>
          <w:rStyle w:val="Refdenotaalpie"/>
          <w:lang w:val="en-US"/>
        </w:rPr>
        <w:footnoteReference w:id="210"/>
      </w:r>
    </w:p>
    <w:p w14:paraId="5F57459E" w14:textId="77777777" w:rsidR="00214332" w:rsidRPr="00EA6C7A" w:rsidRDefault="00214332" w:rsidP="00077D21">
      <w:pPr>
        <w:pStyle w:val="PrrafodeSentencia"/>
        <w:numPr>
          <w:ilvl w:val="0"/>
          <w:numId w:val="0"/>
        </w:numPr>
        <w:rPr>
          <w:lang w:val="en-US"/>
        </w:rPr>
      </w:pPr>
    </w:p>
    <w:p w14:paraId="3216B250" w14:textId="77777777" w:rsidR="00DA37B2" w:rsidRPr="00EA6C7A" w:rsidRDefault="00EA229D" w:rsidP="00077D21">
      <w:pPr>
        <w:pStyle w:val="PrrafodeSentencia"/>
        <w:rPr>
          <w:lang w:val="en-US"/>
        </w:rPr>
      </w:pPr>
      <w:r w:rsidRPr="00EA6C7A">
        <w:rPr>
          <w:lang w:val="en-US"/>
        </w:rPr>
        <w:t>Regarding</w:t>
      </w:r>
      <w:r w:rsidR="00DA37B2" w:rsidRPr="00EA6C7A">
        <w:rPr>
          <w:lang w:val="en-US"/>
        </w:rPr>
        <w:t xml:space="preserve"> these facts, the Court notes, first, that even though officials </w:t>
      </w:r>
      <w:r w:rsidR="00D75E80" w:rsidRPr="00EA6C7A">
        <w:rPr>
          <w:lang w:val="en-US"/>
        </w:rPr>
        <w:t xml:space="preserve">of the </w:t>
      </w:r>
      <w:r w:rsidR="000B3E6E" w:rsidRPr="00EA6C7A">
        <w:rPr>
          <w:lang w:val="en-US"/>
        </w:rPr>
        <w:t>National Civil Police</w:t>
      </w:r>
      <w:r w:rsidR="00214332" w:rsidRPr="00EA6C7A">
        <w:rPr>
          <w:lang w:val="en-US"/>
        </w:rPr>
        <w:t xml:space="preserve"> </w:t>
      </w:r>
      <w:r w:rsidR="00DA37B2" w:rsidRPr="00EA6C7A">
        <w:rPr>
          <w:lang w:val="en-US"/>
        </w:rPr>
        <w:t xml:space="preserve">arrived immediately following the telephone call from </w:t>
      </w:r>
      <w:r w:rsidR="00214332" w:rsidRPr="00EA6C7A">
        <w:rPr>
          <w:lang w:val="en-US"/>
        </w:rPr>
        <w:t>Claudina Velásquez</w:t>
      </w:r>
      <w:r w:rsidR="00DA37B2" w:rsidRPr="00EA6C7A">
        <w:rPr>
          <w:lang w:val="en-US"/>
        </w:rPr>
        <w:t>’s parents</w:t>
      </w:r>
      <w:r w:rsidR="00214332" w:rsidRPr="00EA6C7A">
        <w:rPr>
          <w:lang w:val="en-US"/>
        </w:rPr>
        <w:t xml:space="preserve">, </w:t>
      </w:r>
      <w:r w:rsidR="00DA37B2" w:rsidRPr="00EA6C7A">
        <w:rPr>
          <w:lang w:val="en-US"/>
        </w:rPr>
        <w:t xml:space="preserve">they only accompanied them from the main guardhouse of one gated community to the entrance to another, following which they told </w:t>
      </w:r>
      <w:r w:rsidR="00090C6C" w:rsidRPr="00EA6C7A">
        <w:rPr>
          <w:lang w:val="en-US"/>
        </w:rPr>
        <w:t>her parents</w:t>
      </w:r>
      <w:r w:rsidR="00DA37B2" w:rsidRPr="00EA6C7A">
        <w:rPr>
          <w:lang w:val="en-US"/>
        </w:rPr>
        <w:t xml:space="preserve"> that </w:t>
      </w:r>
      <w:r w:rsidR="00090C6C" w:rsidRPr="00EA6C7A">
        <w:rPr>
          <w:lang w:val="en-US"/>
        </w:rPr>
        <w:t xml:space="preserve">they </w:t>
      </w:r>
      <w:r w:rsidR="00DA37B2" w:rsidRPr="00EA6C7A">
        <w:rPr>
          <w:lang w:val="en-US"/>
        </w:rPr>
        <w:t>would continue their patrol and that they should wait to file the report</w:t>
      </w:r>
      <w:r w:rsidR="00214332" w:rsidRPr="00EA6C7A">
        <w:rPr>
          <w:lang w:val="en-US"/>
        </w:rPr>
        <w:t xml:space="preserve">. </w:t>
      </w:r>
      <w:r w:rsidR="00DA37B2" w:rsidRPr="00EA6C7A">
        <w:rPr>
          <w:lang w:val="en-US"/>
        </w:rPr>
        <w:t xml:space="preserve">In view of the context of </w:t>
      </w:r>
      <w:r w:rsidR="00C12C08" w:rsidRPr="00EA6C7A">
        <w:rPr>
          <w:lang w:val="en-US"/>
        </w:rPr>
        <w:t>violence against women</w:t>
      </w:r>
      <w:r w:rsidR="00090C6C" w:rsidRPr="00EA6C7A">
        <w:rPr>
          <w:lang w:val="en-US"/>
        </w:rPr>
        <w:t>, which</w:t>
      </w:r>
      <w:r w:rsidR="00DA37B2" w:rsidRPr="00EA6C7A">
        <w:rPr>
          <w:lang w:val="en-US"/>
        </w:rPr>
        <w:t xml:space="preserve"> the State was aware of</w:t>
      </w:r>
      <w:r w:rsidR="00214332" w:rsidRPr="00EA6C7A">
        <w:rPr>
          <w:lang w:val="en-US"/>
        </w:rPr>
        <w:t xml:space="preserve"> (</w:t>
      </w:r>
      <w:r w:rsidR="00214332" w:rsidRPr="00EA6C7A">
        <w:rPr>
          <w:i/>
          <w:lang w:val="en-US"/>
        </w:rPr>
        <w:t xml:space="preserve">supra </w:t>
      </w:r>
      <w:r w:rsidR="008524CB" w:rsidRPr="00EA6C7A">
        <w:rPr>
          <w:lang w:val="en-US"/>
        </w:rPr>
        <w:t>paras.</w:t>
      </w:r>
      <w:r w:rsidR="00214332" w:rsidRPr="00EA6C7A">
        <w:rPr>
          <w:lang w:val="en-US"/>
        </w:rPr>
        <w:t xml:space="preserve"> 45 </w:t>
      </w:r>
      <w:r w:rsidR="00DA37B2" w:rsidRPr="00EA6C7A">
        <w:rPr>
          <w:lang w:val="en-US"/>
        </w:rPr>
        <w:t>to</w:t>
      </w:r>
      <w:r w:rsidR="00214332" w:rsidRPr="00EA6C7A">
        <w:rPr>
          <w:lang w:val="en-US"/>
        </w:rPr>
        <w:t xml:space="preserve"> 48), </w:t>
      </w:r>
      <w:r w:rsidR="00DA37B2" w:rsidRPr="00EA6C7A">
        <w:rPr>
          <w:lang w:val="en-US"/>
        </w:rPr>
        <w:t>the response of the State authorities was clearly insufficient given the possibility that Claudina Velásquez</w:t>
      </w:r>
      <w:r w:rsidR="00090C6C" w:rsidRPr="00EA6C7A">
        <w:rPr>
          <w:lang w:val="en-US"/>
        </w:rPr>
        <w:t>’s personal integrity and life</w:t>
      </w:r>
      <w:r w:rsidR="00DA37B2" w:rsidRPr="00EA6C7A">
        <w:rPr>
          <w:lang w:val="en-US"/>
        </w:rPr>
        <w:t xml:space="preserve"> were in danger. </w:t>
      </w:r>
      <w:r w:rsidR="0097429D" w:rsidRPr="00EA6C7A">
        <w:rPr>
          <w:lang w:val="en-US"/>
        </w:rPr>
        <w:t xml:space="preserve">This is because there is no record that they even asked for information and </w:t>
      </w:r>
      <w:r w:rsidR="00090C6C" w:rsidRPr="00EA6C7A">
        <w:rPr>
          <w:lang w:val="en-US"/>
        </w:rPr>
        <w:t xml:space="preserve">a </w:t>
      </w:r>
      <w:r w:rsidR="0097429D" w:rsidRPr="00EA6C7A">
        <w:rPr>
          <w:lang w:val="en-US"/>
        </w:rPr>
        <w:t>description that would have allowed her to be identified</w:t>
      </w:r>
      <w:r w:rsidR="00090C6C" w:rsidRPr="00EA6C7A">
        <w:rPr>
          <w:lang w:val="en-US"/>
        </w:rPr>
        <w:t>;</w:t>
      </w:r>
      <w:r w:rsidR="0097429D" w:rsidRPr="00EA6C7A">
        <w:rPr>
          <w:lang w:val="en-US"/>
        </w:rPr>
        <w:t xml:space="preserve"> </w:t>
      </w:r>
      <w:r w:rsidR="00090C6C" w:rsidRPr="00EA6C7A">
        <w:rPr>
          <w:lang w:val="en-US"/>
        </w:rPr>
        <w:t>they failed to</w:t>
      </w:r>
      <w:r w:rsidR="0097429D" w:rsidRPr="00EA6C7A">
        <w:rPr>
          <w:lang w:val="en-US"/>
        </w:rPr>
        <w:t xml:space="preserve"> undertake a thorough</w:t>
      </w:r>
      <w:r w:rsidR="00090C6C" w:rsidRPr="00EA6C7A">
        <w:rPr>
          <w:lang w:val="en-US"/>
        </w:rPr>
        <w:t xml:space="preserve"> and</w:t>
      </w:r>
      <w:r w:rsidR="0097429D" w:rsidRPr="00EA6C7A">
        <w:rPr>
          <w:lang w:val="en-US"/>
        </w:rPr>
        <w:t xml:space="preserve"> strategic search</w:t>
      </w:r>
      <w:r w:rsidR="00090C6C" w:rsidRPr="00EA6C7A">
        <w:rPr>
          <w:lang w:val="en-US"/>
        </w:rPr>
        <w:t>,</w:t>
      </w:r>
      <w:r w:rsidR="0097429D" w:rsidRPr="00EA6C7A">
        <w:rPr>
          <w:lang w:val="en-US"/>
        </w:rPr>
        <w:t xml:space="preserve"> coordinated with other State authorities, </w:t>
      </w:r>
      <w:r w:rsidR="00090C6C" w:rsidRPr="00EA6C7A">
        <w:rPr>
          <w:lang w:val="en-US"/>
        </w:rPr>
        <w:t>investigating</w:t>
      </w:r>
      <w:r w:rsidR="0097429D" w:rsidRPr="00EA6C7A">
        <w:rPr>
          <w:lang w:val="en-US"/>
        </w:rPr>
        <w:t xml:space="preserve"> the places where it would reasonably </w:t>
      </w:r>
      <w:r w:rsidR="00090C6C" w:rsidRPr="00EA6C7A">
        <w:rPr>
          <w:lang w:val="en-US"/>
        </w:rPr>
        <w:t xml:space="preserve">have </w:t>
      </w:r>
      <w:r w:rsidR="0097429D" w:rsidRPr="00EA6C7A">
        <w:rPr>
          <w:lang w:val="en-US"/>
        </w:rPr>
        <w:t>be</w:t>
      </w:r>
      <w:r w:rsidR="00090C6C" w:rsidRPr="00EA6C7A">
        <w:rPr>
          <w:lang w:val="en-US"/>
        </w:rPr>
        <w:t>en</w:t>
      </w:r>
      <w:r w:rsidR="0097429D" w:rsidRPr="00EA6C7A">
        <w:rPr>
          <w:lang w:val="en-US"/>
        </w:rPr>
        <w:t xml:space="preserve"> most probable to find her, and they did not interview people who could reasonably have had information on her whereabouts.</w:t>
      </w:r>
    </w:p>
    <w:p w14:paraId="2BC380D4" w14:textId="77777777" w:rsidR="00214332" w:rsidRPr="00EA6C7A" w:rsidRDefault="00214332" w:rsidP="00077D21">
      <w:pPr>
        <w:pStyle w:val="PrrafodeSentencia"/>
        <w:numPr>
          <w:ilvl w:val="0"/>
          <w:numId w:val="0"/>
        </w:numPr>
        <w:rPr>
          <w:lang w:val="en-US"/>
        </w:rPr>
      </w:pPr>
    </w:p>
    <w:p w14:paraId="06320FB9" w14:textId="77777777" w:rsidR="00214332" w:rsidRPr="00EA6C7A" w:rsidRDefault="0097429D" w:rsidP="00077D21">
      <w:pPr>
        <w:pStyle w:val="PrrafodeSentencia"/>
        <w:rPr>
          <w:lang w:val="en-US"/>
        </w:rPr>
      </w:pPr>
      <w:r w:rsidRPr="00EA6C7A">
        <w:rPr>
          <w:lang w:val="en-US"/>
        </w:rPr>
        <w:t xml:space="preserve">To the contrary, it is on record in this case that </w:t>
      </w:r>
      <w:r w:rsidR="00214332" w:rsidRPr="00EA6C7A">
        <w:rPr>
          <w:lang w:val="en-US"/>
        </w:rPr>
        <w:t>Claudina Velásquez</w:t>
      </w:r>
      <w:r w:rsidRPr="00EA6C7A">
        <w:rPr>
          <w:lang w:val="en-US"/>
        </w:rPr>
        <w:t>’s parents</w:t>
      </w:r>
      <w:r w:rsidR="00090C6C" w:rsidRPr="00EA6C7A">
        <w:rPr>
          <w:lang w:val="en-US"/>
        </w:rPr>
        <w:t xml:space="preserve"> were</w:t>
      </w:r>
      <w:r w:rsidRPr="00EA6C7A">
        <w:rPr>
          <w:lang w:val="en-US"/>
        </w:rPr>
        <w:t xml:space="preserve"> themselves obliged to carry out the activities to search for their daughter that corresponded to the State, such as </w:t>
      </w:r>
      <w:r w:rsidR="00090C6C" w:rsidRPr="00EA6C7A">
        <w:rPr>
          <w:lang w:val="en-US"/>
        </w:rPr>
        <w:t>going to</w:t>
      </w:r>
      <w:r w:rsidRPr="00EA6C7A">
        <w:rPr>
          <w:lang w:val="en-US"/>
        </w:rPr>
        <w:t xml:space="preserve"> the places where she </w:t>
      </w:r>
      <w:r w:rsidR="00090C6C" w:rsidRPr="00EA6C7A">
        <w:rPr>
          <w:lang w:val="en-US"/>
        </w:rPr>
        <w:t>might</w:t>
      </w:r>
      <w:r w:rsidRPr="00EA6C7A">
        <w:rPr>
          <w:lang w:val="en-US"/>
        </w:rPr>
        <w:t xml:space="preserve"> </w:t>
      </w:r>
      <w:r w:rsidR="00090C6C" w:rsidRPr="00EA6C7A">
        <w:rPr>
          <w:lang w:val="en-US"/>
        </w:rPr>
        <w:t xml:space="preserve">have </w:t>
      </w:r>
      <w:r w:rsidRPr="00EA6C7A">
        <w:rPr>
          <w:lang w:val="en-US"/>
        </w:rPr>
        <w:t>be</w:t>
      </w:r>
      <w:r w:rsidR="00090C6C" w:rsidRPr="00EA6C7A">
        <w:rPr>
          <w:lang w:val="en-US"/>
        </w:rPr>
        <w:t>en</w:t>
      </w:r>
      <w:r w:rsidRPr="00EA6C7A">
        <w:rPr>
          <w:lang w:val="en-US"/>
        </w:rPr>
        <w:t xml:space="preserve"> found, including the main streets of Ciudad San Cristóbal</w:t>
      </w:r>
      <w:r w:rsidR="00090C6C" w:rsidRPr="00EA6C7A">
        <w:rPr>
          <w:lang w:val="en-US"/>
        </w:rPr>
        <w:t>,</w:t>
      </w:r>
      <w:r w:rsidRPr="00EA6C7A">
        <w:rPr>
          <w:lang w:val="en-US"/>
        </w:rPr>
        <w:t xml:space="preserve"> and the homes of people w</w:t>
      </w:r>
      <w:r w:rsidR="00090C6C" w:rsidRPr="00EA6C7A">
        <w:rPr>
          <w:lang w:val="en-US"/>
        </w:rPr>
        <w:t>ho</w:t>
      </w:r>
      <w:r w:rsidRPr="00EA6C7A">
        <w:rPr>
          <w:lang w:val="en-US"/>
        </w:rPr>
        <w:t xml:space="preserve"> might </w:t>
      </w:r>
      <w:r w:rsidR="00090C6C" w:rsidRPr="00EA6C7A">
        <w:rPr>
          <w:lang w:val="en-US"/>
        </w:rPr>
        <w:t xml:space="preserve">have </w:t>
      </w:r>
      <w:r w:rsidRPr="00EA6C7A">
        <w:rPr>
          <w:lang w:val="en-US"/>
        </w:rPr>
        <w:t>know</w:t>
      </w:r>
      <w:r w:rsidR="00090C6C" w:rsidRPr="00EA6C7A">
        <w:rPr>
          <w:lang w:val="en-US"/>
        </w:rPr>
        <w:t>n of</w:t>
      </w:r>
      <w:r w:rsidRPr="00EA6C7A">
        <w:rPr>
          <w:lang w:val="en-US"/>
        </w:rPr>
        <w:t xml:space="preserve"> their daughter’s whereabouts; </w:t>
      </w:r>
      <w:r w:rsidR="00090C6C" w:rsidRPr="00EA6C7A">
        <w:rPr>
          <w:lang w:val="en-US"/>
        </w:rPr>
        <w:t xml:space="preserve">personally </w:t>
      </w:r>
      <w:r w:rsidRPr="00EA6C7A">
        <w:rPr>
          <w:lang w:val="en-US"/>
        </w:rPr>
        <w:t>telephoning or interviewing people who might have</w:t>
      </w:r>
      <w:r w:rsidR="00090C6C" w:rsidRPr="00EA6C7A">
        <w:rPr>
          <w:lang w:val="en-US"/>
        </w:rPr>
        <w:t xml:space="preserve"> had</w:t>
      </w:r>
      <w:r w:rsidRPr="00EA6C7A">
        <w:rPr>
          <w:lang w:val="en-US"/>
        </w:rPr>
        <w:t xml:space="preserve"> information on her whereabouts, and making inquiries in hospitals and morgues as to whether someone of their daughter’s description had been brought t</w:t>
      </w:r>
      <w:r w:rsidR="0020127B" w:rsidRPr="00EA6C7A">
        <w:rPr>
          <w:lang w:val="en-US"/>
        </w:rPr>
        <w:t>here</w:t>
      </w:r>
      <w:r w:rsidRPr="00EA6C7A">
        <w:rPr>
          <w:lang w:val="en-US"/>
        </w:rPr>
        <w:t>.</w:t>
      </w:r>
      <w:r w:rsidR="00214332" w:rsidRPr="00EA6C7A">
        <w:rPr>
          <w:rStyle w:val="Refdenotaalpie"/>
          <w:iCs/>
          <w:lang w:val="en-US"/>
        </w:rPr>
        <w:footnoteReference w:id="211"/>
      </w:r>
    </w:p>
    <w:p w14:paraId="4991E35B" w14:textId="77777777" w:rsidR="00214332" w:rsidRPr="00EA6C7A" w:rsidRDefault="00214332" w:rsidP="00077D21">
      <w:pPr>
        <w:pStyle w:val="PrrafodeSentencia"/>
        <w:numPr>
          <w:ilvl w:val="0"/>
          <w:numId w:val="0"/>
        </w:numPr>
        <w:rPr>
          <w:lang w:val="en-US"/>
        </w:rPr>
      </w:pPr>
    </w:p>
    <w:p w14:paraId="7CCBE7E8" w14:textId="77777777" w:rsidR="00214332" w:rsidRPr="00EA6C7A" w:rsidRDefault="0020127B" w:rsidP="00077D21">
      <w:pPr>
        <w:pStyle w:val="PrrafodeSentencia"/>
      </w:pPr>
      <w:r w:rsidRPr="00EA6C7A">
        <w:rPr>
          <w:lang w:val="en-US"/>
        </w:rPr>
        <w:t xml:space="preserve">Furthermore, </w:t>
      </w:r>
      <w:r w:rsidR="00090C6C" w:rsidRPr="00EA6C7A">
        <w:rPr>
          <w:lang w:val="en-US"/>
        </w:rPr>
        <w:t>regarding</w:t>
      </w:r>
      <w:r w:rsidRPr="00EA6C7A">
        <w:rPr>
          <w:lang w:val="en-US"/>
        </w:rPr>
        <w:t xml:space="preserve"> the moment </w:t>
      </w:r>
      <w:r w:rsidR="00090C6C" w:rsidRPr="00EA6C7A">
        <w:rPr>
          <w:lang w:val="en-US"/>
        </w:rPr>
        <w:t>when</w:t>
      </w:r>
      <w:r w:rsidRPr="00EA6C7A">
        <w:rPr>
          <w:lang w:val="en-US"/>
        </w:rPr>
        <w:t xml:space="preserve"> it was possible to file a report </w:t>
      </w:r>
      <w:r w:rsidR="00090C6C" w:rsidRPr="00EA6C7A">
        <w:rPr>
          <w:lang w:val="en-US"/>
        </w:rPr>
        <w:t>that</w:t>
      </w:r>
      <w:r w:rsidRPr="00EA6C7A">
        <w:rPr>
          <w:lang w:val="en-US"/>
        </w:rPr>
        <w:t xml:space="preserve"> </w:t>
      </w:r>
      <w:r w:rsidR="00214332" w:rsidRPr="00EA6C7A">
        <w:rPr>
          <w:lang w:val="en-US"/>
        </w:rPr>
        <w:t>Claudina Velásquez</w:t>
      </w:r>
      <w:r w:rsidR="00090C6C" w:rsidRPr="00EA6C7A">
        <w:rPr>
          <w:lang w:val="en-US"/>
        </w:rPr>
        <w:t xml:space="preserve"> was missing</w:t>
      </w:r>
      <w:r w:rsidR="00214332" w:rsidRPr="00EA6C7A">
        <w:rPr>
          <w:lang w:val="en-US"/>
        </w:rPr>
        <w:t xml:space="preserve">, </w:t>
      </w:r>
      <w:r w:rsidR="0096418F" w:rsidRPr="00EA6C7A">
        <w:rPr>
          <w:lang w:val="en-US"/>
        </w:rPr>
        <w:t>the Court</w:t>
      </w:r>
      <w:r w:rsidR="00214332" w:rsidRPr="00EA6C7A">
        <w:rPr>
          <w:lang w:val="en-US"/>
        </w:rPr>
        <w:t xml:space="preserve"> </w:t>
      </w:r>
      <w:r w:rsidRPr="00EA6C7A">
        <w:rPr>
          <w:lang w:val="en-US"/>
        </w:rPr>
        <w:t xml:space="preserve">notes that, based on the statements in the case file, it is unclear from when the 24 hours that must elapse before this report is filed should be calculated. In a statement of January 24, before the </w:t>
      </w:r>
      <w:r w:rsidR="00DB7DA5" w:rsidRPr="00EA6C7A">
        <w:rPr>
          <w:lang w:val="en-US"/>
        </w:rPr>
        <w:t xml:space="preserve">Head Office for the Prosecution of Crimes against Life and Integrity, </w:t>
      </w:r>
      <w:r w:rsidRPr="00EA6C7A">
        <w:rPr>
          <w:lang w:val="en-US"/>
        </w:rPr>
        <w:t>Jorge</w:t>
      </w:r>
      <w:r w:rsidR="00214332" w:rsidRPr="00EA6C7A">
        <w:rPr>
          <w:lang w:val="en-US"/>
        </w:rPr>
        <w:t xml:space="preserve"> Velásquez indic</w:t>
      </w:r>
      <w:r w:rsidRPr="00EA6C7A">
        <w:rPr>
          <w:lang w:val="en-US"/>
        </w:rPr>
        <w:t>ated that</w:t>
      </w:r>
      <w:r w:rsidR="00214332" w:rsidRPr="00EA6C7A">
        <w:rPr>
          <w:lang w:val="en-US"/>
        </w:rPr>
        <w:t xml:space="preserve"> </w:t>
      </w:r>
      <w:r w:rsidRPr="00EA6C7A">
        <w:rPr>
          <w:lang w:val="en-US"/>
        </w:rPr>
        <w:t>he had been informed that he could not report that his daughter was missing until 24 hours had passed from his last communication with her.</w:t>
      </w:r>
      <w:r w:rsidRPr="00EA6C7A">
        <w:rPr>
          <w:rStyle w:val="Refdenotaalpie"/>
          <w:iCs/>
          <w:lang w:val="en-US"/>
        </w:rPr>
        <w:footnoteReference w:id="212"/>
      </w:r>
      <w:r w:rsidRPr="00EA6C7A">
        <w:rPr>
          <w:lang w:val="en-US"/>
        </w:rPr>
        <w:t xml:space="preserve"> Similarly, during the psychiatric assessment made on October 21, 2009, he stated that this period had to elapse from the moment she went missing.</w:t>
      </w:r>
      <w:r w:rsidRPr="00EA6C7A">
        <w:rPr>
          <w:iCs/>
          <w:vertAlign w:val="superscript"/>
        </w:rPr>
        <w:footnoteReference w:id="213"/>
      </w:r>
      <w:r w:rsidRPr="00EA6C7A">
        <w:rPr>
          <w:lang w:val="en-US"/>
        </w:rPr>
        <w:t xml:space="preserve"> According to the case file, the last communication that </w:t>
      </w:r>
      <w:r w:rsidR="0097429D" w:rsidRPr="00EA6C7A">
        <w:rPr>
          <w:lang w:val="en-US"/>
        </w:rPr>
        <w:t>Claudina Velásquez’s parents</w:t>
      </w:r>
      <w:r w:rsidR="00214332" w:rsidRPr="00EA6C7A">
        <w:rPr>
          <w:lang w:val="en-US"/>
        </w:rPr>
        <w:t xml:space="preserve"> </w:t>
      </w:r>
      <w:r w:rsidRPr="00EA6C7A">
        <w:rPr>
          <w:lang w:val="en-US"/>
        </w:rPr>
        <w:t>had with their daughter was at around</w:t>
      </w:r>
      <w:r w:rsidR="00214332" w:rsidRPr="00EA6C7A">
        <w:rPr>
          <w:lang w:val="en-US"/>
        </w:rPr>
        <w:t xml:space="preserve"> 11</w:t>
      </w:r>
      <w:r w:rsidR="00AC5C1A" w:rsidRPr="00EA6C7A">
        <w:rPr>
          <w:lang w:val="en-US"/>
        </w:rPr>
        <w:t>.</w:t>
      </w:r>
      <w:r w:rsidR="00214332" w:rsidRPr="00EA6C7A">
        <w:rPr>
          <w:lang w:val="en-US"/>
        </w:rPr>
        <w:t>45 p.m.</w:t>
      </w:r>
      <w:r w:rsidR="00214332" w:rsidRPr="00EA6C7A">
        <w:rPr>
          <w:rStyle w:val="Refdenotaalpie"/>
          <w:iCs/>
          <w:lang w:val="en-US"/>
        </w:rPr>
        <w:footnoteReference w:id="214"/>
      </w:r>
      <w:r w:rsidRPr="00EA6C7A">
        <w:rPr>
          <w:lang w:val="en-US"/>
        </w:rPr>
        <w:t xml:space="preserve"> However, the report of her disappearance was received approximately eight and a half hours after this communication, but 24 hours after</w:t>
      </w:r>
      <w:r w:rsidR="00214332" w:rsidRPr="00EA6C7A">
        <w:rPr>
          <w:lang w:val="en-US"/>
        </w:rPr>
        <w:t xml:space="preserve"> Claudina Velásquez </w:t>
      </w:r>
      <w:r w:rsidRPr="00EA6C7A">
        <w:rPr>
          <w:lang w:val="en-US"/>
        </w:rPr>
        <w:t>had left her home</w:t>
      </w:r>
      <w:r w:rsidR="00214332" w:rsidRPr="00EA6C7A">
        <w:rPr>
          <w:lang w:val="en-US"/>
        </w:rPr>
        <w:t xml:space="preserve"> (</w:t>
      </w:r>
      <w:r w:rsidR="00214332" w:rsidRPr="00EA6C7A">
        <w:rPr>
          <w:i/>
          <w:lang w:val="en-US"/>
        </w:rPr>
        <w:t xml:space="preserve">supra </w:t>
      </w:r>
      <w:r w:rsidR="002F3848" w:rsidRPr="00EA6C7A">
        <w:rPr>
          <w:lang w:val="en-US"/>
        </w:rPr>
        <w:t>para.</w:t>
      </w:r>
      <w:r w:rsidR="00214332" w:rsidRPr="00EA6C7A">
        <w:rPr>
          <w:lang w:val="en-US"/>
        </w:rPr>
        <w:t xml:space="preserve"> </w:t>
      </w:r>
      <w:r w:rsidR="00214332" w:rsidRPr="00EA6C7A">
        <w:t>52).</w:t>
      </w:r>
    </w:p>
    <w:p w14:paraId="358CA4EB" w14:textId="77777777" w:rsidR="00214332" w:rsidRPr="00EA6C7A" w:rsidRDefault="00214332" w:rsidP="00077D21">
      <w:pPr>
        <w:pStyle w:val="PrrafodeSentencia"/>
        <w:numPr>
          <w:ilvl w:val="0"/>
          <w:numId w:val="0"/>
        </w:numPr>
      </w:pPr>
    </w:p>
    <w:p w14:paraId="6F9FAC1A" w14:textId="77777777" w:rsidR="00214332" w:rsidRPr="00EA6C7A" w:rsidRDefault="0020127B" w:rsidP="00077D21">
      <w:pPr>
        <w:pStyle w:val="PrrafodeSentencia"/>
        <w:rPr>
          <w:iCs/>
          <w:lang w:val="en-US"/>
        </w:rPr>
      </w:pPr>
      <w:r w:rsidRPr="00EA6C7A">
        <w:rPr>
          <w:lang w:val="en-US"/>
        </w:rPr>
        <w:t xml:space="preserve">In this regard, it is worth noting that, during </w:t>
      </w:r>
      <w:r w:rsidR="00E43A75" w:rsidRPr="00EA6C7A">
        <w:rPr>
          <w:lang w:val="en-US"/>
        </w:rPr>
        <w:t>public hearing</w:t>
      </w:r>
      <w:r w:rsidRPr="00EA6C7A">
        <w:rPr>
          <w:lang w:val="en-US"/>
        </w:rPr>
        <w:t xml:space="preserve">, the Court asked the State to advise whether there was any rule or practice according to which the State authorities had to wait 24 hours before receiving a report. In its final written arguments, the State indicated that there was no provision in domestic law establishing a period of 24 to 48 hours before filing a </w:t>
      </w:r>
      <w:r w:rsidR="008A04F5" w:rsidRPr="00EA6C7A">
        <w:rPr>
          <w:lang w:val="en-US"/>
        </w:rPr>
        <w:t>missing person report</w:t>
      </w:r>
      <w:r w:rsidRPr="00EA6C7A">
        <w:rPr>
          <w:lang w:val="en-US"/>
        </w:rPr>
        <w:t>. However, it asserted that, when the police referred to the 24-hour time frame, they were acting pursuant to a</w:t>
      </w:r>
      <w:r w:rsidR="0096418F" w:rsidRPr="00EA6C7A">
        <w:rPr>
          <w:lang w:val="en-US"/>
        </w:rPr>
        <w:t>rticle</w:t>
      </w:r>
      <w:r w:rsidR="00214332" w:rsidRPr="00EA6C7A">
        <w:rPr>
          <w:lang w:val="en-US"/>
        </w:rPr>
        <w:t xml:space="preserve"> 51 </w:t>
      </w:r>
      <w:r w:rsidRPr="00EA6C7A">
        <w:rPr>
          <w:lang w:val="en-US"/>
        </w:rPr>
        <w:t>of Decree</w:t>
      </w:r>
      <w:r w:rsidR="00214332" w:rsidRPr="00EA6C7A">
        <w:rPr>
          <w:lang w:val="en-US"/>
        </w:rPr>
        <w:t xml:space="preserve"> No. 40-90 </w:t>
      </w:r>
      <w:r w:rsidRPr="00EA6C7A">
        <w:rPr>
          <w:lang w:val="en-US"/>
        </w:rPr>
        <w:t>of the Organic Law</w:t>
      </w:r>
      <w:r w:rsidR="00214332" w:rsidRPr="00EA6C7A">
        <w:rPr>
          <w:lang w:val="en-US"/>
        </w:rPr>
        <w:t xml:space="preserve"> </w:t>
      </w:r>
      <w:r w:rsidR="003E2012" w:rsidRPr="00EA6C7A">
        <w:rPr>
          <w:lang w:val="en-US"/>
        </w:rPr>
        <w:t>of the Public</w:t>
      </w:r>
      <w:r w:rsidR="00B3248B" w:rsidRPr="00EA6C7A">
        <w:rPr>
          <w:lang w:val="en-US"/>
        </w:rPr>
        <w:t xml:space="preserve"> Prosecution Service</w:t>
      </w:r>
      <w:r w:rsidR="00214332" w:rsidRPr="00EA6C7A">
        <w:rPr>
          <w:lang w:val="en-US"/>
        </w:rPr>
        <w:t xml:space="preserve"> </w:t>
      </w:r>
      <w:r w:rsidRPr="00EA6C7A">
        <w:rPr>
          <w:lang w:val="en-US"/>
        </w:rPr>
        <w:t>in force at the time, which established</w:t>
      </w:r>
      <w:r w:rsidR="00AC5C1A" w:rsidRPr="00EA6C7A">
        <w:rPr>
          <w:lang w:val="en-US"/>
        </w:rPr>
        <w:t xml:space="preserve"> that</w:t>
      </w:r>
      <w:r w:rsidRPr="00EA6C7A">
        <w:rPr>
          <w:lang w:val="en-US"/>
        </w:rPr>
        <w:t xml:space="preserve">: “the police and other security forces may not conduct investigations, </w:t>
      </w:r>
      <w:r w:rsidRPr="00EA6C7A">
        <w:rPr>
          <w:i/>
          <w:iCs/>
          <w:lang w:val="en-US"/>
        </w:rPr>
        <w:t>ex officio</w:t>
      </w:r>
      <w:r w:rsidRPr="00EA6C7A">
        <w:rPr>
          <w:lang w:val="en-US"/>
        </w:rPr>
        <w:t>, except in urgent cases and for crime prevention. In that case, they shall advise the</w:t>
      </w:r>
      <w:r w:rsidRPr="00EA6C7A">
        <w:rPr>
          <w:iCs/>
          <w:lang w:val="en-US"/>
        </w:rPr>
        <w:t xml:space="preserve"> </w:t>
      </w:r>
      <w:r w:rsidR="00B3248B" w:rsidRPr="00EA6C7A">
        <w:rPr>
          <w:iCs/>
          <w:lang w:val="en-US"/>
        </w:rPr>
        <w:t>Public Prosecution Service</w:t>
      </w:r>
      <w:r w:rsidR="00214332" w:rsidRPr="00EA6C7A">
        <w:rPr>
          <w:iCs/>
          <w:lang w:val="en-US"/>
        </w:rPr>
        <w:t xml:space="preserve"> </w:t>
      </w:r>
      <w:r w:rsidRPr="00EA6C7A">
        <w:rPr>
          <w:iCs/>
          <w:lang w:val="en-US"/>
        </w:rPr>
        <w:t>of the actions taken within no more than 24 hours.”</w:t>
      </w:r>
    </w:p>
    <w:p w14:paraId="5B9A4E64" w14:textId="77777777" w:rsidR="00214332" w:rsidRPr="00EA6C7A" w:rsidRDefault="00214332" w:rsidP="00077D21">
      <w:pPr>
        <w:pStyle w:val="PrrafodeSentencia"/>
        <w:numPr>
          <w:ilvl w:val="0"/>
          <w:numId w:val="0"/>
        </w:numPr>
        <w:rPr>
          <w:lang w:val="en-US"/>
        </w:rPr>
      </w:pPr>
    </w:p>
    <w:p w14:paraId="49BE305D" w14:textId="77777777" w:rsidR="00214332" w:rsidRPr="00EA6C7A" w:rsidRDefault="0020127B" w:rsidP="00077D21">
      <w:pPr>
        <w:pStyle w:val="PrrafodeSentencia"/>
      </w:pPr>
      <w:r w:rsidRPr="00EA6C7A">
        <w:rPr>
          <w:lang w:val="en-US"/>
        </w:rPr>
        <w:t xml:space="preserve">In this regard, it should be emphasized that the norm cited does not explain the action of the police in the instant case, because it does not even mention the reception of a report or complaint; rather it reflects confusion as to the rules that the police should follow. Indeed, it is clear that the police </w:t>
      </w:r>
      <w:r w:rsidR="00AC5C1A" w:rsidRPr="00EA6C7A">
        <w:rPr>
          <w:lang w:val="en-US"/>
        </w:rPr>
        <w:t xml:space="preserve">agents </w:t>
      </w:r>
      <w:r w:rsidRPr="00EA6C7A">
        <w:rPr>
          <w:lang w:val="en-US"/>
        </w:rPr>
        <w:t xml:space="preserve">who attended the family were unclear of the procedure to follow to </w:t>
      </w:r>
      <w:r w:rsidR="00AC5C1A" w:rsidRPr="00EA6C7A">
        <w:rPr>
          <w:lang w:val="en-US"/>
        </w:rPr>
        <w:t>deal with</w:t>
      </w:r>
      <w:r w:rsidRPr="00EA6C7A">
        <w:rPr>
          <w:lang w:val="en-US"/>
        </w:rPr>
        <w:t xml:space="preserve"> the fact that was reported. Added to this, the reiterated declaration of the officials that it was necessary to wait to file a report shows that, in their opinion, the disappearance reported did not </w:t>
      </w:r>
      <w:r w:rsidR="00AC5C1A" w:rsidRPr="00EA6C7A">
        <w:rPr>
          <w:lang w:val="en-US"/>
        </w:rPr>
        <w:t>deserve to be</w:t>
      </w:r>
      <w:r w:rsidRPr="00EA6C7A">
        <w:rPr>
          <w:lang w:val="en-US"/>
        </w:rPr>
        <w:t xml:space="preserve"> treated with any urgency and expediency, </w:t>
      </w:r>
      <w:r w:rsidR="00AC5C1A" w:rsidRPr="00EA6C7A">
        <w:rPr>
          <w:lang w:val="en-US"/>
        </w:rPr>
        <w:t>even though</w:t>
      </w:r>
      <w:r w:rsidRPr="00EA6C7A">
        <w:rPr>
          <w:lang w:val="en-US"/>
        </w:rPr>
        <w:t xml:space="preserve"> they had a duty of strict due diligence </w:t>
      </w:r>
      <w:r w:rsidR="00AC5C1A" w:rsidRPr="00EA6C7A">
        <w:rPr>
          <w:lang w:val="en-US"/>
        </w:rPr>
        <w:t>as regards</w:t>
      </w:r>
      <w:r w:rsidRPr="00EA6C7A">
        <w:rPr>
          <w:lang w:val="en-US"/>
        </w:rPr>
        <w:t xml:space="preserve"> conducting a search in the initial hours</w:t>
      </w:r>
      <w:r w:rsidR="00214332" w:rsidRPr="00EA6C7A">
        <w:rPr>
          <w:lang w:val="en-US"/>
        </w:rPr>
        <w:t xml:space="preserve"> (</w:t>
      </w:r>
      <w:r w:rsidR="00214332" w:rsidRPr="00EA6C7A">
        <w:rPr>
          <w:i/>
          <w:lang w:val="en-US"/>
        </w:rPr>
        <w:t xml:space="preserve">supra </w:t>
      </w:r>
      <w:r w:rsidR="002F3848" w:rsidRPr="00EA6C7A">
        <w:rPr>
          <w:lang w:val="en-US"/>
        </w:rPr>
        <w:t>para.</w:t>
      </w:r>
      <w:r w:rsidR="00214332" w:rsidRPr="00EA6C7A">
        <w:rPr>
          <w:lang w:val="en-US"/>
        </w:rPr>
        <w:t xml:space="preserve"> </w:t>
      </w:r>
      <w:r w:rsidR="00214332" w:rsidRPr="00EA6C7A">
        <w:t xml:space="preserve">122). </w:t>
      </w:r>
    </w:p>
    <w:p w14:paraId="2052380E" w14:textId="77777777" w:rsidR="00214332" w:rsidRPr="00EA6C7A" w:rsidRDefault="00214332" w:rsidP="00214332">
      <w:pPr>
        <w:spacing w:after="0" w:line="240" w:lineRule="auto"/>
        <w:jc w:val="both"/>
        <w:rPr>
          <w:rFonts w:ascii="Verdana" w:hAnsi="Verdana"/>
          <w:b/>
          <w:sz w:val="16"/>
          <w:szCs w:val="16"/>
          <w:lang w:val="en-US"/>
        </w:rPr>
      </w:pPr>
    </w:p>
    <w:p w14:paraId="0D3D2384" w14:textId="77777777" w:rsidR="00214332" w:rsidRPr="00EA6C7A" w:rsidRDefault="0020127B" w:rsidP="00077D21">
      <w:pPr>
        <w:pStyle w:val="PrrafodeSentencia"/>
        <w:rPr>
          <w:lang w:val="en-US"/>
        </w:rPr>
      </w:pPr>
      <w:r w:rsidRPr="00EA6C7A">
        <w:rPr>
          <w:lang w:val="en-US"/>
        </w:rPr>
        <w:t>On this point</w:t>
      </w:r>
      <w:r w:rsidR="00214332" w:rsidRPr="00EA6C7A">
        <w:rPr>
          <w:lang w:val="en-US"/>
        </w:rPr>
        <w:t xml:space="preserve">, </w:t>
      </w:r>
      <w:r w:rsidRPr="00EA6C7A">
        <w:rPr>
          <w:lang w:val="en-US"/>
        </w:rPr>
        <w:t>in his</w:t>
      </w:r>
      <w:r w:rsidR="00214332" w:rsidRPr="00EA6C7A">
        <w:rPr>
          <w:lang w:val="en-US"/>
        </w:rPr>
        <w:t xml:space="preserve"> “</w:t>
      </w:r>
      <w:r w:rsidRPr="00EA6C7A">
        <w:rPr>
          <w:lang w:val="en-US"/>
        </w:rPr>
        <w:t>Report on verification of violations of the obligation to investigate in the case of</w:t>
      </w:r>
      <w:r w:rsidR="00214332" w:rsidRPr="00EA6C7A">
        <w:rPr>
          <w:lang w:val="en-US"/>
        </w:rPr>
        <w:t xml:space="preserve"> Claudina Velásquez, </w:t>
      </w:r>
      <w:r w:rsidR="00781EBE" w:rsidRPr="00EA6C7A">
        <w:rPr>
          <w:lang w:val="en-US"/>
        </w:rPr>
        <w:t>the Guatemalan Ombudsman</w:t>
      </w:r>
      <w:r w:rsidR="00214332" w:rsidRPr="00EA6C7A">
        <w:rPr>
          <w:lang w:val="en-US"/>
        </w:rPr>
        <w:t xml:space="preserve"> </w:t>
      </w:r>
      <w:r w:rsidRPr="00EA6C7A">
        <w:rPr>
          <w:lang w:val="en-US"/>
        </w:rPr>
        <w:t>indicated that</w:t>
      </w:r>
      <w:r w:rsidR="00214332" w:rsidRPr="00EA6C7A">
        <w:rPr>
          <w:lang w:val="en-US"/>
        </w:rPr>
        <w:t xml:space="preserve">: </w:t>
      </w:r>
    </w:p>
    <w:p w14:paraId="7D883BCB" w14:textId="77777777" w:rsidR="00214332" w:rsidRPr="00EA6C7A" w:rsidRDefault="00214332" w:rsidP="00214332">
      <w:pPr>
        <w:autoSpaceDE w:val="0"/>
        <w:autoSpaceDN w:val="0"/>
        <w:spacing w:after="0" w:line="240" w:lineRule="auto"/>
        <w:jc w:val="both"/>
        <w:rPr>
          <w:rFonts w:ascii="Verdana" w:hAnsi="Verdana" w:cs="Arial"/>
          <w:color w:val="414141"/>
          <w:sz w:val="16"/>
          <w:szCs w:val="16"/>
          <w:lang w:val="en-US"/>
        </w:rPr>
      </w:pPr>
    </w:p>
    <w:p w14:paraId="6E6AC777" w14:textId="77777777" w:rsidR="00214332" w:rsidRPr="00EA6C7A" w:rsidRDefault="0020127B" w:rsidP="00F53A64">
      <w:pPr>
        <w:autoSpaceDE w:val="0"/>
        <w:autoSpaceDN w:val="0"/>
        <w:spacing w:after="0" w:line="240" w:lineRule="auto"/>
        <w:ind w:left="360"/>
        <w:jc w:val="both"/>
        <w:rPr>
          <w:rFonts w:ascii="Verdana" w:hAnsi="Verdana" w:cs="Arial"/>
          <w:sz w:val="16"/>
          <w:szCs w:val="16"/>
          <w:lang w:val="en-US"/>
        </w:rPr>
      </w:pPr>
      <w:r w:rsidRPr="00EA6C7A">
        <w:rPr>
          <w:rFonts w:ascii="Verdana" w:hAnsi="Verdana" w:cs="Arial"/>
          <w:sz w:val="16"/>
          <w:szCs w:val="16"/>
          <w:lang w:val="en-US"/>
        </w:rPr>
        <w:t>This situation is a material d</w:t>
      </w:r>
      <w:r w:rsidR="00AC5C1A" w:rsidRPr="00EA6C7A">
        <w:rPr>
          <w:rFonts w:ascii="Verdana" w:hAnsi="Verdana" w:cs="Arial"/>
          <w:sz w:val="16"/>
          <w:szCs w:val="16"/>
          <w:lang w:val="en-US"/>
        </w:rPr>
        <w:t>enial</w:t>
      </w:r>
      <w:r w:rsidRPr="00EA6C7A">
        <w:rPr>
          <w:rFonts w:ascii="Verdana" w:hAnsi="Verdana" w:cs="Arial"/>
          <w:sz w:val="16"/>
          <w:szCs w:val="16"/>
          <w:lang w:val="en-US"/>
        </w:rPr>
        <w:t xml:space="preserve"> </w:t>
      </w:r>
      <w:r w:rsidR="00214332" w:rsidRPr="00EA6C7A">
        <w:rPr>
          <w:rFonts w:ascii="Verdana" w:hAnsi="Verdana" w:cs="Arial"/>
          <w:sz w:val="16"/>
          <w:szCs w:val="16"/>
          <w:lang w:val="en-US"/>
        </w:rPr>
        <w:t xml:space="preserve">[…] </w:t>
      </w:r>
      <w:r w:rsidRPr="00EA6C7A">
        <w:rPr>
          <w:rFonts w:ascii="Verdana" w:hAnsi="Verdana" w:cs="Arial"/>
          <w:sz w:val="16"/>
          <w:szCs w:val="16"/>
          <w:lang w:val="en-US"/>
        </w:rPr>
        <w:t xml:space="preserve">of the </w:t>
      </w:r>
      <w:r w:rsidR="00AC5C1A" w:rsidRPr="00EA6C7A">
        <w:rPr>
          <w:rFonts w:ascii="Verdana" w:hAnsi="Verdana" w:cs="Arial"/>
          <w:sz w:val="16"/>
          <w:szCs w:val="16"/>
          <w:lang w:val="en-US"/>
        </w:rPr>
        <w:t xml:space="preserve">State’s </w:t>
      </w:r>
      <w:r w:rsidRPr="00EA6C7A">
        <w:rPr>
          <w:rFonts w:ascii="Verdana" w:hAnsi="Verdana" w:cs="Arial"/>
          <w:sz w:val="16"/>
          <w:szCs w:val="16"/>
          <w:lang w:val="en-US"/>
        </w:rPr>
        <w:t>obligation</w:t>
      </w:r>
      <w:r w:rsidR="001914FC" w:rsidRPr="00EA6C7A">
        <w:rPr>
          <w:rFonts w:ascii="Verdana" w:hAnsi="Verdana" w:cs="Arial"/>
          <w:sz w:val="16"/>
          <w:szCs w:val="16"/>
          <w:lang w:val="en-US"/>
        </w:rPr>
        <w:t xml:space="preserve"> </w:t>
      </w:r>
      <w:r w:rsidRPr="00EA6C7A">
        <w:rPr>
          <w:rFonts w:ascii="Verdana" w:hAnsi="Verdana" w:cs="Arial"/>
          <w:sz w:val="16"/>
          <w:szCs w:val="16"/>
          <w:lang w:val="en-US"/>
        </w:rPr>
        <w:t>to open serious and effective investigations a</w:t>
      </w:r>
      <w:r w:rsidR="00F53A64" w:rsidRPr="00EA6C7A">
        <w:rPr>
          <w:rFonts w:ascii="Verdana" w:hAnsi="Verdana" w:cs="Arial"/>
          <w:sz w:val="16"/>
          <w:szCs w:val="16"/>
          <w:lang w:val="en-US"/>
        </w:rPr>
        <w:t>s soon as there is evidence of a situation involving the violation of human rights</w:t>
      </w:r>
      <w:r w:rsidR="00214332" w:rsidRPr="00EA6C7A">
        <w:rPr>
          <w:rFonts w:ascii="Verdana" w:hAnsi="Verdana" w:cs="Arial"/>
          <w:sz w:val="16"/>
          <w:szCs w:val="16"/>
          <w:lang w:val="en-US"/>
        </w:rPr>
        <w:t xml:space="preserve">. </w:t>
      </w:r>
      <w:r w:rsidR="00F53A64" w:rsidRPr="00EA6C7A">
        <w:rPr>
          <w:rFonts w:ascii="Verdana" w:hAnsi="Verdana" w:cs="Arial"/>
          <w:sz w:val="16"/>
          <w:szCs w:val="16"/>
          <w:lang w:val="en-US"/>
        </w:rPr>
        <w:t xml:space="preserve">If the report had been received immediately, effective actions to search for CLAUDINA ISABEL VELÁSQUEZ could have been initiated and </w:t>
      </w:r>
      <w:r w:rsidR="00AC5C1A" w:rsidRPr="00EA6C7A">
        <w:rPr>
          <w:rFonts w:ascii="Verdana" w:hAnsi="Verdana" w:cs="Arial"/>
          <w:sz w:val="16"/>
          <w:szCs w:val="16"/>
          <w:lang w:val="en-US"/>
        </w:rPr>
        <w:t xml:space="preserve">might have </w:t>
      </w:r>
      <w:r w:rsidR="00F53A64" w:rsidRPr="00EA6C7A">
        <w:rPr>
          <w:rFonts w:ascii="Verdana" w:hAnsi="Verdana" w:cs="Arial"/>
          <w:sz w:val="16"/>
          <w:szCs w:val="16"/>
          <w:lang w:val="en-US"/>
        </w:rPr>
        <w:t xml:space="preserve">prevented the violation of her right to life. Requiring a delay of 24 hours to receive a </w:t>
      </w:r>
      <w:r w:rsidR="008A04F5" w:rsidRPr="00EA6C7A">
        <w:rPr>
          <w:rFonts w:ascii="Verdana" w:hAnsi="Verdana" w:cs="Arial"/>
          <w:sz w:val="16"/>
          <w:szCs w:val="16"/>
          <w:lang w:val="en-US"/>
        </w:rPr>
        <w:t>missing person report</w:t>
      </w:r>
      <w:r w:rsidR="00F53A64" w:rsidRPr="00EA6C7A">
        <w:rPr>
          <w:rFonts w:ascii="Verdana" w:hAnsi="Verdana" w:cs="Arial"/>
          <w:sz w:val="16"/>
          <w:szCs w:val="16"/>
          <w:lang w:val="en-US"/>
        </w:rPr>
        <w:t xml:space="preserve"> gives rise, first, to a period of time during which the victim is left in a situation of defenselessness. In addition, it prevents obtaining an appropriate record of the missing person</w:t>
      </w:r>
      <w:r w:rsidR="00AC5C1A" w:rsidRPr="00EA6C7A">
        <w:rPr>
          <w:rFonts w:ascii="Verdana" w:hAnsi="Verdana" w:cs="Arial"/>
          <w:sz w:val="16"/>
          <w:szCs w:val="16"/>
          <w:lang w:val="en-US"/>
        </w:rPr>
        <w:t>’s data</w:t>
      </w:r>
      <w:r w:rsidR="00F53A64" w:rsidRPr="00EA6C7A">
        <w:rPr>
          <w:rFonts w:ascii="Verdana" w:hAnsi="Verdana" w:cs="Arial"/>
          <w:sz w:val="16"/>
          <w:szCs w:val="16"/>
          <w:lang w:val="en-US"/>
        </w:rPr>
        <w:t xml:space="preserve"> in order to identify a corpse as soon as it is found. In this specific case, it prevented the identification of the victim when she was discovered and the start of an immediate investigation into Claudina Isabel’s death. The Ombudsman considers it </w:t>
      </w:r>
      <w:r w:rsidR="00AC5C1A" w:rsidRPr="00EA6C7A">
        <w:rPr>
          <w:rFonts w:ascii="Verdana" w:hAnsi="Verdana" w:cs="Arial"/>
          <w:sz w:val="16"/>
          <w:szCs w:val="16"/>
          <w:lang w:val="en-US"/>
        </w:rPr>
        <w:t>essential</w:t>
      </w:r>
      <w:r w:rsidR="00F53A64" w:rsidRPr="00EA6C7A">
        <w:rPr>
          <w:rFonts w:ascii="Verdana" w:hAnsi="Verdana" w:cs="Arial"/>
          <w:sz w:val="16"/>
          <w:szCs w:val="16"/>
          <w:lang w:val="en-US"/>
        </w:rPr>
        <w:t xml:space="preserve"> to establish an electronic system for the reception of </w:t>
      </w:r>
      <w:r w:rsidR="00AC5C1A" w:rsidRPr="00EA6C7A">
        <w:rPr>
          <w:rFonts w:ascii="Verdana" w:hAnsi="Verdana" w:cs="Arial"/>
          <w:sz w:val="16"/>
          <w:szCs w:val="16"/>
          <w:lang w:val="en-US"/>
        </w:rPr>
        <w:t xml:space="preserve">such </w:t>
      </w:r>
      <w:r w:rsidR="00F53A64" w:rsidRPr="00EA6C7A">
        <w:rPr>
          <w:rFonts w:ascii="Verdana" w:hAnsi="Verdana" w:cs="Arial"/>
          <w:sz w:val="16"/>
          <w:szCs w:val="16"/>
          <w:lang w:val="en-US"/>
        </w:rPr>
        <w:t>reports in order to facilitate the identification of missing persons; a system that can be consulted when a corpse is found, so as to be able to contact the victim’s next of kin immediately for the formal identification.</w:t>
      </w:r>
      <w:r w:rsidR="00214332" w:rsidRPr="00EA6C7A">
        <w:rPr>
          <w:rStyle w:val="Refdenotaalpie"/>
          <w:rFonts w:ascii="Verdana" w:hAnsi="Verdana" w:cs="Arial"/>
          <w:sz w:val="16"/>
          <w:szCs w:val="16"/>
          <w:lang w:val="en-US"/>
        </w:rPr>
        <w:footnoteReference w:id="215"/>
      </w:r>
    </w:p>
    <w:p w14:paraId="11730FA7" w14:textId="77777777" w:rsidR="00214332" w:rsidRPr="00EA6C7A" w:rsidRDefault="00214332" w:rsidP="00214332">
      <w:pPr>
        <w:autoSpaceDE w:val="0"/>
        <w:autoSpaceDN w:val="0"/>
        <w:spacing w:after="0" w:line="240" w:lineRule="auto"/>
        <w:jc w:val="both"/>
        <w:rPr>
          <w:rFonts w:ascii="Verdana" w:hAnsi="Verdana" w:cs="Arial"/>
          <w:color w:val="2B2B2B"/>
          <w:sz w:val="16"/>
          <w:szCs w:val="16"/>
          <w:lang w:val="en-US"/>
        </w:rPr>
      </w:pPr>
    </w:p>
    <w:p w14:paraId="062C310B" w14:textId="77777777" w:rsidR="00214332" w:rsidRPr="00EA6C7A" w:rsidRDefault="00F53A64" w:rsidP="00077D21">
      <w:pPr>
        <w:pStyle w:val="PrrafodeSentencia"/>
        <w:rPr>
          <w:lang w:val="en-US"/>
        </w:rPr>
      </w:pPr>
      <w:r w:rsidRPr="00EA6C7A">
        <w:rPr>
          <w:lang w:val="en-US"/>
        </w:rPr>
        <w:t>Consequently, the Court finds that the State authorities failed to take the necessary measures within the</w:t>
      </w:r>
      <w:r w:rsidR="00AA0FB2" w:rsidRPr="00EA6C7A">
        <w:rPr>
          <w:lang w:val="en-US"/>
        </w:rPr>
        <w:t xml:space="preserve"> scope of their</w:t>
      </w:r>
      <w:r w:rsidRPr="00EA6C7A">
        <w:rPr>
          <w:lang w:val="en-US"/>
        </w:rPr>
        <w:t xml:space="preserve"> powers that, judged reasonably, could be expected to have prevented or avoided the violation </w:t>
      </w:r>
      <w:r w:rsidR="00123BD3" w:rsidRPr="00EA6C7A">
        <w:rPr>
          <w:lang w:val="en-US"/>
        </w:rPr>
        <w:t xml:space="preserve">of the </w:t>
      </w:r>
      <w:r w:rsidRPr="00EA6C7A">
        <w:rPr>
          <w:lang w:val="en-US"/>
        </w:rPr>
        <w:t>rights to life</w:t>
      </w:r>
      <w:r w:rsidR="00214332" w:rsidRPr="00EA6C7A">
        <w:rPr>
          <w:lang w:val="en-US"/>
        </w:rPr>
        <w:t xml:space="preserve"> </w:t>
      </w:r>
      <w:r w:rsidR="004C1E19" w:rsidRPr="00EA6C7A">
        <w:rPr>
          <w:lang w:val="en-US"/>
        </w:rPr>
        <w:t>and personal</w:t>
      </w:r>
      <w:r w:rsidR="00515C34" w:rsidRPr="00EA6C7A">
        <w:rPr>
          <w:lang w:val="en-US"/>
        </w:rPr>
        <w:t xml:space="preserve"> integrity</w:t>
      </w:r>
      <w:r w:rsidR="00214332" w:rsidRPr="00EA6C7A">
        <w:rPr>
          <w:lang w:val="en-US"/>
        </w:rPr>
        <w:t xml:space="preserve"> </w:t>
      </w:r>
      <w:r w:rsidRPr="00EA6C7A">
        <w:rPr>
          <w:lang w:val="en-US"/>
        </w:rPr>
        <w:t>of</w:t>
      </w:r>
      <w:r w:rsidR="00214332" w:rsidRPr="00EA6C7A">
        <w:rPr>
          <w:lang w:val="en-US"/>
        </w:rPr>
        <w:t xml:space="preserve"> Claudina Velásquez Paiz, </w:t>
      </w:r>
      <w:r w:rsidRPr="00EA6C7A">
        <w:rPr>
          <w:lang w:val="en-US"/>
        </w:rPr>
        <w:t xml:space="preserve">as of the moment </w:t>
      </w:r>
      <w:r w:rsidR="00AA0FB2" w:rsidRPr="00EA6C7A">
        <w:rPr>
          <w:lang w:val="en-US"/>
        </w:rPr>
        <w:t>at</w:t>
      </w:r>
      <w:r w:rsidRPr="00EA6C7A">
        <w:rPr>
          <w:lang w:val="en-US"/>
        </w:rPr>
        <w:t xml:space="preserve"> which the State became aware of the </w:t>
      </w:r>
      <w:r w:rsidR="00AA0FB2" w:rsidRPr="00EA6C7A">
        <w:rPr>
          <w:lang w:val="en-US"/>
        </w:rPr>
        <w:t>danger</w:t>
      </w:r>
      <w:r w:rsidRPr="00EA6C7A">
        <w:rPr>
          <w:lang w:val="en-US"/>
        </w:rPr>
        <w:t xml:space="preserve"> she faced</w:t>
      </w:r>
      <w:r w:rsidR="00214332" w:rsidRPr="00EA6C7A">
        <w:rPr>
          <w:lang w:val="en-US"/>
        </w:rPr>
        <w:t xml:space="preserve">. </w:t>
      </w:r>
    </w:p>
    <w:p w14:paraId="68622F63" w14:textId="77777777" w:rsidR="00214332" w:rsidRPr="00EA6C7A" w:rsidRDefault="00214332" w:rsidP="00214332">
      <w:pPr>
        <w:pStyle w:val="Sentencia3"/>
        <w:ind w:left="0"/>
        <w:rPr>
          <w:lang w:val="en-US"/>
        </w:rPr>
      </w:pPr>
    </w:p>
    <w:p w14:paraId="19C0D23E" w14:textId="77777777" w:rsidR="00214332" w:rsidRPr="00EA6C7A" w:rsidRDefault="00214332" w:rsidP="00214332">
      <w:pPr>
        <w:pStyle w:val="Sentencia3"/>
        <w:rPr>
          <w:lang w:val="en-US"/>
        </w:rPr>
      </w:pPr>
      <w:r w:rsidRPr="00EA6C7A">
        <w:rPr>
          <w:lang w:val="en-US"/>
        </w:rPr>
        <w:tab/>
      </w:r>
      <w:bookmarkStart w:id="70" w:name="_Toc26002318"/>
      <w:r w:rsidRPr="00EA6C7A">
        <w:rPr>
          <w:lang w:val="en-US"/>
        </w:rPr>
        <w:t xml:space="preserve">B.3. </w:t>
      </w:r>
      <w:r w:rsidR="00F53A64" w:rsidRPr="00EA6C7A">
        <w:rPr>
          <w:lang w:val="en-US"/>
        </w:rPr>
        <w:t>Conclusion</w:t>
      </w:r>
      <w:bookmarkEnd w:id="70"/>
      <w:r w:rsidRPr="00EA6C7A">
        <w:rPr>
          <w:lang w:val="en-US"/>
        </w:rPr>
        <w:t xml:space="preserve"> </w:t>
      </w:r>
    </w:p>
    <w:p w14:paraId="154E4FDF" w14:textId="77777777" w:rsidR="00214332" w:rsidRPr="00EA6C7A" w:rsidRDefault="00F53A64" w:rsidP="00077D21">
      <w:pPr>
        <w:pStyle w:val="PrrafodeSentencia"/>
        <w:numPr>
          <w:ilvl w:val="0"/>
          <w:numId w:val="0"/>
        </w:numPr>
      </w:pPr>
      <w:r w:rsidRPr="00EA6C7A">
        <w:t xml:space="preserve"> </w:t>
      </w:r>
    </w:p>
    <w:p w14:paraId="785ACC17" w14:textId="77777777" w:rsidR="00214332" w:rsidRPr="00EA6C7A" w:rsidRDefault="00F53A64" w:rsidP="00077D21">
      <w:pPr>
        <w:pStyle w:val="PrrafodeSentencia"/>
        <w:rPr>
          <w:lang w:val="en-US"/>
        </w:rPr>
      </w:pPr>
      <w:r w:rsidRPr="00EA6C7A">
        <w:rPr>
          <w:lang w:val="en-US"/>
        </w:rPr>
        <w:t>Based on the above</w:t>
      </w:r>
      <w:r w:rsidR="00214332" w:rsidRPr="00EA6C7A">
        <w:rPr>
          <w:lang w:val="en-US"/>
        </w:rPr>
        <w:t xml:space="preserve">, </w:t>
      </w:r>
      <w:r w:rsidR="0096418F" w:rsidRPr="00EA6C7A">
        <w:rPr>
          <w:lang w:val="en-US"/>
        </w:rPr>
        <w:t>the Court</w:t>
      </w:r>
      <w:r w:rsidR="00214332" w:rsidRPr="00EA6C7A">
        <w:rPr>
          <w:lang w:val="en-US"/>
        </w:rPr>
        <w:t xml:space="preserve"> consider</w:t>
      </w:r>
      <w:r w:rsidRPr="00EA6C7A">
        <w:rPr>
          <w:lang w:val="en-US"/>
        </w:rPr>
        <w:t>s that</w:t>
      </w:r>
      <w:r w:rsidR="00214332" w:rsidRPr="00EA6C7A">
        <w:rPr>
          <w:lang w:val="en-US"/>
        </w:rPr>
        <w:t xml:space="preserve"> </w:t>
      </w:r>
      <w:r w:rsidR="002F3848" w:rsidRPr="00EA6C7A">
        <w:rPr>
          <w:lang w:val="en-US"/>
        </w:rPr>
        <w:t>the State</w:t>
      </w:r>
      <w:r w:rsidR="00214332" w:rsidRPr="00EA6C7A">
        <w:rPr>
          <w:lang w:val="en-US"/>
        </w:rPr>
        <w:t xml:space="preserve"> </w:t>
      </w:r>
      <w:r w:rsidRPr="00EA6C7A">
        <w:rPr>
          <w:lang w:val="en-US"/>
        </w:rPr>
        <w:t>has not shown that it implemented the necessary measures, pursuant to</w:t>
      </w:r>
      <w:r w:rsidR="00214332" w:rsidRPr="00EA6C7A">
        <w:rPr>
          <w:lang w:val="en-US"/>
        </w:rPr>
        <w:t xml:space="preserve"> </w:t>
      </w:r>
      <w:r w:rsidR="0096418F" w:rsidRPr="00EA6C7A">
        <w:rPr>
          <w:lang w:val="en-US"/>
        </w:rPr>
        <w:t>Article</w:t>
      </w:r>
      <w:r w:rsidR="00214332" w:rsidRPr="00EA6C7A">
        <w:rPr>
          <w:lang w:val="en-US"/>
        </w:rPr>
        <w:t xml:space="preserve"> 2</w:t>
      </w:r>
      <w:r w:rsidR="0096418F" w:rsidRPr="00EA6C7A">
        <w:rPr>
          <w:lang w:val="en-US"/>
        </w:rPr>
        <w:t xml:space="preserve"> of the American Convention</w:t>
      </w:r>
      <w:r w:rsidR="00D948A1" w:rsidRPr="00EA6C7A">
        <w:rPr>
          <w:lang w:val="en-US"/>
        </w:rPr>
        <w:t xml:space="preserve"> and </w:t>
      </w:r>
      <w:r w:rsidR="0096418F" w:rsidRPr="00EA6C7A">
        <w:rPr>
          <w:lang w:val="en-US"/>
        </w:rPr>
        <w:t>Article</w:t>
      </w:r>
      <w:r w:rsidR="00214332" w:rsidRPr="00EA6C7A">
        <w:rPr>
          <w:lang w:val="en-US"/>
        </w:rPr>
        <w:t xml:space="preserve"> 7</w:t>
      </w:r>
      <w:r w:rsidR="0096418F" w:rsidRPr="00EA6C7A">
        <w:rPr>
          <w:lang w:val="en-US"/>
        </w:rPr>
        <w:t xml:space="preserve"> of the </w:t>
      </w:r>
      <w:r w:rsidR="004554C7" w:rsidRPr="00EA6C7A">
        <w:rPr>
          <w:lang w:val="en-US"/>
        </w:rPr>
        <w:t>Convention of Belém</w:t>
      </w:r>
      <w:r w:rsidR="00214332" w:rsidRPr="00EA6C7A">
        <w:rPr>
          <w:lang w:val="en-US"/>
        </w:rPr>
        <w:t xml:space="preserve"> do Pará, </w:t>
      </w:r>
      <w:r w:rsidRPr="00EA6C7A">
        <w:rPr>
          <w:lang w:val="en-US"/>
        </w:rPr>
        <w:t xml:space="preserve">to ensure that the officials responsible for receiving missing person reports had the capacity and the </w:t>
      </w:r>
      <w:r w:rsidR="00AA0FB2" w:rsidRPr="00EA6C7A">
        <w:rPr>
          <w:lang w:val="en-US"/>
        </w:rPr>
        <w:t>sensitivity</w:t>
      </w:r>
      <w:r w:rsidRPr="00EA6C7A">
        <w:rPr>
          <w:lang w:val="en-US"/>
        </w:rPr>
        <w:t xml:space="preserve"> to understand the gravity of such reports in the context of violence against women, or the willingness and training to act immediately and effectively. The Court also concludes that the Guatemalan authorities did not act with the required due diligence to adequately prevent the abuse and death of Claudina Velásquez and did not act as could reasonably be expected in the context of the case and the circumstances of the fact reported. This failure to comply with the obligation of guarantee is particularly serious owing to the context known to the State – which placed women in a special situation of risk – and the specific obligations imposed in cases of </w:t>
      </w:r>
      <w:r w:rsidR="00C12C08" w:rsidRPr="00EA6C7A">
        <w:rPr>
          <w:lang w:val="en-US"/>
        </w:rPr>
        <w:t>violence against women</w:t>
      </w:r>
      <w:r w:rsidR="00214332" w:rsidRPr="00EA6C7A">
        <w:rPr>
          <w:lang w:val="en-US"/>
        </w:rPr>
        <w:t xml:space="preserve"> </w:t>
      </w:r>
      <w:r w:rsidRPr="00EA6C7A">
        <w:rPr>
          <w:lang w:val="en-US"/>
        </w:rPr>
        <w:t>by</w:t>
      </w:r>
      <w:r w:rsidR="00214332" w:rsidRPr="00EA6C7A">
        <w:rPr>
          <w:lang w:val="en-US"/>
        </w:rPr>
        <w:t xml:space="preserve"> </w:t>
      </w:r>
      <w:r w:rsidR="0096418F" w:rsidRPr="00EA6C7A">
        <w:rPr>
          <w:lang w:val="en-US"/>
        </w:rPr>
        <w:t>Article</w:t>
      </w:r>
      <w:r w:rsidR="00214332" w:rsidRPr="00EA6C7A">
        <w:rPr>
          <w:lang w:val="en-US"/>
        </w:rPr>
        <w:t xml:space="preserve"> 7</w:t>
      </w:r>
      <w:r w:rsidR="0096418F" w:rsidRPr="00EA6C7A">
        <w:rPr>
          <w:lang w:val="en-US"/>
        </w:rPr>
        <w:t xml:space="preserve"> of the </w:t>
      </w:r>
      <w:r w:rsidR="004554C7" w:rsidRPr="00EA6C7A">
        <w:rPr>
          <w:lang w:val="en-US"/>
        </w:rPr>
        <w:t>Convention of Belém</w:t>
      </w:r>
      <w:r w:rsidR="00214332" w:rsidRPr="00EA6C7A">
        <w:rPr>
          <w:lang w:val="en-US"/>
        </w:rPr>
        <w:t xml:space="preserve"> do Pará. </w:t>
      </w:r>
    </w:p>
    <w:p w14:paraId="4E548365" w14:textId="77777777" w:rsidR="00214332" w:rsidRPr="00EA6C7A" w:rsidRDefault="00214332" w:rsidP="00077D21">
      <w:pPr>
        <w:pStyle w:val="PrrafodeSentencia"/>
        <w:numPr>
          <w:ilvl w:val="0"/>
          <w:numId w:val="0"/>
        </w:numPr>
        <w:rPr>
          <w:lang w:val="en-US"/>
        </w:rPr>
      </w:pPr>
    </w:p>
    <w:p w14:paraId="1B41890B" w14:textId="77777777" w:rsidR="00214332" w:rsidRPr="00EA6C7A" w:rsidRDefault="00AA0FB2" w:rsidP="00077D21">
      <w:pPr>
        <w:pStyle w:val="PrrafodeSentencia"/>
        <w:rPr>
          <w:i/>
          <w:sz w:val="16"/>
          <w:lang w:val="en-US"/>
        </w:rPr>
      </w:pPr>
      <w:r w:rsidRPr="00EA6C7A">
        <w:rPr>
          <w:lang w:val="en-US"/>
        </w:rPr>
        <w:t>Based on</w:t>
      </w:r>
      <w:r w:rsidR="00F53A64" w:rsidRPr="00EA6C7A">
        <w:rPr>
          <w:lang w:val="en-US"/>
        </w:rPr>
        <w:t xml:space="preserve"> all the foregoing, the Court finds that the State violated its obligation to ensure the free and full exercise </w:t>
      </w:r>
      <w:r w:rsidR="00123BD3" w:rsidRPr="00EA6C7A">
        <w:rPr>
          <w:lang w:val="en-US"/>
        </w:rPr>
        <w:t xml:space="preserve">of the </w:t>
      </w:r>
      <w:r w:rsidR="00F53A64" w:rsidRPr="00EA6C7A">
        <w:rPr>
          <w:lang w:val="en-US"/>
        </w:rPr>
        <w:t>rights to life</w:t>
      </w:r>
      <w:r w:rsidR="00214332" w:rsidRPr="00EA6C7A">
        <w:rPr>
          <w:lang w:val="en-US"/>
        </w:rPr>
        <w:t xml:space="preserve"> </w:t>
      </w:r>
      <w:r w:rsidR="004C1E19" w:rsidRPr="00EA6C7A">
        <w:rPr>
          <w:lang w:val="en-US"/>
        </w:rPr>
        <w:t>and personal</w:t>
      </w:r>
      <w:r w:rsidR="00515C34" w:rsidRPr="00EA6C7A">
        <w:rPr>
          <w:lang w:val="en-US"/>
        </w:rPr>
        <w:t xml:space="preserve"> integrity</w:t>
      </w:r>
      <w:r w:rsidR="00214332" w:rsidRPr="00EA6C7A">
        <w:rPr>
          <w:lang w:val="en-US"/>
        </w:rPr>
        <w:t xml:space="preserve"> </w:t>
      </w:r>
      <w:r w:rsidR="00F53A64" w:rsidRPr="00EA6C7A">
        <w:rPr>
          <w:lang w:val="en-US"/>
        </w:rPr>
        <w:t>recognized in</w:t>
      </w:r>
      <w:r w:rsidR="00214332" w:rsidRPr="00EA6C7A">
        <w:rPr>
          <w:lang w:val="en-US"/>
        </w:rPr>
        <w:t xml:space="preserve"> </w:t>
      </w:r>
      <w:r w:rsidR="0096418F" w:rsidRPr="00EA6C7A">
        <w:rPr>
          <w:lang w:val="en-US"/>
        </w:rPr>
        <w:t>Articles</w:t>
      </w:r>
      <w:r w:rsidR="0092568A" w:rsidRPr="00EA6C7A">
        <w:rPr>
          <w:lang w:val="en-US"/>
        </w:rPr>
        <w:t xml:space="preserve"> 4(1)</w:t>
      </w:r>
      <w:r w:rsidR="00D948A1" w:rsidRPr="00EA6C7A">
        <w:rPr>
          <w:lang w:val="en-US"/>
        </w:rPr>
        <w:t xml:space="preserve"> and</w:t>
      </w:r>
      <w:r w:rsidR="00F53A64" w:rsidRPr="00EA6C7A">
        <w:rPr>
          <w:lang w:val="en-US"/>
        </w:rPr>
        <w:t xml:space="preserve"> 5(1) </w:t>
      </w:r>
      <w:r w:rsidR="0096418F" w:rsidRPr="00EA6C7A">
        <w:rPr>
          <w:lang w:val="en-US"/>
        </w:rPr>
        <w:t>of the American Convention</w:t>
      </w:r>
      <w:r w:rsidR="00214332" w:rsidRPr="00EA6C7A">
        <w:rPr>
          <w:lang w:val="en-US"/>
        </w:rPr>
        <w:t xml:space="preserve">, </w:t>
      </w:r>
      <w:r w:rsidR="00F53A64" w:rsidRPr="00EA6C7A">
        <w:rPr>
          <w:lang w:val="en-US"/>
        </w:rPr>
        <w:t xml:space="preserve">in relation to the general obligation to ensure rights established in </w:t>
      </w:r>
      <w:r w:rsidR="00515C34" w:rsidRPr="00EA6C7A">
        <w:rPr>
          <w:lang w:val="en-US"/>
        </w:rPr>
        <w:t>Article 1(1)</w:t>
      </w:r>
      <w:r w:rsidR="00D948A1" w:rsidRPr="00EA6C7A">
        <w:rPr>
          <w:lang w:val="en-US"/>
        </w:rPr>
        <w:t xml:space="preserve"> and </w:t>
      </w:r>
      <w:r w:rsidR="00F53A64" w:rsidRPr="00EA6C7A">
        <w:rPr>
          <w:lang w:val="en-US"/>
        </w:rPr>
        <w:t>also in relation to the obligation to adopt measures of domestic law established in</w:t>
      </w:r>
      <w:r w:rsidR="00214332" w:rsidRPr="00EA6C7A">
        <w:rPr>
          <w:lang w:val="en-US"/>
        </w:rPr>
        <w:t xml:space="preserve"> </w:t>
      </w:r>
      <w:r w:rsidR="0096418F" w:rsidRPr="00EA6C7A">
        <w:rPr>
          <w:lang w:val="en-US"/>
        </w:rPr>
        <w:t>Article</w:t>
      </w:r>
      <w:r w:rsidR="00214332" w:rsidRPr="00EA6C7A">
        <w:rPr>
          <w:lang w:val="en-US"/>
        </w:rPr>
        <w:t xml:space="preserve"> 2 </w:t>
      </w:r>
      <w:r w:rsidR="00F53A64" w:rsidRPr="00EA6C7A">
        <w:rPr>
          <w:lang w:val="en-US"/>
        </w:rPr>
        <w:t xml:space="preserve">of this instrument, as well as the obligations established in </w:t>
      </w:r>
      <w:r w:rsidR="0096418F" w:rsidRPr="00EA6C7A">
        <w:rPr>
          <w:lang w:val="en-US"/>
        </w:rPr>
        <w:t>Article</w:t>
      </w:r>
      <w:r w:rsidR="00214332" w:rsidRPr="00EA6C7A">
        <w:rPr>
          <w:lang w:val="en-US"/>
        </w:rPr>
        <w:t xml:space="preserve"> 7</w:t>
      </w:r>
      <w:r w:rsidR="0096418F" w:rsidRPr="00EA6C7A">
        <w:rPr>
          <w:lang w:val="en-US"/>
        </w:rPr>
        <w:t xml:space="preserve"> of the </w:t>
      </w:r>
      <w:r w:rsidR="004554C7" w:rsidRPr="00EA6C7A">
        <w:rPr>
          <w:lang w:val="en-US"/>
        </w:rPr>
        <w:t>Convention of Belém</w:t>
      </w:r>
      <w:r w:rsidR="00214332" w:rsidRPr="00EA6C7A">
        <w:rPr>
          <w:lang w:val="en-US"/>
        </w:rPr>
        <w:t xml:space="preserve"> do Pará, </w:t>
      </w:r>
      <w:r w:rsidR="00123BD3" w:rsidRPr="00EA6C7A">
        <w:rPr>
          <w:lang w:val="en-US"/>
        </w:rPr>
        <w:t>to the detriment of</w:t>
      </w:r>
      <w:r w:rsidR="00214332" w:rsidRPr="00EA6C7A">
        <w:rPr>
          <w:lang w:val="en-US"/>
        </w:rPr>
        <w:t xml:space="preserve"> Claudina Isabel Velásquez Paiz.</w:t>
      </w:r>
    </w:p>
    <w:p w14:paraId="3C332C2F" w14:textId="77777777" w:rsidR="00214332" w:rsidRPr="00EA6C7A" w:rsidRDefault="00214332" w:rsidP="00077D21">
      <w:pPr>
        <w:pStyle w:val="PrrafodeSentencia"/>
        <w:numPr>
          <w:ilvl w:val="0"/>
          <w:numId w:val="0"/>
        </w:numPr>
        <w:rPr>
          <w:lang w:val="en-US"/>
        </w:rPr>
      </w:pPr>
    </w:p>
    <w:p w14:paraId="1232E1F7" w14:textId="77777777" w:rsidR="00214332" w:rsidRPr="00EA6C7A" w:rsidRDefault="006D54A6" w:rsidP="00077D21">
      <w:pPr>
        <w:pStyle w:val="PrrafodeSentencia"/>
        <w:rPr>
          <w:iCs/>
          <w:lang w:val="en-US"/>
        </w:rPr>
      </w:pPr>
      <w:r w:rsidRPr="00EA6C7A">
        <w:rPr>
          <w:lang w:val="en-US"/>
        </w:rPr>
        <w:t xml:space="preserve">That said, in this case, the body of </w:t>
      </w:r>
      <w:r w:rsidR="00214332" w:rsidRPr="00EA6C7A">
        <w:rPr>
          <w:lang w:val="en-US"/>
        </w:rPr>
        <w:t xml:space="preserve">Claudina Velásquez </w:t>
      </w:r>
      <w:r w:rsidRPr="00EA6C7A">
        <w:rPr>
          <w:lang w:val="en-US"/>
        </w:rPr>
        <w:t xml:space="preserve">was found with indications that she had possibly been subjected to sexual violence and/or rape </w:t>
      </w:r>
      <w:r w:rsidR="00214332" w:rsidRPr="00EA6C7A">
        <w:rPr>
          <w:lang w:val="en-US"/>
        </w:rPr>
        <w:t>(</w:t>
      </w:r>
      <w:r w:rsidR="00214332" w:rsidRPr="00EA6C7A">
        <w:rPr>
          <w:i/>
          <w:lang w:val="en-US"/>
        </w:rPr>
        <w:t xml:space="preserve">supra </w:t>
      </w:r>
      <w:r w:rsidR="002F3848" w:rsidRPr="00EA6C7A">
        <w:rPr>
          <w:lang w:val="en-US"/>
        </w:rPr>
        <w:t>para.</w:t>
      </w:r>
      <w:r w:rsidR="00214332" w:rsidRPr="00EA6C7A">
        <w:rPr>
          <w:lang w:val="en-US"/>
        </w:rPr>
        <w:t xml:space="preserve"> 56). </w:t>
      </w:r>
      <w:r w:rsidRPr="00EA6C7A">
        <w:rPr>
          <w:lang w:val="en-US"/>
        </w:rPr>
        <w:t>In this regard, i</w:t>
      </w:r>
      <w:r w:rsidR="00123BD3" w:rsidRPr="00EA6C7A">
        <w:rPr>
          <w:lang w:val="en-US"/>
        </w:rPr>
        <w:t>n Chapter</w:t>
      </w:r>
      <w:r w:rsidR="00214332" w:rsidRPr="00EA6C7A">
        <w:rPr>
          <w:lang w:val="en-US"/>
        </w:rPr>
        <w:t xml:space="preserve"> VII.II </w:t>
      </w:r>
      <w:r w:rsidRPr="00EA6C7A">
        <w:rPr>
          <w:lang w:val="en-US"/>
        </w:rPr>
        <w:t>of this judgment, the Court will analyze the alleged responsibility of the State for the failure to investigate the possible sexual violence. Accordingly, it does not find it necessary to analyze the violation</w:t>
      </w:r>
      <w:r w:rsidRPr="00EA6C7A">
        <w:rPr>
          <w:iCs/>
          <w:lang w:val="en-US"/>
        </w:rPr>
        <w:t xml:space="preserve"> </w:t>
      </w:r>
      <w:r w:rsidR="001914FC" w:rsidRPr="00EA6C7A">
        <w:rPr>
          <w:lang w:val="en-US"/>
        </w:rPr>
        <w:t>of Article</w:t>
      </w:r>
      <w:r w:rsidR="00214332" w:rsidRPr="00EA6C7A">
        <w:rPr>
          <w:lang w:val="en-US"/>
        </w:rPr>
        <w:t xml:space="preserve"> 11</w:t>
      </w:r>
      <w:r w:rsidR="0096418F" w:rsidRPr="00EA6C7A">
        <w:rPr>
          <w:lang w:val="en-US"/>
        </w:rPr>
        <w:t xml:space="preserve"> of the American Convention</w:t>
      </w:r>
      <w:r w:rsidR="00214332" w:rsidRPr="00EA6C7A">
        <w:rPr>
          <w:lang w:val="en-US"/>
        </w:rPr>
        <w:t xml:space="preserve">, </w:t>
      </w:r>
      <w:r w:rsidR="00123BD3" w:rsidRPr="00EA6C7A">
        <w:rPr>
          <w:lang w:val="en-US"/>
        </w:rPr>
        <w:t>to the detriment of</w:t>
      </w:r>
      <w:r w:rsidR="00214332" w:rsidRPr="00EA6C7A">
        <w:rPr>
          <w:lang w:val="en-US"/>
        </w:rPr>
        <w:t xml:space="preserve"> Claudina Velásquez, </w:t>
      </w:r>
      <w:r w:rsidRPr="00EA6C7A">
        <w:rPr>
          <w:lang w:val="en-US"/>
        </w:rPr>
        <w:t xml:space="preserve">which </w:t>
      </w:r>
      <w:r w:rsidR="00E43A75" w:rsidRPr="00EA6C7A">
        <w:rPr>
          <w:lang w:val="en-US"/>
        </w:rPr>
        <w:t>the representatives</w:t>
      </w:r>
      <w:r w:rsidRPr="00EA6C7A">
        <w:rPr>
          <w:lang w:val="en-US"/>
        </w:rPr>
        <w:t xml:space="preserve"> have alleged in the context of this chapter.</w:t>
      </w:r>
    </w:p>
    <w:p w14:paraId="451380DE" w14:textId="77777777" w:rsidR="003C5C90" w:rsidRPr="00EA6C7A" w:rsidRDefault="003C5C90" w:rsidP="003C5C90">
      <w:pPr>
        <w:autoSpaceDE w:val="0"/>
        <w:autoSpaceDN w:val="0"/>
        <w:adjustRightInd w:val="0"/>
        <w:spacing w:after="0" w:line="240" w:lineRule="auto"/>
        <w:jc w:val="both"/>
        <w:rPr>
          <w:rFonts w:ascii="Verdana" w:eastAsia="Calibri" w:hAnsi="Verdana" w:cs="Arial"/>
          <w:sz w:val="16"/>
          <w:szCs w:val="20"/>
          <w:lang w:val="en-US"/>
        </w:rPr>
      </w:pPr>
    </w:p>
    <w:p w14:paraId="1843B113" w14:textId="77777777" w:rsidR="0017063C" w:rsidRPr="00EA6C7A" w:rsidRDefault="0017063C" w:rsidP="0017063C">
      <w:pPr>
        <w:pStyle w:val="Sentencia2"/>
        <w:spacing w:line="240" w:lineRule="auto"/>
        <w:jc w:val="both"/>
        <w:rPr>
          <w:rFonts w:eastAsia="Calibri"/>
          <w:lang w:val="en-US"/>
        </w:rPr>
      </w:pPr>
      <w:bookmarkStart w:id="71" w:name="_Toc26002319"/>
      <w:r w:rsidRPr="00EA6C7A">
        <w:rPr>
          <w:rFonts w:eastAsia="Calibri"/>
          <w:lang w:val="en-US"/>
        </w:rPr>
        <w:lastRenderedPageBreak/>
        <w:t>VII.II</w:t>
      </w:r>
      <w:bookmarkStart w:id="72" w:name="_Toc431801389"/>
      <w:r w:rsidRPr="00EA6C7A">
        <w:rPr>
          <w:rFonts w:eastAsia="Calibri"/>
          <w:lang w:val="en-US"/>
        </w:rPr>
        <w:t xml:space="preserve">. </w:t>
      </w:r>
      <w:r w:rsidR="00F4629D" w:rsidRPr="00EA6C7A">
        <w:rPr>
          <w:rFonts w:eastAsia="Calibri"/>
          <w:lang w:val="en-US"/>
        </w:rPr>
        <w:t>Rights to judicial guarantees,</w:t>
      </w:r>
      <w:r w:rsidRPr="00EA6C7A">
        <w:rPr>
          <w:rStyle w:val="Refdenotaalpie"/>
          <w:rFonts w:eastAsia="Calibri"/>
          <w:lang w:val="en-US"/>
        </w:rPr>
        <w:footnoteReference w:id="216"/>
      </w:r>
      <w:r w:rsidRPr="00EA6C7A">
        <w:rPr>
          <w:rFonts w:eastAsia="Calibri"/>
          <w:lang w:val="en-US"/>
        </w:rPr>
        <w:t xml:space="preserve"> </w:t>
      </w:r>
      <w:r w:rsidR="00F4629D" w:rsidRPr="00EA6C7A">
        <w:rPr>
          <w:rFonts w:eastAsia="Calibri"/>
          <w:lang w:val="en-US"/>
        </w:rPr>
        <w:t>judicial protection</w:t>
      </w:r>
      <w:r w:rsidRPr="00EA6C7A">
        <w:rPr>
          <w:rStyle w:val="Refdenotaalpie"/>
          <w:rFonts w:eastAsia="Calibri"/>
          <w:lang w:val="en-US"/>
        </w:rPr>
        <w:footnoteReference w:id="217"/>
      </w:r>
      <w:r w:rsidR="00D948A1" w:rsidRPr="00EA6C7A">
        <w:rPr>
          <w:rFonts w:eastAsia="Calibri"/>
          <w:lang w:val="en-US"/>
        </w:rPr>
        <w:t xml:space="preserve"> and</w:t>
      </w:r>
      <w:r w:rsidR="00F4629D" w:rsidRPr="00EA6C7A">
        <w:rPr>
          <w:rFonts w:eastAsia="Calibri"/>
          <w:lang w:val="en-US"/>
        </w:rPr>
        <w:t xml:space="preserve"> equality before the law,</w:t>
      </w:r>
      <w:r w:rsidRPr="00EA6C7A">
        <w:rPr>
          <w:rStyle w:val="Refdenotaalpie"/>
          <w:rFonts w:eastAsia="Calibri"/>
          <w:lang w:val="en-US"/>
        </w:rPr>
        <w:footnoteReference w:id="218"/>
      </w:r>
      <w:r w:rsidRPr="00EA6C7A">
        <w:rPr>
          <w:rFonts w:eastAsia="Calibri"/>
          <w:lang w:val="en-US"/>
        </w:rPr>
        <w:t xml:space="preserve"> </w:t>
      </w:r>
      <w:r w:rsidR="00123BD3" w:rsidRPr="00EA6C7A">
        <w:rPr>
          <w:rFonts w:eastAsia="Calibri"/>
          <w:lang w:val="en-US"/>
        </w:rPr>
        <w:t>in relation to Articles 1(1)</w:t>
      </w:r>
      <w:r w:rsidR="00D948A1" w:rsidRPr="00EA6C7A">
        <w:rPr>
          <w:rFonts w:eastAsia="Calibri"/>
          <w:lang w:val="en-US"/>
        </w:rPr>
        <w:t xml:space="preserve"> and </w:t>
      </w:r>
      <w:r w:rsidRPr="00EA6C7A">
        <w:rPr>
          <w:rFonts w:eastAsia="Calibri"/>
          <w:lang w:val="en-US"/>
        </w:rPr>
        <w:t>2</w:t>
      </w:r>
      <w:r w:rsidR="0096418F" w:rsidRPr="00EA6C7A">
        <w:rPr>
          <w:rFonts w:eastAsia="Calibri"/>
          <w:lang w:val="en-US"/>
        </w:rPr>
        <w:t xml:space="preserve"> of the American Convention</w:t>
      </w:r>
      <w:r w:rsidR="00D948A1" w:rsidRPr="00EA6C7A">
        <w:rPr>
          <w:rFonts w:eastAsia="Calibri"/>
          <w:lang w:val="en-US"/>
        </w:rPr>
        <w:t xml:space="preserve"> and </w:t>
      </w:r>
      <w:r w:rsidR="0096418F" w:rsidRPr="00EA6C7A">
        <w:rPr>
          <w:rFonts w:eastAsia="Calibri"/>
          <w:lang w:val="en-US"/>
        </w:rPr>
        <w:t>Article</w:t>
      </w:r>
      <w:r w:rsidRPr="00EA6C7A">
        <w:rPr>
          <w:rFonts w:eastAsia="Calibri"/>
          <w:lang w:val="en-US"/>
        </w:rPr>
        <w:t xml:space="preserve"> 7</w:t>
      </w:r>
      <w:r w:rsidR="0096418F" w:rsidRPr="00EA6C7A">
        <w:rPr>
          <w:rFonts w:eastAsia="Calibri"/>
          <w:lang w:val="en-US"/>
        </w:rPr>
        <w:t xml:space="preserve"> of the </w:t>
      </w:r>
      <w:r w:rsidR="004554C7" w:rsidRPr="00EA6C7A">
        <w:rPr>
          <w:rFonts w:eastAsia="Calibri"/>
          <w:lang w:val="en-US"/>
        </w:rPr>
        <w:t>Convention of Belém</w:t>
      </w:r>
      <w:r w:rsidRPr="00EA6C7A">
        <w:rPr>
          <w:rFonts w:eastAsia="Calibri"/>
          <w:lang w:val="en-US"/>
        </w:rPr>
        <w:t xml:space="preserve"> do Pará, </w:t>
      </w:r>
      <w:r w:rsidR="00123BD3" w:rsidRPr="00EA6C7A">
        <w:rPr>
          <w:rFonts w:eastAsia="Calibri"/>
          <w:lang w:val="en-US"/>
        </w:rPr>
        <w:t>to the detriment of</w:t>
      </w:r>
      <w:r w:rsidRPr="00EA6C7A">
        <w:rPr>
          <w:rFonts w:eastAsia="Calibri"/>
          <w:lang w:val="en-US"/>
        </w:rPr>
        <w:t xml:space="preserve"> </w:t>
      </w:r>
      <w:bookmarkEnd w:id="72"/>
      <w:r w:rsidR="00123BD3" w:rsidRPr="00EA6C7A">
        <w:rPr>
          <w:rFonts w:eastAsia="Calibri"/>
          <w:lang w:val="en-US"/>
        </w:rPr>
        <w:t>the next of kin of</w:t>
      </w:r>
      <w:r w:rsidRPr="00EA6C7A">
        <w:rPr>
          <w:rFonts w:eastAsia="Calibri"/>
          <w:lang w:val="en-US"/>
        </w:rPr>
        <w:t xml:space="preserve"> Claudina Velásquez Paiz</w:t>
      </w:r>
      <w:bookmarkEnd w:id="71"/>
    </w:p>
    <w:p w14:paraId="77ECD302" w14:textId="77777777" w:rsidR="0017063C" w:rsidRPr="00EA6C7A" w:rsidRDefault="0017063C" w:rsidP="0017063C">
      <w:pPr>
        <w:pStyle w:val="Sentencia3"/>
        <w:ind w:left="0"/>
        <w:rPr>
          <w:rFonts w:eastAsia="Calibri"/>
          <w:b/>
          <w:sz w:val="16"/>
          <w:lang w:val="en-US"/>
        </w:rPr>
      </w:pPr>
    </w:p>
    <w:p w14:paraId="5367DAE7" w14:textId="77777777" w:rsidR="0017063C" w:rsidRPr="00EA6C7A" w:rsidRDefault="0017063C" w:rsidP="0017063C">
      <w:pPr>
        <w:pStyle w:val="Sentencia3"/>
        <w:rPr>
          <w:rFonts w:eastAsia="Calibri"/>
          <w:b/>
          <w:i w:val="0"/>
          <w:lang w:val="en-US"/>
        </w:rPr>
      </w:pPr>
      <w:bookmarkStart w:id="73" w:name="_Toc26002320"/>
      <w:r w:rsidRPr="00EA6C7A">
        <w:rPr>
          <w:rFonts w:eastAsia="Calibri"/>
          <w:b/>
          <w:i w:val="0"/>
          <w:lang w:val="en-US"/>
        </w:rPr>
        <w:t xml:space="preserve">A. </w:t>
      </w:r>
      <w:r w:rsidR="001238A7" w:rsidRPr="00EA6C7A">
        <w:rPr>
          <w:rFonts w:eastAsia="Calibri"/>
          <w:b/>
          <w:i w:val="0"/>
          <w:lang w:val="en-US"/>
        </w:rPr>
        <w:t>Arguments</w:t>
      </w:r>
      <w:r w:rsidR="0096418F" w:rsidRPr="00EA6C7A">
        <w:rPr>
          <w:rFonts w:eastAsia="Calibri"/>
          <w:b/>
          <w:i w:val="0"/>
          <w:lang w:val="en-US"/>
        </w:rPr>
        <w:t xml:space="preserve"> of the Commission</w:t>
      </w:r>
      <w:r w:rsidR="00D948A1" w:rsidRPr="00EA6C7A">
        <w:rPr>
          <w:rFonts w:eastAsia="Calibri"/>
          <w:b/>
          <w:i w:val="0"/>
          <w:lang w:val="en-US"/>
        </w:rPr>
        <w:t xml:space="preserve"> and </w:t>
      </w:r>
      <w:r w:rsidR="00711077" w:rsidRPr="00EA6C7A">
        <w:rPr>
          <w:rFonts w:eastAsia="Calibri"/>
          <w:b/>
          <w:i w:val="0"/>
          <w:lang w:val="en-US"/>
        </w:rPr>
        <w:t>of the parties</w:t>
      </w:r>
      <w:bookmarkEnd w:id="73"/>
    </w:p>
    <w:p w14:paraId="5245AE67" w14:textId="77777777" w:rsidR="0017063C" w:rsidRPr="00EA6C7A" w:rsidRDefault="0017063C" w:rsidP="0017063C">
      <w:pPr>
        <w:autoSpaceDE w:val="0"/>
        <w:autoSpaceDN w:val="0"/>
        <w:adjustRightInd w:val="0"/>
        <w:spacing w:after="0" w:line="240" w:lineRule="auto"/>
        <w:jc w:val="both"/>
        <w:rPr>
          <w:rFonts w:ascii="Verdana" w:eastAsia="Calibri" w:hAnsi="Verdana" w:cs="Arial"/>
          <w:b/>
          <w:sz w:val="16"/>
          <w:szCs w:val="20"/>
          <w:lang w:val="en-US"/>
        </w:rPr>
      </w:pPr>
    </w:p>
    <w:p w14:paraId="56408121" w14:textId="77777777" w:rsidR="0017063C" w:rsidRPr="00EA6C7A" w:rsidRDefault="0096418F" w:rsidP="00814D2E">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cs="Arial"/>
          <w:sz w:val="20"/>
          <w:szCs w:val="20"/>
          <w:lang w:val="en-US" w:eastAsia="es-MX"/>
        </w:rPr>
        <w:t xml:space="preserve">The </w:t>
      </w:r>
      <w:r w:rsidRPr="00EA6C7A">
        <w:rPr>
          <w:rFonts w:ascii="Verdana" w:eastAsia="Batang" w:hAnsi="Verdana" w:cs="Arial"/>
          <w:b/>
          <w:bCs/>
          <w:i/>
          <w:iCs/>
          <w:sz w:val="20"/>
          <w:szCs w:val="20"/>
          <w:lang w:val="en-US" w:eastAsia="es-MX"/>
        </w:rPr>
        <w:t>Commission</w:t>
      </w:r>
      <w:r w:rsidR="0017063C" w:rsidRPr="00EA6C7A">
        <w:rPr>
          <w:rFonts w:ascii="Verdana" w:eastAsia="Batang" w:hAnsi="Verdana" w:cs="Arial"/>
          <w:sz w:val="20"/>
          <w:szCs w:val="20"/>
          <w:lang w:val="en-US" w:eastAsia="es-MX"/>
        </w:rPr>
        <w:t xml:space="preserve"> </w:t>
      </w:r>
      <w:r w:rsidR="0017063C" w:rsidRPr="00EA6C7A">
        <w:rPr>
          <w:rFonts w:ascii="Verdana" w:eastAsia="Batang" w:hAnsi="Verdana"/>
          <w:bCs/>
          <w:sz w:val="20"/>
          <w:szCs w:val="20"/>
          <w:lang w:val="en-US" w:eastAsia="es-MX"/>
        </w:rPr>
        <w:t>argu</w:t>
      </w:r>
      <w:r w:rsidR="00814D2E" w:rsidRPr="00EA6C7A">
        <w:rPr>
          <w:rFonts w:ascii="Verdana" w:eastAsia="Batang" w:hAnsi="Verdana"/>
          <w:bCs/>
          <w:sz w:val="20"/>
          <w:szCs w:val="20"/>
          <w:lang w:val="en-US" w:eastAsia="es-MX"/>
        </w:rPr>
        <w:t xml:space="preserve">ed that, at the time of the facts, there was a context of </w:t>
      </w:r>
      <w:r w:rsidR="00C12C08" w:rsidRPr="00EA6C7A">
        <w:rPr>
          <w:rFonts w:ascii="Verdana" w:eastAsia="Batang" w:hAnsi="Verdana" w:cs="Arial"/>
          <w:sz w:val="20"/>
          <w:szCs w:val="20"/>
          <w:lang w:val="en-US" w:eastAsia="es-MX"/>
        </w:rPr>
        <w:t>violence against women</w:t>
      </w:r>
      <w:r w:rsidR="00C2786C" w:rsidRPr="00EA6C7A">
        <w:rPr>
          <w:rFonts w:ascii="Verdana" w:eastAsia="Batang" w:hAnsi="Verdana" w:cs="Arial"/>
          <w:sz w:val="20"/>
          <w:szCs w:val="20"/>
          <w:lang w:val="en-US" w:eastAsia="es-MX"/>
        </w:rPr>
        <w:t xml:space="preserve">, </w:t>
      </w:r>
      <w:r w:rsidR="00814D2E" w:rsidRPr="00EA6C7A">
        <w:rPr>
          <w:rFonts w:ascii="Verdana" w:eastAsia="Batang" w:hAnsi="Verdana" w:cs="Arial"/>
          <w:sz w:val="20"/>
          <w:szCs w:val="20"/>
          <w:lang w:val="en-US" w:eastAsia="es-MX"/>
        </w:rPr>
        <w:t xml:space="preserve">known </w:t>
      </w:r>
      <w:r w:rsidR="00C2786C" w:rsidRPr="00EA6C7A">
        <w:rPr>
          <w:rFonts w:ascii="Verdana" w:eastAsia="Batang" w:hAnsi="Verdana" w:cs="Arial"/>
          <w:sz w:val="20"/>
          <w:szCs w:val="20"/>
          <w:lang w:val="en-US" w:eastAsia="es-MX"/>
        </w:rPr>
        <w:t>to</w:t>
      </w:r>
      <w:r w:rsidR="00814D2E" w:rsidRPr="00EA6C7A">
        <w:rPr>
          <w:rFonts w:ascii="Verdana" w:eastAsia="Batang" w:hAnsi="Verdana" w:cs="Arial"/>
          <w:sz w:val="20"/>
          <w:szCs w:val="20"/>
          <w:lang w:val="en-US" w:eastAsia="es-MX"/>
        </w:rPr>
        <w:t xml:space="preserve"> the State, in which acts of violence remained unpunished. Also, </w:t>
      </w:r>
      <w:r w:rsidR="00C2786C" w:rsidRPr="00EA6C7A">
        <w:rPr>
          <w:rFonts w:ascii="Verdana" w:eastAsia="Batang" w:hAnsi="Verdana" w:cs="Arial"/>
          <w:sz w:val="20"/>
          <w:szCs w:val="20"/>
          <w:lang w:val="en-US" w:eastAsia="es-MX"/>
        </w:rPr>
        <w:t>the way in which</w:t>
      </w:r>
      <w:r w:rsidR="00814D2E" w:rsidRPr="00EA6C7A">
        <w:rPr>
          <w:rFonts w:ascii="Verdana" w:eastAsia="Batang" w:hAnsi="Verdana" w:cs="Arial"/>
          <w:sz w:val="20"/>
          <w:szCs w:val="20"/>
          <w:lang w:val="en-US" w:eastAsia="es-MX"/>
        </w:rPr>
        <w:t xml:space="preserve"> </w:t>
      </w:r>
      <w:r w:rsidR="00814D2E" w:rsidRPr="00EA6C7A">
        <w:rPr>
          <w:rFonts w:ascii="Verdana" w:hAnsi="Verdana"/>
          <w:sz w:val="20"/>
          <w:szCs w:val="20"/>
          <w:lang w:val="en-US"/>
        </w:rPr>
        <w:t>discriminatory stereotyp</w:t>
      </w:r>
      <w:r w:rsidR="00C2786C" w:rsidRPr="00EA6C7A">
        <w:rPr>
          <w:rFonts w:ascii="Verdana" w:hAnsi="Verdana"/>
          <w:sz w:val="20"/>
          <w:szCs w:val="20"/>
          <w:lang w:val="en-US"/>
        </w:rPr>
        <w:t>ing</w:t>
      </w:r>
      <w:r w:rsidR="00814D2E" w:rsidRPr="00EA6C7A">
        <w:rPr>
          <w:rFonts w:ascii="Verdana" w:hAnsi="Verdana"/>
          <w:sz w:val="20"/>
          <w:szCs w:val="20"/>
          <w:lang w:val="en-US"/>
        </w:rPr>
        <w:t xml:space="preserve"> operated during investigations</w:t>
      </w:r>
      <w:r w:rsidR="00C2786C" w:rsidRPr="00EA6C7A">
        <w:rPr>
          <w:rFonts w:ascii="Verdana" w:eastAsia="Batang" w:hAnsi="Verdana" w:cs="Arial"/>
          <w:sz w:val="20"/>
          <w:szCs w:val="20"/>
          <w:lang w:val="en-US" w:eastAsia="es-MX"/>
        </w:rPr>
        <w:t xml:space="preserve"> had already been recorded</w:t>
      </w:r>
      <w:r w:rsidR="00814D2E" w:rsidRPr="00EA6C7A">
        <w:rPr>
          <w:rFonts w:ascii="Verdana" w:hAnsi="Verdana"/>
          <w:sz w:val="20"/>
          <w:szCs w:val="20"/>
          <w:lang w:val="en-US"/>
        </w:rPr>
        <w:t xml:space="preserve">. In the specific case, </w:t>
      </w:r>
      <w:r w:rsidR="00C2786C" w:rsidRPr="00EA6C7A">
        <w:rPr>
          <w:rFonts w:ascii="Verdana" w:hAnsi="Verdana"/>
          <w:sz w:val="20"/>
          <w:szCs w:val="20"/>
          <w:lang w:val="en-US"/>
        </w:rPr>
        <w:t>the Commission</w:t>
      </w:r>
      <w:r w:rsidR="00814D2E" w:rsidRPr="00EA6C7A">
        <w:rPr>
          <w:rFonts w:ascii="Verdana" w:hAnsi="Verdana"/>
          <w:sz w:val="20"/>
          <w:szCs w:val="20"/>
          <w:lang w:val="en-US"/>
        </w:rPr>
        <w:t xml:space="preserve"> identified a series of irregularities during the investigation into the death of</w:t>
      </w:r>
      <w:r w:rsidR="00814D2E" w:rsidRPr="00EA6C7A">
        <w:rPr>
          <w:rFonts w:ascii="Verdana" w:eastAsia="Batang" w:hAnsi="Verdana" w:cs="Arial"/>
          <w:sz w:val="20"/>
          <w:szCs w:val="20"/>
          <w:lang w:val="en-US" w:eastAsia="es-MX"/>
        </w:rPr>
        <w:t xml:space="preserve"> </w:t>
      </w:r>
      <w:r w:rsidR="0017063C" w:rsidRPr="00EA6C7A">
        <w:rPr>
          <w:rFonts w:ascii="Verdana" w:eastAsia="Calibri" w:hAnsi="Verdana" w:cs="Arial"/>
          <w:sz w:val="20"/>
          <w:szCs w:val="20"/>
          <w:lang w:val="en-US" w:eastAsia="es-MX"/>
        </w:rPr>
        <w:t>Claudina Velásquez</w:t>
      </w:r>
      <w:r w:rsidR="0017063C" w:rsidRPr="00EA6C7A">
        <w:rPr>
          <w:rFonts w:ascii="Verdana" w:eastAsia="Batang" w:hAnsi="Verdana" w:cs="Arial"/>
          <w:sz w:val="20"/>
          <w:szCs w:val="20"/>
          <w:lang w:val="en-US" w:eastAsia="es-MX"/>
        </w:rPr>
        <w:t xml:space="preserve">, </w:t>
      </w:r>
      <w:r w:rsidR="00814D2E" w:rsidRPr="00EA6C7A">
        <w:rPr>
          <w:rFonts w:ascii="Verdana" w:eastAsia="Batang" w:hAnsi="Verdana" w:cs="Arial"/>
          <w:sz w:val="20"/>
          <w:szCs w:val="20"/>
          <w:lang w:val="en-US" w:eastAsia="es-MX"/>
        </w:rPr>
        <w:t xml:space="preserve">including </w:t>
      </w:r>
      <w:r w:rsidR="00C2786C" w:rsidRPr="00EA6C7A">
        <w:rPr>
          <w:rFonts w:ascii="Verdana" w:hAnsi="Verdana"/>
          <w:sz w:val="20"/>
          <w:szCs w:val="20"/>
          <w:lang w:val="en-US"/>
        </w:rPr>
        <w:t>flaws</w:t>
      </w:r>
      <w:r w:rsidR="00814D2E" w:rsidRPr="00EA6C7A">
        <w:rPr>
          <w:rFonts w:ascii="Verdana" w:hAnsi="Verdana"/>
          <w:sz w:val="20"/>
          <w:szCs w:val="20"/>
          <w:lang w:val="en-US"/>
        </w:rPr>
        <w:t xml:space="preserve"> in the preservation of the crime scene and the evidence, shortcomings in the handling and analysis of the evidence collected, lack of rigor and delay in the investigation, </w:t>
      </w:r>
      <w:r w:rsidR="00C2786C" w:rsidRPr="00EA6C7A">
        <w:rPr>
          <w:rFonts w:ascii="Verdana" w:hAnsi="Verdana"/>
          <w:sz w:val="20"/>
          <w:szCs w:val="20"/>
          <w:lang w:val="en-US"/>
        </w:rPr>
        <w:t xml:space="preserve">and </w:t>
      </w:r>
      <w:r w:rsidR="00814D2E" w:rsidRPr="00EA6C7A">
        <w:rPr>
          <w:rFonts w:ascii="Verdana" w:hAnsi="Verdana"/>
          <w:sz w:val="20"/>
          <w:szCs w:val="20"/>
          <w:lang w:val="en-US"/>
        </w:rPr>
        <w:t>omissions and lack of consistency in the investigation reports. It also indicated that the Ombudsman had found that</w:t>
      </w:r>
      <w:r w:rsidR="00C2786C" w:rsidRPr="00EA6C7A">
        <w:rPr>
          <w:rFonts w:ascii="Verdana" w:hAnsi="Verdana"/>
          <w:sz w:val="20"/>
          <w:szCs w:val="20"/>
          <w:lang w:val="en-US"/>
        </w:rPr>
        <w:t xml:space="preserve"> </w:t>
      </w:r>
      <w:r w:rsidR="0017063C" w:rsidRPr="00EA6C7A">
        <w:rPr>
          <w:rFonts w:ascii="Verdana" w:eastAsia="Batang" w:hAnsi="Verdana" w:cs="Arial"/>
          <w:sz w:val="20"/>
          <w:szCs w:val="20"/>
          <w:lang w:val="en-US" w:eastAsia="es-MX"/>
        </w:rPr>
        <w:t>Jorge Rolando Velásquez</w:t>
      </w:r>
      <w:r w:rsidR="00814D2E" w:rsidRPr="00EA6C7A">
        <w:rPr>
          <w:rFonts w:ascii="Verdana" w:eastAsia="Batang" w:hAnsi="Verdana" w:cs="Arial"/>
          <w:sz w:val="20"/>
          <w:szCs w:val="20"/>
          <w:lang w:val="en-US" w:eastAsia="es-MX"/>
        </w:rPr>
        <w:t xml:space="preserve"> had </w:t>
      </w:r>
      <w:r w:rsidR="00C2786C" w:rsidRPr="00EA6C7A">
        <w:rPr>
          <w:rFonts w:ascii="Verdana" w:eastAsia="Batang" w:hAnsi="Verdana" w:cs="Arial"/>
          <w:sz w:val="20"/>
          <w:szCs w:val="20"/>
          <w:lang w:val="en-US" w:eastAsia="es-MX"/>
        </w:rPr>
        <w:t xml:space="preserve">sometimes </w:t>
      </w:r>
      <w:r w:rsidR="00814D2E" w:rsidRPr="00EA6C7A">
        <w:rPr>
          <w:rFonts w:ascii="Verdana" w:eastAsia="Batang" w:hAnsi="Verdana" w:cs="Arial"/>
          <w:sz w:val="20"/>
          <w:szCs w:val="20"/>
          <w:lang w:val="en-US" w:eastAsia="es-MX"/>
        </w:rPr>
        <w:t>been prevented from accessing the case file</w:t>
      </w:r>
      <w:r w:rsidR="0017063C" w:rsidRPr="00EA6C7A">
        <w:rPr>
          <w:rFonts w:ascii="Verdana" w:eastAsia="Batang" w:hAnsi="Verdana" w:cs="Arial"/>
          <w:sz w:val="20"/>
          <w:szCs w:val="20"/>
          <w:lang w:val="en-US" w:eastAsia="es-MX"/>
        </w:rPr>
        <w:t xml:space="preserve">. </w:t>
      </w:r>
      <w:r w:rsidR="00814D2E" w:rsidRPr="00EA6C7A">
        <w:rPr>
          <w:rFonts w:ascii="Verdana" w:eastAsia="Batang" w:hAnsi="Verdana" w:cs="Arial"/>
          <w:sz w:val="20"/>
          <w:szCs w:val="20"/>
          <w:lang w:val="en-US" w:eastAsia="es-MX"/>
        </w:rPr>
        <w:t xml:space="preserve">Consequently, it considered that the Guatemala had failed to comply with its obligation to act with due diligence to identify those responsible for the crime, allowing this act of violence to remain unpunished and creating an environment </w:t>
      </w:r>
      <w:r w:rsidR="00720934" w:rsidRPr="00EA6C7A">
        <w:rPr>
          <w:rFonts w:ascii="Verdana" w:eastAsia="Batang" w:hAnsi="Verdana" w:cs="Arial"/>
          <w:sz w:val="20"/>
          <w:szCs w:val="20"/>
          <w:lang w:val="en-US" w:eastAsia="es-MX"/>
        </w:rPr>
        <w:t xml:space="preserve">conducive to </w:t>
      </w:r>
      <w:r w:rsidR="00814D2E" w:rsidRPr="00EA6C7A">
        <w:rPr>
          <w:rFonts w:ascii="Verdana" w:eastAsia="Batang" w:hAnsi="Verdana" w:cs="Arial"/>
          <w:sz w:val="20"/>
          <w:szCs w:val="20"/>
          <w:lang w:val="en-US" w:eastAsia="es-MX"/>
        </w:rPr>
        <w:t xml:space="preserve">the chronic repetition of </w:t>
      </w:r>
      <w:r w:rsidR="00720934" w:rsidRPr="00EA6C7A">
        <w:rPr>
          <w:rFonts w:ascii="Verdana" w:eastAsia="Batang" w:hAnsi="Verdana" w:cs="Arial"/>
          <w:sz w:val="20"/>
          <w:szCs w:val="20"/>
          <w:lang w:val="en-US" w:eastAsia="es-MX"/>
        </w:rPr>
        <w:t xml:space="preserve">acts of </w:t>
      </w:r>
      <w:r w:rsidR="00C2786C" w:rsidRPr="00EA6C7A">
        <w:rPr>
          <w:rFonts w:ascii="Verdana" w:eastAsia="Batang" w:hAnsi="Verdana" w:cs="Arial"/>
          <w:sz w:val="20"/>
          <w:szCs w:val="20"/>
          <w:lang w:val="en-US" w:eastAsia="es-MX"/>
        </w:rPr>
        <w:t>violence</w:t>
      </w:r>
      <w:r w:rsidR="00720934" w:rsidRPr="00EA6C7A">
        <w:rPr>
          <w:rFonts w:ascii="Verdana" w:eastAsia="Batang" w:hAnsi="Verdana" w:cs="Arial"/>
          <w:sz w:val="20"/>
          <w:szCs w:val="20"/>
          <w:lang w:val="en-US" w:eastAsia="es-MX"/>
        </w:rPr>
        <w:t xml:space="preserve"> against women in violation of </w:t>
      </w:r>
      <w:r w:rsidR="00515C34" w:rsidRPr="00EA6C7A">
        <w:rPr>
          <w:rFonts w:ascii="Verdana" w:eastAsia="Batang" w:hAnsi="Verdana" w:cs="Arial"/>
          <w:sz w:val="20"/>
          <w:szCs w:val="20"/>
          <w:lang w:val="en-US" w:eastAsia="es-MX"/>
        </w:rPr>
        <w:t>Articles 8(1)</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25</w:t>
      </w:r>
      <w:r w:rsidRPr="00EA6C7A">
        <w:rPr>
          <w:rFonts w:ascii="Verdana" w:eastAsia="Batang" w:hAnsi="Verdana" w:cs="Arial"/>
          <w:sz w:val="20"/>
          <w:szCs w:val="20"/>
          <w:lang w:val="en-US" w:eastAsia="es-MX"/>
        </w:rPr>
        <w:t xml:space="preserve"> of the Convention</w:t>
      </w:r>
      <w:r w:rsidR="0017063C" w:rsidRPr="00EA6C7A">
        <w:rPr>
          <w:rFonts w:ascii="Verdana" w:eastAsia="Batang" w:hAnsi="Verdana" w:cs="Arial"/>
          <w:sz w:val="20"/>
          <w:szCs w:val="20"/>
          <w:lang w:val="en-US" w:eastAsia="es-MX"/>
        </w:rPr>
        <w:t xml:space="preserve">, </w:t>
      </w:r>
      <w:r w:rsidR="002B325A" w:rsidRPr="00EA6C7A">
        <w:rPr>
          <w:rFonts w:ascii="Verdana" w:eastAsia="Batang" w:hAnsi="Verdana" w:cs="Arial"/>
          <w:sz w:val="20"/>
          <w:szCs w:val="20"/>
          <w:lang w:val="en-US" w:eastAsia="es-MX"/>
        </w:rPr>
        <w:t>in relation to Article</w:t>
      </w:r>
      <w:r w:rsidR="00515C34" w:rsidRPr="00EA6C7A">
        <w:rPr>
          <w:rFonts w:ascii="Verdana" w:eastAsia="Batang" w:hAnsi="Verdana" w:cs="Arial"/>
          <w:sz w:val="20"/>
          <w:szCs w:val="20"/>
          <w:lang w:val="en-US" w:eastAsia="es-MX"/>
        </w:rPr>
        <w:t xml:space="preserve"> 1(1)</w:t>
      </w:r>
      <w:r w:rsidR="0017063C" w:rsidRPr="00EA6C7A">
        <w:rPr>
          <w:rFonts w:ascii="Verdana" w:eastAsia="Batang" w:hAnsi="Verdana" w:cs="Arial"/>
          <w:sz w:val="20"/>
          <w:szCs w:val="20"/>
          <w:lang w:val="en-US" w:eastAsia="es-MX"/>
        </w:rPr>
        <w:t xml:space="preserve"> </w:t>
      </w:r>
      <w:r w:rsidR="00720934" w:rsidRPr="00EA6C7A">
        <w:rPr>
          <w:rFonts w:ascii="Verdana" w:eastAsia="Batang" w:hAnsi="Verdana" w:cs="Arial"/>
          <w:sz w:val="20"/>
          <w:szCs w:val="20"/>
          <w:lang w:val="en-US" w:eastAsia="es-MX"/>
        </w:rPr>
        <w:t>of this instrument</w:t>
      </w:r>
      <w:r w:rsidR="00D948A1" w:rsidRPr="00EA6C7A">
        <w:rPr>
          <w:rFonts w:ascii="Verdana" w:eastAsia="Batang" w:hAnsi="Verdana" w:cs="Arial"/>
          <w:sz w:val="20"/>
          <w:szCs w:val="20"/>
          <w:lang w:val="en-US" w:eastAsia="es-MX"/>
        </w:rPr>
        <w:t xml:space="preserve"> and </w:t>
      </w:r>
      <w:r w:rsidRPr="00EA6C7A">
        <w:rPr>
          <w:rFonts w:ascii="Verdana" w:eastAsia="Batang" w:hAnsi="Verdana" w:cs="Arial"/>
          <w:sz w:val="20"/>
          <w:szCs w:val="20"/>
          <w:lang w:val="en-US" w:eastAsia="es-MX"/>
        </w:rPr>
        <w:t>Article</w:t>
      </w:r>
      <w:r w:rsidR="0017063C" w:rsidRPr="00EA6C7A">
        <w:rPr>
          <w:rFonts w:ascii="Verdana" w:eastAsia="Batang" w:hAnsi="Verdana" w:cs="Arial"/>
          <w:sz w:val="20"/>
          <w:szCs w:val="20"/>
          <w:lang w:val="en-US" w:eastAsia="es-MX"/>
        </w:rPr>
        <w:t xml:space="preserve"> 7</w:t>
      </w:r>
      <w:r w:rsidRPr="00EA6C7A">
        <w:rPr>
          <w:rFonts w:ascii="Verdana" w:eastAsia="Batang" w:hAnsi="Verdana" w:cs="Arial"/>
          <w:sz w:val="20"/>
          <w:szCs w:val="20"/>
          <w:lang w:val="en-US" w:eastAsia="es-MX"/>
        </w:rPr>
        <w:t xml:space="preserve"> of the </w:t>
      </w:r>
      <w:r w:rsidR="004554C7" w:rsidRPr="00EA6C7A">
        <w:rPr>
          <w:rFonts w:ascii="Verdana" w:eastAsia="Batang" w:hAnsi="Verdana" w:cs="Arial"/>
          <w:sz w:val="20"/>
          <w:szCs w:val="20"/>
          <w:lang w:val="en-US" w:eastAsia="es-MX"/>
        </w:rPr>
        <w:t>Convention of Belém</w:t>
      </w:r>
      <w:r w:rsidR="0017063C" w:rsidRPr="00EA6C7A">
        <w:rPr>
          <w:rFonts w:ascii="Verdana" w:eastAsia="Batang" w:hAnsi="Verdana" w:cs="Arial"/>
          <w:sz w:val="20"/>
          <w:szCs w:val="20"/>
          <w:lang w:val="en-US" w:eastAsia="es-MX"/>
        </w:rPr>
        <w:t xml:space="preserve"> do Pará. </w:t>
      </w:r>
    </w:p>
    <w:p w14:paraId="03A6B56B" w14:textId="77777777" w:rsidR="0017063C" w:rsidRPr="00EA6C7A" w:rsidRDefault="0017063C" w:rsidP="00831A08">
      <w:pPr>
        <w:tabs>
          <w:tab w:val="left" w:pos="720"/>
        </w:tabs>
        <w:autoSpaceDE w:val="0"/>
        <w:autoSpaceDN w:val="0"/>
        <w:adjustRightInd w:val="0"/>
        <w:spacing w:after="0" w:line="240" w:lineRule="auto"/>
        <w:jc w:val="both"/>
        <w:rPr>
          <w:rFonts w:ascii="Verdana" w:hAnsi="Verdana" w:cs="Arial"/>
          <w:b/>
          <w:sz w:val="20"/>
          <w:szCs w:val="20"/>
          <w:lang w:val="en-US"/>
        </w:rPr>
      </w:pPr>
    </w:p>
    <w:p w14:paraId="2D8A88F6" w14:textId="77777777" w:rsidR="0017063C" w:rsidRPr="00EA6C7A" w:rsidRDefault="0096418F" w:rsidP="00794128">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cs="Arial"/>
          <w:sz w:val="20"/>
          <w:szCs w:val="20"/>
          <w:lang w:val="en-US" w:eastAsia="es-MX"/>
        </w:rPr>
        <w:t>The Commission</w:t>
      </w:r>
      <w:r w:rsidR="0017063C" w:rsidRPr="00EA6C7A">
        <w:rPr>
          <w:rFonts w:ascii="Verdana" w:eastAsia="Batang" w:hAnsi="Verdana" w:cs="Arial"/>
          <w:sz w:val="20"/>
          <w:szCs w:val="20"/>
          <w:lang w:val="en-US" w:eastAsia="es-MX"/>
        </w:rPr>
        <w:t xml:space="preserve"> </w:t>
      </w:r>
      <w:r w:rsidR="00794128" w:rsidRPr="00EA6C7A">
        <w:rPr>
          <w:rFonts w:ascii="Verdana" w:eastAsia="Batang" w:hAnsi="Verdana" w:cs="Arial"/>
          <w:sz w:val="20"/>
          <w:szCs w:val="20"/>
          <w:lang w:val="en-US" w:eastAsia="es-MX"/>
        </w:rPr>
        <w:t>asserted that Claudina Velásquez’s death was not investigated as a case of gender-based violence, and no measures</w:t>
      </w:r>
      <w:r w:rsidR="00701D0E" w:rsidRPr="00EA6C7A">
        <w:rPr>
          <w:rFonts w:ascii="Verdana" w:eastAsia="Batang" w:hAnsi="Verdana" w:cs="Arial"/>
          <w:sz w:val="20"/>
          <w:szCs w:val="20"/>
          <w:lang w:val="en-US" w:eastAsia="es-MX"/>
        </w:rPr>
        <w:t xml:space="preserve"> were taken or</w:t>
      </w:r>
      <w:r w:rsidR="00794128" w:rsidRPr="00EA6C7A">
        <w:rPr>
          <w:rFonts w:ascii="Verdana" w:eastAsia="Batang" w:hAnsi="Verdana" w:cs="Arial"/>
          <w:sz w:val="20"/>
          <w:szCs w:val="20"/>
          <w:lang w:val="en-US" w:eastAsia="es-MX"/>
        </w:rPr>
        <w:t xml:space="preserve"> protocols or guidelines </w:t>
      </w:r>
      <w:r w:rsidR="00701D0E" w:rsidRPr="00EA6C7A">
        <w:rPr>
          <w:rFonts w:ascii="Verdana" w:eastAsia="Batang" w:hAnsi="Verdana" w:cs="Arial"/>
          <w:sz w:val="20"/>
          <w:szCs w:val="20"/>
          <w:lang w:val="en-US" w:eastAsia="es-MX"/>
        </w:rPr>
        <w:t>used</w:t>
      </w:r>
      <w:r w:rsidR="00794128" w:rsidRPr="00EA6C7A">
        <w:rPr>
          <w:rFonts w:ascii="Verdana" w:eastAsia="Batang" w:hAnsi="Verdana" w:cs="Arial"/>
          <w:sz w:val="20"/>
          <w:szCs w:val="20"/>
          <w:lang w:val="en-US" w:eastAsia="es-MX"/>
        </w:rPr>
        <w:t xml:space="preserve"> to duly investigate this violence. In this regard, it referred to the absence of investigative procedures based on the suspicion that she had been subjected to sexual violence. Also, it considered that she was the victim of stereotyping </w:t>
      </w:r>
      <w:r w:rsidR="00701D0E" w:rsidRPr="00EA6C7A">
        <w:rPr>
          <w:rFonts w:ascii="Verdana" w:eastAsia="Batang" w:hAnsi="Verdana" w:cs="Arial"/>
          <w:sz w:val="20"/>
          <w:szCs w:val="20"/>
          <w:lang w:val="en-US" w:eastAsia="es-MX"/>
        </w:rPr>
        <w:t>because</w:t>
      </w:r>
      <w:r w:rsidR="00794128" w:rsidRPr="00EA6C7A">
        <w:rPr>
          <w:rFonts w:ascii="Verdana" w:eastAsia="Batang" w:hAnsi="Verdana" w:cs="Arial"/>
          <w:sz w:val="20"/>
          <w:szCs w:val="20"/>
          <w:lang w:val="en-US" w:eastAsia="es-MX"/>
        </w:rPr>
        <w:t xml:space="preserve"> she was young</w:t>
      </w:r>
      <w:r w:rsidR="00701D0E" w:rsidRPr="00EA6C7A">
        <w:rPr>
          <w:rFonts w:ascii="Verdana" w:eastAsia="Batang" w:hAnsi="Verdana" w:cs="Arial"/>
          <w:sz w:val="20"/>
          <w:szCs w:val="20"/>
          <w:lang w:val="en-US" w:eastAsia="es-MX"/>
        </w:rPr>
        <w:t xml:space="preserve"> and</w:t>
      </w:r>
      <w:r w:rsidR="00794128" w:rsidRPr="00EA6C7A">
        <w:rPr>
          <w:rFonts w:ascii="Verdana" w:eastAsia="Batang" w:hAnsi="Verdana" w:cs="Arial"/>
          <w:sz w:val="20"/>
          <w:szCs w:val="20"/>
          <w:lang w:val="en-US" w:eastAsia="es-MX"/>
        </w:rPr>
        <w:t xml:space="preserve"> her body was found in a low-income area, </w:t>
      </w:r>
      <w:r w:rsidR="00701D0E" w:rsidRPr="00EA6C7A">
        <w:rPr>
          <w:rFonts w:ascii="Verdana" w:eastAsia="Batang" w:hAnsi="Verdana" w:cs="Arial"/>
          <w:sz w:val="20"/>
          <w:szCs w:val="20"/>
          <w:lang w:val="en-US" w:eastAsia="es-MX"/>
        </w:rPr>
        <w:t>and due to her m</w:t>
      </w:r>
      <w:r w:rsidR="00794128" w:rsidRPr="00EA6C7A">
        <w:rPr>
          <w:rFonts w:ascii="Verdana" w:eastAsia="Batang" w:hAnsi="Verdana" w:cs="Arial"/>
          <w:sz w:val="20"/>
          <w:szCs w:val="20"/>
          <w:lang w:val="en-US" w:eastAsia="es-MX"/>
        </w:rPr>
        <w:t xml:space="preserve">anner of dress and </w:t>
      </w:r>
      <w:r w:rsidR="00701D0E" w:rsidRPr="00EA6C7A">
        <w:rPr>
          <w:rFonts w:ascii="Verdana" w:eastAsia="Batang" w:hAnsi="Verdana" w:cs="Arial"/>
          <w:sz w:val="20"/>
          <w:szCs w:val="20"/>
          <w:lang w:val="en-US" w:eastAsia="es-MX"/>
        </w:rPr>
        <w:t>that</w:t>
      </w:r>
      <w:r w:rsidR="00794128" w:rsidRPr="00EA6C7A">
        <w:rPr>
          <w:rFonts w:ascii="Verdana" w:eastAsia="Batang" w:hAnsi="Verdana" w:cs="Arial"/>
          <w:sz w:val="20"/>
          <w:szCs w:val="20"/>
          <w:lang w:val="en-US" w:eastAsia="es-MX"/>
        </w:rPr>
        <w:t xml:space="preserve"> she had a pierced navel</w:t>
      </w:r>
      <w:r w:rsidR="00701D0E" w:rsidRPr="00EA6C7A">
        <w:rPr>
          <w:rFonts w:ascii="Verdana" w:eastAsia="Batang" w:hAnsi="Verdana" w:cs="Arial"/>
          <w:sz w:val="20"/>
          <w:szCs w:val="20"/>
          <w:lang w:val="en-US" w:eastAsia="es-MX"/>
        </w:rPr>
        <w:t>. As a result,</w:t>
      </w:r>
      <w:r w:rsidR="00794128" w:rsidRPr="00EA6C7A">
        <w:rPr>
          <w:rFonts w:ascii="Verdana" w:eastAsia="Batang" w:hAnsi="Verdana" w:cs="Arial"/>
          <w:sz w:val="20"/>
          <w:szCs w:val="20"/>
          <w:lang w:val="en-US" w:eastAsia="es-MX"/>
        </w:rPr>
        <w:t xml:space="preserve"> the authorities justified the violence against her and fail</w:t>
      </w:r>
      <w:r w:rsidR="00701D0E" w:rsidRPr="00EA6C7A">
        <w:rPr>
          <w:rFonts w:ascii="Verdana" w:eastAsia="Batang" w:hAnsi="Verdana" w:cs="Arial"/>
          <w:sz w:val="20"/>
          <w:szCs w:val="20"/>
          <w:lang w:val="en-US" w:eastAsia="es-MX"/>
        </w:rPr>
        <w:t>ed</w:t>
      </w:r>
      <w:r w:rsidR="00794128" w:rsidRPr="00EA6C7A">
        <w:rPr>
          <w:rFonts w:ascii="Verdana" w:eastAsia="Batang" w:hAnsi="Verdana" w:cs="Arial"/>
          <w:sz w:val="20"/>
          <w:szCs w:val="20"/>
          <w:lang w:val="en-US" w:eastAsia="es-MX"/>
        </w:rPr>
        <w:t xml:space="preserve"> to investigate her death appropriately. Consequently, </w:t>
      </w:r>
      <w:r w:rsidR="00701D0E" w:rsidRPr="00EA6C7A">
        <w:rPr>
          <w:rFonts w:ascii="Verdana" w:eastAsia="Batang" w:hAnsi="Verdana" w:cs="Arial"/>
          <w:sz w:val="20"/>
          <w:szCs w:val="20"/>
          <w:lang w:val="en-US" w:eastAsia="es-MX"/>
        </w:rPr>
        <w:t>the Commission</w:t>
      </w:r>
      <w:r w:rsidR="00794128" w:rsidRPr="00EA6C7A">
        <w:rPr>
          <w:rFonts w:ascii="Verdana" w:eastAsia="Batang" w:hAnsi="Verdana" w:cs="Arial"/>
          <w:sz w:val="20"/>
          <w:szCs w:val="20"/>
          <w:lang w:val="en-US" w:eastAsia="es-MX"/>
        </w:rPr>
        <w:t xml:space="preserve"> determined that the State had violated </w:t>
      </w:r>
      <w:r w:rsidR="001914FC" w:rsidRPr="00EA6C7A">
        <w:rPr>
          <w:rFonts w:ascii="Verdana" w:eastAsia="Batang" w:hAnsi="Verdana" w:cs="Arial"/>
          <w:sz w:val="20"/>
          <w:szCs w:val="20"/>
          <w:lang w:val="en-US" w:eastAsia="es-MX"/>
        </w:rPr>
        <w:t>Article</w:t>
      </w:r>
      <w:r w:rsidR="0017063C" w:rsidRPr="00EA6C7A">
        <w:rPr>
          <w:rFonts w:ascii="Verdana" w:eastAsia="Batang" w:hAnsi="Verdana" w:cs="Arial"/>
          <w:sz w:val="20"/>
          <w:szCs w:val="20"/>
          <w:lang w:val="en-US" w:eastAsia="es-MX"/>
        </w:rPr>
        <w:t xml:space="preserve"> 7</w:t>
      </w:r>
      <w:r w:rsidRPr="00EA6C7A">
        <w:rPr>
          <w:rFonts w:ascii="Verdana" w:eastAsia="Batang" w:hAnsi="Verdana" w:cs="Arial"/>
          <w:sz w:val="20"/>
          <w:szCs w:val="20"/>
          <w:lang w:val="en-US" w:eastAsia="es-MX"/>
        </w:rPr>
        <w:t xml:space="preserve"> of the </w:t>
      </w:r>
      <w:r w:rsidR="004554C7" w:rsidRPr="00EA6C7A">
        <w:rPr>
          <w:rFonts w:ascii="Verdana" w:eastAsia="Batang" w:hAnsi="Verdana" w:cs="Arial"/>
          <w:sz w:val="20"/>
          <w:szCs w:val="20"/>
          <w:lang w:val="en-US" w:eastAsia="es-MX"/>
        </w:rPr>
        <w:t>Convention of Belém</w:t>
      </w:r>
      <w:r w:rsidR="0017063C" w:rsidRPr="00EA6C7A">
        <w:rPr>
          <w:rFonts w:ascii="Verdana" w:eastAsia="Batang" w:hAnsi="Verdana" w:cs="Arial"/>
          <w:sz w:val="20"/>
          <w:szCs w:val="20"/>
          <w:lang w:val="en-US" w:eastAsia="es-MX"/>
        </w:rPr>
        <w:t xml:space="preserve"> do Pará </w:t>
      </w:r>
      <w:r w:rsidR="002B325A" w:rsidRPr="00EA6C7A">
        <w:rPr>
          <w:rFonts w:ascii="Verdana" w:eastAsia="Batang" w:hAnsi="Verdana" w:cs="Arial"/>
          <w:sz w:val="20"/>
          <w:szCs w:val="20"/>
          <w:lang w:val="en-US" w:eastAsia="es-MX"/>
        </w:rPr>
        <w:t>in relation to Article</w:t>
      </w:r>
      <w:r w:rsidR="0017063C" w:rsidRPr="00EA6C7A">
        <w:rPr>
          <w:rFonts w:ascii="Verdana" w:eastAsia="Batang" w:hAnsi="Verdana" w:cs="Arial"/>
          <w:sz w:val="20"/>
          <w:szCs w:val="20"/>
          <w:lang w:val="en-US" w:eastAsia="es-MX"/>
        </w:rPr>
        <w:t xml:space="preserve"> 24</w:t>
      </w:r>
      <w:r w:rsidRPr="00EA6C7A">
        <w:rPr>
          <w:rFonts w:ascii="Verdana" w:eastAsia="Batang" w:hAnsi="Verdana" w:cs="Arial"/>
          <w:sz w:val="20"/>
          <w:szCs w:val="20"/>
          <w:lang w:val="en-US" w:eastAsia="es-MX"/>
        </w:rPr>
        <w:t xml:space="preserve"> of the American Convention</w:t>
      </w:r>
      <w:r w:rsidR="0017063C" w:rsidRPr="00EA6C7A">
        <w:rPr>
          <w:rFonts w:ascii="Verdana" w:eastAsia="Batang" w:hAnsi="Verdana" w:cs="Arial"/>
          <w:sz w:val="20"/>
          <w:szCs w:val="20"/>
          <w:lang w:val="en-US" w:eastAsia="es-MX"/>
        </w:rPr>
        <w:t>,</w:t>
      </w:r>
      <w:r w:rsidR="00701D0E" w:rsidRPr="00EA6C7A">
        <w:rPr>
          <w:rFonts w:ascii="Verdana" w:eastAsia="Batang" w:hAnsi="Verdana" w:cs="Arial"/>
          <w:sz w:val="20"/>
          <w:szCs w:val="20"/>
          <w:lang w:val="en-US" w:eastAsia="es-MX"/>
        </w:rPr>
        <w:t xml:space="preserve"> and</w:t>
      </w:r>
      <w:r w:rsidR="0017063C" w:rsidRPr="00EA6C7A">
        <w:rPr>
          <w:rFonts w:ascii="Verdana" w:eastAsia="Batang" w:hAnsi="Verdana" w:cs="Arial"/>
          <w:sz w:val="20"/>
          <w:szCs w:val="20"/>
          <w:lang w:val="en-US" w:eastAsia="es-MX"/>
        </w:rPr>
        <w:t xml:space="preserve"> </w:t>
      </w:r>
      <w:r w:rsidR="00794128" w:rsidRPr="00EA6C7A">
        <w:rPr>
          <w:rFonts w:ascii="Verdana" w:eastAsia="Batang" w:hAnsi="Verdana" w:cs="Arial"/>
          <w:sz w:val="20"/>
          <w:szCs w:val="20"/>
          <w:lang w:val="en-US" w:eastAsia="es-MX"/>
        </w:rPr>
        <w:t xml:space="preserve">in conformity with </w:t>
      </w:r>
      <w:r w:rsidR="00515C34" w:rsidRPr="00EA6C7A">
        <w:rPr>
          <w:rFonts w:ascii="Verdana" w:eastAsia="Batang" w:hAnsi="Verdana" w:cs="Arial"/>
          <w:sz w:val="20"/>
          <w:szCs w:val="20"/>
          <w:lang w:val="en-US" w:eastAsia="es-MX"/>
        </w:rPr>
        <w:t>Article 1(1)</w:t>
      </w:r>
      <w:r w:rsidR="0017063C" w:rsidRPr="00EA6C7A">
        <w:rPr>
          <w:rFonts w:ascii="Verdana" w:eastAsia="Batang" w:hAnsi="Verdana" w:cs="Arial"/>
          <w:sz w:val="20"/>
          <w:szCs w:val="20"/>
          <w:lang w:val="en-US" w:eastAsia="es-MX"/>
        </w:rPr>
        <w:t xml:space="preserve"> </w:t>
      </w:r>
      <w:r w:rsidR="00794128" w:rsidRPr="00EA6C7A">
        <w:rPr>
          <w:rFonts w:ascii="Verdana" w:eastAsia="Batang" w:hAnsi="Verdana" w:cs="Arial"/>
          <w:sz w:val="20"/>
          <w:szCs w:val="20"/>
          <w:lang w:val="en-US" w:eastAsia="es-MX"/>
        </w:rPr>
        <w:t>of this instrument</w:t>
      </w:r>
      <w:r w:rsidR="0017063C" w:rsidRPr="00EA6C7A">
        <w:rPr>
          <w:rFonts w:ascii="Verdana" w:eastAsia="Batang" w:hAnsi="Verdana" w:cs="Arial"/>
          <w:sz w:val="20"/>
          <w:szCs w:val="20"/>
          <w:lang w:val="en-US" w:eastAsia="es-MX"/>
        </w:rPr>
        <w:t xml:space="preserve">. </w:t>
      </w:r>
      <w:r w:rsidR="00794128" w:rsidRPr="00EA6C7A">
        <w:rPr>
          <w:rFonts w:ascii="Verdana" w:eastAsia="Batang" w:hAnsi="Verdana" w:cs="Arial"/>
          <w:sz w:val="20"/>
          <w:szCs w:val="20"/>
          <w:lang w:val="en-US" w:eastAsia="es-MX"/>
        </w:rPr>
        <w:t xml:space="preserve">It also found that </w:t>
      </w:r>
      <w:r w:rsidRPr="00EA6C7A">
        <w:rPr>
          <w:rFonts w:ascii="Verdana" w:eastAsia="Batang" w:hAnsi="Verdana" w:cs="Arial"/>
          <w:sz w:val="20"/>
          <w:szCs w:val="20"/>
          <w:lang w:val="en-US" w:eastAsia="es-MX"/>
        </w:rPr>
        <w:t>Article</w:t>
      </w:r>
      <w:r w:rsidR="0017063C" w:rsidRPr="00EA6C7A">
        <w:rPr>
          <w:rFonts w:ascii="Verdana" w:eastAsia="Batang" w:hAnsi="Verdana" w:cs="Arial"/>
          <w:sz w:val="20"/>
          <w:szCs w:val="20"/>
          <w:lang w:val="en-US" w:eastAsia="es-MX"/>
        </w:rPr>
        <w:t xml:space="preserve"> 11 </w:t>
      </w:r>
      <w:r w:rsidR="00794128" w:rsidRPr="00EA6C7A">
        <w:rPr>
          <w:rFonts w:ascii="Verdana" w:eastAsia="Batang" w:hAnsi="Verdana" w:cs="Arial"/>
          <w:sz w:val="20"/>
          <w:szCs w:val="20"/>
          <w:lang w:val="en-US" w:eastAsia="es-MX"/>
        </w:rPr>
        <w:t xml:space="preserve">of that </w:t>
      </w:r>
      <w:r w:rsidR="00701D0E" w:rsidRPr="00EA6C7A">
        <w:rPr>
          <w:rFonts w:ascii="Verdana" w:eastAsia="Batang" w:hAnsi="Verdana" w:cs="Arial"/>
          <w:sz w:val="20"/>
          <w:szCs w:val="20"/>
          <w:lang w:val="en-US" w:eastAsia="es-MX"/>
        </w:rPr>
        <w:t xml:space="preserve">American </w:t>
      </w:r>
      <w:r w:rsidR="00794128" w:rsidRPr="00EA6C7A">
        <w:rPr>
          <w:rFonts w:ascii="Verdana" w:eastAsia="Batang" w:hAnsi="Verdana" w:cs="Arial"/>
          <w:sz w:val="20"/>
          <w:szCs w:val="20"/>
          <w:lang w:val="en-US" w:eastAsia="es-MX"/>
        </w:rPr>
        <w:t xml:space="preserve">Convention had been violated, </w:t>
      </w:r>
      <w:r w:rsidR="002B325A" w:rsidRPr="00EA6C7A">
        <w:rPr>
          <w:rFonts w:ascii="Verdana" w:eastAsia="Batang" w:hAnsi="Verdana" w:cs="Arial"/>
          <w:sz w:val="20"/>
          <w:szCs w:val="20"/>
          <w:lang w:val="en-US" w:eastAsia="es-MX"/>
        </w:rPr>
        <w:t>in relation to Article</w:t>
      </w:r>
      <w:r w:rsidR="00515C34" w:rsidRPr="00EA6C7A">
        <w:rPr>
          <w:rFonts w:ascii="Verdana" w:eastAsia="Batang" w:hAnsi="Verdana" w:cs="Arial"/>
          <w:sz w:val="20"/>
          <w:szCs w:val="20"/>
          <w:lang w:val="en-US" w:eastAsia="es-MX"/>
        </w:rPr>
        <w:t xml:space="preserve"> 1(1)</w:t>
      </w:r>
      <w:r w:rsidR="0017063C" w:rsidRPr="00EA6C7A">
        <w:rPr>
          <w:rFonts w:ascii="Verdana" w:eastAsia="Batang" w:hAnsi="Verdana" w:cs="Arial"/>
          <w:sz w:val="20"/>
          <w:szCs w:val="20"/>
          <w:lang w:val="en-US" w:eastAsia="es-MX"/>
        </w:rPr>
        <w:t xml:space="preserve"> </w:t>
      </w:r>
      <w:r w:rsidR="00794128" w:rsidRPr="00EA6C7A">
        <w:rPr>
          <w:rFonts w:ascii="Verdana" w:eastAsia="Batang" w:hAnsi="Verdana" w:cs="Arial"/>
          <w:sz w:val="20"/>
          <w:szCs w:val="20"/>
          <w:lang w:val="en-US" w:eastAsia="es-MX"/>
        </w:rPr>
        <w:t>thereof</w:t>
      </w:r>
      <w:r w:rsidR="0017063C" w:rsidRPr="00EA6C7A">
        <w:rPr>
          <w:rFonts w:ascii="Verdana" w:eastAsia="Batang" w:hAnsi="Verdana" w:cs="Arial"/>
          <w:sz w:val="20"/>
          <w:szCs w:val="20"/>
          <w:lang w:val="en-US" w:eastAsia="es-MX"/>
        </w:rPr>
        <w:t xml:space="preserve">, </w:t>
      </w:r>
      <w:r w:rsidR="00123BD3" w:rsidRPr="00EA6C7A">
        <w:rPr>
          <w:rFonts w:ascii="Verdana" w:eastAsia="Batang" w:hAnsi="Verdana" w:cs="Arial"/>
          <w:sz w:val="20"/>
          <w:szCs w:val="20"/>
          <w:lang w:val="en-US" w:eastAsia="es-MX"/>
        </w:rPr>
        <w:t>to the detriment of</w:t>
      </w:r>
      <w:r w:rsidR="0017063C" w:rsidRPr="00EA6C7A">
        <w:rPr>
          <w:rFonts w:ascii="Verdana" w:eastAsia="Batang" w:hAnsi="Verdana" w:cs="Arial"/>
          <w:sz w:val="20"/>
          <w:szCs w:val="20"/>
          <w:lang w:val="en-US" w:eastAsia="es-MX"/>
        </w:rPr>
        <w:t xml:space="preserve"> </w:t>
      </w:r>
      <w:r w:rsidR="0017063C" w:rsidRPr="00EA6C7A">
        <w:rPr>
          <w:rFonts w:ascii="Verdana" w:eastAsia="Calibri" w:hAnsi="Verdana" w:cs="Arial"/>
          <w:sz w:val="20"/>
          <w:szCs w:val="20"/>
          <w:lang w:val="en-US" w:eastAsia="es-MX"/>
        </w:rPr>
        <w:t>Claudina Isabel Velásquez Paiz.</w:t>
      </w:r>
      <w:r w:rsidR="0017063C" w:rsidRPr="00EA6C7A">
        <w:rPr>
          <w:rFonts w:ascii="Verdana" w:eastAsia="Batang" w:hAnsi="Verdana" w:cs="Arial"/>
          <w:sz w:val="20"/>
          <w:szCs w:val="20"/>
          <w:lang w:val="en-US" w:eastAsia="es-MX"/>
        </w:rPr>
        <w:t xml:space="preserve"> </w:t>
      </w:r>
    </w:p>
    <w:p w14:paraId="36B51CF6" w14:textId="77777777" w:rsidR="0017063C" w:rsidRPr="00EA6C7A" w:rsidRDefault="0017063C" w:rsidP="00831A08">
      <w:pPr>
        <w:tabs>
          <w:tab w:val="left" w:pos="720"/>
        </w:tabs>
        <w:autoSpaceDE w:val="0"/>
        <w:autoSpaceDN w:val="0"/>
        <w:adjustRightInd w:val="0"/>
        <w:spacing w:after="0" w:line="240" w:lineRule="auto"/>
        <w:jc w:val="both"/>
        <w:rPr>
          <w:rFonts w:ascii="Verdana" w:hAnsi="Verdana" w:cs="Univers"/>
          <w:sz w:val="20"/>
          <w:szCs w:val="20"/>
          <w:lang w:val="en-US"/>
        </w:rPr>
      </w:pPr>
    </w:p>
    <w:p w14:paraId="5D24C9CE" w14:textId="77777777" w:rsidR="0017063C" w:rsidRPr="00EA6C7A" w:rsidRDefault="00E43A75" w:rsidP="00701D68">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cs="Arial"/>
          <w:sz w:val="20"/>
          <w:szCs w:val="20"/>
          <w:lang w:val="en-US" w:eastAsia="es-MX"/>
        </w:rPr>
        <w:t xml:space="preserve">The </w:t>
      </w:r>
      <w:r w:rsidRPr="00EA6C7A">
        <w:rPr>
          <w:rFonts w:ascii="Verdana" w:eastAsia="Batang" w:hAnsi="Verdana" w:cs="Arial"/>
          <w:b/>
          <w:bCs/>
          <w:i/>
          <w:iCs/>
          <w:sz w:val="20"/>
          <w:szCs w:val="20"/>
          <w:lang w:val="en-US" w:eastAsia="es-MX"/>
        </w:rPr>
        <w:t>representatives</w:t>
      </w:r>
      <w:r w:rsidR="0017063C" w:rsidRPr="00EA6C7A">
        <w:rPr>
          <w:rFonts w:ascii="Verdana" w:eastAsia="Batang" w:hAnsi="Verdana"/>
          <w:b/>
          <w:i/>
          <w:sz w:val="20"/>
          <w:szCs w:val="20"/>
          <w:lang w:val="en-US" w:eastAsia="es-MX"/>
        </w:rPr>
        <w:t xml:space="preserve"> </w:t>
      </w:r>
      <w:r w:rsidR="00794128" w:rsidRPr="00EA6C7A">
        <w:rPr>
          <w:rFonts w:ascii="Verdana" w:eastAsia="Calibri" w:hAnsi="Verdana" w:cs="Arial"/>
          <w:sz w:val="20"/>
          <w:szCs w:val="20"/>
          <w:lang w:val="en-US" w:eastAsia="es-MX"/>
        </w:rPr>
        <w:t>agreed with</w:t>
      </w:r>
      <w:r w:rsidR="0017063C" w:rsidRPr="00EA6C7A">
        <w:rPr>
          <w:rFonts w:ascii="Verdana" w:eastAsia="Calibri" w:hAnsi="Verdana" w:cs="Arial"/>
          <w:sz w:val="20"/>
          <w:szCs w:val="20"/>
          <w:lang w:val="en-US" w:eastAsia="es-MX"/>
        </w:rPr>
        <w:t xml:space="preserve"> </w:t>
      </w:r>
      <w:r w:rsidR="0096418F" w:rsidRPr="00EA6C7A">
        <w:rPr>
          <w:rFonts w:ascii="Verdana" w:eastAsia="Calibri" w:hAnsi="Verdana" w:cs="Arial"/>
          <w:sz w:val="20"/>
          <w:szCs w:val="20"/>
          <w:lang w:val="en-US" w:eastAsia="es-MX"/>
        </w:rPr>
        <w:t>the Commission</w:t>
      </w:r>
      <w:r w:rsidR="0017063C" w:rsidRPr="00EA6C7A">
        <w:rPr>
          <w:rFonts w:ascii="Verdana" w:eastAsia="Calibri" w:hAnsi="Verdana" w:cs="Arial"/>
          <w:sz w:val="20"/>
          <w:szCs w:val="20"/>
          <w:lang w:val="en-US" w:eastAsia="es-MX"/>
        </w:rPr>
        <w:t xml:space="preserve">. </w:t>
      </w:r>
      <w:r w:rsidR="00701D68" w:rsidRPr="00EA6C7A">
        <w:rPr>
          <w:rFonts w:ascii="Verdana" w:eastAsia="Calibri" w:hAnsi="Verdana" w:cs="Arial"/>
          <w:sz w:val="20"/>
          <w:szCs w:val="20"/>
          <w:lang w:val="en-US" w:eastAsia="es-MX"/>
        </w:rPr>
        <w:t xml:space="preserve">They added that, even though the doctor who performed the autopsy had been sanctioned for the errors he committed in this regard, errors continue to be committed and the State </w:t>
      </w:r>
      <w:r w:rsidR="0017063C" w:rsidRPr="00EA6C7A">
        <w:rPr>
          <w:rFonts w:ascii="Verdana" w:eastAsia="Batang" w:hAnsi="Verdana"/>
          <w:sz w:val="20"/>
          <w:szCs w:val="20"/>
          <w:lang w:val="en-US" w:eastAsia="es-MX"/>
        </w:rPr>
        <w:t>“</w:t>
      </w:r>
      <w:r w:rsidR="00701D68" w:rsidRPr="00EA6C7A">
        <w:rPr>
          <w:rFonts w:ascii="Verdana" w:eastAsia="Batang" w:hAnsi="Verdana"/>
          <w:sz w:val="20"/>
          <w:szCs w:val="20"/>
          <w:lang w:val="en-US" w:eastAsia="es-MX"/>
        </w:rPr>
        <w:t>has not taken effective measures to improve the autopsy protocols or order the forensic physicians to use the United Nations Manual.” They also argued that the State had not been capable of obtaining the testimony of all those who were relevant for the investigation</w:t>
      </w:r>
      <w:r w:rsidR="0017063C"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and </w:t>
      </w:r>
      <w:r w:rsidR="00701D68" w:rsidRPr="00EA6C7A">
        <w:rPr>
          <w:rFonts w:ascii="Verdana" w:eastAsia="Batang" w:hAnsi="Verdana"/>
          <w:sz w:val="20"/>
          <w:szCs w:val="20"/>
          <w:lang w:val="en-US" w:eastAsia="es-MX"/>
        </w:rPr>
        <w:t xml:space="preserve">that this deficiency arose from the negligence of the prosecutors in charge of the investigation, the fear of the witnesses, and the absence of </w:t>
      </w:r>
      <w:r w:rsidR="00701D68" w:rsidRPr="00EA6C7A">
        <w:rPr>
          <w:rFonts w:ascii="Verdana" w:eastAsia="Batang" w:hAnsi="Verdana"/>
          <w:sz w:val="20"/>
          <w:szCs w:val="20"/>
          <w:lang w:val="en-US" w:eastAsia="es-MX"/>
        </w:rPr>
        <w:lastRenderedPageBreak/>
        <w:t xml:space="preserve">effective witness protection programs. They also explained that </w:t>
      </w:r>
      <w:r w:rsidR="0020127B" w:rsidRPr="00EA6C7A">
        <w:rPr>
          <w:rFonts w:ascii="Verdana" w:eastAsia="Batang" w:hAnsi="Verdana"/>
          <w:sz w:val="20"/>
          <w:szCs w:val="20"/>
          <w:lang w:val="en-US" w:eastAsia="es-MX"/>
        </w:rPr>
        <w:t>Jorge</w:t>
      </w:r>
      <w:r w:rsidR="0017063C" w:rsidRPr="00EA6C7A">
        <w:rPr>
          <w:rFonts w:ascii="Verdana" w:eastAsia="Batang" w:hAnsi="Verdana"/>
          <w:sz w:val="20"/>
          <w:szCs w:val="20"/>
          <w:lang w:val="en-US" w:eastAsia="es-MX"/>
        </w:rPr>
        <w:t xml:space="preserve"> Velásquez </w:t>
      </w:r>
      <w:r w:rsidR="00701D68" w:rsidRPr="00EA6C7A">
        <w:rPr>
          <w:rFonts w:ascii="Verdana" w:eastAsia="Batang" w:hAnsi="Verdana"/>
          <w:sz w:val="20"/>
          <w:szCs w:val="20"/>
          <w:lang w:val="en-US" w:eastAsia="es-MX"/>
        </w:rPr>
        <w:t xml:space="preserve">had become a joint complainant in the proceedings and that “he had been treated improperly and with hostility by the prosecutors, who had re-victimized him, preventing him from having full access to exercise his right to justice.” They argued that there had been “zero” investigation during the first 72 hours and “it began months later, with statements being taken almost one year after,” due to the impetus and constant insistence of </w:t>
      </w:r>
      <w:r w:rsidR="00BB5015" w:rsidRPr="00EA6C7A">
        <w:rPr>
          <w:rFonts w:ascii="Verdana" w:eastAsia="Batang" w:hAnsi="Verdana"/>
          <w:sz w:val="20"/>
          <w:szCs w:val="20"/>
          <w:lang w:val="en-US" w:eastAsia="es-MX"/>
        </w:rPr>
        <w:t>Mr. Velásquez</w:t>
      </w:r>
      <w:r w:rsidR="0017063C" w:rsidRPr="00EA6C7A">
        <w:rPr>
          <w:rFonts w:ascii="Verdana" w:eastAsia="Batang" w:hAnsi="Verdana"/>
          <w:sz w:val="20"/>
          <w:szCs w:val="20"/>
          <w:lang w:val="en-US" w:eastAsia="es-MX"/>
        </w:rPr>
        <w:t xml:space="preserve">. </w:t>
      </w:r>
      <w:r w:rsidR="00701D68" w:rsidRPr="00EA6C7A">
        <w:rPr>
          <w:rFonts w:ascii="Verdana" w:eastAsia="Calibri" w:hAnsi="Verdana"/>
          <w:bCs/>
          <w:sz w:val="20"/>
          <w:szCs w:val="20"/>
          <w:lang w:val="en-US"/>
        </w:rPr>
        <w:t xml:space="preserve">Therefore, they considered that the State had violated the rights </w:t>
      </w:r>
      <w:r w:rsidR="00515C34" w:rsidRPr="00EA6C7A">
        <w:rPr>
          <w:rFonts w:ascii="Verdana" w:eastAsia="Calibri" w:hAnsi="Verdana"/>
          <w:sz w:val="20"/>
          <w:szCs w:val="20"/>
          <w:lang w:val="en-US"/>
        </w:rPr>
        <w:t>recognized in Articles 8(1)</w:t>
      </w:r>
      <w:r w:rsidR="00D948A1" w:rsidRPr="00EA6C7A">
        <w:rPr>
          <w:rFonts w:ascii="Verdana" w:eastAsia="Calibri" w:hAnsi="Verdana"/>
          <w:sz w:val="20"/>
          <w:szCs w:val="20"/>
          <w:lang w:val="en-US"/>
        </w:rPr>
        <w:t xml:space="preserve"> and </w:t>
      </w:r>
      <w:r w:rsidR="00715B6F" w:rsidRPr="00EA6C7A">
        <w:rPr>
          <w:rFonts w:ascii="Verdana" w:eastAsia="Calibri" w:hAnsi="Verdana"/>
          <w:sz w:val="20"/>
          <w:szCs w:val="20"/>
          <w:lang w:val="en-US"/>
        </w:rPr>
        <w:t>25(1)</w:t>
      </w:r>
      <w:r w:rsidR="0096418F" w:rsidRPr="00EA6C7A">
        <w:rPr>
          <w:rFonts w:ascii="Verdana" w:eastAsia="Calibri" w:hAnsi="Verdana"/>
          <w:sz w:val="20"/>
          <w:szCs w:val="20"/>
          <w:lang w:val="en-US"/>
        </w:rPr>
        <w:t xml:space="preserve"> of the </w:t>
      </w:r>
      <w:r w:rsidR="0096418F" w:rsidRPr="00EA6C7A">
        <w:rPr>
          <w:rFonts w:ascii="Verdana" w:eastAsia="Batang" w:hAnsi="Verdana"/>
          <w:sz w:val="20"/>
          <w:szCs w:val="20"/>
          <w:lang w:val="en-US" w:eastAsia="es-MX"/>
        </w:rPr>
        <w:t>American Convention</w:t>
      </w:r>
      <w:r w:rsidR="0017063C" w:rsidRPr="00EA6C7A">
        <w:rPr>
          <w:rFonts w:ascii="Verdana" w:eastAsia="Calibri" w:hAnsi="Verdana"/>
          <w:sz w:val="20"/>
          <w:szCs w:val="20"/>
          <w:lang w:val="en-US"/>
        </w:rPr>
        <w:t xml:space="preserve">, </w:t>
      </w:r>
      <w:r w:rsidR="00123BD3" w:rsidRPr="00EA6C7A">
        <w:rPr>
          <w:rFonts w:ascii="Verdana" w:eastAsia="Calibri" w:hAnsi="Verdana"/>
          <w:sz w:val="20"/>
          <w:szCs w:val="20"/>
          <w:lang w:val="en-US"/>
        </w:rPr>
        <w:t>in relation to Articles 1(1)</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 xml:space="preserve">2 </w:t>
      </w:r>
      <w:r w:rsidR="00715B6F" w:rsidRPr="00EA6C7A">
        <w:rPr>
          <w:rFonts w:ascii="Verdana" w:eastAsia="Calibri" w:hAnsi="Verdana"/>
          <w:sz w:val="20"/>
          <w:szCs w:val="20"/>
          <w:lang w:val="en-US"/>
        </w:rPr>
        <w:t>of this instrument</w:t>
      </w:r>
      <w:r w:rsidR="0017063C" w:rsidRPr="00EA6C7A">
        <w:rPr>
          <w:rFonts w:ascii="Verdana" w:eastAsia="Batang" w:hAnsi="Verdana"/>
          <w:sz w:val="20"/>
          <w:szCs w:val="20"/>
          <w:lang w:val="en-US" w:eastAsia="es-MX"/>
        </w:rPr>
        <w:t>,</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7</w:t>
      </w:r>
      <w:r w:rsidR="0096418F" w:rsidRPr="00EA6C7A">
        <w:rPr>
          <w:rFonts w:ascii="Verdana" w:eastAsia="Calibri" w:hAnsi="Verdana"/>
          <w:sz w:val="20"/>
          <w:szCs w:val="20"/>
          <w:lang w:val="en-US"/>
        </w:rPr>
        <w:t xml:space="preserve"> of the </w:t>
      </w:r>
      <w:r w:rsidR="004554C7" w:rsidRPr="00EA6C7A">
        <w:rPr>
          <w:rFonts w:ascii="Verdana" w:eastAsia="Batang" w:hAnsi="Verdana"/>
          <w:sz w:val="20"/>
          <w:szCs w:val="20"/>
          <w:lang w:val="en-US" w:eastAsia="es-MX"/>
        </w:rPr>
        <w:t>Convention of Belém</w:t>
      </w:r>
      <w:r w:rsidR="0017063C" w:rsidRPr="00EA6C7A">
        <w:rPr>
          <w:rFonts w:ascii="Verdana" w:eastAsia="Calibri" w:hAnsi="Verdana"/>
          <w:sz w:val="20"/>
          <w:szCs w:val="20"/>
          <w:lang w:val="en-US"/>
        </w:rPr>
        <w:t xml:space="preserve"> do Pará, </w:t>
      </w:r>
      <w:r w:rsidR="00123BD3" w:rsidRPr="00EA6C7A">
        <w:rPr>
          <w:rFonts w:ascii="Verdana" w:eastAsia="Calibri" w:hAnsi="Verdana"/>
          <w:sz w:val="20"/>
          <w:szCs w:val="20"/>
          <w:lang w:val="en-US"/>
        </w:rPr>
        <w:t>to the detriment of</w:t>
      </w:r>
      <w:r w:rsidR="0017063C" w:rsidRPr="00EA6C7A">
        <w:rPr>
          <w:rFonts w:ascii="Verdana" w:eastAsia="Calibri" w:hAnsi="Verdana"/>
          <w:sz w:val="20"/>
          <w:szCs w:val="20"/>
          <w:lang w:val="en-US"/>
        </w:rPr>
        <w:t xml:space="preserve"> </w:t>
      </w:r>
      <w:r w:rsidR="00123BD3" w:rsidRPr="00EA6C7A">
        <w:rPr>
          <w:rFonts w:ascii="Verdana" w:eastAsia="Calibri" w:hAnsi="Verdana"/>
          <w:sz w:val="20"/>
          <w:szCs w:val="20"/>
          <w:lang w:val="en-US"/>
        </w:rPr>
        <w:t>the next of kin of</w:t>
      </w:r>
      <w:r w:rsidR="0017063C" w:rsidRPr="00EA6C7A">
        <w:rPr>
          <w:rFonts w:ascii="Verdana" w:eastAsia="Calibri" w:hAnsi="Verdana"/>
          <w:sz w:val="20"/>
          <w:szCs w:val="20"/>
          <w:lang w:val="en-US"/>
        </w:rPr>
        <w:t xml:space="preserve"> Claudina Vel</w:t>
      </w:r>
      <w:r w:rsidR="0017063C" w:rsidRPr="00EA6C7A">
        <w:rPr>
          <w:rFonts w:ascii="Verdana" w:eastAsia="Batang" w:hAnsi="Verdana"/>
          <w:sz w:val="20"/>
          <w:szCs w:val="20"/>
          <w:lang w:val="en-US" w:eastAsia="es-MX"/>
        </w:rPr>
        <w:t>á</w:t>
      </w:r>
      <w:r w:rsidR="0017063C" w:rsidRPr="00EA6C7A">
        <w:rPr>
          <w:rFonts w:ascii="Verdana" w:eastAsia="Calibri" w:hAnsi="Verdana"/>
          <w:sz w:val="20"/>
          <w:szCs w:val="20"/>
          <w:lang w:val="en-US"/>
        </w:rPr>
        <w:t>squez.</w:t>
      </w:r>
      <w:r w:rsidR="0017063C" w:rsidRPr="00EA6C7A">
        <w:rPr>
          <w:rFonts w:ascii="Verdana" w:eastAsia="Batang" w:hAnsi="Verdana"/>
          <w:sz w:val="20"/>
          <w:szCs w:val="20"/>
          <w:lang w:val="en-US" w:eastAsia="es-MX"/>
        </w:rPr>
        <w:t xml:space="preserve"> </w:t>
      </w:r>
    </w:p>
    <w:p w14:paraId="675EC5C4" w14:textId="77777777" w:rsidR="0017063C" w:rsidRPr="00EA6C7A" w:rsidRDefault="0017063C" w:rsidP="0017063C">
      <w:pPr>
        <w:tabs>
          <w:tab w:val="left" w:pos="567"/>
        </w:tabs>
        <w:spacing w:after="0" w:line="240" w:lineRule="auto"/>
        <w:jc w:val="both"/>
        <w:rPr>
          <w:rFonts w:ascii="Verdana" w:eastAsia="Batang" w:hAnsi="Verdana"/>
          <w:sz w:val="20"/>
          <w:szCs w:val="20"/>
          <w:lang w:val="en-US" w:eastAsia="es-MX"/>
        </w:rPr>
      </w:pPr>
    </w:p>
    <w:p w14:paraId="39D5D98E" w14:textId="77777777" w:rsidR="0017063C" w:rsidRPr="00EA6C7A" w:rsidRDefault="00701D68" w:rsidP="002D218C">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eastAsia="Batang" w:hAnsi="Verdana"/>
          <w:sz w:val="20"/>
          <w:szCs w:val="20"/>
          <w:lang w:val="en-US" w:eastAsia="es-MX"/>
        </w:rPr>
        <w:t>In addition</w:t>
      </w:r>
      <w:r w:rsidR="0017063C" w:rsidRPr="00EA6C7A">
        <w:rPr>
          <w:rFonts w:ascii="Verdana" w:eastAsia="Batang" w:hAnsi="Verdana"/>
          <w:sz w:val="20"/>
          <w:szCs w:val="20"/>
          <w:lang w:val="en-US" w:eastAsia="es-MX"/>
        </w:rPr>
        <w:t xml:space="preserve">, </w:t>
      </w:r>
      <w:r w:rsidR="00E43A75" w:rsidRPr="00EA6C7A">
        <w:rPr>
          <w:rFonts w:ascii="Verdana" w:eastAsia="Batang" w:hAnsi="Verdana"/>
          <w:sz w:val="20"/>
          <w:szCs w:val="20"/>
          <w:lang w:val="en-US" w:eastAsia="es-MX"/>
        </w:rPr>
        <w:t>the representatives</w:t>
      </w:r>
      <w:r w:rsidR="0017063C" w:rsidRPr="00EA6C7A">
        <w:rPr>
          <w:rFonts w:ascii="Verdana" w:eastAsia="Batang" w:hAnsi="Verdana"/>
          <w:sz w:val="20"/>
          <w:szCs w:val="20"/>
          <w:lang w:val="en-US" w:eastAsia="es-MX"/>
        </w:rPr>
        <w:t xml:space="preserve"> </w:t>
      </w:r>
      <w:r w:rsidR="0017063C" w:rsidRPr="00EA6C7A">
        <w:rPr>
          <w:rFonts w:ascii="Verdana" w:eastAsia="Calibri" w:hAnsi="Verdana" w:cs="Arial"/>
          <w:sz w:val="20"/>
          <w:szCs w:val="20"/>
          <w:lang w:val="en-US" w:eastAsia="es-MX"/>
        </w:rPr>
        <w:t>argu</w:t>
      </w:r>
      <w:r w:rsidR="002D218C" w:rsidRPr="00EA6C7A">
        <w:rPr>
          <w:rFonts w:ascii="Verdana" w:eastAsia="Calibri" w:hAnsi="Verdana" w:cs="Arial"/>
          <w:sz w:val="20"/>
          <w:szCs w:val="20"/>
          <w:lang w:val="en-US" w:eastAsia="es-MX"/>
        </w:rPr>
        <w:t xml:space="preserve">ed that </w:t>
      </w:r>
      <w:r w:rsidR="00CC3EDA" w:rsidRPr="00EA6C7A">
        <w:rPr>
          <w:rFonts w:ascii="Verdana" w:eastAsia="Calibri" w:hAnsi="Verdana" w:cs="Arial"/>
          <w:sz w:val="20"/>
          <w:szCs w:val="20"/>
          <w:lang w:val="en-US" w:eastAsia="es-MX"/>
        </w:rPr>
        <w:t xml:space="preserve">there are patterns of </w:t>
      </w:r>
      <w:r w:rsidR="002D218C" w:rsidRPr="00EA6C7A">
        <w:rPr>
          <w:rFonts w:ascii="Verdana" w:eastAsia="Calibri" w:hAnsi="Verdana" w:cs="Arial"/>
          <w:sz w:val="20"/>
          <w:szCs w:val="20"/>
          <w:lang w:val="en-US" w:eastAsia="es-MX"/>
        </w:rPr>
        <w:t>stereotyping in the evaluation of case</w:t>
      </w:r>
      <w:r w:rsidR="00701D0E" w:rsidRPr="00EA6C7A">
        <w:rPr>
          <w:rFonts w:ascii="Verdana" w:eastAsia="Calibri" w:hAnsi="Verdana" w:cs="Arial"/>
          <w:sz w:val="20"/>
          <w:szCs w:val="20"/>
          <w:lang w:val="en-US" w:eastAsia="es-MX"/>
        </w:rPr>
        <w:t>s</w:t>
      </w:r>
      <w:r w:rsidR="002D218C" w:rsidRPr="00EA6C7A">
        <w:rPr>
          <w:rFonts w:ascii="Verdana" w:eastAsia="Calibri" w:hAnsi="Verdana" w:cs="Arial"/>
          <w:sz w:val="20"/>
          <w:szCs w:val="20"/>
          <w:lang w:val="en-US" w:eastAsia="es-MX"/>
        </w:rPr>
        <w:t xml:space="preserve"> that </w:t>
      </w:r>
      <w:r w:rsidR="00CC3EDA" w:rsidRPr="00EA6C7A">
        <w:rPr>
          <w:rFonts w:ascii="Verdana" w:eastAsia="Calibri" w:hAnsi="Verdana" w:cs="Arial"/>
          <w:sz w:val="20"/>
          <w:szCs w:val="20"/>
          <w:lang w:val="en-US" w:eastAsia="es-MX"/>
        </w:rPr>
        <w:t>should</w:t>
      </w:r>
      <w:r w:rsidR="00701D0E" w:rsidRPr="00EA6C7A">
        <w:rPr>
          <w:rFonts w:ascii="Verdana" w:eastAsia="Calibri" w:hAnsi="Verdana" w:cs="Arial"/>
          <w:sz w:val="20"/>
          <w:szCs w:val="20"/>
          <w:lang w:val="en-US" w:eastAsia="es-MX"/>
        </w:rPr>
        <w:t xml:space="preserve"> be</w:t>
      </w:r>
      <w:r w:rsidR="002D218C" w:rsidRPr="00EA6C7A">
        <w:rPr>
          <w:rFonts w:ascii="Verdana" w:eastAsia="Calibri" w:hAnsi="Verdana" w:cs="Arial"/>
          <w:sz w:val="20"/>
          <w:szCs w:val="20"/>
          <w:lang w:val="en-US" w:eastAsia="es-MX"/>
        </w:rPr>
        <w:t xml:space="preserve"> investigat</w:t>
      </w:r>
      <w:r w:rsidR="00701D0E" w:rsidRPr="00EA6C7A">
        <w:rPr>
          <w:rFonts w:ascii="Verdana" w:eastAsia="Calibri" w:hAnsi="Verdana" w:cs="Arial"/>
          <w:sz w:val="20"/>
          <w:szCs w:val="20"/>
          <w:lang w:val="en-US" w:eastAsia="es-MX"/>
        </w:rPr>
        <w:t>ed</w:t>
      </w:r>
      <w:r w:rsidR="00CC3EDA" w:rsidRPr="00EA6C7A">
        <w:rPr>
          <w:rFonts w:ascii="Verdana" w:eastAsia="Calibri" w:hAnsi="Verdana" w:cs="Arial"/>
          <w:sz w:val="20"/>
          <w:szCs w:val="20"/>
          <w:lang w:val="en-US" w:eastAsia="es-MX"/>
        </w:rPr>
        <w:t>,</w:t>
      </w:r>
      <w:r w:rsidR="002D218C" w:rsidRPr="00EA6C7A">
        <w:rPr>
          <w:rFonts w:ascii="Verdana" w:eastAsia="Calibri" w:hAnsi="Verdana" w:cs="Arial"/>
          <w:sz w:val="20"/>
          <w:szCs w:val="20"/>
          <w:lang w:val="en-US" w:eastAsia="es-MX"/>
        </w:rPr>
        <w:t xml:space="preserve"> and victims are blamed based on discriminatory criteria</w:t>
      </w:r>
      <w:r w:rsidR="00CC3EDA" w:rsidRPr="00EA6C7A">
        <w:rPr>
          <w:rFonts w:ascii="Verdana" w:eastAsia="Calibri" w:hAnsi="Verdana" w:cs="Arial"/>
          <w:sz w:val="20"/>
          <w:szCs w:val="20"/>
          <w:lang w:val="en-US" w:eastAsia="es-MX"/>
        </w:rPr>
        <w:t>;</w:t>
      </w:r>
      <w:r w:rsidR="002D218C" w:rsidRPr="00EA6C7A">
        <w:rPr>
          <w:rFonts w:ascii="Verdana" w:eastAsia="Calibri" w:hAnsi="Verdana" w:cs="Arial"/>
          <w:sz w:val="20"/>
          <w:szCs w:val="20"/>
          <w:lang w:val="en-US" w:eastAsia="es-MX"/>
        </w:rPr>
        <w:t xml:space="preserve"> </w:t>
      </w:r>
      <w:r w:rsidR="00CC3EDA" w:rsidRPr="00EA6C7A">
        <w:rPr>
          <w:rFonts w:ascii="Verdana" w:eastAsia="Calibri" w:hAnsi="Verdana" w:cs="Arial"/>
          <w:sz w:val="20"/>
          <w:szCs w:val="20"/>
          <w:lang w:val="en-US" w:eastAsia="es-MX"/>
        </w:rPr>
        <w:t>this</w:t>
      </w:r>
      <w:r w:rsidR="002D218C" w:rsidRPr="00EA6C7A">
        <w:rPr>
          <w:rFonts w:ascii="Verdana" w:eastAsia="Calibri" w:hAnsi="Verdana" w:cs="Arial"/>
          <w:sz w:val="20"/>
          <w:szCs w:val="20"/>
          <w:lang w:val="en-US" w:eastAsia="es-MX"/>
        </w:rPr>
        <w:t xml:space="preserve"> prevents criminal prosecution and encourages the repetition of </w:t>
      </w:r>
      <w:r w:rsidR="00CC3EDA" w:rsidRPr="00EA6C7A">
        <w:rPr>
          <w:rFonts w:ascii="Verdana" w:eastAsia="Calibri" w:hAnsi="Verdana" w:cs="Arial"/>
          <w:sz w:val="20"/>
          <w:szCs w:val="20"/>
          <w:lang w:val="en-US" w:eastAsia="es-MX"/>
        </w:rPr>
        <w:t>killings</w:t>
      </w:r>
      <w:r w:rsidR="002D218C" w:rsidRPr="00EA6C7A">
        <w:rPr>
          <w:rFonts w:ascii="Verdana" w:eastAsia="Calibri" w:hAnsi="Verdana" w:cs="Arial"/>
          <w:sz w:val="20"/>
          <w:szCs w:val="20"/>
          <w:lang w:val="en-US" w:eastAsia="es-MX"/>
        </w:rPr>
        <w:t xml:space="preserve"> and misogyny. All this violates </w:t>
      </w:r>
      <w:r w:rsidR="00515C34" w:rsidRPr="00EA6C7A">
        <w:rPr>
          <w:rFonts w:ascii="Verdana" w:eastAsia="Calibri" w:hAnsi="Verdana"/>
          <w:sz w:val="20"/>
          <w:szCs w:val="20"/>
          <w:lang w:val="en-US"/>
        </w:rPr>
        <w:t>the right to</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equality before the law</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contained in</w:t>
      </w:r>
      <w:r w:rsidR="0017063C"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w:t>
      </w:r>
      <w:r w:rsidR="0017063C" w:rsidRPr="00EA6C7A">
        <w:rPr>
          <w:rFonts w:ascii="Verdana" w:eastAsia="Calibri" w:hAnsi="Verdana"/>
          <w:sz w:val="20"/>
          <w:szCs w:val="20"/>
          <w:lang w:val="en-US"/>
        </w:rPr>
        <w:t xml:space="preserve"> 24</w:t>
      </w:r>
      <w:r w:rsidR="0096418F" w:rsidRPr="00EA6C7A">
        <w:rPr>
          <w:rFonts w:ascii="Verdana" w:eastAsia="Calibri" w:hAnsi="Verdana"/>
          <w:sz w:val="20"/>
          <w:szCs w:val="20"/>
          <w:lang w:val="en-US"/>
        </w:rPr>
        <w:t xml:space="preserve"> of the American Convention</w:t>
      </w:r>
      <w:r w:rsidR="0017063C" w:rsidRPr="00EA6C7A">
        <w:rPr>
          <w:rFonts w:ascii="Verdana" w:eastAsia="Calibri" w:hAnsi="Verdana"/>
          <w:sz w:val="20"/>
          <w:szCs w:val="20"/>
          <w:lang w:val="en-US"/>
        </w:rPr>
        <w:t xml:space="preserve">, </w:t>
      </w:r>
      <w:r w:rsidR="002B325A" w:rsidRPr="00EA6C7A">
        <w:rPr>
          <w:rFonts w:ascii="Verdana" w:eastAsia="Calibri" w:hAnsi="Verdana"/>
          <w:sz w:val="20"/>
          <w:szCs w:val="20"/>
          <w:lang w:val="en-US"/>
        </w:rPr>
        <w:t>in relation to Article</w:t>
      </w:r>
      <w:r w:rsidR="00515C34" w:rsidRPr="00EA6C7A">
        <w:rPr>
          <w:rFonts w:ascii="Verdana" w:eastAsia="Calibri" w:hAnsi="Verdana"/>
          <w:sz w:val="20"/>
          <w:szCs w:val="20"/>
          <w:lang w:val="en-US"/>
        </w:rPr>
        <w:t xml:space="preserve"> 1(1)</w:t>
      </w:r>
      <w:r w:rsidR="0017063C" w:rsidRPr="00EA6C7A">
        <w:rPr>
          <w:rFonts w:ascii="Verdana" w:eastAsia="Calibri" w:hAnsi="Verdana"/>
          <w:sz w:val="20"/>
          <w:szCs w:val="20"/>
          <w:lang w:val="en-US"/>
        </w:rPr>
        <w:t xml:space="preserve"> </w:t>
      </w:r>
      <w:r w:rsidR="00715B6F" w:rsidRPr="00EA6C7A">
        <w:rPr>
          <w:rFonts w:ascii="Verdana" w:eastAsia="Calibri" w:hAnsi="Verdana"/>
          <w:sz w:val="20"/>
          <w:szCs w:val="20"/>
          <w:lang w:val="en-US"/>
        </w:rPr>
        <w:t>of this instrument</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 xml:space="preserve">They asserted that the stigmatization </w:t>
      </w:r>
      <w:r w:rsidR="00D10759" w:rsidRPr="00EA6C7A">
        <w:rPr>
          <w:rFonts w:ascii="Verdana" w:hAnsi="Verdana"/>
          <w:sz w:val="20"/>
          <w:szCs w:val="20"/>
          <w:lang w:val="en-US"/>
        </w:rPr>
        <w:t xml:space="preserve">of the </w:t>
      </w:r>
      <w:r w:rsidR="00E43A75" w:rsidRPr="00EA6C7A">
        <w:rPr>
          <w:rFonts w:ascii="Verdana" w:hAnsi="Verdana"/>
          <w:sz w:val="20"/>
          <w:szCs w:val="20"/>
          <w:lang w:val="en-US"/>
        </w:rPr>
        <w:t>presumed victim</w:t>
      </w:r>
      <w:r w:rsidR="0017063C" w:rsidRPr="00EA6C7A">
        <w:rPr>
          <w:rFonts w:ascii="Verdana" w:hAnsi="Verdana"/>
          <w:sz w:val="20"/>
          <w:szCs w:val="20"/>
          <w:lang w:val="en-US"/>
        </w:rPr>
        <w:t xml:space="preserve"> “</w:t>
      </w:r>
      <w:r w:rsidR="002D218C" w:rsidRPr="00EA6C7A">
        <w:rPr>
          <w:rFonts w:ascii="Verdana" w:hAnsi="Verdana"/>
          <w:sz w:val="20"/>
          <w:szCs w:val="20"/>
          <w:lang w:val="en-US"/>
        </w:rPr>
        <w:t xml:space="preserve">did not allow a thorough investigation to be made” and gave rise to “complete impunity” in her case, in violation </w:t>
      </w:r>
      <w:r w:rsidR="001914FC" w:rsidRPr="00EA6C7A">
        <w:rPr>
          <w:rFonts w:ascii="Verdana" w:hAnsi="Verdana"/>
          <w:sz w:val="20"/>
          <w:szCs w:val="20"/>
          <w:lang w:val="en-US"/>
        </w:rPr>
        <w:t xml:space="preserve">of the </w:t>
      </w:r>
      <w:r w:rsidR="00515C34" w:rsidRPr="00EA6C7A">
        <w:rPr>
          <w:rFonts w:ascii="Verdana" w:eastAsia="Calibri" w:hAnsi="Verdana"/>
          <w:sz w:val="20"/>
          <w:szCs w:val="20"/>
          <w:lang w:val="en-US"/>
        </w:rPr>
        <w:t>right to</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equality before the law</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no</w:t>
      </w:r>
      <w:r w:rsidR="002D218C" w:rsidRPr="00EA6C7A">
        <w:rPr>
          <w:rFonts w:ascii="Verdana" w:eastAsia="Calibri" w:hAnsi="Verdana"/>
          <w:sz w:val="20"/>
          <w:szCs w:val="20"/>
          <w:lang w:val="en-US"/>
        </w:rPr>
        <w:t xml:space="preserve">n-discrimination contained in </w:t>
      </w:r>
      <w:r w:rsidR="0096418F" w:rsidRPr="00EA6C7A">
        <w:rPr>
          <w:rFonts w:ascii="Verdana" w:eastAsia="Calibri" w:hAnsi="Verdana"/>
          <w:sz w:val="20"/>
          <w:szCs w:val="20"/>
          <w:lang w:val="en-US"/>
        </w:rPr>
        <w:t>Articles</w:t>
      </w:r>
      <w:r w:rsidR="0017063C" w:rsidRPr="00EA6C7A">
        <w:rPr>
          <w:rFonts w:ascii="Verdana" w:eastAsia="Calibri" w:hAnsi="Verdana"/>
          <w:sz w:val="20"/>
          <w:szCs w:val="20"/>
          <w:lang w:val="en-US"/>
        </w:rPr>
        <w:t xml:space="preserve"> 24</w:t>
      </w:r>
      <w:r w:rsidR="00D948A1" w:rsidRPr="00EA6C7A">
        <w:rPr>
          <w:rFonts w:ascii="Verdana" w:eastAsia="Calibri" w:hAnsi="Verdana"/>
          <w:sz w:val="20"/>
          <w:szCs w:val="20"/>
          <w:lang w:val="en-US"/>
        </w:rPr>
        <w:t xml:space="preserve"> and</w:t>
      </w:r>
      <w:r w:rsidR="00715B6F" w:rsidRPr="00EA6C7A">
        <w:rPr>
          <w:rFonts w:ascii="Verdana" w:eastAsia="Calibri" w:hAnsi="Verdana"/>
          <w:sz w:val="20"/>
          <w:szCs w:val="20"/>
          <w:lang w:val="en-US"/>
        </w:rPr>
        <w:t xml:space="preserve"> 1(1) </w:t>
      </w:r>
      <w:r w:rsidR="0096418F" w:rsidRPr="00EA6C7A">
        <w:rPr>
          <w:rFonts w:ascii="Verdana" w:eastAsia="Calibri" w:hAnsi="Verdana"/>
          <w:sz w:val="20"/>
          <w:szCs w:val="20"/>
          <w:lang w:val="en-US"/>
        </w:rPr>
        <w:t xml:space="preserve">of the </w:t>
      </w:r>
      <w:r w:rsidR="00CC3EDA" w:rsidRPr="00EA6C7A">
        <w:rPr>
          <w:rFonts w:ascii="Verdana" w:eastAsia="Calibri" w:hAnsi="Verdana"/>
          <w:sz w:val="20"/>
          <w:szCs w:val="20"/>
          <w:lang w:val="en-US"/>
        </w:rPr>
        <w:t xml:space="preserve">American </w:t>
      </w:r>
      <w:r w:rsidR="0096418F" w:rsidRPr="00EA6C7A">
        <w:rPr>
          <w:rFonts w:ascii="Verdana" w:eastAsia="Calibri" w:hAnsi="Verdana"/>
          <w:sz w:val="20"/>
          <w:szCs w:val="20"/>
          <w:lang w:val="en-US"/>
        </w:rPr>
        <w:t>Convention</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 xml:space="preserve">in relation to the obligation to ensure the rights recognized </w:t>
      </w:r>
      <w:r w:rsidR="00515C34" w:rsidRPr="00EA6C7A">
        <w:rPr>
          <w:rFonts w:ascii="Verdana" w:eastAsia="Calibri" w:hAnsi="Verdana"/>
          <w:sz w:val="20"/>
          <w:szCs w:val="20"/>
          <w:lang w:val="en-US"/>
        </w:rPr>
        <w:t>in Articles</w:t>
      </w:r>
      <w:r w:rsidR="0017063C" w:rsidRPr="00EA6C7A">
        <w:rPr>
          <w:rFonts w:ascii="Verdana" w:eastAsia="Calibri" w:hAnsi="Verdana"/>
          <w:sz w:val="20"/>
          <w:szCs w:val="20"/>
          <w:lang w:val="en-US"/>
        </w:rPr>
        <w:t xml:space="preserve"> 4, 5</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 xml:space="preserve">11 </w:t>
      </w:r>
      <w:r w:rsidR="00715B6F" w:rsidRPr="00EA6C7A">
        <w:rPr>
          <w:rFonts w:ascii="Verdana" w:eastAsia="Calibri" w:hAnsi="Verdana"/>
          <w:sz w:val="20"/>
          <w:szCs w:val="20"/>
          <w:lang w:val="en-US"/>
        </w:rPr>
        <w:t xml:space="preserve">of </w:t>
      </w:r>
      <w:r w:rsidR="00CC3EDA" w:rsidRPr="00EA6C7A">
        <w:rPr>
          <w:rFonts w:ascii="Verdana" w:eastAsia="Calibri" w:hAnsi="Verdana"/>
          <w:sz w:val="20"/>
          <w:szCs w:val="20"/>
          <w:lang w:val="en-US"/>
        </w:rPr>
        <w:t xml:space="preserve">that </w:t>
      </w:r>
      <w:r w:rsidR="00715B6F" w:rsidRPr="00EA6C7A">
        <w:rPr>
          <w:rFonts w:ascii="Verdana" w:eastAsia="Calibri" w:hAnsi="Verdana"/>
          <w:sz w:val="20"/>
          <w:szCs w:val="20"/>
          <w:lang w:val="en-US"/>
        </w:rPr>
        <w:t>Convention</w:t>
      </w:r>
      <w:r w:rsidR="00D948A1" w:rsidRPr="00EA6C7A">
        <w:rPr>
          <w:rFonts w:ascii="Verdana" w:eastAsia="Calibri" w:hAnsi="Verdana"/>
          <w:sz w:val="20"/>
          <w:szCs w:val="20"/>
          <w:lang w:val="en-US"/>
        </w:rPr>
        <w:t xml:space="preserve"> and </w:t>
      </w:r>
      <w:r w:rsidR="0096418F" w:rsidRPr="00EA6C7A">
        <w:rPr>
          <w:rFonts w:ascii="Verdana" w:eastAsia="Calibri" w:hAnsi="Verdana"/>
          <w:sz w:val="20"/>
          <w:szCs w:val="20"/>
          <w:lang w:val="en-US"/>
        </w:rPr>
        <w:t>Article</w:t>
      </w:r>
      <w:r w:rsidR="0017063C" w:rsidRPr="00EA6C7A">
        <w:rPr>
          <w:rFonts w:ascii="Verdana" w:eastAsia="Calibri" w:hAnsi="Verdana"/>
          <w:sz w:val="20"/>
          <w:szCs w:val="20"/>
          <w:lang w:val="en-US"/>
        </w:rPr>
        <w:t xml:space="preserve"> 7</w:t>
      </w:r>
      <w:r w:rsidR="0096418F" w:rsidRPr="00EA6C7A">
        <w:rPr>
          <w:rFonts w:ascii="Verdana" w:eastAsia="Calibri" w:hAnsi="Verdana"/>
          <w:sz w:val="20"/>
          <w:szCs w:val="20"/>
          <w:lang w:val="en-US"/>
        </w:rPr>
        <w:t xml:space="preserve"> of the </w:t>
      </w:r>
      <w:r w:rsidR="004554C7" w:rsidRPr="00EA6C7A">
        <w:rPr>
          <w:rFonts w:ascii="Verdana" w:eastAsia="Calibri" w:hAnsi="Verdana"/>
          <w:sz w:val="20"/>
          <w:szCs w:val="20"/>
          <w:lang w:val="en-US"/>
        </w:rPr>
        <w:t>Convention of Belém</w:t>
      </w:r>
      <w:r w:rsidR="0017063C" w:rsidRPr="00EA6C7A">
        <w:rPr>
          <w:rFonts w:ascii="Verdana" w:eastAsia="Batang" w:hAnsi="Verdana" w:cs="Arial"/>
          <w:sz w:val="20"/>
          <w:szCs w:val="20"/>
          <w:lang w:val="en-US" w:eastAsia="es-MX"/>
        </w:rPr>
        <w:t xml:space="preserve"> do Pará</w:t>
      </w:r>
      <w:r w:rsidR="0017063C" w:rsidRPr="00EA6C7A">
        <w:rPr>
          <w:rFonts w:ascii="Verdana" w:eastAsia="Calibri" w:hAnsi="Verdana"/>
          <w:sz w:val="20"/>
          <w:szCs w:val="20"/>
          <w:lang w:val="en-US"/>
        </w:rPr>
        <w:t xml:space="preserve">, </w:t>
      </w:r>
      <w:r w:rsidR="00123BD3" w:rsidRPr="00EA6C7A">
        <w:rPr>
          <w:rFonts w:ascii="Verdana" w:eastAsia="Calibri" w:hAnsi="Verdana"/>
          <w:sz w:val="20"/>
          <w:szCs w:val="20"/>
          <w:lang w:val="en-US"/>
        </w:rPr>
        <w:t>to the detriment of</w:t>
      </w:r>
      <w:r w:rsidR="0017063C" w:rsidRPr="00EA6C7A">
        <w:rPr>
          <w:rFonts w:ascii="Verdana" w:eastAsia="Calibri" w:hAnsi="Verdana"/>
          <w:sz w:val="20"/>
          <w:szCs w:val="20"/>
          <w:lang w:val="en-US"/>
        </w:rPr>
        <w:t xml:space="preserve"> Claudina Velásquez, as</w:t>
      </w:r>
      <w:r w:rsidR="002D218C" w:rsidRPr="00EA6C7A">
        <w:rPr>
          <w:rFonts w:ascii="Verdana" w:eastAsia="Calibri" w:hAnsi="Verdana"/>
          <w:sz w:val="20"/>
          <w:szCs w:val="20"/>
          <w:lang w:val="en-US"/>
        </w:rPr>
        <w:t xml:space="preserve"> well as in relation to access to justice</w:t>
      </w:r>
      <w:r w:rsidR="0017063C" w:rsidRPr="00EA6C7A">
        <w:rPr>
          <w:rFonts w:ascii="Verdana" w:eastAsia="Calibri" w:hAnsi="Verdana"/>
          <w:sz w:val="20"/>
          <w:szCs w:val="20"/>
          <w:lang w:val="en-US"/>
        </w:rPr>
        <w:t xml:space="preserve"> </w:t>
      </w:r>
      <w:r w:rsidR="00515C34" w:rsidRPr="00EA6C7A">
        <w:rPr>
          <w:rFonts w:ascii="Verdana" w:eastAsia="Calibri" w:hAnsi="Verdana"/>
          <w:sz w:val="20"/>
          <w:szCs w:val="20"/>
          <w:lang w:val="en-US"/>
        </w:rPr>
        <w:t>recognized in Article</w:t>
      </w:r>
      <w:r w:rsidR="0096418F" w:rsidRPr="00EA6C7A">
        <w:rPr>
          <w:rFonts w:ascii="Verdana" w:eastAsia="Calibri" w:hAnsi="Verdana"/>
          <w:sz w:val="20"/>
          <w:szCs w:val="20"/>
          <w:lang w:val="en-US"/>
        </w:rPr>
        <w:t>s</w:t>
      </w:r>
      <w:r w:rsidR="0017063C" w:rsidRPr="00EA6C7A">
        <w:rPr>
          <w:rFonts w:ascii="Verdana" w:eastAsia="Calibri" w:hAnsi="Verdana"/>
          <w:sz w:val="20"/>
          <w:szCs w:val="20"/>
          <w:lang w:val="en-US"/>
        </w:rPr>
        <w:t xml:space="preserve"> 8</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 xml:space="preserve">25 </w:t>
      </w:r>
      <w:r w:rsidR="002D218C" w:rsidRPr="00EA6C7A">
        <w:rPr>
          <w:rFonts w:ascii="Verdana" w:eastAsia="Calibri" w:hAnsi="Verdana"/>
          <w:sz w:val="20"/>
          <w:szCs w:val="20"/>
          <w:lang w:val="en-US"/>
        </w:rPr>
        <w:t xml:space="preserve">of </w:t>
      </w:r>
      <w:r w:rsidR="00CC3EDA" w:rsidRPr="00EA6C7A">
        <w:rPr>
          <w:rFonts w:ascii="Verdana" w:eastAsia="Calibri" w:hAnsi="Verdana"/>
          <w:sz w:val="20"/>
          <w:szCs w:val="20"/>
          <w:lang w:val="en-US"/>
        </w:rPr>
        <w:t>the American Convention</w:t>
      </w:r>
      <w:r w:rsidR="0017063C" w:rsidRPr="00EA6C7A">
        <w:rPr>
          <w:rFonts w:ascii="Verdana" w:eastAsia="Calibri" w:hAnsi="Verdana"/>
          <w:sz w:val="20"/>
          <w:szCs w:val="20"/>
          <w:lang w:val="en-US"/>
        </w:rPr>
        <w:t xml:space="preserve">, </w:t>
      </w:r>
      <w:r w:rsidR="00123BD3" w:rsidRPr="00EA6C7A">
        <w:rPr>
          <w:rFonts w:ascii="Verdana" w:eastAsia="Calibri" w:hAnsi="Verdana"/>
          <w:sz w:val="20"/>
          <w:szCs w:val="20"/>
          <w:lang w:val="en-US"/>
        </w:rPr>
        <w:t>to the detriment of</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her next of kin</w:t>
      </w:r>
      <w:r w:rsidR="0017063C" w:rsidRPr="00EA6C7A">
        <w:rPr>
          <w:rFonts w:ascii="Verdana" w:eastAsia="Calibri" w:hAnsi="Verdana"/>
          <w:sz w:val="20"/>
          <w:szCs w:val="20"/>
          <w:lang w:val="en-US"/>
        </w:rPr>
        <w:t>.</w:t>
      </w:r>
      <w:r w:rsidR="0017063C" w:rsidRPr="00EA6C7A">
        <w:rPr>
          <w:rFonts w:ascii="Verdana" w:hAnsi="Verdana"/>
          <w:sz w:val="20"/>
          <w:szCs w:val="20"/>
          <w:lang w:val="en-US"/>
        </w:rPr>
        <w:t xml:space="preserve"> </w:t>
      </w:r>
      <w:r w:rsidR="002D218C" w:rsidRPr="00EA6C7A">
        <w:rPr>
          <w:rFonts w:ascii="Verdana" w:hAnsi="Verdana"/>
          <w:sz w:val="20"/>
          <w:szCs w:val="20"/>
          <w:lang w:val="en-US"/>
        </w:rPr>
        <w:t xml:space="preserve">They also indicated that, in this case, “the police made erroneous inferences” about the presumed victim, the value of her life, and the importance of investigating her case, based merely on her manner of dress, in violation of </w:t>
      </w:r>
      <w:r w:rsidR="0017063C" w:rsidRPr="00EA6C7A">
        <w:rPr>
          <w:rFonts w:ascii="Verdana" w:eastAsia="Calibri" w:hAnsi="Verdana"/>
          <w:sz w:val="20"/>
          <w:szCs w:val="20"/>
          <w:lang w:val="en-US"/>
        </w:rPr>
        <w:t>Claudina Velásquez</w:t>
      </w:r>
      <w:r w:rsidR="00CC3EDA" w:rsidRPr="00EA6C7A">
        <w:rPr>
          <w:rFonts w:ascii="Verdana" w:eastAsia="Calibri" w:hAnsi="Verdana"/>
          <w:sz w:val="20"/>
          <w:szCs w:val="20"/>
          <w:lang w:val="en-US"/>
        </w:rPr>
        <w:t>’s right</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to</w:t>
      </w:r>
      <w:r w:rsidR="0017063C" w:rsidRPr="00EA6C7A">
        <w:rPr>
          <w:rFonts w:ascii="Verdana" w:eastAsia="Calibri" w:hAnsi="Verdana"/>
          <w:sz w:val="20"/>
          <w:szCs w:val="20"/>
          <w:lang w:val="en-US"/>
        </w:rPr>
        <w:t xml:space="preserve"> </w:t>
      </w:r>
      <w:r w:rsidR="00DB7189" w:rsidRPr="00EA6C7A">
        <w:rPr>
          <w:rFonts w:ascii="Verdana" w:eastAsia="Calibri" w:hAnsi="Verdana"/>
          <w:sz w:val="20"/>
          <w:szCs w:val="20"/>
          <w:lang w:val="en-US"/>
        </w:rPr>
        <w:t>freedom of expression</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contained in</w:t>
      </w:r>
      <w:r w:rsidR="0017063C"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w:t>
      </w:r>
      <w:r w:rsidR="0017063C" w:rsidRPr="00EA6C7A">
        <w:rPr>
          <w:rFonts w:ascii="Verdana" w:eastAsia="Calibri" w:hAnsi="Verdana"/>
          <w:sz w:val="20"/>
          <w:szCs w:val="20"/>
          <w:lang w:val="en-US"/>
        </w:rPr>
        <w:t xml:space="preserve"> 13, </w:t>
      </w:r>
      <w:r w:rsidR="00123BD3" w:rsidRPr="00EA6C7A">
        <w:rPr>
          <w:rFonts w:ascii="Verdana" w:eastAsia="Calibri" w:hAnsi="Verdana"/>
          <w:sz w:val="20"/>
          <w:szCs w:val="20"/>
          <w:lang w:val="en-US"/>
        </w:rPr>
        <w:t>in relation to Articles 1(1)</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24</w:t>
      </w:r>
      <w:r w:rsidR="0096418F" w:rsidRPr="00EA6C7A">
        <w:rPr>
          <w:rFonts w:ascii="Verdana" w:eastAsia="Calibri" w:hAnsi="Verdana"/>
          <w:sz w:val="20"/>
          <w:szCs w:val="20"/>
          <w:lang w:val="en-US"/>
        </w:rPr>
        <w:t xml:space="preserve"> of the </w:t>
      </w:r>
      <w:r w:rsidR="00CC3EDA" w:rsidRPr="00EA6C7A">
        <w:rPr>
          <w:rFonts w:ascii="Verdana" w:eastAsia="Calibri" w:hAnsi="Verdana"/>
          <w:sz w:val="20"/>
          <w:szCs w:val="20"/>
          <w:lang w:val="en-US"/>
        </w:rPr>
        <w:t xml:space="preserve">American </w:t>
      </w:r>
      <w:r w:rsidR="0096418F" w:rsidRPr="00EA6C7A">
        <w:rPr>
          <w:rFonts w:ascii="Verdana" w:eastAsia="Calibri" w:hAnsi="Verdana"/>
          <w:sz w:val="20"/>
          <w:szCs w:val="20"/>
          <w:lang w:val="en-US"/>
        </w:rPr>
        <w:t>Convention</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7</w:t>
      </w:r>
      <w:r w:rsidR="0096418F" w:rsidRPr="00EA6C7A">
        <w:rPr>
          <w:rFonts w:ascii="Verdana" w:eastAsia="Calibri" w:hAnsi="Verdana"/>
          <w:sz w:val="20"/>
          <w:szCs w:val="20"/>
          <w:lang w:val="en-US"/>
        </w:rPr>
        <w:t xml:space="preserve"> of the </w:t>
      </w:r>
      <w:r w:rsidR="004554C7" w:rsidRPr="00EA6C7A">
        <w:rPr>
          <w:rFonts w:ascii="Verdana" w:eastAsia="Calibri" w:hAnsi="Verdana"/>
          <w:sz w:val="20"/>
          <w:szCs w:val="20"/>
          <w:lang w:val="en-US"/>
        </w:rPr>
        <w:t>Convention of Belém</w:t>
      </w:r>
      <w:r w:rsidR="0017063C" w:rsidRPr="00EA6C7A">
        <w:rPr>
          <w:rFonts w:ascii="Verdana" w:eastAsia="Calibri" w:hAnsi="Verdana"/>
          <w:sz w:val="20"/>
          <w:szCs w:val="20"/>
          <w:lang w:val="en-US"/>
        </w:rPr>
        <w:t xml:space="preserve"> do Pará. </w:t>
      </w:r>
      <w:r w:rsidR="002D218C" w:rsidRPr="00EA6C7A">
        <w:rPr>
          <w:rFonts w:ascii="Verdana" w:hAnsi="Verdana"/>
          <w:sz w:val="20"/>
          <w:szCs w:val="20"/>
          <w:lang w:val="en-US"/>
        </w:rPr>
        <w:t xml:space="preserve">Lastly, they argued that, owing to the prejudices associated with </w:t>
      </w:r>
      <w:r w:rsidR="00CC3EDA" w:rsidRPr="00EA6C7A">
        <w:rPr>
          <w:rFonts w:ascii="Verdana" w:hAnsi="Verdana"/>
          <w:sz w:val="20"/>
          <w:szCs w:val="20"/>
          <w:lang w:val="en-US"/>
        </w:rPr>
        <w:t>the</w:t>
      </w:r>
      <w:r w:rsidR="002D218C" w:rsidRPr="00EA6C7A">
        <w:rPr>
          <w:rFonts w:ascii="Verdana" w:hAnsi="Verdana"/>
          <w:sz w:val="20"/>
          <w:szCs w:val="20"/>
          <w:lang w:val="en-US"/>
        </w:rPr>
        <w:t xml:space="preserve"> manner of dress and the place that the corpse was found, a “low-income neighborhood,” the investigation of the crime scene was conducted carelessly, in violation </w:t>
      </w:r>
      <w:r w:rsidR="001914FC" w:rsidRPr="00EA6C7A">
        <w:rPr>
          <w:rFonts w:ascii="Verdana" w:eastAsia="Calibri" w:hAnsi="Verdana"/>
          <w:sz w:val="20"/>
          <w:szCs w:val="20"/>
          <w:lang w:val="en-US"/>
        </w:rPr>
        <w:t xml:space="preserve">of the </w:t>
      </w:r>
      <w:r w:rsidR="00515C34" w:rsidRPr="00EA6C7A">
        <w:rPr>
          <w:rFonts w:ascii="Verdana" w:eastAsia="Calibri" w:hAnsi="Verdana"/>
          <w:sz w:val="20"/>
          <w:szCs w:val="20"/>
          <w:lang w:val="en-US"/>
        </w:rPr>
        <w:t>right to</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freedom of movement</w:t>
      </w:r>
      <w:r w:rsidR="0017063C" w:rsidRPr="00EA6C7A">
        <w:rPr>
          <w:rFonts w:ascii="Verdana" w:eastAsia="Calibri" w:hAnsi="Verdana"/>
          <w:sz w:val="20"/>
          <w:szCs w:val="20"/>
          <w:lang w:val="en-US"/>
        </w:rPr>
        <w:t xml:space="preserve"> </w:t>
      </w:r>
      <w:r w:rsidR="002D218C" w:rsidRPr="00EA6C7A">
        <w:rPr>
          <w:rFonts w:ascii="Verdana" w:eastAsia="Calibri" w:hAnsi="Verdana"/>
          <w:sz w:val="20"/>
          <w:szCs w:val="20"/>
          <w:lang w:val="en-US"/>
        </w:rPr>
        <w:t>contained in</w:t>
      </w:r>
      <w:r w:rsidR="0017063C"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w:t>
      </w:r>
      <w:r w:rsidR="0017063C" w:rsidRPr="00EA6C7A">
        <w:rPr>
          <w:rFonts w:ascii="Verdana" w:eastAsia="Calibri" w:hAnsi="Verdana"/>
          <w:sz w:val="20"/>
          <w:szCs w:val="20"/>
          <w:lang w:val="en-US"/>
        </w:rPr>
        <w:t xml:space="preserve"> 22, </w:t>
      </w:r>
      <w:r w:rsidR="00123BD3" w:rsidRPr="00EA6C7A">
        <w:rPr>
          <w:rFonts w:ascii="Verdana" w:eastAsia="Calibri" w:hAnsi="Verdana"/>
          <w:sz w:val="20"/>
          <w:szCs w:val="20"/>
          <w:lang w:val="en-US"/>
        </w:rPr>
        <w:t>in relation to Articles 1(1)</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24</w:t>
      </w:r>
      <w:r w:rsidR="0096418F" w:rsidRPr="00EA6C7A">
        <w:rPr>
          <w:rFonts w:ascii="Verdana" w:eastAsia="Calibri" w:hAnsi="Verdana"/>
          <w:sz w:val="20"/>
          <w:szCs w:val="20"/>
          <w:lang w:val="en-US"/>
        </w:rPr>
        <w:t xml:space="preserve"> of the</w:t>
      </w:r>
      <w:r w:rsidR="00CC3EDA" w:rsidRPr="00EA6C7A">
        <w:rPr>
          <w:rFonts w:ascii="Verdana" w:eastAsia="Calibri" w:hAnsi="Verdana"/>
          <w:sz w:val="20"/>
          <w:szCs w:val="20"/>
          <w:lang w:val="en-US"/>
        </w:rPr>
        <w:t xml:space="preserve"> American</w:t>
      </w:r>
      <w:r w:rsidR="0096418F" w:rsidRPr="00EA6C7A">
        <w:rPr>
          <w:rFonts w:ascii="Verdana" w:eastAsia="Calibri" w:hAnsi="Verdana"/>
          <w:sz w:val="20"/>
          <w:szCs w:val="20"/>
          <w:lang w:val="en-US"/>
        </w:rPr>
        <w:t xml:space="preserve"> Convention</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7</w:t>
      </w:r>
      <w:r w:rsidR="0096418F" w:rsidRPr="00EA6C7A">
        <w:rPr>
          <w:rFonts w:ascii="Verdana" w:eastAsia="Calibri" w:hAnsi="Verdana"/>
          <w:sz w:val="20"/>
          <w:szCs w:val="20"/>
          <w:lang w:val="en-US"/>
        </w:rPr>
        <w:t xml:space="preserve"> of the </w:t>
      </w:r>
      <w:r w:rsidR="004554C7" w:rsidRPr="00EA6C7A">
        <w:rPr>
          <w:rFonts w:ascii="Verdana" w:eastAsia="Calibri" w:hAnsi="Verdana"/>
          <w:sz w:val="20"/>
          <w:szCs w:val="20"/>
          <w:lang w:val="en-US"/>
        </w:rPr>
        <w:t>Convention of Belém</w:t>
      </w:r>
      <w:r w:rsidR="0017063C" w:rsidRPr="00EA6C7A">
        <w:rPr>
          <w:rFonts w:ascii="Verdana" w:eastAsia="Calibri" w:hAnsi="Verdana"/>
          <w:sz w:val="20"/>
          <w:szCs w:val="20"/>
          <w:lang w:val="en-US"/>
        </w:rPr>
        <w:t xml:space="preserve"> do Pará, </w:t>
      </w:r>
      <w:r w:rsidR="00123BD3" w:rsidRPr="00EA6C7A">
        <w:rPr>
          <w:rFonts w:ascii="Verdana" w:eastAsia="Calibri" w:hAnsi="Verdana"/>
          <w:sz w:val="20"/>
          <w:szCs w:val="20"/>
          <w:lang w:val="en-US"/>
        </w:rPr>
        <w:t>to the detriment of</w:t>
      </w:r>
      <w:r w:rsidR="0017063C" w:rsidRPr="00EA6C7A">
        <w:rPr>
          <w:rFonts w:ascii="Verdana" w:eastAsia="Calibri" w:hAnsi="Verdana"/>
          <w:sz w:val="20"/>
          <w:szCs w:val="20"/>
          <w:lang w:val="en-US"/>
        </w:rPr>
        <w:t xml:space="preserve"> Claudina Velásquez. </w:t>
      </w:r>
    </w:p>
    <w:p w14:paraId="5C07DEE5" w14:textId="77777777" w:rsidR="0017063C" w:rsidRPr="00EA6C7A" w:rsidRDefault="0017063C" w:rsidP="00831A08">
      <w:pPr>
        <w:tabs>
          <w:tab w:val="left" w:pos="720"/>
        </w:tabs>
        <w:autoSpaceDE w:val="0"/>
        <w:autoSpaceDN w:val="0"/>
        <w:adjustRightInd w:val="0"/>
        <w:spacing w:after="0" w:line="240" w:lineRule="auto"/>
        <w:jc w:val="both"/>
        <w:rPr>
          <w:rFonts w:ascii="Verdana" w:eastAsia="Calibri" w:hAnsi="Verdana" w:cs="Arial"/>
          <w:b/>
          <w:sz w:val="20"/>
          <w:szCs w:val="20"/>
          <w:lang w:val="en-US"/>
        </w:rPr>
      </w:pPr>
    </w:p>
    <w:p w14:paraId="34FEEDE1" w14:textId="77777777" w:rsidR="0017063C" w:rsidRPr="00EA6C7A" w:rsidRDefault="002F3848" w:rsidP="002D218C">
      <w:pPr>
        <w:numPr>
          <w:ilvl w:val="0"/>
          <w:numId w:val="3"/>
        </w:numPr>
        <w:tabs>
          <w:tab w:val="left" w:pos="90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The </w:t>
      </w:r>
      <w:r w:rsidRPr="00EA6C7A">
        <w:rPr>
          <w:rFonts w:ascii="Verdana" w:eastAsia="Batang" w:hAnsi="Verdana"/>
          <w:b/>
          <w:bCs/>
          <w:i/>
          <w:iCs/>
          <w:sz w:val="20"/>
          <w:szCs w:val="20"/>
          <w:lang w:val="en-US" w:eastAsia="es-MX"/>
        </w:rPr>
        <w:t>State</w:t>
      </w:r>
      <w:r w:rsidR="0017063C" w:rsidRPr="00EA6C7A">
        <w:rPr>
          <w:rFonts w:ascii="Verdana" w:eastAsia="Batang" w:hAnsi="Verdana"/>
          <w:sz w:val="20"/>
          <w:szCs w:val="20"/>
          <w:lang w:val="en-US" w:eastAsia="es-MX"/>
        </w:rPr>
        <w:t xml:space="preserve"> indic</w:t>
      </w:r>
      <w:r w:rsidR="002D218C" w:rsidRPr="00EA6C7A">
        <w:rPr>
          <w:rFonts w:ascii="Verdana" w:eastAsia="Batang" w:hAnsi="Verdana"/>
          <w:sz w:val="20"/>
          <w:szCs w:val="20"/>
          <w:lang w:val="en-US" w:eastAsia="es-MX"/>
        </w:rPr>
        <w:t>ated that it had conducted the best investigation</w:t>
      </w:r>
      <w:r w:rsidR="00CC3EDA" w:rsidRPr="00EA6C7A">
        <w:rPr>
          <w:rFonts w:ascii="Verdana" w:eastAsia="Batang" w:hAnsi="Verdana"/>
          <w:sz w:val="20"/>
          <w:szCs w:val="20"/>
          <w:lang w:val="en-US" w:eastAsia="es-MX"/>
        </w:rPr>
        <w:t xml:space="preserve"> </w:t>
      </w:r>
      <w:r w:rsidR="002D218C" w:rsidRPr="00EA6C7A">
        <w:rPr>
          <w:rFonts w:ascii="Verdana" w:eastAsia="Batang" w:hAnsi="Verdana"/>
          <w:sz w:val="20"/>
          <w:szCs w:val="20"/>
          <w:lang w:val="en-US" w:eastAsia="es-MX"/>
        </w:rPr>
        <w:t>within</w:t>
      </w:r>
      <w:r w:rsidR="00CC3EDA" w:rsidRPr="00EA6C7A">
        <w:rPr>
          <w:rFonts w:ascii="Verdana" w:eastAsia="Batang" w:hAnsi="Verdana"/>
          <w:sz w:val="20"/>
          <w:szCs w:val="20"/>
          <w:lang w:val="en-US" w:eastAsia="es-MX"/>
        </w:rPr>
        <w:t xml:space="preserve"> the scope of</w:t>
      </w:r>
      <w:r w:rsidR="002D218C" w:rsidRPr="00EA6C7A">
        <w:rPr>
          <w:rFonts w:ascii="Verdana" w:eastAsia="Batang" w:hAnsi="Verdana"/>
          <w:sz w:val="20"/>
          <w:szCs w:val="20"/>
          <w:lang w:val="en-US" w:eastAsia="es-MX"/>
        </w:rPr>
        <w:t xml:space="preserve"> its possibilities and available resources; that the Public Prosecution Service had not been inactive, and that the failure to i</w:t>
      </w:r>
      <w:r w:rsidR="00CC3EDA" w:rsidRPr="00EA6C7A">
        <w:rPr>
          <w:rFonts w:ascii="Verdana" w:eastAsia="Batang" w:hAnsi="Verdana"/>
          <w:sz w:val="20"/>
          <w:szCs w:val="20"/>
          <w:lang w:val="en-US" w:eastAsia="es-MX"/>
        </w:rPr>
        <w:t>dentify</w:t>
      </w:r>
      <w:r w:rsidR="002D218C" w:rsidRPr="00EA6C7A">
        <w:rPr>
          <w:rFonts w:ascii="Verdana" w:eastAsia="Batang" w:hAnsi="Verdana"/>
          <w:sz w:val="20"/>
          <w:szCs w:val="20"/>
          <w:lang w:val="en-US" w:eastAsia="es-MX"/>
        </w:rPr>
        <w:t xml:space="preserve"> the perpetrator was because the matter was “so complex.” It affirmed that many of the arguments presented concerning the supposed </w:t>
      </w:r>
      <w:r w:rsidR="00CC3EDA" w:rsidRPr="00EA6C7A">
        <w:rPr>
          <w:rFonts w:ascii="Verdana" w:eastAsia="Batang" w:hAnsi="Verdana"/>
          <w:sz w:val="20"/>
          <w:szCs w:val="20"/>
          <w:lang w:val="en-US" w:eastAsia="es-MX"/>
        </w:rPr>
        <w:t>flaws</w:t>
      </w:r>
      <w:r w:rsidR="002D218C" w:rsidRPr="00EA6C7A">
        <w:rPr>
          <w:rFonts w:ascii="Verdana" w:eastAsia="Batang" w:hAnsi="Verdana"/>
          <w:sz w:val="20"/>
          <w:szCs w:val="20"/>
          <w:lang w:val="en-US" w:eastAsia="es-MX"/>
        </w:rPr>
        <w:t xml:space="preserve"> in the preservation of the crime scene “are totally baseless” because it ha</w:t>
      </w:r>
      <w:r w:rsidR="00CC3EDA" w:rsidRPr="00EA6C7A">
        <w:rPr>
          <w:rFonts w:ascii="Verdana" w:eastAsia="Batang" w:hAnsi="Verdana"/>
          <w:sz w:val="20"/>
          <w:szCs w:val="20"/>
          <w:lang w:val="en-US" w:eastAsia="es-MX"/>
        </w:rPr>
        <w:t>d</w:t>
      </w:r>
      <w:r w:rsidR="002D218C" w:rsidRPr="00EA6C7A">
        <w:rPr>
          <w:rFonts w:ascii="Verdana" w:eastAsia="Batang" w:hAnsi="Verdana"/>
          <w:sz w:val="20"/>
          <w:szCs w:val="20"/>
          <w:lang w:val="en-US" w:eastAsia="es-MX"/>
        </w:rPr>
        <w:t xml:space="preserve"> been “fully documented” that the State </w:t>
      </w:r>
      <w:r w:rsidR="00CC3EDA" w:rsidRPr="00EA6C7A">
        <w:rPr>
          <w:rFonts w:ascii="Verdana" w:eastAsia="Batang" w:hAnsi="Verdana"/>
          <w:sz w:val="20"/>
          <w:szCs w:val="20"/>
          <w:lang w:val="en-US" w:eastAsia="es-MX"/>
        </w:rPr>
        <w:t xml:space="preserve">had </w:t>
      </w:r>
      <w:r w:rsidR="002D218C" w:rsidRPr="00EA6C7A">
        <w:rPr>
          <w:rFonts w:ascii="Verdana" w:eastAsia="Batang" w:hAnsi="Verdana"/>
          <w:sz w:val="20"/>
          <w:szCs w:val="20"/>
          <w:lang w:val="en-US" w:eastAsia="es-MX"/>
        </w:rPr>
        <w:t xml:space="preserve">complied diligently with the procedures required </w:t>
      </w:r>
      <w:r w:rsidR="00CC3EDA" w:rsidRPr="00EA6C7A">
        <w:rPr>
          <w:rFonts w:ascii="Verdana" w:eastAsia="Batang" w:hAnsi="Verdana"/>
          <w:sz w:val="20"/>
          <w:szCs w:val="20"/>
          <w:lang w:val="en-US" w:eastAsia="es-MX"/>
        </w:rPr>
        <w:t>by</w:t>
      </w:r>
      <w:r w:rsidR="002D218C" w:rsidRPr="00EA6C7A">
        <w:rPr>
          <w:rFonts w:ascii="Verdana" w:eastAsia="Batang" w:hAnsi="Verdana"/>
          <w:sz w:val="20"/>
          <w:szCs w:val="20"/>
          <w:lang w:val="en-US" w:eastAsia="es-MX"/>
        </w:rPr>
        <w:t xml:space="preserve"> the said circumstances. In this regard, it defended itself based on two actions: (a) it provided information on the procedures conducted, and (b) it referred to the measures taken to rectify some of the i</w:t>
      </w:r>
      <w:r w:rsidR="00505550" w:rsidRPr="00EA6C7A">
        <w:rPr>
          <w:rFonts w:ascii="Verdana" w:eastAsia="Batang" w:hAnsi="Verdana"/>
          <w:sz w:val="20"/>
          <w:szCs w:val="20"/>
          <w:lang w:val="en-US" w:eastAsia="es-MX"/>
        </w:rPr>
        <w:t>rregularities in the investigation</w:t>
      </w:r>
      <w:r w:rsidR="0017063C" w:rsidRPr="00EA6C7A">
        <w:rPr>
          <w:rFonts w:ascii="Verdana" w:eastAsia="Batang" w:hAnsi="Verdana"/>
          <w:sz w:val="20"/>
          <w:szCs w:val="20"/>
          <w:lang w:val="en-US" w:eastAsia="es-MX"/>
        </w:rPr>
        <w:t xml:space="preserve">. </w:t>
      </w:r>
      <w:r w:rsidR="002D218C" w:rsidRPr="00EA6C7A">
        <w:rPr>
          <w:rFonts w:ascii="Verdana" w:eastAsia="Batang" w:hAnsi="Verdana"/>
          <w:sz w:val="20"/>
          <w:szCs w:val="20"/>
          <w:lang w:val="en-US" w:eastAsia="es-MX"/>
        </w:rPr>
        <w:t xml:space="preserve">It also asserted that, according to the standards established in </w:t>
      </w:r>
      <w:r w:rsidR="007E6E93" w:rsidRPr="00EA6C7A">
        <w:rPr>
          <w:rFonts w:ascii="Verdana" w:eastAsia="Batang" w:hAnsi="Verdana"/>
          <w:sz w:val="20"/>
          <w:szCs w:val="20"/>
          <w:lang w:val="en-US" w:eastAsia="es-MX"/>
        </w:rPr>
        <w:t>the case of</w:t>
      </w:r>
      <w:r w:rsidR="001914FC" w:rsidRPr="00EA6C7A">
        <w:rPr>
          <w:rFonts w:ascii="Verdana" w:eastAsia="Batang" w:hAnsi="Verdana"/>
          <w:i/>
          <w:sz w:val="20"/>
          <w:szCs w:val="20"/>
          <w:lang w:val="en-US" w:eastAsia="es-MX"/>
        </w:rPr>
        <w:t xml:space="preserve"> </w:t>
      </w:r>
      <w:r w:rsidR="0017063C" w:rsidRPr="00EA6C7A">
        <w:rPr>
          <w:rFonts w:ascii="Verdana" w:eastAsia="Batang" w:hAnsi="Verdana"/>
          <w:i/>
          <w:sz w:val="20"/>
          <w:szCs w:val="20"/>
          <w:lang w:val="en-US" w:eastAsia="es-MX"/>
        </w:rPr>
        <w:t>Veliz Franco,</w:t>
      </w:r>
      <w:r w:rsidR="0017063C" w:rsidRPr="00EA6C7A">
        <w:rPr>
          <w:rFonts w:ascii="Verdana" w:eastAsia="Batang" w:hAnsi="Verdana"/>
          <w:sz w:val="20"/>
          <w:szCs w:val="20"/>
          <w:lang w:val="en-US" w:eastAsia="es-MX"/>
        </w:rPr>
        <w:t xml:space="preserve"> </w:t>
      </w:r>
      <w:r w:rsidR="002D218C" w:rsidRPr="00EA6C7A">
        <w:rPr>
          <w:rFonts w:ascii="Verdana" w:eastAsia="Batang" w:hAnsi="Verdana"/>
          <w:sz w:val="20"/>
          <w:szCs w:val="20"/>
          <w:lang w:val="en-US" w:eastAsia="es-MX"/>
        </w:rPr>
        <w:t>it had complied with the minimum criteria for an investigation of this type, because it had</w:t>
      </w:r>
      <w:r w:rsidR="0017063C" w:rsidRPr="00EA6C7A">
        <w:rPr>
          <w:rFonts w:ascii="Verdana" w:eastAsia="Batang" w:hAnsi="Verdana"/>
          <w:sz w:val="20"/>
          <w:szCs w:val="20"/>
          <w:lang w:val="en-US" w:eastAsia="es-MX"/>
        </w:rPr>
        <w:t xml:space="preserve">: </w:t>
      </w:r>
      <w:r w:rsidR="00715B6F"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i) identifi</w:t>
      </w:r>
      <w:r w:rsidR="002D218C" w:rsidRPr="00EA6C7A">
        <w:rPr>
          <w:rFonts w:ascii="Verdana" w:eastAsia="Batang" w:hAnsi="Verdana"/>
          <w:sz w:val="20"/>
          <w:szCs w:val="20"/>
          <w:lang w:val="en-US" w:eastAsia="es-MX"/>
        </w:rPr>
        <w:t>ed the victim</w:t>
      </w:r>
      <w:r w:rsidR="0017063C" w:rsidRPr="00EA6C7A">
        <w:rPr>
          <w:rFonts w:ascii="Verdana" w:eastAsia="Batang" w:hAnsi="Verdana"/>
          <w:sz w:val="20"/>
          <w:szCs w:val="20"/>
          <w:lang w:val="en-US" w:eastAsia="es-MX"/>
        </w:rPr>
        <w:t xml:space="preserve">; </w:t>
      </w:r>
      <w:r w:rsidR="00715B6F"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ii) rec</w:t>
      </w:r>
      <w:r w:rsidR="002D218C" w:rsidRPr="00EA6C7A">
        <w:rPr>
          <w:rFonts w:ascii="Verdana" w:eastAsia="Batang" w:hAnsi="Verdana"/>
          <w:sz w:val="20"/>
          <w:szCs w:val="20"/>
          <w:lang w:val="en-US" w:eastAsia="es-MX"/>
        </w:rPr>
        <w:t xml:space="preserve">overed and preserved </w:t>
      </w:r>
      <w:r w:rsidR="00222419" w:rsidRPr="00EA6C7A">
        <w:rPr>
          <w:rFonts w:ascii="Verdana" w:eastAsia="Batang" w:hAnsi="Verdana"/>
          <w:sz w:val="20"/>
          <w:szCs w:val="20"/>
          <w:lang w:val="en-US" w:eastAsia="es-MX"/>
        </w:rPr>
        <w:t>evidentiary</w:t>
      </w:r>
      <w:r w:rsidR="002D218C" w:rsidRPr="00EA6C7A">
        <w:rPr>
          <w:rFonts w:ascii="Verdana" w:eastAsia="Batang" w:hAnsi="Verdana"/>
          <w:sz w:val="20"/>
          <w:szCs w:val="20"/>
          <w:lang w:val="en-US" w:eastAsia="es-MX"/>
        </w:rPr>
        <w:t xml:space="preserve"> material; </w:t>
      </w:r>
      <w:r w:rsidR="00715B6F"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iii) identifi</w:t>
      </w:r>
      <w:r w:rsidR="002D218C" w:rsidRPr="00EA6C7A">
        <w:rPr>
          <w:rFonts w:ascii="Verdana" w:eastAsia="Batang" w:hAnsi="Verdana"/>
          <w:sz w:val="20"/>
          <w:szCs w:val="20"/>
          <w:lang w:val="en-US" w:eastAsia="es-MX"/>
        </w:rPr>
        <w:t>ed possible witnesses and obtained their statements;</w:t>
      </w:r>
      <w:r w:rsidR="0017063C" w:rsidRPr="00EA6C7A">
        <w:rPr>
          <w:rFonts w:ascii="Verdana" w:eastAsia="Batang" w:hAnsi="Verdana"/>
          <w:sz w:val="20"/>
          <w:szCs w:val="20"/>
          <w:lang w:val="en-US" w:eastAsia="es-MX"/>
        </w:rPr>
        <w:t xml:space="preserve"> </w:t>
      </w:r>
      <w:r w:rsidR="00715B6F"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iv) determin</w:t>
      </w:r>
      <w:r w:rsidR="002D218C" w:rsidRPr="00EA6C7A">
        <w:rPr>
          <w:rFonts w:ascii="Verdana" w:eastAsia="Batang" w:hAnsi="Verdana"/>
          <w:sz w:val="20"/>
          <w:szCs w:val="20"/>
          <w:lang w:val="en-US" w:eastAsia="es-MX"/>
        </w:rPr>
        <w:t xml:space="preserve">ed the manner, </w:t>
      </w:r>
      <w:r w:rsidR="00222419" w:rsidRPr="00EA6C7A">
        <w:rPr>
          <w:rFonts w:ascii="Verdana" w:eastAsia="Batang" w:hAnsi="Verdana"/>
          <w:sz w:val="20"/>
          <w:szCs w:val="20"/>
          <w:lang w:val="en-US" w:eastAsia="es-MX"/>
        </w:rPr>
        <w:t>location</w:t>
      </w:r>
      <w:r w:rsidR="002D218C" w:rsidRPr="00EA6C7A">
        <w:rPr>
          <w:rFonts w:ascii="Verdana" w:eastAsia="Batang" w:hAnsi="Verdana"/>
          <w:sz w:val="20"/>
          <w:szCs w:val="20"/>
          <w:lang w:val="en-US" w:eastAsia="es-MX"/>
        </w:rPr>
        <w:t xml:space="preserve">, cause and </w:t>
      </w:r>
      <w:r w:rsidR="00222419" w:rsidRPr="00EA6C7A">
        <w:rPr>
          <w:rFonts w:ascii="Verdana" w:eastAsia="Batang" w:hAnsi="Verdana"/>
          <w:sz w:val="20"/>
          <w:szCs w:val="20"/>
          <w:lang w:val="en-US" w:eastAsia="es-MX"/>
        </w:rPr>
        <w:t>time</w:t>
      </w:r>
      <w:r w:rsidR="002D218C" w:rsidRPr="00EA6C7A">
        <w:rPr>
          <w:rFonts w:ascii="Verdana" w:eastAsia="Batang" w:hAnsi="Verdana"/>
          <w:sz w:val="20"/>
          <w:szCs w:val="20"/>
          <w:lang w:val="en-US" w:eastAsia="es-MX"/>
        </w:rPr>
        <w:t xml:space="preserve"> of death, and </w:t>
      </w:r>
      <w:r w:rsidR="00715B6F"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 xml:space="preserve">v) </w:t>
      </w:r>
      <w:r w:rsidR="00222419" w:rsidRPr="00EA6C7A">
        <w:rPr>
          <w:rFonts w:ascii="Verdana" w:eastAsia="Batang" w:hAnsi="Verdana"/>
          <w:sz w:val="20"/>
          <w:szCs w:val="20"/>
          <w:lang w:val="en-US" w:eastAsia="es-MX"/>
        </w:rPr>
        <w:t xml:space="preserve">distinguished that it was not a </w:t>
      </w:r>
      <w:r w:rsidR="002D218C" w:rsidRPr="00EA6C7A">
        <w:rPr>
          <w:rFonts w:ascii="Verdana" w:eastAsia="Batang" w:hAnsi="Verdana"/>
          <w:sz w:val="20"/>
          <w:szCs w:val="20"/>
          <w:lang w:val="en-US" w:eastAsia="es-MX"/>
        </w:rPr>
        <w:t>natural death, an accidental death or a suicide</w:t>
      </w:r>
      <w:r w:rsidR="0017063C" w:rsidRPr="00EA6C7A">
        <w:rPr>
          <w:rFonts w:ascii="Verdana" w:eastAsia="Batang" w:hAnsi="Verdana"/>
          <w:sz w:val="20"/>
          <w:szCs w:val="20"/>
          <w:lang w:val="en-US" w:eastAsia="es-MX"/>
        </w:rPr>
        <w:t xml:space="preserve">. </w:t>
      </w:r>
      <w:r w:rsidR="002D218C" w:rsidRPr="00EA6C7A">
        <w:rPr>
          <w:rFonts w:ascii="Verdana" w:eastAsia="Batang" w:hAnsi="Verdana"/>
          <w:sz w:val="20"/>
          <w:szCs w:val="20"/>
          <w:lang w:val="en-US" w:eastAsia="es-MX"/>
        </w:rPr>
        <w:t>It also denied that it had violated</w:t>
      </w:r>
      <w:r w:rsidR="0017063C"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Articles</w:t>
      </w:r>
      <w:r w:rsidR="0017063C" w:rsidRPr="00EA6C7A">
        <w:rPr>
          <w:rFonts w:ascii="Verdana" w:eastAsia="Batang" w:hAnsi="Verdana"/>
          <w:sz w:val="20"/>
          <w:szCs w:val="20"/>
          <w:lang w:val="en-US" w:eastAsia="es-MX"/>
        </w:rPr>
        <w:t xml:space="preserve"> 11</w:t>
      </w:r>
      <w:r w:rsidR="002D218C" w:rsidRPr="00EA6C7A">
        <w:rPr>
          <w:rFonts w:ascii="Verdana" w:eastAsia="Batang" w:hAnsi="Verdana"/>
          <w:sz w:val="20"/>
          <w:szCs w:val="20"/>
          <w:lang w:val="en-US" w:eastAsia="es-MX"/>
        </w:rPr>
        <w:t>,</w:t>
      </w:r>
      <w:r w:rsidR="0017063C" w:rsidRPr="00EA6C7A">
        <w:rPr>
          <w:rStyle w:val="Refdenotaalpie"/>
          <w:rFonts w:ascii="Verdana" w:eastAsia="Batang" w:hAnsi="Verdana"/>
          <w:sz w:val="20"/>
          <w:szCs w:val="20"/>
          <w:lang w:val="en-US" w:eastAsia="es-MX"/>
        </w:rPr>
        <w:footnoteReference w:id="219"/>
      </w:r>
      <w:r w:rsidR="0017063C" w:rsidRPr="00EA6C7A">
        <w:rPr>
          <w:rFonts w:ascii="Verdana" w:eastAsia="Batang" w:hAnsi="Verdana"/>
          <w:sz w:val="20"/>
          <w:szCs w:val="20"/>
          <w:lang w:val="en-US" w:eastAsia="es-MX"/>
        </w:rPr>
        <w:t xml:space="preserve"> 13</w:t>
      </w:r>
      <w:r w:rsidR="0017063C" w:rsidRPr="00EA6C7A">
        <w:rPr>
          <w:rStyle w:val="Refdenotaalpie"/>
          <w:rFonts w:ascii="Verdana" w:eastAsia="Batang" w:hAnsi="Verdana"/>
          <w:sz w:val="20"/>
          <w:szCs w:val="20"/>
          <w:lang w:val="en-US" w:eastAsia="es-MX"/>
        </w:rPr>
        <w:footnoteReference w:id="220"/>
      </w:r>
      <w:r w:rsidR="00D948A1" w:rsidRPr="00EA6C7A">
        <w:rPr>
          <w:rFonts w:ascii="Verdana" w:eastAsia="Batang" w:hAnsi="Verdana"/>
          <w:sz w:val="20"/>
          <w:szCs w:val="20"/>
          <w:lang w:val="en-US" w:eastAsia="es-MX"/>
        </w:rPr>
        <w:t xml:space="preserve"> and </w:t>
      </w:r>
      <w:r w:rsidR="0017063C" w:rsidRPr="00EA6C7A">
        <w:rPr>
          <w:rFonts w:ascii="Verdana" w:eastAsia="Batang" w:hAnsi="Verdana"/>
          <w:sz w:val="20"/>
          <w:szCs w:val="20"/>
          <w:lang w:val="en-US" w:eastAsia="es-MX"/>
        </w:rPr>
        <w:t>22</w:t>
      </w:r>
      <w:r w:rsidR="0017063C" w:rsidRPr="00EA6C7A">
        <w:rPr>
          <w:rStyle w:val="Refdenotaalpie"/>
          <w:rFonts w:ascii="Verdana" w:eastAsia="Batang" w:hAnsi="Verdana"/>
          <w:sz w:val="20"/>
          <w:szCs w:val="20"/>
          <w:lang w:val="en-US" w:eastAsia="es-MX"/>
        </w:rPr>
        <w:footnoteReference w:id="221"/>
      </w:r>
      <w:r w:rsidR="0096418F" w:rsidRPr="00EA6C7A">
        <w:rPr>
          <w:rFonts w:ascii="Verdana" w:eastAsia="Batang" w:hAnsi="Verdana"/>
          <w:sz w:val="20"/>
          <w:szCs w:val="20"/>
          <w:lang w:val="en-US" w:eastAsia="es-MX"/>
        </w:rPr>
        <w:t xml:space="preserve"> of </w:t>
      </w:r>
      <w:r w:rsidR="0096418F" w:rsidRPr="00EA6C7A">
        <w:rPr>
          <w:rFonts w:ascii="Verdana" w:eastAsia="Batang" w:hAnsi="Verdana"/>
          <w:sz w:val="20"/>
          <w:szCs w:val="20"/>
          <w:lang w:val="en-US" w:eastAsia="es-MX"/>
        </w:rPr>
        <w:lastRenderedPageBreak/>
        <w:t>the American Convention</w:t>
      </w:r>
      <w:r w:rsidR="0017063C" w:rsidRPr="00EA6C7A">
        <w:rPr>
          <w:rFonts w:ascii="Verdana" w:eastAsia="Batang" w:hAnsi="Verdana"/>
          <w:sz w:val="20"/>
          <w:szCs w:val="20"/>
          <w:lang w:val="en-US" w:eastAsia="es-MX"/>
        </w:rPr>
        <w:t xml:space="preserve">, </w:t>
      </w:r>
      <w:r w:rsidR="00123BD3" w:rsidRPr="00EA6C7A">
        <w:rPr>
          <w:rFonts w:ascii="Verdana" w:eastAsia="Batang" w:hAnsi="Verdana"/>
          <w:sz w:val="20"/>
          <w:szCs w:val="20"/>
          <w:lang w:val="en-US" w:eastAsia="es-MX"/>
        </w:rPr>
        <w:t>in relation to Articles 1(1)</w:t>
      </w:r>
      <w:r w:rsidR="0017063C" w:rsidRPr="00EA6C7A">
        <w:rPr>
          <w:rFonts w:ascii="Verdana" w:eastAsia="Batang" w:hAnsi="Verdana"/>
          <w:sz w:val="20"/>
          <w:szCs w:val="20"/>
          <w:lang w:val="en-US" w:eastAsia="es-MX"/>
        </w:rPr>
        <w:t>, 2</w:t>
      </w:r>
      <w:r w:rsidR="00D948A1" w:rsidRPr="00EA6C7A">
        <w:rPr>
          <w:rFonts w:ascii="Verdana" w:eastAsia="Batang" w:hAnsi="Verdana"/>
          <w:sz w:val="20"/>
          <w:szCs w:val="20"/>
          <w:lang w:val="en-US" w:eastAsia="es-MX"/>
        </w:rPr>
        <w:t xml:space="preserve"> and </w:t>
      </w:r>
      <w:r w:rsidR="0017063C" w:rsidRPr="00EA6C7A">
        <w:rPr>
          <w:rFonts w:ascii="Verdana" w:eastAsia="Batang" w:hAnsi="Verdana"/>
          <w:sz w:val="20"/>
          <w:szCs w:val="20"/>
          <w:lang w:val="en-US" w:eastAsia="es-MX"/>
        </w:rPr>
        <w:t xml:space="preserve">24 </w:t>
      </w:r>
      <w:r w:rsidR="00E63FF1" w:rsidRPr="00EA6C7A">
        <w:rPr>
          <w:rFonts w:ascii="Verdana" w:eastAsia="Batang" w:hAnsi="Verdana"/>
          <w:sz w:val="20"/>
          <w:szCs w:val="20"/>
          <w:lang w:val="en-US" w:eastAsia="es-MX"/>
        </w:rPr>
        <w:t xml:space="preserve">of this instrument </w:t>
      </w:r>
      <w:r w:rsidR="00D948A1" w:rsidRPr="00EA6C7A">
        <w:rPr>
          <w:rFonts w:ascii="Verdana" w:eastAsia="Batang" w:hAnsi="Verdana"/>
          <w:sz w:val="20"/>
          <w:szCs w:val="20"/>
          <w:lang w:val="en-US" w:eastAsia="es-MX"/>
        </w:rPr>
        <w:t xml:space="preserve">and </w:t>
      </w:r>
      <w:r w:rsidR="0096418F"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7</w:t>
      </w:r>
      <w:r w:rsidR="0096418F" w:rsidRPr="00EA6C7A">
        <w:rPr>
          <w:rFonts w:ascii="Verdana" w:eastAsia="Batang" w:hAnsi="Verdana"/>
          <w:sz w:val="20"/>
          <w:szCs w:val="20"/>
          <w:lang w:val="en-US" w:eastAsia="es-MX"/>
        </w:rPr>
        <w:t xml:space="preserve"> of the </w:t>
      </w:r>
      <w:r w:rsidR="004554C7" w:rsidRPr="00EA6C7A">
        <w:rPr>
          <w:rFonts w:ascii="Verdana" w:eastAsia="Batang" w:hAnsi="Verdana"/>
          <w:sz w:val="20"/>
          <w:szCs w:val="20"/>
          <w:lang w:val="en-US" w:eastAsia="es-MX"/>
        </w:rPr>
        <w:t>Convention of Belém</w:t>
      </w:r>
      <w:r w:rsidR="0017063C" w:rsidRPr="00EA6C7A">
        <w:rPr>
          <w:rFonts w:ascii="Verdana" w:eastAsia="Batang" w:hAnsi="Verdana"/>
          <w:sz w:val="20"/>
          <w:szCs w:val="20"/>
          <w:lang w:val="en-US" w:eastAsia="es-MX"/>
        </w:rPr>
        <w:t xml:space="preserve"> do Pará. </w:t>
      </w:r>
      <w:r w:rsidR="002D218C" w:rsidRPr="00EA6C7A">
        <w:rPr>
          <w:rFonts w:ascii="Verdana" w:eastAsia="Batang" w:hAnsi="Verdana"/>
          <w:sz w:val="20"/>
          <w:szCs w:val="20"/>
          <w:lang w:val="en-US" w:eastAsia="es-MX"/>
        </w:rPr>
        <w:t>It indicated tha</w:t>
      </w:r>
      <w:r w:rsidR="00222419" w:rsidRPr="00EA6C7A">
        <w:rPr>
          <w:rFonts w:ascii="Verdana" w:eastAsia="Batang" w:hAnsi="Verdana"/>
          <w:sz w:val="20"/>
          <w:szCs w:val="20"/>
          <w:lang w:val="en-US" w:eastAsia="es-MX"/>
        </w:rPr>
        <w:t>t</w:t>
      </w:r>
      <w:r w:rsidR="002D218C" w:rsidRPr="00EA6C7A">
        <w:rPr>
          <w:rFonts w:ascii="Verdana" w:eastAsia="Batang" w:hAnsi="Verdana"/>
          <w:sz w:val="20"/>
          <w:szCs w:val="20"/>
          <w:lang w:val="en-US" w:eastAsia="es-MX"/>
        </w:rPr>
        <w:t xml:space="preserve"> </w:t>
      </w:r>
      <w:r w:rsidR="00824B0E" w:rsidRPr="00EA6C7A">
        <w:rPr>
          <w:rFonts w:ascii="Verdana" w:eastAsia="Batang" w:hAnsi="Verdana"/>
          <w:sz w:val="20"/>
          <w:szCs w:val="20"/>
          <w:lang w:val="en-US" w:eastAsia="es-MX"/>
        </w:rPr>
        <w:t>it respect</w:t>
      </w:r>
      <w:r w:rsidR="00CC3EDA" w:rsidRPr="00EA6C7A">
        <w:rPr>
          <w:rFonts w:ascii="Verdana" w:eastAsia="Batang" w:hAnsi="Verdana"/>
          <w:sz w:val="20"/>
          <w:szCs w:val="20"/>
          <w:lang w:val="en-US" w:eastAsia="es-MX"/>
        </w:rPr>
        <w:t>ed</w:t>
      </w:r>
      <w:r w:rsidR="00824B0E" w:rsidRPr="00EA6C7A">
        <w:rPr>
          <w:rFonts w:ascii="Verdana" w:eastAsia="Batang" w:hAnsi="Verdana"/>
          <w:sz w:val="20"/>
          <w:szCs w:val="20"/>
          <w:lang w:val="en-US" w:eastAsia="es-MX"/>
        </w:rPr>
        <w:t xml:space="preserve"> and ensure</w:t>
      </w:r>
      <w:r w:rsidR="00CC3EDA" w:rsidRPr="00EA6C7A">
        <w:rPr>
          <w:rFonts w:ascii="Verdana" w:eastAsia="Batang" w:hAnsi="Verdana"/>
          <w:sz w:val="20"/>
          <w:szCs w:val="20"/>
          <w:lang w:val="en-US" w:eastAsia="es-MX"/>
        </w:rPr>
        <w:t>d</w:t>
      </w:r>
      <w:r w:rsidR="00824B0E" w:rsidRPr="00EA6C7A">
        <w:rPr>
          <w:rFonts w:ascii="Verdana" w:eastAsia="Batang" w:hAnsi="Verdana"/>
          <w:sz w:val="20"/>
          <w:szCs w:val="20"/>
          <w:lang w:val="en-US" w:eastAsia="es-MX"/>
        </w:rPr>
        <w:t xml:space="preserve"> </w:t>
      </w:r>
      <w:r w:rsidR="00515C34" w:rsidRPr="00EA6C7A">
        <w:rPr>
          <w:rFonts w:ascii="Verdana" w:eastAsia="Batang" w:hAnsi="Verdana"/>
          <w:sz w:val="20"/>
          <w:szCs w:val="20"/>
          <w:lang w:val="en-US" w:eastAsia="es-MX"/>
        </w:rPr>
        <w:t>the right to</w:t>
      </w:r>
      <w:r w:rsidR="0017063C" w:rsidRPr="00EA6C7A">
        <w:rPr>
          <w:rFonts w:ascii="Verdana" w:eastAsia="Batang" w:hAnsi="Verdana"/>
          <w:sz w:val="20"/>
          <w:szCs w:val="20"/>
          <w:lang w:val="en-US" w:eastAsia="es-MX"/>
        </w:rPr>
        <w:t xml:space="preserve"> </w:t>
      </w:r>
      <w:r w:rsidR="00EB6E56" w:rsidRPr="00EA6C7A">
        <w:rPr>
          <w:rFonts w:ascii="Verdana" w:eastAsia="Batang" w:hAnsi="Verdana"/>
          <w:sz w:val="20"/>
          <w:szCs w:val="20"/>
          <w:lang w:val="en-US" w:eastAsia="es-MX"/>
        </w:rPr>
        <w:t>honor and dignity</w:t>
      </w:r>
      <w:r w:rsidR="0017063C" w:rsidRPr="00EA6C7A">
        <w:rPr>
          <w:rFonts w:ascii="Verdana" w:eastAsia="Batang" w:hAnsi="Verdana"/>
          <w:sz w:val="20"/>
          <w:szCs w:val="20"/>
          <w:lang w:val="en-US" w:eastAsia="es-MX"/>
        </w:rPr>
        <w:t xml:space="preserve">, </w:t>
      </w:r>
      <w:r w:rsidR="00DB7189" w:rsidRPr="00EA6C7A">
        <w:rPr>
          <w:rFonts w:ascii="Verdana" w:eastAsia="Batang" w:hAnsi="Verdana"/>
          <w:sz w:val="20"/>
          <w:szCs w:val="20"/>
          <w:lang w:val="en-US" w:eastAsia="es-MX"/>
        </w:rPr>
        <w:t>freedom of expression</w:t>
      </w:r>
      <w:r w:rsidR="0017063C" w:rsidRPr="00EA6C7A">
        <w:rPr>
          <w:rFonts w:ascii="Verdana" w:eastAsia="Batang" w:hAnsi="Verdana"/>
          <w:sz w:val="20"/>
          <w:szCs w:val="20"/>
          <w:lang w:val="en-US" w:eastAsia="es-MX"/>
        </w:rPr>
        <w:t xml:space="preserve">, </w:t>
      </w:r>
      <w:r w:rsidR="00E63FF1" w:rsidRPr="00EA6C7A">
        <w:rPr>
          <w:rFonts w:ascii="Verdana" w:eastAsia="Batang" w:hAnsi="Verdana"/>
          <w:sz w:val="20"/>
          <w:szCs w:val="20"/>
          <w:lang w:val="en-US" w:eastAsia="es-MX"/>
        </w:rPr>
        <w:t>freedom of thought</w:t>
      </w:r>
      <w:r w:rsidR="0017063C" w:rsidRPr="00EA6C7A">
        <w:rPr>
          <w:rFonts w:ascii="Verdana" w:eastAsia="Batang" w:hAnsi="Verdana"/>
          <w:sz w:val="20"/>
          <w:szCs w:val="20"/>
          <w:lang w:val="en-US" w:eastAsia="es-MX"/>
        </w:rPr>
        <w:t xml:space="preserve">, </w:t>
      </w:r>
      <w:r w:rsidR="00E63FF1" w:rsidRPr="00EA6C7A">
        <w:rPr>
          <w:rFonts w:ascii="Verdana" w:eastAsia="Batang" w:hAnsi="Verdana"/>
          <w:sz w:val="20"/>
          <w:szCs w:val="20"/>
          <w:lang w:val="en-US" w:eastAsia="es-MX"/>
        </w:rPr>
        <w:t>opinion and information</w:t>
      </w:r>
      <w:r w:rsidR="0017063C" w:rsidRPr="00EA6C7A">
        <w:rPr>
          <w:rFonts w:ascii="Verdana" w:eastAsia="Batang" w:hAnsi="Verdana"/>
          <w:sz w:val="20"/>
          <w:szCs w:val="20"/>
          <w:lang w:val="en-US" w:eastAsia="es-MX"/>
        </w:rPr>
        <w:t xml:space="preserve">, </w:t>
      </w:r>
      <w:r w:rsidR="00E63FF1" w:rsidRPr="00EA6C7A">
        <w:rPr>
          <w:rFonts w:ascii="Verdana" w:eastAsia="Batang" w:hAnsi="Verdana"/>
          <w:sz w:val="20"/>
          <w:szCs w:val="20"/>
          <w:lang w:val="en-US" w:eastAsia="es-MX"/>
        </w:rPr>
        <w:t>freedom of movement</w:t>
      </w:r>
      <w:r w:rsidR="00CC3EDA"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and </w:t>
      </w:r>
      <w:r w:rsidR="00E63FF1" w:rsidRPr="00EA6C7A">
        <w:rPr>
          <w:rFonts w:ascii="Verdana" w:eastAsia="Batang" w:hAnsi="Verdana"/>
          <w:sz w:val="20"/>
          <w:szCs w:val="20"/>
          <w:lang w:val="en-US" w:eastAsia="es-MX"/>
        </w:rPr>
        <w:t>equality before the law</w:t>
      </w:r>
      <w:r w:rsidR="0017063C" w:rsidRPr="00EA6C7A">
        <w:rPr>
          <w:rFonts w:ascii="Verdana" w:eastAsia="Batang" w:hAnsi="Verdana"/>
          <w:sz w:val="20"/>
          <w:szCs w:val="20"/>
          <w:lang w:val="en-US" w:eastAsia="es-MX"/>
        </w:rPr>
        <w:t xml:space="preserve">, </w:t>
      </w:r>
      <w:r w:rsidR="00824B0E" w:rsidRPr="00EA6C7A">
        <w:rPr>
          <w:rFonts w:ascii="Verdana" w:eastAsia="Batang" w:hAnsi="Verdana"/>
          <w:sz w:val="20"/>
          <w:szCs w:val="20"/>
          <w:lang w:val="en-US" w:eastAsia="es-MX"/>
        </w:rPr>
        <w:t xml:space="preserve">because these are established in domestic law pursuant to </w:t>
      </w:r>
      <w:r w:rsidR="0096418F" w:rsidRPr="00EA6C7A">
        <w:rPr>
          <w:rFonts w:ascii="Verdana" w:eastAsia="Batang" w:hAnsi="Verdana"/>
          <w:sz w:val="20"/>
          <w:szCs w:val="20"/>
          <w:lang w:val="en-US" w:eastAsia="es-MX"/>
        </w:rPr>
        <w:t>the American Convention</w:t>
      </w:r>
      <w:r w:rsidR="0017063C" w:rsidRPr="00EA6C7A">
        <w:rPr>
          <w:rFonts w:ascii="Verdana" w:eastAsia="Batang" w:hAnsi="Verdana"/>
          <w:sz w:val="20"/>
          <w:szCs w:val="20"/>
          <w:lang w:val="en-US" w:eastAsia="es-MX"/>
        </w:rPr>
        <w:t xml:space="preserve">. </w:t>
      </w:r>
    </w:p>
    <w:p w14:paraId="32F89FCA" w14:textId="77777777" w:rsidR="0017063C" w:rsidRPr="00EA6C7A" w:rsidRDefault="0017063C" w:rsidP="0017063C">
      <w:pPr>
        <w:tabs>
          <w:tab w:val="left" w:pos="567"/>
        </w:tabs>
        <w:spacing w:after="0" w:line="240" w:lineRule="auto"/>
        <w:jc w:val="both"/>
        <w:rPr>
          <w:rFonts w:ascii="Verdana" w:eastAsia="Batang" w:hAnsi="Verdana"/>
          <w:sz w:val="20"/>
          <w:szCs w:val="20"/>
          <w:lang w:val="en-US" w:eastAsia="es-MX"/>
        </w:rPr>
      </w:pPr>
    </w:p>
    <w:p w14:paraId="0716D410" w14:textId="77777777" w:rsidR="0017063C" w:rsidRPr="00EA6C7A" w:rsidRDefault="00607287" w:rsidP="00723B1C">
      <w:pPr>
        <w:numPr>
          <w:ilvl w:val="0"/>
          <w:numId w:val="3"/>
        </w:numPr>
        <w:tabs>
          <w:tab w:val="left" w:pos="720"/>
        </w:tabs>
        <w:spacing w:after="0" w:line="240" w:lineRule="auto"/>
        <w:ind w:left="0" w:firstLine="0"/>
        <w:jc w:val="both"/>
        <w:rPr>
          <w:rFonts w:ascii="Verdana" w:hAnsi="Verdana"/>
          <w:sz w:val="20"/>
          <w:szCs w:val="20"/>
          <w:lang w:val="en-US"/>
        </w:rPr>
      </w:pPr>
      <w:r w:rsidRPr="00EA6C7A">
        <w:rPr>
          <w:rFonts w:ascii="Verdana" w:eastAsia="Batang" w:hAnsi="Verdana"/>
          <w:sz w:val="20"/>
          <w:szCs w:val="20"/>
          <w:lang w:val="en-US" w:eastAsia="es-MX"/>
        </w:rPr>
        <w:t>I</w:t>
      </w:r>
      <w:r w:rsidR="0017063C" w:rsidRPr="00EA6C7A">
        <w:rPr>
          <w:rFonts w:ascii="Verdana" w:eastAsia="Batang" w:hAnsi="Verdana"/>
          <w:sz w:val="20"/>
          <w:szCs w:val="20"/>
          <w:lang w:val="en-US" w:eastAsia="es-MX"/>
        </w:rPr>
        <w:t xml:space="preserve">n particular, </w:t>
      </w:r>
      <w:r w:rsidR="002F3848" w:rsidRPr="00EA6C7A">
        <w:rPr>
          <w:rFonts w:ascii="Verdana" w:eastAsia="Batang" w:hAnsi="Verdana"/>
          <w:sz w:val="20"/>
          <w:szCs w:val="20"/>
          <w:lang w:val="en-US" w:eastAsia="es-MX"/>
        </w:rPr>
        <w:t>the State</w:t>
      </w:r>
      <w:r w:rsidR="0017063C" w:rsidRPr="00EA6C7A">
        <w:rPr>
          <w:rFonts w:ascii="Verdana" w:eastAsia="Batang" w:hAnsi="Verdana"/>
          <w:sz w:val="20"/>
          <w:szCs w:val="20"/>
          <w:lang w:val="en-US" w:eastAsia="es-MX"/>
        </w:rPr>
        <w:t xml:space="preserve"> </w:t>
      </w:r>
      <w:r w:rsidR="006A0BDC" w:rsidRPr="00EA6C7A">
        <w:rPr>
          <w:rFonts w:ascii="Verdana" w:eastAsia="Batang" w:hAnsi="Verdana"/>
          <w:sz w:val="20"/>
          <w:szCs w:val="20"/>
          <w:lang w:val="en-US" w:eastAsia="es-MX"/>
        </w:rPr>
        <w:t>a</w:t>
      </w:r>
      <w:r w:rsidR="00BF44A8" w:rsidRPr="00EA6C7A">
        <w:rPr>
          <w:rFonts w:ascii="Verdana" w:eastAsia="Batang" w:hAnsi="Verdana"/>
          <w:sz w:val="20"/>
          <w:szCs w:val="20"/>
          <w:lang w:val="en-US" w:eastAsia="es-MX"/>
        </w:rPr>
        <w:t>ssert</w:t>
      </w:r>
      <w:r w:rsidR="006A0BDC" w:rsidRPr="00EA6C7A">
        <w:rPr>
          <w:rFonts w:ascii="Verdana" w:eastAsia="Batang" w:hAnsi="Verdana"/>
          <w:sz w:val="20"/>
          <w:szCs w:val="20"/>
          <w:lang w:val="en-US" w:eastAsia="es-MX"/>
        </w:rPr>
        <w:t xml:space="preserve">ed that domestic law </w:t>
      </w:r>
      <w:r w:rsidR="0092568A" w:rsidRPr="00EA6C7A">
        <w:rPr>
          <w:rFonts w:ascii="Verdana" w:eastAsia="Calibri" w:hAnsi="Verdana"/>
          <w:sz w:val="20"/>
          <w:szCs w:val="20"/>
          <w:lang w:val="en-US"/>
        </w:rPr>
        <w:t>establishe</w:t>
      </w:r>
      <w:r w:rsidR="006A0BDC" w:rsidRPr="00EA6C7A">
        <w:rPr>
          <w:rFonts w:ascii="Verdana" w:eastAsia="Calibri" w:hAnsi="Verdana"/>
          <w:sz w:val="20"/>
          <w:szCs w:val="20"/>
          <w:lang w:val="en-US"/>
        </w:rPr>
        <w:t>d</w:t>
      </w:r>
      <w:r w:rsidR="0017063C" w:rsidRPr="00EA6C7A">
        <w:rPr>
          <w:rFonts w:ascii="Verdana" w:eastAsia="Calibri" w:hAnsi="Verdana"/>
          <w:sz w:val="20"/>
          <w:szCs w:val="20"/>
          <w:lang w:val="en-US"/>
        </w:rPr>
        <w:t xml:space="preserve"> </w:t>
      </w:r>
      <w:r w:rsidRPr="00EA6C7A">
        <w:rPr>
          <w:rFonts w:ascii="Verdana" w:eastAsia="Calibri" w:hAnsi="Verdana"/>
          <w:sz w:val="20"/>
          <w:szCs w:val="20"/>
          <w:lang w:val="en-US"/>
        </w:rPr>
        <w:t>a legal framework</w:t>
      </w:r>
      <w:r w:rsidR="0017063C" w:rsidRPr="00EA6C7A">
        <w:rPr>
          <w:rFonts w:ascii="Verdana" w:eastAsia="Calibri" w:hAnsi="Verdana"/>
          <w:sz w:val="20"/>
          <w:szCs w:val="20"/>
          <w:lang w:val="en-US"/>
        </w:rPr>
        <w:t xml:space="preserve"> </w:t>
      </w:r>
      <w:r w:rsidR="006A0BDC" w:rsidRPr="00EA6C7A">
        <w:rPr>
          <w:rFonts w:ascii="Verdana" w:eastAsia="Calibri" w:hAnsi="Verdana"/>
          <w:sz w:val="20"/>
          <w:szCs w:val="20"/>
          <w:lang w:val="en-US"/>
        </w:rPr>
        <w:t xml:space="preserve">that protected and </w:t>
      </w:r>
      <w:r w:rsidR="00CC3EDA" w:rsidRPr="00EA6C7A">
        <w:rPr>
          <w:rFonts w:ascii="Verdana" w:eastAsia="Calibri" w:hAnsi="Verdana"/>
          <w:sz w:val="20"/>
          <w:szCs w:val="20"/>
          <w:lang w:val="en-US"/>
        </w:rPr>
        <w:t>guaranteed</w:t>
      </w:r>
      <w:r w:rsidR="006A0BDC" w:rsidRPr="00EA6C7A">
        <w:rPr>
          <w:rFonts w:ascii="Verdana" w:eastAsia="Calibri" w:hAnsi="Verdana"/>
          <w:sz w:val="20"/>
          <w:szCs w:val="20"/>
          <w:lang w:val="en-US"/>
        </w:rPr>
        <w:t xml:space="preserve"> the life of women, their holistic development, and their participation at all levels of the country, as well as regulating the application of measures of protection, punishment, comprehensive care, and prevention of violence and discrimination against women. The State explained that it had created various institution with the purpose of preventing and punishing the perpetration of crimes against women. In the specific case of Claudina Velásquez, it denied that there had been a lack of due diligence </w:t>
      </w:r>
      <w:r w:rsidR="00CC3EDA" w:rsidRPr="00EA6C7A">
        <w:rPr>
          <w:rFonts w:ascii="Verdana" w:eastAsia="Calibri" w:hAnsi="Verdana"/>
          <w:sz w:val="20"/>
          <w:szCs w:val="20"/>
          <w:lang w:val="en-US"/>
        </w:rPr>
        <w:t>to address</w:t>
      </w:r>
      <w:r w:rsidR="006A0BDC" w:rsidRPr="00EA6C7A">
        <w:rPr>
          <w:rFonts w:ascii="Verdana" w:eastAsia="Calibri" w:hAnsi="Verdana"/>
          <w:sz w:val="20"/>
          <w:szCs w:val="20"/>
          <w:lang w:val="en-US"/>
        </w:rPr>
        <w:t xml:space="preserve"> a case of gender-based violence, underscoring that its officials acted in keeping </w:t>
      </w:r>
      <w:r w:rsidR="00671A06" w:rsidRPr="00EA6C7A">
        <w:rPr>
          <w:rFonts w:ascii="Verdana" w:eastAsia="Calibri" w:hAnsi="Verdana"/>
          <w:sz w:val="20"/>
          <w:szCs w:val="20"/>
          <w:lang w:val="en-US"/>
        </w:rPr>
        <w:t>with</w:t>
      </w:r>
      <w:r w:rsidR="006A0BDC" w:rsidRPr="00EA6C7A">
        <w:rPr>
          <w:rFonts w:ascii="Verdana" w:eastAsia="Calibri" w:hAnsi="Verdana"/>
          <w:sz w:val="20"/>
          <w:szCs w:val="20"/>
          <w:lang w:val="en-US"/>
        </w:rPr>
        <w:t xml:space="preserve"> the legal framework in force at the time of the facts. It asserted “that there [was] no document in the proceedings that records [the] fact” that the presumed victim was subject to stereotyping during the investigation and that, at no time, had there been discrimination against the </w:t>
      </w:r>
      <w:r w:rsidR="006A0BDC" w:rsidRPr="00EA6C7A">
        <w:rPr>
          <w:rFonts w:ascii="Verdana" w:hAnsi="Verdana"/>
          <w:sz w:val="20"/>
          <w:szCs w:val="20"/>
          <w:lang w:val="en-US"/>
        </w:rPr>
        <w:t xml:space="preserve">Velásquez Paiz family for </w:t>
      </w:r>
      <w:r w:rsidR="006A0BDC" w:rsidRPr="00EA6C7A">
        <w:rPr>
          <w:rFonts w:ascii="Verdana" w:hAnsi="Verdana"/>
          <w:spacing w:val="-3"/>
          <w:sz w:val="20"/>
          <w:szCs w:val="20"/>
          <w:lang w:val="en-US"/>
        </w:rPr>
        <w:t xml:space="preserve">reasons of race, beliefs, sex, religion or any other attribute of their personalities. The State argued that, regardless of the shortcomings or the way in which the crime scene was handled, the State’s position had never been designed to discriminate against the victim or her family. It indicated that, even though there could have been errors in the autopsy that was performed, actions were taken to determine whether the presumed victim had been raped and, in this regard, </w:t>
      </w:r>
      <w:r w:rsidR="00723B1C" w:rsidRPr="00EA6C7A">
        <w:rPr>
          <w:rFonts w:ascii="Verdana" w:hAnsi="Verdana"/>
          <w:spacing w:val="-3"/>
          <w:sz w:val="20"/>
          <w:szCs w:val="20"/>
          <w:lang w:val="en-US"/>
        </w:rPr>
        <w:t>vaginal and anal swabs were taken, which established the presence of semen. In addition, it indicated that “there was no action protocol</w:t>
      </w:r>
      <w:r w:rsidR="00FC5EE8" w:rsidRPr="00EA6C7A">
        <w:rPr>
          <w:rFonts w:ascii="Verdana" w:hAnsi="Verdana"/>
          <w:spacing w:val="-3"/>
          <w:sz w:val="20"/>
          <w:szCs w:val="20"/>
          <w:lang w:val="en-US"/>
        </w:rPr>
        <w:t>,</w:t>
      </w:r>
      <w:r w:rsidR="00723B1C" w:rsidRPr="00EA6C7A">
        <w:rPr>
          <w:rFonts w:ascii="Verdana" w:hAnsi="Verdana"/>
          <w:spacing w:val="-3"/>
          <w:sz w:val="20"/>
          <w:szCs w:val="20"/>
          <w:lang w:val="en-US"/>
        </w:rPr>
        <w:t xml:space="preserve"> or order or procedure,” in which State officials had indicated any discriminatory opinion of </w:t>
      </w:r>
      <w:r w:rsidR="0017063C" w:rsidRPr="00EA6C7A">
        <w:rPr>
          <w:rFonts w:ascii="Verdana" w:hAnsi="Verdana"/>
          <w:sz w:val="20"/>
          <w:szCs w:val="20"/>
          <w:lang w:val="en-US"/>
        </w:rPr>
        <w:t xml:space="preserve">Claudina Velásquez </w:t>
      </w:r>
      <w:r w:rsidR="00723B1C" w:rsidRPr="00EA6C7A">
        <w:rPr>
          <w:rFonts w:ascii="Verdana" w:hAnsi="Verdana"/>
          <w:sz w:val="20"/>
          <w:szCs w:val="20"/>
          <w:lang w:val="en-US"/>
        </w:rPr>
        <w:t xml:space="preserve">owing to her manner of dress, or her appearance, condition, situation, </w:t>
      </w:r>
      <w:r w:rsidR="00FC5EE8" w:rsidRPr="00EA6C7A">
        <w:rPr>
          <w:rFonts w:ascii="Verdana" w:hAnsi="Verdana"/>
          <w:sz w:val="20"/>
          <w:szCs w:val="20"/>
          <w:lang w:val="en-US"/>
        </w:rPr>
        <w:t>status</w:t>
      </w:r>
      <w:r w:rsidR="00723B1C" w:rsidRPr="00EA6C7A">
        <w:rPr>
          <w:rFonts w:ascii="Verdana" w:hAnsi="Verdana"/>
          <w:sz w:val="20"/>
          <w:szCs w:val="20"/>
          <w:lang w:val="en-US"/>
        </w:rPr>
        <w:t xml:space="preserve"> or the place where she was found, and that there had never been any attempt to transfer the blame of what happened to </w:t>
      </w:r>
      <w:r w:rsidR="00E43A75" w:rsidRPr="00EA6C7A">
        <w:rPr>
          <w:rFonts w:ascii="Verdana" w:hAnsi="Verdana"/>
          <w:sz w:val="20"/>
          <w:szCs w:val="20"/>
          <w:lang w:val="en-US"/>
        </w:rPr>
        <w:t>the presumed victim</w:t>
      </w:r>
      <w:r w:rsidR="0017063C" w:rsidRPr="00EA6C7A">
        <w:rPr>
          <w:rFonts w:ascii="Verdana" w:hAnsi="Verdana"/>
          <w:sz w:val="20"/>
          <w:szCs w:val="20"/>
          <w:lang w:val="en-US"/>
        </w:rPr>
        <w:t xml:space="preserve">. </w:t>
      </w:r>
      <w:r w:rsidR="00723B1C" w:rsidRPr="00EA6C7A">
        <w:rPr>
          <w:rFonts w:ascii="Verdana" w:hAnsi="Verdana"/>
          <w:sz w:val="20"/>
          <w:szCs w:val="20"/>
          <w:lang w:val="en-US"/>
        </w:rPr>
        <w:t xml:space="preserve">It also argued that the investigation was headed by </w:t>
      </w:r>
      <w:r w:rsidR="00FC5EE8" w:rsidRPr="00EA6C7A">
        <w:rPr>
          <w:rFonts w:ascii="Verdana" w:hAnsi="Verdana"/>
          <w:sz w:val="20"/>
          <w:szCs w:val="20"/>
          <w:lang w:val="en-US"/>
        </w:rPr>
        <w:t xml:space="preserve">the </w:t>
      </w:r>
      <w:r w:rsidR="00B3248B" w:rsidRPr="00EA6C7A">
        <w:rPr>
          <w:rFonts w:ascii="Verdana" w:hAnsi="Verdana"/>
          <w:sz w:val="20"/>
          <w:szCs w:val="20"/>
          <w:lang w:val="en-US"/>
        </w:rPr>
        <w:t>Public Prosecution Service</w:t>
      </w:r>
      <w:r w:rsidR="0017063C" w:rsidRPr="00EA6C7A">
        <w:rPr>
          <w:rFonts w:ascii="Verdana" w:hAnsi="Verdana"/>
          <w:sz w:val="20"/>
          <w:szCs w:val="20"/>
          <w:lang w:val="en-US"/>
        </w:rPr>
        <w:t xml:space="preserve">, </w:t>
      </w:r>
      <w:r w:rsidR="00723B1C" w:rsidRPr="00EA6C7A">
        <w:rPr>
          <w:rFonts w:ascii="Verdana" w:hAnsi="Verdana"/>
          <w:sz w:val="20"/>
          <w:szCs w:val="20"/>
          <w:lang w:val="en-US"/>
        </w:rPr>
        <w:t>to which the Police are subordinated, so that any opinion issued by a police agent “was made personally, and did not affect the investigation.</w:t>
      </w:r>
      <w:r w:rsidR="0017063C" w:rsidRPr="00EA6C7A">
        <w:rPr>
          <w:rFonts w:ascii="Verdana" w:hAnsi="Verdana"/>
          <w:sz w:val="20"/>
          <w:szCs w:val="20"/>
          <w:lang w:val="en-US"/>
        </w:rPr>
        <w:t xml:space="preserve">” </w:t>
      </w:r>
    </w:p>
    <w:p w14:paraId="11D22ED3" w14:textId="77777777" w:rsidR="0017063C" w:rsidRPr="00EA6C7A" w:rsidRDefault="0017063C" w:rsidP="0017063C">
      <w:pPr>
        <w:autoSpaceDE w:val="0"/>
        <w:autoSpaceDN w:val="0"/>
        <w:adjustRightInd w:val="0"/>
        <w:spacing w:after="0" w:line="240" w:lineRule="auto"/>
        <w:jc w:val="both"/>
        <w:rPr>
          <w:rFonts w:ascii="Verdana" w:hAnsi="Verdana"/>
          <w:sz w:val="16"/>
          <w:szCs w:val="20"/>
          <w:lang w:val="en-US"/>
        </w:rPr>
      </w:pPr>
    </w:p>
    <w:p w14:paraId="475B134B" w14:textId="77777777" w:rsidR="0017063C" w:rsidRPr="00EA6C7A" w:rsidRDefault="0017063C" w:rsidP="0017063C">
      <w:pPr>
        <w:pStyle w:val="Sentencia3"/>
        <w:rPr>
          <w:b/>
          <w:lang w:val="en-US"/>
        </w:rPr>
      </w:pPr>
      <w:bookmarkStart w:id="74" w:name="_Toc26002321"/>
      <w:r w:rsidRPr="00EA6C7A">
        <w:rPr>
          <w:b/>
          <w:lang w:val="en-US"/>
        </w:rPr>
        <w:t xml:space="preserve">B. </w:t>
      </w:r>
      <w:r w:rsidR="008524CB" w:rsidRPr="00EA6C7A">
        <w:rPr>
          <w:b/>
          <w:lang w:val="en-US"/>
        </w:rPr>
        <w:t>Considerations of the</w:t>
      </w:r>
      <w:r w:rsidR="0096418F" w:rsidRPr="00EA6C7A">
        <w:rPr>
          <w:b/>
          <w:lang w:val="en-US"/>
        </w:rPr>
        <w:t xml:space="preserve"> Court</w:t>
      </w:r>
      <w:bookmarkEnd w:id="74"/>
    </w:p>
    <w:p w14:paraId="0BFFF865" w14:textId="77777777" w:rsidR="0017063C" w:rsidRPr="00EA6C7A" w:rsidRDefault="0017063C" w:rsidP="0017063C">
      <w:pPr>
        <w:autoSpaceDE w:val="0"/>
        <w:autoSpaceDN w:val="0"/>
        <w:adjustRightInd w:val="0"/>
        <w:spacing w:after="0" w:line="240" w:lineRule="auto"/>
        <w:jc w:val="both"/>
        <w:rPr>
          <w:rFonts w:ascii="Verdana" w:hAnsi="Verdana"/>
          <w:b/>
          <w:sz w:val="16"/>
          <w:szCs w:val="20"/>
          <w:lang w:val="en-US"/>
        </w:rPr>
      </w:pPr>
    </w:p>
    <w:p w14:paraId="75E8ED7D" w14:textId="77777777" w:rsidR="0017063C" w:rsidRPr="00EA6C7A" w:rsidRDefault="0096418F" w:rsidP="00723B1C">
      <w:pPr>
        <w:numPr>
          <w:ilvl w:val="0"/>
          <w:numId w:val="3"/>
        </w:numPr>
        <w:tabs>
          <w:tab w:val="left" w:pos="720"/>
        </w:tabs>
        <w:spacing w:after="0" w:line="240" w:lineRule="auto"/>
        <w:ind w:left="0" w:firstLine="0"/>
        <w:jc w:val="both"/>
        <w:rPr>
          <w:rFonts w:ascii="Verdana" w:eastAsia="Batang" w:hAnsi="Verdana"/>
          <w:b/>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ha</w:t>
      </w:r>
      <w:r w:rsidR="00723B1C" w:rsidRPr="00EA6C7A">
        <w:rPr>
          <w:rFonts w:ascii="Verdana" w:eastAsia="Batang" w:hAnsi="Verdana"/>
          <w:sz w:val="20"/>
          <w:szCs w:val="20"/>
          <w:lang w:val="en-US" w:eastAsia="es-MX"/>
        </w:rPr>
        <w:t>s established that, pursuant to</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American Convention</w:t>
      </w:r>
      <w:r w:rsidR="0017063C" w:rsidRPr="00EA6C7A">
        <w:rPr>
          <w:rFonts w:ascii="Verdana" w:eastAsia="Batang" w:hAnsi="Verdana"/>
          <w:sz w:val="20"/>
          <w:szCs w:val="20"/>
          <w:lang w:val="en-US" w:eastAsia="es-MX"/>
        </w:rPr>
        <w:t xml:space="preserve">, </w:t>
      </w:r>
      <w:r w:rsidR="00723B1C" w:rsidRPr="00EA6C7A">
        <w:rPr>
          <w:rFonts w:ascii="Verdana" w:eastAsia="Batang" w:hAnsi="Verdana"/>
          <w:sz w:val="20"/>
          <w:szCs w:val="20"/>
          <w:lang w:val="en-US" w:eastAsia="es-MX"/>
        </w:rPr>
        <w:t xml:space="preserve">States Parties are obliged to provide effective judicial remedies to the victims of human rights violations </w:t>
      </w:r>
      <w:r w:rsidR="0017063C" w:rsidRPr="00EA6C7A">
        <w:rPr>
          <w:rFonts w:ascii="Verdana" w:eastAsia="Batang" w:hAnsi="Verdana"/>
          <w:sz w:val="20"/>
          <w:szCs w:val="20"/>
          <w:lang w:val="en-US" w:eastAsia="es-MX"/>
        </w:rPr>
        <w:t>(</w:t>
      </w:r>
      <w:r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25)</w:t>
      </w:r>
      <w:r w:rsidR="00723B1C" w:rsidRPr="00EA6C7A">
        <w:rPr>
          <w:rFonts w:ascii="Verdana" w:eastAsia="Batang" w:hAnsi="Verdana"/>
          <w:sz w:val="20"/>
          <w:szCs w:val="20"/>
          <w:lang w:val="en-US" w:eastAsia="es-MX"/>
        </w:rPr>
        <w:t>, remedies that must be implemented in keeping with the rules of due process of law</w:t>
      </w:r>
      <w:r w:rsidR="0017063C" w:rsidRPr="00EA6C7A">
        <w:rPr>
          <w:rFonts w:ascii="Verdana" w:eastAsia="Batang" w:hAnsi="Verdana"/>
          <w:sz w:val="20"/>
          <w:szCs w:val="20"/>
          <w:lang w:val="en-US" w:eastAsia="es-MX"/>
        </w:rPr>
        <w:t xml:space="preserve"> (</w:t>
      </w:r>
      <w:r w:rsidR="00515C34" w:rsidRPr="00EA6C7A">
        <w:rPr>
          <w:rFonts w:ascii="Verdana" w:eastAsia="Batang" w:hAnsi="Verdana"/>
          <w:sz w:val="20"/>
          <w:szCs w:val="20"/>
          <w:lang w:val="en-US" w:eastAsia="es-MX"/>
        </w:rPr>
        <w:t>Article 8(1)</w:t>
      </w:r>
      <w:r w:rsidR="0017063C" w:rsidRPr="00EA6C7A">
        <w:rPr>
          <w:rFonts w:ascii="Verdana" w:eastAsia="Batang" w:hAnsi="Verdana"/>
          <w:sz w:val="20"/>
          <w:szCs w:val="20"/>
          <w:lang w:val="en-US" w:eastAsia="es-MX"/>
        </w:rPr>
        <w:t xml:space="preserve">), </w:t>
      </w:r>
      <w:r w:rsidR="00723B1C" w:rsidRPr="00EA6C7A">
        <w:rPr>
          <w:rFonts w:ascii="Verdana" w:eastAsia="Batang" w:hAnsi="Verdana"/>
          <w:sz w:val="20"/>
          <w:szCs w:val="20"/>
          <w:lang w:val="en-US" w:eastAsia="es-MX"/>
        </w:rPr>
        <w:t xml:space="preserve">all within the general obligation to ensure the free and full exercise of the rights recognized by </w:t>
      </w:r>
      <w:r w:rsidRPr="00EA6C7A">
        <w:rPr>
          <w:rFonts w:ascii="Verdana" w:eastAsia="Batang" w:hAnsi="Verdana"/>
          <w:sz w:val="20"/>
          <w:szCs w:val="20"/>
          <w:lang w:val="en-US" w:eastAsia="es-MX"/>
        </w:rPr>
        <w:t>the Convention</w:t>
      </w:r>
      <w:r w:rsidR="0017063C" w:rsidRPr="00EA6C7A">
        <w:rPr>
          <w:rFonts w:ascii="Verdana" w:eastAsia="Batang" w:hAnsi="Verdana"/>
          <w:sz w:val="20"/>
          <w:szCs w:val="20"/>
          <w:lang w:val="en-US" w:eastAsia="es-MX"/>
        </w:rPr>
        <w:t xml:space="preserve"> </w:t>
      </w:r>
      <w:r w:rsidR="00723B1C" w:rsidRPr="00EA6C7A">
        <w:rPr>
          <w:rFonts w:ascii="Verdana" w:eastAsia="Batang" w:hAnsi="Verdana"/>
          <w:sz w:val="20"/>
          <w:szCs w:val="20"/>
          <w:lang w:val="en-US" w:eastAsia="es-MX"/>
        </w:rPr>
        <w:t>to all persons subject to their jurisdiction</w:t>
      </w:r>
      <w:r w:rsidR="0017063C" w:rsidRPr="00EA6C7A">
        <w:rPr>
          <w:rFonts w:ascii="Verdana" w:eastAsia="Batang" w:hAnsi="Verdana"/>
          <w:sz w:val="20"/>
          <w:szCs w:val="20"/>
          <w:lang w:val="en-US" w:eastAsia="es-MX"/>
        </w:rPr>
        <w:t xml:space="preserve"> (</w:t>
      </w:r>
      <w:r w:rsidR="00515C34" w:rsidRPr="00EA6C7A">
        <w:rPr>
          <w:rFonts w:ascii="Verdana" w:eastAsia="Batang" w:hAnsi="Verdana"/>
          <w:sz w:val="20"/>
          <w:szCs w:val="20"/>
          <w:lang w:val="en-US" w:eastAsia="es-MX"/>
        </w:rPr>
        <w:t>Article 1(1)</w:t>
      </w:r>
      <w:r w:rsidR="0017063C" w:rsidRPr="00EA6C7A">
        <w:rPr>
          <w:rFonts w:ascii="Verdana" w:eastAsia="Batang" w:hAnsi="Verdana"/>
          <w:sz w:val="20"/>
          <w:szCs w:val="20"/>
          <w:lang w:val="en-US" w:eastAsia="es-MX"/>
        </w:rPr>
        <w:t>)</w:t>
      </w:r>
      <w:r w:rsidR="00723B1C"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22"/>
      </w:r>
      <w:r w:rsidR="0017063C" w:rsidRPr="00EA6C7A">
        <w:rPr>
          <w:rFonts w:ascii="Verdana" w:eastAsia="Batang" w:hAnsi="Verdana"/>
          <w:sz w:val="20"/>
          <w:szCs w:val="20"/>
          <w:lang w:val="en-US" w:eastAsia="es-MX"/>
        </w:rPr>
        <w:t xml:space="preserve"> </w:t>
      </w:r>
      <w:r w:rsidR="00723B1C" w:rsidRPr="00EA6C7A">
        <w:rPr>
          <w:rFonts w:ascii="Verdana" w:eastAsia="Batang" w:hAnsi="Verdana"/>
          <w:sz w:val="20"/>
          <w:szCs w:val="20"/>
          <w:lang w:val="en-US" w:eastAsia="es-MX"/>
        </w:rPr>
        <w:t xml:space="preserve">It has also indicated that the right of </w:t>
      </w:r>
      <w:r w:rsidR="002D218C" w:rsidRPr="00EA6C7A">
        <w:rPr>
          <w:rFonts w:ascii="Verdana" w:eastAsia="Batang" w:hAnsi="Verdana"/>
          <w:sz w:val="20"/>
          <w:szCs w:val="20"/>
          <w:lang w:val="en-US" w:eastAsia="es-MX"/>
        </w:rPr>
        <w:t>access to justice</w:t>
      </w:r>
      <w:r w:rsidR="0017063C" w:rsidRPr="00EA6C7A">
        <w:rPr>
          <w:rFonts w:ascii="Verdana" w:eastAsia="Batang" w:hAnsi="Verdana"/>
          <w:sz w:val="20"/>
          <w:szCs w:val="20"/>
          <w:lang w:val="en-US" w:eastAsia="es-MX"/>
        </w:rPr>
        <w:t xml:space="preserve"> </w:t>
      </w:r>
      <w:r w:rsidR="00723B1C" w:rsidRPr="00EA6C7A">
        <w:rPr>
          <w:rFonts w:ascii="Verdana" w:eastAsia="Batang" w:hAnsi="Verdana"/>
          <w:sz w:val="20"/>
          <w:szCs w:val="20"/>
          <w:lang w:val="en-US" w:eastAsia="es-MX"/>
        </w:rPr>
        <w:t>must ensure</w:t>
      </w:r>
      <w:r w:rsidR="0017063C" w:rsidRPr="00EA6C7A">
        <w:rPr>
          <w:rFonts w:ascii="Verdana" w:eastAsia="Batang" w:hAnsi="Verdana"/>
          <w:sz w:val="20"/>
          <w:szCs w:val="20"/>
          <w:lang w:val="en-US" w:eastAsia="es-MX"/>
        </w:rPr>
        <w:t xml:space="preserve">, </w:t>
      </w:r>
      <w:r w:rsidR="00845C02" w:rsidRPr="00EA6C7A">
        <w:rPr>
          <w:rFonts w:ascii="Verdana" w:eastAsia="Batang" w:hAnsi="Verdana"/>
          <w:sz w:val="20"/>
          <w:szCs w:val="20"/>
          <w:lang w:val="en-US" w:eastAsia="es-MX"/>
        </w:rPr>
        <w:t>within a reasonable time,</w:t>
      </w:r>
      <w:r w:rsidR="0017063C" w:rsidRPr="00EA6C7A">
        <w:rPr>
          <w:rFonts w:ascii="Verdana" w:eastAsia="Batang" w:hAnsi="Verdana"/>
          <w:sz w:val="20"/>
          <w:szCs w:val="20"/>
          <w:lang w:val="en-US" w:eastAsia="es-MX"/>
        </w:rPr>
        <w:t xml:space="preserve"> </w:t>
      </w:r>
      <w:r w:rsidR="00723B1C" w:rsidRPr="00EA6C7A">
        <w:rPr>
          <w:rFonts w:ascii="Verdana" w:eastAsia="Batang" w:hAnsi="Verdana"/>
          <w:sz w:val="20"/>
          <w:szCs w:val="20"/>
          <w:lang w:val="en-US" w:eastAsia="es-MX"/>
        </w:rPr>
        <w:t xml:space="preserve">the right </w:t>
      </w:r>
      <w:r w:rsidR="00D10759" w:rsidRPr="00EA6C7A">
        <w:rPr>
          <w:rFonts w:ascii="Verdana" w:eastAsia="Batang" w:hAnsi="Verdana"/>
          <w:sz w:val="20"/>
          <w:szCs w:val="20"/>
          <w:lang w:val="en-US" w:eastAsia="es-MX"/>
        </w:rPr>
        <w:t xml:space="preserve">of the </w:t>
      </w:r>
      <w:r w:rsidR="00E43A75" w:rsidRPr="00EA6C7A">
        <w:rPr>
          <w:rFonts w:ascii="Verdana" w:eastAsia="Batang" w:hAnsi="Verdana"/>
          <w:sz w:val="20"/>
          <w:szCs w:val="20"/>
          <w:lang w:val="en-US" w:eastAsia="es-MX"/>
        </w:rPr>
        <w:t>presumed victims</w:t>
      </w:r>
      <w:r w:rsidR="0017063C" w:rsidRPr="00EA6C7A">
        <w:rPr>
          <w:rFonts w:ascii="Verdana" w:eastAsia="Batang" w:hAnsi="Verdana"/>
          <w:sz w:val="20"/>
          <w:szCs w:val="20"/>
          <w:lang w:val="en-US" w:eastAsia="es-MX"/>
        </w:rPr>
        <w:t xml:space="preserve"> o</w:t>
      </w:r>
      <w:r w:rsidR="00723B1C" w:rsidRPr="00EA6C7A">
        <w:rPr>
          <w:rFonts w:ascii="Verdana" w:eastAsia="Batang" w:hAnsi="Verdana"/>
          <w:sz w:val="20"/>
          <w:szCs w:val="20"/>
          <w:lang w:val="en-US" w:eastAsia="es-MX"/>
        </w:rPr>
        <w:t>r the</w:t>
      </w:r>
      <w:r w:rsidR="00676EC0" w:rsidRPr="00EA6C7A">
        <w:rPr>
          <w:rFonts w:ascii="Verdana" w:eastAsia="Batang" w:hAnsi="Verdana"/>
          <w:sz w:val="20"/>
          <w:szCs w:val="20"/>
          <w:lang w:val="en-US" w:eastAsia="es-MX"/>
        </w:rPr>
        <w:t>ir</w:t>
      </w:r>
      <w:r w:rsidR="00723B1C" w:rsidRPr="00EA6C7A">
        <w:rPr>
          <w:rFonts w:ascii="Verdana" w:eastAsia="Batang" w:hAnsi="Verdana"/>
          <w:sz w:val="20"/>
          <w:szCs w:val="20"/>
          <w:lang w:val="en-US" w:eastAsia="es-MX"/>
        </w:rPr>
        <w:t xml:space="preserve"> next of kin that everything necessary is being done to </w:t>
      </w:r>
      <w:r w:rsidR="00676EC0" w:rsidRPr="00EA6C7A">
        <w:rPr>
          <w:rFonts w:ascii="Verdana" w:eastAsia="Batang" w:hAnsi="Verdana"/>
          <w:sz w:val="20"/>
          <w:szCs w:val="20"/>
          <w:lang w:val="en-US" w:eastAsia="es-MX"/>
        </w:rPr>
        <w:t>discover</w:t>
      </w:r>
      <w:r w:rsidR="00723B1C" w:rsidRPr="00EA6C7A">
        <w:rPr>
          <w:rFonts w:ascii="Verdana" w:eastAsia="Batang" w:hAnsi="Verdana"/>
          <w:sz w:val="20"/>
          <w:szCs w:val="20"/>
          <w:lang w:val="en-US" w:eastAsia="es-MX"/>
        </w:rPr>
        <w:t xml:space="preserve"> the truth of what happened and to investigate, prosecute and punish, as appropriate, those eventually found responsible.</w:t>
      </w:r>
      <w:r w:rsidR="0017063C" w:rsidRPr="00EA6C7A">
        <w:rPr>
          <w:rFonts w:ascii="Verdana" w:eastAsia="Batang" w:hAnsi="Verdana"/>
          <w:sz w:val="20"/>
          <w:szCs w:val="20"/>
          <w:vertAlign w:val="superscript"/>
          <w:lang w:val="en-US" w:eastAsia="es-MX"/>
        </w:rPr>
        <w:footnoteReference w:id="223"/>
      </w:r>
    </w:p>
    <w:p w14:paraId="03EBDA76" w14:textId="77777777" w:rsidR="0017063C" w:rsidRPr="00EA6C7A" w:rsidRDefault="0017063C" w:rsidP="00723B1C">
      <w:pPr>
        <w:tabs>
          <w:tab w:val="left" w:pos="720"/>
        </w:tabs>
        <w:spacing w:after="0" w:line="240" w:lineRule="auto"/>
        <w:ind w:right="18"/>
        <w:jc w:val="both"/>
        <w:rPr>
          <w:rFonts w:ascii="Verdana" w:eastAsia="Calibri" w:hAnsi="Verdana"/>
          <w:b/>
          <w:sz w:val="20"/>
          <w:szCs w:val="20"/>
          <w:lang w:val="en-US"/>
        </w:rPr>
      </w:pPr>
    </w:p>
    <w:p w14:paraId="0A2892B3" w14:textId="77777777" w:rsidR="0017063C" w:rsidRPr="00EA6C7A" w:rsidRDefault="00723B1C" w:rsidP="003A4D19">
      <w:pPr>
        <w:numPr>
          <w:ilvl w:val="0"/>
          <w:numId w:val="3"/>
        </w:numPr>
        <w:tabs>
          <w:tab w:val="left" w:pos="720"/>
        </w:tabs>
        <w:spacing w:after="0" w:line="240" w:lineRule="auto"/>
        <w:ind w:left="0" w:firstLine="0"/>
        <w:jc w:val="both"/>
        <w:rPr>
          <w:rFonts w:ascii="Verdana" w:eastAsia="Batang" w:hAnsi="Verdana"/>
          <w:b/>
          <w:sz w:val="20"/>
          <w:szCs w:val="20"/>
          <w:lang w:val="en-US" w:eastAsia="es-MX"/>
        </w:rPr>
      </w:pPr>
      <w:r w:rsidRPr="00EA6C7A">
        <w:rPr>
          <w:rFonts w:ascii="Verdana" w:eastAsia="Batang" w:hAnsi="Verdana" w:cs="Arial"/>
          <w:sz w:val="20"/>
          <w:szCs w:val="20"/>
          <w:lang w:val="en-US" w:eastAsia="es-MX"/>
        </w:rPr>
        <w:t>In its consistent case law, this Court has indicated that the obligation to investigate is an obligation of means and not of results</w:t>
      </w:r>
      <w:r w:rsidR="00676EC0" w:rsidRPr="00EA6C7A">
        <w:rPr>
          <w:rFonts w:ascii="Verdana" w:eastAsia="Batang" w:hAnsi="Verdana" w:cs="Arial"/>
          <w:sz w:val="20"/>
          <w:szCs w:val="20"/>
          <w:lang w:val="en-US" w:eastAsia="es-MX"/>
        </w:rPr>
        <w:t>,</w:t>
      </w:r>
      <w:r w:rsidR="003A4D19" w:rsidRPr="00EA6C7A">
        <w:rPr>
          <w:rFonts w:ascii="Verdana" w:eastAsia="Batang" w:hAnsi="Verdana" w:cs="Arial"/>
          <w:sz w:val="20"/>
          <w:szCs w:val="20"/>
          <w:lang w:val="en-US" w:eastAsia="es-MX"/>
        </w:rPr>
        <w:t xml:space="preserve"> </w:t>
      </w:r>
      <w:r w:rsidR="00676EC0" w:rsidRPr="00EA6C7A">
        <w:rPr>
          <w:rFonts w:ascii="Verdana" w:eastAsia="Batang" w:hAnsi="Verdana" w:cs="Arial"/>
          <w:sz w:val="20"/>
          <w:szCs w:val="20"/>
          <w:lang w:val="en-US" w:eastAsia="es-MX"/>
        </w:rPr>
        <w:t>which</w:t>
      </w:r>
      <w:r w:rsidR="003A4D19" w:rsidRPr="00EA6C7A">
        <w:rPr>
          <w:rFonts w:ascii="Verdana" w:eastAsia="Batang" w:hAnsi="Verdana" w:cs="Arial"/>
          <w:sz w:val="20"/>
          <w:szCs w:val="20"/>
          <w:lang w:val="en-US" w:eastAsia="es-MX"/>
        </w:rPr>
        <w:t xml:space="preserve"> the State must assume as its legal duty and not as a simple formality preordained to be ineffective, or merely as a measure taken for private interests</w:t>
      </w:r>
      <w:r w:rsidR="0017063C" w:rsidRPr="00EA6C7A">
        <w:rPr>
          <w:rFonts w:ascii="Verdana" w:eastAsia="Batang" w:hAnsi="Verdana"/>
          <w:sz w:val="20"/>
          <w:szCs w:val="20"/>
          <w:vertAlign w:val="superscript"/>
          <w:lang w:val="en-US" w:eastAsia="es-MX"/>
        </w:rPr>
        <w:footnoteReference w:id="224"/>
      </w:r>
      <w:r w:rsidR="003A4D19" w:rsidRPr="00EA6C7A">
        <w:rPr>
          <w:rFonts w:ascii="Verdana" w:eastAsia="Batang" w:hAnsi="Verdana"/>
          <w:sz w:val="20"/>
          <w:szCs w:val="20"/>
          <w:lang w:val="en-US" w:eastAsia="es-MX"/>
        </w:rPr>
        <w:t xml:space="preserve"> that depends on the procedural initiative of the victims or their next of kin or on the contribution of probative elements by private individuals.</w:t>
      </w:r>
      <w:r w:rsidR="0017063C" w:rsidRPr="00EA6C7A">
        <w:rPr>
          <w:rFonts w:ascii="Verdana" w:eastAsia="Batang" w:hAnsi="Verdana"/>
          <w:sz w:val="20"/>
          <w:szCs w:val="20"/>
          <w:vertAlign w:val="superscript"/>
          <w:lang w:val="en-US" w:eastAsia="es-MX"/>
        </w:rPr>
        <w:footnoteReference w:id="225"/>
      </w:r>
      <w:r w:rsidR="0017063C" w:rsidRPr="00EA6C7A">
        <w:rPr>
          <w:rFonts w:ascii="Verdana" w:eastAsia="Batang" w:hAnsi="Verdana" w:cs="Arial"/>
          <w:sz w:val="20"/>
          <w:szCs w:val="20"/>
          <w:lang w:val="en-US" w:eastAsia="es-MX"/>
        </w:rPr>
        <w:t xml:space="preserve"> </w:t>
      </w:r>
      <w:r w:rsidR="003A4D19" w:rsidRPr="00EA6C7A">
        <w:rPr>
          <w:rFonts w:ascii="Verdana" w:eastAsia="Batang" w:hAnsi="Verdana" w:cs="Arial"/>
          <w:sz w:val="20"/>
          <w:szCs w:val="20"/>
          <w:lang w:val="en-US" w:eastAsia="es-MX"/>
        </w:rPr>
        <w:t xml:space="preserve">The investigation </w:t>
      </w:r>
      <w:r w:rsidR="00676EC0" w:rsidRPr="00EA6C7A">
        <w:rPr>
          <w:rFonts w:ascii="Verdana" w:eastAsia="Batang" w:hAnsi="Verdana" w:cs="Arial"/>
          <w:sz w:val="20"/>
          <w:szCs w:val="20"/>
          <w:lang w:val="en-US" w:eastAsia="es-MX"/>
        </w:rPr>
        <w:t>must</w:t>
      </w:r>
      <w:r w:rsidR="003A4D19" w:rsidRPr="00EA6C7A">
        <w:rPr>
          <w:rFonts w:ascii="Verdana" w:eastAsia="Batang" w:hAnsi="Verdana" w:cs="Arial"/>
          <w:sz w:val="20"/>
          <w:szCs w:val="20"/>
          <w:lang w:val="en-US" w:eastAsia="es-MX"/>
        </w:rPr>
        <w:t xml:space="preserve"> be serious, impartial and effective, aimed at determining the truth and the pursuit, capture, prosecution and eventual punishment of the perpetrators of the facts.</w:t>
      </w:r>
      <w:r w:rsidR="0017063C" w:rsidRPr="00EA6C7A">
        <w:rPr>
          <w:rFonts w:ascii="Verdana" w:eastAsia="Batang" w:hAnsi="Verdana"/>
          <w:sz w:val="20"/>
          <w:szCs w:val="20"/>
          <w:vertAlign w:val="superscript"/>
          <w:lang w:val="en-US" w:eastAsia="es-MX"/>
        </w:rPr>
        <w:footnoteReference w:id="226"/>
      </w:r>
      <w:r w:rsidR="003A4D19" w:rsidRPr="00EA6C7A">
        <w:rPr>
          <w:rFonts w:ascii="Verdana" w:eastAsia="Batang" w:hAnsi="Verdana" w:cs="Arial"/>
          <w:sz w:val="20"/>
          <w:szCs w:val="20"/>
          <w:lang w:val="en-US" w:eastAsia="es-MX"/>
        </w:rPr>
        <w:t xml:space="preserve"> This obligation remains “whoever the agent to whom the violation may eventually be attributed, even private individuals because, if their acts are not investigated seriously, they would, to a certain extent, be aided by the public authorities, which would engage the international responsibility of </w:t>
      </w:r>
      <w:r w:rsidR="001914FC" w:rsidRPr="00EA6C7A">
        <w:rPr>
          <w:rFonts w:ascii="Verdana" w:eastAsia="Batang" w:hAnsi="Verdana" w:cs="Arial"/>
          <w:sz w:val="20"/>
          <w:szCs w:val="20"/>
          <w:lang w:val="en-US" w:eastAsia="es-MX"/>
        </w:rPr>
        <w:t xml:space="preserve">the </w:t>
      </w:r>
      <w:r w:rsidR="002F3848" w:rsidRPr="00EA6C7A">
        <w:rPr>
          <w:rFonts w:ascii="Verdana" w:eastAsia="Batang" w:hAnsi="Verdana" w:cs="Arial"/>
          <w:sz w:val="20"/>
          <w:szCs w:val="20"/>
          <w:lang w:val="en-US" w:eastAsia="es-MX"/>
        </w:rPr>
        <w:t>State</w:t>
      </w:r>
      <w:r w:rsidR="003A4D19"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w:t>
      </w:r>
      <w:r w:rsidR="0017063C" w:rsidRPr="00EA6C7A">
        <w:rPr>
          <w:rFonts w:ascii="Verdana" w:eastAsia="Batang" w:hAnsi="Verdana"/>
          <w:sz w:val="20"/>
          <w:szCs w:val="20"/>
          <w:vertAlign w:val="superscript"/>
          <w:lang w:val="en-US" w:eastAsia="es-MX"/>
        </w:rPr>
        <w:footnoteReference w:id="227"/>
      </w:r>
      <w:r w:rsidR="0017063C" w:rsidRPr="00EA6C7A">
        <w:rPr>
          <w:rFonts w:ascii="Verdana" w:eastAsia="Batang" w:hAnsi="Verdana" w:cs="Arial"/>
          <w:sz w:val="20"/>
          <w:szCs w:val="20"/>
          <w:lang w:val="en-US" w:eastAsia="es-MX"/>
        </w:rPr>
        <w:t xml:space="preserve"> </w:t>
      </w:r>
      <w:r w:rsidR="003A4D19" w:rsidRPr="00EA6C7A">
        <w:rPr>
          <w:rFonts w:ascii="Verdana" w:eastAsia="Batang" w:hAnsi="Verdana" w:cs="Arial"/>
          <w:sz w:val="20"/>
          <w:szCs w:val="20"/>
          <w:lang w:val="en-US" w:eastAsia="es-MX"/>
        </w:rPr>
        <w:t>Moreover, due diligence requires that the investigative agency</w:t>
      </w:r>
      <w:r w:rsidR="00F00AD8" w:rsidRPr="00EA6C7A">
        <w:rPr>
          <w:rFonts w:ascii="Verdana" w:eastAsia="Batang" w:hAnsi="Verdana" w:cs="Arial"/>
          <w:sz w:val="20"/>
          <w:szCs w:val="20"/>
          <w:lang w:val="en-US" w:eastAsia="es-MX"/>
        </w:rPr>
        <w:t xml:space="preserve"> takes all the steps and makes all the inquiries needed to obtain the desired result. Otherwise, the investigation is not effective in the terms </w:t>
      </w:r>
      <w:r w:rsidR="0096418F" w:rsidRPr="00EA6C7A">
        <w:rPr>
          <w:rFonts w:ascii="Verdana" w:eastAsia="Batang" w:hAnsi="Verdana"/>
          <w:sz w:val="20"/>
          <w:szCs w:val="20"/>
          <w:lang w:val="en-US" w:eastAsia="es-MX"/>
        </w:rPr>
        <w:t>of the Convention</w:t>
      </w:r>
      <w:r w:rsidR="00F00AD8"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28"/>
      </w:r>
    </w:p>
    <w:p w14:paraId="5190887C" w14:textId="77777777" w:rsidR="0017063C" w:rsidRPr="00EA6C7A" w:rsidRDefault="0017063C" w:rsidP="00723B1C">
      <w:pPr>
        <w:tabs>
          <w:tab w:val="left" w:pos="720"/>
        </w:tabs>
        <w:spacing w:after="0" w:line="240" w:lineRule="auto"/>
        <w:ind w:right="-174"/>
        <w:jc w:val="both"/>
        <w:rPr>
          <w:rFonts w:ascii="Verdana" w:hAnsi="Verdana"/>
          <w:sz w:val="20"/>
          <w:szCs w:val="20"/>
          <w:lang w:val="en-US" w:eastAsia="es-MX"/>
        </w:rPr>
      </w:pPr>
    </w:p>
    <w:p w14:paraId="30D0E460" w14:textId="77777777" w:rsidR="0017063C" w:rsidRPr="00EA6C7A" w:rsidRDefault="0096418F" w:rsidP="00F00AD8">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w:t>
      </w:r>
      <w:r w:rsidR="00845C02" w:rsidRPr="00EA6C7A">
        <w:rPr>
          <w:rFonts w:ascii="Verdana" w:eastAsia="Batang" w:hAnsi="Verdana"/>
          <w:sz w:val="20"/>
          <w:szCs w:val="20"/>
          <w:lang w:val="en-US" w:eastAsia="es-MX"/>
        </w:rPr>
        <w:t>has also</w:t>
      </w:r>
      <w:r w:rsidR="00F00AD8" w:rsidRPr="00EA6C7A">
        <w:rPr>
          <w:rFonts w:ascii="Verdana" w:eastAsia="Batang" w:hAnsi="Verdana"/>
          <w:sz w:val="20"/>
          <w:szCs w:val="20"/>
          <w:lang w:val="en-US" w:eastAsia="es-MX"/>
        </w:rPr>
        <w:t xml:space="preserve"> </w:t>
      </w:r>
      <w:r w:rsidR="00845C02" w:rsidRPr="00EA6C7A">
        <w:rPr>
          <w:rFonts w:ascii="Verdana" w:eastAsia="Batang" w:hAnsi="Verdana"/>
          <w:sz w:val="20"/>
          <w:szCs w:val="20"/>
          <w:lang w:val="en-US" w:eastAsia="es-MX"/>
        </w:rPr>
        <w:t>indicated that</w:t>
      </w:r>
      <w:r w:rsidR="001914FC" w:rsidRPr="00EA6C7A">
        <w:rPr>
          <w:rFonts w:ascii="Verdana" w:eastAsia="Batang" w:hAnsi="Verdana"/>
          <w:sz w:val="20"/>
          <w:szCs w:val="20"/>
          <w:lang w:val="en-US" w:eastAsia="es-MX"/>
        </w:rPr>
        <w:t xml:space="preserve"> Article</w:t>
      </w:r>
      <w:r w:rsidR="0017063C" w:rsidRPr="00EA6C7A">
        <w:rPr>
          <w:rFonts w:ascii="Verdana" w:eastAsia="Batang" w:hAnsi="Verdana"/>
          <w:sz w:val="20"/>
          <w:szCs w:val="20"/>
          <w:lang w:val="en-US" w:eastAsia="es-MX"/>
        </w:rPr>
        <w:t xml:space="preserve"> 8</w:t>
      </w:r>
      <w:r w:rsidRPr="00EA6C7A">
        <w:rPr>
          <w:rFonts w:ascii="Verdana" w:eastAsia="Batang" w:hAnsi="Verdana"/>
          <w:sz w:val="20"/>
          <w:szCs w:val="20"/>
          <w:lang w:val="en-US" w:eastAsia="es-MX"/>
        </w:rPr>
        <w:t xml:space="preserve"> of the Convention</w:t>
      </w:r>
      <w:r w:rsidR="0017063C" w:rsidRPr="00EA6C7A">
        <w:rPr>
          <w:rFonts w:ascii="Verdana" w:eastAsia="Batang" w:hAnsi="Verdana"/>
          <w:sz w:val="20"/>
          <w:szCs w:val="20"/>
          <w:lang w:val="en-US" w:eastAsia="es-MX"/>
        </w:rPr>
        <w:t xml:space="preserve"> </w:t>
      </w:r>
      <w:r w:rsidR="00845C02" w:rsidRPr="00EA6C7A">
        <w:rPr>
          <w:rFonts w:ascii="Verdana" w:eastAsia="Batang" w:hAnsi="Verdana"/>
          <w:sz w:val="20"/>
          <w:szCs w:val="20"/>
          <w:lang w:val="en-US" w:eastAsia="es-MX"/>
        </w:rPr>
        <w:t>reveals that the victims of human rights violations</w:t>
      </w:r>
      <w:r w:rsidR="0017063C" w:rsidRPr="00EA6C7A">
        <w:rPr>
          <w:rFonts w:ascii="Verdana" w:eastAsia="Batang" w:hAnsi="Verdana"/>
          <w:sz w:val="20"/>
          <w:szCs w:val="20"/>
          <w:lang w:val="en-US" w:eastAsia="es-MX"/>
        </w:rPr>
        <w:t>, o</w:t>
      </w:r>
      <w:r w:rsidR="00F00AD8" w:rsidRPr="00EA6C7A">
        <w:rPr>
          <w:rFonts w:ascii="Verdana" w:eastAsia="Batang" w:hAnsi="Verdana"/>
          <w:sz w:val="20"/>
          <w:szCs w:val="20"/>
          <w:lang w:val="en-US" w:eastAsia="es-MX"/>
        </w:rPr>
        <w:t>r their next of kin, must have broad possibilities of being heard and acting in the respective proceedings, in order both to clarify the facts and punish those responsible, and to seek due redress.</w:t>
      </w:r>
      <w:r w:rsidR="0017063C" w:rsidRPr="00EA6C7A">
        <w:rPr>
          <w:rFonts w:ascii="Verdana" w:eastAsia="Batang" w:hAnsi="Verdana"/>
          <w:sz w:val="20"/>
          <w:szCs w:val="20"/>
          <w:vertAlign w:val="superscript"/>
          <w:lang w:val="en-US" w:eastAsia="es-MX"/>
        </w:rPr>
        <w:footnoteReference w:id="229"/>
      </w:r>
      <w:r w:rsidR="00F00AD8" w:rsidRPr="00EA6C7A">
        <w:rPr>
          <w:rFonts w:ascii="Verdana" w:eastAsia="Batang" w:hAnsi="Verdana"/>
          <w:sz w:val="20"/>
          <w:szCs w:val="20"/>
          <w:lang w:val="en-US" w:eastAsia="es-MX"/>
        </w:rPr>
        <w:t xml:space="preserve"> In addition, the Court has established that the obligation to investigate and the corresponding right </w:t>
      </w:r>
      <w:r w:rsidR="00D10759" w:rsidRPr="00EA6C7A">
        <w:rPr>
          <w:rFonts w:ascii="Verdana" w:eastAsia="Batang" w:hAnsi="Verdana"/>
          <w:sz w:val="20"/>
          <w:szCs w:val="20"/>
          <w:lang w:val="en-US" w:eastAsia="es-MX"/>
        </w:rPr>
        <w:t xml:space="preserve">of the </w:t>
      </w:r>
      <w:r w:rsidR="00E43A75" w:rsidRPr="00EA6C7A">
        <w:rPr>
          <w:rFonts w:ascii="Verdana" w:eastAsia="Batang" w:hAnsi="Verdana"/>
          <w:sz w:val="20"/>
          <w:szCs w:val="20"/>
          <w:lang w:val="en-US" w:eastAsia="es-MX"/>
        </w:rPr>
        <w:t>presumed victim</w:t>
      </w:r>
      <w:r w:rsidR="0017063C" w:rsidRPr="00EA6C7A">
        <w:rPr>
          <w:rFonts w:ascii="Verdana" w:eastAsia="Batang" w:hAnsi="Verdana"/>
          <w:sz w:val="20"/>
          <w:szCs w:val="20"/>
          <w:lang w:val="en-US" w:eastAsia="es-MX"/>
        </w:rPr>
        <w:t xml:space="preserve"> o</w:t>
      </w:r>
      <w:r w:rsidR="00F00AD8" w:rsidRPr="00EA6C7A">
        <w:rPr>
          <w:rFonts w:ascii="Verdana" w:eastAsia="Batang" w:hAnsi="Verdana"/>
          <w:sz w:val="20"/>
          <w:szCs w:val="20"/>
          <w:lang w:val="en-US" w:eastAsia="es-MX"/>
        </w:rPr>
        <w:t xml:space="preserve">r the next of kin is revealed not only from convention-based norms of international law that are peremptory for  the States parties, but also arise from domestic law </w:t>
      </w:r>
      <w:r w:rsidR="00676EC0" w:rsidRPr="00EA6C7A">
        <w:rPr>
          <w:rFonts w:ascii="Verdana" w:eastAsia="Batang" w:hAnsi="Verdana"/>
          <w:sz w:val="20"/>
          <w:szCs w:val="20"/>
          <w:lang w:val="en-US" w:eastAsia="es-MX"/>
        </w:rPr>
        <w:t xml:space="preserve">concerning </w:t>
      </w:r>
      <w:r w:rsidR="00F00AD8" w:rsidRPr="00EA6C7A">
        <w:rPr>
          <w:rFonts w:ascii="Verdana" w:eastAsia="Batang" w:hAnsi="Verdana"/>
          <w:sz w:val="20"/>
          <w:szCs w:val="20"/>
          <w:lang w:val="en-US" w:eastAsia="es-MX"/>
        </w:rPr>
        <w:t xml:space="preserve">the obligation to investigate, </w:t>
      </w:r>
      <w:r w:rsidR="00F00AD8" w:rsidRPr="00EA6C7A">
        <w:rPr>
          <w:rFonts w:ascii="Verdana" w:eastAsia="Batang" w:hAnsi="Verdana"/>
          <w:i/>
          <w:iCs/>
          <w:sz w:val="20"/>
          <w:szCs w:val="20"/>
          <w:lang w:val="en-US" w:eastAsia="es-MX"/>
        </w:rPr>
        <w:t>ex officio</w:t>
      </w:r>
      <w:r w:rsidR="00F00AD8" w:rsidRPr="00EA6C7A">
        <w:rPr>
          <w:rFonts w:ascii="Verdana" w:eastAsia="Batang" w:hAnsi="Verdana"/>
          <w:sz w:val="20"/>
          <w:szCs w:val="20"/>
          <w:lang w:val="en-US" w:eastAsia="es-MX"/>
        </w:rPr>
        <w:t xml:space="preserve">, certain wrongful acts, and the norms that allow victims or their next of kin to report or </w:t>
      </w:r>
      <w:r w:rsidR="00F00AD8" w:rsidRPr="00EA6C7A">
        <w:rPr>
          <w:rFonts w:ascii="Verdana" w:eastAsia="Batang" w:hAnsi="Verdana"/>
          <w:sz w:val="20"/>
          <w:szCs w:val="20"/>
          <w:lang w:val="en-US" w:eastAsia="es-MX"/>
        </w:rPr>
        <w:lastRenderedPageBreak/>
        <w:t>file complaints, evidence or motions or any other procedure, in order to play</w:t>
      </w:r>
      <w:r w:rsidR="007F3CEB" w:rsidRPr="00EA6C7A">
        <w:rPr>
          <w:rFonts w:ascii="Verdana" w:eastAsia="Batang" w:hAnsi="Verdana"/>
          <w:sz w:val="20"/>
          <w:szCs w:val="20"/>
          <w:lang w:val="en-US" w:eastAsia="es-MX"/>
        </w:rPr>
        <w:t xml:space="preserve"> </w:t>
      </w:r>
      <w:r w:rsidR="00F00AD8" w:rsidRPr="00EA6C7A">
        <w:rPr>
          <w:rFonts w:ascii="Verdana" w:eastAsia="Batang" w:hAnsi="Verdana"/>
          <w:sz w:val="20"/>
          <w:szCs w:val="20"/>
          <w:lang w:val="en-US" w:eastAsia="es-MX"/>
        </w:rPr>
        <w:t>a procedural role in the c</w:t>
      </w:r>
      <w:r w:rsidR="00BC4DAF" w:rsidRPr="00EA6C7A">
        <w:rPr>
          <w:rFonts w:ascii="Verdana" w:eastAsia="Batang" w:hAnsi="Verdana"/>
          <w:sz w:val="20"/>
          <w:szCs w:val="20"/>
          <w:lang w:val="en-US" w:eastAsia="es-MX"/>
        </w:rPr>
        <w:t xml:space="preserve">riminal </w:t>
      </w:r>
      <w:r w:rsidR="00F00AD8" w:rsidRPr="00EA6C7A">
        <w:rPr>
          <w:rFonts w:ascii="Verdana" w:eastAsia="Batang" w:hAnsi="Verdana"/>
          <w:sz w:val="20"/>
          <w:szCs w:val="20"/>
          <w:lang w:val="en-US" w:eastAsia="es-MX"/>
        </w:rPr>
        <w:t>i</w:t>
      </w:r>
      <w:r w:rsidR="00BC4DAF" w:rsidRPr="00EA6C7A">
        <w:rPr>
          <w:rFonts w:ascii="Verdana" w:eastAsia="Batang" w:hAnsi="Verdana"/>
          <w:sz w:val="20"/>
          <w:szCs w:val="20"/>
          <w:lang w:val="en-US" w:eastAsia="es-MX"/>
        </w:rPr>
        <w:t>nvestigation</w:t>
      </w:r>
      <w:r w:rsidR="0017063C" w:rsidRPr="00EA6C7A">
        <w:rPr>
          <w:rFonts w:ascii="Verdana" w:eastAsia="Batang" w:hAnsi="Verdana"/>
          <w:sz w:val="20"/>
          <w:szCs w:val="20"/>
          <w:lang w:val="en-US" w:eastAsia="es-MX"/>
        </w:rPr>
        <w:t xml:space="preserve"> </w:t>
      </w:r>
      <w:r w:rsidR="00F00AD8" w:rsidRPr="00EA6C7A">
        <w:rPr>
          <w:rFonts w:ascii="Verdana" w:eastAsia="Batang" w:hAnsi="Verdana"/>
          <w:sz w:val="20"/>
          <w:szCs w:val="20"/>
          <w:lang w:val="en-US" w:eastAsia="es-MX"/>
        </w:rPr>
        <w:t>with the aim</w:t>
      </w:r>
      <w:r w:rsidR="007F3CEB" w:rsidRPr="00EA6C7A">
        <w:rPr>
          <w:rFonts w:ascii="Verdana" w:eastAsia="Batang" w:hAnsi="Verdana"/>
          <w:sz w:val="20"/>
          <w:szCs w:val="20"/>
          <w:lang w:val="en-US" w:eastAsia="es-MX"/>
        </w:rPr>
        <w:t xml:space="preserve"> of</w:t>
      </w:r>
      <w:r w:rsidR="00F00AD8" w:rsidRPr="00EA6C7A">
        <w:rPr>
          <w:rFonts w:ascii="Verdana" w:eastAsia="Batang" w:hAnsi="Verdana"/>
          <w:sz w:val="20"/>
          <w:szCs w:val="20"/>
          <w:lang w:val="en-US" w:eastAsia="es-MX"/>
        </w:rPr>
        <w:t xml:space="preserve"> establishing </w:t>
      </w:r>
      <w:r w:rsidR="007F3CEB" w:rsidRPr="00EA6C7A">
        <w:rPr>
          <w:rFonts w:ascii="Verdana" w:eastAsia="Batang" w:hAnsi="Verdana"/>
          <w:sz w:val="20"/>
          <w:szCs w:val="20"/>
          <w:lang w:val="en-US" w:eastAsia="es-MX"/>
        </w:rPr>
        <w:t>the truth of the facts.</w:t>
      </w:r>
      <w:r w:rsidR="0017063C" w:rsidRPr="00EA6C7A">
        <w:rPr>
          <w:rFonts w:ascii="Verdana" w:eastAsia="Batang" w:hAnsi="Verdana"/>
          <w:sz w:val="20"/>
          <w:szCs w:val="20"/>
          <w:vertAlign w:val="superscript"/>
          <w:lang w:val="en-US" w:eastAsia="es-MX"/>
        </w:rPr>
        <w:footnoteReference w:id="230"/>
      </w:r>
      <w:r w:rsidR="0017063C" w:rsidRPr="00EA6C7A">
        <w:rPr>
          <w:rFonts w:ascii="Verdana" w:eastAsia="Batang" w:hAnsi="Verdana"/>
          <w:sz w:val="20"/>
          <w:szCs w:val="20"/>
          <w:lang w:val="en-US" w:eastAsia="es-MX"/>
        </w:rPr>
        <w:t>.</w:t>
      </w:r>
    </w:p>
    <w:p w14:paraId="58D5FCDB" w14:textId="77777777" w:rsidR="0017063C" w:rsidRPr="00EA6C7A" w:rsidRDefault="0017063C" w:rsidP="0017063C">
      <w:pPr>
        <w:spacing w:after="0" w:line="240" w:lineRule="auto"/>
        <w:ind w:right="-174"/>
        <w:contextualSpacing/>
        <w:jc w:val="both"/>
        <w:rPr>
          <w:rFonts w:ascii="Verdana" w:hAnsi="Verdana"/>
          <w:bCs/>
          <w:sz w:val="20"/>
          <w:szCs w:val="20"/>
          <w:lang w:val="en-US" w:eastAsia="es-MX"/>
        </w:rPr>
      </w:pPr>
    </w:p>
    <w:p w14:paraId="2452506D" w14:textId="77777777" w:rsidR="0017063C" w:rsidRPr="00EA6C7A" w:rsidRDefault="0096418F" w:rsidP="00951B4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rec</w:t>
      </w:r>
      <w:r w:rsidR="007F3CEB" w:rsidRPr="00EA6C7A">
        <w:rPr>
          <w:rFonts w:ascii="Verdana" w:eastAsia="Batang" w:hAnsi="Verdana"/>
          <w:sz w:val="20"/>
          <w:szCs w:val="20"/>
          <w:lang w:val="en-US" w:eastAsia="es-MX"/>
        </w:rPr>
        <w:t xml:space="preserve">alls that, in case of </w:t>
      </w:r>
      <w:r w:rsidR="00C12C08" w:rsidRPr="00EA6C7A">
        <w:rPr>
          <w:rFonts w:ascii="Verdana" w:eastAsia="Batang" w:hAnsi="Verdana"/>
          <w:sz w:val="20"/>
          <w:szCs w:val="20"/>
          <w:lang w:val="en-US" w:eastAsia="es-MX"/>
        </w:rPr>
        <w:t>violence against women</w:t>
      </w:r>
      <w:r w:rsidR="007F3CEB" w:rsidRPr="00EA6C7A">
        <w:rPr>
          <w:rFonts w:ascii="Verdana" w:eastAsia="Batang" w:hAnsi="Verdana"/>
          <w:sz w:val="20"/>
          <w:szCs w:val="20"/>
          <w:lang w:val="en-US" w:eastAsia="es-MX"/>
        </w:rPr>
        <w:t xml:space="preserve">, the general obligations established in </w:t>
      </w:r>
      <w:r w:rsidRPr="00EA6C7A">
        <w:rPr>
          <w:rFonts w:ascii="Verdana" w:eastAsia="Batang" w:hAnsi="Verdana" w:cs="Arial"/>
          <w:sz w:val="20"/>
          <w:szCs w:val="20"/>
          <w:lang w:val="en-US" w:eastAsia="es-MX"/>
        </w:rPr>
        <w:t>Articles</w:t>
      </w:r>
      <w:r w:rsidR="0017063C" w:rsidRPr="00EA6C7A">
        <w:rPr>
          <w:rFonts w:ascii="Verdana" w:eastAsia="Batang" w:hAnsi="Verdana"/>
          <w:sz w:val="20"/>
          <w:szCs w:val="20"/>
          <w:lang w:val="en-US" w:eastAsia="es-MX"/>
        </w:rPr>
        <w:t xml:space="preserve"> 8</w:t>
      </w:r>
      <w:r w:rsidR="00D948A1" w:rsidRPr="00EA6C7A">
        <w:rPr>
          <w:rFonts w:ascii="Verdana" w:eastAsia="Batang" w:hAnsi="Verdana"/>
          <w:sz w:val="20"/>
          <w:szCs w:val="20"/>
          <w:lang w:val="en-US" w:eastAsia="es-MX"/>
        </w:rPr>
        <w:t xml:space="preserve"> and </w:t>
      </w:r>
      <w:r w:rsidR="0017063C" w:rsidRPr="00EA6C7A">
        <w:rPr>
          <w:rFonts w:ascii="Verdana" w:eastAsia="Batang" w:hAnsi="Verdana"/>
          <w:sz w:val="20"/>
          <w:szCs w:val="20"/>
          <w:lang w:val="en-US" w:eastAsia="es-MX"/>
        </w:rPr>
        <w:t>25</w:t>
      </w:r>
      <w:r w:rsidRPr="00EA6C7A">
        <w:rPr>
          <w:rFonts w:ascii="Verdana" w:eastAsia="Batang" w:hAnsi="Verdana"/>
          <w:sz w:val="20"/>
          <w:szCs w:val="20"/>
          <w:lang w:val="en-US" w:eastAsia="es-MX"/>
        </w:rPr>
        <w:t xml:space="preserve"> of the American Convention</w:t>
      </w:r>
      <w:r w:rsidR="0017063C" w:rsidRPr="00EA6C7A">
        <w:rPr>
          <w:rFonts w:ascii="Verdana" w:eastAsia="Batang" w:hAnsi="Verdana"/>
          <w:sz w:val="20"/>
          <w:szCs w:val="20"/>
          <w:lang w:val="en-US" w:eastAsia="es-MX"/>
        </w:rPr>
        <w:t xml:space="preserve"> </w:t>
      </w:r>
      <w:r w:rsidR="007F3CEB" w:rsidRPr="00EA6C7A">
        <w:rPr>
          <w:rFonts w:ascii="Verdana" w:eastAsia="Batang" w:hAnsi="Verdana"/>
          <w:sz w:val="20"/>
          <w:szCs w:val="20"/>
          <w:lang w:val="en-US" w:eastAsia="es-MX"/>
        </w:rPr>
        <w:t xml:space="preserve">are supplemented and enhanced for the States </w:t>
      </w:r>
      <w:r w:rsidR="009A3202" w:rsidRPr="00EA6C7A">
        <w:rPr>
          <w:rFonts w:ascii="Verdana" w:eastAsia="Batang" w:hAnsi="Verdana"/>
          <w:sz w:val="20"/>
          <w:szCs w:val="20"/>
          <w:lang w:val="en-US" w:eastAsia="es-MX"/>
        </w:rPr>
        <w:t>p</w:t>
      </w:r>
      <w:r w:rsidR="007F3CEB" w:rsidRPr="00EA6C7A">
        <w:rPr>
          <w:rFonts w:ascii="Verdana" w:eastAsia="Batang" w:hAnsi="Verdana"/>
          <w:sz w:val="20"/>
          <w:szCs w:val="20"/>
          <w:lang w:val="en-US" w:eastAsia="es-MX"/>
        </w:rPr>
        <w:t xml:space="preserve">arties by the obligations arising from the specific inter-American treaty, </w:t>
      </w:r>
      <w:r w:rsidRPr="00EA6C7A">
        <w:rPr>
          <w:rFonts w:ascii="Verdana" w:eastAsia="Batang" w:hAnsi="Verdana"/>
          <w:sz w:val="20"/>
          <w:szCs w:val="20"/>
          <w:lang w:val="en-US" w:eastAsia="es-MX"/>
        </w:rPr>
        <w:t xml:space="preserve">the </w:t>
      </w:r>
      <w:r w:rsidR="004554C7" w:rsidRPr="00EA6C7A">
        <w:rPr>
          <w:rFonts w:ascii="Verdana" w:eastAsia="Batang" w:hAnsi="Verdana"/>
          <w:sz w:val="20"/>
          <w:szCs w:val="20"/>
          <w:lang w:val="en-US" w:eastAsia="es-MX"/>
        </w:rPr>
        <w:t>Convention of Belém</w:t>
      </w:r>
      <w:r w:rsidR="0017063C" w:rsidRPr="00EA6C7A">
        <w:rPr>
          <w:rFonts w:ascii="Verdana" w:eastAsia="Batang" w:hAnsi="Verdana"/>
          <w:sz w:val="20"/>
          <w:szCs w:val="20"/>
          <w:lang w:val="en-US" w:eastAsia="es-MX"/>
        </w:rPr>
        <w:t xml:space="preserve"> do Pará</w:t>
      </w:r>
      <w:r w:rsidR="007F3CEB"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31"/>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7</w:t>
      </w:r>
      <w:r w:rsidR="007F3CEB"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b</w:t>
      </w:r>
      <w:r w:rsidR="007F3CEB" w:rsidRPr="00EA6C7A">
        <w:rPr>
          <w:rFonts w:ascii="Verdana" w:eastAsia="Batang" w:hAnsi="Verdana"/>
          <w:sz w:val="20"/>
          <w:szCs w:val="20"/>
          <w:lang w:val="en-US" w:eastAsia="es-MX"/>
        </w:rPr>
        <w:t xml:space="preserve">) of this Convention specifically obliges States parties to apply due diligence to prevent, punish and eradicate </w:t>
      </w:r>
      <w:r w:rsidR="00C12C08" w:rsidRPr="00EA6C7A">
        <w:rPr>
          <w:rFonts w:ascii="Verdana" w:eastAsia="Batang" w:hAnsi="Verdana"/>
          <w:sz w:val="20"/>
          <w:szCs w:val="20"/>
          <w:lang w:val="en-US" w:eastAsia="es-MX"/>
        </w:rPr>
        <w:t>violence against women</w:t>
      </w:r>
      <w:r w:rsidR="007F3CEB"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32"/>
      </w:r>
      <w:r w:rsidR="0017063C" w:rsidRPr="00EA6C7A">
        <w:rPr>
          <w:rFonts w:ascii="Verdana" w:eastAsia="Batang" w:hAnsi="Verdana"/>
          <w:sz w:val="20"/>
          <w:szCs w:val="20"/>
          <w:lang w:val="en-US" w:eastAsia="es-MX"/>
        </w:rPr>
        <w:t xml:space="preserve"> </w:t>
      </w:r>
      <w:r w:rsidR="007F3CEB" w:rsidRPr="00EA6C7A">
        <w:rPr>
          <w:rFonts w:ascii="Verdana" w:eastAsia="Batang" w:hAnsi="Verdana"/>
          <w:sz w:val="20"/>
          <w:szCs w:val="20"/>
          <w:lang w:val="en-US" w:eastAsia="es-MX"/>
        </w:rPr>
        <w:t>Also</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7</w:t>
      </w:r>
      <w:r w:rsidR="007F3CEB"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c</w:t>
      </w:r>
      <w:r w:rsidR="007F3CEB"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 xml:space="preserve"> oblig</w:t>
      </w:r>
      <w:r w:rsidR="007F3CEB" w:rsidRPr="00EA6C7A">
        <w:rPr>
          <w:rFonts w:ascii="Verdana" w:eastAsia="Batang" w:hAnsi="Verdana"/>
          <w:sz w:val="20"/>
          <w:szCs w:val="20"/>
          <w:lang w:val="en-US" w:eastAsia="es-MX"/>
        </w:rPr>
        <w:t xml:space="preserve">es States parties to enact the legislation required to investigate and punish </w:t>
      </w:r>
      <w:r w:rsidR="00C12C08" w:rsidRPr="00EA6C7A">
        <w:rPr>
          <w:rFonts w:ascii="Verdana" w:eastAsia="Batang" w:hAnsi="Verdana"/>
          <w:sz w:val="20"/>
          <w:szCs w:val="20"/>
          <w:lang w:val="en-US" w:eastAsia="es-MX"/>
        </w:rPr>
        <w:t>violence against women</w:t>
      </w:r>
      <w:r w:rsidR="007F3CEB"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33"/>
      </w:r>
      <w:r w:rsidR="0017063C" w:rsidRPr="00EA6C7A">
        <w:rPr>
          <w:rFonts w:ascii="Verdana" w:eastAsia="Batang" w:hAnsi="Verdana"/>
          <w:sz w:val="20"/>
          <w:szCs w:val="20"/>
          <w:lang w:val="en-US" w:eastAsia="es-MX"/>
        </w:rPr>
        <w:t xml:space="preserve"> </w:t>
      </w:r>
      <w:r w:rsidR="007F3CEB" w:rsidRPr="00EA6C7A">
        <w:rPr>
          <w:rFonts w:ascii="Verdana" w:eastAsia="Batang" w:hAnsi="Verdana"/>
          <w:sz w:val="20"/>
          <w:szCs w:val="20"/>
          <w:lang w:val="en-US" w:eastAsia="es-MX"/>
        </w:rPr>
        <w:t xml:space="preserve">In such cases, State authorities must open, </w:t>
      </w:r>
      <w:r w:rsidR="0017063C" w:rsidRPr="00EA6C7A">
        <w:rPr>
          <w:rFonts w:ascii="Verdana" w:eastAsia="Batang" w:hAnsi="Verdana"/>
          <w:i/>
          <w:sz w:val="20"/>
          <w:szCs w:val="20"/>
          <w:lang w:val="en-US" w:eastAsia="es-MX"/>
        </w:rPr>
        <w:t>ex officio</w:t>
      </w:r>
      <w:r w:rsidR="00D948A1" w:rsidRPr="00EA6C7A">
        <w:rPr>
          <w:rFonts w:ascii="Verdana" w:eastAsia="Batang" w:hAnsi="Verdana"/>
          <w:i/>
          <w:sz w:val="20"/>
          <w:szCs w:val="20"/>
          <w:lang w:val="en-US" w:eastAsia="es-MX"/>
        </w:rPr>
        <w:t xml:space="preserve"> </w:t>
      </w:r>
      <w:r w:rsidR="007F3CEB" w:rsidRPr="00EA6C7A">
        <w:rPr>
          <w:rFonts w:ascii="Verdana" w:eastAsia="Batang" w:hAnsi="Verdana"/>
          <w:sz w:val="20"/>
          <w:szCs w:val="20"/>
          <w:lang w:val="en-US" w:eastAsia="es-MX"/>
        </w:rPr>
        <w:t xml:space="preserve">and without delay, a serious, impartial and effective investigation as soon as they become aware of facts that constitute </w:t>
      </w:r>
      <w:r w:rsidR="00C12C08" w:rsidRPr="00EA6C7A">
        <w:rPr>
          <w:rFonts w:ascii="Verdana" w:eastAsia="Batang" w:hAnsi="Verdana"/>
          <w:sz w:val="20"/>
          <w:szCs w:val="20"/>
          <w:lang w:val="en-US" w:eastAsia="es-MX"/>
        </w:rPr>
        <w:t>violence against women</w:t>
      </w:r>
      <w:r w:rsidR="0017063C" w:rsidRPr="00EA6C7A">
        <w:rPr>
          <w:rFonts w:ascii="Verdana" w:eastAsia="Batang" w:hAnsi="Verdana"/>
          <w:sz w:val="20"/>
          <w:szCs w:val="20"/>
          <w:lang w:val="en-US" w:eastAsia="es-MX"/>
        </w:rPr>
        <w:t xml:space="preserve">, </w:t>
      </w:r>
      <w:r w:rsidR="007F3CEB" w:rsidRPr="00EA6C7A">
        <w:rPr>
          <w:rFonts w:ascii="Verdana" w:eastAsia="Batang" w:hAnsi="Verdana"/>
          <w:sz w:val="20"/>
          <w:szCs w:val="20"/>
          <w:lang w:val="en-US" w:eastAsia="es-MX"/>
        </w:rPr>
        <w:t>including sexual violence.</w:t>
      </w:r>
      <w:r w:rsidR="0017063C" w:rsidRPr="00EA6C7A">
        <w:rPr>
          <w:rFonts w:ascii="Verdana" w:eastAsia="Batang" w:hAnsi="Verdana"/>
          <w:bCs/>
          <w:sz w:val="20"/>
          <w:szCs w:val="20"/>
          <w:vertAlign w:val="superscript"/>
          <w:lang w:val="en-US" w:eastAsia="es-MX"/>
        </w:rPr>
        <w:footnoteReference w:id="234"/>
      </w:r>
      <w:r w:rsidR="007F3CEB" w:rsidRPr="00EA6C7A">
        <w:rPr>
          <w:rFonts w:ascii="Verdana" w:eastAsia="Batang" w:hAnsi="Verdana"/>
          <w:sz w:val="20"/>
          <w:szCs w:val="20"/>
          <w:lang w:val="en-US" w:eastAsia="es-MX"/>
        </w:rPr>
        <w:t xml:space="preserve"> Accordingly, when informed of an act of violence against a woman, it is particularly important that the authorities in charge of the investigation conduct </w:t>
      </w:r>
      <w:r w:rsidR="009A3202" w:rsidRPr="00EA6C7A">
        <w:rPr>
          <w:rFonts w:ascii="Verdana" w:eastAsia="Batang" w:hAnsi="Verdana"/>
          <w:sz w:val="20"/>
          <w:szCs w:val="20"/>
          <w:lang w:val="en-US" w:eastAsia="es-MX"/>
        </w:rPr>
        <w:t>this</w:t>
      </w:r>
      <w:r w:rsidR="007F3CEB" w:rsidRPr="00EA6C7A">
        <w:rPr>
          <w:rFonts w:ascii="Verdana" w:eastAsia="Batang" w:hAnsi="Verdana"/>
          <w:sz w:val="20"/>
          <w:szCs w:val="20"/>
          <w:lang w:val="en-US" w:eastAsia="es-MX"/>
        </w:rPr>
        <w:t xml:space="preserve"> with determination and efficiency, taking into account society’s duty to reject </w:t>
      </w:r>
      <w:r w:rsidR="00C12C08" w:rsidRPr="00EA6C7A">
        <w:rPr>
          <w:rFonts w:ascii="Verdana" w:eastAsia="Batang" w:hAnsi="Verdana"/>
          <w:sz w:val="20"/>
          <w:szCs w:val="20"/>
          <w:lang w:val="en-US" w:eastAsia="es-MX"/>
        </w:rPr>
        <w:t>violence against women</w:t>
      </w:r>
      <w:r w:rsidR="007F3CEB"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and</w:t>
      </w:r>
      <w:r w:rsidR="007F3CEB" w:rsidRPr="00EA6C7A">
        <w:rPr>
          <w:rFonts w:ascii="Verdana" w:eastAsia="Batang" w:hAnsi="Verdana"/>
          <w:sz w:val="20"/>
          <w:szCs w:val="20"/>
          <w:lang w:val="en-US" w:eastAsia="es-MX"/>
        </w:rPr>
        <w:t xml:space="preserve"> the State’s obligation to eradicate it and to </w:t>
      </w:r>
      <w:r w:rsidR="00FD4772" w:rsidRPr="00EA6C7A">
        <w:rPr>
          <w:rFonts w:ascii="Verdana" w:eastAsia="Batang" w:hAnsi="Verdana"/>
          <w:sz w:val="20"/>
          <w:szCs w:val="20"/>
          <w:lang w:val="en-US" w:eastAsia="es-MX"/>
        </w:rPr>
        <w:t>ensure that victims haves confidence in the State institutions established for their protection.</w:t>
      </w:r>
      <w:r w:rsidR="0017063C" w:rsidRPr="00EA6C7A">
        <w:rPr>
          <w:rFonts w:ascii="Verdana" w:eastAsia="Batang" w:hAnsi="Verdana"/>
          <w:sz w:val="20"/>
          <w:szCs w:val="20"/>
          <w:vertAlign w:val="superscript"/>
          <w:lang w:val="en-US" w:eastAsia="es-MX"/>
        </w:rPr>
        <w:footnoteReference w:id="235"/>
      </w:r>
    </w:p>
    <w:p w14:paraId="04E42A89" w14:textId="77777777" w:rsidR="0017063C" w:rsidRPr="00EA6C7A" w:rsidRDefault="0017063C" w:rsidP="0017063C">
      <w:pPr>
        <w:spacing w:after="0" w:line="240" w:lineRule="auto"/>
        <w:ind w:right="-174"/>
        <w:contextualSpacing/>
        <w:jc w:val="both"/>
        <w:rPr>
          <w:rFonts w:ascii="Verdana" w:hAnsi="Verdana"/>
          <w:bCs/>
          <w:sz w:val="20"/>
          <w:szCs w:val="20"/>
          <w:lang w:val="en-US" w:eastAsia="es-MX"/>
        </w:rPr>
      </w:pPr>
    </w:p>
    <w:p w14:paraId="40408171" w14:textId="77777777" w:rsidR="0017063C" w:rsidRPr="00EA6C7A" w:rsidRDefault="0096418F" w:rsidP="00FD4772">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w:t>
      </w:r>
      <w:r w:rsidR="00FD4772" w:rsidRPr="00EA6C7A">
        <w:rPr>
          <w:rFonts w:ascii="Verdana" w:eastAsia="Batang" w:hAnsi="Verdana"/>
          <w:sz w:val="20"/>
          <w:szCs w:val="20"/>
          <w:lang w:val="en-US" w:eastAsia="es-MX"/>
        </w:rPr>
        <w:t xml:space="preserve">has also indicated that the obligation to investigate is increased in the case of a woman who is killed or suffers ill-treatment, or whose personal liberty is </w:t>
      </w:r>
      <w:r w:rsidR="009A3202" w:rsidRPr="00EA6C7A">
        <w:rPr>
          <w:rFonts w:ascii="Verdana" w:eastAsia="Batang" w:hAnsi="Verdana"/>
          <w:sz w:val="20"/>
          <w:szCs w:val="20"/>
          <w:lang w:val="en-US" w:eastAsia="es-MX"/>
        </w:rPr>
        <w:t>violated</w:t>
      </w:r>
      <w:r w:rsidR="00FD4772" w:rsidRPr="00EA6C7A">
        <w:rPr>
          <w:rFonts w:ascii="Verdana" w:eastAsia="Batang" w:hAnsi="Verdana"/>
          <w:sz w:val="20"/>
          <w:szCs w:val="20"/>
          <w:lang w:val="en-US" w:eastAsia="es-MX"/>
        </w:rPr>
        <w:t xml:space="preserve"> in a general context of </w:t>
      </w:r>
      <w:r w:rsidR="00C12C08" w:rsidRPr="00EA6C7A">
        <w:rPr>
          <w:rFonts w:ascii="Verdana" w:eastAsia="Batang" w:hAnsi="Verdana"/>
          <w:sz w:val="20"/>
          <w:szCs w:val="20"/>
          <w:lang w:val="en-US" w:eastAsia="es-MX"/>
        </w:rPr>
        <w:t>violence against women</w:t>
      </w:r>
      <w:r w:rsidR="00FD4772"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36"/>
      </w:r>
      <w:r w:rsidR="00FD4772" w:rsidRPr="00EA6C7A">
        <w:rPr>
          <w:rFonts w:ascii="Verdana" w:eastAsia="Batang" w:hAnsi="Verdana"/>
          <w:sz w:val="20"/>
          <w:szCs w:val="20"/>
          <w:lang w:val="en-US" w:eastAsia="es-MX"/>
        </w:rPr>
        <w:t xml:space="preserve"> I</w:t>
      </w:r>
      <w:r w:rsidR="009A3202" w:rsidRPr="00EA6C7A">
        <w:rPr>
          <w:rFonts w:ascii="Verdana" w:eastAsia="Batang" w:hAnsi="Verdana"/>
          <w:sz w:val="20"/>
          <w:szCs w:val="20"/>
          <w:lang w:val="en-US" w:eastAsia="es-MX"/>
        </w:rPr>
        <w:t>n practice, i</w:t>
      </w:r>
      <w:r w:rsidR="00FD4772" w:rsidRPr="00EA6C7A">
        <w:rPr>
          <w:rFonts w:ascii="Verdana" w:eastAsia="Batang" w:hAnsi="Verdana"/>
          <w:sz w:val="20"/>
          <w:szCs w:val="20"/>
          <w:lang w:val="en-US" w:eastAsia="es-MX"/>
        </w:rPr>
        <w:t>t is often difficult to prove that a murder or a violent assault against a woman has been perpetrated based on her gender. At times this difficulty arises owing to the absence of a thorough and effective investigation into the violen</w:t>
      </w:r>
      <w:r w:rsidR="009A3202" w:rsidRPr="00EA6C7A">
        <w:rPr>
          <w:rFonts w:ascii="Verdana" w:eastAsia="Batang" w:hAnsi="Verdana"/>
          <w:sz w:val="20"/>
          <w:szCs w:val="20"/>
          <w:lang w:val="en-US" w:eastAsia="es-MX"/>
        </w:rPr>
        <w:t>t</w:t>
      </w:r>
      <w:r w:rsidR="00FD4772" w:rsidRPr="00EA6C7A">
        <w:rPr>
          <w:rFonts w:ascii="Verdana" w:eastAsia="Batang" w:hAnsi="Verdana"/>
          <w:sz w:val="20"/>
          <w:szCs w:val="20"/>
          <w:lang w:val="en-US" w:eastAsia="es-MX"/>
        </w:rPr>
        <w:t xml:space="preserve"> incident and its causes by the authorities. This is why State authorities have the duty to investigate </w:t>
      </w:r>
      <w:r w:rsidR="00FD4772" w:rsidRPr="00EA6C7A">
        <w:rPr>
          <w:rFonts w:ascii="Verdana" w:eastAsia="Batang" w:hAnsi="Verdana"/>
          <w:i/>
          <w:sz w:val="20"/>
          <w:szCs w:val="20"/>
          <w:lang w:val="en-US" w:eastAsia="es-MX"/>
        </w:rPr>
        <w:t xml:space="preserve">ex officio </w:t>
      </w:r>
      <w:r w:rsidR="009A3202" w:rsidRPr="00EA6C7A">
        <w:rPr>
          <w:rFonts w:ascii="Verdana" w:eastAsia="Batang" w:hAnsi="Verdana"/>
          <w:sz w:val="20"/>
          <w:szCs w:val="20"/>
          <w:lang w:val="en-US" w:eastAsia="es-MX"/>
        </w:rPr>
        <w:t>any</w:t>
      </w:r>
      <w:r w:rsidR="00FD4772" w:rsidRPr="00EA6C7A">
        <w:rPr>
          <w:rFonts w:ascii="Verdana" w:eastAsia="Batang" w:hAnsi="Verdana"/>
          <w:sz w:val="20"/>
          <w:szCs w:val="20"/>
          <w:lang w:val="en-US" w:eastAsia="es-MX"/>
        </w:rPr>
        <w:t xml:space="preserve"> possible discriminatory gender-based connotations in an act of violence perpetrated against a woman, especially when there are </w:t>
      </w:r>
      <w:r w:rsidR="009A3202" w:rsidRPr="00EA6C7A">
        <w:rPr>
          <w:rFonts w:ascii="Verdana" w:eastAsia="Batang" w:hAnsi="Verdana"/>
          <w:sz w:val="20"/>
          <w:szCs w:val="20"/>
          <w:lang w:val="en-US" w:eastAsia="es-MX"/>
        </w:rPr>
        <w:t>specific</w:t>
      </w:r>
      <w:r w:rsidR="00FD4772" w:rsidRPr="00EA6C7A">
        <w:rPr>
          <w:rFonts w:ascii="Verdana" w:eastAsia="Batang" w:hAnsi="Verdana"/>
          <w:sz w:val="20"/>
          <w:szCs w:val="20"/>
          <w:lang w:val="en-US" w:eastAsia="es-MX"/>
        </w:rPr>
        <w:t xml:space="preserve"> indications of sexual violence of some type, or evidence of cruelty </w:t>
      </w:r>
      <w:r w:rsidR="00A204AD" w:rsidRPr="00EA6C7A">
        <w:rPr>
          <w:rFonts w:ascii="Verdana" w:eastAsia="Batang" w:hAnsi="Verdana"/>
          <w:sz w:val="20"/>
          <w:szCs w:val="20"/>
          <w:lang w:val="en-US" w:eastAsia="es-MX"/>
        </w:rPr>
        <w:t xml:space="preserve">inflicted on </w:t>
      </w:r>
      <w:r w:rsidR="00FD4772" w:rsidRPr="00EA6C7A">
        <w:rPr>
          <w:rFonts w:ascii="Verdana" w:eastAsia="Batang" w:hAnsi="Verdana"/>
          <w:sz w:val="20"/>
          <w:szCs w:val="20"/>
          <w:lang w:val="en-US" w:eastAsia="es-MX"/>
        </w:rPr>
        <w:t xml:space="preserve">the woman’s body (mutilation, for example), or when this act occurs in a context of </w:t>
      </w:r>
      <w:r w:rsidR="00C12C08" w:rsidRPr="00EA6C7A">
        <w:rPr>
          <w:rFonts w:ascii="Verdana" w:eastAsia="Batang" w:hAnsi="Verdana"/>
          <w:sz w:val="20"/>
          <w:szCs w:val="20"/>
          <w:lang w:val="en-US" w:eastAsia="es-MX"/>
        </w:rPr>
        <w:t>violence against women</w:t>
      </w:r>
      <w:r w:rsidR="00FD4772" w:rsidRPr="00EA6C7A">
        <w:rPr>
          <w:rFonts w:ascii="Verdana" w:eastAsia="Batang" w:hAnsi="Verdana"/>
          <w:sz w:val="20"/>
          <w:szCs w:val="20"/>
          <w:lang w:val="en-US" w:eastAsia="es-MX"/>
        </w:rPr>
        <w:t xml:space="preserve"> in a country or a </w:t>
      </w:r>
      <w:r w:rsidR="009A3202" w:rsidRPr="00EA6C7A">
        <w:rPr>
          <w:rFonts w:ascii="Verdana" w:eastAsia="Batang" w:hAnsi="Verdana"/>
          <w:sz w:val="20"/>
          <w:szCs w:val="20"/>
          <w:lang w:val="en-US" w:eastAsia="es-MX"/>
        </w:rPr>
        <w:t>particular</w:t>
      </w:r>
      <w:r w:rsidR="00FD4772" w:rsidRPr="00EA6C7A">
        <w:rPr>
          <w:rFonts w:ascii="Verdana" w:eastAsia="Batang" w:hAnsi="Verdana"/>
          <w:sz w:val="20"/>
          <w:szCs w:val="20"/>
          <w:lang w:val="en-US" w:eastAsia="es-MX"/>
        </w:rPr>
        <w:t xml:space="preserve"> region.</w:t>
      </w:r>
      <w:r w:rsidR="0017063C" w:rsidRPr="00EA6C7A">
        <w:rPr>
          <w:rFonts w:ascii="Verdana" w:eastAsia="Batang" w:hAnsi="Verdana"/>
          <w:sz w:val="20"/>
          <w:szCs w:val="20"/>
          <w:vertAlign w:val="superscript"/>
          <w:lang w:val="en-US" w:eastAsia="es-MX"/>
        </w:rPr>
        <w:footnoteReference w:id="237"/>
      </w:r>
      <w:r w:rsidR="0017063C" w:rsidRPr="00EA6C7A">
        <w:rPr>
          <w:rFonts w:ascii="Verdana" w:eastAsia="Batang" w:hAnsi="Verdana"/>
          <w:sz w:val="20"/>
          <w:szCs w:val="20"/>
          <w:lang w:val="en-US" w:eastAsia="es-MX"/>
        </w:rPr>
        <w:t xml:space="preserve"> </w:t>
      </w:r>
      <w:r w:rsidR="00FD4772" w:rsidRPr="00EA6C7A">
        <w:rPr>
          <w:rFonts w:ascii="Verdana" w:eastAsia="Batang" w:hAnsi="Verdana"/>
          <w:sz w:val="20"/>
          <w:szCs w:val="20"/>
          <w:lang w:val="en-US" w:eastAsia="es-MX"/>
        </w:rPr>
        <w:t>Furthermore, the criminal investigation should include a gender perspective and be conducted by officials trained in similar cases and in attending victims of gender-based discrimination and violence.</w:t>
      </w:r>
      <w:r w:rsidR="0017063C" w:rsidRPr="00EA6C7A">
        <w:rPr>
          <w:rFonts w:ascii="Verdana" w:eastAsia="Batang" w:hAnsi="Verdana"/>
          <w:sz w:val="20"/>
          <w:szCs w:val="20"/>
          <w:vertAlign w:val="superscript"/>
          <w:lang w:val="en-US" w:eastAsia="es-MX"/>
        </w:rPr>
        <w:footnoteReference w:id="238"/>
      </w:r>
    </w:p>
    <w:p w14:paraId="05B2A452" w14:textId="77777777" w:rsidR="0017063C" w:rsidRPr="00EA6C7A" w:rsidRDefault="0017063C" w:rsidP="0017063C">
      <w:pPr>
        <w:spacing w:after="0" w:line="240" w:lineRule="auto"/>
        <w:ind w:right="18"/>
        <w:jc w:val="both"/>
        <w:rPr>
          <w:rFonts w:ascii="Verdana" w:eastAsia="Calibri" w:hAnsi="Verdana"/>
          <w:sz w:val="20"/>
          <w:szCs w:val="20"/>
          <w:lang w:val="en-US"/>
        </w:rPr>
      </w:pPr>
    </w:p>
    <w:p w14:paraId="31569038" w14:textId="77777777" w:rsidR="0017063C" w:rsidRPr="00EA6C7A" w:rsidRDefault="00FD4772" w:rsidP="00FD4772">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 has also established</w:t>
      </w:r>
      <w:r w:rsidR="00951B49" w:rsidRPr="00EA6C7A">
        <w:rPr>
          <w:rFonts w:ascii="Verdana" w:eastAsia="Batang" w:hAnsi="Verdana"/>
          <w:sz w:val="20"/>
          <w:szCs w:val="20"/>
          <w:lang w:val="en-US" w:eastAsia="es-MX"/>
        </w:rPr>
        <w:t xml:space="preserve"> that, in cases of suspected gen</w:t>
      </w:r>
      <w:r w:rsidR="00222419" w:rsidRPr="00EA6C7A">
        <w:rPr>
          <w:rFonts w:ascii="Verdana" w:eastAsia="Batang" w:hAnsi="Verdana"/>
          <w:sz w:val="20"/>
          <w:szCs w:val="20"/>
          <w:lang w:val="en-US" w:eastAsia="es-MX"/>
        </w:rPr>
        <w:t>d</w:t>
      </w:r>
      <w:r w:rsidR="00951B49" w:rsidRPr="00EA6C7A">
        <w:rPr>
          <w:rFonts w:ascii="Verdana" w:eastAsia="Batang" w:hAnsi="Verdana"/>
          <w:sz w:val="20"/>
          <w:szCs w:val="20"/>
          <w:lang w:val="en-US" w:eastAsia="es-MX"/>
        </w:rPr>
        <w:t xml:space="preserve">er-based murder, the State obligation to investigate with due diligence includes the duty to order, </w:t>
      </w:r>
      <w:r w:rsidR="00951B49" w:rsidRPr="00EA6C7A">
        <w:rPr>
          <w:rFonts w:ascii="Verdana" w:eastAsia="Batang" w:hAnsi="Verdana"/>
          <w:i/>
          <w:iCs/>
          <w:sz w:val="20"/>
          <w:szCs w:val="20"/>
          <w:lang w:val="en-US" w:eastAsia="es-MX"/>
        </w:rPr>
        <w:t>ex officio</w:t>
      </w:r>
      <w:r w:rsidR="00951B49" w:rsidRPr="00EA6C7A">
        <w:rPr>
          <w:rFonts w:ascii="Verdana" w:eastAsia="Batang" w:hAnsi="Verdana"/>
          <w:sz w:val="20"/>
          <w:szCs w:val="20"/>
          <w:lang w:val="en-US" w:eastAsia="es-MX"/>
        </w:rPr>
        <w:t>, the corresponding tests and expertise to verify whether the murder had a sexual motive or whether any type of sexual violence occurred</w:t>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t>In this regard, the investigation into a presumed gender-based murder should not be restricted to the victim’s death</w:t>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t xml:space="preserve">but should also include other specific violations of </w:t>
      </w:r>
      <w:r w:rsidR="00515C34" w:rsidRPr="00EA6C7A">
        <w:rPr>
          <w:rFonts w:ascii="Verdana" w:eastAsia="Batang" w:hAnsi="Verdana"/>
          <w:sz w:val="20"/>
          <w:szCs w:val="20"/>
          <w:lang w:val="en-US" w:eastAsia="es-MX"/>
        </w:rPr>
        <w:t>personal integrity</w:t>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t>such as</w:t>
      </w:r>
      <w:r w:rsidR="0017063C" w:rsidRPr="00EA6C7A">
        <w:rPr>
          <w:rFonts w:ascii="Verdana" w:eastAsia="Batang" w:hAnsi="Verdana"/>
          <w:sz w:val="20"/>
          <w:szCs w:val="20"/>
          <w:lang w:val="en-US" w:eastAsia="es-MX"/>
        </w:rPr>
        <w:t xml:space="preserve"> tortur</w:t>
      </w:r>
      <w:r w:rsidR="00951B49" w:rsidRPr="00EA6C7A">
        <w:rPr>
          <w:rFonts w:ascii="Verdana" w:eastAsia="Batang" w:hAnsi="Verdana"/>
          <w:sz w:val="20"/>
          <w:szCs w:val="20"/>
          <w:lang w:val="en-US" w:eastAsia="es-MX"/>
        </w:rPr>
        <w:t>e and acts of sexual violence.</w:t>
      </w:r>
      <w:r w:rsidR="0017063C" w:rsidRPr="00EA6C7A">
        <w:rPr>
          <w:rStyle w:val="Refdenotaalpie"/>
          <w:rFonts w:ascii="Verdana" w:eastAsia="Batang" w:hAnsi="Verdana"/>
          <w:sz w:val="20"/>
          <w:szCs w:val="20"/>
          <w:lang w:val="en-US" w:eastAsia="es-MX"/>
        </w:rPr>
        <w:footnoteReference w:id="239"/>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t>In a</w:t>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lastRenderedPageBreak/>
        <w:t>criminal investigation into</w:t>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t>sexual violence</w:t>
      </w:r>
      <w:r w:rsidR="0017063C" w:rsidRPr="00EA6C7A">
        <w:rPr>
          <w:rFonts w:ascii="Verdana" w:eastAsia="Batang" w:hAnsi="Verdana"/>
          <w:sz w:val="20"/>
          <w:szCs w:val="20"/>
          <w:lang w:val="en-US" w:eastAsia="es-MX"/>
        </w:rPr>
        <w:t xml:space="preserve"> </w:t>
      </w:r>
      <w:r w:rsidR="00951B49" w:rsidRPr="00EA6C7A">
        <w:rPr>
          <w:rFonts w:ascii="Verdana" w:eastAsia="Batang" w:hAnsi="Verdana"/>
          <w:sz w:val="20"/>
          <w:szCs w:val="20"/>
          <w:lang w:val="en-US" w:eastAsia="es-MX"/>
        </w:rPr>
        <w:t>the investigative actions must be coordinated and documented and the evidence handled diligently, taking sufficient s</w:t>
      </w:r>
      <w:r w:rsidR="009A3202" w:rsidRPr="00EA6C7A">
        <w:rPr>
          <w:rFonts w:ascii="Verdana" w:eastAsia="Batang" w:hAnsi="Verdana"/>
          <w:sz w:val="20"/>
          <w:szCs w:val="20"/>
          <w:lang w:val="en-US" w:eastAsia="es-MX"/>
        </w:rPr>
        <w:t>a</w:t>
      </w:r>
      <w:r w:rsidR="00951B49" w:rsidRPr="00EA6C7A">
        <w:rPr>
          <w:rFonts w:ascii="Verdana" w:eastAsia="Batang" w:hAnsi="Verdana"/>
          <w:sz w:val="20"/>
          <w:szCs w:val="20"/>
          <w:lang w:val="en-US" w:eastAsia="es-MX"/>
        </w:rPr>
        <w:t xml:space="preserve">mples, </w:t>
      </w:r>
      <w:r w:rsidR="009A3202" w:rsidRPr="00EA6C7A">
        <w:rPr>
          <w:rFonts w:ascii="Verdana" w:eastAsia="Batang" w:hAnsi="Verdana"/>
          <w:sz w:val="20"/>
          <w:szCs w:val="20"/>
          <w:lang w:val="en-US" w:eastAsia="es-MX"/>
        </w:rPr>
        <w:t>performing</w:t>
      </w:r>
      <w:r w:rsidR="00951B49" w:rsidRPr="00EA6C7A">
        <w:rPr>
          <w:rFonts w:ascii="Verdana" w:eastAsia="Batang" w:hAnsi="Verdana"/>
          <w:sz w:val="20"/>
          <w:szCs w:val="20"/>
          <w:lang w:val="en-US" w:eastAsia="es-MX"/>
        </w:rPr>
        <w:t xml:space="preserve"> </w:t>
      </w:r>
      <w:r w:rsidR="009A3202" w:rsidRPr="00EA6C7A">
        <w:rPr>
          <w:rFonts w:ascii="Verdana" w:eastAsia="Batang" w:hAnsi="Verdana"/>
          <w:sz w:val="20"/>
          <w:szCs w:val="20"/>
          <w:lang w:val="en-US" w:eastAsia="es-MX"/>
        </w:rPr>
        <w:t>tests</w:t>
      </w:r>
      <w:r w:rsidR="00951B49" w:rsidRPr="00EA6C7A">
        <w:rPr>
          <w:rFonts w:ascii="Verdana" w:eastAsia="Batang" w:hAnsi="Verdana"/>
          <w:sz w:val="20"/>
          <w:szCs w:val="20"/>
          <w:lang w:val="en-US" w:eastAsia="es-MX"/>
        </w:rPr>
        <w:t xml:space="preserve"> to determine the possible authorship of the facts, protecting other evidence such as the victim’s clothes, conducting an immediate investigation of the crime scene and ensur</w:t>
      </w:r>
      <w:r w:rsidR="009A3202" w:rsidRPr="00EA6C7A">
        <w:rPr>
          <w:rFonts w:ascii="Verdana" w:eastAsia="Batang" w:hAnsi="Verdana"/>
          <w:sz w:val="20"/>
          <w:szCs w:val="20"/>
          <w:lang w:val="en-US" w:eastAsia="es-MX"/>
        </w:rPr>
        <w:t>ing</w:t>
      </w:r>
      <w:r w:rsidR="00951B49" w:rsidRPr="00EA6C7A">
        <w:rPr>
          <w:rFonts w:ascii="Verdana" w:eastAsia="Batang" w:hAnsi="Verdana"/>
          <w:sz w:val="20"/>
          <w:szCs w:val="20"/>
          <w:lang w:val="en-US" w:eastAsia="es-MX"/>
        </w:rPr>
        <w:t xml:space="preserve"> the proper chain of custody.</w:t>
      </w:r>
      <w:r w:rsidR="0017063C" w:rsidRPr="00EA6C7A">
        <w:rPr>
          <w:rFonts w:ascii="Verdana" w:eastAsia="Batang" w:hAnsi="Verdana"/>
          <w:bCs/>
          <w:sz w:val="20"/>
          <w:szCs w:val="20"/>
          <w:vertAlign w:val="superscript"/>
          <w:lang w:val="en-US" w:eastAsia="es-MX"/>
        </w:rPr>
        <w:footnoteReference w:id="240"/>
      </w:r>
    </w:p>
    <w:p w14:paraId="60E7712F" w14:textId="77777777" w:rsidR="0017063C" w:rsidRPr="00EA6C7A" w:rsidRDefault="0017063C" w:rsidP="0017063C">
      <w:pPr>
        <w:spacing w:after="0" w:line="240" w:lineRule="auto"/>
        <w:ind w:left="720"/>
        <w:contextualSpacing/>
        <w:jc w:val="both"/>
        <w:rPr>
          <w:rFonts w:ascii="Verdana" w:hAnsi="Verdana"/>
          <w:sz w:val="20"/>
          <w:szCs w:val="20"/>
          <w:lang w:val="en-US" w:eastAsia="es-MX"/>
        </w:rPr>
      </w:pPr>
    </w:p>
    <w:p w14:paraId="29EE04CC" w14:textId="77777777" w:rsidR="0017063C" w:rsidRPr="00EA6C7A" w:rsidRDefault="00951B49" w:rsidP="00951B4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Accordingly, the first stages of the investigation may be especially crucial in cases of a gender-based murder of a woman, because possible errors in procedures such as autopsies and the collection and conservation of physical evidence may prevent or hinder the possibility of proving relevant aspects, such as sexual violence. In the case of autopsies in a context of gender-based murder, the Court has specified that it is necessary to carry out a careful examination of the genital and surrounding areas to look for signs of sexual abuse, and also to preserve oral, vaginal and rectal liquid, and the external and pubic hair of the victim.</w:t>
      </w:r>
      <w:r w:rsidRPr="00EA6C7A">
        <w:rPr>
          <w:rFonts w:ascii="Verdana" w:eastAsia="Batang" w:hAnsi="Verdana"/>
          <w:sz w:val="20"/>
          <w:szCs w:val="20"/>
          <w:vertAlign w:val="superscript"/>
          <w:lang w:val="en-US" w:eastAsia="es-MX"/>
        </w:rPr>
        <w:footnoteReference w:id="241"/>
      </w:r>
      <w:r w:rsidRPr="00EA6C7A">
        <w:rPr>
          <w:rFonts w:ascii="Verdana" w:eastAsia="Batang" w:hAnsi="Verdana"/>
          <w:sz w:val="20"/>
          <w:szCs w:val="20"/>
          <w:lang w:val="en-US" w:eastAsia="es-MX"/>
        </w:rPr>
        <w:t xml:space="preserve"> In addition, the Court has indicated that States have the obligation to enact laws or implement the required measures, in accordance with </w:t>
      </w:r>
      <w:r w:rsidR="0096418F"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2</w:t>
      </w:r>
      <w:r w:rsidR="0096418F" w:rsidRPr="00EA6C7A">
        <w:rPr>
          <w:rFonts w:ascii="Verdana" w:eastAsia="Batang" w:hAnsi="Verdana"/>
          <w:sz w:val="20"/>
          <w:szCs w:val="20"/>
          <w:lang w:val="en-US" w:eastAsia="es-MX"/>
        </w:rPr>
        <w:t xml:space="preserve"> of the American Convention</w:t>
      </w:r>
      <w:r w:rsidR="00D948A1" w:rsidRPr="00EA6C7A">
        <w:rPr>
          <w:rFonts w:ascii="Verdana" w:eastAsia="Batang" w:hAnsi="Verdana"/>
          <w:sz w:val="20"/>
          <w:szCs w:val="20"/>
          <w:lang w:val="en-US" w:eastAsia="es-MX"/>
        </w:rPr>
        <w:t xml:space="preserve"> and</w:t>
      </w:r>
      <w:r w:rsidR="0017063C"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7</w:t>
      </w:r>
      <w:r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c</w:t>
      </w:r>
      <w:r w:rsidRPr="00EA6C7A">
        <w:rPr>
          <w:rFonts w:ascii="Verdana" w:eastAsia="Batang" w:hAnsi="Verdana"/>
          <w:sz w:val="20"/>
          <w:szCs w:val="20"/>
          <w:lang w:val="en-US" w:eastAsia="es-MX"/>
        </w:rPr>
        <w:t>)</w:t>
      </w:r>
      <w:r w:rsidR="0096418F" w:rsidRPr="00EA6C7A">
        <w:rPr>
          <w:rFonts w:ascii="Verdana" w:eastAsia="Batang" w:hAnsi="Verdana"/>
          <w:sz w:val="20"/>
          <w:szCs w:val="20"/>
          <w:lang w:val="en-US" w:eastAsia="es-MX"/>
        </w:rPr>
        <w:t xml:space="preserve"> of the </w:t>
      </w:r>
      <w:r w:rsidR="004554C7" w:rsidRPr="00EA6C7A">
        <w:rPr>
          <w:rFonts w:ascii="Verdana" w:eastAsia="Batang" w:hAnsi="Verdana"/>
          <w:sz w:val="20"/>
          <w:szCs w:val="20"/>
          <w:lang w:val="en-US" w:eastAsia="es-MX"/>
        </w:rPr>
        <w:t>Convention of Belém</w:t>
      </w:r>
      <w:r w:rsidR="0017063C" w:rsidRPr="00EA6C7A">
        <w:rPr>
          <w:rFonts w:ascii="Verdana" w:eastAsia="Batang" w:hAnsi="Verdana"/>
          <w:sz w:val="20"/>
          <w:szCs w:val="20"/>
          <w:lang w:val="en-US" w:eastAsia="es-MX"/>
        </w:rPr>
        <w:t xml:space="preserve"> do Pará, </w:t>
      </w:r>
      <w:r w:rsidRPr="00EA6C7A">
        <w:rPr>
          <w:rFonts w:ascii="Verdana" w:eastAsia="Batang" w:hAnsi="Verdana"/>
          <w:sz w:val="20"/>
          <w:szCs w:val="20"/>
          <w:lang w:val="en-US" w:eastAsia="es-MX"/>
        </w:rPr>
        <w:t xml:space="preserve">that allow the authorities to conduct an investigation with due diligence in cases of presumed </w:t>
      </w:r>
      <w:r w:rsidR="00C12C08" w:rsidRPr="00EA6C7A">
        <w:rPr>
          <w:rFonts w:ascii="Verdana" w:eastAsia="Batang" w:hAnsi="Verdana"/>
          <w:sz w:val="20"/>
          <w:szCs w:val="20"/>
          <w:lang w:val="en-US" w:eastAsia="es-MX"/>
        </w:rPr>
        <w:t>violence against women</w:t>
      </w:r>
      <w:r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42"/>
      </w:r>
      <w:r w:rsidR="0017063C" w:rsidRPr="00EA6C7A">
        <w:rPr>
          <w:rFonts w:ascii="Verdana" w:eastAsia="Batang" w:hAnsi="Verdana"/>
          <w:sz w:val="20"/>
          <w:szCs w:val="20"/>
          <w:lang w:val="en-US" w:eastAsia="es-MX"/>
        </w:rPr>
        <w:t xml:space="preserve"> </w:t>
      </w:r>
    </w:p>
    <w:p w14:paraId="2B3ACF17" w14:textId="77777777" w:rsidR="0017063C" w:rsidRPr="00EA6C7A" w:rsidRDefault="0017063C" w:rsidP="0017063C">
      <w:pPr>
        <w:spacing w:after="0" w:line="240" w:lineRule="auto"/>
        <w:ind w:right="-174"/>
        <w:jc w:val="both"/>
        <w:rPr>
          <w:rFonts w:ascii="Verdana" w:hAnsi="Verdana"/>
          <w:sz w:val="20"/>
          <w:szCs w:val="20"/>
          <w:lang w:val="en-US"/>
        </w:rPr>
      </w:pPr>
    </w:p>
    <w:p w14:paraId="0A277C0D" w14:textId="77777777" w:rsidR="0017063C" w:rsidRPr="00EA6C7A" w:rsidRDefault="00951B49" w:rsidP="00951B4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On this basis, taking </w:t>
      </w:r>
      <w:r w:rsidR="009A3202" w:rsidRPr="00EA6C7A">
        <w:rPr>
          <w:rFonts w:ascii="Verdana" w:eastAsia="Batang" w:hAnsi="Verdana"/>
          <w:sz w:val="20"/>
          <w:szCs w:val="20"/>
          <w:lang w:val="en-US" w:eastAsia="es-MX"/>
        </w:rPr>
        <w:t>in</w:t>
      </w:r>
      <w:r w:rsidRPr="00EA6C7A">
        <w:rPr>
          <w:rFonts w:ascii="Verdana" w:eastAsia="Batang" w:hAnsi="Verdana"/>
          <w:sz w:val="20"/>
          <w:szCs w:val="20"/>
          <w:lang w:val="en-US" w:eastAsia="es-MX"/>
        </w:rPr>
        <w:t xml:space="preserve">to account the arguments </w:t>
      </w:r>
      <w:r w:rsidR="00711077" w:rsidRPr="00EA6C7A">
        <w:rPr>
          <w:rFonts w:ascii="Verdana" w:eastAsia="Batang" w:hAnsi="Verdana"/>
          <w:sz w:val="20"/>
          <w:szCs w:val="20"/>
          <w:lang w:val="en-US" w:eastAsia="es-MX"/>
        </w:rPr>
        <w:t>of the parties</w:t>
      </w:r>
      <w:r w:rsidR="00D948A1" w:rsidRPr="00EA6C7A">
        <w:rPr>
          <w:rFonts w:ascii="Verdana" w:eastAsia="Batang" w:hAnsi="Verdana"/>
          <w:sz w:val="20"/>
          <w:szCs w:val="20"/>
          <w:lang w:val="en-US" w:eastAsia="es-MX"/>
        </w:rPr>
        <w:t xml:space="preserve"> and </w:t>
      </w:r>
      <w:r w:rsidR="0096418F" w:rsidRPr="00EA6C7A">
        <w:rPr>
          <w:rFonts w:ascii="Verdana" w:eastAsia="Batang" w:hAnsi="Verdana"/>
          <w:sz w:val="20"/>
          <w:szCs w:val="20"/>
          <w:lang w:val="en-US" w:eastAsia="es-MX"/>
        </w:rPr>
        <w:t>the Commission</w:t>
      </w:r>
      <w:r w:rsidR="0017063C" w:rsidRPr="00EA6C7A">
        <w:rPr>
          <w:rFonts w:ascii="Verdana" w:eastAsia="Batang" w:hAnsi="Verdana"/>
          <w:sz w:val="20"/>
          <w:szCs w:val="20"/>
          <w:lang w:val="en-US" w:eastAsia="es-MX"/>
        </w:rPr>
        <w:t xml:space="preserve">, </w:t>
      </w:r>
      <w:r w:rsidR="009A3202" w:rsidRPr="00EA6C7A">
        <w:rPr>
          <w:rFonts w:ascii="Verdana" w:eastAsia="Batang" w:hAnsi="Verdana"/>
          <w:sz w:val="20"/>
          <w:szCs w:val="20"/>
          <w:lang w:val="en-US" w:eastAsia="es-MX"/>
        </w:rPr>
        <w:t xml:space="preserve">the Court must </w:t>
      </w:r>
      <w:r w:rsidRPr="00EA6C7A">
        <w:rPr>
          <w:rFonts w:ascii="Verdana" w:eastAsia="Batang" w:hAnsi="Verdana"/>
          <w:sz w:val="20"/>
          <w:szCs w:val="20"/>
          <w:lang w:val="en-US" w:eastAsia="es-MX"/>
        </w:rPr>
        <w:t xml:space="preserve">analyze whether the way in which the investigation into the death of </w:t>
      </w:r>
      <w:r w:rsidR="0017063C" w:rsidRPr="00EA6C7A">
        <w:rPr>
          <w:rFonts w:ascii="Verdana" w:eastAsia="Batang" w:hAnsi="Verdana"/>
          <w:sz w:val="20"/>
          <w:szCs w:val="20"/>
          <w:lang w:val="en-US" w:eastAsia="es-MX"/>
        </w:rPr>
        <w:t>Claudina Isabel Velásquez Paiz</w:t>
      </w:r>
      <w:r w:rsidRPr="00EA6C7A">
        <w:rPr>
          <w:rFonts w:ascii="Verdana" w:eastAsia="Batang" w:hAnsi="Verdana"/>
          <w:sz w:val="20"/>
          <w:szCs w:val="20"/>
          <w:lang w:val="en-US" w:eastAsia="es-MX"/>
        </w:rPr>
        <w:t xml:space="preserve"> has been implemented to date</w:t>
      </w:r>
      <w:r w:rsidR="0017063C" w:rsidRPr="00EA6C7A">
        <w:rPr>
          <w:rFonts w:ascii="Verdana" w:eastAsia="Batang" w:hAnsi="Verdana"/>
          <w:sz w:val="20"/>
          <w:szCs w:val="20"/>
          <w:lang w:val="en-US" w:eastAsia="es-MX"/>
        </w:rPr>
        <w:t xml:space="preserve"> constitu</w:t>
      </w:r>
      <w:r w:rsidRPr="00EA6C7A">
        <w:rPr>
          <w:rFonts w:ascii="Verdana" w:eastAsia="Batang" w:hAnsi="Verdana"/>
          <w:sz w:val="20"/>
          <w:szCs w:val="20"/>
          <w:lang w:val="en-US" w:eastAsia="es-MX"/>
        </w:rPr>
        <w:t>tes a violation of the obligations arising from the rights</w:t>
      </w:r>
      <w:r w:rsidR="0017063C" w:rsidRPr="00EA6C7A">
        <w:rPr>
          <w:rFonts w:ascii="Verdana" w:eastAsia="Batang" w:hAnsi="Verdana"/>
          <w:sz w:val="20"/>
          <w:szCs w:val="20"/>
          <w:lang w:val="en-US" w:eastAsia="es-MX"/>
        </w:rPr>
        <w:t xml:space="preserve"> </w:t>
      </w:r>
      <w:r w:rsidR="00515C34" w:rsidRPr="00EA6C7A">
        <w:rPr>
          <w:rFonts w:ascii="Verdana" w:eastAsia="Batang" w:hAnsi="Verdana"/>
          <w:sz w:val="20"/>
          <w:szCs w:val="20"/>
          <w:lang w:val="en-US" w:eastAsia="es-MX"/>
        </w:rPr>
        <w:t>recognized in Articles 8(1)</w:t>
      </w:r>
      <w:r w:rsidR="0017063C" w:rsidRPr="00EA6C7A">
        <w:rPr>
          <w:rFonts w:ascii="Verdana" w:eastAsia="Batang" w:hAnsi="Verdana"/>
          <w:sz w:val="20"/>
          <w:szCs w:val="20"/>
          <w:lang w:val="en-US" w:eastAsia="es-MX"/>
        </w:rPr>
        <w:t>, 24</w:t>
      </w:r>
      <w:r w:rsidR="00D948A1" w:rsidRPr="00EA6C7A">
        <w:rPr>
          <w:rFonts w:ascii="Verdana" w:eastAsia="Batang" w:hAnsi="Verdana"/>
          <w:sz w:val="20"/>
          <w:szCs w:val="20"/>
          <w:lang w:val="en-US" w:eastAsia="es-MX"/>
        </w:rPr>
        <w:t xml:space="preserve"> and </w:t>
      </w:r>
      <w:r w:rsidR="00715B6F" w:rsidRPr="00EA6C7A">
        <w:rPr>
          <w:rFonts w:ascii="Verdana" w:eastAsia="Batang" w:hAnsi="Verdana"/>
          <w:sz w:val="20"/>
          <w:szCs w:val="20"/>
          <w:lang w:val="en-US" w:eastAsia="es-MX"/>
        </w:rPr>
        <w:t>25(1)</w:t>
      </w:r>
      <w:r w:rsidR="0096418F" w:rsidRPr="00EA6C7A">
        <w:rPr>
          <w:rFonts w:ascii="Verdana" w:eastAsia="Batang" w:hAnsi="Verdana"/>
          <w:sz w:val="20"/>
          <w:szCs w:val="20"/>
          <w:lang w:val="en-US" w:eastAsia="es-MX"/>
        </w:rPr>
        <w:t xml:space="preserve"> of the American Convention</w:t>
      </w:r>
      <w:r w:rsidR="0017063C" w:rsidRPr="00EA6C7A">
        <w:rPr>
          <w:rFonts w:ascii="Verdana" w:eastAsia="Batang" w:hAnsi="Verdana"/>
          <w:sz w:val="20"/>
          <w:szCs w:val="20"/>
          <w:lang w:val="en-US" w:eastAsia="es-MX"/>
        </w:rPr>
        <w:t xml:space="preserve">, </w:t>
      </w:r>
      <w:r w:rsidR="002B325A" w:rsidRPr="00EA6C7A">
        <w:rPr>
          <w:rFonts w:ascii="Verdana" w:eastAsia="Batang" w:hAnsi="Verdana"/>
          <w:sz w:val="20"/>
          <w:szCs w:val="20"/>
          <w:lang w:val="en-US" w:eastAsia="es-MX"/>
        </w:rPr>
        <w:t>in relation to Article</w:t>
      </w:r>
      <w:r w:rsidR="00515C34" w:rsidRPr="00EA6C7A">
        <w:rPr>
          <w:rFonts w:ascii="Verdana" w:eastAsia="Batang" w:hAnsi="Verdana"/>
          <w:sz w:val="20"/>
          <w:szCs w:val="20"/>
          <w:lang w:val="en-US" w:eastAsia="es-MX"/>
        </w:rPr>
        <w:t xml:space="preserve"> 1(1)</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of this instrument, as well as </w:t>
      </w:r>
      <w:r w:rsidR="0096418F" w:rsidRPr="00EA6C7A">
        <w:rPr>
          <w:rFonts w:ascii="Verdana" w:eastAsia="Batang" w:hAnsi="Verdana"/>
          <w:sz w:val="20"/>
          <w:szCs w:val="20"/>
          <w:lang w:val="en-US" w:eastAsia="es-MX"/>
        </w:rPr>
        <w:t>Article</w:t>
      </w:r>
      <w:r w:rsidR="0017063C" w:rsidRPr="00EA6C7A">
        <w:rPr>
          <w:rFonts w:ascii="Verdana" w:eastAsia="Batang" w:hAnsi="Verdana"/>
          <w:sz w:val="20"/>
          <w:szCs w:val="20"/>
          <w:lang w:val="en-US" w:eastAsia="es-MX"/>
        </w:rPr>
        <w:t xml:space="preserve"> 7</w:t>
      </w:r>
      <w:r w:rsidR="0096418F" w:rsidRPr="00EA6C7A">
        <w:rPr>
          <w:rFonts w:ascii="Verdana" w:eastAsia="Batang" w:hAnsi="Verdana"/>
          <w:sz w:val="20"/>
          <w:szCs w:val="20"/>
          <w:lang w:val="en-US" w:eastAsia="es-MX"/>
        </w:rPr>
        <w:t xml:space="preserve"> of the </w:t>
      </w:r>
      <w:r w:rsidR="004554C7" w:rsidRPr="00EA6C7A">
        <w:rPr>
          <w:rFonts w:ascii="Verdana" w:eastAsia="Batang" w:hAnsi="Verdana"/>
          <w:sz w:val="20"/>
          <w:szCs w:val="20"/>
          <w:lang w:val="en-US" w:eastAsia="es-MX"/>
        </w:rPr>
        <w:t>Convention of Belém</w:t>
      </w:r>
      <w:r w:rsidR="0017063C" w:rsidRPr="00EA6C7A">
        <w:rPr>
          <w:rFonts w:ascii="Verdana" w:eastAsia="Batang" w:hAnsi="Verdana"/>
          <w:sz w:val="20"/>
          <w:szCs w:val="20"/>
          <w:lang w:val="en-US" w:eastAsia="es-MX"/>
        </w:rPr>
        <w:t xml:space="preserve"> do Pará. </w:t>
      </w:r>
      <w:r w:rsidRPr="00EA6C7A">
        <w:rPr>
          <w:rFonts w:ascii="Verdana" w:eastAsia="Batang" w:hAnsi="Verdana"/>
          <w:sz w:val="20"/>
          <w:szCs w:val="20"/>
          <w:lang w:val="en-US" w:eastAsia="es-MX"/>
        </w:rPr>
        <w:t>To this end, in this chapter, the Court will examine the following aspects</w:t>
      </w:r>
      <w:r w:rsidR="0017063C" w:rsidRPr="00EA6C7A">
        <w:rPr>
          <w:rFonts w:ascii="Verdana" w:eastAsia="Batang" w:hAnsi="Verdana"/>
          <w:sz w:val="20"/>
          <w:szCs w:val="20"/>
          <w:lang w:val="en-US" w:eastAsia="es-MX"/>
        </w:rPr>
        <w:t xml:space="preserve">: </w:t>
      </w:r>
    </w:p>
    <w:p w14:paraId="27CEB845" w14:textId="77777777" w:rsidR="0017063C" w:rsidRPr="00EA6C7A" w:rsidRDefault="0017063C" w:rsidP="0017063C">
      <w:pPr>
        <w:spacing w:after="0" w:line="240" w:lineRule="auto"/>
        <w:ind w:left="720"/>
        <w:contextualSpacing/>
        <w:jc w:val="both"/>
        <w:rPr>
          <w:rFonts w:ascii="Verdana" w:hAnsi="Verdana"/>
          <w:sz w:val="16"/>
          <w:szCs w:val="20"/>
          <w:lang w:val="en-US" w:eastAsia="es-MX"/>
        </w:rPr>
      </w:pPr>
    </w:p>
    <w:p w14:paraId="407FF5B9" w14:textId="77777777" w:rsidR="0017063C" w:rsidRPr="00EA6C7A" w:rsidRDefault="0017063C" w:rsidP="0017063C">
      <w:pPr>
        <w:autoSpaceDE w:val="0"/>
        <w:autoSpaceDN w:val="0"/>
        <w:adjustRightInd w:val="0"/>
        <w:spacing w:after="0" w:line="240" w:lineRule="auto"/>
        <w:ind w:left="720" w:hanging="540"/>
        <w:jc w:val="both"/>
        <w:rPr>
          <w:rFonts w:ascii="Verdana" w:hAnsi="Verdana"/>
          <w:sz w:val="20"/>
          <w:szCs w:val="20"/>
          <w:lang w:val="en-US"/>
        </w:rPr>
      </w:pPr>
      <w:r w:rsidRPr="00EA6C7A">
        <w:rPr>
          <w:rFonts w:ascii="Verdana" w:hAnsi="Verdana"/>
          <w:sz w:val="20"/>
          <w:szCs w:val="20"/>
          <w:lang w:val="en-US"/>
        </w:rPr>
        <w:t>B.1</w:t>
      </w:r>
      <w:r w:rsidR="003326F9" w:rsidRPr="00EA6C7A">
        <w:rPr>
          <w:rFonts w:ascii="Verdana" w:hAnsi="Verdana"/>
          <w:sz w:val="20"/>
          <w:szCs w:val="20"/>
          <w:lang w:val="en-US"/>
        </w:rPr>
        <w:t>.</w:t>
      </w:r>
      <w:r w:rsidRPr="00EA6C7A">
        <w:rPr>
          <w:rFonts w:ascii="Verdana" w:hAnsi="Verdana"/>
          <w:sz w:val="20"/>
          <w:szCs w:val="20"/>
          <w:lang w:val="en-US"/>
        </w:rPr>
        <w:t xml:space="preserve"> </w:t>
      </w:r>
      <w:r w:rsidR="00505550" w:rsidRPr="00EA6C7A">
        <w:rPr>
          <w:rFonts w:ascii="Verdana" w:hAnsi="Verdana"/>
          <w:sz w:val="20"/>
          <w:szCs w:val="20"/>
          <w:lang w:val="en-US"/>
        </w:rPr>
        <w:t>Irregularities in the investigation</w:t>
      </w:r>
      <w:r w:rsidRPr="00EA6C7A">
        <w:rPr>
          <w:rFonts w:ascii="Verdana" w:hAnsi="Verdana"/>
          <w:sz w:val="20"/>
          <w:szCs w:val="20"/>
          <w:lang w:val="en-US"/>
        </w:rPr>
        <w:t xml:space="preserve"> </w:t>
      </w:r>
      <w:r w:rsidR="00505550" w:rsidRPr="00EA6C7A">
        <w:rPr>
          <w:rFonts w:ascii="Verdana" w:hAnsi="Verdana"/>
          <w:sz w:val="20"/>
          <w:szCs w:val="20"/>
          <w:lang w:val="en-US"/>
        </w:rPr>
        <w:t>following the discovery of the body of</w:t>
      </w:r>
      <w:r w:rsidRPr="00EA6C7A">
        <w:rPr>
          <w:rFonts w:ascii="Verdana" w:hAnsi="Verdana"/>
          <w:sz w:val="20"/>
          <w:szCs w:val="20"/>
          <w:lang w:val="en-US"/>
        </w:rPr>
        <w:t xml:space="preserve"> Claudina Velásquez Paiz</w:t>
      </w:r>
      <w:r w:rsidR="00D948A1" w:rsidRPr="00EA6C7A">
        <w:rPr>
          <w:rFonts w:ascii="Verdana" w:hAnsi="Verdana"/>
          <w:sz w:val="20"/>
          <w:szCs w:val="20"/>
          <w:lang w:val="en-US"/>
        </w:rPr>
        <w:t xml:space="preserve"> and </w:t>
      </w:r>
      <w:r w:rsidR="00505550" w:rsidRPr="00EA6C7A">
        <w:rPr>
          <w:rFonts w:ascii="Verdana" w:hAnsi="Verdana"/>
          <w:sz w:val="20"/>
          <w:szCs w:val="20"/>
          <w:lang w:val="en-US"/>
        </w:rPr>
        <w:t>subsequent actions of the State officials</w:t>
      </w:r>
      <w:r w:rsidRPr="00EA6C7A">
        <w:rPr>
          <w:rFonts w:ascii="Verdana" w:hAnsi="Verdana"/>
          <w:sz w:val="20"/>
          <w:szCs w:val="20"/>
          <w:lang w:val="en-US"/>
        </w:rPr>
        <w:t xml:space="preserve">; </w:t>
      </w:r>
    </w:p>
    <w:p w14:paraId="08029F10" w14:textId="77777777" w:rsidR="0017063C" w:rsidRPr="00EA6C7A" w:rsidRDefault="0017063C" w:rsidP="0017063C">
      <w:pPr>
        <w:autoSpaceDE w:val="0"/>
        <w:autoSpaceDN w:val="0"/>
        <w:adjustRightInd w:val="0"/>
        <w:spacing w:after="0" w:line="240" w:lineRule="auto"/>
        <w:ind w:left="720" w:hanging="540"/>
        <w:jc w:val="both"/>
        <w:rPr>
          <w:rFonts w:ascii="Verdana" w:hAnsi="Verdana"/>
          <w:sz w:val="20"/>
          <w:szCs w:val="20"/>
          <w:lang w:val="en-US"/>
        </w:rPr>
      </w:pPr>
      <w:r w:rsidRPr="00EA6C7A">
        <w:rPr>
          <w:rFonts w:ascii="Verdana" w:hAnsi="Verdana"/>
          <w:sz w:val="20"/>
          <w:szCs w:val="20"/>
          <w:lang w:val="en-US"/>
        </w:rPr>
        <w:t>B.2</w:t>
      </w:r>
      <w:r w:rsidR="003326F9" w:rsidRPr="00EA6C7A">
        <w:rPr>
          <w:rFonts w:ascii="Verdana" w:hAnsi="Verdana"/>
          <w:sz w:val="20"/>
          <w:szCs w:val="20"/>
          <w:lang w:val="en-US"/>
        </w:rPr>
        <w:t>.</w:t>
      </w:r>
      <w:r w:rsidRPr="00EA6C7A">
        <w:rPr>
          <w:rFonts w:ascii="Verdana" w:hAnsi="Verdana"/>
          <w:sz w:val="20"/>
          <w:szCs w:val="20"/>
          <w:lang w:val="en-US"/>
        </w:rPr>
        <w:t xml:space="preserve"> </w:t>
      </w:r>
      <w:r w:rsidR="00951B49" w:rsidRPr="00EA6C7A">
        <w:rPr>
          <w:rFonts w:ascii="Verdana" w:hAnsi="Verdana"/>
          <w:sz w:val="20"/>
          <w:szCs w:val="20"/>
          <w:lang w:val="en-US"/>
        </w:rPr>
        <w:t xml:space="preserve">Lack of due diligence regarding </w:t>
      </w:r>
      <w:r w:rsidR="005B7D2E" w:rsidRPr="00EA6C7A">
        <w:rPr>
          <w:rFonts w:ascii="Verdana" w:hAnsi="Verdana"/>
          <w:sz w:val="20"/>
          <w:szCs w:val="20"/>
          <w:lang w:val="en-US"/>
        </w:rPr>
        <w:t>logical lines of investigation, collection and obtaining of evidence, and reasonable</w:t>
      </w:r>
      <w:r w:rsidR="00951B49" w:rsidRPr="00EA6C7A">
        <w:rPr>
          <w:rFonts w:ascii="Verdana" w:hAnsi="Verdana"/>
          <w:sz w:val="20"/>
          <w:szCs w:val="20"/>
          <w:lang w:val="en-US"/>
        </w:rPr>
        <w:t xml:space="preserve"> time</w:t>
      </w:r>
      <w:r w:rsidR="003326F9" w:rsidRPr="00EA6C7A">
        <w:rPr>
          <w:rFonts w:ascii="Verdana" w:hAnsi="Verdana"/>
          <w:sz w:val="20"/>
          <w:szCs w:val="20"/>
          <w:lang w:val="en-US"/>
        </w:rPr>
        <w:t>;</w:t>
      </w:r>
      <w:r w:rsidRPr="00EA6C7A">
        <w:rPr>
          <w:rFonts w:ascii="Verdana" w:hAnsi="Verdana"/>
          <w:sz w:val="20"/>
          <w:szCs w:val="20"/>
          <w:lang w:val="en-US"/>
        </w:rPr>
        <w:t xml:space="preserve"> </w:t>
      </w:r>
    </w:p>
    <w:p w14:paraId="679CEF05" w14:textId="77777777" w:rsidR="0017063C" w:rsidRPr="00EA6C7A" w:rsidRDefault="0017063C" w:rsidP="0017063C">
      <w:pPr>
        <w:autoSpaceDE w:val="0"/>
        <w:autoSpaceDN w:val="0"/>
        <w:adjustRightInd w:val="0"/>
        <w:spacing w:after="0" w:line="240" w:lineRule="auto"/>
        <w:ind w:left="720" w:hanging="540"/>
        <w:jc w:val="both"/>
        <w:rPr>
          <w:rFonts w:ascii="Verdana" w:hAnsi="Verdana"/>
          <w:sz w:val="20"/>
          <w:szCs w:val="20"/>
          <w:lang w:val="en-US"/>
        </w:rPr>
      </w:pPr>
      <w:r w:rsidRPr="00EA6C7A">
        <w:rPr>
          <w:rFonts w:ascii="Verdana" w:hAnsi="Verdana"/>
          <w:sz w:val="20"/>
          <w:szCs w:val="20"/>
          <w:lang w:val="en-US"/>
        </w:rPr>
        <w:t>B.3</w:t>
      </w:r>
      <w:r w:rsidR="003326F9" w:rsidRPr="00EA6C7A">
        <w:rPr>
          <w:rFonts w:ascii="Verdana" w:hAnsi="Verdana"/>
          <w:sz w:val="20"/>
          <w:szCs w:val="20"/>
          <w:lang w:val="en-US"/>
        </w:rPr>
        <w:t>.</w:t>
      </w:r>
      <w:r w:rsidRPr="00EA6C7A">
        <w:rPr>
          <w:rFonts w:ascii="Verdana" w:hAnsi="Verdana"/>
          <w:sz w:val="20"/>
          <w:szCs w:val="20"/>
          <w:lang w:val="en-US"/>
        </w:rPr>
        <w:t xml:space="preserve"> </w:t>
      </w:r>
      <w:r w:rsidR="00951B49" w:rsidRPr="00EA6C7A">
        <w:rPr>
          <w:rFonts w:ascii="Verdana" w:hAnsi="Verdana"/>
          <w:sz w:val="20"/>
          <w:szCs w:val="20"/>
          <w:lang w:val="en-US"/>
        </w:rPr>
        <w:t xml:space="preserve">Discrimination </w:t>
      </w:r>
      <w:r w:rsidR="00820F4E" w:rsidRPr="00EA6C7A">
        <w:rPr>
          <w:rFonts w:ascii="Verdana" w:hAnsi="Verdana"/>
          <w:sz w:val="20"/>
          <w:szCs w:val="20"/>
          <w:lang w:val="en-US"/>
        </w:rPr>
        <w:t>due to stereotyping</w:t>
      </w:r>
      <w:r w:rsidR="00951B49" w:rsidRPr="00EA6C7A">
        <w:rPr>
          <w:rFonts w:ascii="Verdana" w:hAnsi="Verdana"/>
          <w:sz w:val="20"/>
          <w:szCs w:val="20"/>
          <w:lang w:val="en-US"/>
        </w:rPr>
        <w:t xml:space="preserve"> and </w:t>
      </w:r>
      <w:r w:rsidR="00F15019" w:rsidRPr="00EA6C7A">
        <w:rPr>
          <w:rFonts w:ascii="Verdana" w:hAnsi="Verdana"/>
          <w:sz w:val="20"/>
          <w:szCs w:val="20"/>
          <w:lang w:val="en-US"/>
        </w:rPr>
        <w:t>an investigation that lacked a gender perspective</w:t>
      </w:r>
      <w:r w:rsidR="003326F9" w:rsidRPr="00EA6C7A">
        <w:rPr>
          <w:rFonts w:ascii="Verdana" w:hAnsi="Verdana"/>
          <w:sz w:val="20"/>
          <w:szCs w:val="20"/>
          <w:lang w:val="en-US"/>
        </w:rPr>
        <w:t xml:space="preserve">, </w:t>
      </w:r>
      <w:r w:rsidR="00951B49" w:rsidRPr="00EA6C7A">
        <w:rPr>
          <w:rFonts w:ascii="Verdana" w:hAnsi="Verdana"/>
          <w:sz w:val="20"/>
          <w:szCs w:val="20"/>
          <w:lang w:val="en-US"/>
        </w:rPr>
        <w:t>and</w:t>
      </w:r>
    </w:p>
    <w:p w14:paraId="0A8A743A" w14:textId="77777777" w:rsidR="003326F9" w:rsidRPr="00EA6C7A" w:rsidRDefault="003326F9" w:rsidP="0017063C">
      <w:pPr>
        <w:autoSpaceDE w:val="0"/>
        <w:autoSpaceDN w:val="0"/>
        <w:adjustRightInd w:val="0"/>
        <w:spacing w:after="0" w:line="240" w:lineRule="auto"/>
        <w:ind w:left="720" w:hanging="540"/>
        <w:jc w:val="both"/>
        <w:rPr>
          <w:rFonts w:ascii="Verdana" w:hAnsi="Verdana"/>
          <w:sz w:val="20"/>
          <w:szCs w:val="20"/>
          <w:lang w:val="en-US"/>
        </w:rPr>
      </w:pPr>
      <w:r w:rsidRPr="00EA6C7A">
        <w:rPr>
          <w:rFonts w:ascii="Verdana" w:hAnsi="Verdana"/>
          <w:sz w:val="20"/>
          <w:szCs w:val="20"/>
          <w:lang w:val="en-US"/>
        </w:rPr>
        <w:t xml:space="preserve">B.4. </w:t>
      </w:r>
      <w:r w:rsidR="00951B49" w:rsidRPr="00EA6C7A">
        <w:rPr>
          <w:rFonts w:ascii="Verdana" w:hAnsi="Verdana"/>
          <w:sz w:val="20"/>
          <w:szCs w:val="20"/>
          <w:lang w:val="en-US"/>
        </w:rPr>
        <w:t>General conclusion</w:t>
      </w:r>
    </w:p>
    <w:p w14:paraId="7C998DA3" w14:textId="77777777" w:rsidR="0017063C" w:rsidRPr="00EA6C7A" w:rsidRDefault="0017063C" w:rsidP="0017063C">
      <w:pPr>
        <w:pStyle w:val="Sentencia2"/>
        <w:rPr>
          <w:lang w:val="en-US"/>
        </w:rPr>
      </w:pPr>
    </w:p>
    <w:p w14:paraId="29DBABBD" w14:textId="77777777" w:rsidR="0017063C" w:rsidRPr="00EA6C7A" w:rsidRDefault="0017063C" w:rsidP="0017063C">
      <w:pPr>
        <w:pStyle w:val="Sentencia2"/>
        <w:spacing w:line="240" w:lineRule="auto"/>
        <w:jc w:val="both"/>
        <w:rPr>
          <w:lang w:val="en-US"/>
        </w:rPr>
      </w:pPr>
      <w:bookmarkStart w:id="75" w:name="_Toc26002322"/>
      <w:r w:rsidRPr="00EA6C7A">
        <w:rPr>
          <w:lang w:val="en-US"/>
        </w:rPr>
        <w:t>B.1.</w:t>
      </w:r>
      <w:r w:rsidRPr="00EA6C7A">
        <w:rPr>
          <w:lang w:val="en-US"/>
        </w:rPr>
        <w:tab/>
      </w:r>
      <w:r w:rsidR="00505550" w:rsidRPr="00EA6C7A">
        <w:rPr>
          <w:lang w:val="en-US"/>
        </w:rPr>
        <w:t>Irregularities in the investigation</w:t>
      </w:r>
      <w:r w:rsidRPr="00EA6C7A">
        <w:rPr>
          <w:lang w:val="en-US"/>
        </w:rPr>
        <w:t xml:space="preserve"> </w:t>
      </w:r>
      <w:r w:rsidR="00505550" w:rsidRPr="00EA6C7A">
        <w:rPr>
          <w:lang w:val="en-US"/>
        </w:rPr>
        <w:t>following the discovery of the body of</w:t>
      </w:r>
      <w:r w:rsidRPr="00EA6C7A">
        <w:rPr>
          <w:lang w:val="en-US"/>
        </w:rPr>
        <w:t xml:space="preserve"> Claudina Velásquez Paiz</w:t>
      </w:r>
      <w:r w:rsidR="00D948A1" w:rsidRPr="00EA6C7A">
        <w:rPr>
          <w:lang w:val="en-US"/>
        </w:rPr>
        <w:t xml:space="preserve"> and </w:t>
      </w:r>
      <w:r w:rsidR="00505550" w:rsidRPr="00EA6C7A">
        <w:rPr>
          <w:lang w:val="en-US"/>
        </w:rPr>
        <w:t>subsequent actions of State officials</w:t>
      </w:r>
      <w:bookmarkEnd w:id="75"/>
    </w:p>
    <w:p w14:paraId="6B583F82" w14:textId="77777777" w:rsidR="0017063C" w:rsidRPr="00EA6C7A" w:rsidRDefault="0017063C" w:rsidP="0017063C">
      <w:pPr>
        <w:autoSpaceDE w:val="0"/>
        <w:autoSpaceDN w:val="0"/>
        <w:adjustRightInd w:val="0"/>
        <w:spacing w:after="0" w:line="240" w:lineRule="auto"/>
        <w:jc w:val="both"/>
        <w:rPr>
          <w:rFonts w:ascii="Verdana" w:hAnsi="Verdana"/>
          <w:b/>
          <w:sz w:val="20"/>
          <w:szCs w:val="20"/>
          <w:lang w:val="en-US"/>
        </w:rPr>
      </w:pPr>
    </w:p>
    <w:p w14:paraId="338953DD" w14:textId="77777777" w:rsidR="0017063C" w:rsidRPr="00EA6C7A" w:rsidRDefault="0096418F" w:rsidP="0022241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ha</w:t>
      </w:r>
      <w:r w:rsidR="0021226A" w:rsidRPr="00EA6C7A">
        <w:rPr>
          <w:rFonts w:ascii="Verdana" w:eastAsia="Batang" w:hAnsi="Verdana"/>
          <w:sz w:val="20"/>
          <w:szCs w:val="20"/>
          <w:lang w:val="en-US" w:eastAsia="es-MX"/>
        </w:rPr>
        <w:t>s established that</w:t>
      </w:r>
      <w:r w:rsidR="00F70444" w:rsidRPr="00EA6C7A">
        <w:rPr>
          <w:rFonts w:ascii="Verdana" w:eastAsia="Batang" w:hAnsi="Verdana"/>
          <w:sz w:val="20"/>
          <w:szCs w:val="20"/>
          <w:lang w:val="en-US" w:eastAsia="es-MX"/>
        </w:rPr>
        <w:t>,</w:t>
      </w:r>
      <w:r w:rsidR="0021226A" w:rsidRPr="00EA6C7A">
        <w:rPr>
          <w:rFonts w:ascii="Verdana" w:eastAsia="Batang" w:hAnsi="Verdana"/>
          <w:sz w:val="20"/>
          <w:szCs w:val="20"/>
          <w:lang w:val="en-US" w:eastAsia="es-MX"/>
        </w:rPr>
        <w:t xml:space="preserve"> in the context of the obligation to investigate a death</w:t>
      </w:r>
      <w:r w:rsidR="00F70444" w:rsidRPr="00EA6C7A">
        <w:rPr>
          <w:rFonts w:ascii="Verdana" w:eastAsia="Batang" w:hAnsi="Verdana"/>
          <w:sz w:val="20"/>
          <w:szCs w:val="20"/>
          <w:lang w:val="en-US" w:eastAsia="es-MX"/>
        </w:rPr>
        <w:t>, real determination to uncover the truth</w:t>
      </w:r>
      <w:r w:rsidR="0021226A" w:rsidRPr="00EA6C7A">
        <w:rPr>
          <w:rFonts w:ascii="Verdana" w:eastAsia="Batang" w:hAnsi="Verdana"/>
          <w:sz w:val="20"/>
          <w:szCs w:val="20"/>
          <w:lang w:val="en-US" w:eastAsia="es-MX"/>
        </w:rPr>
        <w:t xml:space="preserve"> must be demonstrated starting with due diligence in the  initial procedures.</w:t>
      </w:r>
      <w:r w:rsidR="0017063C" w:rsidRPr="00EA6C7A">
        <w:rPr>
          <w:rFonts w:ascii="Verdana" w:eastAsia="Batang" w:hAnsi="Verdana"/>
          <w:sz w:val="20"/>
          <w:szCs w:val="20"/>
          <w:vertAlign w:val="superscript"/>
          <w:lang w:val="en-US" w:eastAsia="es-MX"/>
        </w:rPr>
        <w:footnoteReference w:id="243"/>
      </w:r>
      <w:r w:rsidR="0021226A" w:rsidRPr="00EA6C7A">
        <w:rPr>
          <w:rFonts w:ascii="Verdana" w:eastAsia="Batang" w:hAnsi="Verdana"/>
          <w:sz w:val="20"/>
          <w:szCs w:val="20"/>
          <w:lang w:val="en-US" w:eastAsia="es-MX"/>
        </w:rPr>
        <w:t xml:space="preserve"> On this point, in relation to the </w:t>
      </w:r>
      <w:r w:rsidR="00F70444" w:rsidRPr="00EA6C7A">
        <w:rPr>
          <w:rFonts w:ascii="Verdana" w:eastAsia="Batang" w:hAnsi="Verdana"/>
          <w:sz w:val="20"/>
          <w:szCs w:val="20"/>
          <w:lang w:val="en-US" w:eastAsia="es-MX"/>
        </w:rPr>
        <w:t>processing</w:t>
      </w:r>
      <w:r w:rsidR="0021226A" w:rsidRPr="00EA6C7A">
        <w:rPr>
          <w:rFonts w:ascii="Verdana" w:eastAsia="Batang" w:hAnsi="Verdana"/>
          <w:sz w:val="20"/>
          <w:szCs w:val="20"/>
          <w:lang w:val="en-US" w:eastAsia="es-MX"/>
        </w:rPr>
        <w:t xml:space="preserve"> of the crime scene, the</w:t>
      </w:r>
      <w:r w:rsidR="00F70444" w:rsidRPr="00EA6C7A">
        <w:rPr>
          <w:rFonts w:ascii="Verdana" w:eastAsia="Batang" w:hAnsi="Verdana"/>
          <w:sz w:val="20"/>
          <w:szCs w:val="20"/>
          <w:lang w:val="en-US" w:eastAsia="es-MX"/>
        </w:rPr>
        <w:t xml:space="preserve"> handling and</w:t>
      </w:r>
      <w:r w:rsidR="0021226A" w:rsidRPr="00EA6C7A">
        <w:rPr>
          <w:rFonts w:ascii="Verdana" w:eastAsia="Batang" w:hAnsi="Verdana"/>
          <w:sz w:val="20"/>
          <w:szCs w:val="20"/>
          <w:lang w:val="en-US" w:eastAsia="es-MX"/>
        </w:rPr>
        <w:t xml:space="preserve"> removal of the victim’s corpse, the autopsy, and the chain of custody of each piece of </w:t>
      </w:r>
      <w:r w:rsidR="0021226A" w:rsidRPr="00EA6C7A">
        <w:rPr>
          <w:rFonts w:ascii="Verdana" w:eastAsia="Batang" w:hAnsi="Verdana"/>
          <w:sz w:val="20"/>
          <w:szCs w:val="20"/>
          <w:lang w:val="en-US" w:eastAsia="es-MX"/>
        </w:rPr>
        <w:lastRenderedPageBreak/>
        <w:t>forensic evidence</w:t>
      </w:r>
      <w:r w:rsidR="0017063C" w:rsidRPr="00EA6C7A">
        <w:rPr>
          <w:rFonts w:ascii="Verdana" w:eastAsia="Cambria" w:hAnsi="Verdana"/>
          <w:sz w:val="20"/>
          <w:szCs w:val="20"/>
          <w:lang w:val="en-US" w:eastAsia="es-MX"/>
        </w:rPr>
        <w:t xml:space="preserve">, </w:t>
      </w:r>
      <w:r w:rsidR="00F70444" w:rsidRPr="00EA6C7A">
        <w:rPr>
          <w:rFonts w:ascii="Verdana" w:eastAsia="Batang" w:hAnsi="Verdana"/>
          <w:sz w:val="20"/>
          <w:szCs w:val="20"/>
          <w:lang w:val="en-US" w:eastAsia="es-MX"/>
        </w:rPr>
        <w:t xml:space="preserve">the Court </w:t>
      </w:r>
      <w:r w:rsidR="00F70444" w:rsidRPr="00EA6C7A">
        <w:rPr>
          <w:rFonts w:ascii="Verdana" w:eastAsia="Cambria" w:hAnsi="Verdana"/>
          <w:sz w:val="20"/>
          <w:szCs w:val="20"/>
          <w:lang w:val="en-US" w:eastAsia="es-MX"/>
        </w:rPr>
        <w:t xml:space="preserve">has affirmed </w:t>
      </w:r>
      <w:r w:rsidR="0021226A" w:rsidRPr="00EA6C7A">
        <w:rPr>
          <w:rFonts w:ascii="Verdana" w:eastAsia="Batang" w:hAnsi="Verdana" w:cs="Verdana"/>
          <w:sz w:val="20"/>
          <w:szCs w:val="20"/>
          <w:lang w:val="en-US" w:eastAsia="es-MX"/>
        </w:rPr>
        <w:t>in its case law</w:t>
      </w:r>
      <w:r w:rsidR="0017063C" w:rsidRPr="00EA6C7A">
        <w:rPr>
          <w:rFonts w:ascii="Verdana" w:eastAsia="Batang" w:hAnsi="Verdana" w:cs="Verdana"/>
          <w:sz w:val="20"/>
          <w:szCs w:val="20"/>
          <w:vertAlign w:val="superscript"/>
          <w:lang w:val="en-US" w:eastAsia="es-MX"/>
        </w:rPr>
        <w:footnoteReference w:id="244"/>
      </w:r>
      <w:r w:rsidR="00D948A1" w:rsidRPr="00EA6C7A">
        <w:rPr>
          <w:rFonts w:ascii="Verdana" w:eastAsia="Batang" w:hAnsi="Verdana" w:cs="Verdana"/>
          <w:sz w:val="20"/>
          <w:szCs w:val="20"/>
          <w:lang w:val="en-US" w:eastAsia="es-MX"/>
        </w:rPr>
        <w:t xml:space="preserve"> and </w:t>
      </w:r>
      <w:r w:rsidR="000B20F2" w:rsidRPr="00EA6C7A">
        <w:rPr>
          <w:rFonts w:ascii="Verdana" w:eastAsia="Cambria" w:hAnsi="Verdana"/>
          <w:sz w:val="20"/>
          <w:szCs w:val="20"/>
          <w:lang w:val="en-US" w:eastAsia="es-MX"/>
        </w:rPr>
        <w:t xml:space="preserve">in keeping with </w:t>
      </w:r>
      <w:r w:rsidR="0021226A" w:rsidRPr="00EA6C7A">
        <w:rPr>
          <w:rFonts w:ascii="Verdana" w:eastAsia="Cambria" w:hAnsi="Verdana"/>
          <w:sz w:val="20"/>
          <w:szCs w:val="20"/>
          <w:lang w:val="en-US" w:eastAsia="es-MX"/>
        </w:rPr>
        <w:t>the</w:t>
      </w:r>
      <w:r w:rsidR="0017063C" w:rsidRPr="00EA6C7A">
        <w:rPr>
          <w:rFonts w:ascii="Verdana" w:eastAsia="Batang" w:hAnsi="Verdana"/>
          <w:sz w:val="20"/>
          <w:szCs w:val="20"/>
          <w:lang w:val="en-US" w:eastAsia="es-MX"/>
        </w:rPr>
        <w:t xml:space="preserve"> </w:t>
      </w:r>
      <w:r w:rsidR="0021226A" w:rsidRPr="00EA6C7A">
        <w:rPr>
          <w:rFonts w:ascii="Verdana" w:eastAsia="Batang" w:hAnsi="Verdana"/>
          <w:sz w:val="20"/>
          <w:szCs w:val="20"/>
          <w:lang w:val="en-US" w:eastAsia="es-MX"/>
        </w:rPr>
        <w:t xml:space="preserve">United Nations </w:t>
      </w:r>
      <w:r w:rsidR="0017063C" w:rsidRPr="00EA6C7A">
        <w:rPr>
          <w:rFonts w:ascii="Verdana" w:eastAsia="Batang" w:hAnsi="Verdana"/>
          <w:sz w:val="20"/>
          <w:szCs w:val="20"/>
          <w:lang w:val="en-US" w:eastAsia="es-MX"/>
        </w:rPr>
        <w:t>Manual</w:t>
      </w:r>
      <w:r w:rsidR="0021226A" w:rsidRPr="00EA6C7A">
        <w:rPr>
          <w:rFonts w:ascii="Verdana" w:eastAsia="Batang" w:hAnsi="Verdana"/>
          <w:sz w:val="20"/>
          <w:szCs w:val="20"/>
          <w:lang w:val="en-US" w:eastAsia="es-MX"/>
        </w:rPr>
        <w:t xml:space="preserve"> on the Prevention and Investigation of Extra-Legal, Arbitrary and Summary Executions</w:t>
      </w:r>
      <w:r w:rsidR="000B20F2" w:rsidRPr="00EA6C7A">
        <w:rPr>
          <w:rFonts w:ascii="Verdana" w:eastAsia="Batang" w:hAnsi="Verdana"/>
          <w:sz w:val="20"/>
          <w:szCs w:val="20"/>
          <w:lang w:val="en-US" w:eastAsia="es-MX"/>
        </w:rPr>
        <w:t xml:space="preserve"> </w:t>
      </w:r>
      <w:r w:rsidR="0017063C" w:rsidRPr="00EA6C7A">
        <w:rPr>
          <w:rFonts w:ascii="Verdana" w:eastAsia="Batang" w:hAnsi="Verdana"/>
          <w:sz w:val="20"/>
          <w:szCs w:val="20"/>
          <w:lang w:val="en-US" w:eastAsia="es-MX"/>
        </w:rPr>
        <w:t>(Minnesota</w:t>
      </w:r>
      <w:r w:rsidR="0021226A" w:rsidRPr="00EA6C7A">
        <w:rPr>
          <w:rFonts w:ascii="Verdana" w:eastAsia="Batang" w:hAnsi="Verdana"/>
          <w:sz w:val="20"/>
          <w:szCs w:val="20"/>
          <w:lang w:val="en-US" w:eastAsia="es-MX"/>
        </w:rPr>
        <w:t xml:space="preserve"> Protocol</w:t>
      </w:r>
      <w:r w:rsidR="0017063C" w:rsidRPr="00EA6C7A">
        <w:rPr>
          <w:rFonts w:ascii="Verdana" w:eastAsia="Batang" w:hAnsi="Verdana"/>
          <w:sz w:val="20"/>
          <w:szCs w:val="20"/>
          <w:lang w:val="en-US" w:eastAsia="es-MX"/>
        </w:rPr>
        <w:t>)</w:t>
      </w:r>
      <w:r w:rsidR="00F70444" w:rsidRPr="00EA6C7A">
        <w:rPr>
          <w:rFonts w:ascii="Verdana" w:eastAsia="Batang" w:hAnsi="Verdana"/>
          <w:sz w:val="20"/>
          <w:szCs w:val="20"/>
          <w:lang w:val="en-US" w:eastAsia="es-MX"/>
        </w:rPr>
        <w:t xml:space="preserve"> </w:t>
      </w:r>
      <w:r w:rsidR="000B20F2" w:rsidRPr="00EA6C7A">
        <w:rPr>
          <w:rFonts w:ascii="Verdana" w:eastAsia="Cambria" w:hAnsi="Verdana"/>
          <w:sz w:val="20"/>
          <w:szCs w:val="20"/>
          <w:lang w:val="en-US" w:eastAsia="es-MX"/>
        </w:rPr>
        <w:t xml:space="preserve">that various basic and essential measures must be taken to conserve indications and evidence that may contribute to the success of the investigation. In this regard, it has </w:t>
      </w:r>
      <w:r w:rsidR="00F70444" w:rsidRPr="00EA6C7A">
        <w:rPr>
          <w:rFonts w:ascii="Verdana" w:eastAsia="Cambria" w:hAnsi="Verdana"/>
          <w:sz w:val="20"/>
          <w:szCs w:val="20"/>
          <w:lang w:val="en-US" w:eastAsia="es-MX"/>
        </w:rPr>
        <w:t>defined</w:t>
      </w:r>
      <w:r w:rsidR="000B20F2" w:rsidRPr="00EA6C7A">
        <w:rPr>
          <w:rFonts w:ascii="Verdana" w:eastAsia="Cambria" w:hAnsi="Verdana"/>
          <w:sz w:val="20"/>
          <w:szCs w:val="20"/>
          <w:lang w:val="en-US" w:eastAsia="es-MX"/>
        </w:rPr>
        <w:t xml:space="preserve"> the guiding principles that must be observed in an investigation into a violent death.</w:t>
      </w:r>
      <w:r w:rsidR="0017063C" w:rsidRPr="00EA6C7A">
        <w:rPr>
          <w:rFonts w:ascii="Verdana" w:eastAsia="Batang" w:hAnsi="Verdana" w:cs="Verdana"/>
          <w:sz w:val="20"/>
          <w:szCs w:val="20"/>
          <w:vertAlign w:val="superscript"/>
          <w:lang w:val="en-US" w:eastAsia="es-MX"/>
        </w:rPr>
        <w:footnoteReference w:id="245"/>
      </w:r>
    </w:p>
    <w:p w14:paraId="36632605" w14:textId="77777777" w:rsidR="0017063C" w:rsidRPr="00EA6C7A" w:rsidRDefault="0017063C" w:rsidP="0017063C">
      <w:pPr>
        <w:autoSpaceDE w:val="0"/>
        <w:autoSpaceDN w:val="0"/>
        <w:adjustRightInd w:val="0"/>
        <w:spacing w:after="0" w:line="240" w:lineRule="auto"/>
        <w:jc w:val="both"/>
        <w:rPr>
          <w:rFonts w:ascii="Verdana" w:hAnsi="Verdana" w:cs="Arial"/>
          <w:sz w:val="20"/>
          <w:szCs w:val="20"/>
          <w:lang w:val="en-US"/>
        </w:rPr>
      </w:pPr>
    </w:p>
    <w:p w14:paraId="14B65467" w14:textId="77777777" w:rsidR="0017063C" w:rsidRPr="00EA6C7A" w:rsidRDefault="0096418F" w:rsidP="00F9138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cs="Verdana"/>
          <w:sz w:val="20"/>
          <w:szCs w:val="20"/>
          <w:lang w:val="en-US" w:eastAsia="es-MX"/>
        </w:rPr>
        <w:t>The Court</w:t>
      </w:r>
      <w:r w:rsidR="0017063C" w:rsidRPr="00EA6C7A">
        <w:rPr>
          <w:rFonts w:ascii="Verdana" w:eastAsia="Batang" w:hAnsi="Verdana" w:cs="Verdana"/>
          <w:sz w:val="20"/>
          <w:szCs w:val="20"/>
          <w:lang w:val="en-US" w:eastAsia="es-MX"/>
        </w:rPr>
        <w:t xml:space="preserve"> ha</w:t>
      </w:r>
      <w:r w:rsidR="000B20F2" w:rsidRPr="00EA6C7A">
        <w:rPr>
          <w:rFonts w:ascii="Verdana" w:eastAsia="Batang" w:hAnsi="Verdana" w:cs="Verdana"/>
          <w:sz w:val="20"/>
          <w:szCs w:val="20"/>
          <w:lang w:val="en-US" w:eastAsia="es-MX"/>
        </w:rPr>
        <w:t>s stipulated that State authorities conduct</w:t>
      </w:r>
      <w:r w:rsidR="0092118F" w:rsidRPr="00EA6C7A">
        <w:rPr>
          <w:rFonts w:ascii="Verdana" w:eastAsia="Batang" w:hAnsi="Verdana" w:cs="Verdana"/>
          <w:sz w:val="20"/>
          <w:szCs w:val="20"/>
          <w:lang w:val="en-US" w:eastAsia="es-MX"/>
        </w:rPr>
        <w:t>ing an</w:t>
      </w:r>
      <w:r w:rsidR="000B20F2" w:rsidRPr="00EA6C7A">
        <w:rPr>
          <w:rFonts w:ascii="Verdana" w:eastAsia="Batang" w:hAnsi="Verdana" w:cs="Verdana"/>
          <w:sz w:val="20"/>
          <w:szCs w:val="20"/>
          <w:lang w:val="en-US" w:eastAsia="es-MX"/>
        </w:rPr>
        <w:t xml:space="preserve"> investigation of this type </w:t>
      </w:r>
      <w:r w:rsidR="0092118F" w:rsidRPr="00EA6C7A">
        <w:rPr>
          <w:rFonts w:ascii="Verdana" w:eastAsia="Batang" w:hAnsi="Verdana" w:cs="Verdana"/>
          <w:sz w:val="20"/>
          <w:szCs w:val="20"/>
          <w:lang w:val="en-US" w:eastAsia="es-MX"/>
        </w:rPr>
        <w:t>shall, at a minimum, seek</w:t>
      </w:r>
      <w:r w:rsidR="000B20F2" w:rsidRPr="00EA6C7A">
        <w:rPr>
          <w:rFonts w:ascii="Verdana" w:eastAsia="Batang" w:hAnsi="Verdana" w:cs="Verdana"/>
          <w:sz w:val="20"/>
          <w:szCs w:val="20"/>
          <w:lang w:val="en-US" w:eastAsia="es-MX"/>
        </w:rPr>
        <w:t xml:space="preserve">, </w:t>
      </w:r>
      <w:r w:rsidR="0017063C" w:rsidRPr="00EA6C7A">
        <w:rPr>
          <w:rFonts w:ascii="Verdana" w:eastAsia="Batang" w:hAnsi="Verdana" w:cs="Verdana"/>
          <w:i/>
          <w:iCs/>
          <w:sz w:val="20"/>
          <w:szCs w:val="20"/>
          <w:lang w:val="en-US" w:eastAsia="es-MX"/>
        </w:rPr>
        <w:t>inter alia</w:t>
      </w:r>
      <w:r w:rsidR="0017063C" w:rsidRPr="00EA6C7A">
        <w:rPr>
          <w:rFonts w:ascii="Verdana" w:eastAsia="Batang" w:hAnsi="Verdana" w:cs="Verdana"/>
          <w:sz w:val="20"/>
          <w:szCs w:val="20"/>
          <w:lang w:val="en-US" w:eastAsia="es-MX"/>
        </w:rPr>
        <w:t xml:space="preserve">: </w:t>
      </w:r>
      <w:r w:rsidR="000B20F2" w:rsidRPr="00EA6C7A">
        <w:rPr>
          <w:rFonts w:ascii="Verdana" w:eastAsia="Batang" w:hAnsi="Verdana" w:cs="Verdana"/>
          <w:sz w:val="20"/>
          <w:szCs w:val="20"/>
          <w:lang w:val="en-US" w:eastAsia="es-MX"/>
        </w:rPr>
        <w:t>(</w:t>
      </w:r>
      <w:r w:rsidR="0017063C" w:rsidRPr="00EA6C7A">
        <w:rPr>
          <w:rFonts w:ascii="Verdana" w:eastAsia="Batang" w:hAnsi="Verdana" w:cs="Verdana"/>
          <w:sz w:val="20"/>
          <w:szCs w:val="20"/>
          <w:lang w:val="en-US" w:eastAsia="es-MX"/>
        </w:rPr>
        <w:t xml:space="preserve">i) </w:t>
      </w:r>
      <w:r w:rsidR="000B20F2" w:rsidRPr="00EA6C7A">
        <w:rPr>
          <w:rFonts w:ascii="Verdana" w:eastAsia="Batang" w:hAnsi="Verdana" w:cs="Verdana"/>
          <w:sz w:val="20"/>
          <w:szCs w:val="20"/>
          <w:lang w:val="en-US" w:eastAsia="es-MX"/>
        </w:rPr>
        <w:t>to identify the victim</w:t>
      </w:r>
      <w:r w:rsidR="0017063C" w:rsidRPr="00EA6C7A">
        <w:rPr>
          <w:rFonts w:ascii="Verdana" w:eastAsia="Batang" w:hAnsi="Verdana" w:cs="Verdana"/>
          <w:sz w:val="20"/>
          <w:szCs w:val="20"/>
          <w:lang w:val="en-US" w:eastAsia="es-MX"/>
        </w:rPr>
        <w:t xml:space="preserve">; </w:t>
      </w:r>
      <w:r w:rsidR="000B20F2" w:rsidRPr="00EA6C7A">
        <w:rPr>
          <w:rFonts w:ascii="Verdana" w:eastAsia="Batang" w:hAnsi="Verdana" w:cs="Verdana"/>
          <w:sz w:val="20"/>
          <w:szCs w:val="20"/>
          <w:lang w:val="en-US" w:eastAsia="es-MX"/>
        </w:rPr>
        <w:t>(</w:t>
      </w:r>
      <w:r w:rsidR="0017063C" w:rsidRPr="00EA6C7A">
        <w:rPr>
          <w:rFonts w:ascii="Verdana" w:eastAsia="Batang" w:hAnsi="Verdana" w:cs="Verdana"/>
          <w:sz w:val="20"/>
          <w:szCs w:val="20"/>
          <w:lang w:val="en-US" w:eastAsia="es-MX"/>
        </w:rPr>
        <w:t xml:space="preserve">ii) </w:t>
      </w:r>
      <w:r w:rsidR="000B20F2" w:rsidRPr="00EA6C7A">
        <w:rPr>
          <w:rFonts w:ascii="Verdana" w:eastAsia="Batang" w:hAnsi="Verdana" w:cs="Verdana"/>
          <w:sz w:val="20"/>
          <w:szCs w:val="20"/>
          <w:lang w:val="en-US" w:eastAsia="es-MX"/>
        </w:rPr>
        <w:t xml:space="preserve">to </w:t>
      </w:r>
      <w:r w:rsidR="0092118F" w:rsidRPr="00EA6C7A">
        <w:rPr>
          <w:rFonts w:ascii="Verdana" w:eastAsia="Batang" w:hAnsi="Verdana" w:cs="Verdana"/>
          <w:sz w:val="20"/>
          <w:szCs w:val="20"/>
          <w:lang w:val="en-US" w:eastAsia="es-MX"/>
        </w:rPr>
        <w:t>recover</w:t>
      </w:r>
      <w:r w:rsidR="000B20F2" w:rsidRPr="00EA6C7A">
        <w:rPr>
          <w:rFonts w:ascii="Verdana" w:eastAsia="Batang" w:hAnsi="Verdana" w:cs="Verdana"/>
          <w:sz w:val="20"/>
          <w:szCs w:val="20"/>
          <w:lang w:val="en-US" w:eastAsia="es-MX"/>
        </w:rPr>
        <w:t xml:space="preserve"> and preserve </w:t>
      </w:r>
      <w:r w:rsidR="0092118F" w:rsidRPr="00EA6C7A">
        <w:rPr>
          <w:rFonts w:ascii="Verdana" w:eastAsia="Batang" w:hAnsi="Verdana" w:cs="Verdana"/>
          <w:sz w:val="20"/>
          <w:szCs w:val="20"/>
          <w:lang w:val="en-US" w:eastAsia="es-MX"/>
        </w:rPr>
        <w:t xml:space="preserve">evidentiary </w:t>
      </w:r>
      <w:r w:rsidR="000B20F2" w:rsidRPr="00EA6C7A">
        <w:rPr>
          <w:rFonts w:ascii="Verdana" w:eastAsia="Batang" w:hAnsi="Verdana" w:cs="Verdana"/>
          <w:sz w:val="20"/>
          <w:szCs w:val="20"/>
          <w:lang w:val="en-US" w:eastAsia="es-MX"/>
        </w:rPr>
        <w:t>material related to the death</w:t>
      </w:r>
      <w:r w:rsidR="0092118F" w:rsidRPr="00EA6C7A">
        <w:rPr>
          <w:rFonts w:ascii="Verdana" w:eastAsia="Batang" w:hAnsi="Verdana" w:cs="Verdana"/>
          <w:sz w:val="20"/>
          <w:szCs w:val="20"/>
          <w:lang w:val="en-US" w:eastAsia="es-MX"/>
        </w:rPr>
        <w:t xml:space="preserve"> to aid in </w:t>
      </w:r>
      <w:r w:rsidR="000B20F2" w:rsidRPr="00EA6C7A">
        <w:rPr>
          <w:rFonts w:ascii="Verdana" w:eastAsia="Batang" w:hAnsi="Verdana" w:cs="Verdana"/>
          <w:sz w:val="20"/>
          <w:szCs w:val="20"/>
          <w:lang w:val="en-US" w:eastAsia="es-MX"/>
        </w:rPr>
        <w:t xml:space="preserve">any potential </w:t>
      </w:r>
      <w:r w:rsidR="0092118F" w:rsidRPr="00EA6C7A">
        <w:rPr>
          <w:rFonts w:ascii="Verdana" w:eastAsia="Batang" w:hAnsi="Verdana" w:cs="Verdana"/>
          <w:sz w:val="20"/>
          <w:szCs w:val="20"/>
          <w:lang w:val="en-US" w:eastAsia="es-MX"/>
        </w:rPr>
        <w:t>prosecution of those responsible</w:t>
      </w:r>
      <w:r w:rsidR="0017063C" w:rsidRPr="00EA6C7A">
        <w:rPr>
          <w:rFonts w:ascii="Verdana" w:eastAsia="Batang" w:hAnsi="Verdana" w:cs="Verdana"/>
          <w:sz w:val="20"/>
          <w:szCs w:val="20"/>
          <w:lang w:val="en-US" w:eastAsia="es-MX"/>
        </w:rPr>
        <w:t xml:space="preserve">; </w:t>
      </w:r>
      <w:r w:rsidR="000B20F2" w:rsidRPr="00EA6C7A">
        <w:rPr>
          <w:rFonts w:ascii="Verdana" w:eastAsia="Batang" w:hAnsi="Verdana" w:cs="Verdana"/>
          <w:sz w:val="20"/>
          <w:szCs w:val="20"/>
          <w:lang w:val="en-US" w:eastAsia="es-MX"/>
        </w:rPr>
        <w:t>(</w:t>
      </w:r>
      <w:r w:rsidR="0017063C" w:rsidRPr="00EA6C7A">
        <w:rPr>
          <w:rFonts w:ascii="Verdana" w:eastAsia="Batang" w:hAnsi="Verdana" w:cs="Verdana"/>
          <w:sz w:val="20"/>
          <w:szCs w:val="20"/>
          <w:lang w:val="en-US" w:eastAsia="es-MX"/>
        </w:rPr>
        <w:t xml:space="preserve">iii) </w:t>
      </w:r>
      <w:r w:rsidR="0092118F" w:rsidRPr="00EA6C7A">
        <w:rPr>
          <w:rFonts w:ascii="Verdana" w:eastAsia="Batang" w:hAnsi="Verdana" w:cs="Verdana"/>
          <w:sz w:val="20"/>
          <w:szCs w:val="20"/>
          <w:lang w:val="en-US" w:eastAsia="es-MX"/>
        </w:rPr>
        <w:t xml:space="preserve">to </w:t>
      </w:r>
      <w:r w:rsidR="0017063C" w:rsidRPr="00EA6C7A">
        <w:rPr>
          <w:rFonts w:ascii="Verdana" w:eastAsia="Batang" w:hAnsi="Verdana" w:cs="Verdana"/>
          <w:sz w:val="20"/>
          <w:szCs w:val="20"/>
          <w:lang w:val="en-US" w:eastAsia="es-MX"/>
        </w:rPr>
        <w:t>identif</w:t>
      </w:r>
      <w:r w:rsidR="000B20F2" w:rsidRPr="00EA6C7A">
        <w:rPr>
          <w:rFonts w:ascii="Verdana" w:eastAsia="Batang" w:hAnsi="Verdana" w:cs="Verdana"/>
          <w:sz w:val="20"/>
          <w:szCs w:val="20"/>
          <w:lang w:val="en-US" w:eastAsia="es-MX"/>
        </w:rPr>
        <w:t xml:space="preserve">y possible witnesses and obtain statements </w:t>
      </w:r>
      <w:r w:rsidR="0092118F" w:rsidRPr="00EA6C7A">
        <w:rPr>
          <w:rFonts w:ascii="Verdana" w:eastAsia="Batang" w:hAnsi="Verdana" w:cs="Verdana"/>
          <w:sz w:val="20"/>
          <w:szCs w:val="20"/>
          <w:lang w:val="en-US" w:eastAsia="es-MX"/>
        </w:rPr>
        <w:t>from them concerning</w:t>
      </w:r>
      <w:r w:rsidR="000B20F2" w:rsidRPr="00EA6C7A">
        <w:rPr>
          <w:rFonts w:ascii="Verdana" w:eastAsia="Batang" w:hAnsi="Verdana" w:cs="Verdana"/>
          <w:sz w:val="20"/>
          <w:szCs w:val="20"/>
          <w:lang w:val="en-US" w:eastAsia="es-MX"/>
        </w:rPr>
        <w:t xml:space="preserve"> the death; (iv) </w:t>
      </w:r>
      <w:r w:rsidR="0092118F" w:rsidRPr="00EA6C7A">
        <w:rPr>
          <w:rFonts w:ascii="Verdana" w:eastAsia="Batang" w:hAnsi="Verdana" w:cs="Verdana"/>
          <w:sz w:val="20"/>
          <w:szCs w:val="20"/>
          <w:lang w:val="en-US" w:eastAsia="es-MX"/>
        </w:rPr>
        <w:t xml:space="preserve">to </w:t>
      </w:r>
      <w:r w:rsidR="000B20F2" w:rsidRPr="00EA6C7A">
        <w:rPr>
          <w:rFonts w:ascii="Verdana" w:eastAsia="Batang" w:hAnsi="Verdana" w:cs="Verdana"/>
          <w:sz w:val="20"/>
          <w:szCs w:val="20"/>
          <w:lang w:val="en-US" w:eastAsia="es-MX"/>
        </w:rPr>
        <w:t xml:space="preserve">determine the cause, manner, </w:t>
      </w:r>
      <w:r w:rsidR="0092118F" w:rsidRPr="00EA6C7A">
        <w:rPr>
          <w:rFonts w:ascii="Verdana" w:eastAsia="Batang" w:hAnsi="Verdana" w:cs="Verdana"/>
          <w:sz w:val="20"/>
          <w:szCs w:val="20"/>
          <w:lang w:val="en-US" w:eastAsia="es-MX"/>
        </w:rPr>
        <w:t>location</w:t>
      </w:r>
      <w:r w:rsidR="000B20F2" w:rsidRPr="00EA6C7A">
        <w:rPr>
          <w:rFonts w:ascii="Verdana" w:eastAsia="Batang" w:hAnsi="Verdana" w:cs="Verdana"/>
          <w:sz w:val="20"/>
          <w:szCs w:val="20"/>
          <w:lang w:val="en-US" w:eastAsia="es-MX"/>
        </w:rPr>
        <w:t xml:space="preserve"> and time of death, as well as any pattern or practice that </w:t>
      </w:r>
      <w:r w:rsidR="0092118F" w:rsidRPr="00EA6C7A">
        <w:rPr>
          <w:rFonts w:ascii="Verdana" w:eastAsia="Batang" w:hAnsi="Verdana" w:cs="Verdana"/>
          <w:sz w:val="20"/>
          <w:szCs w:val="20"/>
          <w:lang w:val="en-US" w:eastAsia="es-MX"/>
        </w:rPr>
        <w:t>may</w:t>
      </w:r>
      <w:r w:rsidR="000B20F2" w:rsidRPr="00EA6C7A">
        <w:rPr>
          <w:rFonts w:ascii="Verdana" w:eastAsia="Batang" w:hAnsi="Verdana" w:cs="Verdana"/>
          <w:sz w:val="20"/>
          <w:szCs w:val="20"/>
          <w:lang w:val="en-US" w:eastAsia="es-MX"/>
        </w:rPr>
        <w:t xml:space="preserve"> have </w:t>
      </w:r>
      <w:r w:rsidR="0092118F" w:rsidRPr="00EA6C7A">
        <w:rPr>
          <w:rFonts w:ascii="Verdana" w:eastAsia="Batang" w:hAnsi="Verdana" w:cs="Verdana"/>
          <w:sz w:val="20"/>
          <w:szCs w:val="20"/>
          <w:lang w:val="en-US" w:eastAsia="es-MX"/>
        </w:rPr>
        <w:t>brought about</w:t>
      </w:r>
      <w:r w:rsidR="000B20F2" w:rsidRPr="00EA6C7A">
        <w:rPr>
          <w:rFonts w:ascii="Verdana" w:eastAsia="Batang" w:hAnsi="Verdana" w:cs="Verdana"/>
          <w:sz w:val="20"/>
          <w:szCs w:val="20"/>
          <w:lang w:val="en-US" w:eastAsia="es-MX"/>
        </w:rPr>
        <w:t xml:space="preserve"> the death, and (v) </w:t>
      </w:r>
      <w:r w:rsidR="0092118F" w:rsidRPr="00EA6C7A">
        <w:rPr>
          <w:rFonts w:ascii="Verdana" w:hAnsi="Verdana"/>
          <w:sz w:val="20"/>
          <w:szCs w:val="20"/>
          <w:lang w:val="en-US"/>
        </w:rPr>
        <w:t>to distinguish between natural death, accidental death, suicide and homicide</w:t>
      </w:r>
      <w:r w:rsidR="00222419" w:rsidRPr="00EA6C7A">
        <w:rPr>
          <w:rFonts w:ascii="Verdana" w:hAnsi="Verdana"/>
          <w:sz w:val="20"/>
          <w:szCs w:val="20"/>
          <w:lang w:val="en-US"/>
        </w:rPr>
        <w:t>. In addition, the scene of the crime must be processed thoroughly, and rigorous autopsies and analyses of human remains must be performed by competent professionals, using the most appropriate procedures.</w:t>
      </w:r>
      <w:r w:rsidR="0017063C" w:rsidRPr="00EA6C7A">
        <w:rPr>
          <w:rFonts w:ascii="Verdana" w:eastAsia="MS Mincho" w:hAnsi="Verdana"/>
          <w:sz w:val="20"/>
          <w:szCs w:val="20"/>
          <w:vertAlign w:val="superscript"/>
          <w:lang w:val="en-US" w:eastAsia="es-MX"/>
        </w:rPr>
        <w:footnoteReference w:id="246"/>
      </w:r>
    </w:p>
    <w:p w14:paraId="31D0AAF1" w14:textId="77777777" w:rsidR="0017063C" w:rsidRPr="00EA6C7A" w:rsidRDefault="0017063C" w:rsidP="0017063C">
      <w:pPr>
        <w:spacing w:after="0" w:line="240" w:lineRule="auto"/>
        <w:ind w:right="18"/>
        <w:jc w:val="both"/>
        <w:rPr>
          <w:rFonts w:ascii="Verdana" w:eastAsia="Calibri" w:hAnsi="Verdana"/>
          <w:sz w:val="20"/>
          <w:szCs w:val="20"/>
          <w:lang w:val="en-US"/>
        </w:rPr>
      </w:pPr>
    </w:p>
    <w:p w14:paraId="2D3AA9E2" w14:textId="77777777" w:rsidR="0017063C" w:rsidRPr="00EA6C7A" w:rsidRDefault="0096418F" w:rsidP="00F9138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w:t>
      </w:r>
      <w:r w:rsidR="00222419" w:rsidRPr="00EA6C7A">
        <w:rPr>
          <w:rFonts w:ascii="Verdana" w:eastAsia="Batang" w:hAnsi="Verdana"/>
          <w:sz w:val="20"/>
          <w:szCs w:val="20"/>
          <w:lang w:val="en-US" w:eastAsia="es-MX"/>
        </w:rPr>
        <w:t xml:space="preserve">emphasizes that the proper </w:t>
      </w:r>
      <w:r w:rsidR="00F70444" w:rsidRPr="00EA6C7A">
        <w:rPr>
          <w:rFonts w:ascii="Verdana" w:eastAsia="Batang" w:hAnsi="Verdana"/>
          <w:sz w:val="20"/>
          <w:szCs w:val="20"/>
          <w:lang w:val="en-US" w:eastAsia="es-MX"/>
        </w:rPr>
        <w:t>processing</w:t>
      </w:r>
      <w:r w:rsidR="00FF4B62" w:rsidRPr="00EA6C7A">
        <w:rPr>
          <w:rFonts w:ascii="Verdana" w:eastAsia="Batang" w:hAnsi="Verdana"/>
          <w:sz w:val="20"/>
          <w:szCs w:val="20"/>
          <w:lang w:val="en-US" w:eastAsia="es-MX"/>
        </w:rPr>
        <w:t xml:space="preserve"> of the crime scene is the starting point of the investigation and, therefore, it is determinant to clarify the nature, circumstances and characteristics of the crime, a</w:t>
      </w:r>
      <w:r w:rsidR="00F70444" w:rsidRPr="00EA6C7A">
        <w:rPr>
          <w:rFonts w:ascii="Verdana" w:eastAsia="Batang" w:hAnsi="Verdana"/>
          <w:sz w:val="20"/>
          <w:szCs w:val="20"/>
          <w:lang w:val="en-US" w:eastAsia="es-MX"/>
        </w:rPr>
        <w:t>nd</w:t>
      </w:r>
      <w:r w:rsidR="00FF4B62" w:rsidRPr="00EA6C7A">
        <w:rPr>
          <w:rFonts w:ascii="Verdana" w:eastAsia="Batang" w:hAnsi="Verdana"/>
          <w:sz w:val="20"/>
          <w:szCs w:val="20"/>
          <w:lang w:val="en-US" w:eastAsia="es-MX"/>
        </w:rPr>
        <w:t xml:space="preserve"> the participants in the act. This is why it must be </w:t>
      </w:r>
      <w:r w:rsidR="004E6437" w:rsidRPr="00EA6C7A">
        <w:rPr>
          <w:rFonts w:ascii="Verdana" w:eastAsia="Batang" w:hAnsi="Verdana"/>
          <w:sz w:val="20"/>
          <w:szCs w:val="20"/>
          <w:lang w:val="en-US" w:eastAsia="es-MX"/>
        </w:rPr>
        <w:t>processed</w:t>
      </w:r>
      <w:r w:rsidR="00FF4B62" w:rsidRPr="00EA6C7A">
        <w:rPr>
          <w:rFonts w:ascii="Verdana" w:eastAsia="Batang" w:hAnsi="Verdana"/>
          <w:sz w:val="20"/>
          <w:szCs w:val="20"/>
          <w:lang w:val="en-US" w:eastAsia="es-MX"/>
        </w:rPr>
        <w:t xml:space="preserve"> by professionals aware of the importance of their actions, the preservation of the crime scene, the </w:t>
      </w:r>
      <w:r w:rsidR="004E6437" w:rsidRPr="00EA6C7A">
        <w:rPr>
          <w:rFonts w:ascii="Verdana" w:eastAsia="Batang" w:hAnsi="Verdana"/>
          <w:sz w:val="20"/>
          <w:szCs w:val="20"/>
          <w:lang w:val="en-US" w:eastAsia="es-MX"/>
        </w:rPr>
        <w:t>measures</w:t>
      </w:r>
      <w:r w:rsidR="00FF4B62" w:rsidRPr="00EA6C7A">
        <w:rPr>
          <w:rFonts w:ascii="Verdana" w:eastAsia="Batang" w:hAnsi="Verdana"/>
          <w:sz w:val="20"/>
          <w:szCs w:val="20"/>
          <w:lang w:val="en-US" w:eastAsia="es-MX"/>
        </w:rPr>
        <w:t xml:space="preserve"> to be taken at the scene, and the recovery and preservation of the evidence.</w:t>
      </w:r>
      <w:r w:rsidR="0017063C" w:rsidRPr="00EA6C7A">
        <w:rPr>
          <w:rFonts w:ascii="Verdana" w:eastAsia="Batang" w:hAnsi="Verdana"/>
          <w:sz w:val="20"/>
          <w:szCs w:val="20"/>
          <w:vertAlign w:val="superscript"/>
          <w:lang w:val="en-US" w:eastAsia="es-MX"/>
        </w:rPr>
        <w:footnoteReference w:id="247"/>
      </w:r>
      <w:r w:rsidR="00FF4B62" w:rsidRPr="00EA6C7A">
        <w:rPr>
          <w:rFonts w:ascii="Verdana" w:eastAsia="Batang" w:hAnsi="Verdana" w:cs="Verdana"/>
          <w:sz w:val="20"/>
          <w:szCs w:val="20"/>
          <w:lang w:val="en-US" w:eastAsia="es-MX"/>
        </w:rPr>
        <w:t xml:space="preserve"> The Court has indicated in its case law that a State may be held responsible for failing “to order, practice or assess evidence that would have been very important for the proper clarification of the murders.</w:t>
      </w:r>
      <w:r w:rsidR="0017063C" w:rsidRPr="00EA6C7A">
        <w:rPr>
          <w:rFonts w:ascii="Verdana" w:eastAsia="Batang" w:hAnsi="Verdana" w:cs="Helvetica"/>
          <w:sz w:val="20"/>
          <w:szCs w:val="20"/>
          <w:lang w:val="en-US" w:eastAsia="es-MX" w:bidi="en-US"/>
        </w:rPr>
        <w:t>”</w:t>
      </w:r>
      <w:r w:rsidR="0017063C" w:rsidRPr="00EA6C7A">
        <w:rPr>
          <w:rFonts w:ascii="Verdana" w:eastAsia="Batang" w:hAnsi="Verdana"/>
          <w:bCs/>
          <w:sz w:val="20"/>
          <w:szCs w:val="20"/>
          <w:vertAlign w:val="superscript"/>
          <w:lang w:val="en-US" w:eastAsia="es-MX"/>
        </w:rPr>
        <w:footnoteReference w:id="248"/>
      </w:r>
      <w:r w:rsidR="00FF4B62" w:rsidRPr="00EA6C7A">
        <w:rPr>
          <w:rFonts w:ascii="Verdana" w:eastAsia="Batang" w:hAnsi="Verdana" w:cs="Helvetica"/>
          <w:sz w:val="20"/>
          <w:szCs w:val="20"/>
          <w:lang w:val="en-US" w:eastAsia="es-MX" w:bidi="en-US"/>
        </w:rPr>
        <w:t xml:space="preserve"> Regarding the scene of the crime, </w:t>
      </w:r>
      <w:r w:rsidR="00D75E80" w:rsidRPr="00EA6C7A">
        <w:rPr>
          <w:rFonts w:ascii="Verdana" w:eastAsia="Batang" w:hAnsi="Verdana"/>
          <w:sz w:val="20"/>
          <w:szCs w:val="20"/>
          <w:lang w:val="en-US" w:eastAsia="es-MX"/>
        </w:rPr>
        <w:t>the investigators</w:t>
      </w:r>
      <w:r w:rsidR="0017063C" w:rsidRPr="00EA6C7A">
        <w:rPr>
          <w:rFonts w:ascii="Verdana" w:eastAsia="Batang" w:hAnsi="Verdana"/>
          <w:sz w:val="20"/>
          <w:szCs w:val="20"/>
          <w:lang w:val="en-US" w:eastAsia="es-MX"/>
        </w:rPr>
        <w:t xml:space="preserve"> </w:t>
      </w:r>
      <w:r w:rsidR="00FF4B62" w:rsidRPr="00EA6C7A">
        <w:rPr>
          <w:rFonts w:ascii="Verdana" w:eastAsia="Batang" w:hAnsi="Verdana"/>
          <w:sz w:val="20"/>
          <w:szCs w:val="20"/>
          <w:lang w:val="en-US" w:eastAsia="es-MX"/>
        </w:rPr>
        <w:t xml:space="preserve">should, at least, photograph the scene, and any other physical evidence, and the body as it was found and after it has been moved; any samples of blood, hair, fibers, threads or other clues should  be collected and preserved; the area should be examined for shoe impressions or any other impressions of an evidentiary nature, and a report </w:t>
      </w:r>
      <w:r w:rsidR="00EB3E60" w:rsidRPr="00EA6C7A">
        <w:rPr>
          <w:rFonts w:ascii="Verdana" w:eastAsia="Batang" w:hAnsi="Verdana"/>
          <w:sz w:val="20"/>
          <w:szCs w:val="20"/>
          <w:lang w:val="en-US" w:eastAsia="es-MX"/>
        </w:rPr>
        <w:t xml:space="preserve">should be </w:t>
      </w:r>
      <w:r w:rsidR="00FF4B62" w:rsidRPr="00EA6C7A">
        <w:rPr>
          <w:rFonts w:ascii="Verdana" w:eastAsia="Batang" w:hAnsi="Verdana"/>
          <w:sz w:val="20"/>
          <w:szCs w:val="20"/>
          <w:lang w:val="en-US" w:eastAsia="es-MX"/>
        </w:rPr>
        <w:t xml:space="preserve">made detailing any observation </w:t>
      </w:r>
      <w:r w:rsidR="00EB3E60" w:rsidRPr="00EA6C7A">
        <w:rPr>
          <w:rFonts w:ascii="Verdana" w:eastAsia="Batang" w:hAnsi="Verdana"/>
          <w:sz w:val="20"/>
          <w:szCs w:val="20"/>
          <w:lang w:val="en-US" w:eastAsia="es-MX"/>
        </w:rPr>
        <w:t>at</w:t>
      </w:r>
      <w:r w:rsidR="00FF4B62" w:rsidRPr="00EA6C7A">
        <w:rPr>
          <w:rFonts w:ascii="Verdana" w:eastAsia="Batang" w:hAnsi="Verdana"/>
          <w:sz w:val="20"/>
          <w:szCs w:val="20"/>
          <w:lang w:val="en-US" w:eastAsia="es-MX"/>
        </w:rPr>
        <w:t xml:space="preserve"> the scene, actions of investigators, and </w:t>
      </w:r>
      <w:r w:rsidR="00EB3E60" w:rsidRPr="00EA6C7A">
        <w:rPr>
          <w:rFonts w:ascii="Verdana" w:eastAsia="Batang" w:hAnsi="Verdana"/>
          <w:sz w:val="20"/>
          <w:szCs w:val="20"/>
          <w:lang w:val="en-US" w:eastAsia="es-MX"/>
        </w:rPr>
        <w:t>disposition of all evidence recovered.</w:t>
      </w:r>
      <w:r w:rsidR="00FF4B62" w:rsidRPr="00EA6C7A">
        <w:rPr>
          <w:rFonts w:ascii="Verdana" w:eastAsia="Batang" w:hAnsi="Verdana"/>
          <w:sz w:val="20"/>
          <w:szCs w:val="20"/>
          <w:lang w:val="en-US" w:eastAsia="es-MX"/>
        </w:rPr>
        <w:t xml:space="preserve"> </w:t>
      </w:r>
      <w:r w:rsidR="00EB3E60" w:rsidRPr="00EA6C7A">
        <w:rPr>
          <w:rFonts w:ascii="Verdana" w:eastAsia="Batang" w:hAnsi="Verdana"/>
          <w:sz w:val="20"/>
          <w:szCs w:val="20"/>
          <w:lang w:val="en-US" w:eastAsia="es-MX"/>
        </w:rPr>
        <w:t>The area around the body should be closed off; only the investigator and his team should be allowed entry into the area.</w:t>
      </w:r>
      <w:r w:rsidR="0017063C" w:rsidRPr="00EA6C7A">
        <w:rPr>
          <w:rFonts w:ascii="Verdana" w:eastAsia="Batang" w:hAnsi="Verdana"/>
          <w:bCs/>
          <w:sz w:val="20"/>
          <w:szCs w:val="20"/>
          <w:vertAlign w:val="superscript"/>
          <w:lang w:val="en-US" w:eastAsia="es-MX"/>
        </w:rPr>
        <w:footnoteReference w:id="249"/>
      </w:r>
      <w:r w:rsidR="00EB3E60" w:rsidRPr="00EA6C7A">
        <w:rPr>
          <w:rFonts w:ascii="Verdana" w:eastAsia="Batang" w:hAnsi="Verdana"/>
          <w:bCs/>
          <w:sz w:val="20"/>
          <w:szCs w:val="20"/>
          <w:lang w:val="en-US" w:eastAsia="es-MX"/>
        </w:rPr>
        <w:t xml:space="preserve"> Until this is done, any contamination of the scene must be avoided and permanent custody maintained.</w:t>
      </w:r>
      <w:r w:rsidR="0017063C" w:rsidRPr="00EA6C7A">
        <w:rPr>
          <w:rFonts w:ascii="Verdana" w:eastAsia="Batang" w:hAnsi="Verdana"/>
          <w:sz w:val="20"/>
          <w:szCs w:val="20"/>
          <w:vertAlign w:val="superscript"/>
          <w:lang w:val="en-US" w:eastAsia="es-MX"/>
        </w:rPr>
        <w:footnoteReference w:id="250"/>
      </w:r>
      <w:r w:rsidR="0017063C" w:rsidRPr="00EA6C7A">
        <w:rPr>
          <w:rFonts w:ascii="Verdana" w:eastAsia="Batang" w:hAnsi="Verdana"/>
          <w:sz w:val="20"/>
          <w:szCs w:val="20"/>
          <w:lang w:val="en-US" w:eastAsia="es-MX"/>
        </w:rPr>
        <w:t xml:space="preserve"> </w:t>
      </w:r>
      <w:r w:rsidR="00EB3E60" w:rsidRPr="00EA6C7A">
        <w:rPr>
          <w:rFonts w:ascii="Verdana" w:eastAsia="Batang" w:hAnsi="Verdana"/>
          <w:sz w:val="20"/>
          <w:szCs w:val="20"/>
          <w:lang w:val="en-US" w:eastAsia="es-MX"/>
        </w:rPr>
        <w:t xml:space="preserve">One of the most delicate actions at the site of the discovery of the body is the handling of the corpse, which should only be handled in the presence of professionals, who should examine it and move it appropriately, based on </w:t>
      </w:r>
      <w:r w:rsidR="00F91389" w:rsidRPr="00EA6C7A">
        <w:rPr>
          <w:rFonts w:ascii="Verdana" w:eastAsia="Batang" w:hAnsi="Verdana"/>
          <w:sz w:val="20"/>
          <w:szCs w:val="20"/>
          <w:lang w:val="en-US" w:eastAsia="es-MX"/>
        </w:rPr>
        <w:t>its</w:t>
      </w:r>
      <w:r w:rsidR="00EB3E60" w:rsidRPr="00EA6C7A">
        <w:rPr>
          <w:rFonts w:ascii="Verdana" w:eastAsia="Batang" w:hAnsi="Verdana"/>
          <w:sz w:val="20"/>
          <w:szCs w:val="20"/>
          <w:lang w:val="en-US" w:eastAsia="es-MX"/>
        </w:rPr>
        <w:t xml:space="preserve"> condition.</w:t>
      </w:r>
      <w:r w:rsidR="0017063C" w:rsidRPr="00EA6C7A">
        <w:rPr>
          <w:rFonts w:ascii="Verdana" w:eastAsia="Batang" w:hAnsi="Verdana"/>
          <w:sz w:val="20"/>
          <w:szCs w:val="20"/>
          <w:vertAlign w:val="superscript"/>
          <w:lang w:val="en-US" w:eastAsia="es-MX"/>
        </w:rPr>
        <w:footnoteReference w:id="251"/>
      </w:r>
      <w:r w:rsidR="0017063C" w:rsidRPr="00EA6C7A">
        <w:rPr>
          <w:rFonts w:ascii="Verdana" w:eastAsia="Batang" w:hAnsi="Verdana"/>
          <w:sz w:val="20"/>
          <w:szCs w:val="20"/>
          <w:lang w:val="en-US" w:eastAsia="es-MX"/>
        </w:rPr>
        <w:t xml:space="preserve"> </w:t>
      </w:r>
    </w:p>
    <w:p w14:paraId="3E93FDC5" w14:textId="77777777" w:rsidR="0017063C" w:rsidRPr="00EA6C7A" w:rsidRDefault="0017063C" w:rsidP="00F91389">
      <w:pPr>
        <w:tabs>
          <w:tab w:val="left" w:pos="720"/>
        </w:tabs>
        <w:autoSpaceDE w:val="0"/>
        <w:autoSpaceDN w:val="0"/>
        <w:adjustRightInd w:val="0"/>
        <w:spacing w:after="0" w:line="240" w:lineRule="auto"/>
        <w:jc w:val="both"/>
        <w:rPr>
          <w:rFonts w:ascii="Verdana" w:hAnsi="Verdana"/>
          <w:sz w:val="20"/>
          <w:szCs w:val="20"/>
          <w:lang w:val="en-US"/>
        </w:rPr>
      </w:pPr>
    </w:p>
    <w:p w14:paraId="4E7B5106" w14:textId="77777777" w:rsidR="0017063C" w:rsidRPr="00EA6C7A" w:rsidRDefault="00F91389" w:rsidP="00E31026">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bCs/>
          <w:sz w:val="20"/>
          <w:szCs w:val="20"/>
          <w:lang w:val="en-US" w:eastAsia="es-MX"/>
        </w:rPr>
        <w:t>Similarly</w:t>
      </w:r>
      <w:r w:rsidR="00E31026" w:rsidRPr="00EA6C7A">
        <w:rPr>
          <w:rFonts w:ascii="Verdana" w:eastAsia="Batang" w:hAnsi="Verdana"/>
          <w:bCs/>
          <w:sz w:val="20"/>
          <w:szCs w:val="20"/>
          <w:lang w:val="en-US" w:eastAsia="es-MX"/>
        </w:rPr>
        <w:t>, due diligence in a forensic investigation into a death requires maintaining the chain of custody of all the evidence.</w:t>
      </w:r>
      <w:r w:rsidR="00E31026" w:rsidRPr="00EA6C7A">
        <w:rPr>
          <w:rFonts w:ascii="Verdana" w:eastAsia="Batang" w:hAnsi="Verdana"/>
          <w:bCs/>
          <w:sz w:val="20"/>
          <w:szCs w:val="20"/>
          <w:vertAlign w:val="superscript"/>
          <w:lang w:val="en-US" w:eastAsia="es-MX"/>
        </w:rPr>
        <w:footnoteReference w:id="252"/>
      </w:r>
      <w:r w:rsidR="00E31026" w:rsidRPr="00EA6C7A">
        <w:rPr>
          <w:rFonts w:ascii="Verdana" w:eastAsia="Batang" w:hAnsi="Verdana"/>
          <w:bCs/>
          <w:sz w:val="20"/>
          <w:szCs w:val="20"/>
          <w:lang w:val="en-US" w:eastAsia="es-MX"/>
        </w:rPr>
        <w:t xml:space="preserve"> The Court has indicated that this consists in keeping a precise written record supplemented, as appropriate, by photographs and other graphic elements, to document the history of the evidence as it passes through the hands of the different investigators in charge of the case. The chain of custody may continue beyond the trial and the conviction of the perpetrator, because old evidence, preserved</w:t>
      </w:r>
      <w:r w:rsidRPr="00EA6C7A">
        <w:rPr>
          <w:rFonts w:ascii="Verdana" w:eastAsia="Batang" w:hAnsi="Verdana"/>
          <w:bCs/>
          <w:sz w:val="20"/>
          <w:szCs w:val="20"/>
          <w:lang w:val="en-US" w:eastAsia="es-MX"/>
        </w:rPr>
        <w:t xml:space="preserve"> appropriately</w:t>
      </w:r>
      <w:r w:rsidR="00E31026" w:rsidRPr="00EA6C7A">
        <w:rPr>
          <w:rFonts w:ascii="Verdana" w:eastAsia="Batang" w:hAnsi="Verdana"/>
          <w:bCs/>
          <w:sz w:val="20"/>
          <w:szCs w:val="20"/>
          <w:lang w:val="en-US" w:eastAsia="es-MX"/>
        </w:rPr>
        <w:t xml:space="preserve">, could be used to absolve a person who has been convicted erroneously. The exception to this are the remains of victims who have been positively identified and that can be returned to their family for </w:t>
      </w:r>
      <w:r w:rsidRPr="00EA6C7A">
        <w:rPr>
          <w:rFonts w:ascii="Verdana" w:eastAsia="Batang" w:hAnsi="Verdana"/>
          <w:bCs/>
          <w:sz w:val="20"/>
          <w:szCs w:val="20"/>
          <w:lang w:val="en-US" w:eastAsia="es-MX"/>
        </w:rPr>
        <w:t>burial</w:t>
      </w:r>
      <w:r w:rsidR="00E31026" w:rsidRPr="00EA6C7A">
        <w:rPr>
          <w:rFonts w:ascii="Verdana" w:eastAsia="Batang" w:hAnsi="Verdana"/>
          <w:bCs/>
          <w:sz w:val="20"/>
          <w:szCs w:val="20"/>
          <w:lang w:val="en-US" w:eastAsia="es-MX"/>
        </w:rPr>
        <w:t xml:space="preserve">, </w:t>
      </w:r>
      <w:r w:rsidR="005A19FA" w:rsidRPr="00EA6C7A">
        <w:rPr>
          <w:rFonts w:ascii="Verdana" w:eastAsia="Batang" w:hAnsi="Verdana"/>
          <w:bCs/>
          <w:sz w:val="20"/>
          <w:szCs w:val="20"/>
          <w:lang w:val="en-US" w:eastAsia="es-MX"/>
        </w:rPr>
        <w:t>with the reservation that they cannot be cremated and could be exhumed for further autopsies.</w:t>
      </w:r>
      <w:r w:rsidR="0017063C" w:rsidRPr="00EA6C7A">
        <w:rPr>
          <w:rFonts w:ascii="Verdana" w:eastAsia="Batang" w:hAnsi="Verdana"/>
          <w:bCs/>
          <w:sz w:val="20"/>
          <w:szCs w:val="20"/>
          <w:vertAlign w:val="superscript"/>
          <w:lang w:val="en-US" w:eastAsia="es-MX"/>
        </w:rPr>
        <w:footnoteReference w:id="253"/>
      </w:r>
    </w:p>
    <w:p w14:paraId="6BE02094" w14:textId="77777777" w:rsidR="0017063C" w:rsidRPr="00EA6C7A" w:rsidRDefault="0017063C" w:rsidP="00D72DF0">
      <w:pPr>
        <w:tabs>
          <w:tab w:val="left" w:pos="720"/>
        </w:tabs>
        <w:spacing w:after="0" w:line="240" w:lineRule="auto"/>
        <w:contextualSpacing/>
        <w:jc w:val="both"/>
        <w:rPr>
          <w:rFonts w:ascii="Verdana" w:hAnsi="Verdana"/>
          <w:sz w:val="20"/>
          <w:szCs w:val="20"/>
          <w:lang w:val="en-US" w:eastAsia="es-MX"/>
        </w:rPr>
      </w:pPr>
    </w:p>
    <w:p w14:paraId="104EBFF6" w14:textId="77777777" w:rsidR="0017063C" w:rsidRPr="00EA6C7A" w:rsidRDefault="005A19FA" w:rsidP="005A19FA">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Regarding autopsies, as the Court has indicated, their purpose is to collect, at a minimum, information to identify the deceased, and the time, date, cause and manner of death, They must respect certain basic formalities, such as recording the date, starting and finishing times and place of the autopsy, </w:t>
      </w:r>
      <w:r w:rsidR="00F91389" w:rsidRPr="00EA6C7A">
        <w:rPr>
          <w:rFonts w:ascii="Verdana" w:eastAsia="Batang" w:hAnsi="Verdana"/>
          <w:sz w:val="20"/>
          <w:szCs w:val="20"/>
          <w:lang w:val="en-US" w:eastAsia="es-MX"/>
        </w:rPr>
        <w:t>as well as</w:t>
      </w:r>
      <w:r w:rsidRPr="00EA6C7A">
        <w:rPr>
          <w:rFonts w:ascii="Verdana" w:eastAsia="Batang" w:hAnsi="Verdana"/>
          <w:sz w:val="20"/>
          <w:szCs w:val="20"/>
          <w:lang w:val="en-US" w:eastAsia="es-MX"/>
        </w:rPr>
        <w:t xml:space="preserve"> the name of the official performing it. In addition, it is necessary, </w:t>
      </w:r>
      <w:r w:rsidRPr="00EA6C7A">
        <w:rPr>
          <w:rFonts w:ascii="Verdana" w:eastAsia="Batang" w:hAnsi="Verdana"/>
          <w:bCs/>
          <w:i/>
          <w:sz w:val="20"/>
          <w:szCs w:val="20"/>
          <w:lang w:val="en-US" w:eastAsia="es-MX"/>
        </w:rPr>
        <w:t>inter alia</w:t>
      </w:r>
      <w:r w:rsidRPr="00EA6C7A">
        <w:rPr>
          <w:rFonts w:ascii="Verdana" w:eastAsia="Batang" w:hAnsi="Verdana"/>
          <w:bCs/>
          <w:sz w:val="20"/>
          <w:szCs w:val="20"/>
          <w:lang w:val="en-US" w:eastAsia="es-MX"/>
        </w:rPr>
        <w:t xml:space="preserve">, to photograph the corpse adequately; radiograph the body before it is removed from its pouch or wrappings and before and after undressing the body, documenting any evidence of injury. </w:t>
      </w:r>
      <w:r w:rsidR="00F91389" w:rsidRPr="00EA6C7A">
        <w:rPr>
          <w:rFonts w:ascii="Verdana" w:eastAsia="Batang" w:hAnsi="Verdana"/>
          <w:bCs/>
          <w:sz w:val="20"/>
          <w:szCs w:val="20"/>
          <w:lang w:val="en-US" w:eastAsia="es-MX"/>
        </w:rPr>
        <w:t>A</w:t>
      </w:r>
      <w:r w:rsidR="00FE11C6" w:rsidRPr="00EA6C7A">
        <w:rPr>
          <w:rFonts w:ascii="Verdana" w:eastAsia="Batang" w:hAnsi="Verdana"/>
          <w:bCs/>
          <w:sz w:val="20"/>
          <w:szCs w:val="20"/>
          <w:lang w:val="en-US" w:eastAsia="es-MX"/>
        </w:rPr>
        <w:t>ny teeth that are</w:t>
      </w:r>
      <w:r w:rsidRPr="00EA6C7A">
        <w:rPr>
          <w:rFonts w:ascii="Verdana" w:eastAsia="Batang" w:hAnsi="Verdana"/>
          <w:bCs/>
          <w:sz w:val="20"/>
          <w:szCs w:val="20"/>
          <w:lang w:val="en-US" w:eastAsia="es-MX"/>
        </w:rPr>
        <w:t xml:space="preserve"> absen</w:t>
      </w:r>
      <w:r w:rsidR="00FE11C6" w:rsidRPr="00EA6C7A">
        <w:rPr>
          <w:rFonts w:ascii="Verdana" w:eastAsia="Batang" w:hAnsi="Verdana"/>
          <w:bCs/>
          <w:sz w:val="20"/>
          <w:szCs w:val="20"/>
          <w:lang w:val="en-US" w:eastAsia="es-MX"/>
        </w:rPr>
        <w:t>t</w:t>
      </w:r>
      <w:r w:rsidRPr="00EA6C7A">
        <w:rPr>
          <w:rFonts w:ascii="Verdana" w:eastAsia="Batang" w:hAnsi="Verdana"/>
          <w:bCs/>
          <w:sz w:val="20"/>
          <w:szCs w:val="20"/>
          <w:lang w:val="en-US" w:eastAsia="es-MX"/>
        </w:rPr>
        <w:t xml:space="preserve">, </w:t>
      </w:r>
      <w:proofErr w:type="spellStart"/>
      <w:r w:rsidRPr="00EA6C7A">
        <w:rPr>
          <w:rFonts w:ascii="Verdana" w:eastAsia="Batang" w:hAnsi="Verdana"/>
          <w:bCs/>
          <w:sz w:val="20"/>
          <w:szCs w:val="20"/>
          <w:lang w:val="en-US" w:eastAsia="es-MX"/>
        </w:rPr>
        <w:t>loose</w:t>
      </w:r>
      <w:proofErr w:type="spellEnd"/>
      <w:r w:rsidRPr="00EA6C7A">
        <w:rPr>
          <w:rFonts w:ascii="Verdana" w:eastAsia="Batang" w:hAnsi="Verdana"/>
          <w:bCs/>
          <w:sz w:val="20"/>
          <w:szCs w:val="20"/>
          <w:lang w:val="en-US" w:eastAsia="es-MX"/>
        </w:rPr>
        <w:t xml:space="preserve"> or damage</w:t>
      </w:r>
      <w:r w:rsidR="00FE11C6" w:rsidRPr="00EA6C7A">
        <w:rPr>
          <w:rFonts w:ascii="Verdana" w:eastAsia="Batang" w:hAnsi="Verdana"/>
          <w:bCs/>
          <w:sz w:val="20"/>
          <w:szCs w:val="20"/>
          <w:lang w:val="en-US" w:eastAsia="es-MX"/>
        </w:rPr>
        <w:t>d</w:t>
      </w:r>
      <w:r w:rsidR="00F91389" w:rsidRPr="00EA6C7A">
        <w:rPr>
          <w:rFonts w:ascii="Verdana" w:eastAsia="Batang" w:hAnsi="Verdana"/>
          <w:bCs/>
          <w:sz w:val="20"/>
          <w:szCs w:val="20"/>
          <w:lang w:val="en-US" w:eastAsia="es-MX"/>
        </w:rPr>
        <w:t xml:space="preserve"> should be recorded</w:t>
      </w:r>
      <w:r w:rsidRPr="00EA6C7A">
        <w:rPr>
          <w:rFonts w:ascii="Verdana" w:eastAsia="Batang" w:hAnsi="Verdana"/>
          <w:bCs/>
          <w:sz w:val="20"/>
          <w:szCs w:val="20"/>
          <w:lang w:val="en-US" w:eastAsia="es-MX"/>
        </w:rPr>
        <w:t>, as well as a</w:t>
      </w:r>
      <w:r w:rsidR="00FE11C6" w:rsidRPr="00EA6C7A">
        <w:rPr>
          <w:rFonts w:ascii="Verdana" w:eastAsia="Batang" w:hAnsi="Verdana"/>
          <w:bCs/>
          <w:sz w:val="20"/>
          <w:szCs w:val="20"/>
          <w:lang w:val="en-US" w:eastAsia="es-MX"/>
        </w:rPr>
        <w:t>ll</w:t>
      </w:r>
      <w:r w:rsidRPr="00EA6C7A">
        <w:rPr>
          <w:rFonts w:ascii="Verdana" w:eastAsia="Batang" w:hAnsi="Verdana"/>
          <w:bCs/>
          <w:sz w:val="20"/>
          <w:szCs w:val="20"/>
          <w:lang w:val="en-US" w:eastAsia="es-MX"/>
        </w:rPr>
        <w:t xml:space="preserve"> dental work, and the genitalia and surround</w:t>
      </w:r>
      <w:r w:rsidR="007B0A3F" w:rsidRPr="00EA6C7A">
        <w:rPr>
          <w:rFonts w:ascii="Verdana" w:eastAsia="Batang" w:hAnsi="Verdana"/>
          <w:bCs/>
          <w:sz w:val="20"/>
          <w:szCs w:val="20"/>
          <w:lang w:val="en-US" w:eastAsia="es-MX"/>
        </w:rPr>
        <w:t>ing</w:t>
      </w:r>
      <w:r w:rsidRPr="00EA6C7A">
        <w:rPr>
          <w:rFonts w:ascii="Verdana" w:eastAsia="Batang" w:hAnsi="Verdana"/>
          <w:bCs/>
          <w:sz w:val="20"/>
          <w:szCs w:val="20"/>
          <w:lang w:val="en-US" w:eastAsia="es-MX"/>
        </w:rPr>
        <w:t xml:space="preserve"> areas</w:t>
      </w:r>
      <w:r w:rsidR="00F91389" w:rsidRPr="00EA6C7A">
        <w:rPr>
          <w:rFonts w:ascii="Verdana" w:eastAsia="Batang" w:hAnsi="Verdana"/>
          <w:bCs/>
          <w:sz w:val="20"/>
          <w:szCs w:val="20"/>
          <w:lang w:val="en-US" w:eastAsia="es-MX"/>
        </w:rPr>
        <w:t xml:space="preserve"> examined carefully</w:t>
      </w:r>
      <w:r w:rsidRPr="00EA6C7A">
        <w:rPr>
          <w:rFonts w:ascii="Verdana" w:eastAsia="Batang" w:hAnsi="Verdana"/>
          <w:bCs/>
          <w:sz w:val="20"/>
          <w:szCs w:val="20"/>
          <w:lang w:val="en-US" w:eastAsia="es-MX"/>
        </w:rPr>
        <w:t xml:space="preserve"> for sign of sexual abuse.</w:t>
      </w:r>
      <w:r w:rsidR="00FE11C6" w:rsidRPr="00EA6C7A">
        <w:rPr>
          <w:rFonts w:ascii="Verdana" w:eastAsia="Batang" w:hAnsi="Verdana"/>
          <w:bCs/>
          <w:sz w:val="20"/>
          <w:szCs w:val="20"/>
          <w:lang w:val="en-US" w:eastAsia="es-MX"/>
        </w:rPr>
        <w:t xml:space="preserve"> In addition, the United Nations Manual indicates that the autopsy should record the body position and condition, including body warmth or coolness, lividity and rigidity; the deceased’s hands</w:t>
      </w:r>
      <w:r w:rsidR="00F91389" w:rsidRPr="00EA6C7A">
        <w:rPr>
          <w:rFonts w:ascii="Verdana" w:eastAsia="Batang" w:hAnsi="Verdana"/>
          <w:bCs/>
          <w:sz w:val="20"/>
          <w:szCs w:val="20"/>
          <w:lang w:val="en-US" w:eastAsia="es-MX"/>
        </w:rPr>
        <w:t xml:space="preserve"> should be protected</w:t>
      </w:r>
      <w:r w:rsidR="00FE11C6" w:rsidRPr="00EA6C7A">
        <w:rPr>
          <w:rFonts w:ascii="Verdana" w:eastAsia="Batang" w:hAnsi="Verdana"/>
          <w:bCs/>
          <w:sz w:val="20"/>
          <w:szCs w:val="20"/>
          <w:lang w:val="en-US" w:eastAsia="es-MX"/>
        </w:rPr>
        <w:t>; the ambient temperature</w:t>
      </w:r>
      <w:r w:rsidR="00F91389" w:rsidRPr="00EA6C7A">
        <w:rPr>
          <w:rFonts w:ascii="Verdana" w:eastAsia="Batang" w:hAnsi="Verdana"/>
          <w:bCs/>
          <w:sz w:val="20"/>
          <w:szCs w:val="20"/>
          <w:lang w:val="en-US" w:eastAsia="es-MX"/>
        </w:rPr>
        <w:t xml:space="preserve"> noted</w:t>
      </w:r>
      <w:r w:rsidR="00FE11C6" w:rsidRPr="00EA6C7A">
        <w:rPr>
          <w:rFonts w:ascii="Verdana" w:eastAsia="Batang" w:hAnsi="Verdana"/>
          <w:bCs/>
          <w:sz w:val="20"/>
          <w:szCs w:val="20"/>
          <w:lang w:val="en-US" w:eastAsia="es-MX"/>
        </w:rPr>
        <w:t>, and any insects</w:t>
      </w:r>
      <w:r w:rsidR="00F91389" w:rsidRPr="00EA6C7A">
        <w:rPr>
          <w:rFonts w:ascii="Verdana" w:eastAsia="Batang" w:hAnsi="Verdana"/>
          <w:bCs/>
          <w:sz w:val="20"/>
          <w:szCs w:val="20"/>
          <w:lang w:val="en-US" w:eastAsia="es-MX"/>
        </w:rPr>
        <w:t xml:space="preserve"> collected</w:t>
      </w:r>
      <w:r w:rsidR="00FE11C6" w:rsidRPr="00EA6C7A">
        <w:rPr>
          <w:rFonts w:ascii="Verdana" w:eastAsia="Batang" w:hAnsi="Verdana"/>
          <w:bCs/>
          <w:sz w:val="20"/>
          <w:szCs w:val="20"/>
          <w:lang w:val="en-US" w:eastAsia="es-MX"/>
        </w:rPr>
        <w:t>.</w:t>
      </w:r>
      <w:r w:rsidR="0017063C" w:rsidRPr="00EA6C7A">
        <w:rPr>
          <w:rFonts w:ascii="Verdana" w:eastAsia="Batang" w:hAnsi="Verdana"/>
          <w:sz w:val="20"/>
          <w:szCs w:val="20"/>
          <w:vertAlign w:val="superscript"/>
          <w:lang w:val="en-US" w:eastAsia="es-MX"/>
        </w:rPr>
        <w:footnoteReference w:id="254"/>
      </w:r>
      <w:r w:rsidR="0017063C" w:rsidRPr="00EA6C7A">
        <w:rPr>
          <w:rFonts w:ascii="Verdana" w:eastAsia="Batang" w:hAnsi="Verdana"/>
          <w:sz w:val="20"/>
          <w:szCs w:val="20"/>
          <w:lang w:val="en-US" w:eastAsia="es-MX"/>
        </w:rPr>
        <w:t xml:space="preserve"> </w:t>
      </w:r>
    </w:p>
    <w:p w14:paraId="3826ECF3" w14:textId="77777777" w:rsidR="0017063C" w:rsidRPr="00EA6C7A" w:rsidRDefault="0017063C" w:rsidP="0017063C">
      <w:pPr>
        <w:spacing w:after="0" w:line="240" w:lineRule="auto"/>
        <w:contextualSpacing/>
        <w:jc w:val="both"/>
        <w:rPr>
          <w:rFonts w:ascii="Verdana" w:hAnsi="Verdana"/>
          <w:sz w:val="20"/>
          <w:szCs w:val="20"/>
          <w:lang w:val="en-US" w:eastAsia="es-MX"/>
        </w:rPr>
      </w:pPr>
    </w:p>
    <w:p w14:paraId="485D030A" w14:textId="77777777" w:rsidR="0017063C" w:rsidRPr="00EA6C7A" w:rsidRDefault="0096418F" w:rsidP="00260E68">
      <w:pPr>
        <w:numPr>
          <w:ilvl w:val="0"/>
          <w:numId w:val="3"/>
        </w:numPr>
        <w:tabs>
          <w:tab w:val="left" w:pos="720"/>
        </w:tabs>
        <w:spacing w:after="0" w:line="240" w:lineRule="auto"/>
        <w:ind w:left="0" w:firstLine="0"/>
        <w:jc w:val="both"/>
        <w:rPr>
          <w:rFonts w:ascii="Verdana" w:hAnsi="Verdana"/>
          <w:sz w:val="20"/>
          <w:szCs w:val="20"/>
          <w:lang w:val="en-US"/>
        </w:rPr>
      </w:pPr>
      <w:r w:rsidRPr="00EA6C7A">
        <w:rPr>
          <w:rFonts w:ascii="Verdana" w:hAnsi="Verdana"/>
          <w:sz w:val="20"/>
          <w:szCs w:val="20"/>
          <w:lang w:val="en-US"/>
        </w:rPr>
        <w:t>The Court</w:t>
      </w:r>
      <w:r w:rsidR="00F75E34" w:rsidRPr="00EA6C7A">
        <w:rPr>
          <w:rFonts w:ascii="Verdana" w:hAnsi="Verdana"/>
          <w:sz w:val="20"/>
          <w:szCs w:val="20"/>
          <w:lang w:val="en-US"/>
        </w:rPr>
        <w:t xml:space="preserve"> re</w:t>
      </w:r>
      <w:r w:rsidR="00FE11C6" w:rsidRPr="00EA6C7A">
        <w:rPr>
          <w:rFonts w:ascii="Verdana" w:hAnsi="Verdana"/>
          <w:sz w:val="20"/>
          <w:szCs w:val="20"/>
          <w:lang w:val="en-US"/>
        </w:rPr>
        <w:t xml:space="preserve">calls that it is uncontested that, at approximately </w:t>
      </w:r>
      <w:r w:rsidR="0017063C" w:rsidRPr="00EA6C7A">
        <w:rPr>
          <w:rFonts w:ascii="Verdana" w:hAnsi="Verdana"/>
          <w:sz w:val="20"/>
          <w:szCs w:val="20"/>
          <w:lang w:val="en-US"/>
        </w:rPr>
        <w:t>8</w:t>
      </w:r>
      <w:r w:rsidR="007B0A3F" w:rsidRPr="00EA6C7A">
        <w:rPr>
          <w:rFonts w:ascii="Verdana" w:hAnsi="Verdana"/>
          <w:sz w:val="20"/>
          <w:szCs w:val="20"/>
          <w:lang w:val="en-US"/>
        </w:rPr>
        <w:t>.</w:t>
      </w:r>
      <w:r w:rsidR="0017063C" w:rsidRPr="00EA6C7A">
        <w:rPr>
          <w:rFonts w:ascii="Verdana" w:hAnsi="Verdana"/>
          <w:sz w:val="20"/>
          <w:szCs w:val="20"/>
          <w:lang w:val="en-US"/>
        </w:rPr>
        <w:t xml:space="preserve">30 a.m. </w:t>
      </w:r>
      <w:r w:rsidR="007944A2" w:rsidRPr="00EA6C7A">
        <w:rPr>
          <w:rFonts w:ascii="Verdana" w:hAnsi="Verdana"/>
          <w:sz w:val="20"/>
          <w:szCs w:val="20"/>
          <w:lang w:val="en-US"/>
        </w:rPr>
        <w:t>on August 12,</w:t>
      </w:r>
      <w:r w:rsidR="0017063C" w:rsidRPr="00EA6C7A">
        <w:rPr>
          <w:rFonts w:ascii="Verdana" w:hAnsi="Verdana"/>
          <w:sz w:val="20"/>
          <w:szCs w:val="20"/>
          <w:lang w:val="en-US"/>
        </w:rPr>
        <w:t xml:space="preserve"> 2005</w:t>
      </w:r>
      <w:r w:rsidR="00FE11C6" w:rsidRPr="00EA6C7A">
        <w:rPr>
          <w:rFonts w:ascii="Verdana" w:hAnsi="Verdana"/>
          <w:sz w:val="20"/>
          <w:szCs w:val="20"/>
          <w:lang w:val="en-US"/>
        </w:rPr>
        <w:t>,</w:t>
      </w:r>
      <w:r w:rsidR="0017063C" w:rsidRPr="00EA6C7A">
        <w:rPr>
          <w:rFonts w:ascii="Verdana" w:hAnsi="Verdana"/>
          <w:sz w:val="20"/>
          <w:szCs w:val="20"/>
          <w:lang w:val="en-US"/>
        </w:rPr>
        <w:t xml:space="preserve"> </w:t>
      </w:r>
      <w:r w:rsidR="00F75E34" w:rsidRPr="00EA6C7A">
        <w:rPr>
          <w:rFonts w:ascii="Verdana" w:hAnsi="Verdana"/>
          <w:sz w:val="20"/>
          <w:szCs w:val="20"/>
          <w:lang w:val="en-US"/>
        </w:rPr>
        <w:t>Claudina Velásquez</w:t>
      </w:r>
      <w:r w:rsidR="0017063C" w:rsidRPr="00EA6C7A">
        <w:rPr>
          <w:rFonts w:ascii="Verdana" w:hAnsi="Verdana"/>
          <w:sz w:val="20"/>
          <w:szCs w:val="20"/>
          <w:lang w:val="en-US"/>
        </w:rPr>
        <w:t xml:space="preserve"> </w:t>
      </w:r>
      <w:r w:rsidR="00FE11C6" w:rsidRPr="00EA6C7A">
        <w:rPr>
          <w:rFonts w:ascii="Verdana" w:hAnsi="Verdana"/>
          <w:sz w:val="20"/>
          <w:szCs w:val="20"/>
          <w:lang w:val="en-US"/>
        </w:rPr>
        <w:t>left her home, accompanied by her brother, to go to the university. According to the members of her family, after Claudina advised them that she was at a party and they had a l</w:t>
      </w:r>
      <w:r w:rsidR="007B0A3F" w:rsidRPr="00EA6C7A">
        <w:rPr>
          <w:rFonts w:ascii="Verdana" w:hAnsi="Verdana"/>
          <w:sz w:val="20"/>
          <w:szCs w:val="20"/>
          <w:lang w:val="en-US"/>
        </w:rPr>
        <w:t>a</w:t>
      </w:r>
      <w:r w:rsidR="00FE11C6" w:rsidRPr="00EA6C7A">
        <w:rPr>
          <w:rFonts w:ascii="Verdana" w:hAnsi="Verdana"/>
          <w:sz w:val="20"/>
          <w:szCs w:val="20"/>
          <w:lang w:val="en-US"/>
        </w:rPr>
        <w:t>st telephone call with her around 11</w:t>
      </w:r>
      <w:r w:rsidR="007B0A3F" w:rsidRPr="00EA6C7A">
        <w:rPr>
          <w:rFonts w:ascii="Verdana" w:hAnsi="Verdana"/>
          <w:sz w:val="20"/>
          <w:szCs w:val="20"/>
          <w:lang w:val="en-US"/>
        </w:rPr>
        <w:t>.</w:t>
      </w:r>
      <w:r w:rsidR="00FE11C6" w:rsidRPr="00EA6C7A">
        <w:rPr>
          <w:rFonts w:ascii="Verdana" w:hAnsi="Verdana"/>
          <w:sz w:val="20"/>
          <w:szCs w:val="20"/>
          <w:lang w:val="en-US"/>
        </w:rPr>
        <w:t>45 p.m., they lost contact with her. Her parent</w:t>
      </w:r>
      <w:r w:rsidR="007B0A3F" w:rsidRPr="00EA6C7A">
        <w:rPr>
          <w:rFonts w:ascii="Verdana" w:hAnsi="Verdana"/>
          <w:sz w:val="20"/>
          <w:szCs w:val="20"/>
          <w:lang w:val="en-US"/>
        </w:rPr>
        <w:t>s</w:t>
      </w:r>
      <w:r w:rsidR="00FE11C6" w:rsidRPr="00EA6C7A">
        <w:rPr>
          <w:rFonts w:ascii="Verdana" w:hAnsi="Verdana"/>
          <w:sz w:val="20"/>
          <w:szCs w:val="20"/>
          <w:lang w:val="en-US"/>
        </w:rPr>
        <w:t xml:space="preserve"> began to look for her when they were advised at around </w:t>
      </w:r>
      <w:r w:rsidR="00F75E34" w:rsidRPr="00EA6C7A">
        <w:rPr>
          <w:rFonts w:ascii="Verdana" w:hAnsi="Verdana"/>
          <w:sz w:val="20"/>
          <w:szCs w:val="20"/>
          <w:lang w:val="en-US"/>
        </w:rPr>
        <w:t xml:space="preserve">2 a.m. </w:t>
      </w:r>
      <w:r w:rsidR="00FE11C6" w:rsidRPr="00EA6C7A">
        <w:rPr>
          <w:rFonts w:ascii="Verdana" w:hAnsi="Verdana"/>
          <w:sz w:val="20"/>
          <w:szCs w:val="20"/>
          <w:lang w:val="en-US"/>
        </w:rPr>
        <w:t>o</w:t>
      </w:r>
      <w:r w:rsidR="000821BA" w:rsidRPr="00EA6C7A">
        <w:rPr>
          <w:rFonts w:ascii="Verdana" w:hAnsi="Verdana"/>
          <w:sz w:val="20"/>
          <w:szCs w:val="20"/>
          <w:lang w:val="en-US"/>
        </w:rPr>
        <w:t>n August</w:t>
      </w:r>
      <w:r w:rsidR="000B3E6E" w:rsidRPr="00EA6C7A">
        <w:rPr>
          <w:rFonts w:ascii="Verdana" w:hAnsi="Verdana"/>
          <w:sz w:val="20"/>
          <w:szCs w:val="20"/>
          <w:lang w:val="en-US"/>
        </w:rPr>
        <w:t xml:space="preserve"> 13,</w:t>
      </w:r>
      <w:r w:rsidR="00F75E34" w:rsidRPr="00EA6C7A">
        <w:rPr>
          <w:rFonts w:ascii="Verdana" w:hAnsi="Verdana"/>
          <w:sz w:val="20"/>
          <w:szCs w:val="20"/>
          <w:lang w:val="en-US"/>
        </w:rPr>
        <w:t xml:space="preserve"> 2005, </w:t>
      </w:r>
      <w:r w:rsidR="00FE11C6" w:rsidRPr="00EA6C7A">
        <w:rPr>
          <w:rFonts w:ascii="Verdana" w:hAnsi="Verdana"/>
          <w:sz w:val="20"/>
          <w:szCs w:val="20"/>
          <w:lang w:val="en-US"/>
        </w:rPr>
        <w:t xml:space="preserve">that she could be in danger by someone who said that </w:t>
      </w:r>
      <w:r w:rsidR="007B0A3F" w:rsidRPr="00EA6C7A">
        <w:rPr>
          <w:rFonts w:ascii="Verdana" w:hAnsi="Verdana"/>
          <w:sz w:val="20"/>
          <w:szCs w:val="20"/>
          <w:lang w:val="en-US"/>
        </w:rPr>
        <w:t>she</w:t>
      </w:r>
      <w:r w:rsidR="00FE11C6" w:rsidRPr="00EA6C7A">
        <w:rPr>
          <w:rFonts w:ascii="Verdana" w:hAnsi="Verdana"/>
          <w:sz w:val="20"/>
          <w:szCs w:val="20"/>
          <w:lang w:val="en-US"/>
        </w:rPr>
        <w:t xml:space="preserve"> had spoken to her by telephone, and who went directly to the family home to alert them to this situation. At </w:t>
      </w:r>
      <w:r w:rsidR="0017063C" w:rsidRPr="00EA6C7A">
        <w:rPr>
          <w:rFonts w:ascii="Verdana" w:hAnsi="Verdana"/>
          <w:sz w:val="20"/>
          <w:szCs w:val="20"/>
          <w:lang w:val="en-US"/>
        </w:rPr>
        <w:t>2</w:t>
      </w:r>
      <w:r w:rsidR="007B0A3F" w:rsidRPr="00EA6C7A">
        <w:rPr>
          <w:rFonts w:ascii="Verdana" w:hAnsi="Verdana"/>
          <w:sz w:val="20"/>
          <w:szCs w:val="20"/>
          <w:lang w:val="en-US"/>
        </w:rPr>
        <w:t>.</w:t>
      </w:r>
      <w:r w:rsidR="0017063C" w:rsidRPr="00EA6C7A">
        <w:rPr>
          <w:rFonts w:ascii="Verdana" w:hAnsi="Verdana"/>
          <w:sz w:val="20"/>
          <w:szCs w:val="20"/>
          <w:lang w:val="en-US"/>
        </w:rPr>
        <w:t xml:space="preserve">12 a.m. </w:t>
      </w:r>
      <w:r w:rsidR="00FE11C6" w:rsidRPr="00EA6C7A">
        <w:rPr>
          <w:rFonts w:ascii="Verdana" w:hAnsi="Verdana"/>
          <w:sz w:val="20"/>
          <w:szCs w:val="20"/>
          <w:lang w:val="en-US"/>
        </w:rPr>
        <w:t>the</w:t>
      </w:r>
      <w:r w:rsidR="0017063C" w:rsidRPr="00EA6C7A">
        <w:rPr>
          <w:rFonts w:ascii="Verdana" w:hAnsi="Verdana"/>
          <w:sz w:val="20"/>
          <w:szCs w:val="20"/>
          <w:lang w:val="en-US"/>
        </w:rPr>
        <w:t xml:space="preserve"> PNC rec</w:t>
      </w:r>
      <w:r w:rsidR="00FE11C6" w:rsidRPr="00EA6C7A">
        <w:rPr>
          <w:rFonts w:ascii="Verdana" w:hAnsi="Verdana"/>
          <w:sz w:val="20"/>
          <w:szCs w:val="20"/>
          <w:lang w:val="en-US"/>
        </w:rPr>
        <w:t xml:space="preserve">eived a report of a possible </w:t>
      </w:r>
      <w:r w:rsidR="007B0A3F" w:rsidRPr="00EA6C7A">
        <w:rPr>
          <w:rFonts w:ascii="Verdana" w:hAnsi="Verdana"/>
          <w:sz w:val="20"/>
          <w:szCs w:val="20"/>
          <w:lang w:val="en-US"/>
        </w:rPr>
        <w:t>sexual assault</w:t>
      </w:r>
      <w:r w:rsidR="00FE11C6" w:rsidRPr="00EA6C7A">
        <w:rPr>
          <w:rFonts w:ascii="Verdana" w:hAnsi="Verdana"/>
          <w:sz w:val="20"/>
          <w:szCs w:val="20"/>
          <w:lang w:val="en-US"/>
        </w:rPr>
        <w:t xml:space="preserve"> in Colonia Roosevelt on the 110 number. At around </w:t>
      </w:r>
      <w:r w:rsidR="0017063C" w:rsidRPr="00EA6C7A">
        <w:rPr>
          <w:rFonts w:ascii="Verdana" w:hAnsi="Verdana"/>
          <w:sz w:val="20"/>
          <w:szCs w:val="20"/>
          <w:lang w:val="en-US"/>
        </w:rPr>
        <w:t>2</w:t>
      </w:r>
      <w:r w:rsidR="007B0A3F" w:rsidRPr="00EA6C7A">
        <w:rPr>
          <w:rFonts w:ascii="Verdana" w:hAnsi="Verdana"/>
          <w:sz w:val="20"/>
          <w:szCs w:val="20"/>
          <w:lang w:val="en-US"/>
        </w:rPr>
        <w:t>.</w:t>
      </w:r>
      <w:r w:rsidR="0017063C" w:rsidRPr="00EA6C7A">
        <w:rPr>
          <w:rFonts w:ascii="Verdana" w:hAnsi="Verdana"/>
          <w:sz w:val="20"/>
          <w:szCs w:val="20"/>
          <w:lang w:val="en-US"/>
        </w:rPr>
        <w:t>50 o</w:t>
      </w:r>
      <w:r w:rsidR="00FE11C6" w:rsidRPr="00EA6C7A">
        <w:rPr>
          <w:rFonts w:ascii="Verdana" w:hAnsi="Verdana"/>
          <w:sz w:val="20"/>
          <w:szCs w:val="20"/>
          <w:lang w:val="en-US"/>
        </w:rPr>
        <w:t>r</w:t>
      </w:r>
      <w:r w:rsidR="0017063C" w:rsidRPr="00EA6C7A">
        <w:rPr>
          <w:rFonts w:ascii="Verdana" w:hAnsi="Verdana"/>
          <w:sz w:val="20"/>
          <w:szCs w:val="20"/>
          <w:lang w:val="en-US"/>
        </w:rPr>
        <w:t xml:space="preserve"> 2</w:t>
      </w:r>
      <w:r w:rsidR="007B0A3F" w:rsidRPr="00EA6C7A">
        <w:rPr>
          <w:rFonts w:ascii="Verdana" w:hAnsi="Verdana"/>
          <w:sz w:val="20"/>
          <w:szCs w:val="20"/>
          <w:lang w:val="en-US"/>
        </w:rPr>
        <w:t>.</w:t>
      </w:r>
      <w:r w:rsidR="0017063C" w:rsidRPr="00EA6C7A">
        <w:rPr>
          <w:rFonts w:ascii="Verdana" w:hAnsi="Verdana"/>
          <w:sz w:val="20"/>
          <w:szCs w:val="20"/>
          <w:lang w:val="en-US"/>
        </w:rPr>
        <w:t xml:space="preserve">55 a.m., </w:t>
      </w:r>
      <w:r w:rsidR="0097429D" w:rsidRPr="00EA6C7A">
        <w:rPr>
          <w:rFonts w:ascii="Verdana" w:hAnsi="Verdana"/>
          <w:sz w:val="20"/>
          <w:szCs w:val="20"/>
          <w:lang w:val="en-US"/>
        </w:rPr>
        <w:t>Claudina Velásquez’s parents</w:t>
      </w:r>
      <w:r w:rsidR="0017063C" w:rsidRPr="00EA6C7A">
        <w:rPr>
          <w:rFonts w:ascii="Verdana" w:hAnsi="Verdana"/>
          <w:sz w:val="20"/>
          <w:szCs w:val="20"/>
          <w:lang w:val="en-US"/>
        </w:rPr>
        <w:t xml:space="preserve"> </w:t>
      </w:r>
      <w:r w:rsidR="00FE11C6" w:rsidRPr="00EA6C7A">
        <w:rPr>
          <w:rFonts w:ascii="Verdana" w:hAnsi="Verdana"/>
          <w:sz w:val="20"/>
          <w:szCs w:val="20"/>
          <w:lang w:val="en-US"/>
        </w:rPr>
        <w:t xml:space="preserve">called the PNC. In response, a patrol car came to the main guardhouse of Colonia Panorama at approximately 3 a.m. </w:t>
      </w:r>
      <w:r w:rsidR="00260E68" w:rsidRPr="00EA6C7A">
        <w:rPr>
          <w:rFonts w:ascii="Verdana" w:hAnsi="Verdana"/>
          <w:sz w:val="20"/>
          <w:szCs w:val="20"/>
          <w:lang w:val="en-US"/>
        </w:rPr>
        <w:t xml:space="preserve">The parents following the police patrol car looking for their daughter from the main entrance </w:t>
      </w:r>
      <w:r w:rsidR="002E7122" w:rsidRPr="00EA6C7A">
        <w:rPr>
          <w:rFonts w:ascii="Verdana" w:hAnsi="Verdana"/>
          <w:sz w:val="20"/>
          <w:szCs w:val="20"/>
          <w:lang w:val="en-US"/>
        </w:rPr>
        <w:t>of</w:t>
      </w:r>
      <w:r w:rsidR="00260E68" w:rsidRPr="00EA6C7A">
        <w:rPr>
          <w:rFonts w:ascii="Verdana" w:hAnsi="Verdana"/>
          <w:sz w:val="20"/>
          <w:szCs w:val="20"/>
          <w:lang w:val="en-US"/>
        </w:rPr>
        <w:t xml:space="preserve"> Colonia Panorama to the entrance </w:t>
      </w:r>
      <w:r w:rsidR="007B0A3F" w:rsidRPr="00EA6C7A">
        <w:rPr>
          <w:rFonts w:ascii="Verdana" w:hAnsi="Verdana"/>
          <w:sz w:val="20"/>
          <w:szCs w:val="20"/>
          <w:lang w:val="en-US"/>
        </w:rPr>
        <w:t>of</w:t>
      </w:r>
      <w:r w:rsidR="00260E68" w:rsidRPr="00EA6C7A">
        <w:rPr>
          <w:rFonts w:ascii="Verdana" w:hAnsi="Verdana"/>
          <w:sz w:val="20"/>
          <w:szCs w:val="20"/>
          <w:lang w:val="en-US"/>
        </w:rPr>
        <w:t xml:space="preserve"> Colonia Pinares, where the police agents told them that they had to “wait at least 24 hours” to be able to report that </w:t>
      </w:r>
      <w:r w:rsidR="0017063C" w:rsidRPr="00EA6C7A">
        <w:rPr>
          <w:rFonts w:ascii="Verdana" w:hAnsi="Verdana"/>
          <w:sz w:val="20"/>
          <w:szCs w:val="20"/>
          <w:lang w:val="en-US"/>
        </w:rPr>
        <w:t xml:space="preserve">Claudina Velásquez </w:t>
      </w:r>
      <w:r w:rsidR="00260E68" w:rsidRPr="00EA6C7A">
        <w:rPr>
          <w:rFonts w:ascii="Verdana" w:hAnsi="Verdana"/>
          <w:sz w:val="20"/>
          <w:szCs w:val="20"/>
          <w:lang w:val="en-US"/>
        </w:rPr>
        <w:t>was missing</w:t>
      </w:r>
      <w:r w:rsidR="0017063C" w:rsidRPr="00EA6C7A">
        <w:rPr>
          <w:rFonts w:ascii="Verdana" w:hAnsi="Verdana"/>
          <w:sz w:val="20"/>
          <w:szCs w:val="20"/>
          <w:lang w:val="en-US"/>
        </w:rPr>
        <w:t xml:space="preserve">. </w:t>
      </w:r>
      <w:r w:rsidR="007B0A3F" w:rsidRPr="00EA6C7A">
        <w:rPr>
          <w:rFonts w:ascii="Verdana" w:hAnsi="Verdana"/>
          <w:sz w:val="20"/>
          <w:szCs w:val="20"/>
          <w:lang w:val="en-US"/>
        </w:rPr>
        <w:t>From</w:t>
      </w:r>
      <w:r w:rsidR="0017063C" w:rsidRPr="00EA6C7A">
        <w:rPr>
          <w:rFonts w:ascii="Verdana" w:hAnsi="Verdana"/>
          <w:sz w:val="20"/>
          <w:szCs w:val="20"/>
          <w:lang w:val="en-US"/>
        </w:rPr>
        <w:t xml:space="preserve"> 3</w:t>
      </w:r>
      <w:r w:rsidR="007B0A3F" w:rsidRPr="00EA6C7A">
        <w:rPr>
          <w:rFonts w:ascii="Verdana" w:hAnsi="Verdana"/>
          <w:sz w:val="20"/>
          <w:szCs w:val="20"/>
          <w:lang w:val="en-US"/>
        </w:rPr>
        <w:t xml:space="preserve"> a.m.</w:t>
      </w:r>
      <w:r w:rsidR="00D948A1" w:rsidRPr="00EA6C7A">
        <w:rPr>
          <w:rFonts w:ascii="Verdana" w:hAnsi="Verdana"/>
          <w:sz w:val="20"/>
          <w:szCs w:val="20"/>
          <w:lang w:val="en-US"/>
        </w:rPr>
        <w:t xml:space="preserve"> </w:t>
      </w:r>
      <w:r w:rsidR="007B0A3F" w:rsidRPr="00EA6C7A">
        <w:rPr>
          <w:rFonts w:ascii="Verdana" w:hAnsi="Verdana"/>
          <w:sz w:val="20"/>
          <w:szCs w:val="20"/>
          <w:lang w:val="en-US"/>
        </w:rPr>
        <w:t>to</w:t>
      </w:r>
      <w:r w:rsidR="00D948A1" w:rsidRPr="00EA6C7A">
        <w:rPr>
          <w:rFonts w:ascii="Verdana" w:hAnsi="Verdana"/>
          <w:sz w:val="20"/>
          <w:szCs w:val="20"/>
          <w:lang w:val="en-US"/>
        </w:rPr>
        <w:t xml:space="preserve"> </w:t>
      </w:r>
      <w:r w:rsidR="0017063C" w:rsidRPr="00EA6C7A">
        <w:rPr>
          <w:rFonts w:ascii="Verdana" w:hAnsi="Verdana"/>
          <w:sz w:val="20"/>
          <w:szCs w:val="20"/>
          <w:lang w:val="en-US"/>
        </w:rPr>
        <w:t xml:space="preserve">5 a.m., </w:t>
      </w:r>
      <w:r w:rsidR="0097429D" w:rsidRPr="00EA6C7A">
        <w:rPr>
          <w:rFonts w:ascii="Verdana" w:hAnsi="Verdana"/>
          <w:sz w:val="20"/>
          <w:szCs w:val="20"/>
          <w:lang w:val="en-US"/>
        </w:rPr>
        <w:t>Claudina Velásquez’s parents</w:t>
      </w:r>
      <w:r w:rsidR="0017063C" w:rsidRPr="00EA6C7A">
        <w:rPr>
          <w:rFonts w:ascii="Verdana" w:hAnsi="Verdana"/>
          <w:sz w:val="20"/>
          <w:szCs w:val="20"/>
          <w:lang w:val="en-US"/>
        </w:rPr>
        <w:t xml:space="preserve"> contin</w:t>
      </w:r>
      <w:r w:rsidR="00260E68" w:rsidRPr="00EA6C7A">
        <w:rPr>
          <w:rFonts w:ascii="Verdana" w:hAnsi="Verdana"/>
          <w:sz w:val="20"/>
          <w:szCs w:val="20"/>
          <w:lang w:val="en-US"/>
        </w:rPr>
        <w:t xml:space="preserve">ued to search for her with the help of family members and friends. At around </w:t>
      </w:r>
      <w:r w:rsidR="0017063C" w:rsidRPr="00EA6C7A">
        <w:rPr>
          <w:rFonts w:ascii="Verdana" w:hAnsi="Verdana"/>
          <w:sz w:val="20"/>
          <w:szCs w:val="20"/>
          <w:lang w:val="en-US"/>
        </w:rPr>
        <w:t>5 a.m., Claudina</w:t>
      </w:r>
      <w:r w:rsidR="00260E68" w:rsidRPr="00EA6C7A">
        <w:rPr>
          <w:rFonts w:ascii="Verdana" w:hAnsi="Verdana"/>
          <w:sz w:val="20"/>
          <w:szCs w:val="20"/>
          <w:lang w:val="en-US"/>
        </w:rPr>
        <w:t xml:space="preserve">’s parents went to the police station to report </w:t>
      </w:r>
      <w:r w:rsidR="007B0A3F" w:rsidRPr="00EA6C7A">
        <w:rPr>
          <w:rFonts w:ascii="Verdana" w:hAnsi="Verdana"/>
          <w:sz w:val="20"/>
          <w:szCs w:val="20"/>
          <w:lang w:val="en-US"/>
        </w:rPr>
        <w:t>that she was missing</w:t>
      </w:r>
      <w:r w:rsidR="00260E68" w:rsidRPr="00EA6C7A">
        <w:rPr>
          <w:rFonts w:ascii="Verdana" w:hAnsi="Verdana"/>
          <w:sz w:val="20"/>
          <w:szCs w:val="20"/>
          <w:lang w:val="en-US"/>
        </w:rPr>
        <w:t xml:space="preserve">. There, they were again told that they should wait 24 hours. At approximately the same time, the Guatemalan </w:t>
      </w:r>
      <w:r w:rsidR="00EF1D78" w:rsidRPr="00EA6C7A">
        <w:rPr>
          <w:rFonts w:ascii="Verdana" w:hAnsi="Verdana"/>
          <w:sz w:val="20"/>
          <w:szCs w:val="20"/>
          <w:lang w:val="en-US"/>
        </w:rPr>
        <w:t>Voluntary Fire Service</w:t>
      </w:r>
      <w:r w:rsidR="0017063C" w:rsidRPr="00EA6C7A">
        <w:rPr>
          <w:rFonts w:ascii="Verdana" w:hAnsi="Verdana"/>
          <w:sz w:val="20"/>
          <w:szCs w:val="20"/>
          <w:lang w:val="en-US"/>
        </w:rPr>
        <w:t xml:space="preserve"> </w:t>
      </w:r>
      <w:r w:rsidR="00260E68" w:rsidRPr="00EA6C7A">
        <w:rPr>
          <w:rFonts w:ascii="Verdana" w:hAnsi="Verdana"/>
          <w:sz w:val="20"/>
          <w:szCs w:val="20"/>
          <w:lang w:val="en-US"/>
        </w:rPr>
        <w:t xml:space="preserve">received an anonymous call concerning the discovery of a corpse in </w:t>
      </w:r>
      <w:r w:rsidR="0017063C" w:rsidRPr="00EA6C7A">
        <w:rPr>
          <w:rFonts w:ascii="Verdana" w:hAnsi="Verdana"/>
          <w:sz w:val="20"/>
          <w:szCs w:val="20"/>
          <w:lang w:val="en-US"/>
        </w:rPr>
        <w:t>Colonia Roosevelt</w:t>
      </w:r>
      <w:r w:rsidR="00D948A1" w:rsidRPr="00EA6C7A">
        <w:rPr>
          <w:rFonts w:ascii="Verdana" w:hAnsi="Verdana"/>
          <w:sz w:val="20"/>
          <w:szCs w:val="20"/>
          <w:lang w:val="en-US"/>
        </w:rPr>
        <w:t xml:space="preserve"> and </w:t>
      </w:r>
      <w:r w:rsidR="00260E68" w:rsidRPr="00EA6C7A">
        <w:rPr>
          <w:rFonts w:ascii="Verdana" w:hAnsi="Verdana"/>
          <w:sz w:val="20"/>
          <w:szCs w:val="20"/>
          <w:lang w:val="en-US"/>
        </w:rPr>
        <w:t>proceeded to the site</w:t>
      </w:r>
      <w:r w:rsidR="0017063C" w:rsidRPr="00EA6C7A">
        <w:rPr>
          <w:rFonts w:ascii="Verdana" w:hAnsi="Verdana"/>
          <w:sz w:val="20"/>
          <w:szCs w:val="20"/>
          <w:lang w:val="en-US"/>
        </w:rPr>
        <w:t xml:space="preserve">. </w:t>
      </w:r>
      <w:r w:rsidR="00260E68" w:rsidRPr="00EA6C7A">
        <w:rPr>
          <w:rFonts w:ascii="Verdana" w:hAnsi="Verdana"/>
          <w:sz w:val="20"/>
          <w:szCs w:val="20"/>
          <w:lang w:val="en-US"/>
        </w:rPr>
        <w:t xml:space="preserve">Also, two PNC agents </w:t>
      </w:r>
      <w:r w:rsidR="007B0A3F" w:rsidRPr="00EA6C7A">
        <w:rPr>
          <w:rFonts w:ascii="Verdana" w:hAnsi="Verdana"/>
          <w:sz w:val="20"/>
          <w:szCs w:val="20"/>
          <w:lang w:val="en-US"/>
        </w:rPr>
        <w:t>went there</w:t>
      </w:r>
      <w:r w:rsidR="00260E68" w:rsidRPr="00EA6C7A">
        <w:rPr>
          <w:rFonts w:ascii="Verdana" w:hAnsi="Verdana"/>
          <w:sz w:val="20"/>
          <w:szCs w:val="20"/>
          <w:lang w:val="en-US"/>
        </w:rPr>
        <w:t xml:space="preserve"> at around </w:t>
      </w:r>
      <w:r w:rsidR="0017063C" w:rsidRPr="00EA6C7A">
        <w:rPr>
          <w:rFonts w:ascii="Verdana" w:hAnsi="Verdana"/>
          <w:sz w:val="20"/>
          <w:szCs w:val="20"/>
          <w:lang w:val="en-US"/>
        </w:rPr>
        <w:t>5</w:t>
      </w:r>
      <w:r w:rsidR="007B0A3F" w:rsidRPr="00EA6C7A">
        <w:rPr>
          <w:rFonts w:ascii="Verdana" w:hAnsi="Verdana"/>
          <w:sz w:val="20"/>
          <w:szCs w:val="20"/>
          <w:lang w:val="en-US"/>
        </w:rPr>
        <w:t>.</w:t>
      </w:r>
      <w:r w:rsidR="0017063C" w:rsidRPr="00EA6C7A">
        <w:rPr>
          <w:rFonts w:ascii="Verdana" w:hAnsi="Verdana"/>
          <w:sz w:val="20"/>
          <w:szCs w:val="20"/>
          <w:lang w:val="en-US"/>
        </w:rPr>
        <w:t xml:space="preserve">30 a.m. </w:t>
      </w:r>
      <w:r w:rsidR="00260E68" w:rsidRPr="00EA6C7A">
        <w:rPr>
          <w:rFonts w:ascii="Verdana" w:hAnsi="Verdana"/>
          <w:sz w:val="20"/>
          <w:szCs w:val="20"/>
          <w:lang w:val="en-US"/>
        </w:rPr>
        <w:t>Around</w:t>
      </w:r>
      <w:r w:rsidR="0017063C" w:rsidRPr="00EA6C7A">
        <w:rPr>
          <w:rFonts w:ascii="Verdana" w:hAnsi="Verdana"/>
          <w:sz w:val="20"/>
          <w:szCs w:val="20"/>
          <w:lang w:val="en-US"/>
        </w:rPr>
        <w:t xml:space="preserve"> 6</w:t>
      </w:r>
      <w:r w:rsidR="007B0A3F" w:rsidRPr="00EA6C7A">
        <w:rPr>
          <w:rFonts w:ascii="Verdana" w:hAnsi="Verdana"/>
          <w:sz w:val="20"/>
          <w:szCs w:val="20"/>
          <w:lang w:val="en-US"/>
        </w:rPr>
        <w:t>.</w:t>
      </w:r>
      <w:r w:rsidR="0017063C" w:rsidRPr="00EA6C7A">
        <w:rPr>
          <w:rFonts w:ascii="Verdana" w:hAnsi="Verdana"/>
          <w:sz w:val="20"/>
          <w:szCs w:val="20"/>
          <w:lang w:val="en-US"/>
        </w:rPr>
        <w:t xml:space="preserve">30 a.m., </w:t>
      </w:r>
      <w:r w:rsidR="00260E68" w:rsidRPr="00EA6C7A">
        <w:rPr>
          <w:rFonts w:ascii="Verdana" w:hAnsi="Verdana"/>
          <w:sz w:val="20"/>
          <w:szCs w:val="20"/>
          <w:lang w:val="en-US"/>
        </w:rPr>
        <w:t>personnel</w:t>
      </w:r>
      <w:r w:rsidR="0017063C" w:rsidRPr="00EA6C7A">
        <w:rPr>
          <w:rFonts w:ascii="Verdana" w:hAnsi="Verdana"/>
          <w:sz w:val="20"/>
          <w:szCs w:val="20"/>
          <w:lang w:val="en-US"/>
        </w:rPr>
        <w:t xml:space="preserve"> </w:t>
      </w:r>
      <w:r w:rsidR="003E2012" w:rsidRPr="00EA6C7A">
        <w:rPr>
          <w:rFonts w:ascii="Verdana" w:hAnsi="Verdana"/>
          <w:sz w:val="20"/>
          <w:szCs w:val="20"/>
          <w:lang w:val="en-US"/>
        </w:rPr>
        <w:t>of the Public</w:t>
      </w:r>
      <w:r w:rsidR="00B3248B" w:rsidRPr="00EA6C7A">
        <w:rPr>
          <w:rFonts w:ascii="Verdana" w:hAnsi="Verdana"/>
          <w:sz w:val="20"/>
          <w:szCs w:val="20"/>
          <w:lang w:val="en-US"/>
        </w:rPr>
        <w:t xml:space="preserve"> Prosecution Service</w:t>
      </w:r>
      <w:r w:rsidR="00260E68" w:rsidRPr="00EA6C7A">
        <w:rPr>
          <w:rFonts w:ascii="Verdana" w:hAnsi="Verdana"/>
          <w:sz w:val="20"/>
          <w:szCs w:val="20"/>
          <w:lang w:val="en-US"/>
        </w:rPr>
        <w:t xml:space="preserve"> also arrived there</w:t>
      </w:r>
      <w:r w:rsidR="00E0326C" w:rsidRPr="00EA6C7A">
        <w:rPr>
          <w:rFonts w:ascii="Verdana" w:hAnsi="Verdana"/>
          <w:sz w:val="20"/>
          <w:szCs w:val="20"/>
          <w:lang w:val="en-US"/>
        </w:rPr>
        <w:t xml:space="preserve"> (</w:t>
      </w:r>
      <w:r w:rsidR="00E0326C" w:rsidRPr="00EA6C7A">
        <w:rPr>
          <w:rFonts w:ascii="Verdana" w:hAnsi="Verdana"/>
          <w:i/>
          <w:sz w:val="20"/>
          <w:szCs w:val="20"/>
          <w:lang w:val="en-US"/>
        </w:rPr>
        <w:t xml:space="preserve">supra </w:t>
      </w:r>
      <w:r w:rsidR="008524CB" w:rsidRPr="00EA6C7A">
        <w:rPr>
          <w:rFonts w:ascii="Verdana" w:hAnsi="Verdana"/>
          <w:sz w:val="20"/>
          <w:szCs w:val="20"/>
          <w:lang w:val="en-US"/>
        </w:rPr>
        <w:t>paras.</w:t>
      </w:r>
      <w:r w:rsidR="00E0326C" w:rsidRPr="00EA6C7A">
        <w:rPr>
          <w:rFonts w:ascii="Verdana" w:hAnsi="Verdana"/>
          <w:sz w:val="20"/>
          <w:szCs w:val="20"/>
          <w:lang w:val="en-US"/>
        </w:rPr>
        <w:t xml:space="preserve"> </w:t>
      </w:r>
      <w:r w:rsidR="00B71EB2" w:rsidRPr="00EA6C7A">
        <w:rPr>
          <w:rFonts w:ascii="Verdana" w:hAnsi="Verdana"/>
          <w:sz w:val="20"/>
          <w:szCs w:val="20"/>
          <w:lang w:val="en-US"/>
        </w:rPr>
        <w:t xml:space="preserve">52 </w:t>
      </w:r>
      <w:r w:rsidR="00260E68" w:rsidRPr="00EA6C7A">
        <w:rPr>
          <w:rFonts w:ascii="Verdana" w:hAnsi="Verdana"/>
          <w:sz w:val="20"/>
          <w:szCs w:val="20"/>
          <w:lang w:val="en-US"/>
        </w:rPr>
        <w:t>to</w:t>
      </w:r>
      <w:r w:rsidR="00B71EB2" w:rsidRPr="00EA6C7A">
        <w:rPr>
          <w:rFonts w:ascii="Verdana" w:hAnsi="Verdana"/>
          <w:sz w:val="20"/>
          <w:szCs w:val="20"/>
          <w:lang w:val="en-US"/>
        </w:rPr>
        <w:t xml:space="preserve"> 55</w:t>
      </w:r>
      <w:r w:rsidR="00E0326C" w:rsidRPr="00EA6C7A">
        <w:rPr>
          <w:rFonts w:ascii="Verdana" w:hAnsi="Verdana"/>
          <w:sz w:val="20"/>
          <w:szCs w:val="20"/>
          <w:lang w:val="en-US"/>
        </w:rPr>
        <w:t>)</w:t>
      </w:r>
      <w:r w:rsidR="0017063C" w:rsidRPr="00EA6C7A">
        <w:rPr>
          <w:rFonts w:ascii="Verdana" w:hAnsi="Verdana"/>
          <w:sz w:val="20"/>
          <w:szCs w:val="20"/>
          <w:lang w:val="en-US"/>
        </w:rPr>
        <w:t>.</w:t>
      </w:r>
    </w:p>
    <w:p w14:paraId="334A6B87" w14:textId="77777777" w:rsidR="0017063C" w:rsidRPr="00EA6C7A" w:rsidRDefault="0017063C" w:rsidP="0017063C">
      <w:pPr>
        <w:spacing w:after="0" w:line="240" w:lineRule="auto"/>
        <w:contextualSpacing/>
        <w:jc w:val="both"/>
        <w:rPr>
          <w:rFonts w:ascii="Verdana" w:hAnsi="Verdana"/>
          <w:sz w:val="20"/>
          <w:szCs w:val="20"/>
          <w:lang w:val="en-US" w:eastAsia="es-MX"/>
        </w:rPr>
      </w:pPr>
    </w:p>
    <w:p w14:paraId="490BEC2A" w14:textId="77777777" w:rsidR="00001DAD" w:rsidRPr="00EA6C7A" w:rsidRDefault="00260E68" w:rsidP="00260E68">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lastRenderedPageBreak/>
        <w:t>First</w:t>
      </w:r>
      <w:r w:rsidR="0017063C"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notes that there is no record that any action was taken by </w:t>
      </w:r>
      <w:r w:rsidR="00D75E80" w:rsidRPr="00EA6C7A">
        <w:rPr>
          <w:rFonts w:ascii="Verdana" w:eastAsia="Batang" w:hAnsi="Verdana"/>
          <w:sz w:val="20"/>
          <w:szCs w:val="20"/>
          <w:lang w:val="en-US" w:eastAsia="es-MX"/>
        </w:rPr>
        <w:t>the investigators</w:t>
      </w:r>
      <w:r w:rsidR="0017063C"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the</w:t>
      </w:r>
      <w:r w:rsidR="0017063C" w:rsidRPr="00EA6C7A">
        <w:rPr>
          <w:rFonts w:ascii="Verdana" w:eastAsia="Batang" w:hAnsi="Verdana"/>
          <w:sz w:val="20"/>
          <w:szCs w:val="20"/>
          <w:lang w:val="en-US" w:eastAsia="es-MX"/>
        </w:rPr>
        <w:t xml:space="preserve"> PNC </w:t>
      </w:r>
      <w:r w:rsidRPr="00EA6C7A">
        <w:rPr>
          <w:rFonts w:ascii="Verdana" w:eastAsia="Batang" w:hAnsi="Verdana"/>
          <w:sz w:val="20"/>
          <w:szCs w:val="20"/>
          <w:lang w:val="en-US" w:eastAsia="es-MX"/>
        </w:rPr>
        <w:t>based on the reports th</w:t>
      </w:r>
      <w:r w:rsidR="007B0A3F" w:rsidRPr="00EA6C7A">
        <w:rPr>
          <w:rFonts w:ascii="Verdana" w:eastAsia="Batang" w:hAnsi="Verdana"/>
          <w:sz w:val="20"/>
          <w:szCs w:val="20"/>
          <w:lang w:val="en-US" w:eastAsia="es-MX"/>
        </w:rPr>
        <w:t>at</w:t>
      </w:r>
      <w:r w:rsidRPr="00EA6C7A">
        <w:rPr>
          <w:rFonts w:ascii="Verdana" w:eastAsia="Batang" w:hAnsi="Verdana"/>
          <w:sz w:val="20"/>
          <w:szCs w:val="20"/>
          <w:lang w:val="en-US" w:eastAsia="es-MX"/>
        </w:rPr>
        <w:t xml:space="preserve"> </w:t>
      </w:r>
      <w:r w:rsidR="0017063C" w:rsidRPr="00EA6C7A">
        <w:rPr>
          <w:rFonts w:ascii="Verdana" w:eastAsia="Batang" w:hAnsi="Verdana"/>
          <w:sz w:val="20"/>
          <w:szCs w:val="20"/>
          <w:lang w:val="en-US" w:eastAsia="es-MX"/>
        </w:rPr>
        <w:t xml:space="preserve">Claudina Velásquez </w:t>
      </w:r>
      <w:r w:rsidR="007B0A3F" w:rsidRPr="00EA6C7A">
        <w:rPr>
          <w:rFonts w:ascii="Verdana" w:eastAsia="Batang" w:hAnsi="Verdana"/>
          <w:sz w:val="20"/>
          <w:szCs w:val="20"/>
          <w:lang w:val="en-US" w:eastAsia="es-MX"/>
        </w:rPr>
        <w:t>was missing made</w:t>
      </w:r>
      <w:r w:rsidRPr="00EA6C7A">
        <w:rPr>
          <w:rFonts w:ascii="Verdana" w:eastAsia="Batang" w:hAnsi="Verdana"/>
          <w:sz w:val="20"/>
          <w:szCs w:val="20"/>
          <w:lang w:val="en-US" w:eastAsia="es-MX"/>
        </w:rPr>
        <w:t xml:space="preserve"> by her parents </w:t>
      </w:r>
      <w:r w:rsidRPr="00EA6C7A">
        <w:rPr>
          <w:rFonts w:ascii="Verdana" w:hAnsi="Verdana"/>
          <w:sz w:val="20"/>
          <w:szCs w:val="20"/>
          <w:lang w:val="en-US"/>
        </w:rPr>
        <w:t>to various PNC agents</w:t>
      </w:r>
      <w:r w:rsidR="007B0A3F" w:rsidRPr="00EA6C7A">
        <w:rPr>
          <w:rFonts w:ascii="Verdana" w:eastAsia="Batang" w:hAnsi="Verdana"/>
          <w:sz w:val="20"/>
          <w:szCs w:val="20"/>
          <w:lang w:val="en-US" w:eastAsia="es-MX"/>
        </w:rPr>
        <w:t xml:space="preserve"> at approximately </w:t>
      </w:r>
      <w:r w:rsidR="007B0A3F" w:rsidRPr="00EA6C7A">
        <w:rPr>
          <w:rFonts w:ascii="Verdana" w:hAnsi="Verdana"/>
          <w:sz w:val="20"/>
          <w:szCs w:val="20"/>
          <w:lang w:val="en-US"/>
        </w:rPr>
        <w:t>3 a.m., 5 a.m. and 8.30 a.m</w:t>
      </w:r>
      <w:r w:rsidRPr="00EA6C7A">
        <w:rPr>
          <w:rFonts w:ascii="Verdana" w:hAnsi="Verdana"/>
          <w:sz w:val="20"/>
          <w:szCs w:val="20"/>
          <w:lang w:val="en-US"/>
        </w:rPr>
        <w:t>.</w:t>
      </w:r>
      <w:r w:rsidR="00CC1933" w:rsidRPr="00EA6C7A">
        <w:rPr>
          <w:rFonts w:ascii="Verdana" w:hAnsi="Verdana"/>
          <w:sz w:val="20"/>
          <w:szCs w:val="20"/>
          <w:lang w:val="en-US"/>
        </w:rPr>
        <w:t xml:space="preserve"> Nor is there any record of a police report in </w:t>
      </w:r>
      <w:r w:rsidR="008C4FF3" w:rsidRPr="00EA6C7A">
        <w:rPr>
          <w:rFonts w:ascii="Verdana" w:hAnsi="Verdana"/>
          <w:sz w:val="20"/>
          <w:szCs w:val="20"/>
          <w:lang w:val="en-US"/>
        </w:rPr>
        <w:t>this</w:t>
      </w:r>
      <w:r w:rsidR="00CC1933" w:rsidRPr="00EA6C7A">
        <w:rPr>
          <w:rFonts w:ascii="Verdana" w:hAnsi="Verdana"/>
          <w:sz w:val="20"/>
          <w:szCs w:val="20"/>
          <w:lang w:val="en-US"/>
        </w:rPr>
        <w:t xml:space="preserve"> regard, </w:t>
      </w:r>
      <w:r w:rsidR="007B0A3F" w:rsidRPr="00EA6C7A">
        <w:rPr>
          <w:rFonts w:ascii="Verdana" w:hAnsi="Verdana"/>
          <w:sz w:val="20"/>
          <w:szCs w:val="20"/>
          <w:lang w:val="en-US"/>
        </w:rPr>
        <w:t>apart from a</w:t>
      </w:r>
      <w:r w:rsidR="00001DAD" w:rsidRPr="00EA6C7A">
        <w:rPr>
          <w:rFonts w:ascii="Verdana" w:hAnsi="Verdana"/>
          <w:sz w:val="20"/>
          <w:szCs w:val="20"/>
          <w:lang w:val="en-US"/>
        </w:rPr>
        <w:t xml:space="preserve"> </w:t>
      </w:r>
      <w:r w:rsidR="008A04F5" w:rsidRPr="00EA6C7A">
        <w:rPr>
          <w:rFonts w:ascii="Verdana" w:hAnsi="Verdana"/>
          <w:sz w:val="20"/>
          <w:szCs w:val="20"/>
          <w:lang w:val="en-US"/>
        </w:rPr>
        <w:t>missing person report</w:t>
      </w:r>
      <w:r w:rsidR="00001DAD" w:rsidRPr="00EA6C7A">
        <w:rPr>
          <w:rFonts w:ascii="Verdana" w:hAnsi="Verdana"/>
          <w:sz w:val="20"/>
          <w:szCs w:val="20"/>
          <w:lang w:val="en-US"/>
        </w:rPr>
        <w:t xml:space="preserve"> prepared at </w:t>
      </w:r>
      <w:r w:rsidR="0017063C" w:rsidRPr="00EA6C7A">
        <w:rPr>
          <w:rFonts w:ascii="Verdana" w:hAnsi="Verdana"/>
          <w:sz w:val="20"/>
          <w:szCs w:val="20"/>
          <w:lang w:val="en-US"/>
        </w:rPr>
        <w:t>8</w:t>
      </w:r>
      <w:r w:rsidR="007B0A3F" w:rsidRPr="00EA6C7A">
        <w:rPr>
          <w:rFonts w:ascii="Verdana" w:hAnsi="Verdana"/>
          <w:sz w:val="20"/>
          <w:szCs w:val="20"/>
          <w:lang w:val="en-US"/>
        </w:rPr>
        <w:t>.</w:t>
      </w:r>
      <w:r w:rsidR="0017063C" w:rsidRPr="00EA6C7A">
        <w:rPr>
          <w:rFonts w:ascii="Verdana" w:hAnsi="Verdana"/>
          <w:sz w:val="20"/>
          <w:szCs w:val="20"/>
          <w:lang w:val="en-US"/>
        </w:rPr>
        <w:t xml:space="preserve">30 a.m. </w:t>
      </w:r>
      <w:r w:rsidR="00001DAD" w:rsidRPr="00EA6C7A">
        <w:rPr>
          <w:rFonts w:ascii="Verdana" w:hAnsi="Verdana"/>
          <w:sz w:val="20"/>
          <w:szCs w:val="20"/>
          <w:lang w:val="en-US"/>
        </w:rPr>
        <w:t>on</w:t>
      </w:r>
      <w:r w:rsidR="0017063C" w:rsidRPr="00EA6C7A">
        <w:rPr>
          <w:rFonts w:ascii="Verdana" w:hAnsi="Verdana"/>
          <w:sz w:val="20"/>
          <w:szCs w:val="20"/>
          <w:lang w:val="en-US"/>
        </w:rPr>
        <w:t xml:space="preserve"> </w:t>
      </w:r>
      <w:r w:rsidR="000B3E6E" w:rsidRPr="00EA6C7A">
        <w:rPr>
          <w:rFonts w:ascii="Verdana" w:hAnsi="Verdana"/>
          <w:sz w:val="20"/>
          <w:szCs w:val="20"/>
          <w:lang w:val="en-US"/>
        </w:rPr>
        <w:t>August 13,</w:t>
      </w:r>
      <w:r w:rsidR="0017063C" w:rsidRPr="00EA6C7A">
        <w:rPr>
          <w:rFonts w:ascii="Verdana" w:hAnsi="Verdana"/>
          <w:sz w:val="20"/>
          <w:szCs w:val="20"/>
          <w:lang w:val="en-US"/>
        </w:rPr>
        <w:t xml:space="preserve"> 2005 (</w:t>
      </w:r>
      <w:r w:rsidR="0017063C" w:rsidRPr="00EA6C7A">
        <w:rPr>
          <w:rFonts w:ascii="Verdana" w:hAnsi="Verdana"/>
          <w:i/>
          <w:sz w:val="20"/>
          <w:szCs w:val="20"/>
          <w:lang w:val="en-US"/>
        </w:rPr>
        <w:t>supra</w:t>
      </w:r>
      <w:r w:rsidR="00B814AD" w:rsidRPr="00EA6C7A">
        <w:rPr>
          <w:rFonts w:ascii="Verdana" w:hAnsi="Verdana"/>
          <w:sz w:val="20"/>
          <w:szCs w:val="20"/>
          <w:lang w:val="en-US"/>
        </w:rPr>
        <w:t xml:space="preserve"> </w:t>
      </w:r>
      <w:r w:rsidR="002F3848" w:rsidRPr="00EA6C7A">
        <w:rPr>
          <w:rFonts w:ascii="Verdana" w:hAnsi="Verdana"/>
          <w:sz w:val="20"/>
          <w:szCs w:val="20"/>
          <w:lang w:val="en-US"/>
        </w:rPr>
        <w:t>para.</w:t>
      </w:r>
      <w:r w:rsidR="0017063C" w:rsidRPr="00EA6C7A">
        <w:rPr>
          <w:rFonts w:ascii="Verdana" w:hAnsi="Verdana"/>
          <w:sz w:val="20"/>
          <w:szCs w:val="20"/>
          <w:lang w:val="en-US"/>
        </w:rPr>
        <w:t xml:space="preserve"> 54). </w:t>
      </w:r>
      <w:r w:rsidR="00001DAD" w:rsidRPr="00EA6C7A">
        <w:rPr>
          <w:rFonts w:ascii="Verdana" w:hAnsi="Verdana"/>
          <w:sz w:val="20"/>
          <w:szCs w:val="20"/>
          <w:lang w:val="en-US"/>
        </w:rPr>
        <w:t>In fact</w:t>
      </w:r>
      <w:r w:rsidR="0017063C" w:rsidRPr="00EA6C7A">
        <w:rPr>
          <w:rFonts w:ascii="Verdana" w:hAnsi="Verdana"/>
          <w:sz w:val="20"/>
          <w:szCs w:val="20"/>
          <w:lang w:val="en-US"/>
        </w:rPr>
        <w:t>,</w:t>
      </w:r>
      <w:r w:rsidR="00001DAD" w:rsidRPr="00EA6C7A">
        <w:rPr>
          <w:rFonts w:ascii="Verdana" w:hAnsi="Verdana"/>
          <w:sz w:val="20"/>
          <w:szCs w:val="20"/>
          <w:lang w:val="en-US"/>
        </w:rPr>
        <w:t xml:space="preserve"> the criminal investigation was not opened based on the reports that the victim was missing; rather, the specific time at which it was opened was when the body of </w:t>
      </w:r>
      <w:r w:rsidR="00001DAD" w:rsidRPr="00EA6C7A">
        <w:rPr>
          <w:rFonts w:ascii="Verdana" w:eastAsia="Batang" w:hAnsi="Verdana"/>
          <w:sz w:val="20"/>
          <w:szCs w:val="20"/>
          <w:lang w:val="en-US" w:eastAsia="es-MX"/>
        </w:rPr>
        <w:t>Claudina Velásquez was discovered. In addition, this Court has noted irregularities in the initial procedures conducted in the investigation, which will be examined in the following paragraphs.</w:t>
      </w:r>
    </w:p>
    <w:p w14:paraId="696FE417" w14:textId="77777777" w:rsidR="0017063C" w:rsidRPr="00EA6C7A" w:rsidRDefault="0017063C" w:rsidP="00260E68">
      <w:pPr>
        <w:tabs>
          <w:tab w:val="left" w:pos="720"/>
        </w:tabs>
        <w:autoSpaceDE w:val="0"/>
        <w:autoSpaceDN w:val="0"/>
        <w:adjustRightInd w:val="0"/>
        <w:spacing w:after="0" w:line="240" w:lineRule="auto"/>
        <w:jc w:val="both"/>
        <w:rPr>
          <w:rFonts w:ascii="Verdana" w:hAnsi="Verdana"/>
          <w:b/>
          <w:sz w:val="20"/>
          <w:szCs w:val="20"/>
          <w:lang w:val="en-US"/>
        </w:rPr>
      </w:pPr>
    </w:p>
    <w:p w14:paraId="048E4896" w14:textId="77777777" w:rsidR="00001DAD" w:rsidRPr="00EA6C7A" w:rsidRDefault="0017063C" w:rsidP="00001DAD">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i/>
          <w:sz w:val="20"/>
          <w:szCs w:val="20"/>
          <w:lang w:val="en-US" w:eastAsia="es-MX"/>
        </w:rPr>
        <w:t>Fa</w:t>
      </w:r>
      <w:r w:rsidR="00001DAD" w:rsidRPr="00EA6C7A">
        <w:rPr>
          <w:rFonts w:ascii="Verdana" w:eastAsia="Batang" w:hAnsi="Verdana"/>
          <w:i/>
          <w:sz w:val="20"/>
          <w:szCs w:val="20"/>
          <w:lang w:val="en-US" w:eastAsia="es-MX"/>
        </w:rPr>
        <w:t>ilure to make a police record of the discovery of the body.</w:t>
      </w:r>
      <w:r w:rsidRPr="00EA6C7A">
        <w:rPr>
          <w:rFonts w:ascii="Verdana" w:eastAsia="Batang" w:hAnsi="Verdana" w:cs="Arial"/>
          <w:sz w:val="20"/>
          <w:szCs w:val="20"/>
          <w:lang w:val="en-US" w:eastAsia="es-MX"/>
        </w:rPr>
        <w:t xml:space="preserve"> </w:t>
      </w:r>
      <w:r w:rsidR="00001DAD" w:rsidRPr="00EA6C7A">
        <w:rPr>
          <w:rFonts w:ascii="Verdana" w:eastAsia="Batang" w:hAnsi="Verdana" w:cs="Arial"/>
          <w:sz w:val="20"/>
          <w:szCs w:val="20"/>
          <w:lang w:val="en-US" w:eastAsia="es-MX"/>
        </w:rPr>
        <w:t xml:space="preserve">The evidence in this case reveals that, at approximately </w:t>
      </w:r>
      <w:r w:rsidRPr="00EA6C7A">
        <w:rPr>
          <w:rFonts w:ascii="Verdana" w:eastAsia="Batang" w:hAnsi="Verdana" w:cs="Arial"/>
          <w:sz w:val="20"/>
          <w:szCs w:val="20"/>
          <w:lang w:val="en-US" w:eastAsia="es-MX"/>
        </w:rPr>
        <w:t xml:space="preserve">5 a.m. </w:t>
      </w:r>
      <w:r w:rsidR="00001DAD" w:rsidRPr="00EA6C7A">
        <w:rPr>
          <w:rFonts w:ascii="Verdana" w:eastAsia="Batang" w:hAnsi="Verdana" w:cs="Arial"/>
          <w:sz w:val="20"/>
          <w:szCs w:val="20"/>
          <w:lang w:val="en-US" w:eastAsia="es-MX"/>
        </w:rPr>
        <w:t>o</w:t>
      </w:r>
      <w:r w:rsidR="000821BA" w:rsidRPr="00EA6C7A">
        <w:rPr>
          <w:rFonts w:ascii="Verdana" w:eastAsia="Batang" w:hAnsi="Verdana" w:cs="Arial"/>
          <w:sz w:val="20"/>
          <w:szCs w:val="20"/>
          <w:lang w:val="en-US" w:eastAsia="es-MX"/>
        </w:rPr>
        <w:t>n August</w:t>
      </w:r>
      <w:r w:rsidR="000B3E6E" w:rsidRPr="00EA6C7A">
        <w:rPr>
          <w:rFonts w:ascii="Verdana" w:eastAsia="Batang" w:hAnsi="Verdana" w:cs="Arial"/>
          <w:sz w:val="20"/>
          <w:szCs w:val="20"/>
          <w:lang w:val="en-US" w:eastAsia="es-MX"/>
        </w:rPr>
        <w:t xml:space="preserve"> 13,</w:t>
      </w:r>
      <w:r w:rsidRPr="00EA6C7A">
        <w:rPr>
          <w:rFonts w:ascii="Verdana" w:eastAsia="Batang" w:hAnsi="Verdana" w:cs="Arial"/>
          <w:sz w:val="20"/>
          <w:szCs w:val="20"/>
          <w:lang w:val="en-US" w:eastAsia="es-MX"/>
        </w:rPr>
        <w:t xml:space="preserve"> 2003, </w:t>
      </w:r>
      <w:r w:rsidR="00001DAD" w:rsidRPr="00EA6C7A">
        <w:rPr>
          <w:rFonts w:ascii="Verdana" w:eastAsia="Batang" w:hAnsi="Verdana" w:cs="Arial"/>
          <w:sz w:val="20"/>
          <w:szCs w:val="20"/>
          <w:lang w:val="en-US" w:eastAsia="es-MX"/>
        </w:rPr>
        <w:t>the Guatemalan</w:t>
      </w:r>
      <w:r w:rsidRPr="00EA6C7A">
        <w:rPr>
          <w:rFonts w:ascii="Verdana" w:eastAsia="Batang" w:hAnsi="Verdana" w:cs="Arial"/>
          <w:sz w:val="20"/>
          <w:szCs w:val="20"/>
          <w:lang w:val="en-US" w:eastAsia="es-MX"/>
        </w:rPr>
        <w:t xml:space="preserve"> </w:t>
      </w:r>
      <w:r w:rsidR="00EF1D78" w:rsidRPr="00EA6C7A">
        <w:rPr>
          <w:rFonts w:ascii="Verdana" w:eastAsia="Batang" w:hAnsi="Verdana" w:cs="Arial"/>
          <w:sz w:val="20"/>
          <w:szCs w:val="20"/>
          <w:lang w:val="en-US" w:eastAsia="es-MX"/>
        </w:rPr>
        <w:t>Voluntary Fire Service</w:t>
      </w:r>
      <w:r w:rsidR="00001DAD" w:rsidRPr="00EA6C7A">
        <w:rPr>
          <w:rFonts w:ascii="Verdana" w:eastAsia="Batang" w:hAnsi="Verdana" w:cs="Arial"/>
          <w:sz w:val="20"/>
          <w:szCs w:val="20"/>
          <w:lang w:val="en-US" w:eastAsia="es-MX"/>
        </w:rPr>
        <w:t xml:space="preserve"> received a call from an unidentified person reporting the discovery of the body of a person who was deceased, and they therefore proceeded to the place indicated. </w:t>
      </w:r>
      <w:r w:rsidR="00001DAD" w:rsidRPr="00EA6C7A">
        <w:rPr>
          <w:rFonts w:ascii="Verdana" w:hAnsi="Verdana"/>
          <w:sz w:val="20"/>
          <w:szCs w:val="20"/>
          <w:lang w:val="en-US"/>
        </w:rPr>
        <w:t xml:space="preserve">Also, two PNC agents </w:t>
      </w:r>
      <w:r w:rsidR="007B0A3F" w:rsidRPr="00EA6C7A">
        <w:rPr>
          <w:rFonts w:ascii="Verdana" w:hAnsi="Verdana"/>
          <w:sz w:val="20"/>
          <w:szCs w:val="20"/>
          <w:lang w:val="en-US"/>
        </w:rPr>
        <w:t>went there</w:t>
      </w:r>
      <w:r w:rsidR="00001DAD" w:rsidRPr="00EA6C7A">
        <w:rPr>
          <w:rFonts w:ascii="Verdana" w:hAnsi="Verdana"/>
          <w:sz w:val="20"/>
          <w:szCs w:val="20"/>
          <w:lang w:val="en-US"/>
        </w:rPr>
        <w:t xml:space="preserve"> at around 5</w:t>
      </w:r>
      <w:r w:rsidR="007B0A3F" w:rsidRPr="00EA6C7A">
        <w:rPr>
          <w:rFonts w:ascii="Verdana" w:hAnsi="Verdana"/>
          <w:sz w:val="20"/>
          <w:szCs w:val="20"/>
          <w:lang w:val="en-US"/>
        </w:rPr>
        <w:t>.</w:t>
      </w:r>
      <w:r w:rsidR="00001DAD" w:rsidRPr="00EA6C7A">
        <w:rPr>
          <w:rFonts w:ascii="Verdana" w:hAnsi="Verdana"/>
          <w:sz w:val="20"/>
          <w:szCs w:val="20"/>
          <w:lang w:val="en-US"/>
        </w:rPr>
        <w:t>30 a.m. after receiving an order from “the operator of the central communications office”</w:t>
      </w:r>
      <w:r w:rsidRPr="00EA6C7A">
        <w:rPr>
          <w:rFonts w:ascii="Verdana" w:eastAsia="Batang" w:hAnsi="Verdana" w:cs="Arial"/>
          <w:sz w:val="20"/>
          <w:szCs w:val="20"/>
          <w:lang w:val="en-US" w:eastAsia="es-MX"/>
        </w:rPr>
        <w:t xml:space="preserve"> (</w:t>
      </w:r>
      <w:r w:rsidRPr="00EA6C7A">
        <w:rPr>
          <w:rFonts w:ascii="Verdana" w:eastAsia="Batang" w:hAnsi="Verdana" w:cs="Arial"/>
          <w:i/>
          <w:sz w:val="20"/>
          <w:szCs w:val="20"/>
          <w:lang w:val="en-US" w:eastAsia="es-MX"/>
        </w:rPr>
        <w:t>supra</w:t>
      </w:r>
      <w:r w:rsidRPr="00EA6C7A">
        <w:rPr>
          <w:rFonts w:ascii="Verdana" w:eastAsia="Batang" w:hAnsi="Verdana" w:cs="Arial"/>
          <w:sz w:val="20"/>
          <w:szCs w:val="20"/>
          <w:lang w:val="en-US" w:eastAsia="es-MX"/>
        </w:rPr>
        <w:t xml:space="preserve"> </w:t>
      </w:r>
      <w:r w:rsidR="002F3848" w:rsidRPr="00EA6C7A">
        <w:rPr>
          <w:rFonts w:ascii="Verdana" w:eastAsia="Batang" w:hAnsi="Verdana" w:cs="Arial"/>
          <w:sz w:val="20"/>
          <w:szCs w:val="20"/>
          <w:lang w:val="en-US" w:eastAsia="es-MX"/>
        </w:rPr>
        <w:t>para.</w:t>
      </w:r>
      <w:r w:rsidRPr="00EA6C7A">
        <w:rPr>
          <w:rFonts w:ascii="Verdana" w:eastAsia="Batang" w:hAnsi="Verdana" w:cs="Arial"/>
          <w:sz w:val="20"/>
          <w:szCs w:val="20"/>
          <w:lang w:val="en-US" w:eastAsia="es-MX"/>
        </w:rPr>
        <w:t xml:space="preserve"> 55). </w:t>
      </w:r>
      <w:r w:rsidR="00001DAD" w:rsidRPr="00EA6C7A">
        <w:rPr>
          <w:rFonts w:ascii="Verdana" w:eastAsia="Batang" w:hAnsi="Verdana" w:cs="Arial"/>
          <w:sz w:val="20"/>
          <w:szCs w:val="20"/>
          <w:lang w:val="en-US" w:eastAsia="es-MX"/>
        </w:rPr>
        <w:t xml:space="preserve">In this regard, there is no information on how the </w:t>
      </w:r>
      <w:r w:rsidR="00001DAD" w:rsidRPr="00EA6C7A">
        <w:rPr>
          <w:rFonts w:ascii="Verdana" w:hAnsi="Verdana"/>
          <w:sz w:val="20"/>
          <w:szCs w:val="20"/>
          <w:lang w:val="en-US"/>
        </w:rPr>
        <w:t xml:space="preserve">central communications office found out that a corpse had been discovered; in other words, who found the corpse and in what circumstances. Moreover, there is no record that any inquiries were made about these aspects during the criminal investigation in order to obtain information on the initial moments after the body was </w:t>
      </w:r>
      <w:r w:rsidR="007B0A3F" w:rsidRPr="00EA6C7A">
        <w:rPr>
          <w:rFonts w:ascii="Verdana" w:hAnsi="Verdana"/>
          <w:sz w:val="20"/>
          <w:szCs w:val="20"/>
          <w:lang w:val="en-US"/>
        </w:rPr>
        <w:t>discovered</w:t>
      </w:r>
      <w:r w:rsidR="00001DAD" w:rsidRPr="00EA6C7A">
        <w:rPr>
          <w:rFonts w:ascii="Verdana" w:hAnsi="Verdana"/>
          <w:sz w:val="20"/>
          <w:szCs w:val="20"/>
          <w:lang w:val="en-US"/>
        </w:rPr>
        <w:t>.</w:t>
      </w:r>
    </w:p>
    <w:p w14:paraId="61834A21" w14:textId="77777777" w:rsidR="0017063C" w:rsidRPr="00EA6C7A" w:rsidRDefault="0017063C" w:rsidP="00260E68">
      <w:pPr>
        <w:tabs>
          <w:tab w:val="left" w:pos="720"/>
        </w:tabs>
        <w:spacing w:after="0" w:line="240" w:lineRule="auto"/>
        <w:jc w:val="both"/>
        <w:rPr>
          <w:rFonts w:ascii="Verdana" w:hAnsi="Verdana" w:cs="Arial"/>
          <w:b/>
          <w:sz w:val="20"/>
          <w:szCs w:val="20"/>
          <w:lang w:val="en-US"/>
        </w:rPr>
      </w:pPr>
    </w:p>
    <w:p w14:paraId="04BFB134" w14:textId="77777777" w:rsidR="00272165" w:rsidRPr="00EA6C7A" w:rsidRDefault="00FD0FB2" w:rsidP="00272165">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cs="Arial"/>
          <w:i/>
          <w:sz w:val="20"/>
          <w:szCs w:val="20"/>
          <w:lang w:val="en-US" w:eastAsia="es-MX"/>
        </w:rPr>
        <w:t>Tampering with</w:t>
      </w:r>
      <w:r w:rsidR="00001DAD" w:rsidRPr="00EA6C7A">
        <w:rPr>
          <w:rFonts w:ascii="Verdana" w:eastAsia="Batang" w:hAnsi="Verdana" w:cs="Arial"/>
          <w:i/>
          <w:sz w:val="20"/>
          <w:szCs w:val="20"/>
          <w:lang w:val="en-US" w:eastAsia="es-MX"/>
        </w:rPr>
        <w:t xml:space="preserve"> the corpse</w:t>
      </w:r>
      <w:r w:rsidR="0017063C" w:rsidRPr="00EA6C7A">
        <w:rPr>
          <w:rFonts w:ascii="Verdana" w:eastAsia="Batang" w:hAnsi="Verdana" w:cs="Arial"/>
          <w:i/>
          <w:sz w:val="20"/>
          <w:szCs w:val="20"/>
          <w:lang w:val="en-US" w:eastAsia="es-MX"/>
        </w:rPr>
        <w:t>.</w:t>
      </w:r>
      <w:r w:rsidR="0017063C" w:rsidRPr="00EA6C7A">
        <w:rPr>
          <w:rFonts w:ascii="Verdana" w:eastAsia="Batang" w:hAnsi="Verdana" w:cs="Arial"/>
          <w:sz w:val="20"/>
          <w:szCs w:val="20"/>
          <w:lang w:val="en-US" w:eastAsia="es-MX"/>
        </w:rPr>
        <w:t xml:space="preserve"> </w:t>
      </w:r>
      <w:r w:rsidR="0096418F" w:rsidRPr="00EA6C7A">
        <w:rPr>
          <w:rFonts w:ascii="Verdana" w:eastAsia="Batang" w:hAnsi="Verdana" w:cs="Arial"/>
          <w:sz w:val="20"/>
          <w:szCs w:val="20"/>
          <w:lang w:val="en-US" w:eastAsia="es-MX"/>
        </w:rPr>
        <w:t>The Court</w:t>
      </w:r>
      <w:r w:rsidR="0017063C" w:rsidRPr="00EA6C7A">
        <w:rPr>
          <w:rFonts w:ascii="Verdana" w:eastAsia="Batang" w:hAnsi="Verdana" w:cs="Arial"/>
          <w:sz w:val="20"/>
          <w:szCs w:val="20"/>
          <w:lang w:val="en-US" w:eastAsia="es-MX"/>
        </w:rPr>
        <w:t xml:space="preserve"> </w:t>
      </w:r>
      <w:r w:rsidR="00001DAD" w:rsidRPr="00EA6C7A">
        <w:rPr>
          <w:rFonts w:ascii="Verdana" w:eastAsia="Batang" w:hAnsi="Verdana" w:cs="Arial"/>
          <w:sz w:val="20"/>
          <w:szCs w:val="20"/>
          <w:lang w:val="en-US" w:eastAsia="es-MX"/>
        </w:rPr>
        <w:t xml:space="preserve">notes that the victim’s corpse was </w:t>
      </w:r>
      <w:r w:rsidRPr="00EA6C7A">
        <w:rPr>
          <w:rFonts w:ascii="Verdana" w:eastAsia="Batang" w:hAnsi="Verdana" w:cs="Arial"/>
          <w:sz w:val="20"/>
          <w:szCs w:val="20"/>
          <w:lang w:val="en-US" w:eastAsia="es-MX"/>
        </w:rPr>
        <w:t>tampered with</w:t>
      </w:r>
      <w:r w:rsidR="00001DAD" w:rsidRPr="00EA6C7A">
        <w:rPr>
          <w:rFonts w:ascii="Verdana" w:eastAsia="Batang" w:hAnsi="Verdana" w:cs="Arial"/>
          <w:sz w:val="20"/>
          <w:szCs w:val="20"/>
          <w:lang w:val="en-US" w:eastAsia="es-MX"/>
        </w:rPr>
        <w:t xml:space="preserve"> before</w:t>
      </w:r>
      <w:r w:rsidR="00272165" w:rsidRPr="00EA6C7A">
        <w:rPr>
          <w:rFonts w:ascii="Verdana" w:eastAsia="Batang" w:hAnsi="Verdana" w:cs="Arial"/>
          <w:sz w:val="20"/>
          <w:szCs w:val="20"/>
          <w:lang w:val="en-US" w:eastAsia="es-MX"/>
        </w:rPr>
        <w:t xml:space="preserve"> the arrival </w:t>
      </w:r>
      <w:r w:rsidR="00D75E80" w:rsidRPr="00EA6C7A">
        <w:rPr>
          <w:rFonts w:ascii="Verdana" w:eastAsia="Batang" w:hAnsi="Verdana"/>
          <w:sz w:val="20"/>
          <w:szCs w:val="20"/>
          <w:lang w:val="en-US" w:eastAsia="es-MX"/>
        </w:rPr>
        <w:t xml:space="preserve">of the </w:t>
      </w:r>
      <w:r w:rsidR="000821BA" w:rsidRPr="00EA6C7A">
        <w:rPr>
          <w:rFonts w:ascii="Verdana" w:eastAsia="Batang" w:hAnsi="Verdana"/>
          <w:sz w:val="20"/>
          <w:szCs w:val="20"/>
          <w:lang w:val="en-US" w:eastAsia="es-MX"/>
        </w:rPr>
        <w:t>assistant prosecutor</w:t>
      </w:r>
      <w:r w:rsidR="00D948A1" w:rsidRPr="00EA6C7A">
        <w:rPr>
          <w:rFonts w:ascii="Verdana" w:eastAsia="Batang" w:hAnsi="Verdana" w:cs="Arial"/>
          <w:sz w:val="20"/>
          <w:szCs w:val="20"/>
          <w:lang w:val="en-US" w:eastAsia="es-MX"/>
        </w:rPr>
        <w:t xml:space="preserve"> and </w:t>
      </w:r>
      <w:r w:rsidR="00272165" w:rsidRPr="00EA6C7A">
        <w:rPr>
          <w:rFonts w:ascii="Verdana" w:eastAsia="Batang" w:hAnsi="Verdana" w:cs="Arial"/>
          <w:sz w:val="20"/>
          <w:szCs w:val="20"/>
          <w:lang w:val="en-US" w:eastAsia="es-MX"/>
        </w:rPr>
        <w:t>the members</w:t>
      </w:r>
      <w:r w:rsidR="003F510E" w:rsidRPr="00EA6C7A">
        <w:rPr>
          <w:rFonts w:ascii="Verdana" w:eastAsia="Batang" w:hAnsi="Verdana" w:cs="Arial"/>
          <w:sz w:val="20"/>
          <w:szCs w:val="20"/>
          <w:lang w:val="en-US" w:eastAsia="es-MX"/>
        </w:rPr>
        <w:t xml:space="preserve"> of the </w:t>
      </w:r>
      <w:r w:rsidR="0083210F" w:rsidRPr="00EA6C7A">
        <w:rPr>
          <w:rFonts w:ascii="Verdana" w:eastAsia="Batang" w:hAnsi="Verdana" w:cs="Arial"/>
          <w:sz w:val="20"/>
          <w:szCs w:val="20"/>
          <w:lang w:val="en-US" w:eastAsia="es-MX"/>
        </w:rPr>
        <w:t>Forensic Medicine Service</w:t>
      </w:r>
      <w:r w:rsidR="007B0A3F" w:rsidRPr="00EA6C7A">
        <w:rPr>
          <w:rFonts w:ascii="Verdana" w:eastAsia="Batang" w:hAnsi="Verdana" w:cs="Arial"/>
          <w:sz w:val="20"/>
          <w:szCs w:val="20"/>
          <w:lang w:val="en-US" w:eastAsia="es-MX"/>
        </w:rPr>
        <w:t xml:space="preserve"> on the site of the discovery</w:t>
      </w:r>
      <w:r w:rsidR="0017063C" w:rsidRPr="00EA6C7A">
        <w:rPr>
          <w:rFonts w:ascii="Verdana" w:eastAsia="Batang" w:hAnsi="Verdana" w:cs="Arial"/>
          <w:sz w:val="20"/>
          <w:szCs w:val="20"/>
          <w:lang w:val="en-US" w:eastAsia="es-MX"/>
        </w:rPr>
        <w:t xml:space="preserve">. </w:t>
      </w:r>
      <w:r w:rsidR="00272165" w:rsidRPr="00EA6C7A">
        <w:rPr>
          <w:rFonts w:ascii="Verdana" w:eastAsia="Batang" w:hAnsi="Verdana" w:cs="Arial"/>
          <w:sz w:val="20"/>
          <w:szCs w:val="20"/>
          <w:lang w:val="en-US" w:eastAsia="es-MX"/>
        </w:rPr>
        <w:t xml:space="preserve">In this regard, </w:t>
      </w:r>
      <w:r w:rsidR="0096418F" w:rsidRPr="00EA6C7A">
        <w:rPr>
          <w:rFonts w:ascii="Verdana" w:eastAsia="Batang" w:hAnsi="Verdana" w:cs="Arial"/>
          <w:sz w:val="20"/>
          <w:szCs w:val="20"/>
          <w:lang w:val="en-US" w:eastAsia="es-MX"/>
        </w:rPr>
        <w:t>the Court</w:t>
      </w:r>
      <w:r w:rsidR="0017063C" w:rsidRPr="00EA6C7A">
        <w:rPr>
          <w:rFonts w:ascii="Verdana" w:eastAsia="Batang" w:hAnsi="Verdana" w:cs="Arial"/>
          <w:sz w:val="20"/>
          <w:szCs w:val="20"/>
          <w:lang w:val="en-US" w:eastAsia="es-MX"/>
        </w:rPr>
        <w:t xml:space="preserve"> </w:t>
      </w:r>
      <w:r w:rsidR="00272165" w:rsidRPr="00EA6C7A">
        <w:rPr>
          <w:rFonts w:ascii="Verdana" w:eastAsia="Batang" w:hAnsi="Verdana" w:cs="Arial"/>
          <w:sz w:val="20"/>
          <w:szCs w:val="20"/>
          <w:lang w:val="en-US" w:eastAsia="es-MX"/>
        </w:rPr>
        <w:t xml:space="preserve">notes that the body presented, at least, the following signs of </w:t>
      </w:r>
      <w:r w:rsidRPr="00EA6C7A">
        <w:rPr>
          <w:rFonts w:ascii="Verdana" w:eastAsia="Batang" w:hAnsi="Verdana" w:cs="Arial"/>
          <w:sz w:val="20"/>
          <w:szCs w:val="20"/>
          <w:lang w:val="en-US" w:eastAsia="es-MX"/>
        </w:rPr>
        <w:t>tampering</w:t>
      </w:r>
      <w:r w:rsidR="00272165" w:rsidRPr="00EA6C7A">
        <w:rPr>
          <w:rFonts w:ascii="Verdana" w:eastAsia="Batang" w:hAnsi="Verdana" w:cs="Arial"/>
          <w:sz w:val="20"/>
          <w:szCs w:val="20"/>
          <w:lang w:val="en-US" w:eastAsia="es-MX"/>
        </w:rPr>
        <w:t xml:space="preserve">: (a) it was covered by a white sheet, and (b) there were scratches on the left knee and the right side, which, according to </w:t>
      </w:r>
      <w:r w:rsidR="00272165" w:rsidRPr="00EA6C7A">
        <w:rPr>
          <w:rFonts w:ascii="Verdana" w:eastAsia="Calibri" w:hAnsi="Verdana" w:cs="Arial"/>
          <w:sz w:val="20"/>
          <w:szCs w:val="20"/>
          <w:lang w:val="en-US"/>
        </w:rPr>
        <w:t>the forensic physician, had no vital reaction; in other words, they were injuries caused after death</w:t>
      </w:r>
      <w:r w:rsidR="0017063C" w:rsidRPr="00EA6C7A">
        <w:rPr>
          <w:rFonts w:ascii="Verdana" w:eastAsia="Calibri" w:hAnsi="Verdana" w:cs="Arial"/>
          <w:sz w:val="20"/>
          <w:szCs w:val="20"/>
          <w:lang w:val="en-US"/>
        </w:rPr>
        <w:t xml:space="preserve"> </w:t>
      </w:r>
      <w:r w:rsidR="0017063C" w:rsidRPr="00EA6C7A">
        <w:rPr>
          <w:rFonts w:ascii="Verdana" w:eastAsia="Batang" w:hAnsi="Verdana" w:cs="Arial"/>
          <w:sz w:val="20"/>
          <w:szCs w:val="20"/>
          <w:lang w:val="en-US" w:eastAsia="es-MX"/>
        </w:rPr>
        <w:t>(</w:t>
      </w:r>
      <w:r w:rsidR="0017063C" w:rsidRPr="00EA6C7A">
        <w:rPr>
          <w:rFonts w:ascii="Verdana" w:eastAsia="Batang" w:hAnsi="Verdana" w:cs="Arial"/>
          <w:i/>
          <w:sz w:val="20"/>
          <w:szCs w:val="20"/>
          <w:lang w:val="en-US" w:eastAsia="es-MX"/>
        </w:rPr>
        <w:t>supra</w:t>
      </w:r>
      <w:r w:rsidR="0017063C" w:rsidRPr="00EA6C7A">
        <w:rPr>
          <w:rFonts w:ascii="Verdana" w:eastAsia="Batang" w:hAnsi="Verdana" w:cs="Arial"/>
          <w:sz w:val="20"/>
          <w:szCs w:val="20"/>
          <w:lang w:val="en-US" w:eastAsia="es-MX"/>
        </w:rPr>
        <w:t xml:space="preserve"> </w:t>
      </w:r>
      <w:r w:rsidR="002F3848" w:rsidRPr="00EA6C7A">
        <w:rPr>
          <w:rFonts w:ascii="Verdana" w:eastAsia="Batang" w:hAnsi="Verdana" w:cs="Arial"/>
          <w:sz w:val="20"/>
          <w:szCs w:val="20"/>
          <w:lang w:val="en-US" w:eastAsia="es-MX"/>
        </w:rPr>
        <w:t>para.</w:t>
      </w:r>
      <w:r w:rsidR="0017063C" w:rsidRPr="00EA6C7A">
        <w:rPr>
          <w:rFonts w:ascii="Verdana" w:eastAsia="Batang" w:hAnsi="Verdana" w:cs="Arial"/>
          <w:sz w:val="20"/>
          <w:szCs w:val="20"/>
          <w:lang w:val="en-US" w:eastAsia="es-MX"/>
        </w:rPr>
        <w:t xml:space="preserve"> 56)</w:t>
      </w:r>
      <w:r w:rsidR="0017063C" w:rsidRPr="00EA6C7A">
        <w:rPr>
          <w:rFonts w:ascii="Verdana" w:eastAsia="Calibri" w:hAnsi="Verdana" w:cs="Arial"/>
          <w:sz w:val="20"/>
          <w:szCs w:val="20"/>
          <w:lang w:val="en-US"/>
        </w:rPr>
        <w:t>.</w:t>
      </w:r>
      <w:r w:rsidR="0017063C" w:rsidRPr="00EA6C7A">
        <w:rPr>
          <w:rFonts w:ascii="Verdana" w:eastAsia="Batang" w:hAnsi="Verdana" w:cs="Arial"/>
          <w:sz w:val="20"/>
          <w:szCs w:val="20"/>
          <w:lang w:val="en-US" w:eastAsia="es-MX"/>
        </w:rPr>
        <w:t xml:space="preserve"> </w:t>
      </w:r>
      <w:r w:rsidR="00272165" w:rsidRPr="00EA6C7A">
        <w:rPr>
          <w:rFonts w:ascii="Verdana" w:eastAsia="Batang" w:hAnsi="Verdana" w:cs="Arial"/>
          <w:sz w:val="20"/>
          <w:szCs w:val="20"/>
          <w:lang w:val="en-US" w:eastAsia="es-MX"/>
        </w:rPr>
        <w:t>Since</w:t>
      </w:r>
      <w:r w:rsidR="0017063C" w:rsidRPr="00EA6C7A">
        <w:rPr>
          <w:rFonts w:ascii="Verdana" w:eastAsia="Batang" w:hAnsi="Verdana" w:cs="Arial"/>
          <w:sz w:val="20"/>
          <w:szCs w:val="20"/>
          <w:lang w:val="en-US" w:eastAsia="es-MX"/>
        </w:rPr>
        <w:t xml:space="preserve"> </w:t>
      </w:r>
      <w:r w:rsidR="002F3848" w:rsidRPr="00EA6C7A">
        <w:rPr>
          <w:rFonts w:ascii="Verdana" w:eastAsia="Batang" w:hAnsi="Verdana" w:cs="Arial"/>
          <w:sz w:val="20"/>
          <w:szCs w:val="20"/>
          <w:lang w:val="en-US" w:eastAsia="es-MX"/>
        </w:rPr>
        <w:t>the State</w:t>
      </w:r>
      <w:r w:rsidR="0017063C" w:rsidRPr="00EA6C7A">
        <w:rPr>
          <w:rFonts w:ascii="Verdana" w:eastAsia="Batang" w:hAnsi="Verdana" w:cs="Arial"/>
          <w:sz w:val="20"/>
          <w:szCs w:val="20"/>
          <w:lang w:val="en-US" w:eastAsia="es-MX"/>
        </w:rPr>
        <w:t xml:space="preserve"> </w:t>
      </w:r>
      <w:r w:rsidR="00272165" w:rsidRPr="00EA6C7A">
        <w:rPr>
          <w:rFonts w:ascii="Verdana" w:eastAsia="Batang" w:hAnsi="Verdana" w:cs="Arial"/>
          <w:sz w:val="20"/>
          <w:szCs w:val="20"/>
          <w:lang w:val="en-US" w:eastAsia="es-MX"/>
        </w:rPr>
        <w:t xml:space="preserve">made no attempt to investigate these indications, there is no information </w:t>
      </w:r>
      <w:r w:rsidRPr="00EA6C7A">
        <w:rPr>
          <w:rFonts w:ascii="Verdana" w:eastAsia="Batang" w:hAnsi="Verdana" w:cs="Arial"/>
          <w:sz w:val="20"/>
          <w:szCs w:val="20"/>
          <w:lang w:val="en-US" w:eastAsia="es-MX"/>
        </w:rPr>
        <w:t>regarding</w:t>
      </w:r>
      <w:r w:rsidR="00272165" w:rsidRPr="00EA6C7A">
        <w:rPr>
          <w:rFonts w:ascii="Verdana" w:eastAsia="Batang" w:hAnsi="Verdana" w:cs="Arial"/>
          <w:sz w:val="20"/>
          <w:szCs w:val="20"/>
          <w:lang w:val="en-US" w:eastAsia="es-MX"/>
        </w:rPr>
        <w:t xml:space="preserve"> how much the body was </w:t>
      </w:r>
      <w:r w:rsidRPr="00EA6C7A">
        <w:rPr>
          <w:rFonts w:ascii="Verdana" w:eastAsia="Batang" w:hAnsi="Verdana" w:cs="Arial"/>
          <w:sz w:val="20"/>
          <w:szCs w:val="20"/>
          <w:lang w:val="en-US" w:eastAsia="es-MX"/>
        </w:rPr>
        <w:t>tampered with</w:t>
      </w:r>
      <w:r w:rsidR="00272165" w:rsidRPr="00EA6C7A">
        <w:rPr>
          <w:rFonts w:ascii="Verdana" w:eastAsia="Batang" w:hAnsi="Verdana" w:cs="Arial"/>
          <w:sz w:val="20"/>
          <w:szCs w:val="20"/>
          <w:lang w:val="en-US" w:eastAsia="es-MX"/>
        </w:rPr>
        <w:t xml:space="preserve"> or who w</w:t>
      </w:r>
      <w:r w:rsidRPr="00EA6C7A">
        <w:rPr>
          <w:rFonts w:ascii="Verdana" w:eastAsia="Batang" w:hAnsi="Verdana" w:cs="Arial"/>
          <w:sz w:val="20"/>
          <w:szCs w:val="20"/>
          <w:lang w:val="en-US" w:eastAsia="es-MX"/>
        </w:rPr>
        <w:t>as</w:t>
      </w:r>
      <w:r w:rsidR="00272165" w:rsidRPr="00EA6C7A">
        <w:rPr>
          <w:rFonts w:ascii="Verdana" w:eastAsia="Batang" w:hAnsi="Verdana" w:cs="Arial"/>
          <w:sz w:val="20"/>
          <w:szCs w:val="20"/>
          <w:lang w:val="en-US" w:eastAsia="es-MX"/>
        </w:rPr>
        <w:t xml:space="preserve"> responsible for this, or the circumstances in which it occurred. </w:t>
      </w:r>
      <w:r w:rsidR="007B0A3F" w:rsidRPr="00EA6C7A">
        <w:rPr>
          <w:rFonts w:ascii="Verdana" w:eastAsia="Batang" w:hAnsi="Verdana" w:cs="Arial"/>
          <w:sz w:val="20"/>
          <w:szCs w:val="20"/>
          <w:lang w:val="en-US" w:eastAsia="es-MX"/>
        </w:rPr>
        <w:t>T</w:t>
      </w:r>
      <w:r w:rsidR="00272165" w:rsidRPr="00EA6C7A">
        <w:rPr>
          <w:rFonts w:ascii="Verdana" w:eastAsia="Batang" w:hAnsi="Verdana" w:cs="Arial"/>
          <w:sz w:val="20"/>
          <w:szCs w:val="20"/>
          <w:lang w:val="en-US" w:eastAsia="es-MX"/>
        </w:rPr>
        <w:t xml:space="preserve">his affected the course of the investigation because it is still not clear what happened between the time of the victim’s death, the discovery of her body, and </w:t>
      </w:r>
      <w:r w:rsidRPr="00EA6C7A">
        <w:rPr>
          <w:rFonts w:ascii="Verdana" w:eastAsia="Batang" w:hAnsi="Verdana" w:cs="Arial"/>
          <w:sz w:val="20"/>
          <w:szCs w:val="20"/>
          <w:lang w:val="en-US" w:eastAsia="es-MX"/>
        </w:rPr>
        <w:t>its</w:t>
      </w:r>
      <w:r w:rsidR="00272165" w:rsidRPr="00EA6C7A">
        <w:rPr>
          <w:rFonts w:ascii="Verdana" w:eastAsia="Batang" w:hAnsi="Verdana" w:cs="Arial"/>
          <w:sz w:val="20"/>
          <w:szCs w:val="20"/>
          <w:lang w:val="en-US" w:eastAsia="es-MX"/>
        </w:rPr>
        <w:t xml:space="preserve"> examination by the forensic physician.</w:t>
      </w:r>
    </w:p>
    <w:p w14:paraId="48FDC9DE" w14:textId="77777777" w:rsidR="0017063C" w:rsidRPr="00EA6C7A" w:rsidRDefault="0017063C" w:rsidP="0017063C">
      <w:pPr>
        <w:spacing w:after="0" w:line="240" w:lineRule="auto"/>
        <w:jc w:val="both"/>
        <w:rPr>
          <w:rFonts w:ascii="Verdana" w:hAnsi="Verdana" w:cs="Arial"/>
          <w:b/>
          <w:sz w:val="20"/>
          <w:szCs w:val="20"/>
          <w:lang w:val="en-US"/>
        </w:rPr>
      </w:pPr>
    </w:p>
    <w:p w14:paraId="4B362968" w14:textId="77777777" w:rsidR="00FD0FB2" w:rsidRPr="00EA6C7A" w:rsidRDefault="0017063C" w:rsidP="00F300A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cs="Arial"/>
          <w:i/>
          <w:sz w:val="20"/>
          <w:szCs w:val="20"/>
          <w:lang w:val="en-US" w:eastAsia="es-MX"/>
        </w:rPr>
        <w:t>Incorrect</w:t>
      </w:r>
      <w:r w:rsidR="00272165" w:rsidRPr="00EA6C7A">
        <w:rPr>
          <w:rFonts w:ascii="Verdana" w:eastAsia="Batang" w:hAnsi="Verdana" w:cs="Arial"/>
          <w:i/>
          <w:sz w:val="20"/>
          <w:szCs w:val="20"/>
          <w:lang w:val="en-US" w:eastAsia="es-MX"/>
        </w:rPr>
        <w:t xml:space="preserve"> </w:t>
      </w:r>
      <w:r w:rsidR="00085ABE" w:rsidRPr="00EA6C7A">
        <w:rPr>
          <w:rFonts w:ascii="Verdana" w:eastAsia="Batang" w:hAnsi="Verdana" w:cs="Arial"/>
          <w:i/>
          <w:sz w:val="20"/>
          <w:szCs w:val="20"/>
          <w:lang w:val="en-US" w:eastAsia="es-MX"/>
        </w:rPr>
        <w:t>process</w:t>
      </w:r>
      <w:r w:rsidR="00272165" w:rsidRPr="00EA6C7A">
        <w:rPr>
          <w:rFonts w:ascii="Verdana" w:eastAsia="Batang" w:hAnsi="Verdana" w:cs="Arial"/>
          <w:i/>
          <w:sz w:val="20"/>
          <w:szCs w:val="20"/>
          <w:lang w:val="en-US" w:eastAsia="es-MX"/>
        </w:rPr>
        <w:t xml:space="preserve">ing of the </w:t>
      </w:r>
      <w:r w:rsidR="00085ABE" w:rsidRPr="00EA6C7A">
        <w:rPr>
          <w:rFonts w:ascii="Verdana" w:eastAsia="Batang" w:hAnsi="Verdana" w:cs="Arial"/>
          <w:i/>
          <w:sz w:val="20"/>
          <w:szCs w:val="20"/>
          <w:lang w:val="en-US" w:eastAsia="es-MX"/>
        </w:rPr>
        <w:t xml:space="preserve">crime </w:t>
      </w:r>
      <w:r w:rsidR="00272165" w:rsidRPr="00EA6C7A">
        <w:rPr>
          <w:rFonts w:ascii="Verdana" w:eastAsia="Batang" w:hAnsi="Verdana" w:cs="Arial"/>
          <w:i/>
          <w:sz w:val="20"/>
          <w:szCs w:val="20"/>
          <w:lang w:val="en-US" w:eastAsia="es-MX"/>
        </w:rPr>
        <w:t>scene</w:t>
      </w:r>
      <w:r w:rsidRPr="00EA6C7A">
        <w:rPr>
          <w:rFonts w:ascii="Verdana" w:eastAsia="Batang" w:hAnsi="Verdana" w:cs="Arial"/>
          <w:i/>
          <w:sz w:val="20"/>
          <w:szCs w:val="20"/>
          <w:lang w:val="en-US" w:eastAsia="es-MX"/>
        </w:rPr>
        <w:t>.</w:t>
      </w:r>
      <w:r w:rsidRPr="00EA6C7A">
        <w:rPr>
          <w:rFonts w:ascii="Verdana" w:eastAsia="Batang" w:hAnsi="Verdana" w:cs="Arial"/>
          <w:sz w:val="20"/>
          <w:szCs w:val="20"/>
          <w:lang w:val="en-US" w:eastAsia="es-MX"/>
        </w:rPr>
        <w:t xml:space="preserve"> </w:t>
      </w:r>
      <w:r w:rsidR="0096418F" w:rsidRPr="00EA6C7A">
        <w:rPr>
          <w:rFonts w:ascii="Verdana" w:eastAsia="Batang" w:hAnsi="Verdana" w:cs="Arial"/>
          <w:sz w:val="20"/>
          <w:szCs w:val="20"/>
          <w:lang w:val="en-US" w:eastAsia="es-MX"/>
        </w:rPr>
        <w:t>The Court</w:t>
      </w:r>
      <w:r w:rsidRPr="00EA6C7A">
        <w:rPr>
          <w:rFonts w:ascii="Verdana" w:eastAsia="Batang" w:hAnsi="Verdana" w:cs="Arial"/>
          <w:sz w:val="20"/>
          <w:szCs w:val="20"/>
          <w:lang w:val="en-US" w:eastAsia="es-MX"/>
        </w:rPr>
        <w:t xml:space="preserve"> </w:t>
      </w:r>
      <w:r w:rsidR="00FD0FB2" w:rsidRPr="00EA6C7A">
        <w:rPr>
          <w:rFonts w:ascii="Verdana" w:eastAsia="Batang" w:hAnsi="Verdana" w:cs="Arial"/>
          <w:sz w:val="20"/>
          <w:szCs w:val="20"/>
          <w:lang w:val="en-US" w:eastAsia="es-MX"/>
        </w:rPr>
        <w:t xml:space="preserve">notes that </w:t>
      </w:r>
      <w:r w:rsidR="00085ABE" w:rsidRPr="00EA6C7A">
        <w:rPr>
          <w:rFonts w:ascii="Verdana" w:eastAsia="Batang" w:hAnsi="Verdana" w:cs="Arial"/>
          <w:sz w:val="20"/>
          <w:szCs w:val="20"/>
          <w:lang w:val="en-US" w:eastAsia="es-MX"/>
        </w:rPr>
        <w:t xml:space="preserve">the forensic experts collected </w:t>
      </w:r>
      <w:r w:rsidR="00FD0FB2" w:rsidRPr="00EA6C7A">
        <w:rPr>
          <w:rFonts w:ascii="Verdana" w:eastAsia="Batang" w:hAnsi="Verdana" w:cs="Arial"/>
          <w:sz w:val="20"/>
          <w:szCs w:val="20"/>
          <w:lang w:val="en-US" w:eastAsia="es-MX"/>
        </w:rPr>
        <w:t xml:space="preserve">evidence at the </w:t>
      </w:r>
      <w:r w:rsidR="00085ABE" w:rsidRPr="00EA6C7A">
        <w:rPr>
          <w:rFonts w:ascii="Verdana" w:eastAsia="Batang" w:hAnsi="Verdana" w:cs="Arial"/>
          <w:sz w:val="20"/>
          <w:szCs w:val="20"/>
          <w:lang w:val="en-US" w:eastAsia="es-MX"/>
        </w:rPr>
        <w:t>site</w:t>
      </w:r>
      <w:r w:rsidR="00FD0FB2" w:rsidRPr="00EA6C7A">
        <w:rPr>
          <w:rFonts w:ascii="Verdana" w:eastAsia="Batang" w:hAnsi="Verdana" w:cs="Arial"/>
          <w:sz w:val="20"/>
          <w:szCs w:val="20"/>
          <w:lang w:val="en-US" w:eastAsia="es-MX"/>
        </w:rPr>
        <w:t xml:space="preserve"> where </w:t>
      </w:r>
      <w:r w:rsidRPr="00EA6C7A">
        <w:rPr>
          <w:rFonts w:ascii="Verdana" w:eastAsia="Batang" w:hAnsi="Verdana" w:cs="Arial"/>
          <w:sz w:val="20"/>
          <w:szCs w:val="20"/>
          <w:lang w:val="en-US" w:eastAsia="es-MX"/>
        </w:rPr>
        <w:t>Claudina Velásquez</w:t>
      </w:r>
      <w:r w:rsidR="00FD0FB2" w:rsidRPr="00EA6C7A">
        <w:rPr>
          <w:rFonts w:ascii="Verdana" w:eastAsia="Batang" w:hAnsi="Verdana" w:cs="Arial"/>
          <w:sz w:val="20"/>
          <w:szCs w:val="20"/>
          <w:lang w:val="en-US" w:eastAsia="es-MX"/>
        </w:rPr>
        <w:t>’s body was found</w:t>
      </w:r>
      <w:r w:rsidR="00085ABE" w:rsidRPr="00EA6C7A">
        <w:rPr>
          <w:rFonts w:ascii="Verdana" w:eastAsia="Batang" w:hAnsi="Verdana" w:cs="Arial"/>
          <w:sz w:val="20"/>
          <w:szCs w:val="20"/>
          <w:lang w:val="en-US" w:eastAsia="es-MX"/>
        </w:rPr>
        <w:t>,</w:t>
      </w:r>
      <w:r w:rsidR="00FD0FB2" w:rsidRPr="00EA6C7A">
        <w:rPr>
          <w:rFonts w:ascii="Verdana" w:eastAsia="Batang" w:hAnsi="Verdana" w:cs="Arial"/>
          <w:sz w:val="20"/>
          <w:szCs w:val="20"/>
          <w:lang w:val="en-US" w:eastAsia="es-MX"/>
        </w:rPr>
        <w:t xml:space="preserve"> during the processing of the scene on </w:t>
      </w:r>
      <w:r w:rsidR="000821BA" w:rsidRPr="00EA6C7A">
        <w:rPr>
          <w:rFonts w:ascii="Verdana" w:eastAsia="Batang" w:hAnsi="Verdana" w:cs="Arial"/>
          <w:sz w:val="20"/>
          <w:szCs w:val="20"/>
          <w:lang w:val="en-US" w:eastAsia="es-MX"/>
        </w:rPr>
        <w:t>August</w:t>
      </w:r>
      <w:r w:rsidR="000B3E6E" w:rsidRPr="00EA6C7A">
        <w:rPr>
          <w:rFonts w:ascii="Verdana" w:eastAsia="Batang" w:hAnsi="Verdana" w:cs="Arial"/>
          <w:sz w:val="20"/>
          <w:szCs w:val="20"/>
          <w:lang w:val="en-US" w:eastAsia="es-MX"/>
        </w:rPr>
        <w:t xml:space="preserve"> 13,</w:t>
      </w:r>
      <w:r w:rsidRPr="00EA6C7A">
        <w:rPr>
          <w:rFonts w:ascii="Verdana" w:eastAsia="Batang" w:hAnsi="Verdana" w:cs="Arial"/>
          <w:sz w:val="20"/>
          <w:szCs w:val="20"/>
          <w:lang w:val="en-US" w:eastAsia="es-MX"/>
        </w:rPr>
        <w:t xml:space="preserve"> 2005</w:t>
      </w:r>
      <w:r w:rsidR="00FD0FB2" w:rsidRPr="00EA6C7A">
        <w:rPr>
          <w:rFonts w:ascii="Verdana" w:eastAsia="Batang" w:hAnsi="Verdana" w:cs="Arial"/>
          <w:sz w:val="20"/>
          <w:szCs w:val="20"/>
          <w:lang w:val="en-US" w:eastAsia="es-MX"/>
        </w:rPr>
        <w:t>. This consisted of a bullet and a bullet casing of unknown caliber, a pack</w:t>
      </w:r>
      <w:r w:rsidR="00353E85" w:rsidRPr="00EA6C7A">
        <w:rPr>
          <w:rFonts w:ascii="Verdana" w:eastAsia="Batang" w:hAnsi="Verdana" w:cs="Arial"/>
          <w:sz w:val="20"/>
          <w:szCs w:val="20"/>
          <w:lang w:val="en-US" w:eastAsia="es-MX"/>
        </w:rPr>
        <w:t>et</w:t>
      </w:r>
      <w:r w:rsidR="00FD0FB2" w:rsidRPr="00EA6C7A">
        <w:rPr>
          <w:rFonts w:ascii="Verdana" w:eastAsia="Batang" w:hAnsi="Verdana" w:cs="Arial"/>
          <w:sz w:val="20"/>
          <w:szCs w:val="20"/>
          <w:lang w:val="en-US" w:eastAsia="es-MX"/>
        </w:rPr>
        <w:t xml:space="preserve"> of dehydrated vegetables marked “</w:t>
      </w:r>
      <w:r w:rsidR="00FD0FB2" w:rsidRPr="00EA6C7A">
        <w:rPr>
          <w:rFonts w:ascii="Verdana" w:eastAsia="Batang" w:hAnsi="Verdana"/>
          <w:i/>
          <w:iCs/>
          <w:sz w:val="20"/>
          <w:szCs w:val="20"/>
          <w:lang w:val="en-US" w:eastAsia="es-MX"/>
        </w:rPr>
        <w:t>Cup Ramen Vegetales,</w:t>
      </w:r>
      <w:r w:rsidR="00FD0FB2" w:rsidRPr="00EA6C7A">
        <w:rPr>
          <w:rFonts w:ascii="Verdana" w:eastAsia="Batang" w:hAnsi="Verdana"/>
          <w:sz w:val="20"/>
          <w:szCs w:val="20"/>
          <w:lang w:val="en-US" w:eastAsia="es-MX"/>
        </w:rPr>
        <w:t>” the pink sweater she was wearing with possible blood stains, a small earring</w:t>
      </w:r>
      <w:r w:rsidR="00FD0FB2" w:rsidRPr="00EA6C7A">
        <w:rPr>
          <w:rFonts w:ascii="Verdana" w:eastAsia="Batang" w:hAnsi="Verdana" w:cs="Arial"/>
          <w:sz w:val="20"/>
          <w:szCs w:val="20"/>
          <w:lang w:val="en-US" w:eastAsia="es-MX"/>
        </w:rPr>
        <w:t xml:space="preserve"> for pierced ear with a pink pearl, and a choker collar of pink material with a medal of Osiris that she was wearing</w:t>
      </w:r>
      <w:r w:rsidRPr="00EA6C7A">
        <w:rPr>
          <w:rFonts w:ascii="Verdana" w:eastAsia="Batang" w:hAnsi="Verdana" w:cs="Arial"/>
          <w:sz w:val="20"/>
          <w:szCs w:val="20"/>
          <w:lang w:val="en-US" w:eastAsia="es-MX"/>
        </w:rPr>
        <w:t xml:space="preserve"> (</w:t>
      </w:r>
      <w:r w:rsidRPr="00EA6C7A">
        <w:rPr>
          <w:rFonts w:ascii="Verdana" w:eastAsia="Batang" w:hAnsi="Verdana" w:cs="Arial"/>
          <w:i/>
          <w:sz w:val="20"/>
          <w:szCs w:val="20"/>
          <w:lang w:val="en-US" w:eastAsia="es-MX"/>
        </w:rPr>
        <w:t>supra</w:t>
      </w:r>
      <w:r w:rsidRPr="00EA6C7A">
        <w:rPr>
          <w:rFonts w:ascii="Verdana" w:eastAsia="Batang" w:hAnsi="Verdana" w:cs="Arial"/>
          <w:sz w:val="20"/>
          <w:szCs w:val="20"/>
          <w:lang w:val="en-US" w:eastAsia="es-MX"/>
        </w:rPr>
        <w:t xml:space="preserve"> </w:t>
      </w:r>
      <w:r w:rsidR="002F3848" w:rsidRPr="00EA6C7A">
        <w:rPr>
          <w:rFonts w:ascii="Verdana" w:eastAsia="Batang" w:hAnsi="Verdana" w:cs="Arial"/>
          <w:sz w:val="20"/>
          <w:szCs w:val="20"/>
          <w:lang w:val="en-US" w:eastAsia="es-MX"/>
        </w:rPr>
        <w:t>para.</w:t>
      </w:r>
      <w:r w:rsidRPr="00EA6C7A">
        <w:rPr>
          <w:rFonts w:ascii="Verdana" w:eastAsia="Batang" w:hAnsi="Verdana" w:cs="Arial"/>
          <w:sz w:val="20"/>
          <w:szCs w:val="20"/>
          <w:lang w:val="en-US" w:eastAsia="es-MX"/>
        </w:rPr>
        <w:t xml:space="preserve"> 57, </w:t>
      </w:r>
      <w:r w:rsidR="00FD0FB2" w:rsidRPr="00EA6C7A">
        <w:rPr>
          <w:rFonts w:ascii="Verdana" w:eastAsia="Batang" w:hAnsi="Verdana" w:cs="Arial"/>
          <w:sz w:val="20"/>
          <w:szCs w:val="20"/>
          <w:lang w:val="en-US" w:eastAsia="es-MX"/>
        </w:rPr>
        <w:t>footnote</w:t>
      </w:r>
      <w:r w:rsidR="00BE4FE9" w:rsidRPr="00EA6C7A">
        <w:rPr>
          <w:rFonts w:ascii="Verdana" w:eastAsia="Batang" w:hAnsi="Verdana" w:cs="Arial"/>
          <w:sz w:val="20"/>
          <w:szCs w:val="20"/>
          <w:lang w:val="en-US" w:eastAsia="es-MX"/>
        </w:rPr>
        <w:t xml:space="preserve"> </w:t>
      </w:r>
      <w:r w:rsidR="001B45F2" w:rsidRPr="00EA6C7A">
        <w:rPr>
          <w:rFonts w:ascii="Verdana" w:eastAsia="Batang" w:hAnsi="Verdana" w:cs="Arial"/>
          <w:sz w:val="20"/>
          <w:szCs w:val="20"/>
          <w:lang w:val="en-US" w:eastAsia="es-MX"/>
        </w:rPr>
        <w:t>53</w:t>
      </w:r>
      <w:r w:rsidRPr="00EA6C7A">
        <w:rPr>
          <w:rFonts w:ascii="Verdana" w:eastAsia="Batang" w:hAnsi="Verdana" w:cs="Arial"/>
          <w:sz w:val="20"/>
          <w:szCs w:val="20"/>
          <w:lang w:val="en-US" w:eastAsia="es-MX"/>
        </w:rPr>
        <w:t xml:space="preserve">). </w:t>
      </w:r>
      <w:r w:rsidR="00FD0FB2" w:rsidRPr="00EA6C7A">
        <w:rPr>
          <w:rFonts w:ascii="Verdana" w:eastAsia="Batang" w:hAnsi="Verdana" w:cs="Arial"/>
          <w:sz w:val="20"/>
          <w:szCs w:val="20"/>
          <w:lang w:val="en-US" w:eastAsia="es-MX"/>
        </w:rPr>
        <w:t xml:space="preserve">However, apart from these elements, there is no record that any other </w:t>
      </w:r>
      <w:r w:rsidR="00F300A9" w:rsidRPr="00EA6C7A">
        <w:rPr>
          <w:rFonts w:ascii="Verdana" w:eastAsia="Batang" w:hAnsi="Verdana" w:cs="Arial"/>
          <w:sz w:val="20"/>
          <w:szCs w:val="20"/>
          <w:lang w:val="en-US" w:eastAsia="es-MX"/>
        </w:rPr>
        <w:t xml:space="preserve">effort was made to </w:t>
      </w:r>
      <w:r w:rsidR="00FD0FB2" w:rsidRPr="00EA6C7A">
        <w:rPr>
          <w:rFonts w:ascii="Verdana" w:eastAsia="Batang" w:hAnsi="Verdana" w:cs="Arial"/>
          <w:sz w:val="20"/>
          <w:szCs w:val="20"/>
          <w:lang w:val="en-US" w:eastAsia="es-MX"/>
        </w:rPr>
        <w:t>collect and record</w:t>
      </w:r>
      <w:r w:rsidR="00F300A9" w:rsidRPr="00EA6C7A">
        <w:rPr>
          <w:rFonts w:ascii="Verdana" w:eastAsia="Batang" w:hAnsi="Verdana" w:cs="Arial"/>
          <w:sz w:val="20"/>
          <w:szCs w:val="20"/>
          <w:lang w:val="en-US" w:eastAsia="es-MX"/>
        </w:rPr>
        <w:t xml:space="preserve"> evidence </w:t>
      </w:r>
      <w:r w:rsidR="00FD0FB2" w:rsidRPr="00EA6C7A">
        <w:rPr>
          <w:rFonts w:ascii="Verdana" w:eastAsia="Batang" w:hAnsi="Verdana" w:cs="Arial"/>
          <w:sz w:val="20"/>
          <w:szCs w:val="20"/>
          <w:lang w:val="en-US" w:eastAsia="es-MX"/>
        </w:rPr>
        <w:t>that would have helped the investigation. Specifically, fundamental procedures to determine the time of death were overlooked, such as taking the</w:t>
      </w:r>
      <w:r w:rsidR="00353E85" w:rsidRPr="00EA6C7A">
        <w:rPr>
          <w:rFonts w:ascii="Verdana" w:eastAsia="Batang" w:hAnsi="Verdana" w:cs="Arial"/>
          <w:sz w:val="20"/>
          <w:szCs w:val="20"/>
          <w:lang w:val="en-US" w:eastAsia="es-MX"/>
        </w:rPr>
        <w:t xml:space="preserve"> body and the ambient</w:t>
      </w:r>
      <w:r w:rsidR="00FD0FB2" w:rsidRPr="00EA6C7A">
        <w:rPr>
          <w:rFonts w:ascii="Verdana" w:eastAsia="Batang" w:hAnsi="Verdana" w:cs="Arial"/>
          <w:sz w:val="20"/>
          <w:szCs w:val="20"/>
          <w:lang w:val="en-US" w:eastAsia="es-MX"/>
        </w:rPr>
        <w:t xml:space="preserve"> temperature</w:t>
      </w:r>
      <w:r w:rsidR="00353E85" w:rsidRPr="00EA6C7A">
        <w:rPr>
          <w:rFonts w:ascii="Verdana" w:eastAsia="Batang" w:hAnsi="Verdana" w:cs="Arial"/>
          <w:sz w:val="20"/>
          <w:szCs w:val="20"/>
          <w:lang w:val="en-US" w:eastAsia="es-MX"/>
        </w:rPr>
        <w:t>, and measuring the height of the corpse. Furthermore, there is no record that the on-site inspections were carried out with the required thoroughness to identify details such as whether there were any blood stains nearby, or hairs, fibers, threads, prints or other clues, or traces of a vehicle</w:t>
      </w:r>
      <w:r w:rsidR="00F300A9" w:rsidRPr="00EA6C7A">
        <w:rPr>
          <w:rFonts w:ascii="Verdana" w:eastAsia="Batang" w:hAnsi="Verdana" w:cs="Arial"/>
          <w:sz w:val="20"/>
          <w:szCs w:val="20"/>
          <w:lang w:val="en-US" w:eastAsia="es-MX"/>
        </w:rPr>
        <w:t>,</w:t>
      </w:r>
      <w:r w:rsidR="00353E85" w:rsidRPr="00EA6C7A">
        <w:rPr>
          <w:rFonts w:ascii="Verdana" w:eastAsia="Batang" w:hAnsi="Verdana" w:cs="Arial"/>
          <w:sz w:val="20"/>
          <w:szCs w:val="20"/>
          <w:lang w:val="en-US" w:eastAsia="es-MX"/>
        </w:rPr>
        <w:t xml:space="preserve"> or any other relevant evidence. </w:t>
      </w:r>
    </w:p>
    <w:p w14:paraId="77DF59DD" w14:textId="77777777" w:rsidR="0017063C" w:rsidRPr="00EA6C7A" w:rsidRDefault="0017063C" w:rsidP="0017063C">
      <w:pPr>
        <w:spacing w:after="0" w:line="240" w:lineRule="auto"/>
        <w:jc w:val="both"/>
        <w:rPr>
          <w:rFonts w:ascii="Verdana" w:hAnsi="Verdana"/>
          <w:sz w:val="20"/>
          <w:szCs w:val="20"/>
          <w:lang w:val="en-US"/>
        </w:rPr>
      </w:pPr>
    </w:p>
    <w:p w14:paraId="4E876061" w14:textId="77777777" w:rsidR="0017063C" w:rsidRPr="00EA6C7A" w:rsidRDefault="0017063C" w:rsidP="00F300A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cs="Arial"/>
          <w:i/>
          <w:sz w:val="20"/>
          <w:szCs w:val="20"/>
          <w:lang w:val="en-US" w:eastAsia="es-MX"/>
        </w:rPr>
        <w:t>Irregulari</w:t>
      </w:r>
      <w:r w:rsidR="00353E85" w:rsidRPr="00EA6C7A">
        <w:rPr>
          <w:rFonts w:ascii="Verdana" w:eastAsia="Batang" w:hAnsi="Verdana" w:cs="Arial"/>
          <w:i/>
          <w:sz w:val="20"/>
          <w:szCs w:val="20"/>
          <w:lang w:val="en-US" w:eastAsia="es-MX"/>
        </w:rPr>
        <w:t>ties</w:t>
      </w:r>
      <w:r w:rsidRPr="00EA6C7A">
        <w:rPr>
          <w:rFonts w:ascii="Verdana" w:eastAsia="Batang" w:hAnsi="Verdana"/>
          <w:i/>
          <w:sz w:val="20"/>
          <w:szCs w:val="20"/>
          <w:lang w:val="en-US" w:eastAsia="es-MX"/>
        </w:rPr>
        <w:t xml:space="preserve"> </w:t>
      </w:r>
      <w:r w:rsidR="00353E85" w:rsidRPr="00EA6C7A">
        <w:rPr>
          <w:rFonts w:ascii="Verdana" w:eastAsia="Batang" w:hAnsi="Verdana"/>
          <w:i/>
          <w:sz w:val="20"/>
          <w:szCs w:val="20"/>
          <w:lang w:val="en-US" w:eastAsia="es-MX"/>
        </w:rPr>
        <w:t>i</w:t>
      </w:r>
      <w:r w:rsidRPr="00EA6C7A">
        <w:rPr>
          <w:rFonts w:ascii="Verdana" w:eastAsia="Batang" w:hAnsi="Verdana"/>
          <w:i/>
          <w:sz w:val="20"/>
          <w:szCs w:val="20"/>
          <w:lang w:val="en-US" w:eastAsia="es-MX"/>
        </w:rPr>
        <w:t>n</w:t>
      </w:r>
      <w:r w:rsidR="00353E85" w:rsidRPr="00EA6C7A">
        <w:rPr>
          <w:rFonts w:ascii="Verdana" w:eastAsia="Batang" w:hAnsi="Verdana"/>
          <w:i/>
          <w:sz w:val="20"/>
          <w:szCs w:val="20"/>
          <w:lang w:val="en-US" w:eastAsia="es-MX"/>
        </w:rPr>
        <w:t xml:space="preserve"> the recording and preservation of the evidence.</w:t>
      </w:r>
      <w:r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Court</w:t>
      </w:r>
      <w:r w:rsidRPr="00EA6C7A">
        <w:rPr>
          <w:rFonts w:ascii="Verdana" w:eastAsia="Batang" w:hAnsi="Verdana"/>
          <w:sz w:val="20"/>
          <w:szCs w:val="20"/>
          <w:lang w:val="en-US" w:eastAsia="es-MX"/>
        </w:rPr>
        <w:t xml:space="preserve"> </w:t>
      </w:r>
      <w:r w:rsidR="00353E85" w:rsidRPr="00EA6C7A">
        <w:rPr>
          <w:rFonts w:ascii="Verdana" w:eastAsia="Batang" w:hAnsi="Verdana"/>
          <w:sz w:val="20"/>
          <w:szCs w:val="20"/>
          <w:lang w:val="en-US" w:eastAsia="es-MX"/>
        </w:rPr>
        <w:t xml:space="preserve">noted that, during the investigation, the discovery of a packet of dehydrated vegetables with the description  </w:t>
      </w:r>
      <w:r w:rsidR="00353E85" w:rsidRPr="00EA6C7A">
        <w:rPr>
          <w:rFonts w:ascii="Verdana" w:eastAsia="Batang" w:hAnsi="Verdana" w:cs="Arial"/>
          <w:sz w:val="20"/>
          <w:szCs w:val="20"/>
          <w:lang w:val="en-US" w:eastAsia="es-MX"/>
        </w:rPr>
        <w:t>“</w:t>
      </w:r>
      <w:r w:rsidR="00353E85" w:rsidRPr="00EA6C7A">
        <w:rPr>
          <w:rFonts w:ascii="Verdana" w:eastAsia="Batang" w:hAnsi="Verdana"/>
          <w:i/>
          <w:iCs/>
          <w:sz w:val="20"/>
          <w:szCs w:val="20"/>
          <w:lang w:val="en-US" w:eastAsia="es-MX"/>
        </w:rPr>
        <w:t>Cup Ramen Vegetales</w:t>
      </w:r>
      <w:r w:rsidR="00353E85" w:rsidRPr="00EA6C7A">
        <w:rPr>
          <w:rFonts w:ascii="Verdana" w:eastAsia="Batang" w:hAnsi="Verdana"/>
          <w:sz w:val="20"/>
          <w:szCs w:val="20"/>
          <w:lang w:val="en-US" w:eastAsia="es-MX"/>
        </w:rPr>
        <w:t>” was recorded. In this regard, although</w:t>
      </w:r>
      <w:r w:rsidRPr="00EA6C7A">
        <w:rPr>
          <w:rFonts w:ascii="Verdana" w:eastAsia="Batang" w:hAnsi="Verdana"/>
          <w:sz w:val="20"/>
          <w:szCs w:val="20"/>
          <w:lang w:val="en-US" w:eastAsia="es-MX"/>
        </w:rPr>
        <w:t xml:space="preserve"> </w:t>
      </w:r>
      <w:r w:rsidR="00CA3FC4" w:rsidRPr="00EA6C7A">
        <w:rPr>
          <w:rFonts w:ascii="Verdana" w:eastAsia="Batang" w:hAnsi="Verdana"/>
          <w:sz w:val="20"/>
          <w:szCs w:val="20"/>
          <w:lang w:val="en-US" w:eastAsia="es-MX"/>
        </w:rPr>
        <w:t>the assistant prosecutor</w:t>
      </w:r>
      <w:r w:rsidRPr="00EA6C7A">
        <w:rPr>
          <w:rFonts w:ascii="Verdana" w:eastAsia="Batang" w:hAnsi="Verdana"/>
          <w:sz w:val="20"/>
          <w:szCs w:val="20"/>
          <w:lang w:val="en-US" w:eastAsia="es-MX"/>
        </w:rPr>
        <w:t xml:space="preserve"> </w:t>
      </w:r>
      <w:r w:rsidR="00353E85" w:rsidRPr="00EA6C7A">
        <w:rPr>
          <w:rFonts w:ascii="Verdana" w:eastAsia="Batang" w:hAnsi="Verdana"/>
          <w:sz w:val="20"/>
          <w:szCs w:val="20"/>
          <w:lang w:val="en-US" w:eastAsia="es-MX"/>
        </w:rPr>
        <w:t>asked</w:t>
      </w:r>
      <w:r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 xml:space="preserve">the </w:t>
      </w:r>
      <w:r w:rsidR="003F31B4" w:rsidRPr="00EA6C7A">
        <w:rPr>
          <w:rFonts w:ascii="Verdana" w:eastAsia="Batang" w:hAnsi="Verdana"/>
          <w:sz w:val="20"/>
          <w:szCs w:val="20"/>
          <w:lang w:val="en-US" w:eastAsia="es-MX"/>
        </w:rPr>
        <w:t>Criminal Investigation Department</w:t>
      </w:r>
      <w:r w:rsidRPr="00EA6C7A">
        <w:rPr>
          <w:rFonts w:ascii="Verdana" w:eastAsia="Batang" w:hAnsi="Verdana"/>
          <w:sz w:val="20"/>
          <w:szCs w:val="20"/>
          <w:lang w:val="en-US" w:eastAsia="es-MX"/>
        </w:rPr>
        <w:t xml:space="preserve"> </w:t>
      </w:r>
      <w:r w:rsidR="00353E85" w:rsidRPr="00EA6C7A">
        <w:rPr>
          <w:rFonts w:ascii="Verdana" w:eastAsia="Batang" w:hAnsi="Verdana"/>
          <w:sz w:val="20"/>
          <w:szCs w:val="20"/>
          <w:lang w:val="en-US" w:eastAsia="es-MX"/>
        </w:rPr>
        <w:t xml:space="preserve">to examine this packet for fingerprints, this was not possible </w:t>
      </w:r>
      <w:r w:rsidR="00F300A9" w:rsidRPr="00EA6C7A">
        <w:rPr>
          <w:rFonts w:ascii="Verdana" w:eastAsia="Batang" w:hAnsi="Verdana"/>
          <w:sz w:val="20"/>
          <w:szCs w:val="20"/>
          <w:lang w:val="en-US" w:eastAsia="es-MX"/>
        </w:rPr>
        <w:t>because</w:t>
      </w:r>
      <w:r w:rsidR="00353E85" w:rsidRPr="00EA6C7A">
        <w:rPr>
          <w:rFonts w:ascii="Verdana" w:eastAsia="Batang" w:hAnsi="Verdana"/>
          <w:sz w:val="20"/>
          <w:szCs w:val="20"/>
          <w:lang w:val="en-US" w:eastAsia="es-MX"/>
        </w:rPr>
        <w:t xml:space="preserve"> it had not been preserved for lofoscop</w:t>
      </w:r>
      <w:r w:rsidR="00024443" w:rsidRPr="00EA6C7A">
        <w:rPr>
          <w:rFonts w:ascii="Verdana" w:eastAsia="Batang" w:hAnsi="Verdana"/>
          <w:sz w:val="20"/>
          <w:szCs w:val="20"/>
          <w:lang w:val="en-US" w:eastAsia="es-MX"/>
        </w:rPr>
        <w:t>y</w:t>
      </w:r>
      <w:r w:rsidR="00353E85" w:rsidRPr="00EA6C7A">
        <w:rPr>
          <w:rFonts w:ascii="Verdana" w:eastAsia="Batang" w:hAnsi="Verdana"/>
          <w:sz w:val="20"/>
          <w:szCs w:val="20"/>
          <w:lang w:val="en-US" w:eastAsia="es-MX"/>
        </w:rPr>
        <w:t xml:space="preserve"> analysis </w:t>
      </w:r>
      <w:r w:rsidRPr="00EA6C7A">
        <w:rPr>
          <w:rFonts w:ascii="Verdana" w:eastAsia="Batang" w:hAnsi="Verdana"/>
          <w:sz w:val="20"/>
          <w:szCs w:val="20"/>
          <w:lang w:val="en-US" w:eastAsia="es-MX"/>
        </w:rPr>
        <w:t>(</w:t>
      </w:r>
      <w:r w:rsidRPr="00EA6C7A">
        <w:rPr>
          <w:rFonts w:ascii="Verdana" w:eastAsia="Batang" w:hAnsi="Verdana"/>
          <w:i/>
          <w:sz w:val="20"/>
          <w:szCs w:val="20"/>
          <w:lang w:val="en-US" w:eastAsia="es-MX"/>
        </w:rPr>
        <w:t>supra</w:t>
      </w:r>
      <w:r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Pr="00EA6C7A">
        <w:rPr>
          <w:rFonts w:ascii="Verdana" w:eastAsia="Batang" w:hAnsi="Verdana"/>
          <w:sz w:val="20"/>
          <w:szCs w:val="20"/>
          <w:lang w:val="en-US" w:eastAsia="es-MX"/>
        </w:rPr>
        <w:t xml:space="preserve"> 71).</w:t>
      </w:r>
    </w:p>
    <w:p w14:paraId="3A895510" w14:textId="77777777" w:rsidR="0017063C" w:rsidRPr="00EA6C7A" w:rsidRDefault="0017063C" w:rsidP="0017063C">
      <w:pPr>
        <w:autoSpaceDE w:val="0"/>
        <w:autoSpaceDN w:val="0"/>
        <w:adjustRightInd w:val="0"/>
        <w:spacing w:after="0" w:line="240" w:lineRule="auto"/>
        <w:jc w:val="both"/>
        <w:rPr>
          <w:rFonts w:ascii="Verdana" w:hAnsi="Verdana"/>
          <w:sz w:val="20"/>
          <w:szCs w:val="20"/>
          <w:lang w:val="en-US"/>
        </w:rPr>
      </w:pPr>
    </w:p>
    <w:p w14:paraId="419108E6" w14:textId="77777777" w:rsidR="0017063C" w:rsidRPr="00EA6C7A" w:rsidRDefault="00043FBD" w:rsidP="00197C1E">
      <w:pPr>
        <w:numPr>
          <w:ilvl w:val="0"/>
          <w:numId w:val="3"/>
        </w:numPr>
        <w:tabs>
          <w:tab w:val="left" w:pos="720"/>
        </w:tabs>
        <w:autoSpaceDE w:val="0"/>
        <w:autoSpaceDN w:val="0"/>
        <w:adjustRightInd w:val="0"/>
        <w:spacing w:after="0" w:line="240" w:lineRule="auto"/>
        <w:ind w:left="0" w:firstLine="0"/>
        <w:jc w:val="both"/>
        <w:rPr>
          <w:rFonts w:ascii="Verdana" w:hAnsi="Verdana"/>
          <w:b/>
          <w:sz w:val="20"/>
          <w:szCs w:val="20"/>
          <w:lang w:val="en-US"/>
        </w:rPr>
      </w:pPr>
      <w:r w:rsidRPr="00EA6C7A">
        <w:rPr>
          <w:rFonts w:ascii="Verdana" w:eastAsia="Batang" w:hAnsi="Verdana" w:cs="Arial"/>
          <w:i/>
          <w:sz w:val="20"/>
          <w:szCs w:val="20"/>
          <w:lang w:val="en-US" w:eastAsia="es-MX"/>
        </w:rPr>
        <w:lastRenderedPageBreak/>
        <w:t xml:space="preserve">Errors in the collection and preservation of evidence. </w:t>
      </w:r>
      <w:r w:rsidRPr="00EA6C7A">
        <w:rPr>
          <w:rFonts w:ascii="Verdana" w:eastAsia="Batang" w:hAnsi="Verdana"/>
          <w:sz w:val="20"/>
          <w:szCs w:val="20"/>
          <w:lang w:val="en-US" w:eastAsia="es-MX"/>
        </w:rPr>
        <w:t xml:space="preserve">It is on record that </w:t>
      </w:r>
      <w:r w:rsidR="0017063C"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’s body was dressed in</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 xml:space="preserve">i) </w:t>
      </w:r>
      <w:r w:rsidRPr="00EA6C7A">
        <w:rPr>
          <w:rFonts w:ascii="Verdana" w:eastAsia="Batang" w:hAnsi="Verdana"/>
          <w:sz w:val="20"/>
          <w:szCs w:val="20"/>
          <w:lang w:val="en-US" w:eastAsia="es-MX"/>
        </w:rPr>
        <w:t xml:space="preserve">a pair of blue jeans with the zipper undone; (ii) a black blouse back to front; (iii) black sandals; (iv) a bloodstained brassiere (white/pink) that had been placed between </w:t>
      </w:r>
      <w:r w:rsidR="00463EE9" w:rsidRPr="00EA6C7A">
        <w:rPr>
          <w:rFonts w:ascii="Verdana" w:eastAsia="Batang" w:hAnsi="Verdana"/>
          <w:sz w:val="20"/>
          <w:szCs w:val="20"/>
          <w:lang w:val="en-US" w:eastAsia="es-MX"/>
        </w:rPr>
        <w:t>her</w:t>
      </w:r>
      <w:r w:rsidRPr="00EA6C7A">
        <w:rPr>
          <w:rFonts w:ascii="Verdana" w:eastAsia="Batang" w:hAnsi="Verdana"/>
          <w:sz w:val="20"/>
          <w:szCs w:val="20"/>
          <w:lang w:val="en-US" w:eastAsia="es-MX"/>
        </w:rPr>
        <w:t xml:space="preserve"> jeans and </w:t>
      </w:r>
      <w:r w:rsidR="00463EE9" w:rsidRPr="00EA6C7A">
        <w:rPr>
          <w:rFonts w:ascii="Verdana" w:eastAsia="Batang" w:hAnsi="Verdana"/>
          <w:sz w:val="20"/>
          <w:szCs w:val="20"/>
          <w:lang w:val="en-US" w:eastAsia="es-MX"/>
        </w:rPr>
        <w:t>her</w:t>
      </w:r>
      <w:r w:rsidRPr="00EA6C7A">
        <w:rPr>
          <w:rFonts w:ascii="Verdana" w:eastAsia="Batang" w:hAnsi="Verdana"/>
          <w:sz w:val="20"/>
          <w:szCs w:val="20"/>
          <w:lang w:val="en-US" w:eastAsia="es-MX"/>
        </w:rPr>
        <w:t xml:space="preserve"> hips; (v) bloodstained </w:t>
      </w:r>
      <w:r w:rsidR="00463EE9" w:rsidRPr="00EA6C7A">
        <w:rPr>
          <w:rFonts w:ascii="Verdana" w:eastAsia="Batang" w:hAnsi="Verdana"/>
          <w:sz w:val="20"/>
          <w:szCs w:val="20"/>
          <w:lang w:val="en-US" w:eastAsia="es-MX"/>
        </w:rPr>
        <w:t xml:space="preserve">pink </w:t>
      </w:r>
      <w:r w:rsidRPr="00EA6C7A">
        <w:rPr>
          <w:rFonts w:ascii="Verdana" w:eastAsia="Batang" w:hAnsi="Verdana"/>
          <w:sz w:val="20"/>
          <w:szCs w:val="20"/>
          <w:lang w:val="en-US" w:eastAsia="es-MX"/>
        </w:rPr>
        <w:t xml:space="preserve">underpants, and (vi) a belt lay nearby. In addition, </w:t>
      </w:r>
      <w:r w:rsidR="00463EE9" w:rsidRPr="00EA6C7A">
        <w:rPr>
          <w:rFonts w:ascii="Verdana" w:eastAsia="Batang" w:hAnsi="Verdana"/>
          <w:sz w:val="20"/>
          <w:szCs w:val="20"/>
          <w:lang w:val="en-US" w:eastAsia="es-MX"/>
        </w:rPr>
        <w:t>she had</w:t>
      </w:r>
      <w:r w:rsidRPr="00EA6C7A">
        <w:rPr>
          <w:rFonts w:ascii="Verdana" w:eastAsia="Batang" w:hAnsi="Verdana"/>
          <w:sz w:val="20"/>
          <w:szCs w:val="20"/>
          <w:lang w:val="en-US" w:eastAsia="es-MX"/>
        </w:rPr>
        <w:t xml:space="preserve"> a navel piercing with a ring and a choker-type necklace</w:t>
      </w:r>
      <w:r w:rsidR="0017063C" w:rsidRPr="00EA6C7A">
        <w:rPr>
          <w:rFonts w:ascii="Verdana" w:eastAsia="Batang" w:hAnsi="Verdana"/>
          <w:sz w:val="20"/>
          <w:szCs w:val="20"/>
          <w:lang w:val="en-US" w:eastAsia="es-MX"/>
        </w:rPr>
        <w:t xml:space="preserve"> (</w:t>
      </w:r>
      <w:r w:rsidR="0017063C" w:rsidRPr="00EA6C7A">
        <w:rPr>
          <w:rFonts w:ascii="Verdana" w:eastAsia="Batang" w:hAnsi="Verdana"/>
          <w:i/>
          <w:sz w:val="20"/>
          <w:szCs w:val="20"/>
          <w:lang w:val="en-US" w:eastAsia="es-MX"/>
        </w:rPr>
        <w:t>supra</w:t>
      </w:r>
      <w:r w:rsidR="0017063C"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17063C" w:rsidRPr="00EA6C7A">
        <w:rPr>
          <w:rFonts w:ascii="Verdana" w:eastAsia="Batang" w:hAnsi="Verdana"/>
          <w:sz w:val="20"/>
          <w:szCs w:val="20"/>
          <w:lang w:val="en-US" w:eastAsia="es-MX"/>
        </w:rPr>
        <w:t xml:space="preserve"> 56). </w:t>
      </w:r>
      <w:r w:rsidRPr="00EA6C7A">
        <w:rPr>
          <w:rFonts w:ascii="Verdana" w:eastAsia="Batang" w:hAnsi="Verdana"/>
          <w:sz w:val="20"/>
          <w:szCs w:val="20"/>
          <w:lang w:val="en-US" w:eastAsia="es-MX"/>
        </w:rPr>
        <w:t xml:space="preserve">Even though all this evidence was recorded in the initial investigation reports, the victim’s clothes were not collected as evidence that would have permitted its analysis in the laboratory and a search for fingerprints, hairs or biological elements such as semen and other residues, but were returned to </w:t>
      </w:r>
      <w:r w:rsidR="0097429D" w:rsidRPr="00EA6C7A">
        <w:rPr>
          <w:rFonts w:ascii="Verdana" w:eastAsia="Batang" w:hAnsi="Verdana"/>
          <w:sz w:val="20"/>
          <w:szCs w:val="20"/>
          <w:lang w:val="en-US" w:eastAsia="es-MX"/>
        </w:rPr>
        <w:t>Claudina Velásquez’s parents</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Also, even though the ring in her navel and the choker-type necklace were recorded, the Court has no information on </w:t>
      </w:r>
      <w:r w:rsidR="00463EE9" w:rsidRPr="00EA6C7A">
        <w:rPr>
          <w:rFonts w:ascii="Verdana" w:eastAsia="Batang" w:hAnsi="Verdana"/>
          <w:sz w:val="20"/>
          <w:szCs w:val="20"/>
          <w:lang w:val="en-US" w:eastAsia="es-MX"/>
        </w:rPr>
        <w:t>what happened to them</w:t>
      </w:r>
      <w:r w:rsidRPr="00EA6C7A">
        <w:rPr>
          <w:rFonts w:ascii="Verdana" w:eastAsia="Batang" w:hAnsi="Verdana"/>
          <w:sz w:val="20"/>
          <w:szCs w:val="20"/>
          <w:lang w:val="en-US" w:eastAsia="es-MX"/>
        </w:rPr>
        <w:t xml:space="preserve">. </w:t>
      </w:r>
    </w:p>
    <w:p w14:paraId="740F4155" w14:textId="77777777" w:rsidR="00043FBD" w:rsidRPr="00EA6C7A" w:rsidRDefault="00043FBD" w:rsidP="00043FBD">
      <w:pPr>
        <w:tabs>
          <w:tab w:val="left" w:pos="720"/>
        </w:tabs>
        <w:autoSpaceDE w:val="0"/>
        <w:autoSpaceDN w:val="0"/>
        <w:adjustRightInd w:val="0"/>
        <w:spacing w:after="0" w:line="240" w:lineRule="auto"/>
        <w:jc w:val="both"/>
        <w:rPr>
          <w:rFonts w:ascii="Verdana" w:hAnsi="Verdana"/>
          <w:b/>
          <w:sz w:val="20"/>
          <w:szCs w:val="20"/>
          <w:lang w:val="en-US"/>
        </w:rPr>
      </w:pPr>
    </w:p>
    <w:p w14:paraId="084A5BA9" w14:textId="77777777" w:rsidR="0017063C" w:rsidRPr="00EA6C7A" w:rsidRDefault="00043FBD" w:rsidP="00037322">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i/>
          <w:sz w:val="20"/>
          <w:szCs w:val="20"/>
          <w:lang w:val="en-US" w:eastAsia="es-MX"/>
        </w:rPr>
        <w:t xml:space="preserve">Irregularities in the autopsy and </w:t>
      </w:r>
      <w:r w:rsidR="00913C83" w:rsidRPr="00EA6C7A">
        <w:rPr>
          <w:rFonts w:ascii="Verdana" w:eastAsia="Batang" w:hAnsi="Verdana"/>
          <w:i/>
          <w:sz w:val="20"/>
          <w:szCs w:val="20"/>
          <w:lang w:val="en-US" w:eastAsia="es-MX"/>
        </w:rPr>
        <w:t xml:space="preserve">the autopsy record. </w:t>
      </w:r>
      <w:r w:rsidR="0096418F"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ha</w:t>
      </w:r>
      <w:r w:rsidR="00913C83" w:rsidRPr="00EA6C7A">
        <w:rPr>
          <w:rFonts w:ascii="Verdana" w:eastAsia="Batang" w:hAnsi="Verdana"/>
          <w:sz w:val="20"/>
          <w:szCs w:val="20"/>
          <w:lang w:val="en-US" w:eastAsia="es-MX"/>
        </w:rPr>
        <w:t xml:space="preserve">s verified that </w:t>
      </w:r>
      <w:r w:rsidR="000821BA" w:rsidRPr="00EA6C7A">
        <w:rPr>
          <w:rFonts w:ascii="Verdana" w:eastAsia="Batang" w:hAnsi="Verdana"/>
          <w:sz w:val="20"/>
          <w:szCs w:val="20"/>
          <w:lang w:val="en-US" w:eastAsia="es-MX"/>
        </w:rPr>
        <w:t xml:space="preserve">the </w:t>
      </w:r>
      <w:r w:rsidR="00913C83" w:rsidRPr="00EA6C7A">
        <w:rPr>
          <w:rFonts w:ascii="Verdana" w:eastAsia="Batang" w:hAnsi="Verdana"/>
          <w:sz w:val="20"/>
          <w:szCs w:val="20"/>
          <w:lang w:val="en-US" w:eastAsia="es-MX"/>
        </w:rPr>
        <w:t xml:space="preserve">Judiciary’s </w:t>
      </w:r>
      <w:r w:rsidR="000821BA" w:rsidRPr="00EA6C7A">
        <w:rPr>
          <w:rFonts w:ascii="Verdana" w:eastAsia="Batang" w:hAnsi="Verdana"/>
          <w:sz w:val="20"/>
          <w:szCs w:val="20"/>
          <w:lang w:val="en-US" w:eastAsia="es-MX"/>
        </w:rPr>
        <w:t>forensic physician</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 xml:space="preserve">who performed </w:t>
      </w:r>
      <w:r w:rsidR="0017063C" w:rsidRPr="00EA6C7A">
        <w:rPr>
          <w:rFonts w:ascii="Verdana" w:eastAsia="Batang" w:hAnsi="Verdana"/>
          <w:sz w:val="20"/>
          <w:szCs w:val="20"/>
          <w:lang w:val="en-US" w:eastAsia="es-MX"/>
        </w:rPr>
        <w:t>Claudina Velásquez</w:t>
      </w:r>
      <w:r w:rsidR="00913C83" w:rsidRPr="00EA6C7A">
        <w:rPr>
          <w:rFonts w:ascii="Verdana" w:eastAsia="Batang" w:hAnsi="Verdana"/>
          <w:sz w:val="20"/>
          <w:szCs w:val="20"/>
          <w:lang w:val="en-US" w:eastAsia="es-MX"/>
        </w:rPr>
        <w:t>’s autopsy incurred</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i</w:t>
      </w:r>
      <w:r w:rsidR="0017063C" w:rsidRPr="00EA6C7A">
        <w:rPr>
          <w:rFonts w:ascii="Verdana" w:eastAsia="Batang" w:hAnsi="Verdana"/>
          <w:sz w:val="20"/>
          <w:szCs w:val="20"/>
          <w:lang w:val="en-US" w:eastAsia="es-MX"/>
        </w:rPr>
        <w:t xml:space="preserve">n </w:t>
      </w:r>
      <w:r w:rsidRPr="00EA6C7A">
        <w:rPr>
          <w:rFonts w:ascii="Verdana" w:eastAsia="Batang" w:hAnsi="Verdana"/>
          <w:sz w:val="20"/>
          <w:szCs w:val="20"/>
          <w:lang w:val="en-US" w:eastAsia="es-MX"/>
        </w:rPr>
        <w:t>irregularities</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when performing it and omitted relevant information when preparing the respective report o</w:t>
      </w:r>
      <w:r w:rsidR="000821BA" w:rsidRPr="00EA6C7A">
        <w:rPr>
          <w:rFonts w:ascii="Verdana" w:eastAsia="Batang" w:hAnsi="Verdana"/>
          <w:sz w:val="20"/>
          <w:szCs w:val="20"/>
          <w:lang w:val="en-US" w:eastAsia="es-MX"/>
        </w:rPr>
        <w:t>n August 16</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 xml:space="preserve">First, in the autopsy report he </w:t>
      </w:r>
      <w:r w:rsidR="00463EE9" w:rsidRPr="00EA6C7A">
        <w:rPr>
          <w:rFonts w:ascii="Verdana" w:eastAsia="Batang" w:hAnsi="Verdana"/>
          <w:sz w:val="20"/>
          <w:szCs w:val="20"/>
          <w:lang w:val="en-US" w:eastAsia="es-MX"/>
        </w:rPr>
        <w:t>failed to</w:t>
      </w:r>
      <w:r w:rsidR="00913C83" w:rsidRPr="00EA6C7A">
        <w:rPr>
          <w:rFonts w:ascii="Verdana" w:eastAsia="Batang" w:hAnsi="Verdana"/>
          <w:sz w:val="20"/>
          <w:szCs w:val="20"/>
          <w:lang w:val="en-US" w:eastAsia="es-MX"/>
        </w:rPr>
        <w:t xml:space="preserve"> indicate the name of the victim, the distance from which the gun was fired, the approximate time and place of death, whether the victim’s genitalia showed signs of rape, </w:t>
      </w:r>
      <w:r w:rsidR="00037322" w:rsidRPr="00EA6C7A">
        <w:rPr>
          <w:rFonts w:ascii="Verdana" w:eastAsia="Batang" w:hAnsi="Verdana"/>
          <w:sz w:val="20"/>
          <w:szCs w:val="20"/>
          <w:lang w:val="en-US" w:eastAsia="es-MX"/>
        </w:rPr>
        <w:t>and</w:t>
      </w:r>
      <w:r w:rsidR="00913C83" w:rsidRPr="00EA6C7A">
        <w:rPr>
          <w:rFonts w:ascii="Verdana" w:eastAsia="Batang" w:hAnsi="Verdana"/>
          <w:sz w:val="20"/>
          <w:szCs w:val="20"/>
          <w:lang w:val="en-US" w:eastAsia="es-MX"/>
        </w:rPr>
        <w:t xml:space="preserve"> the starting and finishing time of the </w:t>
      </w:r>
      <w:r w:rsidR="00463EE9" w:rsidRPr="00EA6C7A">
        <w:rPr>
          <w:rFonts w:ascii="Verdana" w:eastAsia="Batang" w:hAnsi="Verdana"/>
          <w:sz w:val="20"/>
          <w:szCs w:val="20"/>
          <w:lang w:val="en-US" w:eastAsia="es-MX"/>
        </w:rPr>
        <w:t>procedure</w:t>
      </w:r>
      <w:r w:rsidR="00913C83" w:rsidRPr="00EA6C7A">
        <w:rPr>
          <w:rFonts w:ascii="Verdana" w:eastAsia="Batang" w:hAnsi="Verdana"/>
          <w:sz w:val="20"/>
          <w:szCs w:val="20"/>
          <w:lang w:val="en-US" w:eastAsia="es-MX"/>
        </w:rPr>
        <w:t xml:space="preserve">. In view of these omissions, the assistant prosecutor had to request </w:t>
      </w:r>
      <w:r w:rsidR="00463EE9" w:rsidRPr="00EA6C7A">
        <w:rPr>
          <w:rFonts w:ascii="Verdana" w:eastAsia="Batang" w:hAnsi="Verdana"/>
          <w:sz w:val="20"/>
          <w:szCs w:val="20"/>
          <w:lang w:val="en-US" w:eastAsia="es-MX"/>
        </w:rPr>
        <w:t>that the report be expanded and corrected several times</w:t>
      </w:r>
      <w:r w:rsidR="00913C83" w:rsidRPr="00EA6C7A">
        <w:rPr>
          <w:rFonts w:ascii="Verdana" w:eastAsia="Batang" w:hAnsi="Verdana"/>
          <w:sz w:val="20"/>
          <w:szCs w:val="20"/>
          <w:lang w:val="en-US" w:eastAsia="es-MX"/>
        </w:rPr>
        <w:t xml:space="preserve"> and it was not until December 2007 – that is, more than two years after the autopsy was performed – that it was possible to obtain precise information about it (</w:t>
      </w:r>
      <w:r w:rsidR="00913C83" w:rsidRPr="00EA6C7A">
        <w:rPr>
          <w:rFonts w:ascii="Verdana" w:eastAsia="Batang" w:hAnsi="Verdana"/>
          <w:i/>
          <w:sz w:val="20"/>
          <w:szCs w:val="20"/>
          <w:lang w:val="en-US" w:eastAsia="es-MX"/>
        </w:rPr>
        <w:t xml:space="preserve">supra </w:t>
      </w:r>
      <w:r w:rsidR="00913C83" w:rsidRPr="00EA6C7A">
        <w:rPr>
          <w:rFonts w:ascii="Verdana" w:eastAsia="Batang" w:hAnsi="Verdana"/>
          <w:sz w:val="20"/>
          <w:szCs w:val="20"/>
          <w:lang w:val="en-US" w:eastAsia="es-MX"/>
        </w:rPr>
        <w:t xml:space="preserve">para. 61). Second, in both the autopsy report and in its expanded and corrected versions, </w:t>
      </w:r>
      <w:r w:rsidR="000821BA" w:rsidRPr="00EA6C7A">
        <w:rPr>
          <w:rFonts w:ascii="Verdana" w:eastAsia="Batang" w:hAnsi="Verdana"/>
          <w:sz w:val="20"/>
          <w:szCs w:val="20"/>
          <w:lang w:val="en-US" w:eastAsia="es-MX"/>
        </w:rPr>
        <w:t>the forensic physician</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 xml:space="preserve">failed to refer to the bruising on the left side of the victim’s face, information that </w:t>
      </w:r>
      <w:r w:rsidR="00037322" w:rsidRPr="00EA6C7A">
        <w:rPr>
          <w:rFonts w:ascii="Verdana" w:eastAsia="Batang" w:hAnsi="Verdana"/>
          <w:sz w:val="20"/>
          <w:szCs w:val="20"/>
          <w:lang w:val="en-US" w:eastAsia="es-MX"/>
        </w:rPr>
        <w:t>had</w:t>
      </w:r>
      <w:r w:rsidR="00913C83" w:rsidRPr="00EA6C7A">
        <w:rPr>
          <w:rFonts w:ascii="Verdana" w:eastAsia="Batang" w:hAnsi="Verdana"/>
          <w:sz w:val="20"/>
          <w:szCs w:val="20"/>
          <w:lang w:val="en-US" w:eastAsia="es-MX"/>
        </w:rPr>
        <w:t xml:space="preserve"> already</w:t>
      </w:r>
      <w:r w:rsidR="00037322" w:rsidRPr="00EA6C7A">
        <w:rPr>
          <w:rFonts w:ascii="Verdana" w:eastAsia="Batang" w:hAnsi="Verdana"/>
          <w:sz w:val="20"/>
          <w:szCs w:val="20"/>
          <w:lang w:val="en-US" w:eastAsia="es-MX"/>
        </w:rPr>
        <w:t xml:space="preserve"> been</w:t>
      </w:r>
      <w:r w:rsidR="00913C83" w:rsidRPr="00EA6C7A">
        <w:rPr>
          <w:rFonts w:ascii="Verdana" w:eastAsia="Batang" w:hAnsi="Verdana"/>
          <w:sz w:val="20"/>
          <w:szCs w:val="20"/>
          <w:lang w:val="en-US" w:eastAsia="es-MX"/>
        </w:rPr>
        <w:t xml:space="preserve"> recorded in the investigation on </w:t>
      </w:r>
      <w:r w:rsidR="000821BA" w:rsidRPr="00EA6C7A">
        <w:rPr>
          <w:rFonts w:ascii="Verdana" w:eastAsia="Batang" w:hAnsi="Verdana"/>
          <w:sz w:val="20"/>
          <w:szCs w:val="20"/>
          <w:lang w:val="en-US" w:eastAsia="es-MX"/>
        </w:rPr>
        <w:t>August</w:t>
      </w:r>
      <w:r w:rsidR="000B3E6E" w:rsidRPr="00EA6C7A">
        <w:rPr>
          <w:rFonts w:ascii="Verdana" w:eastAsia="Batang" w:hAnsi="Verdana"/>
          <w:sz w:val="20"/>
          <w:szCs w:val="20"/>
          <w:lang w:val="en-US" w:eastAsia="es-MX"/>
        </w:rPr>
        <w:t xml:space="preserve"> 13,</w:t>
      </w:r>
      <w:r w:rsidR="0017063C" w:rsidRPr="00EA6C7A">
        <w:rPr>
          <w:rFonts w:ascii="Verdana" w:eastAsia="Batang" w:hAnsi="Verdana"/>
          <w:sz w:val="20"/>
          <w:szCs w:val="20"/>
          <w:lang w:val="en-US" w:eastAsia="es-MX"/>
        </w:rPr>
        <w:t xml:space="preserve"> 2005</w:t>
      </w:r>
      <w:r w:rsidR="00913C83"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55"/>
      </w:r>
      <w:r w:rsidR="00D948A1" w:rsidRPr="00EA6C7A">
        <w:rPr>
          <w:rFonts w:ascii="Verdana" w:eastAsia="Batang" w:hAnsi="Verdana"/>
          <w:sz w:val="20"/>
          <w:szCs w:val="20"/>
          <w:lang w:val="en-US" w:eastAsia="es-MX"/>
        </w:rPr>
        <w:t xml:space="preserve"> and </w:t>
      </w:r>
      <w:r w:rsidR="00913C83" w:rsidRPr="00EA6C7A">
        <w:rPr>
          <w:rFonts w:ascii="Verdana" w:eastAsia="Batang" w:hAnsi="Verdana"/>
          <w:sz w:val="20"/>
          <w:szCs w:val="20"/>
          <w:lang w:val="en-US" w:eastAsia="es-MX"/>
        </w:rPr>
        <w:t>required a forensic examination. Third, even though the report mentioned that the body of</w:t>
      </w:r>
      <w:r w:rsidR="0017063C" w:rsidRPr="00EA6C7A">
        <w:rPr>
          <w:rFonts w:ascii="Verdana" w:eastAsia="Batang" w:hAnsi="Verdana"/>
          <w:sz w:val="20"/>
          <w:szCs w:val="20"/>
          <w:lang w:val="en-US" w:eastAsia="es-MX"/>
        </w:rPr>
        <w:t xml:space="preserve"> Claudina Velásquez </w:t>
      </w:r>
      <w:r w:rsidR="00913C83" w:rsidRPr="00EA6C7A">
        <w:rPr>
          <w:rFonts w:ascii="Verdana" w:eastAsia="Batang" w:hAnsi="Verdana"/>
          <w:sz w:val="20"/>
          <w:szCs w:val="20"/>
          <w:lang w:val="en-US" w:eastAsia="es-MX"/>
        </w:rPr>
        <w:t>had scratch marks on</w:t>
      </w:r>
      <w:r w:rsidR="00037322" w:rsidRPr="00EA6C7A">
        <w:rPr>
          <w:rFonts w:ascii="Verdana" w:eastAsia="Batang" w:hAnsi="Verdana"/>
          <w:sz w:val="20"/>
          <w:szCs w:val="20"/>
          <w:lang w:val="en-US" w:eastAsia="es-MX"/>
        </w:rPr>
        <w:t xml:space="preserve"> the right side of</w:t>
      </w:r>
      <w:r w:rsidR="00913C83" w:rsidRPr="00EA6C7A">
        <w:rPr>
          <w:rFonts w:ascii="Verdana" w:eastAsia="Batang" w:hAnsi="Verdana"/>
          <w:sz w:val="20"/>
          <w:szCs w:val="20"/>
          <w:lang w:val="en-US" w:eastAsia="es-MX"/>
        </w:rPr>
        <w:t xml:space="preserve"> her back, on the left knee and the back of the left foot, a forensic examination was not made, and the report did not contain an adequate description of these injuries or indicate the characteristics of form, patterns and signs that could </w:t>
      </w:r>
      <w:r w:rsidR="00037322" w:rsidRPr="00EA6C7A">
        <w:rPr>
          <w:rFonts w:ascii="Verdana" w:eastAsia="Batang" w:hAnsi="Verdana"/>
          <w:sz w:val="20"/>
          <w:szCs w:val="20"/>
          <w:lang w:val="en-US" w:eastAsia="es-MX"/>
        </w:rPr>
        <w:t xml:space="preserve">have </w:t>
      </w:r>
      <w:r w:rsidR="00913C83" w:rsidRPr="00EA6C7A">
        <w:rPr>
          <w:rFonts w:ascii="Verdana" w:eastAsia="Batang" w:hAnsi="Verdana"/>
          <w:sz w:val="20"/>
          <w:szCs w:val="20"/>
          <w:lang w:val="en-US" w:eastAsia="es-MX"/>
        </w:rPr>
        <w:t>reveal</w:t>
      </w:r>
      <w:r w:rsidR="00037322" w:rsidRPr="00EA6C7A">
        <w:rPr>
          <w:rFonts w:ascii="Verdana" w:eastAsia="Batang" w:hAnsi="Verdana"/>
          <w:sz w:val="20"/>
          <w:szCs w:val="20"/>
          <w:lang w:val="en-US" w:eastAsia="es-MX"/>
        </w:rPr>
        <w:t>ed</w:t>
      </w:r>
      <w:r w:rsidR="00913C83" w:rsidRPr="00EA6C7A">
        <w:rPr>
          <w:rFonts w:ascii="Verdana" w:eastAsia="Batang" w:hAnsi="Verdana"/>
          <w:sz w:val="20"/>
          <w:szCs w:val="20"/>
          <w:lang w:val="en-US" w:eastAsia="es-MX"/>
        </w:rPr>
        <w:t xml:space="preserve"> whether they occurred before or after her death. It should be recalled that, in the course of the criminal investigation, injuries to the victim’s body were recorded that were apparently without vital reaction; in other words, they occurred after her death</w:t>
      </w:r>
      <w:r w:rsidR="0017063C" w:rsidRPr="00EA6C7A">
        <w:rPr>
          <w:rFonts w:ascii="Verdana" w:eastAsia="Calibri" w:hAnsi="Verdana" w:cs="Arial"/>
          <w:i/>
          <w:sz w:val="20"/>
          <w:szCs w:val="20"/>
          <w:lang w:val="en-US" w:eastAsia="es-MX"/>
        </w:rPr>
        <w:t xml:space="preserve"> (supra </w:t>
      </w:r>
      <w:r w:rsidR="008524CB" w:rsidRPr="00EA6C7A">
        <w:rPr>
          <w:rFonts w:ascii="Verdana" w:eastAsia="Calibri" w:hAnsi="Verdana" w:cs="Arial"/>
          <w:sz w:val="20"/>
          <w:szCs w:val="20"/>
          <w:lang w:val="en-US" w:eastAsia="es-MX"/>
        </w:rPr>
        <w:t>paras.</w:t>
      </w:r>
      <w:r w:rsidR="005B24C1" w:rsidRPr="00EA6C7A">
        <w:rPr>
          <w:rFonts w:ascii="Verdana" w:eastAsia="Calibri" w:hAnsi="Verdana" w:cs="Arial"/>
          <w:sz w:val="20"/>
          <w:szCs w:val="20"/>
          <w:lang w:val="en-US" w:eastAsia="es-MX"/>
        </w:rPr>
        <w:t xml:space="preserve"> 56</w:t>
      </w:r>
      <w:r w:rsidR="00F332B4" w:rsidRPr="00EA6C7A">
        <w:rPr>
          <w:rFonts w:ascii="Verdana" w:eastAsia="Calibri" w:hAnsi="Verdana" w:cs="Arial"/>
          <w:sz w:val="20"/>
          <w:szCs w:val="20"/>
          <w:lang w:val="en-US" w:eastAsia="es-MX"/>
        </w:rPr>
        <w:t>,</w:t>
      </w:r>
      <w:r w:rsidR="005B24C1" w:rsidRPr="00EA6C7A">
        <w:rPr>
          <w:rFonts w:ascii="Verdana" w:eastAsia="Calibri" w:hAnsi="Verdana" w:cs="Arial"/>
          <w:sz w:val="20"/>
          <w:szCs w:val="20"/>
          <w:lang w:val="en-US" w:eastAsia="es-MX"/>
        </w:rPr>
        <w:t xml:space="preserve"> 158</w:t>
      </w:r>
      <w:r w:rsidR="00D948A1" w:rsidRPr="00EA6C7A">
        <w:rPr>
          <w:rFonts w:ascii="Verdana" w:eastAsia="Calibri" w:hAnsi="Verdana" w:cs="Arial"/>
          <w:sz w:val="20"/>
          <w:szCs w:val="20"/>
          <w:lang w:val="en-US" w:eastAsia="es-MX"/>
        </w:rPr>
        <w:t xml:space="preserve"> and </w:t>
      </w:r>
      <w:r w:rsidR="00F332B4" w:rsidRPr="00EA6C7A">
        <w:rPr>
          <w:rFonts w:ascii="Verdana" w:eastAsia="Calibri" w:hAnsi="Verdana" w:cs="Arial"/>
          <w:sz w:val="20"/>
          <w:szCs w:val="20"/>
          <w:lang w:val="en-US" w:eastAsia="es-MX"/>
        </w:rPr>
        <w:t>165</w:t>
      </w:r>
      <w:r w:rsidR="0017063C" w:rsidRPr="00EA6C7A">
        <w:rPr>
          <w:rFonts w:ascii="Verdana" w:eastAsia="Calibri" w:hAnsi="Verdana" w:cs="Arial"/>
          <w:sz w:val="20"/>
          <w:szCs w:val="20"/>
          <w:lang w:val="en-US" w:eastAsia="es-MX"/>
        </w:rPr>
        <w:t>)</w:t>
      </w:r>
      <w:r w:rsidR="00913C83" w:rsidRPr="00EA6C7A">
        <w:rPr>
          <w:rFonts w:ascii="Verdana" w:eastAsia="Calibri" w:hAnsi="Verdana" w:cs="Arial"/>
          <w:sz w:val="20"/>
          <w:szCs w:val="20"/>
          <w:lang w:val="en-US" w:eastAsia="es-MX"/>
        </w:rPr>
        <w:t>.</w:t>
      </w:r>
      <w:r w:rsidR="0017063C" w:rsidRPr="00EA6C7A">
        <w:rPr>
          <w:rStyle w:val="Refdenotaalpie"/>
          <w:rFonts w:ascii="Verdana" w:eastAsia="Calibri" w:hAnsi="Verdana" w:cs="Arial"/>
          <w:sz w:val="20"/>
          <w:szCs w:val="20"/>
          <w:lang w:val="en-US" w:eastAsia="es-MX"/>
        </w:rPr>
        <w:footnoteReference w:id="256"/>
      </w:r>
      <w:r w:rsidR="00913C83" w:rsidRPr="00EA6C7A">
        <w:rPr>
          <w:rFonts w:ascii="Verdana" w:eastAsia="Calibri" w:hAnsi="Verdana" w:cs="Arial"/>
          <w:sz w:val="20"/>
          <w:szCs w:val="20"/>
          <w:lang w:val="en-US" w:eastAsia="es-MX"/>
        </w:rPr>
        <w:t xml:space="preserve"> Fourth, during the autopsy, </w:t>
      </w:r>
      <w:r w:rsidR="000821BA" w:rsidRPr="00EA6C7A">
        <w:rPr>
          <w:rFonts w:ascii="Verdana" w:eastAsia="Batang" w:hAnsi="Verdana"/>
          <w:sz w:val="20"/>
          <w:szCs w:val="20"/>
          <w:lang w:val="en-US" w:eastAsia="es-MX"/>
        </w:rPr>
        <w:t>the forensic physician</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failed to take the victim’s fingerprints</w:t>
      </w:r>
      <w:r w:rsidR="00037322" w:rsidRPr="00EA6C7A">
        <w:rPr>
          <w:rFonts w:ascii="Verdana" w:eastAsia="Batang" w:hAnsi="Verdana"/>
          <w:sz w:val="20"/>
          <w:szCs w:val="20"/>
          <w:lang w:val="en-US" w:eastAsia="es-MX"/>
        </w:rPr>
        <w:t>; thus,</w:t>
      </w:r>
      <w:r w:rsidR="00913C83" w:rsidRPr="00EA6C7A">
        <w:rPr>
          <w:rFonts w:ascii="Verdana" w:eastAsia="Batang" w:hAnsi="Verdana"/>
          <w:sz w:val="20"/>
          <w:szCs w:val="20"/>
          <w:lang w:val="en-US" w:eastAsia="es-MX"/>
        </w:rPr>
        <w:t xml:space="preserve"> that </w:t>
      </w:r>
      <w:r w:rsidR="000821BA" w:rsidRPr="00EA6C7A">
        <w:rPr>
          <w:rFonts w:ascii="Verdana" w:eastAsia="Batang" w:hAnsi="Verdana"/>
          <w:sz w:val="20"/>
          <w:szCs w:val="20"/>
          <w:lang w:val="en-US" w:eastAsia="es-MX"/>
        </w:rPr>
        <w:t>the assistant prosecutor</w:t>
      </w:r>
      <w:r w:rsidR="00D948A1" w:rsidRPr="00EA6C7A">
        <w:rPr>
          <w:rFonts w:ascii="Verdana" w:eastAsia="Batang" w:hAnsi="Verdana"/>
          <w:sz w:val="20"/>
          <w:szCs w:val="20"/>
          <w:lang w:val="en-US" w:eastAsia="es-MX"/>
        </w:rPr>
        <w:t xml:space="preserve"> and </w:t>
      </w:r>
      <w:r w:rsidR="00913C83" w:rsidRPr="00EA6C7A">
        <w:rPr>
          <w:rFonts w:ascii="Verdana" w:eastAsia="Batang" w:hAnsi="Verdana"/>
          <w:sz w:val="20"/>
          <w:szCs w:val="20"/>
          <w:lang w:val="en-US" w:eastAsia="es-MX"/>
        </w:rPr>
        <w:t>the</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c</w:t>
      </w:r>
      <w:r w:rsidR="00EF1D78" w:rsidRPr="00EA6C7A">
        <w:rPr>
          <w:rFonts w:ascii="Verdana" w:eastAsia="Batang" w:hAnsi="Verdana"/>
          <w:sz w:val="20"/>
          <w:szCs w:val="20"/>
          <w:lang w:val="en-US" w:eastAsia="es-MX"/>
        </w:rPr>
        <w:t>riminal investigation experts</w:t>
      </w:r>
      <w:r w:rsidR="0017063C"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of the Public</w:t>
      </w:r>
      <w:r w:rsidR="00B3248B" w:rsidRPr="00EA6C7A">
        <w:rPr>
          <w:rFonts w:ascii="Verdana" w:eastAsia="Batang" w:hAnsi="Verdana"/>
          <w:sz w:val="20"/>
          <w:szCs w:val="20"/>
          <w:lang w:val="en-US" w:eastAsia="es-MX"/>
        </w:rPr>
        <w:t xml:space="preserve"> Prosecution Service</w:t>
      </w:r>
      <w:r w:rsidR="0017063C" w:rsidRPr="00EA6C7A">
        <w:rPr>
          <w:rFonts w:ascii="Verdana" w:eastAsia="Batang" w:hAnsi="Verdana"/>
          <w:sz w:val="20"/>
          <w:szCs w:val="20"/>
          <w:lang w:val="en-US" w:eastAsia="es-MX"/>
        </w:rPr>
        <w:t xml:space="preserve"> </w:t>
      </w:r>
      <w:r w:rsidR="00913C83" w:rsidRPr="00EA6C7A">
        <w:rPr>
          <w:rFonts w:ascii="Verdana" w:eastAsia="Batang" w:hAnsi="Verdana"/>
          <w:sz w:val="20"/>
          <w:szCs w:val="20"/>
          <w:lang w:val="en-US" w:eastAsia="es-MX"/>
        </w:rPr>
        <w:t>had to go to the funeral home to take the fingerprints</w:t>
      </w:r>
      <w:r w:rsidR="0017063C" w:rsidRPr="00EA6C7A">
        <w:rPr>
          <w:rFonts w:ascii="Verdana" w:eastAsia="Batang" w:hAnsi="Verdana"/>
          <w:sz w:val="20"/>
          <w:szCs w:val="20"/>
          <w:lang w:val="en-US" w:eastAsia="es-MX"/>
        </w:rPr>
        <w:t>.</w:t>
      </w:r>
    </w:p>
    <w:p w14:paraId="27AB0696" w14:textId="77777777" w:rsidR="0017063C" w:rsidRPr="00EA6C7A" w:rsidRDefault="0017063C" w:rsidP="00037322">
      <w:pPr>
        <w:tabs>
          <w:tab w:val="left" w:pos="720"/>
        </w:tabs>
        <w:autoSpaceDE w:val="0"/>
        <w:autoSpaceDN w:val="0"/>
        <w:adjustRightInd w:val="0"/>
        <w:spacing w:after="0" w:line="240" w:lineRule="auto"/>
        <w:jc w:val="both"/>
        <w:rPr>
          <w:rFonts w:ascii="Verdana" w:hAnsi="Verdana"/>
          <w:sz w:val="20"/>
          <w:szCs w:val="20"/>
          <w:lang w:val="en-US"/>
        </w:rPr>
      </w:pPr>
    </w:p>
    <w:p w14:paraId="67287810" w14:textId="77777777" w:rsidR="0017063C" w:rsidRPr="00EA6C7A" w:rsidRDefault="00043FBD" w:rsidP="00037322">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cs="Arial"/>
          <w:i/>
          <w:sz w:val="20"/>
          <w:szCs w:val="20"/>
          <w:lang w:val="en-US" w:eastAsia="es-MX"/>
        </w:rPr>
        <w:t>Irregularities</w:t>
      </w:r>
      <w:r w:rsidR="00D948A1" w:rsidRPr="00EA6C7A">
        <w:rPr>
          <w:rFonts w:ascii="Verdana" w:eastAsia="Batang" w:hAnsi="Verdana" w:cs="Arial"/>
          <w:i/>
          <w:sz w:val="20"/>
          <w:szCs w:val="20"/>
          <w:lang w:val="en-US" w:eastAsia="es-MX"/>
        </w:rPr>
        <w:t xml:space="preserve"> and </w:t>
      </w:r>
      <w:r w:rsidR="0017063C" w:rsidRPr="00EA6C7A">
        <w:rPr>
          <w:rFonts w:ascii="Verdana" w:eastAsia="Batang" w:hAnsi="Verdana" w:cs="Arial"/>
          <w:i/>
          <w:sz w:val="20"/>
          <w:szCs w:val="20"/>
          <w:lang w:val="en-US" w:eastAsia="es-MX"/>
        </w:rPr>
        <w:t>fa</w:t>
      </w:r>
      <w:r w:rsidR="00913C83" w:rsidRPr="00EA6C7A">
        <w:rPr>
          <w:rFonts w:ascii="Verdana" w:eastAsia="Batang" w:hAnsi="Verdana" w:cs="Arial"/>
          <w:i/>
          <w:sz w:val="20"/>
          <w:szCs w:val="20"/>
          <w:lang w:val="en-US" w:eastAsia="es-MX"/>
        </w:rPr>
        <w:t xml:space="preserve">ilure to determine the time of death. </w:t>
      </w:r>
      <w:r w:rsidR="0096418F" w:rsidRPr="00EA6C7A">
        <w:rPr>
          <w:rFonts w:ascii="Verdana" w:eastAsia="Batang" w:hAnsi="Verdana" w:cs="Arial"/>
          <w:sz w:val="20"/>
          <w:szCs w:val="20"/>
          <w:lang w:val="en-US" w:eastAsia="es-MX"/>
        </w:rPr>
        <w:t>The Court</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notes that contradictions and irregularities occurred in the course of the criminal investigation</w:t>
      </w:r>
      <w:r w:rsidR="00F1267B"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 xml:space="preserve">in relation to determination of the time of death of </w:t>
      </w:r>
      <w:r w:rsidR="0017063C" w:rsidRPr="00EA6C7A">
        <w:rPr>
          <w:rFonts w:ascii="Verdana" w:eastAsia="Batang" w:hAnsi="Verdana" w:cs="Arial"/>
          <w:sz w:val="20"/>
          <w:szCs w:val="20"/>
          <w:lang w:val="en-US" w:eastAsia="es-MX"/>
        </w:rPr>
        <w:t>Claudina Velásquez</w:t>
      </w:r>
      <w:r w:rsidR="00D948A1" w:rsidRPr="00EA6C7A">
        <w:rPr>
          <w:rFonts w:ascii="Verdana" w:eastAsia="Batang" w:hAnsi="Verdana" w:cs="Arial"/>
          <w:sz w:val="20"/>
          <w:szCs w:val="20"/>
          <w:lang w:val="en-US" w:eastAsia="es-MX"/>
        </w:rPr>
        <w:t xml:space="preserve"> and </w:t>
      </w:r>
      <w:r w:rsidR="00913C83" w:rsidRPr="00EA6C7A">
        <w:rPr>
          <w:rFonts w:ascii="Verdana" w:eastAsia="Batang" w:hAnsi="Verdana" w:cs="Arial"/>
          <w:sz w:val="20"/>
          <w:szCs w:val="20"/>
          <w:lang w:val="en-US" w:eastAsia="es-MX"/>
        </w:rPr>
        <w:t xml:space="preserve">that, ten years later, there is still no certainty about the approximate time it occurred. First, the death certificate issued on </w:t>
      </w:r>
      <w:r w:rsidR="000821BA" w:rsidRPr="00EA6C7A">
        <w:rPr>
          <w:rFonts w:ascii="Verdana" w:eastAsia="Batang" w:hAnsi="Verdana" w:cs="Arial"/>
          <w:sz w:val="20"/>
          <w:szCs w:val="20"/>
          <w:lang w:val="en-US" w:eastAsia="es-MX"/>
        </w:rPr>
        <w:t>August</w:t>
      </w:r>
      <w:r w:rsidR="000B3E6E" w:rsidRPr="00EA6C7A">
        <w:rPr>
          <w:rFonts w:ascii="Verdana" w:eastAsia="Batang" w:hAnsi="Verdana" w:cs="Arial"/>
          <w:sz w:val="20"/>
          <w:szCs w:val="20"/>
          <w:lang w:val="en-US" w:eastAsia="es-MX"/>
        </w:rPr>
        <w:t xml:space="preserve"> 13,</w:t>
      </w:r>
      <w:r w:rsidR="0017063C" w:rsidRPr="00EA6C7A">
        <w:rPr>
          <w:rFonts w:ascii="Verdana" w:eastAsia="Batang" w:hAnsi="Verdana" w:cs="Arial"/>
          <w:sz w:val="20"/>
          <w:szCs w:val="20"/>
          <w:lang w:val="en-US" w:eastAsia="es-MX"/>
        </w:rPr>
        <w:t xml:space="preserve"> 2005</w:t>
      </w:r>
      <w:r w:rsidR="00913C83"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 indica</w:t>
      </w:r>
      <w:r w:rsidR="00913C83" w:rsidRPr="00EA6C7A">
        <w:rPr>
          <w:rFonts w:ascii="Verdana" w:eastAsia="Batang" w:hAnsi="Verdana" w:cs="Arial"/>
          <w:sz w:val="20"/>
          <w:szCs w:val="20"/>
          <w:lang w:val="en-US" w:eastAsia="es-MX"/>
        </w:rPr>
        <w:t xml:space="preserve">ted that the victim died at </w:t>
      </w:r>
      <w:r w:rsidR="0017063C" w:rsidRPr="00EA6C7A">
        <w:rPr>
          <w:rFonts w:ascii="Verdana" w:eastAsia="Batang" w:hAnsi="Verdana" w:cs="Arial"/>
          <w:sz w:val="20"/>
          <w:szCs w:val="20"/>
          <w:lang w:val="en-US" w:eastAsia="es-MX"/>
        </w:rPr>
        <w:t>6</w:t>
      </w:r>
      <w:r w:rsidR="00037322"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30 a.m.</w:t>
      </w:r>
      <w:r w:rsidR="0017063C" w:rsidRPr="00EA6C7A">
        <w:rPr>
          <w:rFonts w:ascii="Verdana" w:eastAsia="Batang" w:hAnsi="Verdana" w:cs="Arial"/>
          <w:sz w:val="20"/>
          <w:szCs w:val="20"/>
          <w:vertAlign w:val="superscript"/>
          <w:lang w:val="en-US" w:eastAsia="es-MX"/>
        </w:rPr>
        <w:footnoteReference w:id="257"/>
      </w:r>
      <w:r w:rsidR="0017063C" w:rsidRPr="00EA6C7A">
        <w:rPr>
          <w:rFonts w:ascii="Verdana" w:eastAsia="Batang" w:hAnsi="Verdana" w:cs="Arial"/>
          <w:sz w:val="20"/>
          <w:szCs w:val="20"/>
          <w:lang w:val="en-US" w:eastAsia="es-MX"/>
        </w:rPr>
        <w:t xml:space="preserve"> Se</w:t>
      </w:r>
      <w:r w:rsidR="00913C83" w:rsidRPr="00EA6C7A">
        <w:rPr>
          <w:rFonts w:ascii="Verdana" w:eastAsia="Batang" w:hAnsi="Verdana" w:cs="Arial"/>
          <w:sz w:val="20"/>
          <w:szCs w:val="20"/>
          <w:lang w:val="en-US" w:eastAsia="es-MX"/>
        </w:rPr>
        <w:t>cond, the report of the forensic medical examination at the scene of the crime on</w:t>
      </w:r>
      <w:r w:rsidR="0017063C" w:rsidRPr="00EA6C7A">
        <w:rPr>
          <w:rFonts w:ascii="Verdana" w:eastAsia="Batang" w:hAnsi="Verdana" w:cs="Arial"/>
          <w:sz w:val="20"/>
          <w:szCs w:val="20"/>
          <w:lang w:val="en-US" w:eastAsia="es-MX"/>
        </w:rPr>
        <w:t xml:space="preserve"> </w:t>
      </w:r>
      <w:r w:rsidR="007B566E" w:rsidRPr="00EA6C7A">
        <w:rPr>
          <w:rFonts w:ascii="Verdana" w:eastAsia="Batang" w:hAnsi="Verdana" w:cs="Arial"/>
          <w:sz w:val="20"/>
          <w:szCs w:val="20"/>
          <w:lang w:val="en-US" w:eastAsia="es-MX"/>
        </w:rPr>
        <w:t>August</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30,</w:t>
      </w:r>
      <w:r w:rsidR="0017063C" w:rsidRPr="00EA6C7A">
        <w:rPr>
          <w:rFonts w:ascii="Verdana" w:eastAsia="Batang" w:hAnsi="Verdana" w:cs="Arial"/>
          <w:sz w:val="20"/>
          <w:szCs w:val="20"/>
          <w:lang w:val="en-US" w:eastAsia="es-MX"/>
        </w:rPr>
        <w:t xml:space="preserve"> 2005</w:t>
      </w:r>
      <w:r w:rsidR="00913C83"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 indica</w:t>
      </w:r>
      <w:r w:rsidR="00913C83" w:rsidRPr="00EA6C7A">
        <w:rPr>
          <w:rFonts w:ascii="Verdana" w:eastAsia="Batang" w:hAnsi="Verdana" w:cs="Arial"/>
          <w:sz w:val="20"/>
          <w:szCs w:val="20"/>
          <w:lang w:val="en-US" w:eastAsia="es-MX"/>
        </w:rPr>
        <w:t xml:space="preserve">ted that this examination was performed at </w:t>
      </w:r>
      <w:r w:rsidR="0017063C" w:rsidRPr="00EA6C7A">
        <w:rPr>
          <w:rFonts w:ascii="Verdana" w:eastAsia="Batang" w:hAnsi="Verdana" w:cs="Arial"/>
          <w:sz w:val="20"/>
          <w:szCs w:val="20"/>
          <w:lang w:val="en-US" w:eastAsia="es-MX"/>
        </w:rPr>
        <w:t>8</w:t>
      </w:r>
      <w:r w:rsidR="00037322"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10 a.m. </w:t>
      </w:r>
      <w:r w:rsidR="00913C83" w:rsidRPr="00EA6C7A">
        <w:rPr>
          <w:rFonts w:ascii="Verdana" w:eastAsia="Batang" w:hAnsi="Verdana" w:cs="Arial"/>
          <w:sz w:val="20"/>
          <w:szCs w:val="20"/>
          <w:lang w:val="en-US" w:eastAsia="es-MX"/>
        </w:rPr>
        <w:t>o</w:t>
      </w:r>
      <w:r w:rsidR="000821BA" w:rsidRPr="00EA6C7A">
        <w:rPr>
          <w:rFonts w:ascii="Verdana" w:eastAsia="Batang" w:hAnsi="Verdana" w:cs="Arial"/>
          <w:sz w:val="20"/>
          <w:szCs w:val="20"/>
          <w:lang w:val="en-US" w:eastAsia="es-MX"/>
        </w:rPr>
        <w:t>n August</w:t>
      </w:r>
      <w:r w:rsidR="000B3E6E" w:rsidRPr="00EA6C7A">
        <w:rPr>
          <w:rFonts w:ascii="Verdana" w:eastAsia="Batang" w:hAnsi="Verdana" w:cs="Arial"/>
          <w:sz w:val="20"/>
          <w:szCs w:val="20"/>
          <w:lang w:val="en-US" w:eastAsia="es-MX"/>
        </w:rPr>
        <w:t xml:space="preserve"> 13,</w:t>
      </w:r>
      <w:r w:rsidR="0017063C" w:rsidRPr="00EA6C7A">
        <w:rPr>
          <w:rFonts w:ascii="Verdana" w:eastAsia="Batang" w:hAnsi="Verdana" w:cs="Arial"/>
          <w:sz w:val="20"/>
          <w:szCs w:val="20"/>
          <w:lang w:val="en-US" w:eastAsia="es-MX"/>
        </w:rPr>
        <w:t xml:space="preserve"> 2005</w:t>
      </w:r>
      <w:r w:rsidR="00913C83" w:rsidRPr="00EA6C7A">
        <w:rPr>
          <w:rFonts w:ascii="Verdana" w:eastAsia="Batang" w:hAnsi="Verdana" w:cs="Arial"/>
          <w:sz w:val="20"/>
          <w:szCs w:val="20"/>
          <w:lang w:val="en-US" w:eastAsia="es-MX"/>
        </w:rPr>
        <w:t>,</w:t>
      </w:r>
      <w:r w:rsidR="00D948A1" w:rsidRPr="00EA6C7A">
        <w:rPr>
          <w:rFonts w:ascii="Verdana" w:eastAsia="Batang" w:hAnsi="Verdana" w:cs="Arial"/>
          <w:sz w:val="20"/>
          <w:szCs w:val="20"/>
          <w:lang w:val="en-US" w:eastAsia="es-MX"/>
        </w:rPr>
        <w:t xml:space="preserve"> and </w:t>
      </w:r>
      <w:r w:rsidR="00913C83" w:rsidRPr="00EA6C7A">
        <w:rPr>
          <w:rFonts w:ascii="Verdana" w:eastAsia="Batang" w:hAnsi="Verdana" w:cs="Arial"/>
          <w:sz w:val="20"/>
          <w:szCs w:val="20"/>
          <w:lang w:val="en-US" w:eastAsia="es-MX"/>
        </w:rPr>
        <w:t>that the estimated time since the death of the victim was from one to three hours,</w:t>
      </w:r>
      <w:r w:rsidR="0017063C" w:rsidRPr="00EA6C7A">
        <w:rPr>
          <w:rFonts w:ascii="Verdana" w:eastAsia="Batang" w:hAnsi="Verdana"/>
          <w:sz w:val="20"/>
          <w:szCs w:val="20"/>
          <w:vertAlign w:val="superscript"/>
          <w:lang w:val="en-US" w:eastAsia="es-MX"/>
        </w:rPr>
        <w:footnoteReference w:id="258"/>
      </w:r>
      <w:r w:rsidR="00913C83" w:rsidRPr="00EA6C7A">
        <w:rPr>
          <w:rFonts w:ascii="Verdana" w:eastAsia="Batang" w:hAnsi="Verdana" w:cs="Arial"/>
          <w:sz w:val="20"/>
          <w:szCs w:val="20"/>
          <w:lang w:val="en-US" w:eastAsia="es-MX"/>
        </w:rPr>
        <w:t xml:space="preserve"> which suggest</w:t>
      </w:r>
      <w:r w:rsidR="00037322" w:rsidRPr="00EA6C7A">
        <w:rPr>
          <w:rFonts w:ascii="Verdana" w:eastAsia="Batang" w:hAnsi="Verdana" w:cs="Arial"/>
          <w:sz w:val="20"/>
          <w:szCs w:val="20"/>
          <w:lang w:val="en-US" w:eastAsia="es-MX"/>
        </w:rPr>
        <w:t>s</w:t>
      </w:r>
      <w:r w:rsidR="00913C83" w:rsidRPr="00EA6C7A">
        <w:rPr>
          <w:rFonts w:ascii="Verdana" w:eastAsia="Batang" w:hAnsi="Verdana" w:cs="Arial"/>
          <w:sz w:val="20"/>
          <w:szCs w:val="20"/>
          <w:lang w:val="en-US" w:eastAsia="es-MX"/>
        </w:rPr>
        <w:t xml:space="preserve"> that the approximate </w:t>
      </w:r>
      <w:r w:rsidR="00913C83" w:rsidRPr="00EA6C7A">
        <w:rPr>
          <w:rFonts w:ascii="Verdana" w:eastAsia="Batang" w:hAnsi="Verdana" w:cs="Arial"/>
          <w:sz w:val="20"/>
          <w:szCs w:val="20"/>
          <w:lang w:val="en-US" w:eastAsia="es-MX"/>
        </w:rPr>
        <w:lastRenderedPageBreak/>
        <w:t>time of death was between</w:t>
      </w:r>
      <w:r w:rsidR="0017063C" w:rsidRPr="00EA6C7A">
        <w:rPr>
          <w:rFonts w:ascii="Verdana" w:eastAsia="Batang" w:hAnsi="Verdana" w:cs="Arial"/>
          <w:sz w:val="20"/>
          <w:szCs w:val="20"/>
          <w:lang w:val="en-US" w:eastAsia="es-MX"/>
        </w:rPr>
        <w:t xml:space="preserve"> 5 a.m.</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 xml:space="preserve">7 a.m. </w:t>
      </w:r>
      <w:r w:rsidR="00913C83" w:rsidRPr="00EA6C7A">
        <w:rPr>
          <w:rFonts w:ascii="Verdana" w:eastAsia="Batang" w:hAnsi="Verdana" w:cs="Arial"/>
          <w:sz w:val="20"/>
          <w:szCs w:val="20"/>
          <w:lang w:val="en-US" w:eastAsia="es-MX"/>
        </w:rPr>
        <w:t>Subsequently, on June 21,</w:t>
      </w:r>
      <w:r w:rsidR="0017063C" w:rsidRPr="00EA6C7A">
        <w:rPr>
          <w:rFonts w:ascii="Verdana" w:eastAsia="Batang" w:hAnsi="Verdana" w:cs="Arial"/>
          <w:sz w:val="20"/>
          <w:szCs w:val="20"/>
          <w:lang w:val="en-US" w:eastAsia="es-MX"/>
        </w:rPr>
        <w:t xml:space="preserve"> 2006</w:t>
      </w:r>
      <w:r w:rsidR="00913C83"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 </w:t>
      </w:r>
      <w:r w:rsidR="000821BA" w:rsidRPr="00EA6C7A">
        <w:rPr>
          <w:rFonts w:ascii="Verdana" w:eastAsia="Batang" w:hAnsi="Verdana" w:cs="Arial"/>
          <w:sz w:val="20"/>
          <w:szCs w:val="20"/>
          <w:lang w:val="en-US" w:eastAsia="es-MX"/>
        </w:rPr>
        <w:t>the forensic physician</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informed the</w:t>
      </w:r>
      <w:r w:rsidR="00D75E80" w:rsidRPr="00EA6C7A">
        <w:rPr>
          <w:rFonts w:ascii="Verdana" w:eastAsia="Batang" w:hAnsi="Verdana" w:cs="Arial"/>
          <w:sz w:val="20"/>
          <w:szCs w:val="20"/>
          <w:lang w:val="en-US" w:eastAsia="es-MX"/>
        </w:rPr>
        <w:t xml:space="preserve"> assistant prosecutor</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 xml:space="preserve">that the correct time the examination was carried out was </w:t>
      </w:r>
      <w:r w:rsidR="0017063C" w:rsidRPr="00EA6C7A">
        <w:rPr>
          <w:rFonts w:ascii="Verdana" w:eastAsia="Batang" w:hAnsi="Verdana" w:cs="Arial"/>
          <w:sz w:val="20"/>
          <w:szCs w:val="20"/>
          <w:lang w:val="en-US" w:eastAsia="es-MX"/>
        </w:rPr>
        <w:t>6</w:t>
      </w:r>
      <w:r w:rsidR="00037322"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55 a.m.</w:t>
      </w:r>
      <w:r w:rsidR="00913C83" w:rsidRPr="00EA6C7A">
        <w:rPr>
          <w:rFonts w:ascii="Verdana" w:eastAsia="Batang" w:hAnsi="Verdana" w:cs="Arial"/>
          <w:sz w:val="20"/>
          <w:szCs w:val="20"/>
          <w:lang w:val="en-US" w:eastAsia="es-MX"/>
        </w:rPr>
        <w:t>,</w:t>
      </w:r>
      <w:r w:rsidR="0017063C" w:rsidRPr="00EA6C7A">
        <w:rPr>
          <w:rFonts w:ascii="Verdana" w:eastAsia="Batang" w:hAnsi="Verdana" w:cs="Arial"/>
          <w:sz w:val="20"/>
          <w:szCs w:val="20"/>
          <w:vertAlign w:val="superscript"/>
          <w:lang w:val="en-US" w:eastAsia="es-MX"/>
        </w:rPr>
        <w:footnoteReference w:id="259"/>
      </w:r>
      <w:r w:rsidR="00913C83" w:rsidRPr="00EA6C7A">
        <w:rPr>
          <w:rFonts w:ascii="Verdana" w:eastAsia="Batang" w:hAnsi="Verdana" w:cs="Arial"/>
          <w:sz w:val="20"/>
          <w:szCs w:val="20"/>
          <w:lang w:val="en-US" w:eastAsia="es-MX"/>
        </w:rPr>
        <w:t xml:space="preserve"> which suggests that the time of death was between </w:t>
      </w:r>
      <w:r w:rsidR="0017063C" w:rsidRPr="00EA6C7A">
        <w:rPr>
          <w:rFonts w:ascii="Verdana" w:eastAsia="Batang" w:hAnsi="Verdana" w:cs="Arial"/>
          <w:sz w:val="20"/>
          <w:szCs w:val="20"/>
          <w:lang w:val="en-US" w:eastAsia="es-MX"/>
        </w:rPr>
        <w:t>4 a.m.</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6 a.m. T</w:t>
      </w:r>
      <w:r w:rsidR="00913C83" w:rsidRPr="00EA6C7A">
        <w:rPr>
          <w:rFonts w:ascii="Verdana" w:eastAsia="Batang" w:hAnsi="Verdana" w:cs="Arial"/>
          <w:sz w:val="20"/>
          <w:szCs w:val="20"/>
          <w:lang w:val="en-US" w:eastAsia="es-MX"/>
        </w:rPr>
        <w:t>hird</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on December 3,</w:t>
      </w:r>
      <w:r w:rsidR="0017063C" w:rsidRPr="00EA6C7A">
        <w:rPr>
          <w:rFonts w:ascii="Verdana" w:eastAsia="Batang" w:hAnsi="Verdana" w:cs="Arial"/>
          <w:sz w:val="20"/>
          <w:szCs w:val="20"/>
          <w:lang w:val="en-US" w:eastAsia="es-MX"/>
        </w:rPr>
        <w:t xml:space="preserve"> 2007</w:t>
      </w:r>
      <w:r w:rsidR="00913C83"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 </w:t>
      </w:r>
      <w:r w:rsidR="000821BA" w:rsidRPr="00EA6C7A">
        <w:rPr>
          <w:rFonts w:ascii="Verdana" w:eastAsia="Batang" w:hAnsi="Verdana" w:cs="Arial"/>
          <w:sz w:val="20"/>
          <w:szCs w:val="20"/>
          <w:lang w:val="en-US" w:eastAsia="es-MX"/>
        </w:rPr>
        <w:t>the forensic physician</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who performed the autopsy advised</w:t>
      </w:r>
      <w:r w:rsidR="00037322" w:rsidRPr="00EA6C7A">
        <w:rPr>
          <w:rFonts w:ascii="Verdana" w:eastAsia="Batang" w:hAnsi="Verdana" w:cs="Arial"/>
          <w:sz w:val="20"/>
          <w:szCs w:val="20"/>
          <w:lang w:val="en-US" w:eastAsia="es-MX"/>
        </w:rPr>
        <w:t xml:space="preserve"> that</w:t>
      </w:r>
      <w:r w:rsidR="00913C83" w:rsidRPr="00EA6C7A">
        <w:rPr>
          <w:rFonts w:ascii="Verdana" w:eastAsia="Batang" w:hAnsi="Verdana" w:cs="Arial"/>
          <w:sz w:val="20"/>
          <w:szCs w:val="20"/>
          <w:lang w:val="en-US" w:eastAsia="es-MX"/>
        </w:rPr>
        <w:t xml:space="preserve"> the procedure had started at </w:t>
      </w:r>
      <w:r w:rsidR="0017063C" w:rsidRPr="00EA6C7A">
        <w:rPr>
          <w:rFonts w:ascii="Verdana" w:eastAsia="Batang" w:hAnsi="Verdana" w:cs="Arial"/>
          <w:sz w:val="20"/>
          <w:szCs w:val="20"/>
          <w:lang w:val="en-US" w:eastAsia="es-MX"/>
        </w:rPr>
        <w:t>11 a.m.</w:t>
      </w:r>
      <w:r w:rsidR="00D948A1" w:rsidRPr="00EA6C7A">
        <w:rPr>
          <w:rFonts w:ascii="Verdana" w:eastAsia="Batang" w:hAnsi="Verdana" w:cs="Arial"/>
          <w:sz w:val="20"/>
          <w:szCs w:val="20"/>
          <w:lang w:val="en-US" w:eastAsia="es-MX"/>
        </w:rPr>
        <w:t xml:space="preserve"> and </w:t>
      </w:r>
      <w:r w:rsidR="00913C83" w:rsidRPr="00EA6C7A">
        <w:rPr>
          <w:rFonts w:ascii="Verdana" w:eastAsia="Batang" w:hAnsi="Verdana" w:cs="Arial"/>
          <w:sz w:val="20"/>
          <w:szCs w:val="20"/>
          <w:lang w:val="en-US" w:eastAsia="es-MX"/>
        </w:rPr>
        <w:t>ended at</w:t>
      </w:r>
      <w:r w:rsidR="0017063C" w:rsidRPr="00EA6C7A">
        <w:rPr>
          <w:rFonts w:ascii="Verdana" w:eastAsia="Batang" w:hAnsi="Verdana" w:cs="Arial"/>
          <w:sz w:val="20"/>
          <w:szCs w:val="20"/>
          <w:lang w:val="en-US" w:eastAsia="es-MX"/>
        </w:rPr>
        <w:t xml:space="preserve"> 12 m. </w:t>
      </w:r>
      <w:r w:rsidR="00913C83" w:rsidRPr="00EA6C7A">
        <w:rPr>
          <w:rFonts w:ascii="Verdana" w:eastAsia="Batang" w:hAnsi="Verdana" w:cs="Arial"/>
          <w:sz w:val="20"/>
          <w:szCs w:val="20"/>
          <w:lang w:val="en-US" w:eastAsia="es-MX"/>
        </w:rPr>
        <w:t>o</w:t>
      </w:r>
      <w:r w:rsidR="000821BA" w:rsidRPr="00EA6C7A">
        <w:rPr>
          <w:rFonts w:ascii="Verdana" w:eastAsia="Batang" w:hAnsi="Verdana" w:cs="Arial"/>
          <w:sz w:val="20"/>
          <w:szCs w:val="20"/>
          <w:lang w:val="en-US" w:eastAsia="es-MX"/>
        </w:rPr>
        <w:t>n August</w:t>
      </w:r>
      <w:r w:rsidR="000B3E6E" w:rsidRPr="00EA6C7A">
        <w:rPr>
          <w:rFonts w:ascii="Verdana" w:eastAsia="Batang" w:hAnsi="Verdana" w:cs="Arial"/>
          <w:sz w:val="20"/>
          <w:szCs w:val="20"/>
          <w:lang w:val="en-US" w:eastAsia="es-MX"/>
        </w:rPr>
        <w:t xml:space="preserve"> 13,</w:t>
      </w:r>
      <w:r w:rsidR="0017063C" w:rsidRPr="00EA6C7A">
        <w:rPr>
          <w:rFonts w:ascii="Verdana" w:eastAsia="Batang" w:hAnsi="Verdana" w:cs="Arial"/>
          <w:sz w:val="20"/>
          <w:szCs w:val="20"/>
          <w:lang w:val="en-US" w:eastAsia="es-MX"/>
        </w:rPr>
        <w:t xml:space="preserve"> 2005,</w:t>
      </w:r>
      <w:r w:rsidR="00D948A1" w:rsidRPr="00EA6C7A">
        <w:rPr>
          <w:rFonts w:ascii="Verdana" w:eastAsia="Batang" w:hAnsi="Verdana" w:cs="Arial"/>
          <w:sz w:val="20"/>
          <w:szCs w:val="20"/>
          <w:lang w:val="en-US" w:eastAsia="es-MX"/>
        </w:rPr>
        <w:t xml:space="preserve"> and </w:t>
      </w:r>
      <w:r w:rsidR="00913C83" w:rsidRPr="00EA6C7A">
        <w:rPr>
          <w:rFonts w:ascii="Verdana" w:eastAsia="Batang" w:hAnsi="Verdana" w:cs="Arial"/>
          <w:sz w:val="20"/>
          <w:szCs w:val="20"/>
          <w:lang w:val="en-US" w:eastAsia="es-MX"/>
        </w:rPr>
        <w:t xml:space="preserve">that the victim had been dead for between </w:t>
      </w:r>
      <w:r w:rsidR="0017063C" w:rsidRPr="00EA6C7A">
        <w:rPr>
          <w:rFonts w:ascii="Verdana" w:eastAsia="Batang" w:hAnsi="Verdana" w:cs="Arial"/>
          <w:sz w:val="20"/>
          <w:szCs w:val="20"/>
          <w:lang w:val="en-US" w:eastAsia="es-MX"/>
        </w:rPr>
        <w:t>7</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11 ho</w:t>
      </w:r>
      <w:r w:rsidR="00913C83" w:rsidRPr="00EA6C7A">
        <w:rPr>
          <w:rFonts w:ascii="Verdana" w:eastAsia="Batang" w:hAnsi="Verdana" w:cs="Arial"/>
          <w:sz w:val="20"/>
          <w:szCs w:val="20"/>
          <w:lang w:val="en-US" w:eastAsia="es-MX"/>
        </w:rPr>
        <w:t>urs at that time, which suggests that the victim died between midnight</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4 a.m.</w:t>
      </w:r>
      <w:r w:rsidR="0017063C" w:rsidRPr="00EA6C7A">
        <w:rPr>
          <w:rFonts w:ascii="Verdana" w:eastAsia="Batang" w:hAnsi="Verdana"/>
          <w:sz w:val="20"/>
          <w:szCs w:val="20"/>
          <w:vertAlign w:val="superscript"/>
          <w:lang w:val="en-US" w:eastAsia="es-MX"/>
        </w:rPr>
        <w:footnoteReference w:id="260"/>
      </w:r>
      <w:r w:rsidR="00913C83" w:rsidRPr="00EA6C7A">
        <w:rPr>
          <w:rFonts w:ascii="Verdana" w:eastAsia="Batang" w:hAnsi="Verdana"/>
          <w:sz w:val="20"/>
          <w:szCs w:val="20"/>
          <w:lang w:val="en-US" w:eastAsia="es-MX"/>
        </w:rPr>
        <w:t xml:space="preserve"> Whatever the case, it is plain that at approximately </w:t>
      </w:r>
      <w:r w:rsidR="0017063C" w:rsidRPr="00EA6C7A">
        <w:rPr>
          <w:rFonts w:ascii="Verdana" w:eastAsia="Batang" w:hAnsi="Verdana" w:cs="Arial"/>
          <w:sz w:val="20"/>
          <w:szCs w:val="20"/>
          <w:lang w:val="en-US" w:eastAsia="es-MX"/>
        </w:rPr>
        <w:t xml:space="preserve">5 a.m. </w:t>
      </w:r>
      <w:r w:rsidR="00913C83" w:rsidRPr="00EA6C7A">
        <w:rPr>
          <w:rFonts w:ascii="Verdana" w:eastAsia="Batang" w:hAnsi="Verdana" w:cs="Arial"/>
          <w:sz w:val="20"/>
          <w:szCs w:val="20"/>
          <w:lang w:val="en-US" w:eastAsia="es-MX"/>
        </w:rPr>
        <w:t xml:space="preserve">the discovery of the body of </w:t>
      </w:r>
      <w:r w:rsidR="0017063C" w:rsidRPr="00EA6C7A">
        <w:rPr>
          <w:rFonts w:ascii="Verdana" w:eastAsia="Batang" w:hAnsi="Verdana" w:cs="Arial"/>
          <w:sz w:val="20"/>
          <w:szCs w:val="20"/>
          <w:lang w:val="en-US" w:eastAsia="es-MX"/>
        </w:rPr>
        <w:t>Claudina Velásquez</w:t>
      </w:r>
      <w:r w:rsidR="00913C83" w:rsidRPr="00EA6C7A">
        <w:rPr>
          <w:rFonts w:ascii="Verdana" w:eastAsia="Batang" w:hAnsi="Verdana" w:cs="Arial"/>
          <w:sz w:val="20"/>
          <w:szCs w:val="20"/>
          <w:lang w:val="en-US" w:eastAsia="es-MX"/>
        </w:rPr>
        <w:t xml:space="preserve"> had been reported</w:t>
      </w:r>
      <w:r w:rsidR="0017063C" w:rsidRPr="00EA6C7A">
        <w:rPr>
          <w:rFonts w:ascii="Verdana" w:eastAsia="Batang" w:hAnsi="Verdana" w:cs="Arial"/>
          <w:sz w:val="20"/>
          <w:szCs w:val="20"/>
          <w:lang w:val="en-US" w:eastAsia="es-MX"/>
        </w:rPr>
        <w:t xml:space="preserve"> </w:t>
      </w:r>
      <w:r w:rsidR="0017063C" w:rsidRPr="00EA6C7A">
        <w:rPr>
          <w:rFonts w:ascii="Verdana" w:eastAsia="Batang" w:hAnsi="Verdana"/>
          <w:sz w:val="20"/>
          <w:szCs w:val="20"/>
          <w:lang w:val="en-US" w:eastAsia="es-MX"/>
        </w:rPr>
        <w:t>(</w:t>
      </w:r>
      <w:r w:rsidR="0017063C" w:rsidRPr="00EA6C7A">
        <w:rPr>
          <w:rFonts w:ascii="Verdana" w:eastAsia="Batang" w:hAnsi="Verdana"/>
          <w:i/>
          <w:sz w:val="20"/>
          <w:szCs w:val="20"/>
          <w:lang w:val="en-US" w:eastAsia="es-MX"/>
        </w:rPr>
        <w:t>supra</w:t>
      </w:r>
      <w:r w:rsidR="000E7CEF"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0E7CEF" w:rsidRPr="00EA6C7A">
        <w:rPr>
          <w:rFonts w:ascii="Verdana" w:eastAsia="Batang" w:hAnsi="Verdana"/>
          <w:sz w:val="20"/>
          <w:szCs w:val="20"/>
          <w:lang w:val="en-US" w:eastAsia="es-MX"/>
        </w:rPr>
        <w:t xml:space="preserve"> 55</w:t>
      </w:r>
      <w:r w:rsidR="0017063C" w:rsidRPr="00EA6C7A">
        <w:rPr>
          <w:rFonts w:ascii="Verdana" w:eastAsia="Batang" w:hAnsi="Verdana"/>
          <w:sz w:val="20"/>
          <w:szCs w:val="20"/>
          <w:lang w:val="en-US" w:eastAsia="es-MX"/>
        </w:rPr>
        <w:t>)</w:t>
      </w:r>
      <w:r w:rsidR="0017063C" w:rsidRPr="00EA6C7A">
        <w:rPr>
          <w:rFonts w:ascii="Verdana" w:eastAsia="Batang" w:hAnsi="Verdana" w:cs="Arial"/>
          <w:sz w:val="20"/>
          <w:szCs w:val="20"/>
          <w:lang w:val="en-US" w:eastAsia="es-MX"/>
        </w:rPr>
        <w:t>.</w:t>
      </w:r>
    </w:p>
    <w:p w14:paraId="1692FA45" w14:textId="77777777" w:rsidR="0017063C" w:rsidRPr="00EA6C7A" w:rsidRDefault="0017063C" w:rsidP="0017063C">
      <w:pPr>
        <w:spacing w:after="0" w:line="240" w:lineRule="auto"/>
        <w:jc w:val="both"/>
        <w:rPr>
          <w:rFonts w:ascii="Verdana" w:hAnsi="Verdana" w:cs="Arial"/>
          <w:b/>
          <w:sz w:val="20"/>
          <w:szCs w:val="20"/>
          <w:lang w:val="en-US"/>
        </w:rPr>
      </w:pPr>
    </w:p>
    <w:p w14:paraId="1F97F798" w14:textId="77777777" w:rsidR="0017063C" w:rsidRPr="00EA6C7A" w:rsidRDefault="0017063C" w:rsidP="00037322">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cs="Arial"/>
          <w:i/>
          <w:sz w:val="20"/>
          <w:szCs w:val="20"/>
          <w:lang w:val="en-US" w:eastAsia="es-MX"/>
        </w:rPr>
        <w:t>Referenc</w:t>
      </w:r>
      <w:r w:rsidR="00913C83" w:rsidRPr="00EA6C7A">
        <w:rPr>
          <w:rFonts w:ascii="Verdana" w:eastAsia="Batang" w:hAnsi="Verdana" w:cs="Arial"/>
          <w:i/>
          <w:sz w:val="20"/>
          <w:szCs w:val="20"/>
          <w:lang w:val="en-US" w:eastAsia="es-MX"/>
        </w:rPr>
        <w:t xml:space="preserve">e to the victim as </w:t>
      </w:r>
      <w:r w:rsidRPr="00EA6C7A">
        <w:rPr>
          <w:rFonts w:ascii="Verdana" w:eastAsia="Batang" w:hAnsi="Verdana" w:cs="Arial"/>
          <w:i/>
          <w:sz w:val="20"/>
          <w:szCs w:val="20"/>
          <w:lang w:val="en-US" w:eastAsia="es-MX"/>
        </w:rPr>
        <w:t xml:space="preserve">“XX” </w:t>
      </w:r>
      <w:r w:rsidR="00913C83" w:rsidRPr="00EA6C7A">
        <w:rPr>
          <w:rFonts w:ascii="Verdana" w:eastAsia="Batang" w:hAnsi="Verdana" w:cs="Arial"/>
          <w:i/>
          <w:sz w:val="20"/>
          <w:szCs w:val="20"/>
          <w:lang w:val="en-US" w:eastAsia="es-MX"/>
        </w:rPr>
        <w:t>i</w:t>
      </w:r>
      <w:r w:rsidRPr="00EA6C7A">
        <w:rPr>
          <w:rFonts w:ascii="Verdana" w:eastAsia="Batang" w:hAnsi="Verdana" w:cs="Arial"/>
          <w:i/>
          <w:sz w:val="20"/>
          <w:szCs w:val="20"/>
          <w:lang w:val="en-US" w:eastAsia="es-MX"/>
        </w:rPr>
        <w:t>n</w:t>
      </w:r>
      <w:r w:rsidR="00913C83" w:rsidRPr="00EA6C7A">
        <w:rPr>
          <w:rFonts w:ascii="Verdana" w:eastAsia="Batang" w:hAnsi="Verdana" w:cs="Arial"/>
          <w:i/>
          <w:sz w:val="20"/>
          <w:szCs w:val="20"/>
          <w:lang w:val="en-US" w:eastAsia="es-MX"/>
        </w:rPr>
        <w:t xml:space="preserve"> the </w:t>
      </w:r>
      <w:r w:rsidRPr="00EA6C7A">
        <w:rPr>
          <w:rFonts w:ascii="Verdana" w:eastAsia="Batang" w:hAnsi="Verdana" w:cs="Arial"/>
          <w:i/>
          <w:sz w:val="20"/>
          <w:szCs w:val="20"/>
          <w:lang w:val="en-US" w:eastAsia="es-MX"/>
        </w:rPr>
        <w:t>2005, 2006</w:t>
      </w:r>
      <w:r w:rsidR="00D948A1" w:rsidRPr="00EA6C7A">
        <w:rPr>
          <w:rFonts w:ascii="Verdana" w:eastAsia="Batang" w:hAnsi="Verdana" w:cs="Arial"/>
          <w:i/>
          <w:sz w:val="20"/>
          <w:szCs w:val="20"/>
          <w:lang w:val="en-US" w:eastAsia="es-MX"/>
        </w:rPr>
        <w:t xml:space="preserve"> and </w:t>
      </w:r>
      <w:r w:rsidRPr="00EA6C7A">
        <w:rPr>
          <w:rFonts w:ascii="Verdana" w:eastAsia="Batang" w:hAnsi="Verdana" w:cs="Arial"/>
          <w:i/>
          <w:sz w:val="20"/>
          <w:szCs w:val="20"/>
          <w:lang w:val="en-US" w:eastAsia="es-MX"/>
        </w:rPr>
        <w:t xml:space="preserve">2008 </w:t>
      </w:r>
      <w:r w:rsidR="00913C83" w:rsidRPr="00EA6C7A">
        <w:rPr>
          <w:rFonts w:ascii="Verdana" w:eastAsia="Batang" w:hAnsi="Verdana" w:cs="Arial"/>
          <w:i/>
          <w:sz w:val="20"/>
          <w:szCs w:val="20"/>
          <w:lang w:val="en-US" w:eastAsia="es-MX"/>
        </w:rPr>
        <w:t xml:space="preserve">investigation reports, even though she had been identified by her parents on </w:t>
      </w:r>
      <w:r w:rsidR="000821BA" w:rsidRPr="00EA6C7A">
        <w:rPr>
          <w:rFonts w:ascii="Verdana" w:eastAsia="Batang" w:hAnsi="Verdana" w:cs="Arial"/>
          <w:i/>
          <w:sz w:val="20"/>
          <w:szCs w:val="20"/>
          <w:lang w:val="en-US" w:eastAsia="es-MX"/>
        </w:rPr>
        <w:t>August</w:t>
      </w:r>
      <w:r w:rsidR="000B3E6E" w:rsidRPr="00EA6C7A">
        <w:rPr>
          <w:rFonts w:ascii="Verdana" w:eastAsia="Batang" w:hAnsi="Verdana" w:cs="Arial"/>
          <w:i/>
          <w:sz w:val="20"/>
          <w:szCs w:val="20"/>
          <w:lang w:val="en-US" w:eastAsia="es-MX"/>
        </w:rPr>
        <w:t xml:space="preserve"> 13,</w:t>
      </w:r>
      <w:r w:rsidRPr="00EA6C7A">
        <w:rPr>
          <w:rFonts w:ascii="Verdana" w:eastAsia="Batang" w:hAnsi="Verdana" w:cs="Arial"/>
          <w:i/>
          <w:sz w:val="20"/>
          <w:szCs w:val="20"/>
          <w:lang w:val="en-US" w:eastAsia="es-MX"/>
        </w:rPr>
        <w:t xml:space="preserve"> 2005. </w:t>
      </w:r>
      <w:r w:rsidR="00913C83" w:rsidRPr="00EA6C7A">
        <w:rPr>
          <w:rFonts w:ascii="Verdana" w:eastAsia="Batang" w:hAnsi="Verdana" w:cs="Arial"/>
          <w:sz w:val="20"/>
          <w:szCs w:val="20"/>
          <w:lang w:val="en-US" w:eastAsia="es-MX"/>
        </w:rPr>
        <w:t xml:space="preserve">It is on record that, around midday on </w:t>
      </w:r>
      <w:r w:rsidR="000821BA" w:rsidRPr="00EA6C7A">
        <w:rPr>
          <w:rFonts w:ascii="Verdana" w:eastAsia="Batang" w:hAnsi="Verdana"/>
          <w:sz w:val="20"/>
          <w:szCs w:val="20"/>
          <w:lang w:val="en-US" w:eastAsia="es-MX"/>
        </w:rPr>
        <w:t>August</w:t>
      </w:r>
      <w:r w:rsidR="000B3E6E" w:rsidRPr="00EA6C7A">
        <w:rPr>
          <w:rFonts w:ascii="Verdana" w:eastAsia="Batang" w:hAnsi="Verdana"/>
          <w:sz w:val="20"/>
          <w:szCs w:val="20"/>
          <w:lang w:val="en-US" w:eastAsia="es-MX"/>
        </w:rPr>
        <w:t xml:space="preserve"> 13,</w:t>
      </w:r>
      <w:r w:rsidRPr="00EA6C7A">
        <w:rPr>
          <w:rFonts w:ascii="Verdana" w:eastAsia="Batang" w:hAnsi="Verdana"/>
          <w:sz w:val="20"/>
          <w:szCs w:val="20"/>
          <w:lang w:val="en-US" w:eastAsia="es-MX"/>
        </w:rPr>
        <w:t xml:space="preserve"> 2005</w:t>
      </w:r>
      <w:r w:rsidR="00913C83" w:rsidRPr="00EA6C7A">
        <w:rPr>
          <w:rFonts w:ascii="Verdana" w:eastAsia="Batang" w:hAnsi="Verdana"/>
          <w:sz w:val="20"/>
          <w:szCs w:val="20"/>
          <w:lang w:val="en-US" w:eastAsia="es-MX"/>
        </w:rPr>
        <w:t xml:space="preserve">, the mother and father of </w:t>
      </w:r>
      <w:r w:rsidRPr="00EA6C7A">
        <w:rPr>
          <w:rFonts w:ascii="Verdana" w:eastAsia="Batang" w:hAnsi="Verdana"/>
          <w:sz w:val="20"/>
          <w:szCs w:val="20"/>
          <w:lang w:val="en-US" w:eastAsia="es-MX"/>
        </w:rPr>
        <w:t xml:space="preserve">Claudina Velásquez </w:t>
      </w:r>
      <w:r w:rsidR="00913C83" w:rsidRPr="00EA6C7A">
        <w:rPr>
          <w:rFonts w:ascii="Verdana" w:eastAsia="Batang" w:hAnsi="Verdana"/>
          <w:sz w:val="20"/>
          <w:szCs w:val="20"/>
          <w:lang w:val="en-US" w:eastAsia="es-MX"/>
        </w:rPr>
        <w:t>went to the</w:t>
      </w:r>
      <w:r w:rsidRPr="00EA6C7A">
        <w:rPr>
          <w:rFonts w:ascii="Verdana" w:eastAsia="Batang" w:hAnsi="Verdana"/>
          <w:sz w:val="20"/>
          <w:szCs w:val="20"/>
          <w:lang w:val="en-US" w:eastAsia="es-MX"/>
        </w:rPr>
        <w:t xml:space="preserve"> morgue</w:t>
      </w:r>
      <w:r w:rsidR="003F510E" w:rsidRPr="00EA6C7A">
        <w:rPr>
          <w:rFonts w:ascii="Verdana" w:eastAsia="Batang" w:hAnsi="Verdana"/>
          <w:sz w:val="20"/>
          <w:szCs w:val="20"/>
          <w:lang w:val="en-US" w:eastAsia="es-MX"/>
        </w:rPr>
        <w:t xml:space="preserve"> of the </w:t>
      </w:r>
      <w:r w:rsidR="00037322" w:rsidRPr="00EA6C7A">
        <w:rPr>
          <w:rFonts w:ascii="Verdana" w:eastAsia="Batang" w:hAnsi="Verdana"/>
          <w:sz w:val="20"/>
          <w:szCs w:val="20"/>
          <w:lang w:val="en-US" w:eastAsia="es-MX"/>
        </w:rPr>
        <w:t xml:space="preserve">Judiciary’s </w:t>
      </w:r>
      <w:r w:rsidR="0083210F" w:rsidRPr="00EA6C7A">
        <w:rPr>
          <w:rFonts w:ascii="Verdana" w:eastAsia="Batang" w:hAnsi="Verdana"/>
          <w:sz w:val="20"/>
          <w:szCs w:val="20"/>
          <w:lang w:val="en-US" w:eastAsia="es-MX"/>
        </w:rPr>
        <w:t>Forensic Medicine Service</w:t>
      </w:r>
      <w:r w:rsidR="00913C83" w:rsidRPr="00EA6C7A">
        <w:rPr>
          <w:rFonts w:ascii="Verdana" w:eastAsia="Batang" w:hAnsi="Verdana"/>
          <w:sz w:val="20"/>
          <w:szCs w:val="20"/>
          <w:lang w:val="en-US" w:eastAsia="es-MX"/>
        </w:rPr>
        <w:t>, where they received the body of their daughter after they had identified her</w:t>
      </w:r>
      <w:r w:rsidRPr="00EA6C7A">
        <w:rPr>
          <w:rFonts w:ascii="Verdana" w:eastAsia="Batang" w:hAnsi="Verdana"/>
          <w:sz w:val="20"/>
          <w:szCs w:val="20"/>
          <w:lang w:val="en-US" w:eastAsia="es-MX"/>
        </w:rPr>
        <w:t xml:space="preserve"> (</w:t>
      </w:r>
      <w:r w:rsidRPr="00EA6C7A">
        <w:rPr>
          <w:rFonts w:ascii="Verdana" w:eastAsia="Batang" w:hAnsi="Verdana"/>
          <w:i/>
          <w:sz w:val="20"/>
          <w:szCs w:val="20"/>
          <w:lang w:val="en-US" w:eastAsia="es-MX"/>
        </w:rPr>
        <w:t>supra</w:t>
      </w:r>
      <w:r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Pr="00EA6C7A">
        <w:rPr>
          <w:rFonts w:ascii="Verdana" w:eastAsia="Batang" w:hAnsi="Verdana"/>
          <w:sz w:val="20"/>
          <w:szCs w:val="20"/>
          <w:lang w:val="en-US" w:eastAsia="es-MX"/>
        </w:rPr>
        <w:t xml:space="preserve"> 58). </w:t>
      </w:r>
      <w:r w:rsidR="00913C83" w:rsidRPr="00EA6C7A">
        <w:rPr>
          <w:rFonts w:ascii="Verdana" w:eastAsia="Batang" w:hAnsi="Verdana"/>
          <w:sz w:val="20"/>
          <w:szCs w:val="20"/>
          <w:lang w:val="en-US" w:eastAsia="es-MX"/>
        </w:rPr>
        <w:t>However, the reports prepared following the victim’s identification continue</w:t>
      </w:r>
      <w:r w:rsidR="00037322" w:rsidRPr="00EA6C7A">
        <w:rPr>
          <w:rFonts w:ascii="Verdana" w:eastAsia="Batang" w:hAnsi="Verdana"/>
          <w:sz w:val="20"/>
          <w:szCs w:val="20"/>
          <w:lang w:val="en-US" w:eastAsia="es-MX"/>
        </w:rPr>
        <w:t>d</w:t>
      </w:r>
      <w:r w:rsidR="00913C83" w:rsidRPr="00EA6C7A">
        <w:rPr>
          <w:rFonts w:ascii="Verdana" w:eastAsia="Batang" w:hAnsi="Verdana"/>
          <w:sz w:val="20"/>
          <w:szCs w:val="20"/>
          <w:lang w:val="en-US" w:eastAsia="es-MX"/>
        </w:rPr>
        <w:t xml:space="preserve"> to refer to her as “XX” or as “an unidentified person of the female sex.” This reveals the failure of the agents who intervened in the investigation, and even of the agents in charge of it, to follow-up on the case and update the information in the file. It should be noted that failure to identify the victim correctly could lead to the loss of information and, consequently, prejudice the progress of the investigation. The </w:t>
      </w:r>
      <w:r w:rsidR="00037322" w:rsidRPr="00EA6C7A">
        <w:rPr>
          <w:rFonts w:ascii="Verdana" w:eastAsia="Batang" w:hAnsi="Verdana"/>
          <w:sz w:val="20"/>
          <w:szCs w:val="20"/>
          <w:lang w:val="en-US" w:eastAsia="es-MX"/>
        </w:rPr>
        <w:t>said</w:t>
      </w:r>
      <w:r w:rsidR="00913C83" w:rsidRPr="00EA6C7A">
        <w:rPr>
          <w:rFonts w:ascii="Verdana" w:eastAsia="Batang" w:hAnsi="Verdana"/>
          <w:sz w:val="20"/>
          <w:szCs w:val="20"/>
          <w:lang w:val="en-US" w:eastAsia="es-MX"/>
        </w:rPr>
        <w:t xml:space="preserve"> reports were dated</w:t>
      </w:r>
      <w:r w:rsidR="00913C83" w:rsidRPr="00EA6C7A">
        <w:rPr>
          <w:rFonts w:ascii="Verdana" w:eastAsia="Batang" w:hAnsi="Verdana" w:cs="Arial"/>
          <w:sz w:val="20"/>
          <w:szCs w:val="20"/>
          <w:lang w:val="en-US" w:eastAsia="es-MX"/>
        </w:rPr>
        <w:t xml:space="preserve"> August </w:t>
      </w:r>
      <w:r w:rsidRPr="00EA6C7A">
        <w:rPr>
          <w:rFonts w:ascii="Verdana" w:eastAsia="Batang" w:hAnsi="Verdana" w:cs="Arial"/>
          <w:sz w:val="20"/>
          <w:szCs w:val="20"/>
          <w:lang w:val="en-US" w:eastAsia="es-MX"/>
        </w:rPr>
        <w:t>16, 23</w:t>
      </w:r>
      <w:r w:rsidR="00D948A1" w:rsidRPr="00EA6C7A">
        <w:rPr>
          <w:rFonts w:ascii="Verdana" w:eastAsia="Batang" w:hAnsi="Verdana" w:cs="Arial"/>
          <w:sz w:val="20"/>
          <w:szCs w:val="20"/>
          <w:lang w:val="en-US" w:eastAsia="es-MX"/>
        </w:rPr>
        <w:t xml:space="preserve"> and </w:t>
      </w:r>
      <w:r w:rsidRPr="00EA6C7A">
        <w:rPr>
          <w:rFonts w:ascii="Verdana" w:eastAsia="Batang" w:hAnsi="Verdana" w:cs="Arial"/>
          <w:sz w:val="20"/>
          <w:szCs w:val="20"/>
          <w:lang w:val="en-US" w:eastAsia="es-MX"/>
        </w:rPr>
        <w:t xml:space="preserve">30, </w:t>
      </w:r>
      <w:r w:rsidR="007B566E" w:rsidRPr="00EA6C7A">
        <w:rPr>
          <w:rFonts w:ascii="Verdana" w:eastAsia="Batang" w:hAnsi="Verdana" w:cs="Arial"/>
          <w:sz w:val="20"/>
          <w:szCs w:val="20"/>
          <w:lang w:val="en-US" w:eastAsia="es-MX"/>
        </w:rPr>
        <w:t>September</w:t>
      </w:r>
      <w:r w:rsidR="00D948A1"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 xml:space="preserve">16, 19 and 26 </w:t>
      </w:r>
      <w:r w:rsidR="00D948A1" w:rsidRPr="00EA6C7A">
        <w:rPr>
          <w:rFonts w:ascii="Verdana" w:eastAsia="Batang" w:hAnsi="Verdana" w:cs="Arial"/>
          <w:sz w:val="20"/>
          <w:szCs w:val="20"/>
          <w:lang w:val="en-US" w:eastAsia="es-MX"/>
        </w:rPr>
        <w:t xml:space="preserve">and </w:t>
      </w:r>
      <w:r w:rsidR="003F510E" w:rsidRPr="00EA6C7A">
        <w:rPr>
          <w:rFonts w:ascii="Verdana" w:eastAsia="Batang" w:hAnsi="Verdana" w:cs="Arial"/>
          <w:sz w:val="20"/>
          <w:szCs w:val="20"/>
          <w:lang w:val="en-US" w:eastAsia="es-MX"/>
        </w:rPr>
        <w:t>October 14</w:t>
      </w:r>
      <w:r w:rsidR="00913C83" w:rsidRPr="00EA6C7A">
        <w:rPr>
          <w:rFonts w:ascii="Verdana" w:eastAsia="Batang" w:hAnsi="Verdana" w:cs="Arial"/>
          <w:sz w:val="20"/>
          <w:szCs w:val="20"/>
          <w:lang w:val="en-US" w:eastAsia="es-MX"/>
        </w:rPr>
        <w:t>,</w:t>
      </w:r>
      <w:r w:rsidRPr="00EA6C7A">
        <w:rPr>
          <w:rFonts w:ascii="Verdana" w:eastAsia="Batang" w:hAnsi="Verdana" w:cs="Arial"/>
          <w:sz w:val="20"/>
          <w:szCs w:val="20"/>
          <w:lang w:val="en-US" w:eastAsia="es-MX"/>
        </w:rPr>
        <w:t xml:space="preserve"> 2005, </w:t>
      </w:r>
      <w:r w:rsidR="00913C83" w:rsidRPr="00EA6C7A">
        <w:rPr>
          <w:rFonts w:ascii="Verdana" w:eastAsia="Batang" w:hAnsi="Verdana" w:cs="Arial"/>
          <w:sz w:val="20"/>
          <w:szCs w:val="20"/>
          <w:lang w:val="en-US" w:eastAsia="es-MX"/>
        </w:rPr>
        <w:t xml:space="preserve">June </w:t>
      </w:r>
      <w:r w:rsidRPr="00EA6C7A">
        <w:rPr>
          <w:rFonts w:ascii="Verdana" w:eastAsia="Batang" w:hAnsi="Verdana" w:cs="Arial"/>
          <w:sz w:val="20"/>
          <w:szCs w:val="20"/>
          <w:lang w:val="en-US" w:eastAsia="es-MX"/>
        </w:rPr>
        <w:t>7</w:t>
      </w:r>
      <w:r w:rsidR="00D948A1" w:rsidRPr="00EA6C7A">
        <w:rPr>
          <w:rFonts w:ascii="Verdana" w:eastAsia="Batang" w:hAnsi="Verdana" w:cs="Arial"/>
          <w:sz w:val="20"/>
          <w:szCs w:val="20"/>
          <w:lang w:val="en-US" w:eastAsia="es-MX"/>
        </w:rPr>
        <w:t xml:space="preserve"> and </w:t>
      </w:r>
      <w:r w:rsidRPr="00EA6C7A">
        <w:rPr>
          <w:rFonts w:ascii="Verdana" w:eastAsia="Batang" w:hAnsi="Verdana" w:cs="Arial"/>
          <w:sz w:val="20"/>
          <w:szCs w:val="20"/>
          <w:lang w:val="en-US" w:eastAsia="es-MX"/>
        </w:rPr>
        <w:t>21</w:t>
      </w:r>
      <w:r w:rsidR="00913C83"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2006,</w:t>
      </w:r>
      <w:r w:rsidR="00D948A1" w:rsidRPr="00EA6C7A">
        <w:rPr>
          <w:rFonts w:ascii="Verdana" w:eastAsia="Batang" w:hAnsi="Verdana" w:cs="Arial"/>
          <w:sz w:val="20"/>
          <w:szCs w:val="20"/>
          <w:lang w:val="en-US" w:eastAsia="es-MX"/>
        </w:rPr>
        <w:t xml:space="preserve"> and </w:t>
      </w:r>
      <w:r w:rsidR="00913C83" w:rsidRPr="00EA6C7A">
        <w:rPr>
          <w:rFonts w:ascii="Verdana" w:eastAsia="Batang" w:hAnsi="Verdana" w:cs="Arial"/>
          <w:sz w:val="20"/>
          <w:szCs w:val="20"/>
          <w:lang w:val="en-US" w:eastAsia="es-MX"/>
        </w:rPr>
        <w:t>July 18,</w:t>
      </w:r>
      <w:r w:rsidRPr="00EA6C7A">
        <w:rPr>
          <w:rFonts w:ascii="Verdana" w:eastAsia="Batang" w:hAnsi="Verdana" w:cs="Arial"/>
          <w:sz w:val="20"/>
          <w:szCs w:val="20"/>
          <w:lang w:val="en-US" w:eastAsia="es-MX"/>
        </w:rPr>
        <w:t xml:space="preserve"> 2008,</w:t>
      </w:r>
      <w:r w:rsidR="00D948A1" w:rsidRPr="00EA6C7A">
        <w:rPr>
          <w:rFonts w:ascii="Verdana" w:eastAsia="Batang" w:hAnsi="Verdana" w:cs="Arial"/>
          <w:sz w:val="20"/>
          <w:szCs w:val="20"/>
          <w:lang w:val="en-US" w:eastAsia="es-MX"/>
        </w:rPr>
        <w:t xml:space="preserve"> and </w:t>
      </w:r>
      <w:r w:rsidR="00913C83" w:rsidRPr="00EA6C7A">
        <w:rPr>
          <w:rFonts w:ascii="Verdana" w:eastAsia="Batang" w:hAnsi="Verdana" w:cs="Arial"/>
          <w:sz w:val="20"/>
          <w:szCs w:val="20"/>
          <w:lang w:val="en-US" w:eastAsia="es-MX"/>
        </w:rPr>
        <w:t>they were prepared by</w:t>
      </w:r>
      <w:r w:rsidRPr="00EA6C7A">
        <w:rPr>
          <w:rFonts w:ascii="Verdana" w:eastAsia="Batang" w:hAnsi="Verdana" w:cs="Arial"/>
          <w:sz w:val="20"/>
          <w:szCs w:val="20"/>
          <w:lang w:val="en-US" w:eastAsia="es-MX"/>
        </w:rPr>
        <w:t xml:space="preserve"> </w:t>
      </w:r>
      <w:r w:rsidR="000821BA" w:rsidRPr="00EA6C7A">
        <w:rPr>
          <w:rFonts w:ascii="Verdana" w:eastAsia="Batang" w:hAnsi="Verdana" w:cs="Arial"/>
          <w:sz w:val="20"/>
          <w:szCs w:val="20"/>
          <w:lang w:val="en-US" w:eastAsia="es-MX"/>
        </w:rPr>
        <w:t>the forensic physician</w:t>
      </w:r>
      <w:r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 xml:space="preserve">who examined the body of the victim where it was found, </w:t>
      </w:r>
      <w:r w:rsidR="000821BA" w:rsidRPr="00EA6C7A">
        <w:rPr>
          <w:rFonts w:ascii="Verdana" w:eastAsia="Batang" w:hAnsi="Verdana" w:cs="Arial"/>
          <w:sz w:val="20"/>
          <w:szCs w:val="20"/>
          <w:lang w:val="en-US" w:eastAsia="es-MX"/>
        </w:rPr>
        <w:t>the forensic physician</w:t>
      </w:r>
      <w:r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 xml:space="preserve">who performed the autopsy, </w:t>
      </w:r>
      <w:r w:rsidR="00CA3FC4" w:rsidRPr="00EA6C7A">
        <w:rPr>
          <w:rFonts w:ascii="Verdana" w:eastAsia="Batang" w:hAnsi="Verdana" w:cs="Arial"/>
          <w:sz w:val="20"/>
          <w:szCs w:val="20"/>
          <w:lang w:val="en-US" w:eastAsia="es-MX"/>
        </w:rPr>
        <w:t>the assistant prosecutor</w:t>
      </w:r>
      <w:r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c</w:t>
      </w:r>
      <w:r w:rsidR="00EF1D78" w:rsidRPr="00EA6C7A">
        <w:rPr>
          <w:rFonts w:ascii="Verdana" w:eastAsia="Batang" w:hAnsi="Verdana" w:cs="Arial"/>
          <w:sz w:val="20"/>
          <w:szCs w:val="20"/>
          <w:lang w:val="en-US" w:eastAsia="es-MX"/>
        </w:rPr>
        <w:t>riminal investigation experts</w:t>
      </w:r>
      <w:r w:rsidRPr="00EA6C7A">
        <w:rPr>
          <w:rFonts w:ascii="Verdana" w:eastAsia="Batang" w:hAnsi="Verdana" w:cs="Arial"/>
          <w:sz w:val="20"/>
          <w:szCs w:val="20"/>
          <w:lang w:val="en-US" w:eastAsia="es-MX"/>
        </w:rPr>
        <w:t xml:space="preserve"> </w:t>
      </w:r>
      <w:r w:rsidR="003E2012" w:rsidRPr="00EA6C7A">
        <w:rPr>
          <w:rFonts w:ascii="Verdana" w:eastAsia="Batang" w:hAnsi="Verdana" w:cs="Arial"/>
          <w:sz w:val="20"/>
          <w:szCs w:val="20"/>
          <w:lang w:val="en-US" w:eastAsia="es-MX"/>
        </w:rPr>
        <w:t>of the Public</w:t>
      </w:r>
      <w:r w:rsidR="00B3248B" w:rsidRPr="00EA6C7A">
        <w:rPr>
          <w:rFonts w:ascii="Verdana" w:eastAsia="Batang" w:hAnsi="Verdana" w:cs="Arial"/>
          <w:sz w:val="20"/>
          <w:szCs w:val="20"/>
          <w:lang w:val="en-US" w:eastAsia="es-MX"/>
        </w:rPr>
        <w:t xml:space="preserve"> Prosecution Service</w:t>
      </w:r>
      <w:r w:rsidR="00913C83" w:rsidRPr="00EA6C7A">
        <w:rPr>
          <w:rFonts w:ascii="Verdana" w:eastAsia="Batang" w:hAnsi="Verdana" w:cs="Arial"/>
          <w:sz w:val="20"/>
          <w:szCs w:val="20"/>
          <w:lang w:val="en-US" w:eastAsia="es-MX"/>
        </w:rPr>
        <w:t>,</w:t>
      </w:r>
      <w:r w:rsidR="00D948A1" w:rsidRPr="00EA6C7A">
        <w:rPr>
          <w:rFonts w:ascii="Verdana" w:eastAsia="Batang" w:hAnsi="Verdana" w:cs="Arial"/>
          <w:sz w:val="20"/>
          <w:szCs w:val="20"/>
          <w:lang w:val="en-US" w:eastAsia="es-MX"/>
        </w:rPr>
        <w:t xml:space="preserve"> and </w:t>
      </w:r>
      <w:r w:rsidRPr="00EA6C7A">
        <w:rPr>
          <w:rFonts w:ascii="Verdana" w:eastAsia="Batang" w:hAnsi="Verdana" w:cs="Arial"/>
          <w:sz w:val="20"/>
          <w:szCs w:val="20"/>
          <w:lang w:val="en-US" w:eastAsia="es-MX"/>
        </w:rPr>
        <w:t xml:space="preserve">experts </w:t>
      </w:r>
      <w:r w:rsidR="00BC4DAF" w:rsidRPr="00EA6C7A">
        <w:rPr>
          <w:rFonts w:ascii="Verdana" w:eastAsia="Batang" w:hAnsi="Verdana" w:cs="Arial"/>
          <w:sz w:val="20"/>
          <w:szCs w:val="20"/>
          <w:lang w:val="en-US" w:eastAsia="es-MX"/>
        </w:rPr>
        <w:t>of the Technical and Scientific Department</w:t>
      </w:r>
      <w:r w:rsidRPr="00EA6C7A">
        <w:rPr>
          <w:rFonts w:ascii="Verdana" w:eastAsia="Batang" w:hAnsi="Verdana" w:cs="Arial"/>
          <w:sz w:val="20"/>
          <w:szCs w:val="20"/>
          <w:lang w:val="en-US" w:eastAsia="es-MX"/>
        </w:rPr>
        <w:t xml:space="preserve"> </w:t>
      </w:r>
      <w:r w:rsidR="003E2012" w:rsidRPr="00EA6C7A">
        <w:rPr>
          <w:rFonts w:ascii="Verdana" w:eastAsia="Batang" w:hAnsi="Verdana" w:cs="Arial"/>
          <w:sz w:val="20"/>
          <w:szCs w:val="20"/>
          <w:lang w:val="en-US" w:eastAsia="es-MX"/>
        </w:rPr>
        <w:t>of the Public</w:t>
      </w:r>
      <w:r w:rsidR="00B3248B" w:rsidRPr="00EA6C7A">
        <w:rPr>
          <w:rFonts w:ascii="Verdana" w:eastAsia="Batang" w:hAnsi="Verdana" w:cs="Arial"/>
          <w:sz w:val="20"/>
          <w:szCs w:val="20"/>
          <w:lang w:val="en-US" w:eastAsia="es-MX"/>
        </w:rPr>
        <w:t xml:space="preserve"> Prosecution Service</w:t>
      </w:r>
      <w:r w:rsidR="00913C83" w:rsidRPr="00EA6C7A">
        <w:rPr>
          <w:rFonts w:ascii="Verdana" w:eastAsia="Batang" w:hAnsi="Verdana" w:cs="Arial"/>
          <w:sz w:val="20"/>
          <w:szCs w:val="20"/>
          <w:lang w:val="en-US" w:eastAsia="es-MX"/>
        </w:rPr>
        <w:t>.</w:t>
      </w:r>
      <w:r w:rsidRPr="00EA6C7A">
        <w:rPr>
          <w:rFonts w:ascii="Verdana" w:eastAsia="Batang" w:hAnsi="Verdana" w:cs="Arial"/>
          <w:sz w:val="20"/>
          <w:szCs w:val="20"/>
          <w:vertAlign w:val="superscript"/>
          <w:lang w:val="en-US" w:eastAsia="es-MX"/>
        </w:rPr>
        <w:footnoteReference w:id="261"/>
      </w:r>
    </w:p>
    <w:p w14:paraId="2402437C" w14:textId="77777777" w:rsidR="0017063C" w:rsidRPr="00EA6C7A" w:rsidRDefault="0017063C" w:rsidP="0017063C">
      <w:pPr>
        <w:spacing w:after="0" w:line="240" w:lineRule="auto"/>
        <w:jc w:val="both"/>
        <w:rPr>
          <w:rFonts w:ascii="Verdana" w:hAnsi="Verdana"/>
          <w:sz w:val="20"/>
          <w:szCs w:val="20"/>
          <w:lang w:val="en-US" w:eastAsia="x-none"/>
        </w:rPr>
      </w:pPr>
    </w:p>
    <w:p w14:paraId="05E3A78B" w14:textId="77777777" w:rsidR="0017063C" w:rsidRPr="00EA6C7A" w:rsidRDefault="00043FBD" w:rsidP="00F1267B">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cs="Arial"/>
          <w:i/>
          <w:sz w:val="20"/>
          <w:szCs w:val="20"/>
          <w:lang w:val="en-US" w:eastAsia="es-MX"/>
        </w:rPr>
        <w:t>Irregularities</w:t>
      </w:r>
      <w:r w:rsidR="0017063C" w:rsidRPr="00EA6C7A">
        <w:rPr>
          <w:rFonts w:ascii="Verdana" w:eastAsia="Batang" w:hAnsi="Verdana" w:cs="Arial"/>
          <w:i/>
          <w:sz w:val="20"/>
          <w:szCs w:val="20"/>
          <w:lang w:val="en-US" w:eastAsia="es-MX"/>
        </w:rPr>
        <w:t xml:space="preserve"> </w:t>
      </w:r>
      <w:r w:rsidR="00913C83" w:rsidRPr="00EA6C7A">
        <w:rPr>
          <w:rFonts w:ascii="Verdana" w:eastAsia="Batang" w:hAnsi="Verdana" w:cs="Arial"/>
          <w:i/>
          <w:sz w:val="20"/>
          <w:szCs w:val="20"/>
          <w:lang w:val="en-US" w:eastAsia="es-MX"/>
        </w:rPr>
        <w:t xml:space="preserve">in the forensic medicine </w:t>
      </w:r>
      <w:r w:rsidR="008C4FF3" w:rsidRPr="00EA6C7A">
        <w:rPr>
          <w:rFonts w:ascii="Verdana" w:eastAsia="Batang" w:hAnsi="Verdana" w:cs="Arial"/>
          <w:i/>
          <w:sz w:val="20"/>
          <w:szCs w:val="20"/>
          <w:lang w:val="en-US" w:eastAsia="es-MX"/>
        </w:rPr>
        <w:t>examination</w:t>
      </w:r>
      <w:r w:rsidR="00913C83" w:rsidRPr="00EA6C7A">
        <w:rPr>
          <w:rFonts w:ascii="Verdana" w:eastAsia="Batang" w:hAnsi="Verdana" w:cs="Arial"/>
          <w:i/>
          <w:sz w:val="20"/>
          <w:szCs w:val="20"/>
          <w:lang w:val="en-US" w:eastAsia="es-MX"/>
        </w:rPr>
        <w:t xml:space="preserve"> and the respective report. </w:t>
      </w:r>
      <w:r w:rsidR="0096418F" w:rsidRPr="00EA6C7A">
        <w:rPr>
          <w:rFonts w:ascii="Verdana" w:eastAsia="Batang" w:hAnsi="Verdana" w:cs="Arial"/>
          <w:sz w:val="20"/>
          <w:szCs w:val="20"/>
          <w:lang w:val="en-US" w:eastAsia="es-MX"/>
        </w:rPr>
        <w:t>The Court</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notes that</w:t>
      </w:r>
      <w:r w:rsidR="0017063C" w:rsidRPr="00EA6C7A">
        <w:rPr>
          <w:rFonts w:ascii="Verdana" w:eastAsia="Batang" w:hAnsi="Verdana" w:cs="Arial"/>
          <w:sz w:val="20"/>
          <w:szCs w:val="20"/>
          <w:lang w:val="en-US" w:eastAsia="es-MX"/>
        </w:rPr>
        <w:t xml:space="preserve"> </w:t>
      </w:r>
      <w:r w:rsidR="000821BA" w:rsidRPr="00EA6C7A">
        <w:rPr>
          <w:rFonts w:ascii="Verdana" w:eastAsia="Batang" w:hAnsi="Verdana" w:cs="Arial"/>
          <w:sz w:val="20"/>
          <w:szCs w:val="20"/>
          <w:lang w:val="en-US" w:eastAsia="es-MX"/>
        </w:rPr>
        <w:t>the forensic physician</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 xml:space="preserve">who examined the body of the victim </w:t>
      </w:r>
      <w:r w:rsidR="00037322" w:rsidRPr="00EA6C7A">
        <w:rPr>
          <w:rFonts w:ascii="Verdana" w:eastAsia="Batang" w:hAnsi="Verdana" w:cs="Arial"/>
          <w:sz w:val="20"/>
          <w:szCs w:val="20"/>
          <w:lang w:val="en-US" w:eastAsia="es-MX"/>
        </w:rPr>
        <w:t>at the site</w:t>
      </w:r>
      <w:r w:rsidR="00913C83" w:rsidRPr="00EA6C7A">
        <w:rPr>
          <w:rFonts w:ascii="Verdana" w:eastAsia="Batang" w:hAnsi="Verdana" w:cs="Arial"/>
          <w:sz w:val="20"/>
          <w:szCs w:val="20"/>
          <w:lang w:val="en-US" w:eastAsia="es-MX"/>
        </w:rPr>
        <w:t xml:space="preserve"> where it was found on </w:t>
      </w:r>
      <w:r w:rsidR="000821BA" w:rsidRPr="00EA6C7A">
        <w:rPr>
          <w:rFonts w:ascii="Verdana" w:eastAsia="Batang" w:hAnsi="Verdana" w:cs="Arial"/>
          <w:sz w:val="20"/>
          <w:szCs w:val="20"/>
          <w:lang w:val="en-US" w:eastAsia="es-MX"/>
        </w:rPr>
        <w:t>August</w:t>
      </w:r>
      <w:r w:rsidR="000B3E6E" w:rsidRPr="00EA6C7A">
        <w:rPr>
          <w:rFonts w:ascii="Verdana" w:eastAsia="Batang" w:hAnsi="Verdana" w:cs="Arial"/>
          <w:sz w:val="20"/>
          <w:szCs w:val="20"/>
          <w:lang w:val="en-US" w:eastAsia="es-MX"/>
        </w:rPr>
        <w:t xml:space="preserve"> 13,</w:t>
      </w:r>
      <w:r w:rsidR="0017063C" w:rsidRPr="00EA6C7A">
        <w:rPr>
          <w:rFonts w:ascii="Verdana" w:eastAsia="Batang" w:hAnsi="Verdana" w:cs="Arial"/>
          <w:sz w:val="20"/>
          <w:szCs w:val="20"/>
          <w:lang w:val="en-US" w:eastAsia="es-MX"/>
        </w:rPr>
        <w:t xml:space="preserve"> 2005, </w:t>
      </w:r>
      <w:r w:rsidR="00913C83" w:rsidRPr="00EA6C7A">
        <w:rPr>
          <w:rFonts w:ascii="Verdana" w:eastAsia="Batang" w:hAnsi="Verdana" w:cs="Arial"/>
          <w:sz w:val="20"/>
          <w:szCs w:val="20"/>
          <w:lang w:val="en-US" w:eastAsia="es-MX"/>
        </w:rPr>
        <w:t>only recently, on</w:t>
      </w:r>
      <w:r w:rsidR="003F510E" w:rsidRPr="00EA6C7A">
        <w:rPr>
          <w:rFonts w:ascii="Verdana" w:eastAsia="Batang" w:hAnsi="Verdana" w:cs="Arial"/>
          <w:sz w:val="20"/>
          <w:szCs w:val="20"/>
          <w:lang w:val="en-US" w:eastAsia="es-MX"/>
        </w:rPr>
        <w:t xml:space="preserve"> January</w:t>
      </w:r>
      <w:r w:rsidR="00586DC6" w:rsidRPr="00EA6C7A">
        <w:rPr>
          <w:rFonts w:ascii="Verdana" w:eastAsia="Batang" w:hAnsi="Verdana" w:cs="Arial"/>
          <w:sz w:val="20"/>
          <w:szCs w:val="20"/>
          <w:lang w:val="en-US" w:eastAsia="es-MX"/>
        </w:rPr>
        <w:t xml:space="preserve"> 20,</w:t>
      </w:r>
      <w:r w:rsidR="0017063C" w:rsidRPr="00EA6C7A">
        <w:rPr>
          <w:rFonts w:ascii="Verdana" w:eastAsia="Batang" w:hAnsi="Verdana" w:cs="Arial"/>
          <w:sz w:val="20"/>
          <w:szCs w:val="20"/>
          <w:lang w:val="en-US" w:eastAsia="es-MX"/>
        </w:rPr>
        <w:t xml:space="preserve"> 2009</w:t>
      </w:r>
      <w:r w:rsidR="00913C83" w:rsidRPr="00EA6C7A">
        <w:rPr>
          <w:rFonts w:ascii="Verdana" w:eastAsia="Batang" w:hAnsi="Verdana" w:cs="Arial"/>
          <w:sz w:val="20"/>
          <w:szCs w:val="20"/>
          <w:lang w:val="en-US" w:eastAsia="es-MX"/>
        </w:rPr>
        <w:t>, in a statement made</w:t>
      </w:r>
      <w:r w:rsidR="0017063C" w:rsidRPr="00EA6C7A">
        <w:rPr>
          <w:rFonts w:ascii="Verdana" w:eastAsia="Batang" w:hAnsi="Verdana" w:cs="Arial"/>
          <w:sz w:val="20"/>
          <w:szCs w:val="20"/>
          <w:lang w:val="en-US" w:eastAsia="es-MX"/>
        </w:rPr>
        <w:t xml:space="preserve"> </w:t>
      </w:r>
      <w:r w:rsidR="0020127B" w:rsidRPr="00EA6C7A">
        <w:rPr>
          <w:rFonts w:ascii="Verdana" w:eastAsia="Batang" w:hAnsi="Verdana" w:cs="Arial"/>
          <w:sz w:val="20"/>
          <w:szCs w:val="20"/>
          <w:lang w:val="en-US" w:eastAsia="es-MX"/>
        </w:rPr>
        <w:t xml:space="preserve">before the </w:t>
      </w:r>
      <w:r w:rsidR="00CA3FC4" w:rsidRPr="00EA6C7A">
        <w:rPr>
          <w:rFonts w:ascii="Verdana" w:eastAsia="Batang" w:hAnsi="Verdana" w:cs="Arial"/>
          <w:sz w:val="20"/>
          <w:szCs w:val="20"/>
          <w:lang w:val="en-US" w:eastAsia="es-MX"/>
        </w:rPr>
        <w:t>assistant prosecutor</w:t>
      </w:r>
      <w:r w:rsidR="00913C83" w:rsidRPr="00EA6C7A">
        <w:rPr>
          <w:rFonts w:ascii="Verdana" w:eastAsia="Batang" w:hAnsi="Verdana" w:cs="Arial"/>
          <w:sz w:val="20"/>
          <w:szCs w:val="20"/>
          <w:lang w:val="en-US" w:eastAsia="es-MX"/>
        </w:rPr>
        <w:t>,</w:t>
      </w:r>
      <w:r w:rsidR="0017063C" w:rsidRPr="00EA6C7A">
        <w:rPr>
          <w:rFonts w:ascii="Verdana" w:eastAsia="Batang" w:hAnsi="Verdana"/>
          <w:sz w:val="20"/>
          <w:szCs w:val="20"/>
          <w:vertAlign w:val="superscript"/>
          <w:lang w:val="en-US" w:eastAsia="es-MX"/>
        </w:rPr>
        <w:footnoteReference w:id="262"/>
      </w:r>
      <w:r w:rsidR="00913C83" w:rsidRPr="00EA6C7A">
        <w:rPr>
          <w:rFonts w:ascii="Verdana" w:eastAsia="Batang" w:hAnsi="Verdana" w:cs="Arial"/>
          <w:sz w:val="20"/>
          <w:szCs w:val="20"/>
          <w:lang w:val="en-US" w:eastAsia="es-MX"/>
        </w:rPr>
        <w:t xml:space="preserve"> mentioned the following details that were not included in </w:t>
      </w:r>
      <w:r w:rsidR="00037322" w:rsidRPr="00EA6C7A">
        <w:rPr>
          <w:rFonts w:ascii="Verdana" w:eastAsia="Batang" w:hAnsi="Verdana" w:cs="Arial"/>
          <w:sz w:val="20"/>
          <w:szCs w:val="20"/>
          <w:lang w:val="en-US" w:eastAsia="es-MX"/>
        </w:rPr>
        <w:t>his</w:t>
      </w:r>
      <w:r w:rsidR="00913C83" w:rsidRPr="00EA6C7A">
        <w:rPr>
          <w:rFonts w:ascii="Verdana" w:eastAsia="Batang" w:hAnsi="Verdana" w:cs="Arial"/>
          <w:sz w:val="20"/>
          <w:szCs w:val="20"/>
          <w:lang w:val="en-US" w:eastAsia="es-MX"/>
        </w:rPr>
        <w:t xml:space="preserve"> respective report </w:t>
      </w:r>
      <w:r w:rsidR="00037322" w:rsidRPr="00EA6C7A">
        <w:rPr>
          <w:rFonts w:ascii="Verdana" w:eastAsia="Batang" w:hAnsi="Verdana" w:cs="Arial"/>
          <w:sz w:val="20"/>
          <w:szCs w:val="20"/>
          <w:lang w:val="en-US" w:eastAsia="es-MX"/>
        </w:rPr>
        <w:t>of</w:t>
      </w:r>
      <w:r w:rsidR="00913C83" w:rsidRPr="00EA6C7A">
        <w:rPr>
          <w:rFonts w:ascii="Verdana" w:eastAsia="Batang" w:hAnsi="Verdana" w:cs="Arial"/>
          <w:sz w:val="20"/>
          <w:szCs w:val="20"/>
          <w:lang w:val="en-US" w:eastAsia="es-MX"/>
        </w:rPr>
        <w:t xml:space="preserve"> </w:t>
      </w:r>
      <w:r w:rsidR="007B566E" w:rsidRPr="00EA6C7A">
        <w:rPr>
          <w:rFonts w:ascii="Verdana" w:eastAsia="Batang" w:hAnsi="Verdana" w:cs="Arial"/>
          <w:sz w:val="20"/>
          <w:szCs w:val="20"/>
          <w:lang w:val="en-US" w:eastAsia="es-MX"/>
        </w:rPr>
        <w:t>August</w:t>
      </w:r>
      <w:r w:rsidR="0017063C" w:rsidRPr="00EA6C7A">
        <w:rPr>
          <w:rFonts w:ascii="Verdana" w:eastAsia="Batang" w:hAnsi="Verdana" w:cs="Arial"/>
          <w:sz w:val="20"/>
          <w:szCs w:val="20"/>
          <w:lang w:val="en-US" w:eastAsia="es-MX"/>
        </w:rPr>
        <w:t xml:space="preserve"> </w:t>
      </w:r>
      <w:r w:rsidR="00913C83" w:rsidRPr="00EA6C7A">
        <w:rPr>
          <w:rFonts w:ascii="Verdana" w:eastAsia="Batang" w:hAnsi="Verdana" w:cs="Arial"/>
          <w:sz w:val="20"/>
          <w:szCs w:val="20"/>
          <w:lang w:val="en-US" w:eastAsia="es-MX"/>
        </w:rPr>
        <w:t>30,</w:t>
      </w:r>
      <w:r w:rsidR="0017063C" w:rsidRPr="00EA6C7A">
        <w:rPr>
          <w:rFonts w:ascii="Verdana" w:eastAsia="Batang" w:hAnsi="Verdana" w:cs="Arial"/>
          <w:sz w:val="20"/>
          <w:szCs w:val="20"/>
          <w:lang w:val="en-US" w:eastAsia="es-MX"/>
        </w:rPr>
        <w:t xml:space="preserve"> 2005: </w:t>
      </w:r>
      <w:r w:rsidR="00913C83"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i) </w:t>
      </w:r>
      <w:r w:rsidR="00913C83" w:rsidRPr="00EA6C7A">
        <w:rPr>
          <w:rFonts w:ascii="Verdana" w:eastAsia="Batang" w:hAnsi="Verdana" w:cs="Arial"/>
          <w:sz w:val="20"/>
          <w:szCs w:val="20"/>
          <w:lang w:val="en-US" w:eastAsia="es-MX"/>
        </w:rPr>
        <w:t>the victim would have been alive when she was taken to the place where she was found and, while standing, was shot at a distance of around 15 centimeters</w:t>
      </w:r>
      <w:r w:rsidR="00FA4750" w:rsidRPr="00EA6C7A">
        <w:rPr>
          <w:rFonts w:ascii="Verdana" w:eastAsia="Batang" w:hAnsi="Verdana" w:cs="Arial"/>
          <w:sz w:val="20"/>
          <w:szCs w:val="20"/>
          <w:lang w:val="en-US" w:eastAsia="es-MX"/>
        </w:rPr>
        <w:t xml:space="preserve">, and the perpetrator was right-handed; (ii) it could be inferred that sexual violence had occurred; (iii) it was probable that the victim knew her attacker </w:t>
      </w:r>
      <w:r w:rsidR="00037322" w:rsidRPr="00EA6C7A">
        <w:rPr>
          <w:rFonts w:ascii="Verdana" w:eastAsia="Batang" w:hAnsi="Verdana" w:cs="Arial"/>
          <w:sz w:val="20"/>
          <w:szCs w:val="20"/>
          <w:lang w:val="en-US" w:eastAsia="es-MX"/>
        </w:rPr>
        <w:t>and, therefore, he needed</w:t>
      </w:r>
      <w:r w:rsidR="00FA4750" w:rsidRPr="00EA6C7A">
        <w:rPr>
          <w:rFonts w:ascii="Verdana" w:eastAsia="Batang" w:hAnsi="Verdana" w:cs="Arial"/>
          <w:sz w:val="20"/>
          <w:szCs w:val="20"/>
          <w:lang w:val="en-US" w:eastAsia="es-MX"/>
        </w:rPr>
        <w:t xml:space="preserve"> to eliminate her to avoid being recognized; (iv) the bruis</w:t>
      </w:r>
      <w:r w:rsidR="00AB3F3F" w:rsidRPr="00EA6C7A">
        <w:rPr>
          <w:rFonts w:ascii="Verdana" w:eastAsia="Batang" w:hAnsi="Verdana" w:cs="Arial"/>
          <w:sz w:val="20"/>
          <w:szCs w:val="20"/>
          <w:lang w:val="en-US" w:eastAsia="es-MX"/>
        </w:rPr>
        <w:t>ing</w:t>
      </w:r>
      <w:r w:rsidR="00FA4750" w:rsidRPr="00EA6C7A">
        <w:rPr>
          <w:rFonts w:ascii="Verdana" w:eastAsia="Batang" w:hAnsi="Verdana" w:cs="Arial"/>
          <w:sz w:val="20"/>
          <w:szCs w:val="20"/>
          <w:lang w:val="en-US" w:eastAsia="es-MX"/>
        </w:rPr>
        <w:t xml:space="preserve"> on the left side of the victim’s face had been caused while she was still alive and no more than 24 hours before her death, and (v) the injuries to the left knee and right side had occurred after her death. In this regard, and when questioned about </w:t>
      </w:r>
      <w:r w:rsidR="00FA4750" w:rsidRPr="00EA6C7A">
        <w:rPr>
          <w:rFonts w:ascii="Verdana" w:eastAsia="Batang" w:hAnsi="Verdana" w:cs="Arial"/>
          <w:sz w:val="20"/>
          <w:szCs w:val="20"/>
          <w:lang w:val="en-US" w:eastAsia="es-MX"/>
        </w:rPr>
        <w:lastRenderedPageBreak/>
        <w:t>the omission of these injuries in the report, he indicated that the function of the forensic physician who goes to the scene of the crime is to assess the manner of death, and that it is the forensic expert in charge of performing the autopsy who should make a precise description of each of th</w:t>
      </w:r>
      <w:r w:rsidR="00AB3F3F" w:rsidRPr="00EA6C7A">
        <w:rPr>
          <w:rFonts w:ascii="Verdana" w:eastAsia="Batang" w:hAnsi="Verdana" w:cs="Arial"/>
          <w:sz w:val="20"/>
          <w:szCs w:val="20"/>
          <w:lang w:val="en-US" w:eastAsia="es-MX"/>
        </w:rPr>
        <w:t>ose injuries</w:t>
      </w:r>
      <w:r w:rsidR="00FA4750" w:rsidRPr="00EA6C7A">
        <w:rPr>
          <w:rFonts w:ascii="Verdana" w:eastAsia="Batang" w:hAnsi="Verdana" w:cs="Arial"/>
          <w:sz w:val="20"/>
          <w:szCs w:val="20"/>
          <w:lang w:val="en-US" w:eastAsia="es-MX"/>
        </w:rPr>
        <w:t xml:space="preserve">. Consequently, this information was obtained more than three years after </w:t>
      </w:r>
      <w:r w:rsidR="0017063C" w:rsidRPr="00EA6C7A">
        <w:rPr>
          <w:rFonts w:ascii="Verdana" w:eastAsia="Batang" w:hAnsi="Verdana" w:cs="Arial"/>
          <w:sz w:val="20"/>
          <w:szCs w:val="20"/>
          <w:lang w:val="en-US" w:eastAsia="es-MX"/>
        </w:rPr>
        <w:t>Claudina Velásquez</w:t>
      </w:r>
      <w:r w:rsidR="00FA4750" w:rsidRPr="00EA6C7A">
        <w:rPr>
          <w:rFonts w:ascii="Verdana" w:eastAsia="Batang" w:hAnsi="Verdana" w:cs="Arial"/>
          <w:sz w:val="20"/>
          <w:szCs w:val="20"/>
          <w:lang w:val="en-US" w:eastAsia="es-MX"/>
        </w:rPr>
        <w:t>’s death, affecting the course of the investigation.</w:t>
      </w:r>
    </w:p>
    <w:p w14:paraId="099F3B84" w14:textId="77777777" w:rsidR="0017063C" w:rsidRPr="00EA6C7A" w:rsidRDefault="0017063C" w:rsidP="0017063C">
      <w:pPr>
        <w:autoSpaceDE w:val="0"/>
        <w:autoSpaceDN w:val="0"/>
        <w:adjustRightInd w:val="0"/>
        <w:spacing w:after="0" w:line="240" w:lineRule="auto"/>
        <w:jc w:val="both"/>
        <w:rPr>
          <w:rFonts w:ascii="Verdana" w:hAnsi="Verdana"/>
          <w:b/>
          <w:sz w:val="20"/>
          <w:szCs w:val="20"/>
          <w:lang w:val="en-US"/>
        </w:rPr>
      </w:pPr>
    </w:p>
    <w:p w14:paraId="3CBAFD63" w14:textId="77777777" w:rsidR="0017063C" w:rsidRPr="00EA6C7A" w:rsidRDefault="00F1267B" w:rsidP="00F1267B">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It should be recalled that, </w:t>
      </w:r>
      <w:r w:rsidR="0021604D" w:rsidRPr="00EA6C7A">
        <w:rPr>
          <w:rFonts w:ascii="Verdana" w:eastAsia="Batang" w:hAnsi="Verdana"/>
          <w:sz w:val="20"/>
          <w:szCs w:val="20"/>
          <w:lang w:val="en-US" w:eastAsia="es-MX"/>
        </w:rPr>
        <w:t>following</w:t>
      </w:r>
      <w:r w:rsidRPr="00EA6C7A">
        <w:rPr>
          <w:rFonts w:ascii="Verdana" w:eastAsia="Batang" w:hAnsi="Verdana"/>
          <w:sz w:val="20"/>
          <w:szCs w:val="20"/>
          <w:lang w:val="en-US" w:eastAsia="es-MX"/>
        </w:rPr>
        <w:t xml:space="preserve"> the Ombudsman’s recommendations, a d</w:t>
      </w:r>
      <w:r w:rsidR="00793F8B" w:rsidRPr="00EA6C7A">
        <w:rPr>
          <w:rFonts w:ascii="Verdana" w:eastAsia="Batang" w:hAnsi="Verdana"/>
          <w:sz w:val="20"/>
          <w:szCs w:val="20"/>
          <w:lang w:val="en-US" w:eastAsia="es-MX"/>
        </w:rPr>
        <w:t xml:space="preserve">isciplinary </w:t>
      </w:r>
      <w:r w:rsidRPr="00EA6C7A">
        <w:rPr>
          <w:rFonts w:ascii="Verdana" w:eastAsia="Batang" w:hAnsi="Verdana"/>
          <w:sz w:val="20"/>
          <w:szCs w:val="20"/>
          <w:lang w:val="en-US" w:eastAsia="es-MX"/>
        </w:rPr>
        <w:t>p</w:t>
      </w:r>
      <w:r w:rsidR="00793F8B" w:rsidRPr="00EA6C7A">
        <w:rPr>
          <w:rFonts w:ascii="Verdana" w:eastAsia="Batang" w:hAnsi="Verdana"/>
          <w:sz w:val="20"/>
          <w:szCs w:val="20"/>
          <w:lang w:val="en-US" w:eastAsia="es-MX"/>
        </w:rPr>
        <w:t>rocedure</w:t>
      </w:r>
      <w:r w:rsidRPr="00EA6C7A">
        <w:rPr>
          <w:rFonts w:ascii="Verdana" w:eastAsia="Batang" w:hAnsi="Verdana"/>
          <w:sz w:val="20"/>
          <w:szCs w:val="20"/>
          <w:lang w:val="en-US" w:eastAsia="es-MX"/>
        </w:rPr>
        <w:t xml:space="preserve"> was opened against </w:t>
      </w:r>
      <w:r w:rsidR="003F510E" w:rsidRPr="00EA6C7A">
        <w:rPr>
          <w:rFonts w:ascii="Verdana" w:eastAsia="Batang" w:hAnsi="Verdana"/>
          <w:sz w:val="20"/>
          <w:szCs w:val="20"/>
          <w:lang w:val="en-US" w:eastAsia="es-MX"/>
        </w:rPr>
        <w:t xml:space="preserve">the </w:t>
      </w:r>
      <w:r w:rsidR="000821BA" w:rsidRPr="00EA6C7A">
        <w:rPr>
          <w:rFonts w:ascii="Verdana" w:eastAsia="Batang" w:hAnsi="Verdana"/>
          <w:sz w:val="20"/>
          <w:szCs w:val="20"/>
          <w:lang w:val="en-US" w:eastAsia="es-MX"/>
        </w:rPr>
        <w:t>forensic physician</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who performed the autopsy. As</w:t>
      </w:r>
      <w:r w:rsidR="0021604D"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a result of this procedure, </w:t>
      </w:r>
      <w:r w:rsidR="003E2012" w:rsidRPr="00EA6C7A">
        <w:rPr>
          <w:rFonts w:ascii="Verdana" w:eastAsia="Batang" w:hAnsi="Verdana"/>
          <w:sz w:val="20"/>
          <w:szCs w:val="20"/>
          <w:lang w:val="en-US" w:eastAsia="es-MX"/>
        </w:rPr>
        <w:t xml:space="preserve">the </w:t>
      </w:r>
      <w:r w:rsidR="00793F8B" w:rsidRPr="00EA6C7A">
        <w:rPr>
          <w:rFonts w:ascii="Verdana" w:eastAsia="Batang" w:hAnsi="Verdana"/>
          <w:sz w:val="20"/>
          <w:szCs w:val="20"/>
          <w:lang w:val="en-US" w:eastAsia="es-MX"/>
        </w:rPr>
        <w:t>Disciplinary</w:t>
      </w:r>
      <w:r w:rsidR="003E2012" w:rsidRPr="00EA6C7A">
        <w:rPr>
          <w:rFonts w:ascii="Verdana" w:eastAsia="Batang" w:hAnsi="Verdana"/>
          <w:sz w:val="20"/>
          <w:szCs w:val="20"/>
          <w:lang w:val="en-US" w:eastAsia="es-MX"/>
        </w:rPr>
        <w:t xml:space="preserve"> Regime Unit </w:t>
      </w:r>
      <w:r w:rsidR="003B7AB8" w:rsidRPr="00EA6C7A">
        <w:rPr>
          <w:rFonts w:ascii="Verdana" w:eastAsia="Batang" w:hAnsi="Verdana"/>
          <w:sz w:val="20"/>
          <w:szCs w:val="20"/>
          <w:lang w:val="en-US" w:eastAsia="es-MX"/>
        </w:rPr>
        <w:t>of the Judiciary’s Human Resources System</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c</w:t>
      </w:r>
      <w:r w:rsidR="0017063C" w:rsidRPr="00EA6C7A">
        <w:rPr>
          <w:rFonts w:ascii="Verdana" w:eastAsia="Batang" w:hAnsi="Verdana"/>
          <w:sz w:val="20"/>
          <w:szCs w:val="20"/>
          <w:lang w:val="en-US" w:eastAsia="es-MX"/>
        </w:rPr>
        <w:t>onsider</w:t>
      </w:r>
      <w:r w:rsidRPr="00EA6C7A">
        <w:rPr>
          <w:rFonts w:ascii="Verdana" w:eastAsia="Batang" w:hAnsi="Verdana"/>
          <w:sz w:val="20"/>
          <w:szCs w:val="20"/>
          <w:lang w:val="en-US" w:eastAsia="es-MX"/>
        </w:rPr>
        <w:t xml:space="preserve">ed that the physician’s omission of the name and the exact time of the victim’s death were minor, serious and </w:t>
      </w:r>
      <w:r w:rsidR="006763B5" w:rsidRPr="00EA6C7A">
        <w:rPr>
          <w:rFonts w:ascii="Verdana" w:eastAsia="Batang" w:hAnsi="Verdana"/>
          <w:sz w:val="20"/>
          <w:szCs w:val="20"/>
          <w:lang w:val="en-US" w:eastAsia="es-MX"/>
        </w:rPr>
        <w:t>extremely</w:t>
      </w:r>
      <w:r w:rsidRPr="00EA6C7A">
        <w:rPr>
          <w:rFonts w:ascii="Verdana" w:eastAsia="Batang" w:hAnsi="Verdana"/>
          <w:sz w:val="20"/>
          <w:szCs w:val="20"/>
          <w:lang w:val="en-US" w:eastAsia="es-MX"/>
        </w:rPr>
        <w:t xml:space="preserve"> serious</w:t>
      </w:r>
      <w:r w:rsidR="006763B5" w:rsidRPr="00EA6C7A">
        <w:rPr>
          <w:rFonts w:ascii="Verdana" w:eastAsia="Batang" w:hAnsi="Verdana"/>
          <w:sz w:val="20"/>
          <w:szCs w:val="20"/>
          <w:lang w:val="en-US" w:eastAsia="es-MX"/>
        </w:rPr>
        <w:t xml:space="preserve"> errors</w:t>
      </w:r>
      <w:r w:rsidRPr="00EA6C7A">
        <w:rPr>
          <w:rFonts w:ascii="Verdana" w:eastAsia="Batang" w:hAnsi="Verdana"/>
          <w:sz w:val="20"/>
          <w:szCs w:val="20"/>
          <w:lang w:val="en-US" w:eastAsia="es-MX"/>
        </w:rPr>
        <w:t>, and therefore imposed a sanction of 20 days’ suspension without pay. However, since the forensic physician had terminated his employment relationship with the Judiciary on December 5, 2007, the Supreme Court of Justice found that the disciplinary sanction was inapplicable</w:t>
      </w:r>
      <w:r w:rsidR="0017063C" w:rsidRPr="00EA6C7A">
        <w:rPr>
          <w:rFonts w:ascii="Verdana" w:eastAsia="Batang" w:hAnsi="Verdana"/>
          <w:sz w:val="20"/>
          <w:szCs w:val="20"/>
          <w:lang w:val="en-US" w:eastAsia="es-MX"/>
        </w:rPr>
        <w:t xml:space="preserve"> (</w:t>
      </w:r>
      <w:r w:rsidR="0017063C" w:rsidRPr="00EA6C7A">
        <w:rPr>
          <w:rFonts w:ascii="Verdana" w:eastAsia="Batang" w:hAnsi="Verdana"/>
          <w:i/>
          <w:sz w:val="20"/>
          <w:szCs w:val="20"/>
          <w:lang w:val="en-US" w:eastAsia="es-MX"/>
        </w:rPr>
        <w:t>supra</w:t>
      </w:r>
      <w:r w:rsidR="0017063C"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17063C" w:rsidRPr="00EA6C7A">
        <w:rPr>
          <w:rFonts w:ascii="Verdana" w:eastAsia="Batang" w:hAnsi="Verdana"/>
          <w:sz w:val="20"/>
          <w:szCs w:val="20"/>
          <w:lang w:val="en-US" w:eastAsia="es-MX"/>
        </w:rPr>
        <w:t xml:space="preserve"> 97). </w:t>
      </w:r>
      <w:r w:rsidR="0096418F"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reco</w:t>
      </w:r>
      <w:r w:rsidRPr="00EA6C7A">
        <w:rPr>
          <w:rFonts w:ascii="Verdana" w:eastAsia="Batang" w:hAnsi="Verdana"/>
          <w:sz w:val="20"/>
          <w:szCs w:val="20"/>
          <w:lang w:val="en-US" w:eastAsia="es-MX"/>
        </w:rPr>
        <w:t xml:space="preserve">gnizes the measures that the State has tried to implement; however, the disciplinary procedure against </w:t>
      </w:r>
      <w:r w:rsidR="000821BA" w:rsidRPr="00EA6C7A">
        <w:rPr>
          <w:rFonts w:ascii="Verdana" w:eastAsia="Batang" w:hAnsi="Verdana"/>
          <w:sz w:val="20"/>
          <w:szCs w:val="20"/>
          <w:lang w:val="en-US" w:eastAsia="es-MX"/>
        </w:rPr>
        <w:t>the forensic physician</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did not take into consideration all the </w:t>
      </w:r>
      <w:r w:rsidR="00043FBD" w:rsidRPr="00EA6C7A">
        <w:rPr>
          <w:rFonts w:ascii="Verdana" w:eastAsia="Batang" w:hAnsi="Verdana"/>
          <w:sz w:val="20"/>
          <w:szCs w:val="20"/>
          <w:lang w:val="en-US" w:eastAsia="es-MX"/>
        </w:rPr>
        <w:t>irregularities</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he </w:t>
      </w:r>
      <w:r w:rsidR="0021604D" w:rsidRPr="00EA6C7A">
        <w:rPr>
          <w:rFonts w:ascii="Verdana" w:eastAsia="Batang" w:hAnsi="Verdana"/>
          <w:sz w:val="20"/>
          <w:szCs w:val="20"/>
          <w:lang w:val="en-US" w:eastAsia="es-MX"/>
        </w:rPr>
        <w:t>committed</w:t>
      </w:r>
      <w:r w:rsidRPr="00EA6C7A">
        <w:rPr>
          <w:rFonts w:ascii="Verdana" w:eastAsia="Batang" w:hAnsi="Verdana"/>
          <w:sz w:val="20"/>
          <w:szCs w:val="20"/>
          <w:lang w:val="en-US" w:eastAsia="es-MX"/>
        </w:rPr>
        <w:t xml:space="preserve"> </w:t>
      </w:r>
      <w:r w:rsidR="00197C1E" w:rsidRPr="00EA6C7A">
        <w:rPr>
          <w:rFonts w:ascii="Verdana" w:eastAsia="Batang" w:hAnsi="Verdana"/>
          <w:sz w:val="20"/>
          <w:szCs w:val="20"/>
          <w:lang w:val="en-US" w:eastAsia="es-MX"/>
        </w:rPr>
        <w:t>while performing the autopsy and recording it, which have been described in this section</w:t>
      </w:r>
      <w:r w:rsidR="0017063C" w:rsidRPr="00EA6C7A">
        <w:rPr>
          <w:rFonts w:ascii="Verdana" w:eastAsia="Batang" w:hAnsi="Verdana"/>
          <w:sz w:val="20"/>
          <w:szCs w:val="20"/>
          <w:lang w:val="en-US" w:eastAsia="es-MX"/>
        </w:rPr>
        <w:t xml:space="preserve">. </w:t>
      </w:r>
    </w:p>
    <w:p w14:paraId="6C978EE9" w14:textId="77777777" w:rsidR="0017063C" w:rsidRPr="00EA6C7A" w:rsidRDefault="0017063C" w:rsidP="00F1267B">
      <w:pPr>
        <w:tabs>
          <w:tab w:val="left" w:pos="720"/>
        </w:tabs>
        <w:autoSpaceDE w:val="0"/>
        <w:autoSpaceDN w:val="0"/>
        <w:adjustRightInd w:val="0"/>
        <w:spacing w:after="0" w:line="240" w:lineRule="auto"/>
        <w:jc w:val="both"/>
        <w:rPr>
          <w:rFonts w:ascii="Verdana" w:hAnsi="Verdana"/>
          <w:sz w:val="20"/>
          <w:szCs w:val="20"/>
          <w:lang w:val="en-US"/>
        </w:rPr>
      </w:pPr>
    </w:p>
    <w:p w14:paraId="0D527995" w14:textId="77777777" w:rsidR="0017063C" w:rsidRPr="00EA6C7A" w:rsidRDefault="00197C1E" w:rsidP="00F1267B">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In addition</w:t>
      </w:r>
      <w:r w:rsidR="0017063C"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recalls that d</w:t>
      </w:r>
      <w:r w:rsidR="003F1D17" w:rsidRPr="00EA6C7A">
        <w:rPr>
          <w:rFonts w:ascii="Verdana" w:eastAsia="Batang" w:hAnsi="Verdana"/>
          <w:sz w:val="20"/>
          <w:szCs w:val="20"/>
          <w:lang w:val="en-US" w:eastAsia="es-MX"/>
        </w:rPr>
        <w:t xml:space="preserve">isciplinary procedures </w:t>
      </w:r>
      <w:r w:rsidRPr="00EA6C7A">
        <w:rPr>
          <w:rFonts w:ascii="Verdana" w:eastAsia="Batang" w:hAnsi="Verdana"/>
          <w:sz w:val="20"/>
          <w:szCs w:val="20"/>
          <w:lang w:val="en-US" w:eastAsia="es-MX"/>
        </w:rPr>
        <w:t xml:space="preserve">were opened against </w:t>
      </w:r>
      <w:r w:rsidR="00D75E80" w:rsidRPr="00EA6C7A">
        <w:rPr>
          <w:rFonts w:ascii="Verdana" w:eastAsia="Batang" w:hAnsi="Verdana"/>
          <w:sz w:val="20"/>
          <w:szCs w:val="20"/>
          <w:lang w:val="en-US" w:eastAsia="es-MX"/>
        </w:rPr>
        <w:t xml:space="preserve">the </w:t>
      </w:r>
      <w:r w:rsidR="000821BA" w:rsidRPr="00EA6C7A">
        <w:rPr>
          <w:rFonts w:ascii="Verdana" w:eastAsia="Batang" w:hAnsi="Verdana"/>
          <w:sz w:val="20"/>
          <w:szCs w:val="20"/>
          <w:lang w:val="en-US" w:eastAsia="es-MX"/>
        </w:rPr>
        <w:t>assistant prosecutor</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three</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c</w:t>
      </w:r>
      <w:r w:rsidR="00EF1D78" w:rsidRPr="00EA6C7A">
        <w:rPr>
          <w:rFonts w:ascii="Verdana" w:eastAsia="Batang" w:hAnsi="Verdana"/>
          <w:sz w:val="20"/>
          <w:szCs w:val="20"/>
          <w:lang w:val="en-US" w:eastAsia="es-MX"/>
        </w:rPr>
        <w:t>riminal investigation experts</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who took part in the initial stages of the investigation</w:t>
      </w:r>
      <w:r w:rsidR="001B5B34" w:rsidRPr="00EA6C7A">
        <w:rPr>
          <w:rFonts w:ascii="Verdana" w:eastAsia="Batang" w:hAnsi="Verdana"/>
          <w:sz w:val="20"/>
          <w:szCs w:val="20"/>
          <w:lang w:val="en-US" w:eastAsia="es-MX"/>
        </w:rPr>
        <w:t xml:space="preserve"> conducted</w:t>
      </w:r>
      <w:r w:rsidRPr="00EA6C7A">
        <w:rPr>
          <w:rFonts w:ascii="Verdana" w:eastAsia="Batang" w:hAnsi="Verdana"/>
          <w:sz w:val="20"/>
          <w:szCs w:val="20"/>
          <w:lang w:val="en-US" w:eastAsia="es-MX"/>
        </w:rPr>
        <w:t xml:space="preserve"> </w:t>
      </w:r>
      <w:r w:rsidR="0021604D" w:rsidRPr="00EA6C7A">
        <w:rPr>
          <w:rFonts w:ascii="Verdana" w:eastAsia="Batang" w:hAnsi="Verdana"/>
          <w:sz w:val="20"/>
          <w:szCs w:val="20"/>
          <w:lang w:val="en-US" w:eastAsia="es-MX"/>
        </w:rPr>
        <w:t>by</w:t>
      </w:r>
      <w:r w:rsidRPr="00EA6C7A">
        <w:rPr>
          <w:rFonts w:ascii="Verdana" w:eastAsia="Batang" w:hAnsi="Verdana"/>
          <w:sz w:val="20"/>
          <w:szCs w:val="20"/>
          <w:lang w:val="en-US" w:eastAsia="es-MX"/>
        </w:rPr>
        <w:t xml:space="preserve"> the Head Office for the Prosecution of Crimes against Life and Integrity and also </w:t>
      </w:r>
      <w:r w:rsidR="0021604D" w:rsidRPr="00EA6C7A">
        <w:rPr>
          <w:rFonts w:ascii="Verdana" w:eastAsia="Batang" w:hAnsi="Verdana"/>
          <w:sz w:val="20"/>
          <w:szCs w:val="20"/>
          <w:lang w:val="en-US" w:eastAsia="es-MX"/>
        </w:rPr>
        <w:t>by</w:t>
      </w:r>
      <w:r w:rsidRPr="00EA6C7A">
        <w:rPr>
          <w:rFonts w:ascii="Verdana" w:eastAsia="Batang" w:hAnsi="Verdana"/>
          <w:sz w:val="20"/>
          <w:szCs w:val="20"/>
          <w:lang w:val="en-US" w:eastAsia="es-MX"/>
        </w:rPr>
        <w:t xml:space="preserve"> the </w:t>
      </w:r>
      <w:r w:rsidR="003F31B4" w:rsidRPr="00EA6C7A">
        <w:rPr>
          <w:rFonts w:ascii="Verdana" w:eastAsia="Batang" w:hAnsi="Verdana"/>
          <w:sz w:val="20"/>
          <w:szCs w:val="20"/>
          <w:lang w:val="en-US" w:eastAsia="es-MX"/>
        </w:rPr>
        <w:t>Criminal Investigation Department</w:t>
      </w:r>
      <w:r w:rsidRPr="00EA6C7A">
        <w:rPr>
          <w:rFonts w:ascii="Verdana" w:eastAsia="Batang" w:hAnsi="Verdana"/>
          <w:sz w:val="20"/>
          <w:szCs w:val="20"/>
          <w:lang w:val="en-US" w:eastAsia="es-MX"/>
        </w:rPr>
        <w:t xml:space="preserve">. It is on record that, in the context of these procedures, in 2009, </w:t>
      </w:r>
      <w:r w:rsidR="000821BA" w:rsidRPr="00EA6C7A">
        <w:rPr>
          <w:rFonts w:ascii="Verdana" w:eastAsia="Batang" w:hAnsi="Verdana"/>
          <w:sz w:val="20"/>
          <w:szCs w:val="20"/>
          <w:lang w:val="en-US" w:eastAsia="es-MX"/>
        </w:rPr>
        <w:t>the assistant prosecutor</w:t>
      </w:r>
      <w:r w:rsidR="0017063C" w:rsidRPr="00EA6C7A">
        <w:rPr>
          <w:rFonts w:ascii="Verdana" w:hAnsi="Verdana"/>
          <w:sz w:val="20"/>
          <w:szCs w:val="20"/>
          <w:lang w:val="en-US"/>
        </w:rPr>
        <w:t xml:space="preserve"> </w:t>
      </w:r>
      <w:r w:rsidRPr="00EA6C7A">
        <w:rPr>
          <w:rFonts w:ascii="Verdana" w:hAnsi="Verdana"/>
          <w:sz w:val="20"/>
          <w:szCs w:val="20"/>
          <w:lang w:val="en-US"/>
        </w:rPr>
        <w:t xml:space="preserve">was sanctioned with a written reprimand and two of the </w:t>
      </w:r>
      <w:r w:rsidRPr="00EA6C7A">
        <w:rPr>
          <w:rFonts w:ascii="Verdana" w:eastAsia="Batang" w:hAnsi="Verdana"/>
          <w:sz w:val="20"/>
          <w:szCs w:val="20"/>
          <w:lang w:val="en-US" w:eastAsia="es-MX"/>
        </w:rPr>
        <w:t>c</w:t>
      </w:r>
      <w:r w:rsidR="00EF1D78" w:rsidRPr="00EA6C7A">
        <w:rPr>
          <w:rFonts w:ascii="Verdana" w:eastAsia="Batang" w:hAnsi="Verdana"/>
          <w:sz w:val="20"/>
          <w:szCs w:val="20"/>
          <w:lang w:val="en-US" w:eastAsia="es-MX"/>
        </w:rPr>
        <w:t>riminal investigation experts</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with verbal reprimands while, in the case of the third expert, it was decided that the procedure against him was </w:t>
      </w:r>
      <w:r w:rsidR="0021604D" w:rsidRPr="00EA6C7A">
        <w:rPr>
          <w:rFonts w:ascii="Verdana" w:eastAsia="Batang" w:hAnsi="Verdana"/>
          <w:sz w:val="20"/>
          <w:szCs w:val="20"/>
          <w:lang w:val="en-US" w:eastAsia="es-MX"/>
        </w:rPr>
        <w:t>unfounded</w:t>
      </w:r>
      <w:r w:rsidRPr="00EA6C7A">
        <w:rPr>
          <w:rFonts w:ascii="Verdana" w:eastAsia="Batang" w:hAnsi="Verdana"/>
          <w:sz w:val="20"/>
          <w:szCs w:val="20"/>
          <w:lang w:val="en-US" w:eastAsia="es-MX"/>
        </w:rPr>
        <w:t xml:space="preserve"> </w:t>
      </w:r>
      <w:r w:rsidR="0017063C" w:rsidRPr="00EA6C7A">
        <w:rPr>
          <w:rFonts w:ascii="Verdana" w:eastAsia="Batang" w:hAnsi="Verdana"/>
          <w:sz w:val="20"/>
          <w:szCs w:val="20"/>
          <w:lang w:val="en-US" w:eastAsia="es-MX"/>
        </w:rPr>
        <w:t>(</w:t>
      </w:r>
      <w:r w:rsidR="0017063C" w:rsidRPr="00EA6C7A">
        <w:rPr>
          <w:rFonts w:ascii="Verdana" w:eastAsia="Batang" w:hAnsi="Verdana"/>
          <w:i/>
          <w:sz w:val="20"/>
          <w:szCs w:val="20"/>
          <w:lang w:val="en-US" w:eastAsia="es-MX"/>
        </w:rPr>
        <w:t>supra</w:t>
      </w:r>
      <w:r w:rsidR="0017063C"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17063C" w:rsidRPr="00EA6C7A">
        <w:rPr>
          <w:rFonts w:ascii="Verdana" w:eastAsia="Batang" w:hAnsi="Verdana"/>
          <w:sz w:val="20"/>
          <w:szCs w:val="20"/>
          <w:lang w:val="en-US" w:eastAsia="es-MX"/>
        </w:rPr>
        <w:t xml:space="preserve"> 93). </w:t>
      </w:r>
      <w:r w:rsidRPr="00EA6C7A">
        <w:rPr>
          <w:rFonts w:ascii="Verdana" w:eastAsia="Batang" w:hAnsi="Verdana"/>
          <w:sz w:val="20"/>
          <w:szCs w:val="20"/>
          <w:lang w:val="en-US" w:eastAsia="es-MX"/>
        </w:rPr>
        <w:t xml:space="preserve">However, since this Court has no further information, it cannot </w:t>
      </w:r>
      <w:r w:rsidR="0021604D" w:rsidRPr="00EA6C7A">
        <w:rPr>
          <w:rFonts w:ascii="Verdana" w:eastAsia="Batang" w:hAnsi="Verdana"/>
          <w:sz w:val="20"/>
          <w:szCs w:val="20"/>
          <w:lang w:val="en-US" w:eastAsia="es-MX"/>
        </w:rPr>
        <w:t>determine</w:t>
      </w:r>
      <w:r w:rsidRPr="00EA6C7A">
        <w:rPr>
          <w:rFonts w:ascii="Verdana" w:eastAsia="Batang" w:hAnsi="Verdana"/>
          <w:sz w:val="20"/>
          <w:szCs w:val="20"/>
          <w:lang w:val="en-US" w:eastAsia="es-MX"/>
        </w:rPr>
        <w:t xml:space="preserve"> to what point and to what degree these sanctions bear any relationship to the </w:t>
      </w:r>
      <w:r w:rsidR="00043FBD" w:rsidRPr="00EA6C7A">
        <w:rPr>
          <w:rFonts w:ascii="Verdana" w:eastAsia="Batang" w:hAnsi="Verdana"/>
          <w:sz w:val="20"/>
          <w:szCs w:val="20"/>
          <w:lang w:val="en-US" w:eastAsia="es-MX"/>
        </w:rPr>
        <w:t>irregularities</w:t>
      </w:r>
      <w:r w:rsidR="0017063C" w:rsidRPr="00EA6C7A">
        <w:rPr>
          <w:rFonts w:ascii="Verdana" w:eastAsia="Batang" w:hAnsi="Verdana"/>
          <w:sz w:val="20"/>
          <w:szCs w:val="20"/>
          <w:lang w:val="en-US" w:eastAsia="es-MX"/>
        </w:rPr>
        <w:t xml:space="preserve"> identifi</w:t>
      </w:r>
      <w:r w:rsidRPr="00EA6C7A">
        <w:rPr>
          <w:rFonts w:ascii="Verdana" w:eastAsia="Batang" w:hAnsi="Verdana"/>
          <w:sz w:val="20"/>
          <w:szCs w:val="20"/>
          <w:lang w:val="en-US" w:eastAsia="es-MX"/>
        </w:rPr>
        <w:t xml:space="preserve">ed in this section. Also, there is no record of how the procedure opened against the </w:t>
      </w:r>
      <w:r w:rsidR="000821BA" w:rsidRPr="00EA6C7A">
        <w:rPr>
          <w:rFonts w:ascii="Verdana" w:eastAsia="Batang" w:hAnsi="Verdana"/>
          <w:sz w:val="20"/>
          <w:szCs w:val="20"/>
          <w:lang w:val="en-US" w:eastAsia="es-MX"/>
        </w:rPr>
        <w:t>assistant prosecutor</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 the case concluded.</w:t>
      </w:r>
    </w:p>
    <w:p w14:paraId="300F0333" w14:textId="77777777" w:rsidR="0017063C" w:rsidRPr="00EA6C7A" w:rsidRDefault="0017063C" w:rsidP="00F1267B">
      <w:pPr>
        <w:tabs>
          <w:tab w:val="left" w:pos="720"/>
        </w:tabs>
        <w:autoSpaceDE w:val="0"/>
        <w:autoSpaceDN w:val="0"/>
        <w:adjustRightInd w:val="0"/>
        <w:spacing w:after="0" w:line="240" w:lineRule="auto"/>
        <w:jc w:val="both"/>
        <w:rPr>
          <w:rFonts w:ascii="Verdana" w:hAnsi="Verdana"/>
          <w:b/>
          <w:sz w:val="20"/>
          <w:szCs w:val="20"/>
          <w:lang w:val="en-US"/>
        </w:rPr>
      </w:pPr>
    </w:p>
    <w:p w14:paraId="4AFA8C99" w14:textId="77777777" w:rsidR="00197C1E" w:rsidRPr="00EA6C7A" w:rsidRDefault="00197C1E" w:rsidP="00197C1E">
      <w:pPr>
        <w:numPr>
          <w:ilvl w:val="0"/>
          <w:numId w:val="3"/>
        </w:numPr>
        <w:tabs>
          <w:tab w:val="left" w:pos="720"/>
        </w:tabs>
        <w:spacing w:after="0" w:line="240" w:lineRule="auto"/>
        <w:ind w:left="0" w:firstLine="0"/>
        <w:jc w:val="both"/>
        <w:rPr>
          <w:rFonts w:ascii="Verdana" w:eastAsia="Batang" w:hAnsi="Verdana" w:cs="Arial"/>
          <w:sz w:val="20"/>
          <w:szCs w:val="20"/>
          <w:lang w:val="en-US" w:eastAsia="es-MX"/>
        </w:rPr>
      </w:pPr>
      <w:r w:rsidRPr="00EA6C7A">
        <w:rPr>
          <w:rFonts w:ascii="Verdana" w:eastAsia="Batang" w:hAnsi="Verdana"/>
          <w:sz w:val="20"/>
          <w:szCs w:val="20"/>
          <w:lang w:val="en-US" w:eastAsia="es-MX"/>
        </w:rPr>
        <w:t xml:space="preserve">Based on the above, the Court concludes that, in this case, the following </w:t>
      </w:r>
      <w:r w:rsidR="00043FBD" w:rsidRPr="00EA6C7A">
        <w:rPr>
          <w:rFonts w:ascii="Verdana" w:eastAsia="Batang" w:hAnsi="Verdana"/>
          <w:sz w:val="20"/>
          <w:szCs w:val="20"/>
          <w:lang w:val="en-US" w:eastAsia="es-MX"/>
        </w:rPr>
        <w:t>irregularities</w:t>
      </w:r>
      <w:r w:rsidRPr="00EA6C7A">
        <w:rPr>
          <w:rFonts w:ascii="Verdana" w:eastAsia="Batang" w:hAnsi="Verdana"/>
          <w:sz w:val="20"/>
          <w:szCs w:val="20"/>
          <w:lang w:val="en-US" w:eastAsia="es-MX"/>
        </w:rPr>
        <w:t xml:space="preserve"> occurred</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 xml:space="preserve">i) </w:t>
      </w:r>
      <w:r w:rsidRPr="00EA6C7A">
        <w:rPr>
          <w:rFonts w:ascii="Verdana" w:eastAsia="Batang" w:hAnsi="Verdana" w:cs="Arial"/>
          <w:sz w:val="20"/>
          <w:szCs w:val="20"/>
          <w:lang w:val="en-US" w:eastAsia="es-MX"/>
        </w:rPr>
        <w:t xml:space="preserve">absence of a police record of the discovery of the body; (ii) failure to investigate the indications that the body had been tampered with; (iii) incorrect handling of the crime scene; (iv) </w:t>
      </w:r>
      <w:r w:rsidR="00043FBD" w:rsidRPr="00EA6C7A">
        <w:rPr>
          <w:rFonts w:ascii="Verdana" w:eastAsia="Batang" w:hAnsi="Verdana"/>
          <w:sz w:val="20"/>
          <w:szCs w:val="20"/>
          <w:lang w:val="en-US" w:eastAsia="es-MX"/>
        </w:rPr>
        <w:t>irregularities</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in the recording and preservation of evidence; (v) failure to collect and preserve evidence; (vi) </w:t>
      </w:r>
      <w:r w:rsidR="00043FBD" w:rsidRPr="00EA6C7A">
        <w:rPr>
          <w:rFonts w:ascii="Verdana" w:eastAsia="Batang" w:hAnsi="Verdana"/>
          <w:sz w:val="20"/>
          <w:szCs w:val="20"/>
          <w:lang w:val="en-US" w:eastAsia="es-MX"/>
        </w:rPr>
        <w:t>irregularities</w:t>
      </w:r>
      <w:r w:rsidRPr="00EA6C7A">
        <w:rPr>
          <w:rFonts w:ascii="Verdana" w:eastAsia="Batang" w:hAnsi="Verdana"/>
          <w:sz w:val="20"/>
          <w:szCs w:val="20"/>
          <w:lang w:val="en-US" w:eastAsia="es-MX"/>
        </w:rPr>
        <w:t xml:space="preserve"> in the performance of the autopsy</w:t>
      </w:r>
      <w:r w:rsidR="001B5B34"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and </w:t>
      </w:r>
      <w:r w:rsidR="001B5B34" w:rsidRPr="00EA6C7A">
        <w:rPr>
          <w:rFonts w:ascii="Verdana" w:eastAsia="Batang" w:hAnsi="Verdana"/>
          <w:sz w:val="20"/>
          <w:szCs w:val="20"/>
          <w:lang w:val="en-US" w:eastAsia="es-MX"/>
        </w:rPr>
        <w:t xml:space="preserve">in </w:t>
      </w:r>
      <w:r w:rsidRPr="00EA6C7A">
        <w:rPr>
          <w:rFonts w:ascii="Verdana" w:eastAsia="Batang" w:hAnsi="Verdana"/>
          <w:sz w:val="20"/>
          <w:szCs w:val="20"/>
          <w:lang w:val="en-US" w:eastAsia="es-MX"/>
        </w:rPr>
        <w:t xml:space="preserve">the report; (vii) </w:t>
      </w:r>
      <w:r w:rsidR="0017063C" w:rsidRPr="00EA6C7A">
        <w:rPr>
          <w:rFonts w:ascii="Verdana" w:eastAsia="Batang" w:hAnsi="Verdana"/>
          <w:sz w:val="20"/>
          <w:szCs w:val="20"/>
          <w:lang w:val="en-US" w:eastAsia="es-MX"/>
        </w:rPr>
        <w:t xml:space="preserve"> </w:t>
      </w:r>
      <w:r w:rsidR="00043FBD" w:rsidRPr="00EA6C7A">
        <w:rPr>
          <w:rFonts w:ascii="Verdana" w:eastAsia="Batang" w:hAnsi="Verdana" w:cs="Arial"/>
          <w:sz w:val="20"/>
          <w:szCs w:val="20"/>
          <w:lang w:val="en-US" w:eastAsia="es-MX"/>
        </w:rPr>
        <w:t>irregularities</w:t>
      </w:r>
      <w:r w:rsidR="00D948A1" w:rsidRPr="00EA6C7A">
        <w:rPr>
          <w:rFonts w:ascii="Verdana" w:eastAsia="Batang" w:hAnsi="Verdana" w:cs="Arial"/>
          <w:sz w:val="20"/>
          <w:szCs w:val="20"/>
          <w:lang w:val="en-US" w:eastAsia="es-MX"/>
        </w:rPr>
        <w:t xml:space="preserve"> and </w:t>
      </w:r>
      <w:r w:rsidRPr="00EA6C7A">
        <w:rPr>
          <w:rFonts w:ascii="Verdana" w:eastAsia="Batang" w:hAnsi="Verdana" w:cs="Arial"/>
          <w:sz w:val="20"/>
          <w:szCs w:val="20"/>
          <w:lang w:val="en-US" w:eastAsia="es-MX"/>
        </w:rPr>
        <w:t xml:space="preserve">failure to determine the time of death; (viii) reference to the victim as “XX” in investigation reports prepared following her identification, and (ix) </w:t>
      </w:r>
      <w:r w:rsidR="00043FBD" w:rsidRPr="00EA6C7A">
        <w:rPr>
          <w:rFonts w:ascii="Verdana" w:eastAsia="Batang" w:hAnsi="Verdana" w:cs="Arial"/>
          <w:sz w:val="20"/>
          <w:szCs w:val="20"/>
          <w:lang w:val="en-US" w:eastAsia="es-MX"/>
        </w:rPr>
        <w:t>irregularities</w:t>
      </w:r>
      <w:r w:rsidR="0017063C"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 xml:space="preserve">in the external forensic medicine examination and the respective report. It would be </w:t>
      </w:r>
      <w:r w:rsidR="001B5B34" w:rsidRPr="00EA6C7A">
        <w:rPr>
          <w:rFonts w:ascii="Verdana" w:eastAsia="Batang" w:hAnsi="Verdana" w:cs="Arial"/>
          <w:sz w:val="20"/>
          <w:szCs w:val="20"/>
          <w:lang w:val="en-US" w:eastAsia="es-MX"/>
        </w:rPr>
        <w:t>hard</w:t>
      </w:r>
      <w:r w:rsidRPr="00EA6C7A">
        <w:rPr>
          <w:rFonts w:ascii="Verdana" w:eastAsia="Batang" w:hAnsi="Verdana" w:cs="Arial"/>
          <w:sz w:val="20"/>
          <w:szCs w:val="20"/>
          <w:lang w:val="en-US" w:eastAsia="es-MX"/>
        </w:rPr>
        <w:t xml:space="preserve"> to rectify the shortcomings in the initial investigation procedures</w:t>
      </w:r>
      <w:r w:rsidR="00981641" w:rsidRPr="00EA6C7A">
        <w:rPr>
          <w:rFonts w:ascii="Verdana" w:eastAsia="Batang" w:hAnsi="Verdana" w:cs="Arial"/>
          <w:sz w:val="20"/>
          <w:szCs w:val="20"/>
          <w:lang w:val="en-US" w:eastAsia="es-MX"/>
        </w:rPr>
        <w:t xml:space="preserve"> by means of the belated and insufficient evidentiary procedures that the State has tried to conduct. In addition, the loss of evidence is irreparable. Due to all the above, the due diligence and rigor of the investigation was affected.</w:t>
      </w:r>
    </w:p>
    <w:p w14:paraId="08F0B7F5" w14:textId="77777777" w:rsidR="0017063C" w:rsidRPr="00EA6C7A" w:rsidRDefault="0017063C" w:rsidP="0017063C">
      <w:pPr>
        <w:autoSpaceDE w:val="0"/>
        <w:autoSpaceDN w:val="0"/>
        <w:adjustRightInd w:val="0"/>
        <w:spacing w:after="0" w:line="240" w:lineRule="auto"/>
        <w:jc w:val="both"/>
        <w:rPr>
          <w:rFonts w:ascii="Verdana" w:hAnsi="Verdana"/>
          <w:b/>
          <w:sz w:val="20"/>
          <w:szCs w:val="20"/>
          <w:lang w:val="en-US"/>
        </w:rPr>
      </w:pPr>
    </w:p>
    <w:p w14:paraId="15CDD479" w14:textId="77777777" w:rsidR="0017063C" w:rsidRPr="00EA6C7A" w:rsidRDefault="0017063C" w:rsidP="0017063C">
      <w:pPr>
        <w:pStyle w:val="Sentencia2"/>
        <w:spacing w:line="240" w:lineRule="auto"/>
        <w:rPr>
          <w:lang w:val="en-US"/>
        </w:rPr>
      </w:pPr>
      <w:bookmarkStart w:id="76" w:name="_Toc26002323"/>
      <w:r w:rsidRPr="00EA6C7A">
        <w:rPr>
          <w:lang w:val="en-US"/>
        </w:rPr>
        <w:t>B.2.</w:t>
      </w:r>
      <w:r w:rsidRPr="00EA6C7A">
        <w:rPr>
          <w:lang w:val="en-US"/>
        </w:rPr>
        <w:tab/>
      </w:r>
      <w:r w:rsidR="00951B49" w:rsidRPr="00EA6C7A">
        <w:rPr>
          <w:lang w:val="en-US"/>
        </w:rPr>
        <w:t xml:space="preserve">Lack of due diligence regarding </w:t>
      </w:r>
      <w:r w:rsidR="005B7D2E" w:rsidRPr="00EA6C7A">
        <w:rPr>
          <w:lang w:val="en-US"/>
        </w:rPr>
        <w:t>logical lines of investigation, collection and obtaining of evidence, and reasonable</w:t>
      </w:r>
      <w:r w:rsidR="00951B49" w:rsidRPr="00EA6C7A">
        <w:rPr>
          <w:lang w:val="en-US"/>
        </w:rPr>
        <w:t xml:space="preserve"> time</w:t>
      </w:r>
      <w:bookmarkEnd w:id="76"/>
    </w:p>
    <w:p w14:paraId="145CEEB7" w14:textId="77777777" w:rsidR="0017063C" w:rsidRPr="00EA6C7A" w:rsidRDefault="0017063C" w:rsidP="0017063C">
      <w:pPr>
        <w:autoSpaceDE w:val="0"/>
        <w:autoSpaceDN w:val="0"/>
        <w:adjustRightInd w:val="0"/>
        <w:spacing w:after="0" w:line="240" w:lineRule="auto"/>
        <w:jc w:val="both"/>
        <w:rPr>
          <w:rFonts w:ascii="Verdana" w:hAnsi="Verdana"/>
          <w:b/>
          <w:sz w:val="20"/>
          <w:szCs w:val="20"/>
          <w:lang w:val="en-US"/>
        </w:rPr>
      </w:pPr>
    </w:p>
    <w:p w14:paraId="4C3EA444" w14:textId="77777777" w:rsidR="0017063C" w:rsidRPr="00EA6C7A" w:rsidRDefault="0096418F" w:rsidP="004B34A6">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ha</w:t>
      </w:r>
      <w:r w:rsidR="006763B5" w:rsidRPr="00EA6C7A">
        <w:rPr>
          <w:rFonts w:ascii="Verdana" w:eastAsia="Batang" w:hAnsi="Verdana"/>
          <w:sz w:val="20"/>
          <w:szCs w:val="20"/>
          <w:lang w:val="en-US" w:eastAsia="es-MX"/>
        </w:rPr>
        <w:t xml:space="preserve">s established that, to </w:t>
      </w:r>
      <w:r w:rsidR="001B5B34" w:rsidRPr="00EA6C7A">
        <w:rPr>
          <w:rFonts w:ascii="Verdana" w:eastAsia="Batang" w:hAnsi="Verdana"/>
          <w:sz w:val="20"/>
          <w:szCs w:val="20"/>
          <w:lang w:val="en-US" w:eastAsia="es-MX"/>
        </w:rPr>
        <w:t>guarantee</w:t>
      </w:r>
      <w:r w:rsidR="006763B5" w:rsidRPr="00EA6C7A">
        <w:rPr>
          <w:rFonts w:ascii="Verdana" w:eastAsia="Batang" w:hAnsi="Verdana"/>
          <w:sz w:val="20"/>
          <w:szCs w:val="20"/>
          <w:lang w:val="en-US" w:eastAsia="es-MX"/>
        </w:rPr>
        <w:t xml:space="preserve"> its effectiveness, the investigation of human rights violations should avoid omissions in gathering evidence and following up on logical lines of investigation.</w:t>
      </w:r>
      <w:r w:rsidR="0017063C" w:rsidRPr="00EA6C7A">
        <w:rPr>
          <w:rFonts w:ascii="Verdana" w:eastAsia="Batang" w:hAnsi="Verdana"/>
          <w:sz w:val="20"/>
          <w:szCs w:val="20"/>
          <w:vertAlign w:val="superscript"/>
          <w:lang w:val="en-US" w:eastAsia="es-MX"/>
        </w:rPr>
        <w:footnoteReference w:id="263"/>
      </w:r>
      <w:r w:rsidR="006763B5" w:rsidRPr="00EA6C7A">
        <w:rPr>
          <w:rFonts w:ascii="Verdana" w:eastAsia="Batang" w:hAnsi="Verdana"/>
          <w:sz w:val="20"/>
          <w:szCs w:val="20"/>
          <w:lang w:val="en-US" w:eastAsia="es-MX"/>
        </w:rPr>
        <w:t xml:space="preserve"> In this regard, the Court has stipulated that, when the facts refer to a violent death, the investigation </w:t>
      </w:r>
      <w:r w:rsidR="001B5B34" w:rsidRPr="00EA6C7A">
        <w:rPr>
          <w:rFonts w:ascii="Verdana" w:eastAsia="Batang" w:hAnsi="Verdana"/>
          <w:sz w:val="20"/>
          <w:szCs w:val="20"/>
          <w:lang w:val="en-US" w:eastAsia="es-MX"/>
        </w:rPr>
        <w:t>must</w:t>
      </w:r>
      <w:r w:rsidR="006763B5" w:rsidRPr="00EA6C7A">
        <w:rPr>
          <w:rFonts w:ascii="Verdana" w:eastAsia="Batang" w:hAnsi="Verdana"/>
          <w:sz w:val="20"/>
          <w:szCs w:val="20"/>
          <w:lang w:val="en-US" w:eastAsia="es-MX"/>
        </w:rPr>
        <w:t xml:space="preserve"> be conducted in a way that can ensure </w:t>
      </w:r>
      <w:r w:rsidR="006763B5" w:rsidRPr="00EA6C7A">
        <w:rPr>
          <w:rFonts w:ascii="Verdana" w:eastAsia="Batang" w:hAnsi="Verdana" w:cs="Arial"/>
          <w:sz w:val="20"/>
          <w:szCs w:val="20"/>
          <w:lang w:val="en-US" w:eastAsia="es-MX"/>
        </w:rPr>
        <w:t xml:space="preserve">the appropriate analysis of </w:t>
      </w:r>
      <w:r w:rsidR="006763B5" w:rsidRPr="00EA6C7A">
        <w:rPr>
          <w:rFonts w:ascii="Verdana" w:eastAsia="Batang" w:hAnsi="Verdana" w:cs="Arial"/>
          <w:sz w:val="20"/>
          <w:szCs w:val="20"/>
          <w:lang w:val="en-US" w:eastAsia="es-MX"/>
        </w:rPr>
        <w:lastRenderedPageBreak/>
        <w:t>all the relevant hypotheses about the authorship.</w:t>
      </w:r>
      <w:r w:rsidR="0017063C" w:rsidRPr="00EA6C7A">
        <w:rPr>
          <w:rFonts w:ascii="Verdana" w:eastAsia="Batang" w:hAnsi="Verdana"/>
          <w:sz w:val="20"/>
          <w:szCs w:val="20"/>
          <w:vertAlign w:val="superscript"/>
          <w:lang w:val="en-US" w:eastAsia="es-MX"/>
        </w:rPr>
        <w:footnoteReference w:id="264"/>
      </w:r>
      <w:r w:rsidR="0017063C" w:rsidRPr="00EA6C7A">
        <w:rPr>
          <w:rFonts w:ascii="Verdana" w:eastAsia="Batang" w:hAnsi="Verdana"/>
          <w:sz w:val="20"/>
          <w:szCs w:val="20"/>
          <w:lang w:val="en-US" w:eastAsia="es-MX"/>
        </w:rPr>
        <w:t xml:space="preserve"> </w:t>
      </w:r>
      <w:r w:rsidR="006763B5" w:rsidRPr="00EA6C7A">
        <w:rPr>
          <w:rFonts w:ascii="Verdana" w:eastAsia="Batang" w:hAnsi="Verdana"/>
          <w:sz w:val="20"/>
          <w:szCs w:val="20"/>
          <w:lang w:val="en-US" w:eastAsia="es-MX"/>
        </w:rPr>
        <w:t>On this point</w:t>
      </w:r>
      <w:r w:rsidR="0017063C" w:rsidRPr="00EA6C7A">
        <w:rPr>
          <w:rFonts w:ascii="Verdana" w:eastAsia="Batang" w:hAnsi="Verdana"/>
          <w:sz w:val="20"/>
          <w:szCs w:val="20"/>
          <w:lang w:val="en-US" w:eastAsia="es-MX"/>
        </w:rPr>
        <w:t>,</w:t>
      </w:r>
      <w:r w:rsidR="006763B5" w:rsidRPr="00EA6C7A">
        <w:rPr>
          <w:rFonts w:ascii="Verdana" w:eastAsia="Batang" w:hAnsi="Verdana"/>
          <w:sz w:val="20"/>
          <w:szCs w:val="20"/>
          <w:lang w:val="en-US" w:eastAsia="es-MX"/>
        </w:rPr>
        <w:t xml:space="preserve"> it should be recalled that it is not incumbent on the Court to examine the hypotheses </w:t>
      </w:r>
      <w:r w:rsidR="001B5B34" w:rsidRPr="00EA6C7A">
        <w:rPr>
          <w:rFonts w:ascii="Verdana" w:eastAsia="Batang" w:hAnsi="Verdana"/>
          <w:sz w:val="20"/>
          <w:szCs w:val="20"/>
          <w:lang w:val="en-US" w:eastAsia="es-MX"/>
        </w:rPr>
        <w:t>concern</w:t>
      </w:r>
      <w:r w:rsidR="006763B5" w:rsidRPr="00EA6C7A">
        <w:rPr>
          <w:rFonts w:ascii="Verdana" w:eastAsia="Batang" w:hAnsi="Verdana"/>
          <w:sz w:val="20"/>
          <w:szCs w:val="20"/>
          <w:lang w:val="en-US" w:eastAsia="es-MX"/>
        </w:rPr>
        <w:t>ing the perpetrators evaluated during the investigation into the facts and, consequently, to determine individual responsibilities, which is the task of the domestic criminal courts; rather, the Court must assess the acts or omissions of State agents based on the evidence presented by the parties.</w:t>
      </w:r>
      <w:r w:rsidR="0017063C" w:rsidRPr="00EA6C7A">
        <w:rPr>
          <w:rFonts w:ascii="Verdana" w:eastAsia="Batang" w:hAnsi="Verdana"/>
          <w:sz w:val="20"/>
          <w:szCs w:val="20"/>
          <w:vertAlign w:val="superscript"/>
          <w:lang w:val="en-US" w:eastAsia="es-MX"/>
        </w:rPr>
        <w:footnoteReference w:id="265"/>
      </w:r>
      <w:r w:rsidR="006763B5" w:rsidRPr="00EA6C7A">
        <w:rPr>
          <w:rFonts w:ascii="Verdana" w:eastAsia="Batang" w:hAnsi="Verdana" w:cs="Arial"/>
          <w:sz w:val="20"/>
          <w:szCs w:val="20"/>
          <w:lang w:val="en-US" w:eastAsia="es-MX"/>
        </w:rPr>
        <w:t xml:space="preserve"> Likewise, it is not for the Court to substitute for the domestic jurisdiction, establishing the specific </w:t>
      </w:r>
      <w:r w:rsidR="004B34A6" w:rsidRPr="00EA6C7A">
        <w:rPr>
          <w:rFonts w:ascii="Verdana" w:eastAsia="Batang" w:hAnsi="Verdana" w:cs="Arial"/>
          <w:sz w:val="20"/>
          <w:szCs w:val="20"/>
          <w:lang w:val="en-US" w:eastAsia="es-MX"/>
        </w:rPr>
        <w:t xml:space="preserve">procedures for the investigation and prosecution of a specific case to obtain a better or more effective result, but rather to verify whether, in the course of the </w:t>
      </w:r>
      <w:r w:rsidR="001B5B34" w:rsidRPr="00EA6C7A">
        <w:rPr>
          <w:rFonts w:ascii="Verdana" w:eastAsia="Batang" w:hAnsi="Verdana" w:cs="Arial"/>
          <w:sz w:val="20"/>
          <w:szCs w:val="20"/>
          <w:lang w:val="en-US" w:eastAsia="es-MX"/>
        </w:rPr>
        <w:t>measures</w:t>
      </w:r>
      <w:r w:rsidR="004B34A6" w:rsidRPr="00EA6C7A">
        <w:rPr>
          <w:rFonts w:ascii="Verdana" w:eastAsia="Batang" w:hAnsi="Verdana" w:cs="Arial"/>
          <w:sz w:val="20"/>
          <w:szCs w:val="20"/>
          <w:lang w:val="en-US" w:eastAsia="es-MX"/>
        </w:rPr>
        <w:t xml:space="preserve"> taken in the domestic sphere, the State violated its international obligations arising from</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Articles</w:t>
      </w:r>
      <w:r w:rsidR="0017063C" w:rsidRPr="00EA6C7A">
        <w:rPr>
          <w:rFonts w:ascii="Verdana" w:eastAsia="Batang" w:hAnsi="Verdana"/>
          <w:sz w:val="20"/>
          <w:szCs w:val="20"/>
          <w:lang w:val="en-US" w:eastAsia="es-MX"/>
        </w:rPr>
        <w:t xml:space="preserve"> 8</w:t>
      </w:r>
      <w:r w:rsidR="00D948A1" w:rsidRPr="00EA6C7A">
        <w:rPr>
          <w:rFonts w:ascii="Verdana" w:eastAsia="Batang" w:hAnsi="Verdana"/>
          <w:sz w:val="20"/>
          <w:szCs w:val="20"/>
          <w:lang w:val="en-US" w:eastAsia="es-MX"/>
        </w:rPr>
        <w:t xml:space="preserve"> and </w:t>
      </w:r>
      <w:r w:rsidR="0017063C" w:rsidRPr="00EA6C7A">
        <w:rPr>
          <w:rFonts w:ascii="Verdana" w:eastAsia="Batang" w:hAnsi="Verdana"/>
          <w:sz w:val="20"/>
          <w:szCs w:val="20"/>
          <w:lang w:val="en-US" w:eastAsia="es-MX"/>
        </w:rPr>
        <w:t>25</w:t>
      </w:r>
      <w:r w:rsidRPr="00EA6C7A">
        <w:rPr>
          <w:rFonts w:ascii="Verdana" w:eastAsia="Batang" w:hAnsi="Verdana"/>
          <w:sz w:val="20"/>
          <w:szCs w:val="20"/>
          <w:lang w:val="en-US" w:eastAsia="es-MX"/>
        </w:rPr>
        <w:t xml:space="preserve"> of the American Convention</w:t>
      </w:r>
      <w:r w:rsidR="001B5B34"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66"/>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rec</w:t>
      </w:r>
      <w:r w:rsidR="004B34A6" w:rsidRPr="00EA6C7A">
        <w:rPr>
          <w:rFonts w:ascii="Verdana" w:eastAsia="Batang" w:hAnsi="Verdana"/>
          <w:sz w:val="20"/>
          <w:szCs w:val="20"/>
          <w:lang w:val="en-US" w:eastAsia="es-MX"/>
        </w:rPr>
        <w:t>alls that the result of a lack of diligence is that, as time passes, the possibility of obtaining and presenting pertinent evidence leading to clarification of the facts and determination of the corresponding responsibilities is unduly affected, whereby the State contributes to impunity.</w:t>
      </w:r>
      <w:r w:rsidR="0017063C" w:rsidRPr="00EA6C7A">
        <w:rPr>
          <w:rFonts w:ascii="Verdana" w:eastAsia="Batang" w:hAnsi="Verdana"/>
          <w:sz w:val="20"/>
          <w:szCs w:val="20"/>
          <w:vertAlign w:val="superscript"/>
          <w:lang w:val="en-US" w:eastAsia="es-MX"/>
        </w:rPr>
        <w:footnoteReference w:id="267"/>
      </w:r>
    </w:p>
    <w:p w14:paraId="1A30B0FA" w14:textId="77777777" w:rsidR="0017063C" w:rsidRPr="00EA6C7A" w:rsidRDefault="0017063C" w:rsidP="0017063C">
      <w:pPr>
        <w:spacing w:after="0" w:line="240" w:lineRule="auto"/>
        <w:jc w:val="both"/>
        <w:rPr>
          <w:rFonts w:ascii="Verdana" w:hAnsi="Verdana"/>
          <w:sz w:val="20"/>
          <w:szCs w:val="20"/>
          <w:lang w:val="en-US"/>
        </w:rPr>
      </w:pPr>
    </w:p>
    <w:p w14:paraId="59022C5A" w14:textId="77777777" w:rsidR="00885E4B" w:rsidRPr="00EA6C7A" w:rsidRDefault="0096418F" w:rsidP="00885E4B">
      <w:pPr>
        <w:numPr>
          <w:ilvl w:val="0"/>
          <w:numId w:val="3"/>
        </w:numPr>
        <w:tabs>
          <w:tab w:val="left" w:pos="720"/>
        </w:tabs>
        <w:spacing w:after="0" w:line="240" w:lineRule="auto"/>
        <w:ind w:left="0" w:firstLine="0"/>
        <w:jc w:val="both"/>
        <w:rPr>
          <w:rFonts w:ascii="Verdana" w:eastAsia="Batang" w:hAnsi="Verdana"/>
          <w:i/>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ha</w:t>
      </w:r>
      <w:r w:rsidR="004B34A6" w:rsidRPr="00EA6C7A">
        <w:rPr>
          <w:rFonts w:ascii="Verdana" w:eastAsia="Batang" w:hAnsi="Verdana"/>
          <w:sz w:val="20"/>
          <w:szCs w:val="20"/>
          <w:lang w:val="en-US" w:eastAsia="es-MX"/>
        </w:rPr>
        <w:t xml:space="preserve">s verified that, even though investigations were conducted into the facts surrounding the violent death of Claudina Velásquez Paiz, </w:t>
      </w:r>
      <w:r w:rsidR="00DA6B15" w:rsidRPr="00EA6C7A">
        <w:rPr>
          <w:rFonts w:ascii="Verdana" w:eastAsia="Batang" w:hAnsi="Verdana"/>
          <w:sz w:val="20"/>
          <w:szCs w:val="20"/>
          <w:lang w:val="en-US" w:eastAsia="es-MX"/>
        </w:rPr>
        <w:t xml:space="preserve">procedures have been carried out belatedly over 10 years. Thus, although the investigation started on August 13, 2005, the file shows that the prosecutors and assistant prosecutors in charge of the investigation </w:t>
      </w:r>
      <w:r w:rsidR="001B5B34" w:rsidRPr="00EA6C7A">
        <w:rPr>
          <w:rFonts w:ascii="Verdana" w:eastAsia="Batang" w:hAnsi="Verdana"/>
          <w:sz w:val="20"/>
          <w:szCs w:val="20"/>
          <w:lang w:val="en-US" w:eastAsia="es-MX"/>
        </w:rPr>
        <w:t xml:space="preserve">only </w:t>
      </w:r>
      <w:r w:rsidR="00DA6B15" w:rsidRPr="00EA6C7A">
        <w:rPr>
          <w:rFonts w:ascii="Verdana" w:eastAsia="Batang" w:hAnsi="Verdana"/>
          <w:sz w:val="20"/>
          <w:szCs w:val="20"/>
          <w:lang w:val="en-US" w:eastAsia="es-MX"/>
        </w:rPr>
        <w:t xml:space="preserve">asked for access to the security videos in one of the places that </w:t>
      </w:r>
      <w:r w:rsidR="00DA6B15" w:rsidRPr="00EA6C7A">
        <w:rPr>
          <w:rFonts w:ascii="Verdana" w:hAnsi="Verdana"/>
          <w:sz w:val="20"/>
          <w:szCs w:val="20"/>
          <w:lang w:val="en-US"/>
        </w:rPr>
        <w:t>Claudina Velásquez had presumably been a short time before her death</w:t>
      </w:r>
      <w:r w:rsidR="001B5B34" w:rsidRPr="00EA6C7A">
        <w:rPr>
          <w:rFonts w:ascii="Verdana" w:hAnsi="Verdana"/>
          <w:sz w:val="20"/>
          <w:szCs w:val="20"/>
          <w:lang w:val="en-US"/>
        </w:rPr>
        <w:t xml:space="preserve">, </w:t>
      </w:r>
      <w:r w:rsidR="00DA6B15" w:rsidRPr="00EA6C7A">
        <w:rPr>
          <w:rFonts w:ascii="Verdana" w:hAnsi="Verdana"/>
          <w:sz w:val="20"/>
          <w:szCs w:val="20"/>
          <w:lang w:val="en-US"/>
        </w:rPr>
        <w:t xml:space="preserve">on September 4, 2005; </w:t>
      </w:r>
      <w:r w:rsidR="00DA6B15" w:rsidRPr="00EA6C7A">
        <w:rPr>
          <w:rFonts w:ascii="Verdana" w:eastAsia="Batang" w:hAnsi="Verdana"/>
          <w:iCs/>
          <w:sz w:val="20"/>
          <w:szCs w:val="20"/>
          <w:lang w:val="en-US" w:eastAsia="es-MX"/>
        </w:rPr>
        <w:t>on</w:t>
      </w:r>
      <w:r w:rsidR="00DA6B15" w:rsidRPr="00EA6C7A">
        <w:rPr>
          <w:rFonts w:ascii="Verdana" w:eastAsia="Batang" w:hAnsi="Verdana"/>
          <w:i/>
          <w:sz w:val="20"/>
          <w:szCs w:val="20"/>
          <w:lang w:val="en-US" w:eastAsia="es-MX"/>
        </w:rPr>
        <w:t xml:space="preserve"> </w:t>
      </w:r>
      <w:r w:rsidR="003F510E" w:rsidRPr="00EA6C7A">
        <w:rPr>
          <w:rFonts w:ascii="Verdana" w:eastAsia="Batang" w:hAnsi="Verdana"/>
          <w:sz w:val="20"/>
          <w:szCs w:val="20"/>
          <w:lang w:val="en-US" w:eastAsia="es-MX"/>
        </w:rPr>
        <w:t>December 6,</w:t>
      </w:r>
      <w:r w:rsidR="0017063C" w:rsidRPr="00EA6C7A">
        <w:rPr>
          <w:rFonts w:ascii="Verdana" w:eastAsia="Batang" w:hAnsi="Verdana"/>
          <w:sz w:val="20"/>
          <w:szCs w:val="20"/>
          <w:lang w:val="en-US" w:eastAsia="es-MX"/>
        </w:rPr>
        <w:t xml:space="preserve"> 2005</w:t>
      </w:r>
      <w:r w:rsidR="00DA6B15" w:rsidRPr="00EA6C7A">
        <w:rPr>
          <w:rFonts w:ascii="Verdana" w:eastAsia="Batang" w:hAnsi="Verdana"/>
          <w:sz w:val="20"/>
          <w:szCs w:val="20"/>
          <w:lang w:val="en-US" w:eastAsia="es-MX"/>
        </w:rPr>
        <w:t>, the</w:t>
      </w:r>
      <w:r w:rsidR="001B5B34" w:rsidRPr="00EA6C7A">
        <w:rPr>
          <w:rFonts w:ascii="Verdana" w:eastAsia="Batang" w:hAnsi="Verdana"/>
          <w:sz w:val="20"/>
          <w:szCs w:val="20"/>
          <w:lang w:val="en-US" w:eastAsia="es-MX"/>
        </w:rPr>
        <w:t>y</w:t>
      </w:r>
      <w:r w:rsidR="00DA6B15" w:rsidRPr="00EA6C7A">
        <w:rPr>
          <w:rFonts w:ascii="Verdana" w:eastAsia="Batang" w:hAnsi="Verdana"/>
          <w:sz w:val="20"/>
          <w:szCs w:val="20"/>
          <w:lang w:val="en-US" w:eastAsia="es-MX"/>
        </w:rPr>
        <w:t xml:space="preserve"> received the statement of one of the members of the </w:t>
      </w:r>
      <w:r w:rsidR="00EF1D78" w:rsidRPr="00EA6C7A">
        <w:rPr>
          <w:rFonts w:ascii="Verdana" w:eastAsia="Batang" w:hAnsi="Verdana"/>
          <w:sz w:val="20"/>
          <w:szCs w:val="20"/>
          <w:lang w:val="en-US" w:eastAsia="es-MX"/>
        </w:rPr>
        <w:t>Voluntary Fire Service</w:t>
      </w:r>
      <w:r w:rsidR="001B5B34"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 xml:space="preserve"> </w:t>
      </w:r>
      <w:r w:rsidR="001B5B34" w:rsidRPr="00EA6C7A">
        <w:rPr>
          <w:rFonts w:ascii="Verdana" w:eastAsia="Batang" w:hAnsi="Verdana"/>
          <w:sz w:val="20"/>
          <w:szCs w:val="20"/>
          <w:lang w:val="en-US" w:eastAsia="es-MX"/>
        </w:rPr>
        <w:t>which</w:t>
      </w:r>
      <w:r w:rsidR="00DA6B15" w:rsidRPr="00EA6C7A">
        <w:rPr>
          <w:rFonts w:ascii="Verdana" w:eastAsia="Batang" w:hAnsi="Verdana"/>
          <w:sz w:val="20"/>
          <w:szCs w:val="20"/>
          <w:lang w:val="en-US" w:eastAsia="es-MX"/>
        </w:rPr>
        <w:t xml:space="preserve"> added information on what was found at the</w:t>
      </w:r>
      <w:r w:rsidR="001B5B34" w:rsidRPr="00EA6C7A">
        <w:rPr>
          <w:rFonts w:ascii="Verdana" w:eastAsia="Batang" w:hAnsi="Verdana"/>
          <w:sz w:val="20"/>
          <w:szCs w:val="20"/>
          <w:lang w:val="en-US" w:eastAsia="es-MX"/>
        </w:rPr>
        <w:t xml:space="preserve"> crime</w:t>
      </w:r>
      <w:r w:rsidR="00DA6B15" w:rsidRPr="00EA6C7A">
        <w:rPr>
          <w:rFonts w:ascii="Verdana" w:eastAsia="Batang" w:hAnsi="Verdana"/>
          <w:sz w:val="20"/>
          <w:szCs w:val="20"/>
          <w:lang w:val="en-US" w:eastAsia="es-MX"/>
        </w:rPr>
        <w:t xml:space="preserve"> scene; on </w:t>
      </w:r>
      <w:r w:rsidR="003F510E" w:rsidRPr="00EA6C7A">
        <w:rPr>
          <w:rFonts w:ascii="Verdana" w:eastAsia="Batang" w:hAnsi="Verdana"/>
          <w:sz w:val="20"/>
          <w:szCs w:val="20"/>
          <w:lang w:val="en-US" w:eastAsia="es-MX"/>
        </w:rPr>
        <w:t xml:space="preserve">June </w:t>
      </w:r>
      <w:r w:rsidR="00DA6B15"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6,</w:t>
      </w:r>
      <w:r w:rsidR="0017063C" w:rsidRPr="00EA6C7A">
        <w:rPr>
          <w:rFonts w:ascii="Verdana" w:eastAsia="Batang" w:hAnsi="Verdana"/>
          <w:sz w:val="20"/>
          <w:szCs w:val="20"/>
          <w:lang w:val="en-US" w:eastAsia="es-MX"/>
        </w:rPr>
        <w:t xml:space="preserve"> 2006</w:t>
      </w:r>
      <w:r w:rsidR="00DA6B15" w:rsidRPr="00EA6C7A">
        <w:rPr>
          <w:rFonts w:ascii="Verdana" w:eastAsia="Batang" w:hAnsi="Verdana"/>
          <w:sz w:val="20"/>
          <w:szCs w:val="20"/>
          <w:lang w:val="en-US" w:eastAsia="es-MX"/>
        </w:rPr>
        <w:t>, they held a reconstruction of the events in the presence of experts from</w:t>
      </w:r>
      <w:r w:rsidR="0017063C" w:rsidRPr="00EA6C7A">
        <w:rPr>
          <w:rFonts w:ascii="Verdana" w:eastAsia="Batang" w:hAnsi="Verdana"/>
          <w:sz w:val="20"/>
          <w:szCs w:val="20"/>
          <w:lang w:val="en-US" w:eastAsia="es-MX"/>
        </w:rPr>
        <w:t xml:space="preserve"> </w:t>
      </w:r>
      <w:r w:rsidR="003E2012" w:rsidRPr="00EA6C7A">
        <w:rPr>
          <w:rFonts w:ascii="Verdana" w:eastAsia="Batang" w:hAnsi="Verdana"/>
          <w:sz w:val="20"/>
          <w:szCs w:val="20"/>
          <w:lang w:val="en-US" w:eastAsia="es-MX"/>
        </w:rPr>
        <w:t>the Public</w:t>
      </w:r>
      <w:r w:rsidR="00B3248B" w:rsidRPr="00EA6C7A">
        <w:rPr>
          <w:rFonts w:ascii="Verdana" w:eastAsia="Batang" w:hAnsi="Verdana"/>
          <w:sz w:val="20"/>
          <w:szCs w:val="20"/>
          <w:lang w:val="en-US" w:eastAsia="es-MX"/>
        </w:rPr>
        <w:t xml:space="preserve"> Prosecution Service</w:t>
      </w:r>
      <w:r w:rsidR="0017063C" w:rsidRPr="00EA6C7A">
        <w:rPr>
          <w:rFonts w:ascii="Verdana" w:eastAsia="Batang" w:hAnsi="Verdana"/>
          <w:sz w:val="20"/>
          <w:szCs w:val="20"/>
          <w:lang w:val="en-US" w:eastAsia="es-MX"/>
        </w:rPr>
        <w:t xml:space="preserve">; </w:t>
      </w:r>
      <w:r w:rsidR="00DA6B15" w:rsidRPr="00EA6C7A">
        <w:rPr>
          <w:rFonts w:ascii="Verdana" w:eastAsia="Batang" w:hAnsi="Verdana"/>
          <w:sz w:val="20"/>
          <w:szCs w:val="20"/>
          <w:lang w:val="en-US" w:eastAsia="es-MX"/>
        </w:rPr>
        <w:t>on</w:t>
      </w:r>
      <w:r w:rsidR="0017063C"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17063C" w:rsidRPr="00EA6C7A">
        <w:rPr>
          <w:rFonts w:ascii="Verdana" w:eastAsia="Batang" w:hAnsi="Verdana"/>
          <w:sz w:val="20"/>
          <w:szCs w:val="20"/>
          <w:lang w:val="en-US" w:eastAsia="es-MX"/>
        </w:rPr>
        <w:t xml:space="preserve"> </w:t>
      </w:r>
      <w:r w:rsidR="00DA6B15" w:rsidRPr="00EA6C7A">
        <w:rPr>
          <w:rFonts w:ascii="Verdana" w:eastAsia="Batang" w:hAnsi="Verdana"/>
          <w:sz w:val="20"/>
          <w:szCs w:val="20"/>
          <w:lang w:val="en-US" w:eastAsia="es-MX"/>
        </w:rPr>
        <w:t>30,</w:t>
      </w:r>
      <w:r w:rsidR="0017063C" w:rsidRPr="00EA6C7A">
        <w:rPr>
          <w:rFonts w:ascii="Verdana" w:eastAsia="Batang" w:hAnsi="Verdana"/>
          <w:sz w:val="20"/>
          <w:szCs w:val="20"/>
          <w:lang w:val="en-US" w:eastAsia="es-MX"/>
        </w:rPr>
        <w:t xml:space="preserve"> 2007</w:t>
      </w:r>
      <w:r w:rsidR="00DA6B15"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and </w:t>
      </w:r>
      <w:r w:rsidR="00DA6B15" w:rsidRPr="00EA6C7A">
        <w:rPr>
          <w:rFonts w:ascii="Verdana" w:eastAsia="Batang" w:hAnsi="Verdana"/>
          <w:sz w:val="20"/>
          <w:szCs w:val="20"/>
          <w:lang w:val="en-US" w:eastAsia="es-MX"/>
        </w:rPr>
        <w:t>April 23,</w:t>
      </w:r>
      <w:r w:rsidR="0017063C" w:rsidRPr="00EA6C7A">
        <w:rPr>
          <w:rFonts w:ascii="Verdana" w:eastAsia="Batang" w:hAnsi="Verdana"/>
          <w:sz w:val="20"/>
          <w:szCs w:val="20"/>
          <w:lang w:val="en-US" w:eastAsia="es-MX"/>
        </w:rPr>
        <w:t xml:space="preserve"> 2008</w:t>
      </w:r>
      <w:r w:rsidR="00DA6B15" w:rsidRPr="00EA6C7A">
        <w:rPr>
          <w:rFonts w:ascii="Verdana" w:eastAsia="Batang" w:hAnsi="Verdana"/>
          <w:sz w:val="20"/>
          <w:szCs w:val="20"/>
          <w:lang w:val="en-US" w:eastAsia="es-MX"/>
        </w:rPr>
        <w:t xml:space="preserve">, they requested information on the bills for instantaneous soups; on June 26, 2008, they asked for information on incidents reported to the PNC 110 number in the early morning hours of </w:t>
      </w:r>
      <w:r w:rsidR="0017063C"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August</w:t>
      </w:r>
      <w:r w:rsidR="000B3E6E" w:rsidRPr="00EA6C7A">
        <w:rPr>
          <w:rFonts w:ascii="Verdana" w:eastAsia="Batang" w:hAnsi="Verdana"/>
          <w:sz w:val="20"/>
          <w:szCs w:val="20"/>
          <w:lang w:val="en-US" w:eastAsia="es-MX"/>
        </w:rPr>
        <w:t xml:space="preserve"> 13,</w:t>
      </w:r>
      <w:r w:rsidR="0017063C" w:rsidRPr="00EA6C7A">
        <w:rPr>
          <w:rFonts w:ascii="Verdana" w:eastAsia="Batang" w:hAnsi="Verdana"/>
          <w:sz w:val="20"/>
          <w:szCs w:val="20"/>
          <w:lang w:val="en-US" w:eastAsia="es-MX"/>
        </w:rPr>
        <w:t xml:space="preserve"> 2005; </w:t>
      </w:r>
      <w:r w:rsidR="00DA6B15" w:rsidRPr="00EA6C7A">
        <w:rPr>
          <w:rFonts w:ascii="Verdana" w:eastAsia="Batang" w:hAnsi="Verdana"/>
          <w:sz w:val="20"/>
          <w:szCs w:val="20"/>
          <w:lang w:val="en-US" w:eastAsia="es-MX"/>
        </w:rPr>
        <w:t>on</w:t>
      </w:r>
      <w:r w:rsidR="0017063C"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July</w:t>
      </w:r>
      <w:r w:rsidR="0017063C" w:rsidRPr="00EA6C7A">
        <w:rPr>
          <w:rFonts w:ascii="Verdana" w:eastAsia="Batang" w:hAnsi="Verdana"/>
          <w:sz w:val="20"/>
          <w:szCs w:val="20"/>
          <w:lang w:val="en-US" w:eastAsia="es-MX"/>
        </w:rPr>
        <w:t xml:space="preserve"> </w:t>
      </w:r>
      <w:r w:rsidR="00DA6B15" w:rsidRPr="00EA6C7A">
        <w:rPr>
          <w:rFonts w:ascii="Verdana" w:eastAsia="Batang" w:hAnsi="Verdana"/>
          <w:sz w:val="20"/>
          <w:szCs w:val="20"/>
          <w:lang w:val="en-US" w:eastAsia="es-MX"/>
        </w:rPr>
        <w:t>23,</w:t>
      </w:r>
      <w:r w:rsidR="0017063C" w:rsidRPr="00EA6C7A">
        <w:rPr>
          <w:rFonts w:ascii="Verdana" w:eastAsia="Batang" w:hAnsi="Verdana"/>
          <w:sz w:val="20"/>
          <w:szCs w:val="20"/>
          <w:lang w:val="en-US" w:eastAsia="es-MX"/>
        </w:rPr>
        <w:t xml:space="preserve"> 2008</w:t>
      </w:r>
      <w:r w:rsidR="00DA6B15"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and </w:t>
      </w:r>
      <w:r w:rsidR="001914FC" w:rsidRPr="00EA6C7A">
        <w:rPr>
          <w:rFonts w:ascii="Verdana" w:eastAsia="Batang" w:hAnsi="Verdana"/>
          <w:sz w:val="20"/>
          <w:szCs w:val="20"/>
          <w:lang w:val="en-US" w:eastAsia="es-MX"/>
        </w:rPr>
        <w:t>May 19,</w:t>
      </w:r>
      <w:r w:rsidR="0017063C" w:rsidRPr="00EA6C7A">
        <w:rPr>
          <w:rFonts w:ascii="Verdana" w:eastAsia="Batang" w:hAnsi="Verdana"/>
          <w:sz w:val="20"/>
          <w:szCs w:val="20"/>
          <w:lang w:val="en-US" w:eastAsia="es-MX"/>
        </w:rPr>
        <w:t xml:space="preserve"> 2009</w:t>
      </w:r>
      <w:r w:rsidR="00DA6B15" w:rsidRPr="00EA6C7A">
        <w:rPr>
          <w:rFonts w:ascii="Verdana" w:eastAsia="Batang" w:hAnsi="Verdana"/>
          <w:sz w:val="20"/>
          <w:szCs w:val="20"/>
          <w:lang w:val="en-US" w:eastAsia="es-MX"/>
        </w:rPr>
        <w:t>, they asked for expert opinions on the ballistic trajectory; on</w:t>
      </w:r>
      <w:r w:rsidR="0017063C"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 xml:space="preserve">November </w:t>
      </w:r>
      <w:r w:rsidR="00DA6B15"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4,</w:t>
      </w:r>
      <w:r w:rsidR="0017063C" w:rsidRPr="00EA6C7A">
        <w:rPr>
          <w:rFonts w:ascii="Verdana" w:eastAsia="Batang" w:hAnsi="Verdana"/>
          <w:sz w:val="20"/>
          <w:szCs w:val="20"/>
          <w:lang w:val="en-US" w:eastAsia="es-MX"/>
        </w:rPr>
        <w:t xml:space="preserve"> 2008</w:t>
      </w:r>
      <w:r w:rsidR="00DA6B15" w:rsidRPr="00EA6C7A">
        <w:rPr>
          <w:rFonts w:ascii="Verdana" w:eastAsia="Batang" w:hAnsi="Verdana"/>
          <w:sz w:val="20"/>
          <w:szCs w:val="20"/>
          <w:lang w:val="en-US" w:eastAsia="es-MX"/>
        </w:rPr>
        <w:t xml:space="preserve">, a psychiatric profile of perpetrator, victim and crime scene was </w:t>
      </w:r>
      <w:r w:rsidR="001B5B34" w:rsidRPr="00EA6C7A">
        <w:rPr>
          <w:rFonts w:ascii="Verdana" w:eastAsia="Batang" w:hAnsi="Verdana"/>
          <w:sz w:val="20"/>
          <w:szCs w:val="20"/>
          <w:lang w:val="en-US" w:eastAsia="es-MX"/>
        </w:rPr>
        <w:t>drawn up</w:t>
      </w:r>
      <w:r w:rsidR="00DA6B15" w:rsidRPr="00EA6C7A">
        <w:rPr>
          <w:rFonts w:ascii="Verdana" w:eastAsia="Batang" w:hAnsi="Verdana"/>
          <w:sz w:val="20"/>
          <w:szCs w:val="20"/>
          <w:lang w:val="en-US" w:eastAsia="es-MX"/>
        </w:rPr>
        <w:t>; on</w:t>
      </w:r>
      <w:r w:rsidR="0017063C" w:rsidRPr="00EA6C7A">
        <w:rPr>
          <w:rFonts w:ascii="Verdana" w:eastAsia="Batang" w:hAnsi="Verdana"/>
          <w:sz w:val="20"/>
          <w:szCs w:val="20"/>
          <w:lang w:val="en-US" w:eastAsia="es-MX"/>
        </w:rPr>
        <w:t xml:space="preserve"> </w:t>
      </w:r>
      <w:r w:rsidR="003F510E" w:rsidRPr="00EA6C7A">
        <w:rPr>
          <w:rFonts w:ascii="Verdana" w:eastAsia="Batang" w:hAnsi="Verdana"/>
          <w:sz w:val="20"/>
          <w:szCs w:val="20"/>
          <w:lang w:val="en-US" w:eastAsia="es-MX"/>
        </w:rPr>
        <w:t>January</w:t>
      </w:r>
      <w:r w:rsidR="00586DC6" w:rsidRPr="00EA6C7A">
        <w:rPr>
          <w:rFonts w:ascii="Verdana" w:eastAsia="Batang" w:hAnsi="Verdana"/>
          <w:sz w:val="20"/>
          <w:szCs w:val="20"/>
          <w:lang w:val="en-US" w:eastAsia="es-MX"/>
        </w:rPr>
        <w:t xml:space="preserve"> 20,</w:t>
      </w:r>
      <w:r w:rsidR="0017063C" w:rsidRPr="00EA6C7A">
        <w:rPr>
          <w:rFonts w:ascii="Verdana" w:eastAsia="Batang" w:hAnsi="Verdana"/>
          <w:sz w:val="20"/>
          <w:szCs w:val="20"/>
          <w:lang w:val="en-US" w:eastAsia="es-MX"/>
        </w:rPr>
        <w:t xml:space="preserve"> 2009</w:t>
      </w:r>
      <w:r w:rsidR="00DA6B15" w:rsidRPr="00EA6C7A">
        <w:rPr>
          <w:rFonts w:ascii="Verdana" w:eastAsia="Batang" w:hAnsi="Verdana"/>
          <w:sz w:val="20"/>
          <w:szCs w:val="20"/>
          <w:lang w:val="en-US" w:eastAsia="es-MX"/>
        </w:rPr>
        <w:t xml:space="preserve">, they received the statement </w:t>
      </w:r>
      <w:r w:rsidR="003F510E" w:rsidRPr="00EA6C7A">
        <w:rPr>
          <w:rFonts w:ascii="Verdana" w:eastAsia="Batang" w:hAnsi="Verdana"/>
          <w:sz w:val="20"/>
          <w:szCs w:val="20"/>
          <w:lang w:val="en-US" w:eastAsia="es-MX"/>
        </w:rPr>
        <w:t xml:space="preserve">of the </w:t>
      </w:r>
      <w:r w:rsidR="000821BA" w:rsidRPr="00EA6C7A">
        <w:rPr>
          <w:rFonts w:ascii="Verdana" w:eastAsia="Batang" w:hAnsi="Verdana"/>
          <w:sz w:val="20"/>
          <w:szCs w:val="20"/>
          <w:lang w:val="en-US" w:eastAsia="es-MX"/>
        </w:rPr>
        <w:t>forensic physician</w:t>
      </w:r>
      <w:r w:rsidR="0017063C" w:rsidRPr="00EA6C7A">
        <w:rPr>
          <w:rFonts w:ascii="Verdana" w:eastAsia="Batang" w:hAnsi="Verdana"/>
          <w:sz w:val="20"/>
          <w:szCs w:val="20"/>
          <w:lang w:val="en-US" w:eastAsia="es-MX"/>
        </w:rPr>
        <w:t xml:space="preserve"> </w:t>
      </w:r>
      <w:r w:rsidR="00DA6B15" w:rsidRPr="00EA6C7A">
        <w:rPr>
          <w:rFonts w:ascii="Verdana" w:eastAsia="Batang" w:hAnsi="Verdana"/>
          <w:sz w:val="20"/>
          <w:szCs w:val="20"/>
          <w:lang w:val="en-US" w:eastAsia="es-MX"/>
        </w:rPr>
        <w:t>who performed the examination and forensic procedures at the crime scene</w:t>
      </w:r>
      <w:r w:rsidR="001B5B34" w:rsidRPr="00EA6C7A">
        <w:rPr>
          <w:rFonts w:ascii="Verdana" w:eastAsia="Batang" w:hAnsi="Verdana"/>
          <w:sz w:val="20"/>
          <w:szCs w:val="20"/>
          <w:lang w:val="en-US" w:eastAsia="es-MX"/>
        </w:rPr>
        <w:t>, which</w:t>
      </w:r>
      <w:r w:rsidR="00885E4B" w:rsidRPr="00EA6C7A">
        <w:rPr>
          <w:rFonts w:ascii="Verdana" w:eastAsia="Batang" w:hAnsi="Verdana"/>
          <w:sz w:val="20"/>
          <w:szCs w:val="20"/>
          <w:lang w:val="en-US" w:eastAsia="es-MX"/>
        </w:rPr>
        <w:t xml:space="preserve"> added information on the findings made at the crime scene </w:t>
      </w:r>
      <w:r w:rsidR="00D948A1" w:rsidRPr="00EA6C7A">
        <w:rPr>
          <w:rFonts w:ascii="Verdana" w:eastAsia="Batang" w:hAnsi="Verdana"/>
          <w:sz w:val="20"/>
          <w:szCs w:val="20"/>
          <w:lang w:val="en-US" w:eastAsia="es-MX"/>
        </w:rPr>
        <w:t>and</w:t>
      </w:r>
      <w:r w:rsidR="00885E4B" w:rsidRPr="00EA6C7A">
        <w:rPr>
          <w:rFonts w:ascii="Verdana" w:eastAsia="Batang" w:hAnsi="Verdana"/>
          <w:sz w:val="20"/>
          <w:szCs w:val="20"/>
          <w:lang w:val="en-US" w:eastAsia="es-MX"/>
        </w:rPr>
        <w:t>,</w:t>
      </w:r>
      <w:r w:rsidR="00D948A1" w:rsidRPr="00EA6C7A">
        <w:rPr>
          <w:rFonts w:ascii="Verdana" w:eastAsia="Batang" w:hAnsi="Verdana"/>
          <w:sz w:val="20"/>
          <w:szCs w:val="20"/>
          <w:lang w:val="en-US" w:eastAsia="es-MX"/>
        </w:rPr>
        <w:t xml:space="preserve"> </w:t>
      </w:r>
      <w:r w:rsidR="007944A2" w:rsidRPr="00EA6C7A">
        <w:rPr>
          <w:rFonts w:ascii="Verdana" w:eastAsia="Batang" w:hAnsi="Verdana"/>
          <w:sz w:val="20"/>
          <w:szCs w:val="20"/>
          <w:lang w:val="en-US" w:eastAsia="es-MX"/>
        </w:rPr>
        <w:t>on August 11,</w:t>
      </w:r>
      <w:r w:rsidR="0017063C" w:rsidRPr="00EA6C7A">
        <w:rPr>
          <w:rFonts w:ascii="Verdana" w:eastAsia="Batang" w:hAnsi="Verdana"/>
          <w:sz w:val="20"/>
          <w:szCs w:val="20"/>
          <w:lang w:val="en-US" w:eastAsia="es-MX"/>
        </w:rPr>
        <w:t xml:space="preserve"> 2011</w:t>
      </w:r>
      <w:r w:rsidR="00885E4B"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 xml:space="preserve"> </w:t>
      </w:r>
      <w:r w:rsidR="00885E4B" w:rsidRPr="00EA6C7A">
        <w:rPr>
          <w:rFonts w:ascii="Verdana" w:eastAsia="Batang" w:hAnsi="Verdana"/>
          <w:sz w:val="20"/>
          <w:szCs w:val="20"/>
          <w:lang w:val="en-US" w:eastAsia="es-MX"/>
        </w:rPr>
        <w:t>th</w:t>
      </w:r>
      <w:r w:rsidR="001B5B34" w:rsidRPr="00EA6C7A">
        <w:rPr>
          <w:rFonts w:ascii="Verdana" w:eastAsia="Batang" w:hAnsi="Verdana"/>
          <w:sz w:val="20"/>
          <w:szCs w:val="20"/>
          <w:lang w:val="en-US" w:eastAsia="es-MX"/>
        </w:rPr>
        <w:t>ey</w:t>
      </w:r>
      <w:r w:rsidR="00885E4B" w:rsidRPr="00EA6C7A">
        <w:rPr>
          <w:rFonts w:ascii="Verdana" w:eastAsia="Batang" w:hAnsi="Verdana"/>
          <w:sz w:val="20"/>
          <w:szCs w:val="20"/>
          <w:lang w:val="en-US" w:eastAsia="es-MX"/>
        </w:rPr>
        <w:t xml:space="preserve"> requested a laboratory analysis to determine the type of animal whose blood had been found o</w:t>
      </w:r>
      <w:r w:rsidR="001B5B34" w:rsidRPr="00EA6C7A">
        <w:rPr>
          <w:rFonts w:ascii="Verdana" w:eastAsia="Batang" w:hAnsi="Verdana"/>
          <w:sz w:val="20"/>
          <w:szCs w:val="20"/>
          <w:lang w:val="en-US" w:eastAsia="es-MX"/>
        </w:rPr>
        <w:t>n</w:t>
      </w:r>
      <w:r w:rsidR="00885E4B" w:rsidRPr="00EA6C7A">
        <w:rPr>
          <w:rFonts w:ascii="Verdana" w:eastAsia="Batang" w:hAnsi="Verdana"/>
          <w:sz w:val="20"/>
          <w:szCs w:val="20"/>
          <w:lang w:val="en-US" w:eastAsia="es-MX"/>
        </w:rPr>
        <w:t xml:space="preserve"> the victim’s hands </w:t>
      </w:r>
      <w:r w:rsidR="0017063C" w:rsidRPr="00EA6C7A">
        <w:rPr>
          <w:rFonts w:ascii="Verdana" w:eastAsia="Batang" w:hAnsi="Verdana"/>
          <w:sz w:val="20"/>
          <w:szCs w:val="20"/>
          <w:lang w:val="en-US" w:eastAsia="es-MX"/>
        </w:rPr>
        <w:t>(</w:t>
      </w:r>
      <w:r w:rsidR="0017063C" w:rsidRPr="00EA6C7A">
        <w:rPr>
          <w:rFonts w:ascii="Verdana" w:eastAsia="Batang" w:hAnsi="Verdana"/>
          <w:i/>
          <w:sz w:val="20"/>
          <w:szCs w:val="20"/>
          <w:lang w:val="en-US" w:eastAsia="es-MX"/>
        </w:rPr>
        <w:t xml:space="preserve">supra </w:t>
      </w:r>
      <w:r w:rsidR="008524CB" w:rsidRPr="00EA6C7A">
        <w:rPr>
          <w:rFonts w:ascii="Verdana" w:eastAsia="Batang" w:hAnsi="Verdana"/>
          <w:sz w:val="20"/>
          <w:szCs w:val="20"/>
          <w:lang w:val="en-US" w:eastAsia="es-MX"/>
        </w:rPr>
        <w:t>paras.</w:t>
      </w:r>
      <w:r w:rsidR="0017063C" w:rsidRPr="00EA6C7A">
        <w:rPr>
          <w:rFonts w:ascii="Verdana" w:eastAsia="Batang" w:hAnsi="Verdana"/>
          <w:sz w:val="20"/>
          <w:szCs w:val="20"/>
          <w:lang w:val="en-US" w:eastAsia="es-MX"/>
        </w:rPr>
        <w:t xml:space="preserve"> 60, 63, 69, 78, 83, 86 </w:t>
      </w:r>
      <w:r w:rsidR="00885E4B" w:rsidRPr="00EA6C7A">
        <w:rPr>
          <w:rFonts w:ascii="Verdana" w:eastAsia="Batang" w:hAnsi="Verdana"/>
          <w:sz w:val="20"/>
          <w:szCs w:val="20"/>
          <w:lang w:val="en-US" w:eastAsia="es-MX"/>
        </w:rPr>
        <w:t>to</w:t>
      </w:r>
      <w:r w:rsidR="0017063C" w:rsidRPr="00EA6C7A">
        <w:rPr>
          <w:rFonts w:ascii="Verdana" w:eastAsia="Batang" w:hAnsi="Verdana"/>
          <w:sz w:val="20"/>
          <w:szCs w:val="20"/>
          <w:lang w:val="en-US" w:eastAsia="es-MX"/>
        </w:rPr>
        <w:t xml:space="preserve"> 88</w:t>
      </w:r>
      <w:r w:rsidR="00D948A1" w:rsidRPr="00EA6C7A">
        <w:rPr>
          <w:rFonts w:ascii="Verdana" w:eastAsia="Batang" w:hAnsi="Verdana"/>
          <w:sz w:val="20"/>
          <w:szCs w:val="20"/>
          <w:lang w:val="en-US" w:eastAsia="es-MX"/>
        </w:rPr>
        <w:t xml:space="preserve"> and </w:t>
      </w:r>
      <w:r w:rsidR="0017063C" w:rsidRPr="00EA6C7A">
        <w:rPr>
          <w:rFonts w:ascii="Verdana" w:eastAsia="Batang" w:hAnsi="Verdana"/>
          <w:sz w:val="20"/>
          <w:szCs w:val="20"/>
          <w:lang w:val="en-US" w:eastAsia="es-MX"/>
        </w:rPr>
        <w:t xml:space="preserve">165). </w:t>
      </w:r>
      <w:r w:rsidR="00885E4B" w:rsidRPr="00EA6C7A">
        <w:rPr>
          <w:rFonts w:ascii="Verdana" w:eastAsia="Batang" w:hAnsi="Verdana"/>
          <w:sz w:val="20"/>
          <w:szCs w:val="20"/>
          <w:lang w:val="en-US" w:eastAsia="es-MX"/>
        </w:rPr>
        <w:t xml:space="preserve">The fact that these procedures were so delayed meant that the information that </w:t>
      </w:r>
      <w:r w:rsidR="001B5B34" w:rsidRPr="00EA6C7A">
        <w:rPr>
          <w:rFonts w:ascii="Verdana" w:eastAsia="Batang" w:hAnsi="Verdana"/>
          <w:sz w:val="20"/>
          <w:szCs w:val="20"/>
          <w:lang w:val="en-US" w:eastAsia="es-MX"/>
        </w:rPr>
        <w:t xml:space="preserve">may </w:t>
      </w:r>
      <w:r w:rsidR="00885E4B" w:rsidRPr="00EA6C7A">
        <w:rPr>
          <w:rFonts w:ascii="Verdana" w:eastAsia="Batang" w:hAnsi="Verdana"/>
          <w:sz w:val="20"/>
          <w:szCs w:val="20"/>
          <w:lang w:val="en-US" w:eastAsia="es-MX"/>
        </w:rPr>
        <w:t>have been obtained from them was not incorporated into the investigation from the start. Also, in some cases, it was not possible to obtain the information requested from the elements provided</w:t>
      </w:r>
      <w:r w:rsidR="001B5B34" w:rsidRPr="00EA6C7A">
        <w:rPr>
          <w:rFonts w:ascii="Verdana" w:eastAsia="Batang" w:hAnsi="Verdana"/>
          <w:sz w:val="20"/>
          <w:szCs w:val="20"/>
          <w:lang w:val="en-US" w:eastAsia="es-MX"/>
        </w:rPr>
        <w:t xml:space="preserve"> and, in other cases, </w:t>
      </w:r>
      <w:r w:rsidR="00885E4B" w:rsidRPr="00EA6C7A">
        <w:rPr>
          <w:rFonts w:ascii="Verdana" w:eastAsia="Batang" w:hAnsi="Verdana"/>
          <w:sz w:val="20"/>
          <w:szCs w:val="20"/>
          <w:lang w:val="en-US" w:eastAsia="es-MX"/>
        </w:rPr>
        <w:t>the records were not conserved over time, so that the delay resulted in an irreparable loss of evidence.</w:t>
      </w:r>
    </w:p>
    <w:p w14:paraId="436C681D" w14:textId="77777777" w:rsidR="0017063C" w:rsidRPr="00EA6C7A" w:rsidRDefault="0017063C" w:rsidP="0017063C">
      <w:pPr>
        <w:tabs>
          <w:tab w:val="left" w:pos="567"/>
        </w:tabs>
        <w:spacing w:after="0" w:line="240" w:lineRule="auto"/>
        <w:jc w:val="both"/>
        <w:rPr>
          <w:rFonts w:ascii="Verdana" w:eastAsia="Batang" w:hAnsi="Verdana"/>
          <w:i/>
          <w:sz w:val="20"/>
          <w:szCs w:val="20"/>
          <w:lang w:val="en-US" w:eastAsia="es-MX"/>
        </w:rPr>
      </w:pPr>
    </w:p>
    <w:p w14:paraId="30E2FE32" w14:textId="77777777" w:rsidR="0017063C" w:rsidRPr="00EA6C7A" w:rsidRDefault="0017063C" w:rsidP="006A0CFC">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eastAsia="Batang" w:hAnsi="Verdana"/>
          <w:sz w:val="20"/>
          <w:szCs w:val="20"/>
          <w:lang w:val="en-US" w:eastAsia="es-MX"/>
        </w:rPr>
        <w:t>A</w:t>
      </w:r>
      <w:r w:rsidR="00885E4B" w:rsidRPr="00EA6C7A">
        <w:rPr>
          <w:rFonts w:ascii="Verdana" w:eastAsia="Batang" w:hAnsi="Verdana"/>
          <w:sz w:val="20"/>
          <w:szCs w:val="20"/>
          <w:lang w:val="en-US" w:eastAsia="es-MX"/>
        </w:rPr>
        <w:t xml:space="preserve">dded to the above, the Court notes that the procedures were repetitive and delayed the investigation. Thus, on </w:t>
      </w:r>
      <w:r w:rsidR="003F510E" w:rsidRPr="00EA6C7A">
        <w:rPr>
          <w:rFonts w:ascii="Verdana" w:eastAsia="Calibri" w:hAnsi="Verdana"/>
          <w:sz w:val="20"/>
          <w:szCs w:val="20"/>
          <w:lang w:val="en-US"/>
        </w:rPr>
        <w:t xml:space="preserve">November </w:t>
      </w:r>
      <w:r w:rsidR="00885E4B" w:rsidRPr="00EA6C7A">
        <w:rPr>
          <w:rFonts w:ascii="Verdana" w:eastAsia="Calibri" w:hAnsi="Verdana"/>
          <w:sz w:val="20"/>
          <w:szCs w:val="20"/>
          <w:lang w:val="en-US"/>
        </w:rPr>
        <w:t>1</w:t>
      </w:r>
      <w:r w:rsidR="003F510E" w:rsidRPr="00EA6C7A">
        <w:rPr>
          <w:rFonts w:ascii="Verdana" w:eastAsia="Calibri" w:hAnsi="Verdana"/>
          <w:sz w:val="20"/>
          <w:szCs w:val="20"/>
          <w:lang w:val="en-US"/>
        </w:rPr>
        <w:t>8,</w:t>
      </w:r>
      <w:r w:rsidRPr="00EA6C7A">
        <w:rPr>
          <w:rFonts w:ascii="Verdana" w:eastAsia="Calibri" w:hAnsi="Verdana"/>
          <w:sz w:val="20"/>
          <w:szCs w:val="20"/>
          <w:lang w:val="en-US"/>
        </w:rPr>
        <w:t xml:space="preserve"> 2011</w:t>
      </w:r>
      <w:r w:rsidR="00885E4B" w:rsidRPr="00EA6C7A">
        <w:rPr>
          <w:rFonts w:ascii="Verdana" w:eastAsia="Calibri" w:hAnsi="Verdana"/>
          <w:sz w:val="20"/>
          <w:szCs w:val="20"/>
          <w:lang w:val="en-US"/>
        </w:rPr>
        <w:t>,</w:t>
      </w:r>
      <w:r w:rsidRPr="00EA6C7A">
        <w:rPr>
          <w:rFonts w:ascii="Verdana" w:eastAsia="Calibri" w:hAnsi="Verdana"/>
          <w:sz w:val="20"/>
          <w:szCs w:val="20"/>
          <w:lang w:val="en-US"/>
        </w:rPr>
        <w:t xml:space="preserve"> </w:t>
      </w:r>
      <w:r w:rsidR="00885E4B" w:rsidRPr="00EA6C7A">
        <w:rPr>
          <w:rFonts w:ascii="Verdana" w:eastAsia="Calibri" w:hAnsi="Verdana"/>
          <w:sz w:val="20"/>
          <w:szCs w:val="20"/>
          <w:lang w:val="en-US"/>
        </w:rPr>
        <w:t xml:space="preserve">an expert report on the test for alcohol was issued, attaching a standard table on blood alcohol levels; however, an expert report on the drug and alcohol tests had already been issued on September 16, 2005. Starting in </w:t>
      </w:r>
      <w:r w:rsidR="007B566E" w:rsidRPr="00EA6C7A">
        <w:rPr>
          <w:rFonts w:ascii="Verdana" w:eastAsia="Calibri" w:hAnsi="Verdana"/>
          <w:sz w:val="20"/>
          <w:szCs w:val="20"/>
          <w:lang w:val="en-US"/>
        </w:rPr>
        <w:t>September</w:t>
      </w:r>
      <w:r w:rsidRPr="00EA6C7A">
        <w:rPr>
          <w:rFonts w:ascii="Verdana" w:eastAsia="Calibri" w:hAnsi="Verdana"/>
          <w:sz w:val="20"/>
          <w:szCs w:val="20"/>
          <w:lang w:val="en-US"/>
        </w:rPr>
        <w:t xml:space="preserve"> 2005</w:t>
      </w:r>
      <w:r w:rsidR="00885E4B" w:rsidRPr="00EA6C7A">
        <w:rPr>
          <w:rFonts w:ascii="Verdana" w:eastAsia="Calibri" w:hAnsi="Verdana"/>
          <w:sz w:val="20"/>
          <w:szCs w:val="20"/>
          <w:lang w:val="en-US"/>
        </w:rPr>
        <w:t xml:space="preserve">, </w:t>
      </w:r>
      <w:r w:rsidR="00885E4B" w:rsidRPr="00EA6C7A">
        <w:rPr>
          <w:rFonts w:ascii="Verdana" w:eastAsia="Calibri" w:hAnsi="Verdana"/>
          <w:sz w:val="20"/>
          <w:szCs w:val="20"/>
          <w:lang w:val="en-US"/>
        </w:rPr>
        <w:lastRenderedPageBreak/>
        <w:t>national telephone companies, and other agencies and universities in the country had been repeated</w:t>
      </w:r>
      <w:r w:rsidR="00820F4E" w:rsidRPr="00EA6C7A">
        <w:rPr>
          <w:rFonts w:ascii="Verdana" w:eastAsia="Calibri" w:hAnsi="Verdana"/>
          <w:sz w:val="20"/>
          <w:szCs w:val="20"/>
          <w:lang w:val="en-US"/>
        </w:rPr>
        <w:t>ly</w:t>
      </w:r>
      <w:r w:rsidR="00885E4B" w:rsidRPr="00EA6C7A">
        <w:rPr>
          <w:rFonts w:ascii="Verdana" w:eastAsia="Calibri" w:hAnsi="Verdana"/>
          <w:sz w:val="20"/>
          <w:szCs w:val="20"/>
          <w:lang w:val="en-US"/>
        </w:rPr>
        <w:t xml:space="preserve"> asked for detailed information on various telephone numbers. </w:t>
      </w:r>
      <w:r w:rsidR="00EF57B8" w:rsidRPr="00EA6C7A">
        <w:rPr>
          <w:rFonts w:ascii="Verdana" w:eastAsia="Calibri" w:hAnsi="Verdana"/>
          <w:sz w:val="20"/>
          <w:szCs w:val="20"/>
          <w:lang w:val="en-US"/>
        </w:rPr>
        <w:t>In response,</w:t>
      </w:r>
      <w:r w:rsidR="006A0CFC" w:rsidRPr="00EA6C7A">
        <w:rPr>
          <w:rFonts w:ascii="Verdana" w:eastAsia="Calibri" w:hAnsi="Verdana"/>
          <w:sz w:val="20"/>
          <w:szCs w:val="20"/>
          <w:lang w:val="en-US"/>
        </w:rPr>
        <w:t xml:space="preserve"> information was provided </w:t>
      </w:r>
      <w:r w:rsidR="00671A06" w:rsidRPr="00EA6C7A">
        <w:rPr>
          <w:rFonts w:ascii="Verdana" w:eastAsia="Calibri" w:hAnsi="Verdana"/>
          <w:sz w:val="20"/>
          <w:szCs w:val="20"/>
          <w:lang w:val="en-US"/>
        </w:rPr>
        <w:t>that</w:t>
      </w:r>
      <w:r w:rsidR="006A0CFC" w:rsidRPr="00EA6C7A">
        <w:rPr>
          <w:rFonts w:ascii="Verdana" w:eastAsia="Calibri" w:hAnsi="Verdana"/>
          <w:sz w:val="20"/>
          <w:szCs w:val="20"/>
          <w:lang w:val="en-US"/>
        </w:rPr>
        <w:t xml:space="preserve"> there was no record of calls made on</w:t>
      </w:r>
      <w:r w:rsidR="00EF57B8" w:rsidRPr="00EA6C7A">
        <w:rPr>
          <w:rFonts w:ascii="Verdana" w:eastAsia="Calibri" w:hAnsi="Verdana"/>
          <w:sz w:val="20"/>
          <w:szCs w:val="20"/>
          <w:lang w:val="en-US"/>
        </w:rPr>
        <w:t xml:space="preserve"> </w:t>
      </w:r>
      <w:r w:rsidR="000B3E6E" w:rsidRPr="00EA6C7A">
        <w:rPr>
          <w:rFonts w:ascii="Verdana" w:eastAsia="Calibri" w:hAnsi="Verdana"/>
          <w:sz w:val="20"/>
          <w:szCs w:val="20"/>
          <w:lang w:val="en-US"/>
        </w:rPr>
        <w:t>August</w:t>
      </w:r>
      <w:r w:rsidR="006A0CFC" w:rsidRPr="00EA6C7A">
        <w:rPr>
          <w:rFonts w:ascii="Verdana" w:eastAsia="Calibri" w:hAnsi="Verdana"/>
          <w:sz w:val="20"/>
          <w:szCs w:val="20"/>
          <w:lang w:val="en-US"/>
        </w:rPr>
        <w:t xml:space="preserve"> 12 and</w:t>
      </w:r>
      <w:r w:rsidR="000B3E6E" w:rsidRPr="00EA6C7A">
        <w:rPr>
          <w:rFonts w:ascii="Verdana" w:eastAsia="Calibri" w:hAnsi="Verdana"/>
          <w:sz w:val="20"/>
          <w:szCs w:val="20"/>
          <w:lang w:val="en-US"/>
        </w:rPr>
        <w:t xml:space="preserve"> 13,</w:t>
      </w:r>
      <w:r w:rsidRPr="00EA6C7A">
        <w:rPr>
          <w:rFonts w:ascii="Verdana" w:eastAsia="Calibri" w:hAnsi="Verdana"/>
          <w:sz w:val="20"/>
          <w:szCs w:val="20"/>
          <w:lang w:val="en-US"/>
        </w:rPr>
        <w:t xml:space="preserve"> 2005, </w:t>
      </w:r>
      <w:r w:rsidR="006A0CFC" w:rsidRPr="00EA6C7A">
        <w:rPr>
          <w:rFonts w:ascii="Verdana" w:eastAsia="Calibri" w:hAnsi="Verdana"/>
          <w:sz w:val="20"/>
          <w:szCs w:val="20"/>
          <w:lang w:val="en-US"/>
        </w:rPr>
        <w:t>text messages were not stored on their systems, the telephone numbers did not correspond to the numbers they had assigned, and there was no record of the personal data of the user or owner of the telephone line. Nevertheless, the requests for information continued up until at least March 2012, without any specific measure being taken to follow up</w:t>
      </w:r>
      <w:r w:rsidR="00820F4E" w:rsidRPr="00EA6C7A">
        <w:rPr>
          <w:rFonts w:ascii="Verdana" w:eastAsia="Calibri" w:hAnsi="Verdana"/>
          <w:sz w:val="20"/>
          <w:szCs w:val="20"/>
          <w:lang w:val="en-US"/>
        </w:rPr>
        <w:t xml:space="preserve"> </w:t>
      </w:r>
      <w:r w:rsidR="006A0CFC" w:rsidRPr="00EA6C7A">
        <w:rPr>
          <w:rFonts w:ascii="Verdana" w:eastAsia="Calibri" w:hAnsi="Verdana"/>
          <w:sz w:val="20"/>
          <w:szCs w:val="20"/>
          <w:lang w:val="en-US"/>
        </w:rPr>
        <w:t xml:space="preserve">on the </w:t>
      </w:r>
      <w:r w:rsidR="00820F4E" w:rsidRPr="00EA6C7A">
        <w:rPr>
          <w:rFonts w:ascii="Verdana" w:eastAsia="Calibri" w:hAnsi="Verdana"/>
          <w:sz w:val="20"/>
          <w:szCs w:val="20"/>
          <w:lang w:val="en-US"/>
        </w:rPr>
        <w:t>answers</w:t>
      </w:r>
      <w:r w:rsidR="006A0CFC" w:rsidRPr="00EA6C7A">
        <w:rPr>
          <w:rFonts w:ascii="Verdana" w:eastAsia="Calibri" w:hAnsi="Verdana"/>
          <w:sz w:val="20"/>
          <w:szCs w:val="20"/>
          <w:lang w:val="en-US"/>
        </w:rPr>
        <w:t xml:space="preserve"> received. </w:t>
      </w:r>
      <w:r w:rsidR="003F510E" w:rsidRPr="00EA6C7A">
        <w:rPr>
          <w:rFonts w:ascii="Verdana" w:eastAsia="Calibri" w:hAnsi="Verdana"/>
          <w:sz w:val="20"/>
          <w:szCs w:val="20"/>
          <w:lang w:val="en-US"/>
        </w:rPr>
        <w:t>On September</w:t>
      </w:r>
      <w:r w:rsidR="006054D8" w:rsidRPr="00EA6C7A">
        <w:rPr>
          <w:rFonts w:ascii="Verdana" w:eastAsia="Calibri" w:hAnsi="Verdana"/>
          <w:sz w:val="20"/>
          <w:szCs w:val="20"/>
          <w:lang w:val="en-US"/>
        </w:rPr>
        <w:t xml:space="preserve"> 29,</w:t>
      </w:r>
      <w:r w:rsidRPr="00EA6C7A">
        <w:rPr>
          <w:rFonts w:ascii="Verdana" w:eastAsia="Calibri" w:hAnsi="Verdana"/>
          <w:sz w:val="20"/>
          <w:szCs w:val="20"/>
          <w:lang w:val="en-US"/>
        </w:rPr>
        <w:t xml:space="preserve"> 2006</w:t>
      </w:r>
      <w:r w:rsidR="006A0CFC" w:rsidRPr="00EA6C7A">
        <w:rPr>
          <w:rFonts w:ascii="Verdana" w:eastAsia="Calibri" w:hAnsi="Verdana"/>
          <w:sz w:val="20"/>
          <w:szCs w:val="20"/>
          <w:lang w:val="en-US"/>
        </w:rPr>
        <w:t xml:space="preserve">, </w:t>
      </w:r>
      <w:r w:rsidR="00D948A1" w:rsidRPr="00EA6C7A">
        <w:rPr>
          <w:rFonts w:ascii="Verdana" w:eastAsia="Calibri" w:hAnsi="Verdana"/>
          <w:sz w:val="20"/>
          <w:szCs w:val="20"/>
          <w:lang w:val="en-US"/>
        </w:rPr>
        <w:t xml:space="preserve">and </w:t>
      </w:r>
      <w:r w:rsidR="006054D8" w:rsidRPr="00EA6C7A">
        <w:rPr>
          <w:rFonts w:ascii="Verdana" w:eastAsia="Calibri" w:hAnsi="Verdana"/>
          <w:sz w:val="20"/>
          <w:szCs w:val="20"/>
          <w:lang w:val="en-US"/>
        </w:rPr>
        <w:t>May 20,</w:t>
      </w:r>
      <w:r w:rsidRPr="00EA6C7A">
        <w:rPr>
          <w:rFonts w:ascii="Verdana" w:eastAsia="Calibri" w:hAnsi="Verdana"/>
          <w:sz w:val="20"/>
          <w:szCs w:val="20"/>
          <w:lang w:val="en-US"/>
        </w:rPr>
        <w:t xml:space="preserve"> 2009</w:t>
      </w:r>
      <w:r w:rsidR="006A0CFC" w:rsidRPr="00EA6C7A">
        <w:rPr>
          <w:rFonts w:ascii="Verdana" w:eastAsia="Calibri" w:hAnsi="Verdana"/>
          <w:sz w:val="20"/>
          <w:szCs w:val="20"/>
          <w:lang w:val="en-US"/>
        </w:rPr>
        <w:t xml:space="preserve">, laboratory tests were conducted to compare the genetic profile of </w:t>
      </w:r>
      <w:r w:rsidRPr="00EA6C7A">
        <w:rPr>
          <w:rFonts w:ascii="Verdana" w:eastAsia="Calibri" w:hAnsi="Verdana"/>
          <w:sz w:val="20"/>
          <w:szCs w:val="20"/>
          <w:lang w:val="en-US"/>
        </w:rPr>
        <w:t xml:space="preserve">Claudina Velásquez </w:t>
      </w:r>
      <w:r w:rsidR="006A0CFC" w:rsidRPr="00EA6C7A">
        <w:rPr>
          <w:rFonts w:ascii="Verdana" w:eastAsia="Calibri" w:hAnsi="Verdana"/>
          <w:sz w:val="20"/>
          <w:szCs w:val="20"/>
          <w:lang w:val="en-US"/>
        </w:rPr>
        <w:t>with that of</w:t>
      </w:r>
      <w:r w:rsidRPr="00EA6C7A">
        <w:rPr>
          <w:rFonts w:ascii="Verdana" w:eastAsia="Calibri" w:hAnsi="Verdana"/>
          <w:sz w:val="20"/>
          <w:szCs w:val="20"/>
          <w:lang w:val="en-US"/>
        </w:rPr>
        <w:t xml:space="preserve"> Jorge Rolando Velásquez Durán</w:t>
      </w:r>
      <w:r w:rsidR="00D948A1" w:rsidRPr="00EA6C7A">
        <w:rPr>
          <w:rFonts w:ascii="Verdana" w:eastAsia="Calibri" w:hAnsi="Verdana"/>
          <w:sz w:val="20"/>
          <w:szCs w:val="20"/>
          <w:lang w:val="en-US"/>
        </w:rPr>
        <w:t xml:space="preserve"> and </w:t>
      </w:r>
      <w:r w:rsidRPr="00EA6C7A">
        <w:rPr>
          <w:rFonts w:ascii="Verdana" w:eastAsia="Calibri" w:hAnsi="Verdana"/>
          <w:sz w:val="20"/>
          <w:szCs w:val="20"/>
          <w:lang w:val="en-US"/>
        </w:rPr>
        <w:t xml:space="preserve">Elsa Claudina Paiz Vidal, </w:t>
      </w:r>
      <w:r w:rsidR="006A0CFC" w:rsidRPr="00EA6C7A">
        <w:rPr>
          <w:rFonts w:ascii="Verdana" w:eastAsia="Calibri" w:hAnsi="Verdana"/>
          <w:sz w:val="20"/>
          <w:szCs w:val="20"/>
          <w:lang w:val="en-US"/>
        </w:rPr>
        <w:t xml:space="preserve">which determined that they were compatible, meaning that she was their biological daughter, and on </w:t>
      </w:r>
      <w:r w:rsidR="007B566E" w:rsidRPr="00EA6C7A">
        <w:rPr>
          <w:rFonts w:ascii="Verdana" w:hAnsi="Verdana" w:cs="Arial"/>
          <w:color w:val="000000"/>
          <w:sz w:val="20"/>
          <w:szCs w:val="20"/>
          <w:lang w:val="en-US"/>
        </w:rPr>
        <w:t>September</w:t>
      </w:r>
      <w:r w:rsidR="00D948A1" w:rsidRPr="00EA6C7A">
        <w:rPr>
          <w:rFonts w:ascii="Verdana" w:hAnsi="Verdana" w:cs="Arial"/>
          <w:color w:val="000000"/>
          <w:sz w:val="20"/>
          <w:szCs w:val="20"/>
          <w:lang w:val="en-US"/>
        </w:rPr>
        <w:t xml:space="preserve"> </w:t>
      </w:r>
      <w:r w:rsidR="006A0CFC" w:rsidRPr="00EA6C7A">
        <w:rPr>
          <w:rFonts w:ascii="Verdana" w:hAnsi="Verdana" w:cs="Arial"/>
          <w:color w:val="000000"/>
          <w:sz w:val="20"/>
          <w:szCs w:val="20"/>
          <w:lang w:val="en-US"/>
        </w:rPr>
        <w:t xml:space="preserve">2 </w:t>
      </w:r>
      <w:r w:rsidR="00D948A1" w:rsidRPr="00EA6C7A">
        <w:rPr>
          <w:rFonts w:ascii="Verdana" w:hAnsi="Verdana" w:cs="Arial"/>
          <w:color w:val="000000"/>
          <w:sz w:val="20"/>
          <w:szCs w:val="20"/>
          <w:lang w:val="en-US"/>
        </w:rPr>
        <w:t>and</w:t>
      </w:r>
      <w:r w:rsidR="006A0CFC" w:rsidRPr="00EA6C7A">
        <w:rPr>
          <w:rFonts w:ascii="Verdana" w:hAnsi="Verdana" w:cs="Arial"/>
          <w:color w:val="000000"/>
          <w:sz w:val="20"/>
          <w:szCs w:val="20"/>
          <w:lang w:val="en-US"/>
        </w:rPr>
        <w:t xml:space="preserve"> November</w:t>
      </w:r>
      <w:r w:rsidR="00D948A1" w:rsidRPr="00EA6C7A">
        <w:rPr>
          <w:rFonts w:ascii="Verdana" w:hAnsi="Verdana" w:cs="Arial"/>
          <w:color w:val="000000"/>
          <w:sz w:val="20"/>
          <w:szCs w:val="20"/>
          <w:lang w:val="en-US"/>
        </w:rPr>
        <w:t xml:space="preserve"> </w:t>
      </w:r>
      <w:r w:rsidRPr="00EA6C7A">
        <w:rPr>
          <w:rFonts w:ascii="Verdana" w:hAnsi="Verdana" w:cs="Arial"/>
          <w:color w:val="000000"/>
          <w:sz w:val="20"/>
          <w:szCs w:val="20"/>
          <w:lang w:val="en-US"/>
        </w:rPr>
        <w:t>2</w:t>
      </w:r>
      <w:r w:rsidR="006A0CFC" w:rsidRPr="00EA6C7A">
        <w:rPr>
          <w:rFonts w:ascii="Verdana" w:hAnsi="Verdana" w:cs="Arial"/>
          <w:color w:val="000000"/>
          <w:sz w:val="20"/>
          <w:szCs w:val="20"/>
          <w:lang w:val="en-US"/>
        </w:rPr>
        <w:t xml:space="preserve">, </w:t>
      </w:r>
      <w:r w:rsidRPr="00EA6C7A">
        <w:rPr>
          <w:rFonts w:ascii="Verdana" w:hAnsi="Verdana" w:cs="Arial"/>
          <w:color w:val="000000"/>
          <w:sz w:val="20"/>
          <w:szCs w:val="20"/>
          <w:lang w:val="en-US"/>
        </w:rPr>
        <w:t>2011</w:t>
      </w:r>
      <w:r w:rsidR="006A0CFC" w:rsidRPr="00EA6C7A">
        <w:rPr>
          <w:rFonts w:ascii="Verdana" w:hAnsi="Verdana" w:cs="Arial"/>
          <w:color w:val="000000"/>
          <w:sz w:val="20"/>
          <w:szCs w:val="20"/>
          <w:lang w:val="en-US"/>
        </w:rPr>
        <w:t xml:space="preserve">, </w:t>
      </w:r>
      <w:r w:rsidR="00820F4E" w:rsidRPr="00EA6C7A">
        <w:rPr>
          <w:rFonts w:ascii="Verdana" w:hAnsi="Verdana" w:cs="Arial"/>
          <w:color w:val="000000"/>
          <w:sz w:val="20"/>
          <w:szCs w:val="20"/>
          <w:lang w:val="en-US"/>
        </w:rPr>
        <w:t>land registration</w:t>
      </w:r>
      <w:r w:rsidR="006A0CFC" w:rsidRPr="00EA6C7A">
        <w:rPr>
          <w:rFonts w:ascii="Verdana" w:hAnsi="Verdana" w:cs="Arial"/>
          <w:color w:val="000000"/>
          <w:sz w:val="20"/>
          <w:szCs w:val="20"/>
          <w:lang w:val="en-US"/>
        </w:rPr>
        <w:t xml:space="preserve"> information</w:t>
      </w:r>
      <w:r w:rsidR="000168D6" w:rsidRPr="00EA6C7A">
        <w:rPr>
          <w:rFonts w:ascii="Verdana" w:hAnsi="Verdana" w:cs="Arial"/>
          <w:color w:val="000000"/>
          <w:sz w:val="20"/>
          <w:szCs w:val="20"/>
          <w:lang w:val="en-US"/>
        </w:rPr>
        <w:t xml:space="preserve"> </w:t>
      </w:r>
      <w:r w:rsidR="006A0CFC" w:rsidRPr="00EA6C7A">
        <w:rPr>
          <w:rFonts w:ascii="Verdana" w:hAnsi="Verdana" w:cs="Arial"/>
          <w:color w:val="000000"/>
          <w:sz w:val="20"/>
          <w:szCs w:val="20"/>
          <w:lang w:val="en-US"/>
        </w:rPr>
        <w:t xml:space="preserve">was </w:t>
      </w:r>
      <w:r w:rsidR="00820F4E" w:rsidRPr="00EA6C7A">
        <w:rPr>
          <w:rFonts w:ascii="Verdana" w:hAnsi="Verdana" w:cs="Arial"/>
          <w:color w:val="000000"/>
          <w:sz w:val="20"/>
          <w:szCs w:val="20"/>
          <w:lang w:val="en-US"/>
        </w:rPr>
        <w:t>obtained</w:t>
      </w:r>
      <w:r w:rsidR="006A0CFC" w:rsidRPr="00EA6C7A">
        <w:rPr>
          <w:rFonts w:ascii="Verdana" w:hAnsi="Verdana" w:cs="Arial"/>
          <w:color w:val="000000"/>
          <w:sz w:val="20"/>
          <w:szCs w:val="20"/>
          <w:lang w:val="en-US"/>
        </w:rPr>
        <w:t xml:space="preserve"> on some buildings located in </w:t>
      </w:r>
      <w:r w:rsidRPr="00EA6C7A">
        <w:rPr>
          <w:rFonts w:ascii="Verdana" w:hAnsi="Verdana" w:cs="Arial"/>
          <w:color w:val="000000"/>
          <w:sz w:val="20"/>
          <w:szCs w:val="20"/>
          <w:lang w:val="en-US"/>
        </w:rPr>
        <w:t>Colonia Roosevelt</w:t>
      </w:r>
      <w:r w:rsidR="00AC46BB" w:rsidRPr="00EA6C7A">
        <w:rPr>
          <w:rFonts w:ascii="Verdana" w:hAnsi="Verdana" w:cs="Arial"/>
          <w:color w:val="000000"/>
          <w:sz w:val="20"/>
          <w:szCs w:val="20"/>
          <w:lang w:val="en-US"/>
        </w:rPr>
        <w:t xml:space="preserve"> (</w:t>
      </w:r>
      <w:r w:rsidR="00AC46BB" w:rsidRPr="00EA6C7A">
        <w:rPr>
          <w:rFonts w:ascii="Verdana" w:hAnsi="Verdana" w:cs="Arial"/>
          <w:i/>
          <w:color w:val="000000"/>
          <w:sz w:val="20"/>
          <w:szCs w:val="20"/>
          <w:lang w:val="en-US"/>
        </w:rPr>
        <w:t xml:space="preserve">supra </w:t>
      </w:r>
      <w:r w:rsidR="008524CB" w:rsidRPr="00EA6C7A">
        <w:rPr>
          <w:rFonts w:ascii="Verdana" w:hAnsi="Verdana" w:cs="Arial"/>
          <w:color w:val="000000"/>
          <w:sz w:val="20"/>
          <w:szCs w:val="20"/>
          <w:lang w:val="en-US"/>
        </w:rPr>
        <w:t>paras.</w:t>
      </w:r>
      <w:r w:rsidR="00AC46BB" w:rsidRPr="00EA6C7A">
        <w:rPr>
          <w:rFonts w:ascii="Verdana" w:hAnsi="Verdana" w:cs="Arial"/>
          <w:color w:val="000000"/>
          <w:sz w:val="20"/>
          <w:szCs w:val="20"/>
          <w:lang w:val="en-US"/>
        </w:rPr>
        <w:t xml:space="preserve"> 66, 68, 81</w:t>
      </w:r>
      <w:r w:rsidR="00D948A1" w:rsidRPr="00EA6C7A">
        <w:rPr>
          <w:rFonts w:ascii="Verdana" w:hAnsi="Verdana" w:cs="Arial"/>
          <w:color w:val="000000"/>
          <w:sz w:val="20"/>
          <w:szCs w:val="20"/>
          <w:lang w:val="en-US"/>
        </w:rPr>
        <w:t xml:space="preserve"> and </w:t>
      </w:r>
      <w:r w:rsidR="00AC46BB" w:rsidRPr="00EA6C7A">
        <w:rPr>
          <w:rFonts w:ascii="Verdana" w:hAnsi="Verdana" w:cs="Arial"/>
          <w:color w:val="000000"/>
          <w:sz w:val="20"/>
          <w:szCs w:val="20"/>
          <w:lang w:val="en-US"/>
        </w:rPr>
        <w:t>90)</w:t>
      </w:r>
      <w:r w:rsidR="000168D6" w:rsidRPr="00EA6C7A">
        <w:rPr>
          <w:rFonts w:ascii="Verdana" w:eastAsia="Calibri" w:hAnsi="Verdana"/>
          <w:sz w:val="20"/>
          <w:szCs w:val="20"/>
          <w:lang w:val="en-US"/>
        </w:rPr>
        <w:t xml:space="preserve">. However, the Court is </w:t>
      </w:r>
      <w:r w:rsidR="00820F4E" w:rsidRPr="00EA6C7A">
        <w:rPr>
          <w:rFonts w:ascii="Verdana" w:eastAsia="Calibri" w:hAnsi="Verdana"/>
          <w:sz w:val="20"/>
          <w:szCs w:val="20"/>
          <w:lang w:val="en-US"/>
        </w:rPr>
        <w:t>un</w:t>
      </w:r>
      <w:r w:rsidR="000168D6" w:rsidRPr="00EA6C7A">
        <w:rPr>
          <w:rFonts w:ascii="Verdana" w:eastAsia="Calibri" w:hAnsi="Verdana"/>
          <w:sz w:val="20"/>
          <w:szCs w:val="20"/>
          <w:lang w:val="en-US"/>
        </w:rPr>
        <w:t>clear why these procedures were conducted.</w:t>
      </w:r>
    </w:p>
    <w:p w14:paraId="0F3E9FF4" w14:textId="77777777" w:rsidR="0017063C" w:rsidRPr="00EA6C7A" w:rsidRDefault="0017063C" w:rsidP="0017063C">
      <w:pPr>
        <w:spacing w:after="0" w:line="240" w:lineRule="auto"/>
        <w:contextualSpacing/>
        <w:rPr>
          <w:rFonts w:ascii="Verdana" w:hAnsi="Verdana" w:cs="Arial"/>
          <w:sz w:val="20"/>
          <w:szCs w:val="20"/>
          <w:lang w:val="en-US" w:eastAsia="es-MX"/>
        </w:rPr>
      </w:pPr>
    </w:p>
    <w:p w14:paraId="708B1AAC" w14:textId="77777777" w:rsidR="0017063C" w:rsidRPr="00EA6C7A" w:rsidRDefault="000168D6" w:rsidP="00F15019">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cs="Arial"/>
          <w:sz w:val="20"/>
          <w:szCs w:val="20"/>
          <w:lang w:val="en-US" w:eastAsia="es-MX"/>
        </w:rPr>
        <w:t>I</w:t>
      </w:r>
      <w:r w:rsidR="0017063C" w:rsidRPr="00EA6C7A">
        <w:rPr>
          <w:rFonts w:ascii="Verdana" w:eastAsia="Batang" w:hAnsi="Verdana" w:cs="Arial"/>
          <w:sz w:val="20"/>
          <w:szCs w:val="20"/>
          <w:lang w:val="en-US" w:eastAsia="es-MX"/>
        </w:rPr>
        <w:t xml:space="preserve">n </w:t>
      </w:r>
      <w:r w:rsidR="00F53A64" w:rsidRPr="00EA6C7A">
        <w:rPr>
          <w:rFonts w:ascii="Verdana" w:eastAsia="Batang" w:hAnsi="Verdana" w:cs="Arial"/>
          <w:sz w:val="20"/>
          <w:szCs w:val="20"/>
          <w:lang w:val="en-US" w:eastAsia="es-MX"/>
        </w:rPr>
        <w:t>conclusion</w:t>
      </w:r>
      <w:r w:rsidR="0017063C" w:rsidRPr="00EA6C7A">
        <w:rPr>
          <w:rFonts w:ascii="Verdana" w:eastAsia="Batang" w:hAnsi="Verdana" w:cs="Arial"/>
          <w:sz w:val="20"/>
          <w:szCs w:val="20"/>
          <w:lang w:val="en-US" w:eastAsia="es-MX"/>
        </w:rPr>
        <w:t>,</w:t>
      </w:r>
      <w:r w:rsidR="0017063C"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ha</w:t>
      </w:r>
      <w:r w:rsidRPr="00EA6C7A">
        <w:rPr>
          <w:rFonts w:ascii="Verdana" w:eastAsia="Batang" w:hAnsi="Verdana"/>
          <w:sz w:val="20"/>
          <w:szCs w:val="20"/>
          <w:lang w:val="en-US" w:eastAsia="es-MX"/>
        </w:rPr>
        <w:t>s verified that more than 10 years have passed since the facts of the case and since the investigation started</w:t>
      </w:r>
      <w:r w:rsidR="00820F4E"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and the truth of what happened has still not been determined. The investigation procedures were belated and repetitive, thereby affecting the results. Moreover, in the case of some procedures, it is unclear why they were </w:t>
      </w:r>
      <w:r w:rsidR="00820F4E" w:rsidRPr="00EA6C7A">
        <w:rPr>
          <w:rFonts w:ascii="Verdana" w:eastAsia="Batang" w:hAnsi="Verdana"/>
          <w:sz w:val="20"/>
          <w:szCs w:val="20"/>
          <w:lang w:val="en-US" w:eastAsia="es-MX"/>
        </w:rPr>
        <w:t>conducted</w:t>
      </w:r>
      <w:r w:rsidRPr="00EA6C7A">
        <w:rPr>
          <w:rFonts w:ascii="Verdana" w:eastAsia="Batang" w:hAnsi="Verdana"/>
          <w:sz w:val="20"/>
          <w:szCs w:val="20"/>
          <w:lang w:val="en-US" w:eastAsia="es-MX"/>
        </w:rPr>
        <w:t xml:space="preserve">. Finally, other procedures have continued over time without any concrete results. The lack of due diligence in this case has violated </w:t>
      </w:r>
      <w:r w:rsidR="00515C34" w:rsidRPr="00EA6C7A">
        <w:rPr>
          <w:rFonts w:ascii="Verdana" w:eastAsia="Batang" w:hAnsi="Verdana" w:cs="Arial"/>
          <w:sz w:val="20"/>
          <w:szCs w:val="20"/>
          <w:lang w:val="en-US" w:eastAsia="es-MX"/>
        </w:rPr>
        <w:t xml:space="preserve">the right </w:t>
      </w:r>
      <w:r w:rsidRPr="00EA6C7A">
        <w:rPr>
          <w:rFonts w:ascii="Verdana" w:eastAsia="Batang" w:hAnsi="Verdana" w:cs="Arial"/>
          <w:sz w:val="20"/>
          <w:szCs w:val="20"/>
          <w:lang w:val="en-US" w:eastAsia="es-MX"/>
        </w:rPr>
        <w:t>of</w:t>
      </w:r>
      <w:r w:rsidR="00515C34" w:rsidRPr="00EA6C7A">
        <w:rPr>
          <w:rFonts w:ascii="Verdana" w:eastAsia="Batang" w:hAnsi="Verdana" w:cs="Arial"/>
          <w:sz w:val="20"/>
          <w:szCs w:val="20"/>
          <w:lang w:val="en-US" w:eastAsia="es-MX"/>
        </w:rPr>
        <w:t xml:space="preserve"> </w:t>
      </w:r>
      <w:r w:rsidR="002D218C" w:rsidRPr="00EA6C7A">
        <w:rPr>
          <w:rFonts w:ascii="Verdana" w:eastAsia="Batang" w:hAnsi="Verdana" w:cs="Arial"/>
          <w:sz w:val="20"/>
          <w:szCs w:val="20"/>
          <w:lang w:val="en-US" w:eastAsia="es-MX"/>
        </w:rPr>
        <w:t>access to justice</w:t>
      </w:r>
      <w:r w:rsidR="0017063C"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of</w:t>
      </w:r>
      <w:r w:rsidR="0017063C" w:rsidRPr="00EA6C7A">
        <w:rPr>
          <w:rFonts w:ascii="Verdana" w:eastAsia="Batang" w:hAnsi="Verdana" w:cs="Arial"/>
          <w:sz w:val="20"/>
          <w:szCs w:val="20"/>
          <w:lang w:val="en-US" w:eastAsia="es-MX"/>
        </w:rPr>
        <w:t xml:space="preserve"> </w:t>
      </w:r>
      <w:r w:rsidR="00123BD3" w:rsidRPr="00EA6C7A">
        <w:rPr>
          <w:rFonts w:ascii="Verdana" w:eastAsia="Batang" w:hAnsi="Verdana" w:cs="Arial"/>
          <w:sz w:val="20"/>
          <w:szCs w:val="20"/>
          <w:lang w:val="en-US" w:eastAsia="es-MX"/>
        </w:rPr>
        <w:t>the next of kin of</w:t>
      </w:r>
      <w:r w:rsidR="0017063C" w:rsidRPr="00EA6C7A">
        <w:rPr>
          <w:rFonts w:ascii="Verdana" w:eastAsia="Batang" w:hAnsi="Verdana" w:cs="Arial"/>
          <w:sz w:val="20"/>
          <w:szCs w:val="20"/>
          <w:lang w:val="en-US" w:eastAsia="es-MX"/>
        </w:rPr>
        <w:t xml:space="preserve"> Claudina Velásquez</w:t>
      </w:r>
      <w:r w:rsidRPr="00EA6C7A">
        <w:rPr>
          <w:rFonts w:ascii="Verdana" w:eastAsia="Batang" w:hAnsi="Verdana" w:cs="Arial"/>
          <w:sz w:val="20"/>
          <w:szCs w:val="20"/>
          <w:lang w:val="en-US" w:eastAsia="es-MX"/>
        </w:rPr>
        <w:t>, within a reasonable time, in violation of judicial guarantees.</w:t>
      </w:r>
    </w:p>
    <w:p w14:paraId="238B19D1" w14:textId="77777777" w:rsidR="0017063C" w:rsidRPr="00EA6C7A" w:rsidRDefault="0017063C" w:rsidP="0017063C">
      <w:pPr>
        <w:autoSpaceDE w:val="0"/>
        <w:autoSpaceDN w:val="0"/>
        <w:adjustRightInd w:val="0"/>
        <w:spacing w:after="0" w:line="240" w:lineRule="auto"/>
        <w:jc w:val="both"/>
        <w:rPr>
          <w:rFonts w:ascii="Verdana" w:hAnsi="Verdana"/>
          <w:b/>
          <w:sz w:val="20"/>
          <w:szCs w:val="20"/>
          <w:lang w:val="en-US"/>
        </w:rPr>
      </w:pPr>
    </w:p>
    <w:p w14:paraId="2A6A3EF8" w14:textId="77777777" w:rsidR="0017063C" w:rsidRPr="00EA6C7A" w:rsidRDefault="0017063C" w:rsidP="0017063C">
      <w:pPr>
        <w:pStyle w:val="Sentencia2"/>
        <w:spacing w:line="240" w:lineRule="auto"/>
        <w:jc w:val="both"/>
        <w:rPr>
          <w:lang w:val="en-US"/>
        </w:rPr>
      </w:pPr>
      <w:bookmarkStart w:id="77" w:name="_Toc26002324"/>
      <w:r w:rsidRPr="00EA6C7A">
        <w:rPr>
          <w:lang w:val="en-US"/>
        </w:rPr>
        <w:t xml:space="preserve">B.3. </w:t>
      </w:r>
      <w:r w:rsidR="00951B49" w:rsidRPr="00EA6C7A">
        <w:rPr>
          <w:lang w:val="en-US"/>
        </w:rPr>
        <w:t xml:space="preserve">Discrimination </w:t>
      </w:r>
      <w:r w:rsidR="00820F4E" w:rsidRPr="00EA6C7A">
        <w:rPr>
          <w:lang w:val="en-US"/>
        </w:rPr>
        <w:t>due to stereotyping</w:t>
      </w:r>
      <w:r w:rsidR="00951B49" w:rsidRPr="00EA6C7A">
        <w:rPr>
          <w:lang w:val="en-US"/>
        </w:rPr>
        <w:t xml:space="preserve"> and </w:t>
      </w:r>
      <w:r w:rsidR="00F15019" w:rsidRPr="00EA6C7A">
        <w:rPr>
          <w:lang w:val="en-US"/>
        </w:rPr>
        <w:t>an investigation that lacked a gender perspective</w:t>
      </w:r>
      <w:bookmarkEnd w:id="77"/>
    </w:p>
    <w:p w14:paraId="48FE73FB" w14:textId="77777777" w:rsidR="0017063C" w:rsidRPr="00EA6C7A" w:rsidRDefault="0017063C" w:rsidP="0017063C">
      <w:pPr>
        <w:autoSpaceDE w:val="0"/>
        <w:autoSpaceDN w:val="0"/>
        <w:adjustRightInd w:val="0"/>
        <w:spacing w:after="0" w:line="240" w:lineRule="auto"/>
        <w:jc w:val="both"/>
        <w:rPr>
          <w:rFonts w:ascii="Verdana" w:hAnsi="Verdana"/>
          <w:b/>
          <w:sz w:val="20"/>
          <w:szCs w:val="20"/>
          <w:lang w:val="en-US"/>
        </w:rPr>
      </w:pPr>
    </w:p>
    <w:p w14:paraId="64B42D63" w14:textId="77777777" w:rsidR="0017063C" w:rsidRPr="00EA6C7A" w:rsidRDefault="00820F4E" w:rsidP="00B337B2">
      <w:pPr>
        <w:numPr>
          <w:ilvl w:val="0"/>
          <w:numId w:val="3"/>
        </w:numPr>
        <w:tabs>
          <w:tab w:val="left" w:pos="720"/>
        </w:tabs>
        <w:spacing w:after="0" w:line="240" w:lineRule="auto"/>
        <w:ind w:left="0" w:firstLine="0"/>
        <w:jc w:val="both"/>
        <w:rPr>
          <w:rFonts w:ascii="Verdana" w:eastAsia="Batang" w:hAnsi="Verdana"/>
          <w:bCs/>
          <w:snapToGrid w:val="0"/>
          <w:kern w:val="32"/>
          <w:sz w:val="20"/>
          <w:szCs w:val="20"/>
          <w:lang w:val="en-US" w:eastAsia="es-ES"/>
        </w:rPr>
      </w:pPr>
      <w:r w:rsidRPr="00EA6C7A">
        <w:rPr>
          <w:rFonts w:ascii="Verdana" w:eastAsia="Times" w:hAnsi="Verdana"/>
          <w:sz w:val="20"/>
          <w:szCs w:val="20"/>
          <w:lang w:val="en-US" w:eastAsia="es-ES"/>
        </w:rPr>
        <w:t>Regarding</w:t>
      </w:r>
      <w:r w:rsidR="00F15019" w:rsidRPr="00EA6C7A">
        <w:rPr>
          <w:rFonts w:ascii="Verdana" w:eastAsia="Times" w:hAnsi="Verdana"/>
          <w:sz w:val="20"/>
          <w:szCs w:val="20"/>
          <w:lang w:val="en-US" w:eastAsia="es-ES"/>
        </w:rPr>
        <w:t xml:space="preserve"> the principle of</w:t>
      </w:r>
      <w:r w:rsidR="0017063C" w:rsidRPr="00EA6C7A">
        <w:rPr>
          <w:rFonts w:ascii="Verdana" w:eastAsia="Times" w:hAnsi="Verdana"/>
          <w:sz w:val="20"/>
          <w:szCs w:val="20"/>
          <w:lang w:val="en-US" w:eastAsia="es-ES"/>
        </w:rPr>
        <w:t xml:space="preserve"> </w:t>
      </w:r>
      <w:r w:rsidR="002D218C" w:rsidRPr="00EA6C7A">
        <w:rPr>
          <w:rFonts w:ascii="Verdana" w:eastAsia="Calibri" w:hAnsi="Verdana"/>
          <w:sz w:val="20"/>
          <w:szCs w:val="20"/>
          <w:lang w:val="en-US" w:eastAsia="es-MX"/>
        </w:rPr>
        <w:t>equality before the law</w:t>
      </w:r>
      <w:r w:rsidR="00D948A1" w:rsidRPr="00EA6C7A">
        <w:rPr>
          <w:rFonts w:ascii="Verdana" w:eastAsia="Times" w:hAnsi="Verdana"/>
          <w:sz w:val="20"/>
          <w:szCs w:val="20"/>
          <w:lang w:val="en-US" w:eastAsia="es-ES"/>
        </w:rPr>
        <w:t xml:space="preserve"> and </w:t>
      </w:r>
      <w:r w:rsidR="00F15019" w:rsidRPr="00EA6C7A">
        <w:rPr>
          <w:rFonts w:ascii="Verdana" w:eastAsia="Times" w:hAnsi="Verdana"/>
          <w:sz w:val="20"/>
          <w:szCs w:val="20"/>
          <w:lang w:val="en-US" w:eastAsia="es-ES"/>
        </w:rPr>
        <w:t>non-discrimination</w:t>
      </w:r>
      <w:r w:rsidR="0017063C" w:rsidRPr="00EA6C7A">
        <w:rPr>
          <w:rFonts w:ascii="Verdana" w:eastAsia="Times" w:hAnsi="Verdana"/>
          <w:sz w:val="20"/>
          <w:szCs w:val="20"/>
          <w:lang w:val="en-US" w:eastAsia="es-ES"/>
        </w:rPr>
        <w:t xml:space="preserve">, </w:t>
      </w:r>
      <w:r w:rsidR="0096418F" w:rsidRPr="00EA6C7A">
        <w:rPr>
          <w:rFonts w:ascii="Verdana" w:eastAsia="Times" w:hAnsi="Verdana"/>
          <w:sz w:val="20"/>
          <w:szCs w:val="20"/>
          <w:lang w:val="en-US" w:eastAsia="es-ES"/>
        </w:rPr>
        <w:t>the Court</w:t>
      </w:r>
      <w:r w:rsidR="0017063C" w:rsidRPr="00EA6C7A">
        <w:rPr>
          <w:rFonts w:ascii="Verdana" w:eastAsia="Times" w:hAnsi="Verdana"/>
          <w:sz w:val="20"/>
          <w:szCs w:val="20"/>
          <w:lang w:val="en-US" w:eastAsia="es-ES"/>
        </w:rPr>
        <w:t xml:space="preserve"> ha</w:t>
      </w:r>
      <w:r w:rsidR="00B337B2" w:rsidRPr="00EA6C7A">
        <w:rPr>
          <w:rFonts w:ascii="Verdana" w:eastAsia="Times" w:hAnsi="Verdana"/>
          <w:sz w:val="20"/>
          <w:szCs w:val="20"/>
          <w:lang w:val="en-US" w:eastAsia="es-ES"/>
        </w:rPr>
        <w:t>s indicated that the “</w:t>
      </w:r>
      <w:r w:rsidR="00B337B2" w:rsidRPr="00EA6C7A">
        <w:rPr>
          <w:rFonts w:ascii="Verdana" w:eastAsia="Batang" w:hAnsi="Verdana"/>
          <w:bCs/>
          <w:snapToGrid w:val="0"/>
          <w:kern w:val="32"/>
          <w:sz w:val="20"/>
          <w:szCs w:val="20"/>
          <w:lang w:val="en-US" w:eastAsia="es-ES"/>
        </w:rPr>
        <w:t>n</w:t>
      </w:r>
      <w:r w:rsidR="00B337B2" w:rsidRPr="00EA6C7A">
        <w:rPr>
          <w:rFonts w:ascii="Verdana" w:hAnsi="Verdana" w:cs="Arial"/>
          <w:sz w:val="20"/>
          <w:szCs w:val="20"/>
          <w:lang w:val="en-US"/>
        </w:rPr>
        <w:t>otion of equality springs directly from the oneness of the human species and is linked to the essential dignity of the individual.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w:t>
      </w:r>
      <w:r w:rsidR="00B337B2" w:rsidRPr="00EA6C7A">
        <w:rPr>
          <w:rFonts w:ascii="Verdana" w:eastAsia="Batang" w:hAnsi="Verdana"/>
          <w:bCs/>
          <w:snapToGrid w:val="0"/>
          <w:kern w:val="32"/>
          <w:sz w:val="20"/>
          <w:szCs w:val="20"/>
          <w:lang w:val="en-US" w:eastAsia="es-ES"/>
        </w:rPr>
        <w:t>”</w:t>
      </w:r>
      <w:r w:rsidR="0017063C" w:rsidRPr="00EA6C7A">
        <w:rPr>
          <w:rFonts w:ascii="Verdana" w:eastAsia="Times" w:hAnsi="Verdana"/>
          <w:sz w:val="20"/>
          <w:szCs w:val="20"/>
          <w:vertAlign w:val="superscript"/>
          <w:lang w:val="en-US" w:eastAsia="es-ES"/>
        </w:rPr>
        <w:footnoteReference w:id="268"/>
      </w:r>
      <w:r w:rsidR="00B337B2" w:rsidRPr="00EA6C7A">
        <w:rPr>
          <w:rFonts w:ascii="Verdana" w:eastAsia="Times" w:hAnsi="Verdana"/>
          <w:sz w:val="20"/>
          <w:szCs w:val="20"/>
          <w:lang w:val="en-US" w:eastAsia="es-ES"/>
        </w:rPr>
        <w:t xml:space="preserve"> At the current stage of evolution of international law, the fundamental principle of equality and</w:t>
      </w:r>
      <w:r w:rsidR="0017063C" w:rsidRPr="00EA6C7A">
        <w:rPr>
          <w:rFonts w:ascii="Verdana" w:eastAsia="Times" w:hAnsi="Verdana"/>
          <w:sz w:val="20"/>
          <w:szCs w:val="20"/>
          <w:lang w:val="en-US" w:eastAsia="es-ES"/>
        </w:rPr>
        <w:t xml:space="preserve"> </w:t>
      </w:r>
      <w:r w:rsidR="00B337B2" w:rsidRPr="00EA6C7A">
        <w:rPr>
          <w:rFonts w:ascii="Verdana" w:eastAsia="Calibri" w:hAnsi="Verdana"/>
          <w:sz w:val="20"/>
          <w:szCs w:val="20"/>
          <w:lang w:val="en-US" w:eastAsia="es-MX"/>
        </w:rPr>
        <w:t>non-discrimination</w:t>
      </w:r>
      <w:r w:rsidR="0017063C" w:rsidRPr="00EA6C7A">
        <w:rPr>
          <w:rFonts w:ascii="Verdana" w:eastAsia="Calibri" w:hAnsi="Verdana"/>
          <w:sz w:val="20"/>
          <w:szCs w:val="20"/>
          <w:lang w:val="en-US" w:eastAsia="es-MX"/>
        </w:rPr>
        <w:t xml:space="preserve"> ha</w:t>
      </w:r>
      <w:r w:rsidR="00B337B2" w:rsidRPr="00EA6C7A">
        <w:rPr>
          <w:rFonts w:ascii="Verdana" w:eastAsia="Calibri" w:hAnsi="Verdana"/>
          <w:sz w:val="20"/>
          <w:szCs w:val="20"/>
          <w:lang w:val="en-US" w:eastAsia="es-MX"/>
        </w:rPr>
        <w:t>s become part of</w:t>
      </w:r>
      <w:r w:rsidR="0017063C" w:rsidRPr="00EA6C7A">
        <w:rPr>
          <w:rFonts w:ascii="Verdana" w:eastAsia="Calibri" w:hAnsi="Verdana"/>
          <w:sz w:val="20"/>
          <w:szCs w:val="20"/>
          <w:lang w:val="en-US" w:eastAsia="es-MX"/>
        </w:rPr>
        <w:t xml:space="preserve"> </w:t>
      </w:r>
      <w:r w:rsidR="0017063C" w:rsidRPr="00EA6C7A">
        <w:rPr>
          <w:rFonts w:ascii="Verdana" w:eastAsia="Calibri" w:hAnsi="Verdana"/>
          <w:i/>
          <w:sz w:val="20"/>
          <w:szCs w:val="20"/>
          <w:lang w:val="en-US" w:eastAsia="es-MX"/>
        </w:rPr>
        <w:t>jus cogens</w:t>
      </w:r>
      <w:r w:rsidR="0017063C" w:rsidRPr="00EA6C7A">
        <w:rPr>
          <w:rFonts w:ascii="Verdana" w:eastAsia="Calibri" w:hAnsi="Verdana"/>
          <w:sz w:val="20"/>
          <w:szCs w:val="20"/>
          <w:lang w:val="en-US" w:eastAsia="es-MX"/>
        </w:rPr>
        <w:t>.</w:t>
      </w:r>
      <w:r w:rsidR="0017063C" w:rsidRPr="00EA6C7A">
        <w:rPr>
          <w:rFonts w:ascii="Verdana" w:eastAsia="Calibri" w:hAnsi="Verdana"/>
          <w:i/>
          <w:sz w:val="20"/>
          <w:szCs w:val="20"/>
          <w:lang w:val="en-US" w:eastAsia="es-MX"/>
        </w:rPr>
        <w:t xml:space="preserve"> </w:t>
      </w:r>
      <w:r w:rsidR="00B337B2" w:rsidRPr="00EA6C7A">
        <w:rPr>
          <w:rFonts w:ascii="Verdana" w:eastAsia="Calibri" w:hAnsi="Verdana"/>
          <w:sz w:val="20"/>
          <w:szCs w:val="20"/>
          <w:lang w:val="en-US" w:eastAsia="es-MX"/>
        </w:rPr>
        <w:t xml:space="preserve">It underlies the legal structure of national and international public order and permeates the whole legal order. States must abstain from acting in any way that is addressed, directly or indirectly, at creating situation of discrimination </w:t>
      </w:r>
      <w:r w:rsidR="0017063C" w:rsidRPr="00EA6C7A">
        <w:rPr>
          <w:rFonts w:ascii="Verdana" w:eastAsia="Calibri" w:hAnsi="Verdana"/>
          <w:i/>
          <w:sz w:val="20"/>
          <w:szCs w:val="20"/>
          <w:lang w:val="en-US" w:eastAsia="es-MX"/>
        </w:rPr>
        <w:t>de jure</w:t>
      </w:r>
      <w:r w:rsidR="0017063C" w:rsidRPr="00EA6C7A">
        <w:rPr>
          <w:rFonts w:ascii="Verdana" w:eastAsia="Calibri" w:hAnsi="Verdana"/>
          <w:sz w:val="20"/>
          <w:szCs w:val="20"/>
          <w:lang w:val="en-US" w:eastAsia="es-MX"/>
        </w:rPr>
        <w:t xml:space="preserve"> o</w:t>
      </w:r>
      <w:r w:rsidR="00B337B2" w:rsidRPr="00EA6C7A">
        <w:rPr>
          <w:rFonts w:ascii="Verdana" w:eastAsia="Calibri" w:hAnsi="Verdana"/>
          <w:sz w:val="20"/>
          <w:szCs w:val="20"/>
          <w:lang w:val="en-US" w:eastAsia="es-MX"/>
        </w:rPr>
        <w:t>r</w:t>
      </w:r>
      <w:r w:rsidR="0017063C" w:rsidRPr="00EA6C7A">
        <w:rPr>
          <w:rFonts w:ascii="Verdana" w:eastAsia="Calibri" w:hAnsi="Verdana"/>
          <w:sz w:val="20"/>
          <w:szCs w:val="20"/>
          <w:lang w:val="en-US" w:eastAsia="es-MX"/>
        </w:rPr>
        <w:t xml:space="preserve"> </w:t>
      </w:r>
      <w:r w:rsidR="0017063C" w:rsidRPr="00EA6C7A">
        <w:rPr>
          <w:rFonts w:ascii="Verdana" w:eastAsia="Calibri" w:hAnsi="Verdana"/>
          <w:i/>
          <w:sz w:val="20"/>
          <w:szCs w:val="20"/>
          <w:lang w:val="en-US" w:eastAsia="es-MX"/>
        </w:rPr>
        <w:t>de facto</w:t>
      </w:r>
      <w:r w:rsidR="00B337B2" w:rsidRPr="00EA6C7A">
        <w:rPr>
          <w:rFonts w:ascii="Verdana" w:eastAsia="Calibri" w:hAnsi="Verdana"/>
          <w:i/>
          <w:sz w:val="20"/>
          <w:szCs w:val="20"/>
          <w:lang w:val="en-US" w:eastAsia="es-MX"/>
        </w:rPr>
        <w:t>.</w:t>
      </w:r>
      <w:r w:rsidR="0017063C" w:rsidRPr="00EA6C7A">
        <w:rPr>
          <w:rFonts w:ascii="Verdana" w:eastAsia="Calibri" w:hAnsi="Verdana"/>
          <w:sz w:val="20"/>
          <w:szCs w:val="20"/>
          <w:vertAlign w:val="superscript"/>
          <w:lang w:val="en-US" w:eastAsia="es-MX"/>
        </w:rPr>
        <w:footnoteReference w:id="269"/>
      </w:r>
    </w:p>
    <w:p w14:paraId="6F3E1A8F" w14:textId="77777777" w:rsidR="0017063C" w:rsidRPr="00EA6C7A" w:rsidRDefault="0017063C" w:rsidP="00F15019">
      <w:pPr>
        <w:tabs>
          <w:tab w:val="left" w:pos="720"/>
        </w:tabs>
        <w:autoSpaceDE w:val="0"/>
        <w:autoSpaceDN w:val="0"/>
        <w:adjustRightInd w:val="0"/>
        <w:spacing w:after="0" w:line="240" w:lineRule="auto"/>
        <w:jc w:val="both"/>
        <w:rPr>
          <w:rFonts w:ascii="Verdana" w:hAnsi="Verdana"/>
          <w:bCs/>
          <w:snapToGrid w:val="0"/>
          <w:kern w:val="32"/>
          <w:sz w:val="20"/>
          <w:szCs w:val="20"/>
          <w:lang w:val="en-US" w:eastAsia="es-ES"/>
        </w:rPr>
      </w:pPr>
    </w:p>
    <w:p w14:paraId="3C8DD9DC" w14:textId="77777777" w:rsidR="0017063C" w:rsidRPr="00EA6C7A" w:rsidRDefault="0096418F" w:rsidP="00266F35">
      <w:pPr>
        <w:numPr>
          <w:ilvl w:val="0"/>
          <w:numId w:val="3"/>
        </w:numPr>
        <w:tabs>
          <w:tab w:val="left" w:pos="720"/>
        </w:tabs>
        <w:spacing w:after="0" w:line="240" w:lineRule="auto"/>
        <w:ind w:left="0" w:firstLine="0"/>
        <w:jc w:val="both"/>
        <w:rPr>
          <w:rFonts w:ascii="Verdana" w:eastAsia="Batang" w:hAnsi="Verdana"/>
          <w:bCs/>
          <w:snapToGrid w:val="0"/>
          <w:kern w:val="32"/>
          <w:sz w:val="20"/>
          <w:szCs w:val="20"/>
          <w:lang w:val="en-US" w:eastAsia="es-ES"/>
        </w:rPr>
      </w:pPr>
      <w:r w:rsidRPr="00EA6C7A">
        <w:rPr>
          <w:rFonts w:ascii="Verdana" w:eastAsia="Calibri" w:hAnsi="Verdana"/>
          <w:sz w:val="20"/>
          <w:szCs w:val="20"/>
          <w:lang w:val="en-US" w:eastAsia="es-MX"/>
        </w:rPr>
        <w:t>The Court</w:t>
      </w:r>
      <w:r w:rsidR="0017063C" w:rsidRPr="00EA6C7A">
        <w:rPr>
          <w:rFonts w:ascii="Verdana" w:eastAsia="Calibri" w:hAnsi="Verdana"/>
          <w:sz w:val="20"/>
          <w:szCs w:val="20"/>
          <w:lang w:val="en-US" w:eastAsia="es-MX"/>
        </w:rPr>
        <w:t xml:space="preserve"> ha</w:t>
      </w:r>
      <w:r w:rsidR="00B337B2" w:rsidRPr="00EA6C7A">
        <w:rPr>
          <w:rFonts w:ascii="Verdana" w:eastAsia="Calibri" w:hAnsi="Verdana"/>
          <w:sz w:val="20"/>
          <w:szCs w:val="20"/>
          <w:lang w:val="en-US" w:eastAsia="es-MX"/>
        </w:rPr>
        <w:t>s indicated that, while the general obligation</w:t>
      </w:r>
      <w:r w:rsidR="0017063C" w:rsidRPr="00EA6C7A">
        <w:rPr>
          <w:rFonts w:ascii="Verdana" w:eastAsia="Calibri" w:hAnsi="Verdana"/>
          <w:sz w:val="20"/>
          <w:szCs w:val="20"/>
          <w:lang w:val="en-US" w:eastAsia="es-MX"/>
        </w:rPr>
        <w:t xml:space="preserve"> </w:t>
      </w:r>
      <w:r w:rsidR="001914FC" w:rsidRPr="00EA6C7A">
        <w:rPr>
          <w:rFonts w:ascii="Verdana" w:eastAsia="Calibri" w:hAnsi="Verdana"/>
          <w:sz w:val="20"/>
          <w:szCs w:val="20"/>
          <w:lang w:val="en-US" w:eastAsia="es-MX"/>
        </w:rPr>
        <w:t>of Article</w:t>
      </w:r>
      <w:r w:rsidR="00515C34" w:rsidRPr="00EA6C7A">
        <w:rPr>
          <w:rFonts w:ascii="Verdana" w:eastAsia="Calibri" w:hAnsi="Verdana"/>
          <w:sz w:val="20"/>
          <w:szCs w:val="20"/>
          <w:lang w:val="en-US" w:eastAsia="es-MX"/>
        </w:rPr>
        <w:t xml:space="preserve"> 1(1)</w:t>
      </w:r>
      <w:r w:rsidRPr="00EA6C7A">
        <w:rPr>
          <w:rFonts w:ascii="Verdana" w:eastAsia="Calibri" w:hAnsi="Verdana"/>
          <w:sz w:val="20"/>
          <w:szCs w:val="20"/>
          <w:lang w:val="en-US" w:eastAsia="es-MX"/>
        </w:rPr>
        <w:t xml:space="preserve"> of the American Convention</w:t>
      </w:r>
      <w:r w:rsidR="00B337B2" w:rsidRPr="00EA6C7A">
        <w:rPr>
          <w:rFonts w:ascii="Verdana" w:eastAsia="Calibri" w:hAnsi="Verdana"/>
          <w:sz w:val="20"/>
          <w:szCs w:val="20"/>
          <w:lang w:val="en-US" w:eastAsia="es-MX"/>
        </w:rPr>
        <w:t xml:space="preserve"> refers to the duty of States to respect and ensure “without discrimination” the rights contained in th</w:t>
      </w:r>
      <w:r w:rsidR="00266F35" w:rsidRPr="00EA6C7A">
        <w:rPr>
          <w:rFonts w:ascii="Verdana" w:eastAsia="Calibri" w:hAnsi="Verdana"/>
          <w:sz w:val="20"/>
          <w:szCs w:val="20"/>
          <w:lang w:val="en-US" w:eastAsia="es-MX"/>
        </w:rPr>
        <w:t xml:space="preserve">is treaty, </w:t>
      </w:r>
      <w:r w:rsidRPr="00EA6C7A">
        <w:rPr>
          <w:rFonts w:ascii="Verdana" w:eastAsia="Calibri" w:hAnsi="Verdana"/>
          <w:sz w:val="20"/>
          <w:szCs w:val="20"/>
          <w:lang w:val="en-US" w:eastAsia="es-MX"/>
        </w:rPr>
        <w:t>Article</w:t>
      </w:r>
      <w:r w:rsidR="0017063C" w:rsidRPr="00EA6C7A">
        <w:rPr>
          <w:rFonts w:ascii="Verdana" w:eastAsia="Calibri" w:hAnsi="Verdana"/>
          <w:sz w:val="20"/>
          <w:szCs w:val="20"/>
          <w:lang w:val="en-US" w:eastAsia="es-MX"/>
        </w:rPr>
        <w:t xml:space="preserve"> 24 prote</w:t>
      </w:r>
      <w:r w:rsidR="00266F35" w:rsidRPr="00EA6C7A">
        <w:rPr>
          <w:rFonts w:ascii="Verdana" w:eastAsia="Calibri" w:hAnsi="Verdana"/>
          <w:sz w:val="20"/>
          <w:szCs w:val="20"/>
          <w:lang w:val="en-US" w:eastAsia="es-MX"/>
        </w:rPr>
        <w:t>cts the right to</w:t>
      </w:r>
      <w:r w:rsidR="0017063C" w:rsidRPr="00EA6C7A">
        <w:rPr>
          <w:rFonts w:ascii="Verdana" w:eastAsia="Calibri" w:hAnsi="Verdana"/>
          <w:sz w:val="20"/>
          <w:szCs w:val="20"/>
          <w:lang w:val="en-US" w:eastAsia="es-MX"/>
        </w:rPr>
        <w:t xml:space="preserve"> “</w:t>
      </w:r>
      <w:r w:rsidR="00266F35" w:rsidRPr="00EA6C7A">
        <w:rPr>
          <w:rFonts w:ascii="Verdana" w:eastAsia="Calibri" w:hAnsi="Verdana"/>
          <w:sz w:val="20"/>
          <w:szCs w:val="20"/>
          <w:lang w:val="en-US" w:eastAsia="es-MX"/>
        </w:rPr>
        <w:t>equal protection of the law.</w:t>
      </w:r>
      <w:r w:rsidR="0017063C" w:rsidRPr="00EA6C7A">
        <w:rPr>
          <w:rFonts w:ascii="Verdana" w:eastAsia="Calibri" w:hAnsi="Verdana"/>
          <w:sz w:val="20"/>
          <w:szCs w:val="20"/>
          <w:lang w:val="en-US" w:eastAsia="es-MX"/>
        </w:rPr>
        <w:t>”</w:t>
      </w:r>
      <w:r w:rsidR="0017063C" w:rsidRPr="00EA6C7A">
        <w:rPr>
          <w:rFonts w:ascii="Verdana" w:eastAsia="Calibri" w:hAnsi="Verdana"/>
          <w:sz w:val="20"/>
          <w:szCs w:val="20"/>
          <w:vertAlign w:val="superscript"/>
          <w:lang w:val="en-US" w:eastAsia="es-MX"/>
        </w:rPr>
        <w:footnoteReference w:id="270"/>
      </w:r>
      <w:r w:rsidR="0017063C" w:rsidRPr="00EA6C7A">
        <w:rPr>
          <w:rFonts w:ascii="Verdana" w:eastAsia="Calibri" w:hAnsi="Verdana"/>
          <w:sz w:val="20"/>
          <w:szCs w:val="20"/>
          <w:lang w:val="en-US" w:eastAsia="es-MX"/>
        </w:rPr>
        <w:t xml:space="preserve"> </w:t>
      </w:r>
      <w:r w:rsidR="0092568A" w:rsidRPr="00EA6C7A">
        <w:rPr>
          <w:rFonts w:ascii="Verdana" w:eastAsia="Calibri" w:hAnsi="Verdana"/>
          <w:sz w:val="20"/>
          <w:szCs w:val="20"/>
          <w:lang w:val="en-US" w:eastAsia="es-MX"/>
        </w:rPr>
        <w:t>Article</w:t>
      </w:r>
      <w:r w:rsidR="0017063C" w:rsidRPr="00EA6C7A">
        <w:rPr>
          <w:rFonts w:ascii="Verdana" w:eastAsia="Calibri" w:hAnsi="Verdana"/>
          <w:sz w:val="20"/>
          <w:szCs w:val="20"/>
          <w:lang w:val="en-US" w:eastAsia="es-MX"/>
        </w:rPr>
        <w:t xml:space="preserve"> 24</w:t>
      </w:r>
      <w:r w:rsidRPr="00EA6C7A">
        <w:rPr>
          <w:rFonts w:ascii="Verdana" w:eastAsia="Calibri" w:hAnsi="Verdana"/>
          <w:sz w:val="20"/>
          <w:szCs w:val="20"/>
          <w:lang w:val="en-US" w:eastAsia="es-MX"/>
        </w:rPr>
        <w:t xml:space="preserve"> of the American Convention</w:t>
      </w:r>
      <w:r w:rsidR="0017063C" w:rsidRPr="00EA6C7A">
        <w:rPr>
          <w:rFonts w:ascii="Verdana" w:eastAsia="Calibri" w:hAnsi="Verdana"/>
          <w:sz w:val="20"/>
          <w:szCs w:val="20"/>
          <w:lang w:val="en-US" w:eastAsia="es-MX"/>
        </w:rPr>
        <w:t xml:space="preserve"> proh</w:t>
      </w:r>
      <w:r w:rsidR="00266F35" w:rsidRPr="00EA6C7A">
        <w:rPr>
          <w:rFonts w:ascii="Verdana" w:eastAsia="Calibri" w:hAnsi="Verdana"/>
          <w:sz w:val="20"/>
          <w:szCs w:val="20"/>
          <w:lang w:val="en-US" w:eastAsia="es-MX"/>
        </w:rPr>
        <w:t xml:space="preserve">ibits discrimination, </w:t>
      </w:r>
      <w:r w:rsidR="00266F35" w:rsidRPr="00EA6C7A">
        <w:rPr>
          <w:rFonts w:ascii="Verdana" w:eastAsia="Calibri" w:hAnsi="Verdana"/>
          <w:i/>
          <w:sz w:val="20"/>
          <w:szCs w:val="20"/>
          <w:lang w:val="en-US" w:eastAsia="es-MX"/>
        </w:rPr>
        <w:t>de jure</w:t>
      </w:r>
      <w:r w:rsidR="00266F35" w:rsidRPr="00EA6C7A">
        <w:rPr>
          <w:rFonts w:ascii="Verdana" w:eastAsia="Calibri" w:hAnsi="Verdana"/>
          <w:sz w:val="20"/>
          <w:szCs w:val="20"/>
          <w:lang w:val="en-US" w:eastAsia="es-MX"/>
        </w:rPr>
        <w:t xml:space="preserve"> or </w:t>
      </w:r>
      <w:r w:rsidR="00266F35" w:rsidRPr="00EA6C7A">
        <w:rPr>
          <w:rFonts w:ascii="Verdana" w:eastAsia="Calibri" w:hAnsi="Verdana"/>
          <w:i/>
          <w:sz w:val="20"/>
          <w:szCs w:val="20"/>
          <w:lang w:val="en-US" w:eastAsia="es-MX"/>
        </w:rPr>
        <w:t xml:space="preserve">de facto, </w:t>
      </w:r>
      <w:r w:rsidR="00266F35" w:rsidRPr="00EA6C7A">
        <w:rPr>
          <w:rFonts w:ascii="Verdana" w:eastAsia="Calibri" w:hAnsi="Verdana"/>
          <w:iCs/>
          <w:sz w:val="20"/>
          <w:szCs w:val="20"/>
          <w:lang w:val="en-US" w:eastAsia="es-MX"/>
        </w:rPr>
        <w:t xml:space="preserve">not only with regard to the rights established therein, but also with regard to all the laws enacted by the State and their </w:t>
      </w:r>
      <w:r w:rsidR="00B34F0C" w:rsidRPr="00EA6C7A">
        <w:rPr>
          <w:rFonts w:ascii="Verdana" w:eastAsia="Calibri" w:hAnsi="Verdana"/>
          <w:iCs/>
          <w:sz w:val="20"/>
          <w:szCs w:val="20"/>
          <w:lang w:val="en-US" w:eastAsia="es-MX"/>
        </w:rPr>
        <w:t>enforcement</w:t>
      </w:r>
      <w:r w:rsidR="00266F35" w:rsidRPr="00EA6C7A">
        <w:rPr>
          <w:rFonts w:ascii="Verdana" w:eastAsia="Calibri" w:hAnsi="Verdana"/>
          <w:iCs/>
          <w:sz w:val="20"/>
          <w:szCs w:val="20"/>
          <w:lang w:val="en-US" w:eastAsia="es-MX"/>
        </w:rPr>
        <w:t xml:space="preserve">. In other words, it is not limited to reiterating the provisions of </w:t>
      </w:r>
      <w:r w:rsidR="00515C34" w:rsidRPr="00EA6C7A">
        <w:rPr>
          <w:rFonts w:ascii="Verdana" w:eastAsia="Calibri" w:hAnsi="Verdana"/>
          <w:sz w:val="20"/>
          <w:szCs w:val="20"/>
          <w:lang w:val="en-US" w:eastAsia="es-MX"/>
        </w:rPr>
        <w:t>Article 1(1)</w:t>
      </w:r>
      <w:r w:rsidRPr="00EA6C7A">
        <w:rPr>
          <w:rFonts w:ascii="Verdana" w:eastAsia="Calibri" w:hAnsi="Verdana"/>
          <w:sz w:val="20"/>
          <w:szCs w:val="20"/>
          <w:lang w:val="en-US" w:eastAsia="es-MX"/>
        </w:rPr>
        <w:t xml:space="preserve"> of the Convention</w:t>
      </w:r>
      <w:r w:rsidR="0017063C" w:rsidRPr="00EA6C7A">
        <w:rPr>
          <w:rFonts w:ascii="Verdana" w:eastAsia="Calibri" w:hAnsi="Verdana"/>
          <w:sz w:val="20"/>
          <w:szCs w:val="20"/>
          <w:lang w:val="en-US" w:eastAsia="es-MX"/>
        </w:rPr>
        <w:t xml:space="preserve"> </w:t>
      </w:r>
      <w:r w:rsidR="00266F35" w:rsidRPr="00EA6C7A">
        <w:rPr>
          <w:rFonts w:ascii="Verdana" w:eastAsia="Calibri" w:hAnsi="Verdana"/>
          <w:sz w:val="20"/>
          <w:szCs w:val="20"/>
          <w:lang w:val="en-US" w:eastAsia="es-MX"/>
        </w:rPr>
        <w:t xml:space="preserve">regarding the State obligation to respect and ensure, without discrimination, the rights recognized in this treaty, but establishes a right that also entails an obligation for the State to respect and ensure the principle of equality </w:t>
      </w:r>
      <w:r w:rsidR="00D948A1" w:rsidRPr="00EA6C7A">
        <w:rPr>
          <w:rFonts w:ascii="Verdana" w:eastAsia="Calibri" w:hAnsi="Verdana"/>
          <w:sz w:val="20"/>
          <w:szCs w:val="20"/>
          <w:lang w:val="en-US" w:eastAsia="es-MX"/>
        </w:rPr>
        <w:t xml:space="preserve">and </w:t>
      </w:r>
      <w:r w:rsidR="00B337B2" w:rsidRPr="00EA6C7A">
        <w:rPr>
          <w:rFonts w:ascii="Verdana" w:eastAsia="Calibri" w:hAnsi="Verdana"/>
          <w:sz w:val="20"/>
          <w:szCs w:val="20"/>
          <w:lang w:val="en-US" w:eastAsia="es-MX"/>
        </w:rPr>
        <w:t>non-discrimination</w:t>
      </w:r>
      <w:r w:rsidR="0017063C" w:rsidRPr="00EA6C7A">
        <w:rPr>
          <w:rFonts w:ascii="Verdana" w:eastAsia="Calibri" w:hAnsi="Verdana"/>
          <w:sz w:val="20"/>
          <w:szCs w:val="20"/>
          <w:lang w:val="en-US" w:eastAsia="es-MX"/>
        </w:rPr>
        <w:t xml:space="preserve"> </w:t>
      </w:r>
      <w:r w:rsidR="00266F35" w:rsidRPr="00EA6C7A">
        <w:rPr>
          <w:rFonts w:ascii="Verdana" w:eastAsia="Calibri" w:hAnsi="Verdana"/>
          <w:sz w:val="20"/>
          <w:szCs w:val="20"/>
          <w:lang w:val="en-US" w:eastAsia="es-MX"/>
        </w:rPr>
        <w:t xml:space="preserve">in the safeguard of </w:t>
      </w:r>
      <w:r w:rsidR="00266F35" w:rsidRPr="00EA6C7A">
        <w:rPr>
          <w:rFonts w:ascii="Verdana" w:eastAsia="Calibri" w:hAnsi="Verdana"/>
          <w:sz w:val="20"/>
          <w:szCs w:val="20"/>
          <w:lang w:val="en-US" w:eastAsia="es-MX"/>
        </w:rPr>
        <w:lastRenderedPageBreak/>
        <w:t>other rights and in all domestic laws that are enacted.</w:t>
      </w:r>
      <w:r w:rsidR="0017063C" w:rsidRPr="00EA6C7A">
        <w:rPr>
          <w:rFonts w:ascii="Verdana" w:eastAsia="Batang" w:hAnsi="Verdana"/>
          <w:sz w:val="20"/>
          <w:szCs w:val="20"/>
          <w:vertAlign w:val="superscript"/>
          <w:lang w:val="en-US" w:eastAsia="es-MX"/>
        </w:rPr>
        <w:footnoteReference w:id="271"/>
      </w:r>
      <w:r w:rsidR="0017063C" w:rsidRPr="00EA6C7A">
        <w:rPr>
          <w:rFonts w:ascii="Verdana" w:eastAsia="Calibri" w:hAnsi="Verdana"/>
          <w:sz w:val="20"/>
          <w:szCs w:val="20"/>
          <w:lang w:val="en-US" w:eastAsia="es-ES"/>
        </w:rPr>
        <w:t xml:space="preserve"> </w:t>
      </w:r>
      <w:r w:rsidR="00266F35" w:rsidRPr="00EA6C7A">
        <w:rPr>
          <w:rFonts w:ascii="Verdana" w:eastAsia="Calibri" w:hAnsi="Verdana"/>
          <w:sz w:val="20"/>
          <w:szCs w:val="20"/>
          <w:lang w:val="en-US" w:eastAsia="es-ES"/>
        </w:rPr>
        <w:t xml:space="preserve">In essence, the Court has affirmed that if a State discriminates in respecting or ensuring a Convention right, it would be violating </w:t>
      </w:r>
      <w:r w:rsidR="00515C34" w:rsidRPr="00EA6C7A">
        <w:rPr>
          <w:rFonts w:ascii="Verdana" w:eastAsia="Calibri" w:hAnsi="Verdana"/>
          <w:sz w:val="20"/>
          <w:szCs w:val="20"/>
          <w:lang w:val="en-US" w:eastAsia="de-DE"/>
        </w:rPr>
        <w:t>Article 1(1)</w:t>
      </w:r>
      <w:r w:rsidR="00D948A1" w:rsidRPr="00EA6C7A">
        <w:rPr>
          <w:rFonts w:ascii="Verdana" w:eastAsia="Calibri" w:hAnsi="Verdana"/>
          <w:sz w:val="20"/>
          <w:szCs w:val="20"/>
          <w:lang w:val="en-US" w:eastAsia="de-DE"/>
        </w:rPr>
        <w:t xml:space="preserve"> and </w:t>
      </w:r>
      <w:r w:rsidR="00266F35" w:rsidRPr="00EA6C7A">
        <w:rPr>
          <w:rFonts w:ascii="Verdana" w:eastAsia="Calibri" w:hAnsi="Verdana"/>
          <w:sz w:val="20"/>
          <w:szCs w:val="20"/>
          <w:lang w:val="en-US" w:eastAsia="de-DE"/>
        </w:rPr>
        <w:t xml:space="preserve">the substantive right in question. If, to the contrary, the discrimination refers to an unequal protection of domestic law or its </w:t>
      </w:r>
      <w:r w:rsidR="00B34F0C" w:rsidRPr="00EA6C7A">
        <w:rPr>
          <w:rFonts w:ascii="Verdana" w:eastAsia="Calibri" w:hAnsi="Verdana"/>
          <w:sz w:val="20"/>
          <w:szCs w:val="20"/>
          <w:lang w:val="en-US" w:eastAsia="de-DE"/>
        </w:rPr>
        <w:t>enforcement</w:t>
      </w:r>
      <w:r w:rsidR="00266F35" w:rsidRPr="00EA6C7A">
        <w:rPr>
          <w:rFonts w:ascii="Verdana" w:eastAsia="Calibri" w:hAnsi="Verdana"/>
          <w:sz w:val="20"/>
          <w:szCs w:val="20"/>
          <w:lang w:val="en-US" w:eastAsia="de-DE"/>
        </w:rPr>
        <w:t xml:space="preserve">, the fact must be examined in light </w:t>
      </w:r>
      <w:r w:rsidR="001914FC" w:rsidRPr="00EA6C7A">
        <w:rPr>
          <w:rFonts w:ascii="Verdana" w:eastAsia="Batang" w:hAnsi="Verdana"/>
          <w:sz w:val="20"/>
          <w:szCs w:val="20"/>
          <w:lang w:val="en-US" w:eastAsia="es-ES"/>
        </w:rPr>
        <w:t>of Article</w:t>
      </w:r>
      <w:r w:rsidR="0017063C" w:rsidRPr="00EA6C7A">
        <w:rPr>
          <w:rFonts w:ascii="Verdana" w:eastAsia="Batang" w:hAnsi="Verdana"/>
          <w:sz w:val="20"/>
          <w:szCs w:val="20"/>
          <w:lang w:val="en-US" w:eastAsia="es-ES"/>
        </w:rPr>
        <w:t xml:space="preserve"> 24</w:t>
      </w:r>
      <w:r w:rsidRPr="00EA6C7A">
        <w:rPr>
          <w:rFonts w:ascii="Verdana" w:eastAsia="Batang" w:hAnsi="Verdana"/>
          <w:sz w:val="20"/>
          <w:szCs w:val="20"/>
          <w:lang w:val="en-US" w:eastAsia="es-ES"/>
        </w:rPr>
        <w:t xml:space="preserve"> of the American Convention</w:t>
      </w:r>
      <w:r w:rsidR="00266F35" w:rsidRPr="00EA6C7A">
        <w:rPr>
          <w:rFonts w:ascii="Verdana" w:eastAsia="Batang" w:hAnsi="Verdana"/>
          <w:sz w:val="20"/>
          <w:szCs w:val="20"/>
          <w:lang w:val="en-US" w:eastAsia="es-ES"/>
        </w:rPr>
        <w:t>.</w:t>
      </w:r>
      <w:r w:rsidR="0017063C" w:rsidRPr="00EA6C7A">
        <w:rPr>
          <w:rFonts w:ascii="Verdana" w:eastAsia="Calibri" w:hAnsi="Verdana"/>
          <w:sz w:val="20"/>
          <w:szCs w:val="20"/>
          <w:vertAlign w:val="superscript"/>
          <w:lang w:val="en-US" w:eastAsia="de-DE"/>
        </w:rPr>
        <w:footnoteReference w:id="272"/>
      </w:r>
    </w:p>
    <w:p w14:paraId="28EB94C8" w14:textId="77777777" w:rsidR="0017063C" w:rsidRPr="00EA6C7A" w:rsidRDefault="0017063C" w:rsidP="0017063C">
      <w:pPr>
        <w:spacing w:after="0" w:line="240" w:lineRule="auto"/>
        <w:jc w:val="both"/>
        <w:rPr>
          <w:rFonts w:ascii="Verdana" w:hAnsi="Verdana"/>
          <w:bCs/>
          <w:snapToGrid w:val="0"/>
          <w:kern w:val="32"/>
          <w:sz w:val="20"/>
          <w:szCs w:val="20"/>
          <w:lang w:val="en-US" w:eastAsia="es-ES"/>
        </w:rPr>
      </w:pPr>
    </w:p>
    <w:p w14:paraId="70B7778C" w14:textId="77777777" w:rsidR="0017063C" w:rsidRPr="00EA6C7A" w:rsidRDefault="00266F35" w:rsidP="00CB2CE7">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Calibri" w:hAnsi="Verdana"/>
          <w:sz w:val="20"/>
          <w:szCs w:val="20"/>
          <w:lang w:val="en-US" w:eastAsia="es-MX"/>
        </w:rPr>
        <w:t xml:space="preserve">In the inter-American sphere, </w:t>
      </w:r>
      <w:r w:rsidR="0096418F" w:rsidRPr="00EA6C7A">
        <w:rPr>
          <w:rFonts w:ascii="Verdana" w:eastAsia="Calibri" w:hAnsi="Verdana"/>
          <w:sz w:val="20"/>
          <w:szCs w:val="20"/>
          <w:lang w:val="en-US" w:eastAsia="es-MX"/>
        </w:rPr>
        <w:t>the</w:t>
      </w:r>
      <w:r w:rsidRPr="00EA6C7A">
        <w:rPr>
          <w:rFonts w:ascii="Verdana" w:eastAsia="Calibri" w:hAnsi="Verdana"/>
          <w:sz w:val="20"/>
          <w:szCs w:val="20"/>
          <w:lang w:val="en-US" w:eastAsia="es-MX"/>
        </w:rPr>
        <w:t xml:space="preserve"> preamble to the</w:t>
      </w:r>
      <w:r w:rsidR="0096418F" w:rsidRPr="00EA6C7A">
        <w:rPr>
          <w:rFonts w:ascii="Verdana" w:eastAsia="Calibri" w:hAnsi="Verdana"/>
          <w:sz w:val="20"/>
          <w:szCs w:val="20"/>
          <w:lang w:val="en-US" w:eastAsia="es-MX"/>
        </w:rPr>
        <w:t xml:space="preserve"> </w:t>
      </w:r>
      <w:r w:rsidR="004554C7" w:rsidRPr="00EA6C7A">
        <w:rPr>
          <w:rFonts w:ascii="Verdana" w:eastAsia="Calibri" w:hAnsi="Verdana"/>
          <w:sz w:val="20"/>
          <w:szCs w:val="20"/>
          <w:lang w:val="en-US" w:eastAsia="es-MX"/>
        </w:rPr>
        <w:t>Convention of Belém</w:t>
      </w:r>
      <w:r w:rsidR="0017063C" w:rsidRPr="00EA6C7A">
        <w:rPr>
          <w:rFonts w:ascii="Verdana" w:eastAsia="Calibri" w:hAnsi="Verdana"/>
          <w:sz w:val="20"/>
          <w:szCs w:val="20"/>
          <w:lang w:val="en-US" w:eastAsia="es-MX"/>
        </w:rPr>
        <w:t xml:space="preserve"> do Pará </w:t>
      </w:r>
      <w:r w:rsidRPr="00EA6C7A">
        <w:rPr>
          <w:rFonts w:ascii="Verdana" w:eastAsia="Calibri" w:hAnsi="Verdana"/>
          <w:sz w:val="20"/>
          <w:szCs w:val="20"/>
          <w:lang w:val="en-US" w:eastAsia="es-MX"/>
        </w:rPr>
        <w:t xml:space="preserve">indicates that </w:t>
      </w:r>
      <w:r w:rsidR="00C12C08" w:rsidRPr="00EA6C7A">
        <w:rPr>
          <w:rFonts w:ascii="Verdana" w:eastAsia="Calibri" w:hAnsi="Verdana"/>
          <w:sz w:val="20"/>
          <w:szCs w:val="20"/>
          <w:lang w:val="en-US" w:eastAsia="es-MX"/>
        </w:rPr>
        <w:t>violence against women</w:t>
      </w:r>
      <w:r w:rsidR="0017063C" w:rsidRPr="00EA6C7A">
        <w:rPr>
          <w:rFonts w:ascii="Verdana" w:eastAsia="Calibri" w:hAnsi="Verdana"/>
          <w:sz w:val="20"/>
          <w:szCs w:val="20"/>
          <w:lang w:val="en-US" w:eastAsia="es-MX"/>
        </w:rPr>
        <w:t xml:space="preserve"> </w:t>
      </w:r>
      <w:r w:rsidRPr="00EA6C7A">
        <w:rPr>
          <w:rFonts w:ascii="Verdana" w:eastAsia="Calibri" w:hAnsi="Verdana"/>
          <w:sz w:val="20"/>
          <w:szCs w:val="20"/>
          <w:lang w:val="en-US" w:eastAsia="es-MX"/>
        </w:rPr>
        <w:t>i</w:t>
      </w:r>
      <w:r w:rsidR="0017063C" w:rsidRPr="00EA6C7A">
        <w:rPr>
          <w:rFonts w:ascii="Verdana" w:eastAsia="Calibri" w:hAnsi="Verdana"/>
          <w:sz w:val="20"/>
          <w:szCs w:val="20"/>
          <w:lang w:val="en-US" w:eastAsia="es-MX"/>
        </w:rPr>
        <w:t>s “</w:t>
      </w:r>
      <w:r w:rsidRPr="00EA6C7A">
        <w:rPr>
          <w:rFonts w:ascii="Verdana" w:hAnsi="Verdana" w:cs="Arial"/>
          <w:sz w:val="20"/>
          <w:szCs w:val="20"/>
          <w:lang w:val="en-US"/>
        </w:rPr>
        <w:t>a manifestation of the historically unequal power relations between women and men,”</w:t>
      </w:r>
      <w:r w:rsidRPr="00EA6C7A">
        <w:rPr>
          <w:rFonts w:ascii="Verdana" w:eastAsia="Calibri" w:hAnsi="Verdana"/>
          <w:sz w:val="20"/>
          <w:szCs w:val="20"/>
          <w:lang w:val="en-US" w:eastAsia="es-MX"/>
        </w:rPr>
        <w:t xml:space="preserve"> and also recognizes that the right of every women to a life free of violence includes the right to be</w:t>
      </w:r>
      <w:r w:rsidR="00CB2CE7" w:rsidRPr="00EA6C7A">
        <w:rPr>
          <w:rFonts w:ascii="Verdana" w:eastAsia="Calibri" w:hAnsi="Verdana"/>
          <w:sz w:val="20"/>
          <w:szCs w:val="20"/>
          <w:lang w:val="en-US" w:eastAsia="es-MX"/>
        </w:rPr>
        <w:t xml:space="preserve"> </w:t>
      </w:r>
      <w:r w:rsidRPr="00EA6C7A">
        <w:rPr>
          <w:rFonts w:ascii="Verdana" w:eastAsia="Calibri" w:hAnsi="Verdana"/>
          <w:sz w:val="20"/>
          <w:szCs w:val="20"/>
          <w:lang w:val="en-US" w:eastAsia="es-MX"/>
        </w:rPr>
        <w:t>free of any form of discrimination.</w:t>
      </w:r>
      <w:r w:rsidR="0017063C" w:rsidRPr="00EA6C7A">
        <w:rPr>
          <w:rFonts w:ascii="Verdana" w:eastAsia="Calibri" w:hAnsi="Verdana"/>
          <w:sz w:val="20"/>
          <w:szCs w:val="20"/>
          <w:vertAlign w:val="superscript"/>
          <w:lang w:val="en-US" w:eastAsia="es-MX"/>
        </w:rPr>
        <w:footnoteReference w:id="273"/>
      </w:r>
      <w:r w:rsidR="0017063C" w:rsidRPr="00EA6C7A">
        <w:rPr>
          <w:rFonts w:ascii="Verdana" w:eastAsia="Calibri" w:hAnsi="Verdana"/>
          <w:color w:val="FF0000"/>
          <w:sz w:val="20"/>
          <w:szCs w:val="20"/>
          <w:lang w:val="en-US" w:eastAsia="es-MX"/>
        </w:rPr>
        <w:t xml:space="preserve"> </w:t>
      </w:r>
      <w:r w:rsidR="002A7B7B" w:rsidRPr="00EA6C7A">
        <w:rPr>
          <w:rFonts w:ascii="Verdana" w:eastAsia="Calibri" w:hAnsi="Verdana"/>
          <w:sz w:val="20"/>
          <w:szCs w:val="20"/>
          <w:lang w:val="en-US" w:eastAsia="es-MX"/>
        </w:rPr>
        <w:t>From a general standpoint</w:t>
      </w:r>
      <w:r w:rsidR="00CB2CE7" w:rsidRPr="00EA6C7A">
        <w:rPr>
          <w:rFonts w:ascii="Verdana" w:eastAsia="Calibri" w:hAnsi="Verdana"/>
          <w:sz w:val="20"/>
          <w:szCs w:val="20"/>
          <w:lang w:val="en-US" w:eastAsia="es-MX"/>
        </w:rPr>
        <w:t>,</w:t>
      </w:r>
      <w:r w:rsidR="0017063C" w:rsidRPr="00EA6C7A">
        <w:rPr>
          <w:rFonts w:ascii="Verdana" w:eastAsia="Calibri" w:hAnsi="Verdana"/>
          <w:sz w:val="20"/>
          <w:szCs w:val="20"/>
          <w:lang w:val="en-US" w:eastAsia="es-MX"/>
        </w:rPr>
        <w:t xml:space="preserve"> </w:t>
      </w:r>
      <w:r w:rsidR="0096418F" w:rsidRPr="00EA6C7A">
        <w:rPr>
          <w:rFonts w:ascii="Verdana" w:eastAsia="Calibri" w:hAnsi="Verdana"/>
          <w:sz w:val="20"/>
          <w:szCs w:val="20"/>
          <w:lang w:val="en-US" w:eastAsia="es-MX"/>
        </w:rPr>
        <w:t>the Convention</w:t>
      </w:r>
      <w:r w:rsidR="0017063C" w:rsidRPr="00EA6C7A">
        <w:rPr>
          <w:rFonts w:ascii="Verdana" w:eastAsia="Calibri" w:hAnsi="Verdana"/>
          <w:sz w:val="20"/>
          <w:szCs w:val="20"/>
          <w:lang w:val="en-US" w:eastAsia="es-MX"/>
        </w:rPr>
        <w:t xml:space="preserve"> </w:t>
      </w:r>
      <w:r w:rsidR="00CB2CE7" w:rsidRPr="00EA6C7A">
        <w:rPr>
          <w:rFonts w:ascii="Verdana" w:eastAsia="Calibri" w:hAnsi="Verdana"/>
          <w:sz w:val="20"/>
          <w:szCs w:val="20"/>
          <w:lang w:val="en-US" w:eastAsia="es-MX"/>
        </w:rPr>
        <w:t xml:space="preserve">on the Elimination of All Forms of Discrimination against Women </w:t>
      </w:r>
      <w:r w:rsidR="0017063C" w:rsidRPr="00EA6C7A">
        <w:rPr>
          <w:rFonts w:ascii="Verdana" w:eastAsia="Calibri" w:hAnsi="Verdana"/>
          <w:sz w:val="20"/>
          <w:szCs w:val="20"/>
          <w:lang w:val="en-US" w:eastAsia="es-MX"/>
        </w:rPr>
        <w:t>(</w:t>
      </w:r>
      <w:r w:rsidR="0096418F" w:rsidRPr="00EA6C7A">
        <w:rPr>
          <w:rFonts w:ascii="Verdana" w:eastAsia="Calibri" w:hAnsi="Verdana"/>
          <w:sz w:val="20"/>
          <w:szCs w:val="20"/>
          <w:lang w:val="en-US" w:eastAsia="es-MX"/>
        </w:rPr>
        <w:t>hereinafter</w:t>
      </w:r>
      <w:r w:rsidR="0017063C" w:rsidRPr="00EA6C7A">
        <w:rPr>
          <w:rFonts w:ascii="Verdana" w:eastAsia="Calibri" w:hAnsi="Verdana"/>
          <w:sz w:val="20"/>
          <w:szCs w:val="20"/>
          <w:lang w:val="en-US" w:eastAsia="es-MX"/>
        </w:rPr>
        <w:t>, “CEDAW”) define</w:t>
      </w:r>
      <w:r w:rsidR="00CB2CE7" w:rsidRPr="00EA6C7A">
        <w:rPr>
          <w:rFonts w:ascii="Verdana" w:eastAsia="Calibri" w:hAnsi="Verdana"/>
          <w:sz w:val="20"/>
          <w:szCs w:val="20"/>
          <w:lang w:val="en-US" w:eastAsia="es-MX"/>
        </w:rPr>
        <w:t>s discrimination against women</w:t>
      </w:r>
      <w:r w:rsidR="00B05773" w:rsidRPr="00EA6C7A">
        <w:rPr>
          <w:rFonts w:ascii="Verdana" w:eastAsia="Calibri" w:hAnsi="Verdana"/>
          <w:sz w:val="20"/>
          <w:szCs w:val="20"/>
          <w:lang w:val="en-US" w:eastAsia="es-MX"/>
        </w:rPr>
        <w:t xml:space="preserve"> as</w:t>
      </w:r>
      <w:r w:rsidR="00CB2CE7" w:rsidRPr="00EA6C7A">
        <w:rPr>
          <w:rFonts w:ascii="Verdana" w:eastAsia="Calibri" w:hAnsi="Verdana"/>
          <w:sz w:val="20"/>
          <w:szCs w:val="20"/>
          <w:lang w:val="en-US" w:eastAsia="es-MX"/>
        </w:rPr>
        <w:t xml:space="preserve"> “</w:t>
      </w:r>
      <w:r w:rsidR="00CB2CE7" w:rsidRPr="00EA6C7A">
        <w:rPr>
          <w:rFonts w:ascii="Verdana" w:hAnsi="Verdana" w:cs="Arial"/>
          <w:sz w:val="20"/>
          <w:szCs w:val="20"/>
          <w:lang w:val="en-US"/>
        </w:rPr>
        <w:t>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00CB2CE7" w:rsidRPr="00EA6C7A">
        <w:rPr>
          <w:rFonts w:ascii="Verdana" w:eastAsia="Calibri" w:hAnsi="Verdana"/>
          <w:sz w:val="20"/>
          <w:szCs w:val="20"/>
          <w:lang w:val="en-US" w:eastAsia="es-MX"/>
        </w:rPr>
        <w:t>.</w:t>
      </w:r>
      <w:r w:rsidR="0017063C" w:rsidRPr="00EA6C7A">
        <w:rPr>
          <w:rFonts w:ascii="Verdana" w:eastAsia="Calibri" w:hAnsi="Verdana"/>
          <w:sz w:val="20"/>
          <w:szCs w:val="20"/>
          <w:lang w:val="en-US" w:eastAsia="es-MX"/>
        </w:rPr>
        <w:t>”</w:t>
      </w:r>
      <w:r w:rsidR="0017063C" w:rsidRPr="00EA6C7A">
        <w:rPr>
          <w:rFonts w:ascii="Verdana" w:eastAsia="Calibri" w:hAnsi="Verdana"/>
          <w:sz w:val="20"/>
          <w:szCs w:val="20"/>
          <w:vertAlign w:val="superscript"/>
          <w:lang w:val="en-US" w:eastAsia="es-MX"/>
        </w:rPr>
        <w:footnoteReference w:id="274"/>
      </w:r>
      <w:r w:rsidR="00CB2CE7" w:rsidRPr="00EA6C7A">
        <w:rPr>
          <w:rFonts w:ascii="Verdana" w:eastAsia="Calibri" w:hAnsi="Verdana"/>
          <w:sz w:val="20"/>
          <w:szCs w:val="20"/>
          <w:lang w:val="en-US" w:eastAsia="es-MX"/>
        </w:rPr>
        <w:t xml:space="preserve"> In this regard, the United Nations Committee for the Elimination of Discrimination against Women </w:t>
      </w:r>
      <w:r w:rsidR="0017063C" w:rsidRPr="00EA6C7A">
        <w:rPr>
          <w:rFonts w:ascii="Verdana" w:eastAsia="Calibri" w:hAnsi="Verdana"/>
          <w:sz w:val="20"/>
          <w:szCs w:val="20"/>
          <w:lang w:val="en-US" w:eastAsia="es-MX"/>
        </w:rPr>
        <w:t>(</w:t>
      </w:r>
      <w:r w:rsidR="0096418F" w:rsidRPr="00EA6C7A">
        <w:rPr>
          <w:rFonts w:ascii="Verdana" w:eastAsia="Calibri" w:hAnsi="Verdana"/>
          <w:sz w:val="20"/>
          <w:szCs w:val="20"/>
          <w:lang w:val="en-US" w:eastAsia="es-MX"/>
        </w:rPr>
        <w:t>hereinafter</w:t>
      </w:r>
      <w:r w:rsidR="0017063C" w:rsidRPr="00EA6C7A">
        <w:rPr>
          <w:rFonts w:ascii="Verdana" w:eastAsia="Calibri" w:hAnsi="Verdana"/>
          <w:sz w:val="20"/>
          <w:szCs w:val="20"/>
          <w:lang w:val="en-US" w:eastAsia="es-MX"/>
        </w:rPr>
        <w:t>, “</w:t>
      </w:r>
      <w:r w:rsidR="00CB2CE7" w:rsidRPr="00EA6C7A">
        <w:rPr>
          <w:rFonts w:ascii="Verdana" w:eastAsia="Calibri" w:hAnsi="Verdana"/>
          <w:sz w:val="20"/>
          <w:szCs w:val="20"/>
          <w:lang w:val="en-US" w:eastAsia="es-MX"/>
        </w:rPr>
        <w:t>the</w:t>
      </w:r>
      <w:r w:rsidR="0017063C" w:rsidRPr="00EA6C7A">
        <w:rPr>
          <w:rFonts w:ascii="Verdana" w:eastAsia="Calibri" w:hAnsi="Verdana"/>
          <w:sz w:val="20"/>
          <w:szCs w:val="20"/>
          <w:lang w:val="en-US" w:eastAsia="es-MX"/>
        </w:rPr>
        <w:t xml:space="preserve"> CEDAW</w:t>
      </w:r>
      <w:r w:rsidR="00CB2CE7" w:rsidRPr="00EA6C7A">
        <w:rPr>
          <w:rFonts w:ascii="Verdana" w:eastAsia="Calibri" w:hAnsi="Verdana"/>
          <w:sz w:val="20"/>
          <w:szCs w:val="20"/>
          <w:lang w:val="en-US" w:eastAsia="es-MX"/>
        </w:rPr>
        <w:t xml:space="preserve"> Committee</w:t>
      </w:r>
      <w:r w:rsidR="0017063C" w:rsidRPr="00EA6C7A">
        <w:rPr>
          <w:rFonts w:ascii="Verdana" w:eastAsia="Calibri" w:hAnsi="Verdana"/>
          <w:sz w:val="20"/>
          <w:szCs w:val="20"/>
          <w:lang w:val="en-US" w:eastAsia="es-MX"/>
        </w:rPr>
        <w:t>”) ha</w:t>
      </w:r>
      <w:r w:rsidR="00CB2CE7" w:rsidRPr="00EA6C7A">
        <w:rPr>
          <w:rFonts w:ascii="Verdana" w:eastAsia="Calibri" w:hAnsi="Verdana"/>
          <w:sz w:val="20"/>
          <w:szCs w:val="20"/>
          <w:lang w:val="en-US" w:eastAsia="es-MX"/>
        </w:rPr>
        <w:t xml:space="preserve">s declared that the definition of discrimination against women “includes </w:t>
      </w:r>
      <w:r w:rsidR="00CB2CE7" w:rsidRPr="00EA6C7A">
        <w:rPr>
          <w:rFonts w:ascii="Verdana" w:hAnsi="Verdana" w:cs="Arial"/>
          <w:sz w:val="20"/>
          <w:szCs w:val="20"/>
          <w:lang w:val="en-US"/>
        </w:rPr>
        <w:t>gender-based violence, that is, violence that is directed against a woman [(i)] because she is a woman or [(ii)] that affects women disproportionately.” It also indicated that “[g]ender-based violence is a form of discrimination that seriously inhibits women’s ability to enjoy rights and freedoms on a basis of equality with men</w:t>
      </w:r>
      <w:r w:rsidR="00CB2CE7" w:rsidRPr="00EA6C7A">
        <w:rPr>
          <w:rFonts w:ascii="Verdana" w:eastAsia="Calibri" w:hAnsi="Verdana"/>
          <w:sz w:val="20"/>
          <w:szCs w:val="20"/>
          <w:lang w:val="en-US" w:eastAsia="es-MX"/>
        </w:rPr>
        <w:t>.</w:t>
      </w:r>
      <w:r w:rsidR="0017063C" w:rsidRPr="00EA6C7A">
        <w:rPr>
          <w:rFonts w:ascii="Verdana" w:eastAsia="Calibri" w:hAnsi="Verdana"/>
          <w:sz w:val="20"/>
          <w:szCs w:val="20"/>
          <w:lang w:val="en-US" w:eastAsia="es-MX"/>
        </w:rPr>
        <w:t>”</w:t>
      </w:r>
      <w:r w:rsidR="0017063C" w:rsidRPr="00EA6C7A">
        <w:rPr>
          <w:rFonts w:ascii="Verdana" w:eastAsia="Calibri" w:hAnsi="Verdana"/>
          <w:sz w:val="20"/>
          <w:szCs w:val="20"/>
          <w:vertAlign w:val="superscript"/>
          <w:lang w:val="en-US" w:eastAsia="es-MX"/>
        </w:rPr>
        <w:footnoteReference w:id="275"/>
      </w:r>
      <w:r w:rsidR="0017063C" w:rsidRPr="00EA6C7A">
        <w:rPr>
          <w:rFonts w:ascii="Verdana" w:eastAsia="Calibri" w:hAnsi="Verdana"/>
          <w:sz w:val="20"/>
          <w:szCs w:val="20"/>
          <w:lang w:val="en-US" w:eastAsia="es-MX"/>
        </w:rPr>
        <w:t xml:space="preserve"> </w:t>
      </w:r>
    </w:p>
    <w:p w14:paraId="49722D38" w14:textId="77777777" w:rsidR="0017063C" w:rsidRPr="00EA6C7A" w:rsidRDefault="0017063C" w:rsidP="00266F35">
      <w:pPr>
        <w:tabs>
          <w:tab w:val="left" w:pos="720"/>
        </w:tabs>
        <w:spacing w:after="0" w:line="240" w:lineRule="auto"/>
        <w:ind w:left="720"/>
        <w:contextualSpacing/>
        <w:jc w:val="both"/>
        <w:rPr>
          <w:rFonts w:ascii="Verdana" w:hAnsi="Verdana"/>
          <w:sz w:val="20"/>
          <w:szCs w:val="20"/>
          <w:lang w:val="en-US" w:eastAsia="es-MX"/>
        </w:rPr>
      </w:pPr>
    </w:p>
    <w:p w14:paraId="3C3DA4D2" w14:textId="77777777" w:rsidR="0017063C" w:rsidRPr="00EA6C7A" w:rsidRDefault="0096418F" w:rsidP="00266F35">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reitera</w:t>
      </w:r>
      <w:r w:rsidR="00570CD4" w:rsidRPr="00EA6C7A">
        <w:rPr>
          <w:rFonts w:ascii="Verdana" w:eastAsia="Batang" w:hAnsi="Verdana"/>
          <w:sz w:val="20"/>
          <w:szCs w:val="20"/>
          <w:lang w:val="en-US" w:eastAsia="es-MX"/>
        </w:rPr>
        <w:t>tes that</w:t>
      </w:r>
      <w:r w:rsidR="0017063C" w:rsidRPr="00EA6C7A">
        <w:rPr>
          <w:rFonts w:ascii="Verdana" w:eastAsia="Batang" w:hAnsi="Verdana"/>
          <w:sz w:val="20"/>
          <w:szCs w:val="20"/>
          <w:lang w:val="en-US" w:eastAsia="es-MX"/>
        </w:rPr>
        <w:t xml:space="preserve"> </w:t>
      </w:r>
      <w:r w:rsidR="00570CD4" w:rsidRPr="00EA6C7A">
        <w:rPr>
          <w:rFonts w:ascii="Verdana" w:eastAsia="Batang" w:hAnsi="Verdana"/>
          <w:sz w:val="20"/>
          <w:szCs w:val="20"/>
          <w:lang w:val="en-US" w:eastAsia="es-MX"/>
        </w:rPr>
        <w:t>the inefficiency of the judicial system with respect to individual case</w:t>
      </w:r>
      <w:r w:rsidR="00B05773" w:rsidRPr="00EA6C7A">
        <w:rPr>
          <w:rFonts w:ascii="Verdana" w:eastAsia="Batang" w:hAnsi="Verdana"/>
          <w:sz w:val="20"/>
          <w:szCs w:val="20"/>
          <w:lang w:val="en-US" w:eastAsia="es-MX"/>
        </w:rPr>
        <w:t>s</w:t>
      </w:r>
      <w:r w:rsidR="00570CD4" w:rsidRPr="00EA6C7A">
        <w:rPr>
          <w:rFonts w:ascii="Verdana" w:eastAsia="Batang" w:hAnsi="Verdana"/>
          <w:sz w:val="20"/>
          <w:szCs w:val="20"/>
          <w:lang w:val="en-US" w:eastAsia="es-MX"/>
        </w:rPr>
        <w:t xml:space="preserve"> of </w:t>
      </w:r>
      <w:r w:rsidR="00C12C08" w:rsidRPr="00EA6C7A">
        <w:rPr>
          <w:rFonts w:ascii="Verdana" w:eastAsia="Batang" w:hAnsi="Verdana"/>
          <w:sz w:val="20"/>
          <w:szCs w:val="20"/>
          <w:lang w:val="en-US" w:eastAsia="es-MX"/>
        </w:rPr>
        <w:t>violence against women</w:t>
      </w:r>
      <w:r w:rsidR="0017063C" w:rsidRPr="00EA6C7A">
        <w:rPr>
          <w:rFonts w:ascii="Verdana" w:eastAsia="Batang" w:hAnsi="Verdana"/>
          <w:sz w:val="20"/>
          <w:szCs w:val="20"/>
          <w:lang w:val="en-US" w:eastAsia="es-MX"/>
        </w:rPr>
        <w:t xml:space="preserve"> </w:t>
      </w:r>
      <w:r w:rsidR="00570CD4" w:rsidRPr="00EA6C7A">
        <w:rPr>
          <w:rFonts w:ascii="Verdana" w:eastAsia="Batang" w:hAnsi="Verdana"/>
          <w:sz w:val="20"/>
          <w:szCs w:val="20"/>
          <w:lang w:val="en-US" w:eastAsia="es-MX"/>
        </w:rPr>
        <w:t xml:space="preserve">promotes an environment of impunity that facilitates and promotes the repetition of acts of violence in general, and sends a message that </w:t>
      </w:r>
      <w:r w:rsidR="00C12C08" w:rsidRPr="00EA6C7A">
        <w:rPr>
          <w:rFonts w:ascii="Verdana" w:eastAsia="Batang" w:hAnsi="Verdana"/>
          <w:sz w:val="20"/>
          <w:szCs w:val="20"/>
          <w:lang w:val="en-US" w:eastAsia="es-MX"/>
        </w:rPr>
        <w:t>violence against women</w:t>
      </w:r>
      <w:r w:rsidR="0017063C" w:rsidRPr="00EA6C7A">
        <w:rPr>
          <w:rFonts w:ascii="Verdana" w:eastAsia="Batang" w:hAnsi="Verdana"/>
          <w:sz w:val="20"/>
          <w:szCs w:val="20"/>
          <w:lang w:val="en-US" w:eastAsia="es-MX"/>
        </w:rPr>
        <w:t xml:space="preserve"> </w:t>
      </w:r>
      <w:r w:rsidR="00570CD4" w:rsidRPr="00EA6C7A">
        <w:rPr>
          <w:rFonts w:ascii="Verdana" w:eastAsia="Batang" w:hAnsi="Verdana"/>
          <w:sz w:val="20"/>
          <w:szCs w:val="20"/>
          <w:lang w:val="en-US" w:eastAsia="es-MX"/>
        </w:rPr>
        <w:t>may be tolerated and accepted</w:t>
      </w:r>
      <w:r w:rsidR="00B05773" w:rsidRPr="00EA6C7A">
        <w:rPr>
          <w:rFonts w:ascii="Verdana" w:eastAsia="Batang" w:hAnsi="Verdana"/>
          <w:sz w:val="20"/>
          <w:szCs w:val="20"/>
          <w:lang w:val="en-US" w:eastAsia="es-MX"/>
        </w:rPr>
        <w:t>. This</w:t>
      </w:r>
      <w:r w:rsidR="00570CD4" w:rsidRPr="00EA6C7A">
        <w:rPr>
          <w:rFonts w:ascii="Verdana" w:eastAsia="Batang" w:hAnsi="Verdana"/>
          <w:sz w:val="20"/>
          <w:szCs w:val="20"/>
          <w:lang w:val="en-US" w:eastAsia="es-MX"/>
        </w:rPr>
        <w:t xml:space="preserve"> encourages its perpetuation and the social acceptance of the phenomenon</w:t>
      </w:r>
      <w:r w:rsidR="00B05773" w:rsidRPr="00EA6C7A">
        <w:rPr>
          <w:rFonts w:ascii="Verdana" w:eastAsia="Batang" w:hAnsi="Verdana"/>
          <w:sz w:val="20"/>
          <w:szCs w:val="20"/>
          <w:lang w:val="en-US" w:eastAsia="es-MX"/>
        </w:rPr>
        <w:t xml:space="preserve"> and causes women to feel unsafe and develop a permanent mistrust </w:t>
      </w:r>
      <w:r w:rsidR="00570CD4" w:rsidRPr="00EA6C7A">
        <w:rPr>
          <w:rFonts w:ascii="Verdana" w:eastAsia="Batang" w:hAnsi="Verdana"/>
          <w:sz w:val="20"/>
          <w:szCs w:val="20"/>
          <w:lang w:val="en-US" w:eastAsia="es-MX"/>
        </w:rPr>
        <w:t>in the system for the administration of justice.</w:t>
      </w:r>
      <w:r w:rsidR="0017063C" w:rsidRPr="00EA6C7A">
        <w:rPr>
          <w:rFonts w:ascii="Verdana" w:eastAsia="Batang" w:hAnsi="Verdana"/>
          <w:sz w:val="20"/>
          <w:szCs w:val="20"/>
          <w:vertAlign w:val="superscript"/>
          <w:lang w:val="en-US" w:eastAsia="es-MX"/>
        </w:rPr>
        <w:footnoteReference w:id="276"/>
      </w:r>
      <w:r w:rsidR="00570CD4" w:rsidRPr="00EA6C7A">
        <w:rPr>
          <w:rFonts w:ascii="Verdana" w:eastAsia="Batang" w:hAnsi="Verdana"/>
          <w:sz w:val="20"/>
          <w:szCs w:val="20"/>
          <w:lang w:val="en-US" w:eastAsia="es-MX"/>
        </w:rPr>
        <w:t xml:space="preserve"> This inefficiency or indifference, in itself, discriminat</w:t>
      </w:r>
      <w:r w:rsidR="00B05773" w:rsidRPr="00EA6C7A">
        <w:rPr>
          <w:rFonts w:ascii="Verdana" w:eastAsia="Batang" w:hAnsi="Verdana"/>
          <w:sz w:val="20"/>
          <w:szCs w:val="20"/>
          <w:lang w:val="en-US" w:eastAsia="es-MX"/>
        </w:rPr>
        <w:t>es</w:t>
      </w:r>
      <w:r w:rsidR="00570CD4" w:rsidRPr="00EA6C7A">
        <w:rPr>
          <w:rFonts w:ascii="Verdana" w:eastAsia="Batang" w:hAnsi="Verdana"/>
          <w:sz w:val="20"/>
          <w:szCs w:val="20"/>
          <w:lang w:val="en-US" w:eastAsia="es-MX"/>
        </w:rPr>
        <w:t xml:space="preserve"> against women in </w:t>
      </w:r>
      <w:r w:rsidR="002D218C" w:rsidRPr="00EA6C7A">
        <w:rPr>
          <w:rFonts w:ascii="Verdana" w:eastAsia="Batang" w:hAnsi="Verdana"/>
          <w:sz w:val="20"/>
          <w:szCs w:val="20"/>
          <w:lang w:val="en-US" w:eastAsia="es-MX"/>
        </w:rPr>
        <w:t>access to justice</w:t>
      </w:r>
      <w:r w:rsidR="0017063C" w:rsidRPr="00EA6C7A">
        <w:rPr>
          <w:rFonts w:ascii="Verdana" w:eastAsia="Batang" w:hAnsi="Verdana"/>
          <w:sz w:val="20"/>
          <w:szCs w:val="20"/>
          <w:lang w:val="en-US" w:eastAsia="es-MX"/>
        </w:rPr>
        <w:t xml:space="preserve">. </w:t>
      </w:r>
      <w:r w:rsidR="00570CD4" w:rsidRPr="00EA6C7A">
        <w:rPr>
          <w:rFonts w:ascii="Verdana" w:eastAsia="Batang" w:hAnsi="Verdana"/>
          <w:sz w:val="20"/>
          <w:szCs w:val="20"/>
          <w:lang w:val="en-US" w:eastAsia="es-MX"/>
        </w:rPr>
        <w:t>Therefore, when there are specific indications of gender-based violence</w:t>
      </w:r>
      <w:r w:rsidR="00B05773" w:rsidRPr="00EA6C7A">
        <w:rPr>
          <w:rFonts w:ascii="Verdana" w:eastAsia="Batang" w:hAnsi="Verdana"/>
          <w:sz w:val="20"/>
          <w:szCs w:val="20"/>
          <w:lang w:val="en-US" w:eastAsia="es-MX"/>
        </w:rPr>
        <w:t xml:space="preserve"> or it is suspected</w:t>
      </w:r>
      <w:r w:rsidR="00570CD4" w:rsidRPr="00EA6C7A">
        <w:rPr>
          <w:rFonts w:ascii="Verdana" w:eastAsia="Batang" w:hAnsi="Verdana"/>
          <w:sz w:val="20"/>
          <w:szCs w:val="20"/>
          <w:lang w:val="en-US" w:eastAsia="es-MX"/>
        </w:rPr>
        <w:t>, the authorities’ failure to investigate the possible discriminatory motives</w:t>
      </w:r>
      <w:r w:rsidR="00052DC7" w:rsidRPr="00EA6C7A">
        <w:rPr>
          <w:rFonts w:ascii="Verdana" w:eastAsia="Batang" w:hAnsi="Verdana"/>
          <w:sz w:val="20"/>
          <w:szCs w:val="20"/>
          <w:lang w:val="en-US" w:eastAsia="es-MX"/>
        </w:rPr>
        <w:t xml:space="preserve"> behind the act of </w:t>
      </w:r>
      <w:r w:rsidR="00C12C08" w:rsidRPr="00EA6C7A">
        <w:rPr>
          <w:rFonts w:ascii="Verdana" w:eastAsia="Batang" w:hAnsi="Verdana"/>
          <w:sz w:val="20"/>
          <w:szCs w:val="20"/>
          <w:lang w:val="en-US" w:eastAsia="es-MX"/>
        </w:rPr>
        <w:t xml:space="preserve">violence against </w:t>
      </w:r>
      <w:r w:rsidR="00B05773" w:rsidRPr="00EA6C7A">
        <w:rPr>
          <w:rFonts w:ascii="Verdana" w:eastAsia="Batang" w:hAnsi="Verdana"/>
          <w:sz w:val="20"/>
          <w:szCs w:val="20"/>
          <w:lang w:val="en-US" w:eastAsia="es-MX"/>
        </w:rPr>
        <w:t xml:space="preserve">a </w:t>
      </w:r>
      <w:r w:rsidR="00C12C08" w:rsidRPr="00EA6C7A">
        <w:rPr>
          <w:rFonts w:ascii="Verdana" w:eastAsia="Batang" w:hAnsi="Verdana"/>
          <w:sz w:val="20"/>
          <w:szCs w:val="20"/>
          <w:lang w:val="en-US" w:eastAsia="es-MX"/>
        </w:rPr>
        <w:t>wom</w:t>
      </w:r>
      <w:r w:rsidR="00B05773" w:rsidRPr="00EA6C7A">
        <w:rPr>
          <w:rFonts w:ascii="Verdana" w:eastAsia="Batang" w:hAnsi="Verdana"/>
          <w:sz w:val="20"/>
          <w:szCs w:val="20"/>
          <w:lang w:val="en-US" w:eastAsia="es-MX"/>
        </w:rPr>
        <w:t>a</w:t>
      </w:r>
      <w:r w:rsidR="00C12C08" w:rsidRPr="00EA6C7A">
        <w:rPr>
          <w:rFonts w:ascii="Verdana" w:eastAsia="Batang" w:hAnsi="Verdana"/>
          <w:sz w:val="20"/>
          <w:szCs w:val="20"/>
          <w:lang w:val="en-US" w:eastAsia="es-MX"/>
        </w:rPr>
        <w:t>n</w:t>
      </w:r>
      <w:r w:rsidR="0017063C" w:rsidRPr="00EA6C7A">
        <w:rPr>
          <w:rFonts w:ascii="Verdana" w:eastAsia="Batang" w:hAnsi="Verdana"/>
          <w:sz w:val="20"/>
          <w:szCs w:val="20"/>
          <w:lang w:val="en-US" w:eastAsia="es-MX"/>
        </w:rPr>
        <w:t xml:space="preserve">, </w:t>
      </w:r>
      <w:r w:rsidR="00052DC7" w:rsidRPr="00EA6C7A">
        <w:rPr>
          <w:rFonts w:ascii="Verdana" w:eastAsia="Batang" w:hAnsi="Verdana"/>
          <w:sz w:val="20"/>
          <w:szCs w:val="20"/>
          <w:lang w:val="en-US" w:eastAsia="es-MX"/>
        </w:rPr>
        <w:t>may constitute</w:t>
      </w:r>
      <w:r w:rsidR="00B05773" w:rsidRPr="00EA6C7A">
        <w:rPr>
          <w:rFonts w:ascii="Verdana" w:eastAsia="Batang" w:hAnsi="Verdana"/>
          <w:sz w:val="20"/>
          <w:szCs w:val="20"/>
          <w:lang w:val="en-US" w:eastAsia="es-MX"/>
        </w:rPr>
        <w:t xml:space="preserve"> </w:t>
      </w:r>
      <w:r w:rsidR="00052DC7" w:rsidRPr="00EA6C7A">
        <w:rPr>
          <w:rFonts w:ascii="Verdana" w:eastAsia="Batang" w:hAnsi="Verdana"/>
          <w:sz w:val="20"/>
          <w:szCs w:val="20"/>
          <w:lang w:val="en-US" w:eastAsia="es-MX"/>
        </w:rPr>
        <w:t>a form of gender-based discrimination.</w:t>
      </w:r>
      <w:r w:rsidR="0017063C" w:rsidRPr="00EA6C7A">
        <w:rPr>
          <w:rFonts w:ascii="Verdana" w:eastAsia="Batang" w:hAnsi="Verdana"/>
          <w:sz w:val="20"/>
          <w:szCs w:val="20"/>
          <w:vertAlign w:val="superscript"/>
          <w:lang w:val="en-US" w:eastAsia="es-MX"/>
        </w:rPr>
        <w:footnoteReference w:id="277"/>
      </w:r>
    </w:p>
    <w:p w14:paraId="23E8E036" w14:textId="77777777" w:rsidR="0017063C" w:rsidRPr="00EA6C7A" w:rsidRDefault="0017063C" w:rsidP="00266F35">
      <w:pPr>
        <w:tabs>
          <w:tab w:val="left" w:pos="720"/>
        </w:tabs>
        <w:autoSpaceDE w:val="0"/>
        <w:autoSpaceDN w:val="0"/>
        <w:adjustRightInd w:val="0"/>
        <w:spacing w:after="0" w:line="240" w:lineRule="auto"/>
        <w:jc w:val="both"/>
        <w:rPr>
          <w:rFonts w:ascii="Verdana" w:eastAsia="Calibri" w:hAnsi="Verdana"/>
          <w:sz w:val="20"/>
          <w:szCs w:val="20"/>
          <w:lang w:val="en-US"/>
        </w:rPr>
      </w:pPr>
    </w:p>
    <w:p w14:paraId="37EE3BE1" w14:textId="77777777" w:rsidR="0017063C" w:rsidRPr="00EA6C7A" w:rsidRDefault="00052DC7" w:rsidP="00266F35">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 xml:space="preserve">The statements made by </w:t>
      </w:r>
      <w:r w:rsidR="0020127B" w:rsidRPr="00EA6C7A">
        <w:rPr>
          <w:rFonts w:ascii="Verdana" w:eastAsia="Batang" w:hAnsi="Verdana"/>
          <w:sz w:val="20"/>
          <w:szCs w:val="20"/>
          <w:lang w:val="en-US" w:eastAsia="es-MX"/>
        </w:rPr>
        <w:t>Jorge</w:t>
      </w:r>
      <w:r w:rsidR="0017063C" w:rsidRPr="00EA6C7A">
        <w:rPr>
          <w:rFonts w:ascii="Verdana" w:eastAsia="Batang" w:hAnsi="Verdana"/>
          <w:sz w:val="20"/>
          <w:szCs w:val="20"/>
          <w:lang w:val="en-US" w:eastAsia="es-MX"/>
        </w:rPr>
        <w:t xml:space="preserve"> Rolando Velásquez Durán</w:t>
      </w:r>
      <w:r w:rsidR="00D948A1" w:rsidRPr="00EA6C7A">
        <w:rPr>
          <w:rFonts w:ascii="Verdana" w:eastAsia="Batang" w:hAnsi="Verdana"/>
          <w:sz w:val="20"/>
          <w:szCs w:val="20"/>
          <w:lang w:val="en-US" w:eastAsia="es-MX"/>
        </w:rPr>
        <w:t xml:space="preserve"> and </w:t>
      </w:r>
      <w:r w:rsidRPr="00EA6C7A">
        <w:rPr>
          <w:rFonts w:ascii="Verdana" w:eastAsia="Batang" w:hAnsi="Verdana"/>
          <w:sz w:val="20"/>
          <w:szCs w:val="20"/>
          <w:lang w:val="en-US" w:eastAsia="es-MX"/>
        </w:rPr>
        <w:t>Elsa</w:t>
      </w:r>
      <w:r w:rsidR="0017063C" w:rsidRPr="00EA6C7A">
        <w:rPr>
          <w:rFonts w:ascii="Verdana" w:eastAsia="Batang" w:hAnsi="Verdana"/>
          <w:sz w:val="20"/>
          <w:szCs w:val="20"/>
          <w:lang w:val="en-US" w:eastAsia="es-MX"/>
        </w:rPr>
        <w:t xml:space="preserve"> Claudina Paiz Vidal, Claudina Velásquez</w:t>
      </w:r>
      <w:r w:rsidRPr="00EA6C7A">
        <w:rPr>
          <w:rFonts w:ascii="Verdana" w:eastAsia="Batang" w:hAnsi="Verdana"/>
          <w:sz w:val="20"/>
          <w:szCs w:val="20"/>
          <w:lang w:val="en-US" w:eastAsia="es-MX"/>
        </w:rPr>
        <w:t>’s father and mother</w:t>
      </w:r>
      <w:r w:rsidR="0017063C"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are consistent in indicating that, on the day the PNC agent, </w:t>
      </w:r>
      <w:r w:rsidR="0017063C" w:rsidRPr="00EA6C7A">
        <w:rPr>
          <w:rFonts w:ascii="Verdana" w:eastAsia="Batang" w:hAnsi="Verdana" w:cs="Arial"/>
          <w:sz w:val="20"/>
          <w:szCs w:val="20"/>
          <w:lang w:val="en-US" w:eastAsia="es-MX"/>
        </w:rPr>
        <w:t>Carolina Elizabeth Ruiz</w:t>
      </w:r>
      <w:r w:rsidRPr="00EA6C7A">
        <w:rPr>
          <w:rFonts w:ascii="Verdana" w:eastAsia="Batang" w:hAnsi="Verdana" w:cs="Arial"/>
          <w:sz w:val="20"/>
          <w:szCs w:val="20"/>
          <w:lang w:val="en-US" w:eastAsia="es-MX"/>
        </w:rPr>
        <w:t>, came to their home to interview them, she informed them that the crime scene had not been processed professionally because the victim’s origin and s</w:t>
      </w:r>
      <w:r w:rsidR="00B05773" w:rsidRPr="00EA6C7A">
        <w:rPr>
          <w:rFonts w:ascii="Verdana" w:eastAsia="Batang" w:hAnsi="Verdana" w:cs="Arial"/>
          <w:sz w:val="20"/>
          <w:szCs w:val="20"/>
          <w:lang w:val="en-US" w:eastAsia="es-MX"/>
        </w:rPr>
        <w:t>tatus</w:t>
      </w:r>
      <w:r w:rsidRPr="00EA6C7A">
        <w:rPr>
          <w:rFonts w:ascii="Verdana" w:eastAsia="Batang" w:hAnsi="Verdana" w:cs="Arial"/>
          <w:sz w:val="20"/>
          <w:szCs w:val="20"/>
          <w:lang w:val="en-US" w:eastAsia="es-MX"/>
        </w:rPr>
        <w:t xml:space="preserve"> had been prejudged, and she had been categorized “as a loose woman” owing to: (i) the place where her body was found; (ii) the fact that she used a choker necklace and a navel piercing </w:t>
      </w:r>
      <w:r w:rsidRPr="00EA6C7A">
        <w:rPr>
          <w:rFonts w:ascii="Verdana" w:eastAsia="Batang" w:hAnsi="Verdana" w:cs="Arial"/>
          <w:sz w:val="20"/>
          <w:szCs w:val="20"/>
          <w:lang w:val="en-US" w:eastAsia="es-MX"/>
        </w:rPr>
        <w:lastRenderedPageBreak/>
        <w:t xml:space="preserve">with a ring, and (iii) because she was wearing sandals. However, she indicated that, on examining the characteristics of </w:t>
      </w:r>
      <w:r w:rsidR="0017063C" w:rsidRPr="00EA6C7A">
        <w:rPr>
          <w:rFonts w:ascii="Verdana" w:eastAsia="Batang" w:hAnsi="Verdana" w:cs="Arial"/>
          <w:sz w:val="20"/>
          <w:szCs w:val="20"/>
          <w:lang w:val="en-US" w:eastAsia="es-MX"/>
        </w:rPr>
        <w:t>Claudina Velásquez</w:t>
      </w:r>
      <w:r w:rsidRPr="00EA6C7A">
        <w:rPr>
          <w:rFonts w:ascii="Verdana" w:eastAsia="Batang" w:hAnsi="Verdana" w:cs="Arial"/>
          <w:sz w:val="20"/>
          <w:szCs w:val="20"/>
          <w:lang w:val="en-US" w:eastAsia="es-MX"/>
        </w:rPr>
        <w:t xml:space="preserve"> in greater detail, they realized they had prejudged her erroneously and</w:t>
      </w:r>
      <w:r w:rsidR="00916CD8" w:rsidRPr="00EA6C7A">
        <w:rPr>
          <w:rFonts w:ascii="Verdana" w:eastAsia="Batang" w:hAnsi="Verdana" w:cs="Arial"/>
          <w:sz w:val="20"/>
          <w:szCs w:val="20"/>
          <w:lang w:val="en-US" w:eastAsia="es-MX"/>
        </w:rPr>
        <w:t xml:space="preserve"> conducted a closer</w:t>
      </w:r>
      <w:r w:rsidRPr="00EA6C7A">
        <w:rPr>
          <w:rFonts w:ascii="Verdana" w:eastAsia="Batang" w:hAnsi="Verdana" w:cs="Arial"/>
          <w:sz w:val="20"/>
          <w:szCs w:val="20"/>
          <w:lang w:val="en-US" w:eastAsia="es-MX"/>
        </w:rPr>
        <w:t xml:space="preserve"> </w:t>
      </w:r>
      <w:r w:rsidR="00916CD8" w:rsidRPr="00EA6C7A">
        <w:rPr>
          <w:rFonts w:ascii="Verdana" w:eastAsia="Batang" w:hAnsi="Verdana" w:cs="Arial"/>
          <w:sz w:val="20"/>
          <w:szCs w:val="20"/>
          <w:lang w:val="en-US" w:eastAsia="es-MX"/>
        </w:rPr>
        <w:t xml:space="preserve">inspection of </w:t>
      </w:r>
      <w:r w:rsidRPr="00EA6C7A">
        <w:rPr>
          <w:rFonts w:ascii="Verdana" w:eastAsia="Batang" w:hAnsi="Verdana" w:cs="Arial"/>
          <w:sz w:val="20"/>
          <w:szCs w:val="20"/>
          <w:lang w:val="en-US" w:eastAsia="es-MX"/>
        </w:rPr>
        <w:t>the crime scene.</w:t>
      </w:r>
      <w:r w:rsidR="0017063C" w:rsidRPr="00EA6C7A">
        <w:rPr>
          <w:rFonts w:ascii="Verdana" w:eastAsia="Calibri" w:hAnsi="Verdana"/>
          <w:sz w:val="20"/>
          <w:szCs w:val="20"/>
          <w:vertAlign w:val="superscript"/>
          <w:lang w:val="en-US" w:eastAsia="es-MX"/>
        </w:rPr>
        <w:footnoteReference w:id="278"/>
      </w:r>
      <w:r w:rsidR="0017063C" w:rsidRPr="00EA6C7A">
        <w:rPr>
          <w:rFonts w:ascii="Verdana" w:eastAsia="Batang" w:hAnsi="Verdana" w:cs="Arial"/>
          <w:sz w:val="20"/>
          <w:szCs w:val="20"/>
          <w:lang w:val="en-US" w:eastAsia="es-MX"/>
        </w:rPr>
        <w:t xml:space="preserve"> </w:t>
      </w:r>
    </w:p>
    <w:p w14:paraId="497BEC6C" w14:textId="77777777" w:rsidR="0017063C" w:rsidRPr="00EA6C7A" w:rsidRDefault="0017063C" w:rsidP="0017063C">
      <w:pPr>
        <w:autoSpaceDE w:val="0"/>
        <w:autoSpaceDN w:val="0"/>
        <w:adjustRightInd w:val="0"/>
        <w:spacing w:after="0" w:line="240" w:lineRule="auto"/>
        <w:jc w:val="both"/>
        <w:rPr>
          <w:rFonts w:ascii="Verdana" w:eastAsia="Calibri" w:hAnsi="Verdana"/>
          <w:sz w:val="20"/>
          <w:szCs w:val="20"/>
          <w:lang w:val="en-US"/>
        </w:rPr>
      </w:pPr>
    </w:p>
    <w:p w14:paraId="3229C23A" w14:textId="77777777" w:rsidR="0017063C" w:rsidRPr="00EA6C7A" w:rsidRDefault="00052DC7" w:rsidP="00052DC7">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In this regard, although the State did not deny</w:t>
      </w:r>
      <w:r w:rsidR="00916CD8" w:rsidRPr="00EA6C7A">
        <w:rPr>
          <w:rFonts w:ascii="Verdana" w:eastAsia="Batang" w:hAnsi="Verdana"/>
          <w:sz w:val="20"/>
          <w:szCs w:val="20"/>
          <w:lang w:val="en-US" w:eastAsia="es-MX"/>
        </w:rPr>
        <w:t xml:space="preserve"> the foregoing</w:t>
      </w:r>
      <w:r w:rsidRPr="00EA6C7A">
        <w:rPr>
          <w:rFonts w:ascii="Verdana" w:eastAsia="Batang" w:hAnsi="Verdana"/>
          <w:sz w:val="20"/>
          <w:szCs w:val="20"/>
          <w:lang w:val="en-US" w:eastAsia="es-MX"/>
        </w:rPr>
        <w:t xml:space="preserve"> categorically, their defense was based on asserting that, if a police agent had issued any opinion, he</w:t>
      </w:r>
      <w:r w:rsidR="00916CD8" w:rsidRPr="00EA6C7A">
        <w:rPr>
          <w:rFonts w:ascii="Verdana" w:eastAsia="Batang" w:hAnsi="Verdana"/>
          <w:sz w:val="20"/>
          <w:szCs w:val="20"/>
          <w:lang w:val="en-US" w:eastAsia="es-MX"/>
        </w:rPr>
        <w:t xml:space="preserve"> or she</w:t>
      </w:r>
      <w:r w:rsidRPr="00EA6C7A">
        <w:rPr>
          <w:rFonts w:ascii="Verdana" w:eastAsia="Batang" w:hAnsi="Verdana"/>
          <w:sz w:val="20"/>
          <w:szCs w:val="20"/>
          <w:lang w:val="en-US" w:eastAsia="es-MX"/>
        </w:rPr>
        <w:t xml:space="preserve"> would have done so “on a personal basis,” without affecting the investigation, and that the </w:t>
      </w:r>
      <w:r w:rsidR="00B3248B" w:rsidRPr="00EA6C7A">
        <w:rPr>
          <w:rFonts w:ascii="Verdana" w:eastAsia="Batang" w:hAnsi="Verdana" w:cs="Arial"/>
          <w:sz w:val="20"/>
          <w:szCs w:val="20"/>
          <w:lang w:val="en-US" w:eastAsia="es-MX"/>
        </w:rPr>
        <w:t>Public Prosecution Service</w:t>
      </w:r>
      <w:r w:rsidR="0017063C"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 xml:space="preserve">was </w:t>
      </w:r>
      <w:r w:rsidR="00916CD8" w:rsidRPr="00EA6C7A">
        <w:rPr>
          <w:rFonts w:ascii="Verdana" w:eastAsia="Batang" w:hAnsi="Verdana" w:cs="Arial"/>
          <w:sz w:val="20"/>
          <w:szCs w:val="20"/>
          <w:lang w:val="en-US" w:eastAsia="es-MX"/>
        </w:rPr>
        <w:t>in charge of</w:t>
      </w:r>
      <w:r w:rsidRPr="00EA6C7A">
        <w:rPr>
          <w:rFonts w:ascii="Verdana" w:eastAsia="Batang" w:hAnsi="Verdana" w:cs="Arial"/>
          <w:sz w:val="20"/>
          <w:szCs w:val="20"/>
          <w:lang w:val="en-US" w:eastAsia="es-MX"/>
        </w:rPr>
        <w:t xml:space="preserve"> the investigation</w:t>
      </w:r>
      <w:r w:rsidR="0017063C" w:rsidRPr="00EA6C7A">
        <w:rPr>
          <w:rFonts w:ascii="Verdana" w:eastAsia="Batang" w:hAnsi="Verdana" w:cs="Arial"/>
          <w:sz w:val="20"/>
          <w:szCs w:val="20"/>
          <w:lang w:val="en-US" w:eastAsia="es-MX"/>
        </w:rPr>
        <w:t xml:space="preserve"> (</w:t>
      </w:r>
      <w:r w:rsidR="0017063C" w:rsidRPr="00EA6C7A">
        <w:rPr>
          <w:rFonts w:ascii="Verdana" w:eastAsia="Batang" w:hAnsi="Verdana" w:cs="Arial"/>
          <w:i/>
          <w:sz w:val="20"/>
          <w:szCs w:val="20"/>
          <w:lang w:val="en-US" w:eastAsia="es-MX"/>
        </w:rPr>
        <w:t>supra</w:t>
      </w:r>
      <w:r w:rsidR="0017063C" w:rsidRPr="00EA6C7A">
        <w:rPr>
          <w:rFonts w:ascii="Verdana" w:eastAsia="Batang" w:hAnsi="Verdana" w:cs="Arial"/>
          <w:sz w:val="20"/>
          <w:szCs w:val="20"/>
          <w:lang w:val="en-US" w:eastAsia="es-MX"/>
        </w:rPr>
        <w:t xml:space="preserve"> </w:t>
      </w:r>
      <w:r w:rsidR="002F3848" w:rsidRPr="00EA6C7A">
        <w:rPr>
          <w:rFonts w:ascii="Verdana" w:eastAsia="Batang" w:hAnsi="Verdana" w:cs="Arial"/>
          <w:sz w:val="20"/>
          <w:szCs w:val="20"/>
          <w:lang w:val="en-US" w:eastAsia="es-MX"/>
        </w:rPr>
        <w:t>para.</w:t>
      </w:r>
      <w:r w:rsidR="0017063C" w:rsidRPr="00EA6C7A">
        <w:rPr>
          <w:rFonts w:ascii="Verdana" w:eastAsia="Batang" w:hAnsi="Verdana" w:cs="Arial"/>
          <w:sz w:val="20"/>
          <w:szCs w:val="20"/>
          <w:lang w:val="en-US" w:eastAsia="es-MX"/>
        </w:rPr>
        <w:t xml:space="preserve"> 141).</w:t>
      </w:r>
    </w:p>
    <w:p w14:paraId="070D007E" w14:textId="77777777" w:rsidR="0017063C" w:rsidRPr="00EA6C7A" w:rsidRDefault="0017063C" w:rsidP="00052DC7">
      <w:pPr>
        <w:tabs>
          <w:tab w:val="left" w:pos="720"/>
        </w:tabs>
        <w:autoSpaceDE w:val="0"/>
        <w:autoSpaceDN w:val="0"/>
        <w:adjustRightInd w:val="0"/>
        <w:spacing w:after="0" w:line="240" w:lineRule="auto"/>
        <w:jc w:val="both"/>
        <w:rPr>
          <w:rFonts w:ascii="Verdana" w:eastAsia="Calibri" w:hAnsi="Verdana"/>
          <w:sz w:val="20"/>
          <w:szCs w:val="20"/>
          <w:lang w:val="en-US"/>
        </w:rPr>
      </w:pPr>
    </w:p>
    <w:p w14:paraId="18D897F3" w14:textId="77777777" w:rsidR="0017063C" w:rsidRPr="00EA6C7A" w:rsidRDefault="0096418F" w:rsidP="00052DC7">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cs="Arial"/>
          <w:sz w:val="20"/>
          <w:szCs w:val="20"/>
          <w:lang w:val="en-US" w:eastAsia="es-MX"/>
        </w:rPr>
        <w:t>The Court</w:t>
      </w:r>
      <w:r w:rsidR="0017063C" w:rsidRPr="00EA6C7A">
        <w:rPr>
          <w:rFonts w:ascii="Verdana" w:eastAsia="Batang" w:hAnsi="Verdana" w:cs="Arial"/>
          <w:sz w:val="20"/>
          <w:szCs w:val="20"/>
          <w:lang w:val="en-US" w:eastAsia="es-MX"/>
        </w:rPr>
        <w:t xml:space="preserve"> </w:t>
      </w:r>
      <w:r w:rsidR="00052DC7" w:rsidRPr="00EA6C7A">
        <w:rPr>
          <w:rFonts w:ascii="Verdana" w:eastAsia="Batang" w:hAnsi="Verdana" w:cs="Arial"/>
          <w:sz w:val="20"/>
          <w:szCs w:val="20"/>
          <w:lang w:val="en-US" w:eastAsia="es-MX"/>
        </w:rPr>
        <w:t xml:space="preserve">notes that in </w:t>
      </w:r>
      <w:r w:rsidR="007B566E" w:rsidRPr="00EA6C7A">
        <w:rPr>
          <w:rFonts w:ascii="Verdana" w:eastAsia="Batang" w:hAnsi="Verdana" w:cs="Arial"/>
          <w:sz w:val="20"/>
          <w:szCs w:val="20"/>
          <w:lang w:val="en-US" w:eastAsia="es-MX"/>
        </w:rPr>
        <w:t>August</w:t>
      </w:r>
      <w:r w:rsidR="0017063C" w:rsidRPr="00EA6C7A">
        <w:rPr>
          <w:rFonts w:ascii="Verdana" w:eastAsia="Batang" w:hAnsi="Verdana" w:cs="Arial"/>
          <w:sz w:val="20"/>
          <w:szCs w:val="20"/>
          <w:lang w:val="en-US" w:eastAsia="es-MX"/>
        </w:rPr>
        <w:t xml:space="preserve"> 2005</w:t>
      </w:r>
      <w:r w:rsidR="00052DC7" w:rsidRPr="00EA6C7A">
        <w:rPr>
          <w:rFonts w:ascii="Verdana" w:eastAsia="Batang" w:hAnsi="Verdana" w:cs="Arial"/>
          <w:sz w:val="20"/>
          <w:szCs w:val="20"/>
          <w:lang w:val="en-US" w:eastAsia="es-MX"/>
        </w:rPr>
        <w:t xml:space="preserve">, </w:t>
      </w:r>
      <w:r w:rsidR="0017063C" w:rsidRPr="00EA6C7A">
        <w:rPr>
          <w:rFonts w:ascii="Verdana" w:eastAsia="Batang" w:hAnsi="Verdana" w:cs="Arial"/>
          <w:sz w:val="20"/>
          <w:szCs w:val="20"/>
          <w:lang w:val="en-US" w:eastAsia="es-MX"/>
        </w:rPr>
        <w:t>Carol</w:t>
      </w:r>
      <w:r w:rsidR="00A41E5A" w:rsidRPr="00EA6C7A">
        <w:rPr>
          <w:rFonts w:ascii="Verdana" w:eastAsia="Batang" w:hAnsi="Verdana" w:cs="Arial"/>
          <w:sz w:val="20"/>
          <w:szCs w:val="20"/>
          <w:lang w:val="en-US" w:eastAsia="es-MX"/>
        </w:rPr>
        <w:t>ina Elizabeth R</w:t>
      </w:r>
      <w:r w:rsidR="00916CD8" w:rsidRPr="00EA6C7A">
        <w:rPr>
          <w:rFonts w:ascii="Verdana" w:eastAsia="Batang" w:hAnsi="Verdana" w:cs="Arial"/>
          <w:sz w:val="20"/>
          <w:szCs w:val="20"/>
          <w:lang w:val="en-US" w:eastAsia="es-MX"/>
        </w:rPr>
        <w:t>uiz</w:t>
      </w:r>
      <w:r w:rsidR="00052DC7" w:rsidRPr="00EA6C7A">
        <w:rPr>
          <w:rFonts w:ascii="Verdana" w:eastAsia="Batang" w:hAnsi="Verdana" w:cs="Arial"/>
          <w:sz w:val="20"/>
          <w:szCs w:val="20"/>
          <w:lang w:val="en-US" w:eastAsia="es-MX"/>
        </w:rPr>
        <w:t xml:space="preserve"> </w:t>
      </w:r>
      <w:r w:rsidR="00916CD8" w:rsidRPr="00EA6C7A">
        <w:rPr>
          <w:rFonts w:ascii="Verdana" w:eastAsia="Batang" w:hAnsi="Verdana" w:cs="Arial"/>
          <w:sz w:val="20"/>
          <w:szCs w:val="20"/>
          <w:lang w:val="en-US" w:eastAsia="es-MX"/>
        </w:rPr>
        <w:t>w</w:t>
      </w:r>
      <w:r w:rsidR="00052DC7" w:rsidRPr="00EA6C7A">
        <w:rPr>
          <w:rFonts w:ascii="Verdana" w:eastAsia="Batang" w:hAnsi="Verdana" w:cs="Arial"/>
          <w:sz w:val="20"/>
          <w:szCs w:val="20"/>
          <w:lang w:val="en-US" w:eastAsia="es-MX"/>
        </w:rPr>
        <w:t xml:space="preserve">as an investigator for </w:t>
      </w:r>
      <w:r w:rsidR="00B109AB" w:rsidRPr="00EA6C7A">
        <w:rPr>
          <w:rFonts w:ascii="Verdana" w:eastAsia="Batang" w:hAnsi="Verdana" w:cs="Arial"/>
          <w:sz w:val="20"/>
          <w:szCs w:val="20"/>
          <w:lang w:val="en-US" w:eastAsia="es-MX"/>
        </w:rPr>
        <w:t>the Unit</w:t>
      </w:r>
      <w:r w:rsidR="00EF1D78" w:rsidRPr="00EA6C7A">
        <w:rPr>
          <w:rFonts w:ascii="Verdana" w:eastAsia="Batang" w:hAnsi="Verdana" w:cs="Arial"/>
          <w:sz w:val="20"/>
          <w:szCs w:val="20"/>
          <w:lang w:val="en-US" w:eastAsia="es-MX"/>
        </w:rPr>
        <w:t xml:space="preserve"> to Combat Murders of Women</w:t>
      </w:r>
      <w:r w:rsidR="0017063C" w:rsidRPr="00EA6C7A">
        <w:rPr>
          <w:rFonts w:ascii="Verdana" w:eastAsia="Batang" w:hAnsi="Verdana" w:cs="Arial"/>
          <w:sz w:val="20"/>
          <w:szCs w:val="20"/>
          <w:lang w:val="en-US" w:eastAsia="es-MX"/>
        </w:rPr>
        <w:t xml:space="preserve"> </w:t>
      </w:r>
      <w:r w:rsidR="005319CD" w:rsidRPr="00EA6C7A">
        <w:rPr>
          <w:rFonts w:ascii="Verdana" w:eastAsia="Batang" w:hAnsi="Verdana" w:cs="Arial"/>
          <w:sz w:val="20"/>
          <w:szCs w:val="20"/>
          <w:lang w:val="en-US" w:eastAsia="es-MX"/>
        </w:rPr>
        <w:t>of the PNC Criminal Investigation Service</w:t>
      </w:r>
      <w:r w:rsidR="00D948A1" w:rsidRPr="00EA6C7A">
        <w:rPr>
          <w:rFonts w:ascii="Verdana" w:eastAsia="Batang" w:hAnsi="Verdana" w:cs="Arial"/>
          <w:sz w:val="20"/>
          <w:szCs w:val="20"/>
          <w:lang w:val="en-US" w:eastAsia="es-MX"/>
        </w:rPr>
        <w:t xml:space="preserve"> and </w:t>
      </w:r>
      <w:r w:rsidR="00052DC7" w:rsidRPr="00EA6C7A">
        <w:rPr>
          <w:rFonts w:ascii="Verdana" w:eastAsia="Batang" w:hAnsi="Verdana" w:cs="Arial"/>
          <w:sz w:val="20"/>
          <w:szCs w:val="20"/>
          <w:lang w:val="en-US" w:eastAsia="es-MX"/>
        </w:rPr>
        <w:t xml:space="preserve">that she was assigned as an investigator in the case relating to the death of </w:t>
      </w:r>
      <w:r w:rsidR="0017063C" w:rsidRPr="00EA6C7A">
        <w:rPr>
          <w:rFonts w:ascii="Verdana" w:eastAsia="Batang" w:hAnsi="Verdana" w:cs="Arial"/>
          <w:sz w:val="20"/>
          <w:szCs w:val="20"/>
          <w:lang w:val="en-US" w:eastAsia="es-MX"/>
        </w:rPr>
        <w:t xml:space="preserve">Claudina Velásquez. </w:t>
      </w:r>
      <w:r w:rsidR="00052DC7" w:rsidRPr="00EA6C7A">
        <w:rPr>
          <w:rFonts w:ascii="Verdana" w:eastAsia="Batang" w:hAnsi="Verdana" w:cs="Arial"/>
          <w:sz w:val="20"/>
          <w:szCs w:val="20"/>
          <w:lang w:val="en-US" w:eastAsia="es-MX"/>
        </w:rPr>
        <w:t xml:space="preserve">In this regard, it is on record that, in the context of the police investigation, this State agent </w:t>
      </w:r>
      <w:r w:rsidR="00916CD8" w:rsidRPr="00EA6C7A">
        <w:rPr>
          <w:rFonts w:ascii="Verdana" w:eastAsia="Batang" w:hAnsi="Verdana" w:cs="Arial"/>
          <w:sz w:val="20"/>
          <w:szCs w:val="20"/>
          <w:lang w:val="en-US" w:eastAsia="es-MX"/>
        </w:rPr>
        <w:t>conducted</w:t>
      </w:r>
      <w:r w:rsidR="00052DC7" w:rsidRPr="00EA6C7A">
        <w:rPr>
          <w:rFonts w:ascii="Verdana" w:eastAsia="Batang" w:hAnsi="Verdana" w:cs="Arial"/>
          <w:sz w:val="20"/>
          <w:szCs w:val="20"/>
          <w:lang w:val="en-US" w:eastAsia="es-MX"/>
        </w:rPr>
        <w:t xml:space="preserve"> several investigative procedures, played an important role during the initial moments of the investigation, and addressed investigation reports to the prosecutor dated August </w:t>
      </w:r>
      <w:r w:rsidR="0017063C" w:rsidRPr="00EA6C7A">
        <w:rPr>
          <w:rFonts w:ascii="Verdana" w:eastAsia="Batang" w:hAnsi="Verdana" w:cs="Arial"/>
          <w:sz w:val="20"/>
          <w:szCs w:val="20"/>
          <w:lang w:val="en-US" w:eastAsia="es-MX"/>
        </w:rPr>
        <w:t>13, 22</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2</w:t>
      </w:r>
      <w:r w:rsidR="003F510E" w:rsidRPr="00EA6C7A">
        <w:rPr>
          <w:rFonts w:ascii="Verdana" w:eastAsia="Batang" w:hAnsi="Verdana" w:cs="Arial"/>
          <w:sz w:val="20"/>
          <w:szCs w:val="20"/>
          <w:lang w:val="en-US" w:eastAsia="es-MX"/>
        </w:rPr>
        <w:t>5,</w:t>
      </w:r>
      <w:r w:rsidR="0017063C" w:rsidRPr="00EA6C7A">
        <w:rPr>
          <w:rFonts w:ascii="Verdana" w:eastAsia="Batang" w:hAnsi="Verdana" w:cs="Arial"/>
          <w:sz w:val="20"/>
          <w:szCs w:val="20"/>
          <w:lang w:val="en-US" w:eastAsia="es-MX"/>
        </w:rPr>
        <w:t xml:space="preserve"> 2005</w:t>
      </w:r>
      <w:r w:rsidR="00052DC7" w:rsidRPr="00EA6C7A">
        <w:rPr>
          <w:rFonts w:ascii="Verdana" w:eastAsia="Batang" w:hAnsi="Verdana" w:cs="Arial"/>
          <w:sz w:val="20"/>
          <w:szCs w:val="20"/>
          <w:lang w:val="en-US" w:eastAsia="es-MX"/>
        </w:rPr>
        <w:t>.</w:t>
      </w:r>
      <w:r w:rsidR="0017063C" w:rsidRPr="00EA6C7A">
        <w:rPr>
          <w:rFonts w:ascii="Verdana" w:eastAsia="Batang" w:hAnsi="Verdana"/>
          <w:sz w:val="20"/>
          <w:szCs w:val="20"/>
          <w:vertAlign w:val="superscript"/>
          <w:lang w:val="en-US" w:eastAsia="es-MX"/>
        </w:rPr>
        <w:footnoteReference w:id="279"/>
      </w:r>
      <w:r w:rsidR="0017063C" w:rsidRPr="00EA6C7A">
        <w:rPr>
          <w:rFonts w:ascii="Verdana" w:eastAsia="Batang" w:hAnsi="Verdana" w:cs="Arial"/>
          <w:sz w:val="20"/>
          <w:szCs w:val="20"/>
          <w:lang w:val="en-US" w:eastAsia="es-MX"/>
        </w:rPr>
        <w:t xml:space="preserve"> </w:t>
      </w:r>
      <w:r w:rsidR="00052DC7" w:rsidRPr="00EA6C7A">
        <w:rPr>
          <w:rFonts w:ascii="Verdana" w:eastAsia="Batang" w:hAnsi="Verdana" w:cs="Arial"/>
          <w:sz w:val="20"/>
          <w:szCs w:val="20"/>
          <w:lang w:val="en-US" w:eastAsia="es-MX"/>
        </w:rPr>
        <w:t>The participation</w:t>
      </w:r>
      <w:r w:rsidR="00D75E80" w:rsidRPr="00EA6C7A">
        <w:rPr>
          <w:rFonts w:ascii="Verdana" w:eastAsia="Batang" w:hAnsi="Verdana" w:cs="Arial"/>
          <w:sz w:val="20"/>
          <w:szCs w:val="20"/>
          <w:lang w:val="en-US" w:eastAsia="es-MX"/>
        </w:rPr>
        <w:t xml:space="preserve"> of the </w:t>
      </w:r>
      <w:r w:rsidR="00B109AB" w:rsidRPr="00EA6C7A">
        <w:rPr>
          <w:rFonts w:ascii="Verdana" w:eastAsia="Batang" w:hAnsi="Verdana" w:cs="Arial"/>
          <w:sz w:val="20"/>
          <w:szCs w:val="20"/>
          <w:lang w:val="en-US" w:eastAsia="es-MX"/>
        </w:rPr>
        <w:t>investigator</w:t>
      </w:r>
      <w:r w:rsidR="00052DC7"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 Carolina Elizabeth Ruiz</w:t>
      </w:r>
      <w:r w:rsidR="00052DC7" w:rsidRPr="00EA6C7A">
        <w:rPr>
          <w:rFonts w:ascii="Verdana" w:eastAsia="Batang" w:hAnsi="Verdana" w:cs="Arial"/>
          <w:sz w:val="20"/>
          <w:szCs w:val="20"/>
          <w:lang w:val="en-US" w:eastAsia="es-MX"/>
        </w:rPr>
        <w:t>, was based on a</w:t>
      </w:r>
      <w:r w:rsidRPr="00EA6C7A">
        <w:rPr>
          <w:rFonts w:ascii="Verdana" w:eastAsia="Batang" w:hAnsi="Verdana" w:cs="Arial"/>
          <w:sz w:val="20"/>
          <w:szCs w:val="20"/>
          <w:lang w:val="en-US" w:eastAsia="es-MX"/>
        </w:rPr>
        <w:t>rticles</w:t>
      </w:r>
      <w:r w:rsidR="0017063C" w:rsidRPr="00EA6C7A">
        <w:rPr>
          <w:rFonts w:ascii="Verdana" w:eastAsia="Batang" w:hAnsi="Verdana" w:cs="Arial"/>
          <w:sz w:val="20"/>
          <w:szCs w:val="20"/>
          <w:lang w:val="en-US" w:eastAsia="es-MX"/>
        </w:rPr>
        <w:t xml:space="preserve"> 304</w:t>
      </w:r>
      <w:r w:rsidR="00D948A1" w:rsidRPr="00EA6C7A">
        <w:rPr>
          <w:rFonts w:ascii="Verdana" w:eastAsia="Batang" w:hAnsi="Verdana" w:cs="Arial"/>
          <w:sz w:val="20"/>
          <w:szCs w:val="20"/>
          <w:lang w:val="en-US" w:eastAsia="es-MX"/>
        </w:rPr>
        <w:t xml:space="preserve"> and </w:t>
      </w:r>
      <w:r w:rsidR="0017063C" w:rsidRPr="00EA6C7A">
        <w:rPr>
          <w:rFonts w:ascii="Verdana" w:eastAsia="Batang" w:hAnsi="Verdana" w:cs="Arial"/>
          <w:sz w:val="20"/>
          <w:szCs w:val="20"/>
          <w:lang w:val="en-US" w:eastAsia="es-MX"/>
        </w:rPr>
        <w:t xml:space="preserve">307 </w:t>
      </w:r>
      <w:r w:rsidR="00052DC7" w:rsidRPr="00EA6C7A">
        <w:rPr>
          <w:rFonts w:ascii="Verdana" w:eastAsia="Batang" w:hAnsi="Verdana" w:cs="Arial"/>
          <w:sz w:val="20"/>
          <w:szCs w:val="20"/>
          <w:lang w:val="en-US" w:eastAsia="es-MX"/>
        </w:rPr>
        <w:t>of the</w:t>
      </w:r>
      <w:r w:rsidR="0017063C" w:rsidRPr="00EA6C7A">
        <w:rPr>
          <w:rFonts w:ascii="Verdana" w:eastAsia="Batang" w:hAnsi="Verdana" w:cs="Arial"/>
          <w:sz w:val="20"/>
          <w:szCs w:val="20"/>
          <w:lang w:val="en-US" w:eastAsia="es-MX"/>
        </w:rPr>
        <w:t xml:space="preserve"> </w:t>
      </w:r>
      <w:r w:rsidR="00052DC7" w:rsidRPr="00EA6C7A">
        <w:rPr>
          <w:rFonts w:ascii="Verdana" w:eastAsia="Batang" w:hAnsi="Verdana" w:cs="Arial"/>
          <w:sz w:val="20"/>
          <w:szCs w:val="20"/>
          <w:lang w:val="en-US" w:eastAsia="es-MX"/>
        </w:rPr>
        <w:t>Code of Criminal Procedure in force at the time of the facts.</w:t>
      </w:r>
      <w:r w:rsidR="0017063C" w:rsidRPr="00EA6C7A">
        <w:rPr>
          <w:rStyle w:val="Refdenotaalpie"/>
          <w:rFonts w:ascii="Verdana" w:eastAsia="Batang" w:hAnsi="Verdana" w:cs="Arial"/>
          <w:sz w:val="20"/>
          <w:szCs w:val="20"/>
          <w:lang w:val="en-US" w:eastAsia="es-MX"/>
        </w:rPr>
        <w:footnoteReference w:id="280"/>
      </w:r>
      <w:r w:rsidR="00052DC7" w:rsidRPr="00EA6C7A">
        <w:rPr>
          <w:rFonts w:ascii="Verdana" w:eastAsia="Batang" w:hAnsi="Verdana" w:cs="Arial"/>
          <w:sz w:val="20"/>
          <w:szCs w:val="20"/>
          <w:lang w:val="en-US" w:eastAsia="es-MX"/>
        </w:rPr>
        <w:t xml:space="preserve"> Consequently, </w:t>
      </w:r>
      <w:r w:rsidR="00052DC7" w:rsidRPr="00EA6C7A">
        <w:rPr>
          <w:rFonts w:ascii="Verdana" w:eastAsia="Batang" w:hAnsi="Verdana" w:cs="Arial"/>
          <w:sz w:val="20"/>
          <w:szCs w:val="20"/>
          <w:lang w:val="en-US" w:eastAsia="es-MX"/>
        </w:rPr>
        <w:lastRenderedPageBreak/>
        <w:t xml:space="preserve">it is plain that her </w:t>
      </w:r>
      <w:r w:rsidR="00916CD8" w:rsidRPr="00EA6C7A">
        <w:rPr>
          <w:rFonts w:ascii="Verdana" w:eastAsia="Batang" w:hAnsi="Verdana" w:cs="Arial"/>
          <w:sz w:val="20"/>
          <w:szCs w:val="20"/>
          <w:lang w:val="en-US" w:eastAsia="es-MX"/>
        </w:rPr>
        <w:t>statements</w:t>
      </w:r>
      <w:r w:rsidR="00052DC7" w:rsidRPr="00EA6C7A">
        <w:rPr>
          <w:rFonts w:ascii="Verdana" w:eastAsia="Batang" w:hAnsi="Verdana" w:cs="Arial"/>
          <w:sz w:val="20"/>
          <w:szCs w:val="20"/>
          <w:lang w:val="en-US" w:eastAsia="es-MX"/>
        </w:rPr>
        <w:t xml:space="preserve"> were made within the framework of her investigative functions and activities as a State agent and from the significant perspective that she had been present during the processing of the </w:t>
      </w:r>
      <w:r w:rsidR="00916CD8" w:rsidRPr="00EA6C7A">
        <w:rPr>
          <w:rFonts w:ascii="Verdana" w:eastAsia="Batang" w:hAnsi="Verdana" w:cs="Arial"/>
          <w:sz w:val="20"/>
          <w:szCs w:val="20"/>
          <w:lang w:val="en-US" w:eastAsia="es-MX"/>
        </w:rPr>
        <w:t xml:space="preserve">crime </w:t>
      </w:r>
      <w:r w:rsidR="00052DC7" w:rsidRPr="00EA6C7A">
        <w:rPr>
          <w:rFonts w:ascii="Verdana" w:eastAsia="Batang" w:hAnsi="Verdana" w:cs="Arial"/>
          <w:sz w:val="20"/>
          <w:szCs w:val="20"/>
          <w:lang w:val="en-US" w:eastAsia="es-MX"/>
        </w:rPr>
        <w:t xml:space="preserve">scene and </w:t>
      </w:r>
      <w:r w:rsidR="00916CD8" w:rsidRPr="00EA6C7A">
        <w:rPr>
          <w:rFonts w:ascii="Verdana" w:eastAsia="Batang" w:hAnsi="Verdana" w:cs="Arial"/>
          <w:sz w:val="20"/>
          <w:szCs w:val="20"/>
          <w:lang w:val="en-US" w:eastAsia="es-MX"/>
        </w:rPr>
        <w:t>witnessed</w:t>
      </w:r>
      <w:r w:rsidR="00052DC7" w:rsidRPr="00EA6C7A">
        <w:rPr>
          <w:rFonts w:ascii="Verdana" w:eastAsia="Batang" w:hAnsi="Verdana" w:cs="Arial"/>
          <w:sz w:val="20"/>
          <w:szCs w:val="20"/>
          <w:lang w:val="en-US" w:eastAsia="es-MX"/>
        </w:rPr>
        <w:t xml:space="preserve"> the work of the members </w:t>
      </w:r>
      <w:r w:rsidR="00D75E80" w:rsidRPr="00EA6C7A">
        <w:rPr>
          <w:rFonts w:ascii="Verdana" w:eastAsia="Batang" w:hAnsi="Verdana" w:cs="Arial"/>
          <w:sz w:val="20"/>
          <w:szCs w:val="20"/>
          <w:lang w:val="en-US" w:eastAsia="es-MX"/>
        </w:rPr>
        <w:t xml:space="preserve">of the </w:t>
      </w:r>
      <w:r w:rsidR="000B3E6E" w:rsidRPr="00EA6C7A">
        <w:rPr>
          <w:rFonts w:ascii="Verdana" w:eastAsia="Batang" w:hAnsi="Verdana" w:cs="Arial"/>
          <w:sz w:val="20"/>
          <w:szCs w:val="20"/>
          <w:lang w:val="en-US" w:eastAsia="es-MX"/>
        </w:rPr>
        <w:t>National Civil Police</w:t>
      </w:r>
      <w:r w:rsidR="00D948A1" w:rsidRPr="00EA6C7A">
        <w:rPr>
          <w:rFonts w:ascii="Verdana" w:eastAsia="Batang" w:hAnsi="Verdana" w:cs="Arial"/>
          <w:sz w:val="20"/>
          <w:szCs w:val="20"/>
          <w:lang w:val="en-US" w:eastAsia="es-MX"/>
        </w:rPr>
        <w:t xml:space="preserve"> and </w:t>
      </w:r>
      <w:r w:rsidR="003E2012" w:rsidRPr="00EA6C7A">
        <w:rPr>
          <w:rFonts w:ascii="Verdana" w:eastAsia="Batang" w:hAnsi="Verdana" w:cs="Arial"/>
          <w:sz w:val="20"/>
          <w:szCs w:val="20"/>
          <w:lang w:val="en-US" w:eastAsia="es-MX"/>
        </w:rPr>
        <w:t>the Public</w:t>
      </w:r>
      <w:r w:rsidR="00B3248B" w:rsidRPr="00EA6C7A">
        <w:rPr>
          <w:rFonts w:ascii="Verdana" w:eastAsia="Batang" w:hAnsi="Verdana" w:cs="Arial"/>
          <w:sz w:val="20"/>
          <w:szCs w:val="20"/>
          <w:lang w:val="en-US" w:eastAsia="es-MX"/>
        </w:rPr>
        <w:t xml:space="preserve"> Prosecution Service</w:t>
      </w:r>
      <w:r w:rsidR="0017063C" w:rsidRPr="00EA6C7A">
        <w:rPr>
          <w:rFonts w:ascii="Verdana" w:eastAsia="Batang" w:hAnsi="Verdana" w:cs="Arial"/>
          <w:sz w:val="20"/>
          <w:szCs w:val="20"/>
          <w:lang w:val="en-US" w:eastAsia="es-MX"/>
        </w:rPr>
        <w:t xml:space="preserve">. </w:t>
      </w:r>
    </w:p>
    <w:p w14:paraId="484A0544" w14:textId="77777777" w:rsidR="0017063C" w:rsidRPr="00EA6C7A" w:rsidRDefault="0017063C" w:rsidP="0017063C">
      <w:pPr>
        <w:spacing w:after="0" w:line="240" w:lineRule="auto"/>
        <w:ind w:left="720"/>
        <w:contextualSpacing/>
        <w:jc w:val="both"/>
        <w:rPr>
          <w:rFonts w:ascii="Verdana" w:hAnsi="Verdana"/>
          <w:sz w:val="20"/>
          <w:szCs w:val="20"/>
          <w:lang w:val="en-US" w:eastAsia="es-MX"/>
        </w:rPr>
      </w:pPr>
    </w:p>
    <w:p w14:paraId="5AB8E030" w14:textId="77777777" w:rsidR="0017063C" w:rsidRPr="00EA6C7A" w:rsidRDefault="0096418F" w:rsidP="00BF7C32">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reitera</w:t>
      </w:r>
      <w:r w:rsidR="00BF7C32" w:rsidRPr="00EA6C7A">
        <w:rPr>
          <w:rFonts w:ascii="Verdana" w:eastAsia="Batang" w:hAnsi="Verdana"/>
          <w:sz w:val="20"/>
          <w:szCs w:val="20"/>
          <w:lang w:val="en-US" w:eastAsia="es-MX"/>
        </w:rPr>
        <w:t>tes that a gender stereotype refers to a preconception of the respective attributes, conducts or characteristics, or roles that are or should be played by men and women</w:t>
      </w:r>
      <w:r w:rsidR="00BF7C32" w:rsidRPr="00EA6C7A">
        <w:rPr>
          <w:rFonts w:ascii="Verdana" w:eastAsia="Calibri"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81"/>
      </w:r>
      <w:r w:rsidR="00D948A1" w:rsidRPr="00EA6C7A">
        <w:rPr>
          <w:rFonts w:ascii="Verdana" w:eastAsia="Batang" w:hAnsi="Verdana"/>
          <w:sz w:val="20"/>
          <w:szCs w:val="20"/>
          <w:lang w:val="en-US" w:eastAsia="es-MX"/>
        </w:rPr>
        <w:t xml:space="preserve"> and </w:t>
      </w:r>
      <w:r w:rsidR="00BF7C32" w:rsidRPr="00EA6C7A">
        <w:rPr>
          <w:rFonts w:ascii="Verdana" w:eastAsia="Batang" w:hAnsi="Verdana"/>
          <w:sz w:val="20"/>
          <w:szCs w:val="20"/>
          <w:lang w:val="en-US" w:eastAsia="es-MX"/>
        </w:rPr>
        <w:t>that it is possible to associate the subordination of women to practices based on socially</w:t>
      </w:r>
      <w:r w:rsidR="007E6D96" w:rsidRPr="00EA6C7A">
        <w:rPr>
          <w:rFonts w:ascii="Verdana" w:eastAsia="Batang" w:hAnsi="Verdana"/>
          <w:sz w:val="20"/>
          <w:szCs w:val="20"/>
          <w:lang w:val="en-US" w:eastAsia="es-MX"/>
        </w:rPr>
        <w:t>-</w:t>
      </w:r>
      <w:r w:rsidR="00BF7C32" w:rsidRPr="00EA6C7A">
        <w:rPr>
          <w:rFonts w:ascii="Verdana" w:eastAsia="Batang" w:hAnsi="Verdana"/>
          <w:sz w:val="20"/>
          <w:szCs w:val="20"/>
          <w:lang w:val="en-US" w:eastAsia="es-MX"/>
        </w:rPr>
        <w:t>dominant and socially</w:t>
      </w:r>
      <w:r w:rsidR="007E6D96" w:rsidRPr="00EA6C7A">
        <w:rPr>
          <w:rFonts w:ascii="Verdana" w:eastAsia="Batang" w:hAnsi="Verdana"/>
          <w:sz w:val="20"/>
          <w:szCs w:val="20"/>
          <w:lang w:val="en-US" w:eastAsia="es-MX"/>
        </w:rPr>
        <w:t>-</w:t>
      </w:r>
      <w:r w:rsidR="00BF7C32" w:rsidRPr="00EA6C7A">
        <w:rPr>
          <w:rFonts w:ascii="Verdana" w:eastAsia="Batang" w:hAnsi="Verdana"/>
          <w:sz w:val="20"/>
          <w:szCs w:val="20"/>
          <w:lang w:val="en-US" w:eastAsia="es-MX"/>
        </w:rPr>
        <w:t xml:space="preserve">persistent gender stereotypes. In this regard, their conception and use becomes one of the causes and consequences of gender-based violence against women, conditions that </w:t>
      </w:r>
      <w:r w:rsidR="007E6D96" w:rsidRPr="00EA6C7A">
        <w:rPr>
          <w:rFonts w:ascii="Verdana" w:eastAsia="Batang" w:hAnsi="Verdana"/>
          <w:sz w:val="20"/>
          <w:szCs w:val="20"/>
          <w:lang w:val="en-US" w:eastAsia="es-MX"/>
        </w:rPr>
        <w:t>are exacerbated</w:t>
      </w:r>
      <w:r w:rsidR="00BF7C32" w:rsidRPr="00EA6C7A">
        <w:rPr>
          <w:rFonts w:ascii="Verdana" w:eastAsia="Batang" w:hAnsi="Verdana"/>
          <w:sz w:val="20"/>
          <w:szCs w:val="20"/>
          <w:lang w:val="en-US" w:eastAsia="es-MX"/>
        </w:rPr>
        <w:t xml:space="preserve"> when they are reflected, implicitly or explicitly, in policies and practices, </w:t>
      </w:r>
      <w:r w:rsidR="007E6D96" w:rsidRPr="00EA6C7A">
        <w:rPr>
          <w:rFonts w:ascii="Verdana" w:eastAsia="Batang" w:hAnsi="Verdana"/>
          <w:sz w:val="20"/>
          <w:szCs w:val="20"/>
          <w:lang w:val="en-US" w:eastAsia="es-MX"/>
        </w:rPr>
        <w:t xml:space="preserve">and </w:t>
      </w:r>
      <w:r w:rsidR="00BF7C32" w:rsidRPr="00EA6C7A">
        <w:rPr>
          <w:rFonts w:ascii="Verdana" w:eastAsia="Batang" w:hAnsi="Verdana"/>
          <w:sz w:val="20"/>
          <w:szCs w:val="20"/>
          <w:lang w:val="en-US" w:eastAsia="es-MX"/>
        </w:rPr>
        <w:t xml:space="preserve">particularly in the </w:t>
      </w:r>
      <w:r w:rsidR="007E6D96" w:rsidRPr="00EA6C7A">
        <w:rPr>
          <w:rFonts w:ascii="Verdana" w:eastAsia="Batang" w:hAnsi="Verdana"/>
          <w:sz w:val="20"/>
          <w:szCs w:val="20"/>
          <w:lang w:val="en-US" w:eastAsia="es-MX"/>
        </w:rPr>
        <w:t>reasoning</w:t>
      </w:r>
      <w:r w:rsidR="00BF7C32" w:rsidRPr="00EA6C7A">
        <w:rPr>
          <w:rFonts w:ascii="Verdana" w:eastAsia="Batang" w:hAnsi="Verdana"/>
          <w:sz w:val="20"/>
          <w:szCs w:val="20"/>
          <w:lang w:val="en-US" w:eastAsia="es-MX"/>
        </w:rPr>
        <w:t xml:space="preserve"> and language of the State authorities.</w:t>
      </w:r>
      <w:r w:rsidR="0017063C" w:rsidRPr="00EA6C7A">
        <w:rPr>
          <w:rFonts w:ascii="Verdana" w:eastAsia="Batang" w:hAnsi="Verdana"/>
          <w:sz w:val="20"/>
          <w:szCs w:val="20"/>
          <w:vertAlign w:val="superscript"/>
          <w:lang w:val="en-US" w:eastAsia="es-MX"/>
        </w:rPr>
        <w:footnoteReference w:id="282"/>
      </w:r>
    </w:p>
    <w:p w14:paraId="017D6D27" w14:textId="77777777" w:rsidR="0017063C" w:rsidRPr="00EA6C7A" w:rsidRDefault="0017063C" w:rsidP="004F278F">
      <w:pPr>
        <w:tabs>
          <w:tab w:val="left" w:pos="720"/>
        </w:tabs>
        <w:spacing w:after="0" w:line="240" w:lineRule="auto"/>
        <w:contextualSpacing/>
        <w:jc w:val="both"/>
        <w:rPr>
          <w:rFonts w:ascii="Verdana" w:hAnsi="Verdana"/>
          <w:sz w:val="20"/>
          <w:szCs w:val="20"/>
          <w:lang w:val="en-US" w:eastAsia="es-MX"/>
        </w:rPr>
      </w:pPr>
    </w:p>
    <w:p w14:paraId="43D1313B" w14:textId="77777777" w:rsidR="0017063C" w:rsidRPr="00EA6C7A" w:rsidRDefault="0055198A" w:rsidP="0055198A">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Expert witnesses</w:t>
      </w:r>
      <w:r w:rsidR="0017063C" w:rsidRPr="00EA6C7A">
        <w:rPr>
          <w:rFonts w:ascii="Verdana" w:eastAsia="Batang" w:hAnsi="Verdana"/>
          <w:sz w:val="20"/>
          <w:szCs w:val="20"/>
          <w:lang w:val="en-US" w:eastAsia="es-MX"/>
        </w:rPr>
        <w:t xml:space="preserve"> Christine Mary Chinkin</w:t>
      </w:r>
      <w:r w:rsidR="0017063C" w:rsidRPr="00EA6C7A">
        <w:rPr>
          <w:rFonts w:ascii="Verdana" w:eastAsia="Batang" w:hAnsi="Verdana"/>
          <w:sz w:val="20"/>
          <w:szCs w:val="20"/>
          <w:vertAlign w:val="superscript"/>
          <w:lang w:val="en-US" w:eastAsia="es-MX"/>
        </w:rPr>
        <w:footnoteReference w:id="283"/>
      </w:r>
      <w:r w:rsidR="00D948A1" w:rsidRPr="00EA6C7A">
        <w:rPr>
          <w:rFonts w:ascii="Verdana" w:eastAsia="Batang" w:hAnsi="Verdana"/>
          <w:sz w:val="20"/>
          <w:szCs w:val="20"/>
          <w:lang w:val="en-US" w:eastAsia="es-MX"/>
        </w:rPr>
        <w:t xml:space="preserve"> and </w:t>
      </w:r>
      <w:r w:rsidR="0017063C" w:rsidRPr="00EA6C7A">
        <w:rPr>
          <w:rFonts w:ascii="Verdana" w:eastAsia="Batang" w:hAnsi="Verdana" w:cs="Arial"/>
          <w:sz w:val="20"/>
          <w:szCs w:val="20"/>
          <w:lang w:val="en-US" w:eastAsia="es-MX"/>
        </w:rPr>
        <w:t>Paloma Soria Montañez</w:t>
      </w:r>
      <w:r w:rsidR="0017063C" w:rsidRPr="00EA6C7A">
        <w:rPr>
          <w:rFonts w:ascii="Verdana" w:eastAsia="Batang" w:hAnsi="Verdana" w:cs="Arial"/>
          <w:sz w:val="20"/>
          <w:szCs w:val="20"/>
          <w:vertAlign w:val="superscript"/>
          <w:lang w:val="en-US" w:eastAsia="es-MX"/>
        </w:rPr>
        <w:footnoteReference w:id="284"/>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asserted that the</w:t>
      </w:r>
      <w:r w:rsidR="007E6D96" w:rsidRPr="00EA6C7A">
        <w:rPr>
          <w:rFonts w:ascii="Verdana" w:eastAsia="Batang" w:hAnsi="Verdana"/>
          <w:sz w:val="20"/>
          <w:szCs w:val="20"/>
          <w:lang w:val="en-US" w:eastAsia="es-MX"/>
        </w:rPr>
        <w:t xml:space="preserve"> actions taken by the authorities in the</w:t>
      </w:r>
      <w:r w:rsidRPr="00EA6C7A">
        <w:rPr>
          <w:rFonts w:ascii="Verdana" w:eastAsia="Batang" w:hAnsi="Verdana"/>
          <w:sz w:val="20"/>
          <w:szCs w:val="20"/>
          <w:lang w:val="en-US" w:eastAsia="es-MX"/>
        </w:rPr>
        <w:t xml:space="preserve"> investigati</w:t>
      </w:r>
      <w:r w:rsidR="007E6D96" w:rsidRPr="00EA6C7A">
        <w:rPr>
          <w:rFonts w:ascii="Verdana" w:eastAsia="Batang" w:hAnsi="Verdana"/>
          <w:sz w:val="20"/>
          <w:szCs w:val="20"/>
          <w:lang w:val="en-US" w:eastAsia="es-MX"/>
        </w:rPr>
        <w:t xml:space="preserve">ons </w:t>
      </w:r>
      <w:r w:rsidRPr="00EA6C7A">
        <w:rPr>
          <w:rFonts w:ascii="Verdana" w:eastAsia="Batang" w:hAnsi="Verdana"/>
          <w:sz w:val="20"/>
          <w:szCs w:val="20"/>
          <w:lang w:val="en-US" w:eastAsia="es-MX"/>
        </w:rPr>
        <w:t xml:space="preserve">into the violent death of Claudina Velásquez were influenced by gender stereotypes because they considered that “her profile corresponded to that </w:t>
      </w:r>
      <w:r w:rsidR="007E6D96" w:rsidRPr="00EA6C7A">
        <w:rPr>
          <w:rFonts w:ascii="Verdana" w:eastAsia="Batang" w:hAnsi="Verdana"/>
          <w:sz w:val="20"/>
          <w:szCs w:val="20"/>
          <w:lang w:val="en-US" w:eastAsia="es-MX"/>
        </w:rPr>
        <w:t>of a gang member</w:t>
      </w:r>
      <w:r w:rsidRPr="00EA6C7A">
        <w:rPr>
          <w:rFonts w:ascii="Verdana" w:eastAsia="Batang" w:hAnsi="Verdana"/>
          <w:sz w:val="20"/>
          <w:szCs w:val="20"/>
          <w:lang w:val="en-US" w:eastAsia="es-MX"/>
        </w:rPr>
        <w:t xml:space="preserve"> </w:t>
      </w:r>
      <w:r w:rsidR="007E6D96" w:rsidRPr="00EA6C7A">
        <w:rPr>
          <w:rFonts w:ascii="Verdana" w:eastAsia="Batang" w:hAnsi="Verdana"/>
          <w:sz w:val="20"/>
          <w:szCs w:val="20"/>
          <w:lang w:val="en-US" w:eastAsia="es-MX"/>
        </w:rPr>
        <w:t>or</w:t>
      </w:r>
      <w:r w:rsidRPr="00EA6C7A">
        <w:rPr>
          <w:rFonts w:ascii="Verdana" w:eastAsia="Batang" w:hAnsi="Verdana"/>
          <w:sz w:val="20"/>
          <w:szCs w:val="20"/>
          <w:lang w:val="en-US" w:eastAsia="es-MX"/>
        </w:rPr>
        <w:t xml:space="preserve"> to that of a prostitute,” “whose death does not have to be investigated.” </w:t>
      </w:r>
      <w:r w:rsidR="00586DC6" w:rsidRPr="00EA6C7A">
        <w:rPr>
          <w:rFonts w:ascii="Verdana" w:eastAsia="Batang" w:hAnsi="Verdana"/>
          <w:sz w:val="20"/>
          <w:szCs w:val="20"/>
          <w:lang w:val="en-US" w:eastAsia="es-MX"/>
        </w:rPr>
        <w:t>Expert witness</w:t>
      </w:r>
      <w:r w:rsidR="0017063C" w:rsidRPr="00EA6C7A">
        <w:rPr>
          <w:rFonts w:ascii="Verdana" w:eastAsia="Batang" w:hAnsi="Verdana"/>
          <w:sz w:val="20"/>
          <w:szCs w:val="20"/>
          <w:lang w:val="en-US" w:eastAsia="es-MX"/>
        </w:rPr>
        <w:t xml:space="preserve"> Christine Mary Chinkin</w:t>
      </w:r>
      <w:r w:rsidR="0017063C" w:rsidRPr="00EA6C7A">
        <w:rPr>
          <w:rFonts w:ascii="Verdana" w:eastAsia="Batang" w:hAnsi="Verdana"/>
          <w:sz w:val="20"/>
          <w:szCs w:val="20"/>
          <w:vertAlign w:val="superscript"/>
          <w:lang w:val="en-US" w:eastAsia="es-MX"/>
        </w:rPr>
        <w:footnoteReference w:id="285"/>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indicated that</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the factors that contributed to this interpretation included that she had gone missing late at night, having been at a party, [her] clothes and accessories […], the smell of alcohol at the scene of the crime, the place where her body was found, and the fact that she was a woman.” She indicated that “[t]his application of stereotypes</w:t>
      </w:r>
      <w:r w:rsidR="007E6D96" w:rsidRPr="00EA6C7A">
        <w:rPr>
          <w:rFonts w:ascii="Verdana" w:eastAsia="Batang" w:hAnsi="Verdana"/>
          <w:sz w:val="20"/>
          <w:szCs w:val="20"/>
          <w:lang w:val="en-US" w:eastAsia="es-MX"/>
        </w:rPr>
        <w:t>, which</w:t>
      </w:r>
      <w:r w:rsidRPr="00EA6C7A">
        <w:rPr>
          <w:rFonts w:ascii="Verdana" w:eastAsia="Batang" w:hAnsi="Verdana"/>
          <w:sz w:val="20"/>
          <w:szCs w:val="20"/>
          <w:lang w:val="en-US" w:eastAsia="es-MX"/>
        </w:rPr>
        <w:t xml:space="preserve"> characterize women based on their clothes</w:t>
      </w:r>
      <w:r w:rsidR="007E6D96"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imposes restraints on women – for example, </w:t>
      </w:r>
      <w:r w:rsidR="007E6D96" w:rsidRPr="00EA6C7A">
        <w:rPr>
          <w:rFonts w:ascii="Verdana" w:eastAsia="Batang" w:hAnsi="Verdana"/>
          <w:sz w:val="20"/>
          <w:szCs w:val="20"/>
          <w:lang w:val="en-US" w:eastAsia="es-MX"/>
        </w:rPr>
        <w:t xml:space="preserve">on </w:t>
      </w:r>
      <w:r w:rsidRPr="00EA6C7A">
        <w:rPr>
          <w:rFonts w:ascii="Verdana" w:eastAsia="Batang" w:hAnsi="Verdana"/>
          <w:sz w:val="20"/>
          <w:szCs w:val="20"/>
          <w:lang w:val="en-US" w:eastAsia="es-MX"/>
        </w:rPr>
        <w:t>their</w:t>
      </w:r>
      <w:r w:rsidRPr="00EA6C7A">
        <w:rPr>
          <w:rFonts w:ascii="Verdana" w:eastAsia="Calibri" w:hAnsi="Verdana"/>
          <w:sz w:val="20"/>
          <w:szCs w:val="20"/>
          <w:lang w:val="en-US" w:eastAsia="es-MX"/>
        </w:rPr>
        <w:t xml:space="preserve"> </w:t>
      </w:r>
      <w:r w:rsidR="002D218C" w:rsidRPr="00EA6C7A">
        <w:rPr>
          <w:rFonts w:ascii="Verdana" w:eastAsia="Batang" w:hAnsi="Verdana"/>
          <w:sz w:val="20"/>
          <w:szCs w:val="20"/>
          <w:lang w:val="en-US" w:eastAsia="es-MX"/>
        </w:rPr>
        <w:t>freedom of movement</w:t>
      </w:r>
      <w:r w:rsidR="0017063C" w:rsidRPr="00EA6C7A">
        <w:rPr>
          <w:rFonts w:ascii="Verdana" w:eastAsia="Batang" w:hAnsi="Verdana"/>
          <w:sz w:val="20"/>
          <w:szCs w:val="20"/>
          <w:lang w:val="en-US" w:eastAsia="es-MX"/>
        </w:rPr>
        <w:t>, expres</w:t>
      </w:r>
      <w:r w:rsidRPr="00EA6C7A">
        <w:rPr>
          <w:rFonts w:ascii="Verdana" w:eastAsia="Batang" w:hAnsi="Verdana"/>
          <w:sz w:val="20"/>
          <w:szCs w:val="20"/>
          <w:lang w:val="en-US" w:eastAsia="es-MX"/>
        </w:rPr>
        <w:t xml:space="preserve">sion and association – by making them fear for their safety and </w:t>
      </w:r>
      <w:r w:rsidR="007E6D96" w:rsidRPr="00EA6C7A">
        <w:rPr>
          <w:rFonts w:ascii="Verdana" w:eastAsia="Batang" w:hAnsi="Verdana"/>
          <w:sz w:val="20"/>
          <w:szCs w:val="20"/>
          <w:lang w:val="en-US" w:eastAsia="es-MX"/>
        </w:rPr>
        <w:t>lack confidence in</w:t>
      </w:r>
      <w:r w:rsidRPr="00EA6C7A">
        <w:rPr>
          <w:rFonts w:ascii="Verdana" w:eastAsia="Batang" w:hAnsi="Verdana"/>
          <w:sz w:val="20"/>
          <w:szCs w:val="20"/>
          <w:lang w:val="en-US" w:eastAsia="es-MX"/>
        </w:rPr>
        <w:t xml:space="preserve"> the possibility of the authorities protecting them adequately,” and that “[t]he climate of impunity created by the inadequate investigations contributed to this.” Meanwhile,</w:t>
      </w:r>
      <w:r w:rsidRPr="00EA6C7A">
        <w:rPr>
          <w:rFonts w:ascii="Verdana" w:eastAsia="Calibri" w:hAnsi="Verdana"/>
          <w:sz w:val="20"/>
          <w:szCs w:val="20"/>
          <w:lang w:val="en-US" w:eastAsia="es-MX"/>
        </w:rPr>
        <w:t xml:space="preserve"> </w:t>
      </w:r>
      <w:r w:rsidRPr="00EA6C7A">
        <w:rPr>
          <w:rFonts w:ascii="Verdana" w:eastAsia="Batang" w:hAnsi="Verdana" w:cs="Arial"/>
          <w:sz w:val="20"/>
          <w:szCs w:val="20"/>
          <w:lang w:val="en-US" w:eastAsia="es-MX"/>
        </w:rPr>
        <w:t>e</w:t>
      </w:r>
      <w:r w:rsidR="00586DC6" w:rsidRPr="00EA6C7A">
        <w:rPr>
          <w:rFonts w:ascii="Verdana" w:eastAsia="Batang" w:hAnsi="Verdana" w:cs="Arial"/>
          <w:sz w:val="20"/>
          <w:szCs w:val="20"/>
          <w:lang w:val="en-US" w:eastAsia="es-MX"/>
        </w:rPr>
        <w:t>xpert witness</w:t>
      </w:r>
      <w:r w:rsidR="0017063C" w:rsidRPr="00EA6C7A">
        <w:rPr>
          <w:rFonts w:ascii="Verdana" w:eastAsia="Batang" w:hAnsi="Verdana" w:cs="Arial"/>
          <w:sz w:val="20"/>
          <w:szCs w:val="20"/>
          <w:lang w:val="en-US" w:eastAsia="es-MX"/>
        </w:rPr>
        <w:t xml:space="preserve"> Paloma Soria Montañez</w:t>
      </w:r>
      <w:r w:rsidR="0017063C" w:rsidRPr="00EA6C7A">
        <w:rPr>
          <w:rFonts w:ascii="Verdana" w:eastAsia="Batang" w:hAnsi="Verdana" w:cs="Arial"/>
          <w:sz w:val="20"/>
          <w:szCs w:val="20"/>
          <w:vertAlign w:val="superscript"/>
          <w:lang w:val="en-US" w:eastAsia="es-MX"/>
        </w:rPr>
        <w:footnoteReference w:id="286"/>
      </w:r>
      <w:r w:rsidR="0017063C" w:rsidRPr="00EA6C7A">
        <w:rPr>
          <w:rFonts w:ascii="Verdana" w:eastAsia="Batang" w:hAnsi="Verdana" w:cs="Arial"/>
          <w:sz w:val="20"/>
          <w:szCs w:val="20"/>
          <w:lang w:val="en-US" w:eastAsia="es-MX"/>
        </w:rPr>
        <w:t xml:space="preserve"> indic</w:t>
      </w:r>
      <w:r w:rsidRPr="00EA6C7A">
        <w:rPr>
          <w:rFonts w:ascii="Verdana" w:eastAsia="Batang" w:hAnsi="Verdana" w:cs="Arial"/>
          <w:sz w:val="20"/>
          <w:szCs w:val="20"/>
          <w:lang w:val="en-US" w:eastAsia="es-MX"/>
        </w:rPr>
        <w:t>ated that</w:t>
      </w:r>
      <w:r w:rsidR="0017063C" w:rsidRPr="00EA6C7A">
        <w:rPr>
          <w:rFonts w:ascii="Verdana" w:eastAsia="Batang" w:hAnsi="Verdana" w:cs="Arial"/>
          <w:sz w:val="20"/>
          <w:szCs w:val="20"/>
          <w:lang w:val="en-US" w:eastAsia="es-MX"/>
        </w:rPr>
        <w:t xml:space="preserve"> Claudina Velásquez </w:t>
      </w:r>
      <w:r w:rsidRPr="00EA6C7A">
        <w:rPr>
          <w:rFonts w:ascii="Verdana" w:eastAsia="Batang" w:hAnsi="Verdana" w:cs="Arial"/>
          <w:sz w:val="20"/>
          <w:szCs w:val="20"/>
          <w:lang w:val="en-US" w:eastAsia="es-MX"/>
        </w:rPr>
        <w:t xml:space="preserve">was blamed for her death “because she was </w:t>
      </w:r>
      <w:r w:rsidR="007E6D96" w:rsidRPr="00EA6C7A">
        <w:rPr>
          <w:rFonts w:ascii="Verdana" w:eastAsia="Batang" w:hAnsi="Verdana" w:cs="Arial"/>
          <w:sz w:val="20"/>
          <w:szCs w:val="20"/>
          <w:lang w:val="en-US" w:eastAsia="es-MX"/>
        </w:rPr>
        <w:t>y</w:t>
      </w:r>
      <w:r w:rsidRPr="00EA6C7A">
        <w:rPr>
          <w:rFonts w:ascii="Verdana" w:eastAsia="Batang" w:hAnsi="Verdana" w:cs="Arial"/>
          <w:sz w:val="20"/>
          <w:szCs w:val="20"/>
          <w:lang w:val="en-US" w:eastAsia="es-MX"/>
        </w:rPr>
        <w:t>oung, because her body was found in a low-income area, because of her manner of dress, and because she had a navel piercing.”</w:t>
      </w:r>
    </w:p>
    <w:p w14:paraId="4B5A89E3" w14:textId="77777777" w:rsidR="0017063C" w:rsidRPr="00EA6C7A" w:rsidRDefault="0017063C" w:rsidP="004F278F">
      <w:pPr>
        <w:tabs>
          <w:tab w:val="left" w:pos="720"/>
        </w:tabs>
        <w:spacing w:after="0" w:line="240" w:lineRule="auto"/>
        <w:ind w:left="720"/>
        <w:contextualSpacing/>
        <w:jc w:val="both"/>
        <w:rPr>
          <w:rFonts w:ascii="Verdana" w:hAnsi="Verdana"/>
          <w:sz w:val="20"/>
          <w:szCs w:val="20"/>
          <w:lang w:val="en-US" w:eastAsia="es-MX"/>
        </w:rPr>
      </w:pPr>
    </w:p>
    <w:p w14:paraId="6B68AC85" w14:textId="77777777" w:rsidR="0017063C" w:rsidRPr="00EA6C7A" w:rsidRDefault="00C6263F" w:rsidP="008A1E82">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In this regard</w:t>
      </w:r>
      <w:r w:rsidR="0017063C" w:rsidRPr="00EA6C7A">
        <w:rPr>
          <w:rFonts w:ascii="Verdana" w:eastAsia="Batang" w:hAnsi="Verdana"/>
          <w:sz w:val="20"/>
          <w:szCs w:val="20"/>
          <w:lang w:val="en-US" w:eastAsia="es-MX"/>
        </w:rPr>
        <w:t>, Christine Mary Chinkin expl</w:t>
      </w:r>
      <w:r w:rsidRPr="00EA6C7A">
        <w:rPr>
          <w:rFonts w:ascii="Verdana" w:eastAsia="Batang" w:hAnsi="Verdana"/>
          <w:sz w:val="20"/>
          <w:szCs w:val="20"/>
          <w:lang w:val="en-US" w:eastAsia="es-MX"/>
        </w:rPr>
        <w:t>ained that, in this case, there was a</w:t>
      </w:r>
      <w:r w:rsidR="009551BF" w:rsidRPr="00EA6C7A">
        <w:rPr>
          <w:rFonts w:ascii="Verdana" w:eastAsia="Batang" w:hAnsi="Verdana"/>
          <w:sz w:val="20"/>
          <w:szCs w:val="20"/>
          <w:lang w:val="en-US" w:eastAsia="es-MX"/>
        </w:rPr>
        <w:t xml:space="preserve"> negative</w:t>
      </w:r>
      <w:r w:rsidRPr="00EA6C7A">
        <w:rPr>
          <w:rFonts w:ascii="Verdana" w:eastAsia="Batang" w:hAnsi="Verdana"/>
          <w:sz w:val="20"/>
          <w:szCs w:val="20"/>
          <w:lang w:val="en-US" w:eastAsia="es-MX"/>
        </w:rPr>
        <w:t xml:space="preserve"> difference in treatment based on a gender stereotype </w:t>
      </w:r>
      <w:r w:rsidR="009551BF" w:rsidRPr="00EA6C7A">
        <w:rPr>
          <w:rFonts w:ascii="Verdana" w:eastAsia="Batang" w:hAnsi="Verdana"/>
          <w:sz w:val="20"/>
          <w:szCs w:val="20"/>
          <w:lang w:val="en-US" w:eastAsia="es-MX"/>
        </w:rPr>
        <w:t>stemming</w:t>
      </w:r>
      <w:r w:rsidRPr="00EA6C7A">
        <w:rPr>
          <w:rFonts w:ascii="Verdana" w:eastAsia="Batang" w:hAnsi="Verdana"/>
          <w:sz w:val="20"/>
          <w:szCs w:val="20"/>
          <w:lang w:val="en-US" w:eastAsia="es-MX"/>
        </w:rPr>
        <w:t xml:space="preserve"> from “the practice of the authorities of considering the victim as </w:t>
      </w:r>
      <w:r w:rsidR="009551BF" w:rsidRPr="00EA6C7A">
        <w:rPr>
          <w:rFonts w:ascii="Verdana" w:eastAsia="Batang" w:hAnsi="Verdana"/>
          <w:sz w:val="20"/>
          <w:szCs w:val="20"/>
          <w:lang w:val="en-US" w:eastAsia="es-MX"/>
        </w:rPr>
        <w:t xml:space="preserve">a </w:t>
      </w:r>
      <w:r w:rsidRPr="00EA6C7A">
        <w:rPr>
          <w:rFonts w:ascii="Verdana" w:eastAsia="Batang" w:hAnsi="Verdana"/>
          <w:sz w:val="20"/>
          <w:szCs w:val="20"/>
          <w:lang w:val="en-US" w:eastAsia="es-MX"/>
        </w:rPr>
        <w:t>person whose death – a gender-related murder – was not worth investigating.” Such adverse and negative stereotypes were based on prejudices that “prevent the full application of the fundamental principle of equality between women and men.” She asserted that their application “affects the right of women to an impartial and fair trial, because they impose obstacles that women must overcome and that men do not face.” Thus, “they deny women</w:t>
      </w:r>
      <w:r w:rsidRPr="00EA6C7A">
        <w:rPr>
          <w:rFonts w:ascii="Verdana" w:eastAsia="Calibri" w:hAnsi="Verdana"/>
          <w:sz w:val="20"/>
          <w:szCs w:val="20"/>
          <w:lang w:val="en-US" w:eastAsia="es-MX"/>
        </w:rPr>
        <w:t xml:space="preserve"> </w:t>
      </w:r>
      <w:r w:rsidR="00E63FF1" w:rsidRPr="00EA6C7A">
        <w:rPr>
          <w:rFonts w:ascii="Verdana" w:eastAsia="Batang" w:hAnsi="Verdana"/>
          <w:sz w:val="20"/>
          <w:szCs w:val="20"/>
          <w:lang w:val="en-US" w:eastAsia="es-MX"/>
        </w:rPr>
        <w:t>equality before the law</w:t>
      </w:r>
      <w:r w:rsidR="00D948A1" w:rsidRPr="00EA6C7A">
        <w:rPr>
          <w:rFonts w:ascii="Verdana" w:eastAsia="Batang" w:hAnsi="Verdana"/>
          <w:sz w:val="20"/>
          <w:szCs w:val="20"/>
          <w:lang w:val="en-US" w:eastAsia="es-MX"/>
        </w:rPr>
        <w:t xml:space="preserve"> and </w:t>
      </w:r>
      <w:r w:rsidR="002D218C" w:rsidRPr="00EA6C7A">
        <w:rPr>
          <w:rFonts w:ascii="Verdana" w:eastAsia="Batang" w:hAnsi="Verdana"/>
          <w:sz w:val="20"/>
          <w:szCs w:val="20"/>
          <w:lang w:val="en-US" w:eastAsia="es-MX"/>
        </w:rPr>
        <w:t>access to justice</w:t>
      </w:r>
      <w:r w:rsidRPr="00EA6C7A">
        <w:rPr>
          <w:rFonts w:ascii="Verdana" w:eastAsia="Batang" w:hAnsi="Verdana"/>
          <w:sz w:val="20"/>
          <w:szCs w:val="20"/>
          <w:lang w:val="en-US" w:eastAsia="es-MX"/>
        </w:rPr>
        <w:t>.</w:t>
      </w:r>
      <w:r w:rsidR="0017063C"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Therefore, “even if</w:t>
      </w:r>
      <w:r w:rsidR="0017063C" w:rsidRPr="00EA6C7A">
        <w:rPr>
          <w:rFonts w:ascii="Verdana" w:eastAsia="Batang" w:hAnsi="Verdana"/>
          <w:sz w:val="20"/>
          <w:szCs w:val="20"/>
          <w:lang w:val="en-US" w:eastAsia="es-MX"/>
        </w:rPr>
        <w:t xml:space="preserve"> Claudina Isabel Vel</w:t>
      </w:r>
      <w:r w:rsidR="0017063C" w:rsidRPr="00EA6C7A">
        <w:rPr>
          <w:rFonts w:ascii="Verdana" w:eastAsia="Batang" w:hAnsi="Verdana" w:cs="MV Boli"/>
          <w:sz w:val="20"/>
          <w:szCs w:val="20"/>
          <w:lang w:val="en-US" w:eastAsia="es-MX"/>
        </w:rPr>
        <w:t>ásquez Paiz</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had been a member of a gang or a prostitute or was dressed in a way that some considered inappropriate, […] the legal requirement of </w:t>
      </w:r>
      <w:r w:rsidR="002D218C" w:rsidRPr="00EA6C7A">
        <w:rPr>
          <w:rFonts w:ascii="Verdana" w:eastAsia="Batang" w:hAnsi="Verdana"/>
          <w:sz w:val="20"/>
          <w:szCs w:val="20"/>
          <w:lang w:val="en-US" w:eastAsia="es-MX"/>
        </w:rPr>
        <w:t>equality before the law</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remains</w:t>
      </w:r>
      <w:r w:rsidR="00D948A1" w:rsidRPr="00EA6C7A">
        <w:rPr>
          <w:rFonts w:ascii="Verdana" w:eastAsia="Batang" w:hAnsi="Verdana"/>
          <w:sz w:val="20"/>
          <w:szCs w:val="20"/>
          <w:lang w:val="en-US" w:eastAsia="es-MX"/>
        </w:rPr>
        <w:t xml:space="preserve"> </w:t>
      </w:r>
      <w:r w:rsidR="00D948A1" w:rsidRPr="00EA6C7A">
        <w:rPr>
          <w:rFonts w:ascii="Verdana" w:eastAsia="Batang" w:hAnsi="Verdana"/>
          <w:sz w:val="20"/>
          <w:szCs w:val="20"/>
          <w:lang w:val="en-US" w:eastAsia="es-MX"/>
        </w:rPr>
        <w:lastRenderedPageBreak/>
        <w:t xml:space="preserve">and </w:t>
      </w:r>
      <w:r w:rsidR="002F3848" w:rsidRPr="00EA6C7A">
        <w:rPr>
          <w:rFonts w:ascii="Verdana" w:eastAsia="Batang" w:hAnsi="Verdana"/>
          <w:sz w:val="20"/>
          <w:szCs w:val="20"/>
          <w:lang w:val="en-US" w:eastAsia="es-MX"/>
        </w:rPr>
        <w:t>the State</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must exercise due diligence in the investigation.</w:t>
      </w:r>
      <w:r w:rsidR="0017063C"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87"/>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Similarly</w:t>
      </w:r>
      <w:r w:rsidR="0017063C" w:rsidRPr="00EA6C7A">
        <w:rPr>
          <w:rFonts w:ascii="Verdana" w:eastAsia="Batang" w:hAnsi="Verdana"/>
          <w:sz w:val="20"/>
          <w:szCs w:val="20"/>
          <w:lang w:val="en-US" w:eastAsia="es-MX"/>
        </w:rPr>
        <w:t xml:space="preserve">, </w:t>
      </w:r>
      <w:r w:rsidR="0017063C" w:rsidRPr="00EA6C7A">
        <w:rPr>
          <w:rFonts w:ascii="Verdana" w:eastAsia="Batang" w:hAnsi="Verdana" w:cs="Arial"/>
          <w:sz w:val="20"/>
          <w:szCs w:val="20"/>
          <w:lang w:val="en-US" w:eastAsia="es-MX"/>
        </w:rPr>
        <w:t>Paloma Soria Montañez</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indicated that “being the victim of a violent death […] </w:t>
      </w:r>
      <w:r w:rsidR="009551BF" w:rsidRPr="00EA6C7A">
        <w:rPr>
          <w:rFonts w:ascii="Verdana" w:eastAsia="Batang" w:hAnsi="Verdana"/>
          <w:sz w:val="20"/>
          <w:szCs w:val="20"/>
          <w:lang w:val="en-US" w:eastAsia="es-MX"/>
        </w:rPr>
        <w:t>places</w:t>
      </w:r>
      <w:r w:rsidRPr="00EA6C7A">
        <w:rPr>
          <w:rFonts w:ascii="Verdana" w:eastAsia="Batang" w:hAnsi="Verdana"/>
          <w:sz w:val="20"/>
          <w:szCs w:val="20"/>
          <w:lang w:val="en-US" w:eastAsia="es-MX"/>
        </w:rPr>
        <w:t xml:space="preserve"> [women] into </w:t>
      </w:r>
      <w:r w:rsidR="009551BF" w:rsidRPr="00EA6C7A">
        <w:rPr>
          <w:rFonts w:ascii="Verdana" w:eastAsia="Batang" w:hAnsi="Verdana"/>
          <w:sz w:val="20"/>
          <w:szCs w:val="20"/>
          <w:lang w:val="en-US" w:eastAsia="es-MX"/>
        </w:rPr>
        <w:t>a</w:t>
      </w:r>
      <w:r w:rsidRPr="00EA6C7A">
        <w:rPr>
          <w:rFonts w:ascii="Verdana" w:eastAsia="Batang" w:hAnsi="Verdana"/>
          <w:sz w:val="20"/>
          <w:szCs w:val="20"/>
          <w:lang w:val="en-US" w:eastAsia="es-MX"/>
        </w:rPr>
        <w:t xml:space="preserve"> derogatory and demeaning category based on gender stereotyping.” She explained that “this meant that the case was not investigated diligently, </w:t>
      </w:r>
      <w:r w:rsidR="008A1E82" w:rsidRPr="00EA6C7A">
        <w:rPr>
          <w:rFonts w:ascii="Verdana" w:eastAsia="Batang" w:hAnsi="Verdana"/>
          <w:sz w:val="20"/>
          <w:szCs w:val="20"/>
          <w:lang w:val="en-US" w:eastAsia="es-MX"/>
        </w:rPr>
        <w:t>and appropriate lines of investigation were not followed up on.” Indeed, “the authorities blamed Claudina Isabel and, by their actions, suggested that she had deserved her fate. All this means that, up until today, the violent acts that took place […] remain unpunished.</w:t>
      </w:r>
      <w:r w:rsidR="0017063C" w:rsidRPr="00EA6C7A">
        <w:rPr>
          <w:rFonts w:ascii="Verdana" w:eastAsia="Batang" w:hAnsi="Verdana" w:cs="Arial"/>
          <w:sz w:val="20"/>
          <w:szCs w:val="20"/>
          <w:lang w:val="en-US" w:eastAsia="es-MX"/>
        </w:rPr>
        <w:t>”</w:t>
      </w:r>
      <w:r w:rsidR="0017063C" w:rsidRPr="00EA6C7A">
        <w:rPr>
          <w:rFonts w:ascii="Verdana" w:eastAsia="Batang" w:hAnsi="Verdana" w:cs="Arial"/>
          <w:sz w:val="20"/>
          <w:szCs w:val="20"/>
          <w:vertAlign w:val="superscript"/>
          <w:lang w:val="en-US" w:eastAsia="es-MX"/>
        </w:rPr>
        <w:footnoteReference w:id="288"/>
      </w:r>
      <w:r w:rsidR="0017063C" w:rsidRPr="00EA6C7A">
        <w:rPr>
          <w:rFonts w:ascii="Verdana" w:eastAsia="Batang" w:hAnsi="Verdana" w:cs="Arial"/>
          <w:sz w:val="20"/>
          <w:szCs w:val="20"/>
          <w:lang w:val="en-US" w:eastAsia="es-MX"/>
        </w:rPr>
        <w:t xml:space="preserve"> </w:t>
      </w:r>
    </w:p>
    <w:p w14:paraId="29AF491A" w14:textId="77777777" w:rsidR="0017063C" w:rsidRPr="00EA6C7A" w:rsidRDefault="0017063C" w:rsidP="008A1E82">
      <w:pPr>
        <w:tabs>
          <w:tab w:val="left" w:pos="720"/>
        </w:tabs>
        <w:spacing w:after="0" w:line="240" w:lineRule="auto"/>
        <w:ind w:left="720"/>
        <w:contextualSpacing/>
        <w:jc w:val="both"/>
        <w:rPr>
          <w:rFonts w:ascii="Verdana" w:hAnsi="Verdana"/>
          <w:sz w:val="20"/>
          <w:szCs w:val="20"/>
          <w:lang w:val="en-US" w:eastAsia="es-MX"/>
        </w:rPr>
      </w:pPr>
    </w:p>
    <w:p w14:paraId="44943BBE" w14:textId="77777777" w:rsidR="008A1E82" w:rsidRPr="00EA6C7A" w:rsidRDefault="0096418F" w:rsidP="008A1E82">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Calibri" w:hAnsi="Verdana"/>
          <w:sz w:val="20"/>
          <w:szCs w:val="20"/>
          <w:lang w:val="en-US" w:eastAsia="es-MX"/>
        </w:rPr>
        <w:t>The Court</w:t>
      </w:r>
      <w:r w:rsidR="0017063C" w:rsidRPr="00EA6C7A">
        <w:rPr>
          <w:rFonts w:ascii="Verdana" w:eastAsia="Calibri" w:hAnsi="Verdana"/>
          <w:sz w:val="20"/>
          <w:szCs w:val="20"/>
          <w:lang w:val="en-US" w:eastAsia="es-MX"/>
        </w:rPr>
        <w:t xml:space="preserve"> reco</w:t>
      </w:r>
      <w:r w:rsidR="008A1E82" w:rsidRPr="00EA6C7A">
        <w:rPr>
          <w:rFonts w:ascii="Verdana" w:eastAsia="Calibri" w:hAnsi="Verdana"/>
          <w:sz w:val="20"/>
          <w:szCs w:val="20"/>
          <w:lang w:val="en-US" w:eastAsia="es-MX"/>
        </w:rPr>
        <w:t xml:space="preserve">gnizes, </w:t>
      </w:r>
      <w:r w:rsidR="009551BF" w:rsidRPr="00EA6C7A">
        <w:rPr>
          <w:rFonts w:ascii="Verdana" w:eastAsia="Calibri" w:hAnsi="Verdana"/>
          <w:sz w:val="20"/>
          <w:szCs w:val="20"/>
          <w:lang w:val="en-US" w:eastAsia="es-MX"/>
        </w:rPr>
        <w:t>reveals</w:t>
      </w:r>
      <w:r w:rsidR="008A1E82" w:rsidRPr="00EA6C7A">
        <w:rPr>
          <w:rFonts w:ascii="Verdana" w:eastAsia="Calibri" w:hAnsi="Verdana"/>
          <w:sz w:val="20"/>
          <w:szCs w:val="20"/>
          <w:lang w:val="en-US" w:eastAsia="es-MX"/>
        </w:rPr>
        <w:t xml:space="preserve"> and rejects the gender stereotype by which, in cases of </w:t>
      </w:r>
      <w:r w:rsidR="008A1E82" w:rsidRPr="00EA6C7A">
        <w:rPr>
          <w:rFonts w:ascii="Verdana" w:eastAsia="Batang" w:hAnsi="Verdana"/>
          <w:sz w:val="20"/>
          <w:szCs w:val="20"/>
          <w:lang w:val="en-US" w:eastAsia="es-MX"/>
        </w:rPr>
        <w:t>violence against women, the victims are presumed to fit the profile of a gang member and/or prostitute and/or “loose woman,” and are not considered sufficiently important to be investigated, while also making the woman responsible for or deserving of being attacked. In this regard, it rejects any State practice which justifies violence against women and blames them for this, because appraisals of this nature reveal discretional and discriminatory criteria based on the origin, condition and/or conduct of the victim merely for being a woman. Consequently, the Court considers that such gender stereotypes are incompatible with international human rights law and measures should be taken to eliminate them whenever they surface.</w:t>
      </w:r>
    </w:p>
    <w:p w14:paraId="05C4C4F0" w14:textId="77777777" w:rsidR="0017063C" w:rsidRPr="00EA6C7A" w:rsidRDefault="0017063C" w:rsidP="008A1E82">
      <w:pPr>
        <w:tabs>
          <w:tab w:val="left" w:pos="720"/>
          <w:tab w:val="left" w:pos="2289"/>
        </w:tabs>
        <w:spacing w:after="0" w:line="240" w:lineRule="auto"/>
        <w:contextualSpacing/>
        <w:rPr>
          <w:rFonts w:ascii="Verdana" w:eastAsia="Calibri" w:hAnsi="Verdana"/>
          <w:lang w:val="en-US" w:eastAsia="de-DE"/>
        </w:rPr>
      </w:pPr>
    </w:p>
    <w:p w14:paraId="68C3E7A7" w14:textId="77777777" w:rsidR="0017063C" w:rsidRPr="00EA6C7A" w:rsidRDefault="0096418F" w:rsidP="008A1E82">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Calibri" w:hAnsi="Verdana"/>
          <w:sz w:val="20"/>
          <w:szCs w:val="20"/>
          <w:lang w:val="en-US" w:eastAsia="de-DE"/>
        </w:rPr>
        <w:t>The Court</w:t>
      </w:r>
      <w:r w:rsidR="0017063C" w:rsidRPr="00EA6C7A">
        <w:rPr>
          <w:rFonts w:ascii="Verdana" w:eastAsia="Calibri" w:hAnsi="Verdana"/>
          <w:sz w:val="20"/>
          <w:szCs w:val="20"/>
          <w:lang w:val="en-US" w:eastAsia="de-DE"/>
        </w:rPr>
        <w:t xml:space="preserve"> </w:t>
      </w:r>
      <w:r w:rsidR="008A1E82" w:rsidRPr="00EA6C7A">
        <w:rPr>
          <w:rFonts w:ascii="Verdana" w:eastAsia="Calibri" w:hAnsi="Verdana"/>
          <w:sz w:val="20"/>
          <w:szCs w:val="20"/>
          <w:lang w:val="en-US" w:eastAsia="de-DE"/>
        </w:rPr>
        <w:t>notes that, in this case, these stereotypes were repeated by different State agents during the investigation, as indicated in the following paragraphs</w:t>
      </w:r>
      <w:r w:rsidR="0017063C" w:rsidRPr="00EA6C7A">
        <w:rPr>
          <w:rFonts w:ascii="Verdana" w:eastAsia="Calibri" w:hAnsi="Verdana"/>
          <w:sz w:val="20"/>
          <w:szCs w:val="20"/>
          <w:lang w:val="en-US" w:eastAsia="de-DE"/>
        </w:rPr>
        <w:t xml:space="preserve">. </w:t>
      </w:r>
    </w:p>
    <w:p w14:paraId="3E9AE1E9" w14:textId="77777777" w:rsidR="0017063C" w:rsidRPr="00EA6C7A" w:rsidRDefault="0017063C" w:rsidP="008A1E82">
      <w:pPr>
        <w:tabs>
          <w:tab w:val="left" w:pos="720"/>
        </w:tabs>
        <w:spacing w:after="0" w:line="240" w:lineRule="auto"/>
        <w:ind w:left="720"/>
        <w:contextualSpacing/>
        <w:rPr>
          <w:rFonts w:ascii="Verdana" w:hAnsi="Verdana"/>
          <w:lang w:val="en-US" w:eastAsia="es-MX"/>
        </w:rPr>
      </w:pPr>
    </w:p>
    <w:p w14:paraId="56D9853B" w14:textId="77777777" w:rsidR="00BA1F30" w:rsidRPr="00EA6C7A" w:rsidRDefault="00BA1F30" w:rsidP="00BA1F30">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 xml:space="preserve">In his </w:t>
      </w:r>
      <w:r w:rsidRPr="00EA6C7A">
        <w:rPr>
          <w:rFonts w:ascii="Verdana" w:eastAsia="Calibri" w:hAnsi="Verdana"/>
          <w:sz w:val="20"/>
          <w:szCs w:val="20"/>
          <w:lang w:val="en-US"/>
        </w:rPr>
        <w:t>Report on verification of violations of the obligation to investigate in the case of Claudina Isabel Velásquez Paiz</w:t>
      </w:r>
      <w:r w:rsidRPr="00EA6C7A">
        <w:rPr>
          <w:rFonts w:ascii="Verdana" w:eastAsia="Batang" w:hAnsi="Verdana"/>
          <w:sz w:val="20"/>
          <w:szCs w:val="20"/>
          <w:lang w:val="en-US" w:eastAsia="es-MX"/>
        </w:rPr>
        <w:t>,</w:t>
      </w:r>
      <w:r w:rsidRPr="00EA6C7A">
        <w:rPr>
          <w:rFonts w:ascii="Verdana" w:eastAsia="Calibri" w:hAnsi="Verdana"/>
          <w:sz w:val="20"/>
          <w:szCs w:val="20"/>
          <w:vertAlign w:val="superscript"/>
          <w:lang w:val="en-US" w:eastAsia="es-MX"/>
        </w:rPr>
        <w:footnoteReference w:id="289"/>
      </w:r>
      <w:r w:rsidRPr="00EA6C7A">
        <w:rPr>
          <w:rFonts w:ascii="Verdana" w:eastAsia="Batang" w:hAnsi="Verdana"/>
          <w:sz w:val="20"/>
          <w:szCs w:val="20"/>
          <w:lang w:val="en-US" w:eastAsia="es-MX"/>
        </w:rPr>
        <w:t xml:space="preserve"> </w:t>
      </w:r>
      <w:r w:rsidR="00781EBE" w:rsidRPr="00EA6C7A">
        <w:rPr>
          <w:rFonts w:ascii="Verdana" w:eastAsia="Batang" w:hAnsi="Verdana"/>
          <w:sz w:val="20"/>
          <w:szCs w:val="20"/>
          <w:lang w:val="en-US" w:eastAsia="es-MX"/>
        </w:rPr>
        <w:t>the Guatemalan Ombudsman</w:t>
      </w:r>
      <w:r w:rsidRPr="00EA6C7A">
        <w:rPr>
          <w:rFonts w:ascii="Verdana" w:eastAsia="Batang" w:hAnsi="Verdana"/>
          <w:sz w:val="20"/>
          <w:szCs w:val="20"/>
          <w:lang w:val="en-US" w:eastAsia="es-MX"/>
        </w:rPr>
        <w:t xml:space="preserve"> indicated</w:t>
      </w:r>
      <w:r w:rsidR="0017063C" w:rsidRPr="00EA6C7A">
        <w:rPr>
          <w:rFonts w:ascii="Verdana" w:eastAsia="Calibri" w:hAnsi="Verdana"/>
          <w:sz w:val="20"/>
          <w:szCs w:val="20"/>
          <w:lang w:val="en-US" w:eastAsia="es-MX"/>
        </w:rPr>
        <w:t xml:space="preserve"> </w:t>
      </w:r>
      <w:r w:rsidRPr="00EA6C7A">
        <w:rPr>
          <w:rFonts w:ascii="Verdana" w:eastAsia="Calibri" w:hAnsi="Verdana"/>
          <w:sz w:val="20"/>
          <w:szCs w:val="20"/>
          <w:lang w:val="en-US" w:eastAsia="es-MX"/>
        </w:rPr>
        <w:t xml:space="preserve">that “the time spent at the crime scene appears too short to show that it was processed with the necessary thoroughness to achieve positive results for the investigation.” This situation was “corroborated by Agent </w:t>
      </w:r>
      <w:r w:rsidR="0017063C" w:rsidRPr="00EA6C7A">
        <w:rPr>
          <w:rFonts w:ascii="Verdana" w:eastAsia="Batang" w:hAnsi="Verdana" w:cs="Arial"/>
          <w:sz w:val="20"/>
          <w:szCs w:val="20"/>
          <w:lang w:val="en-US" w:eastAsia="es-MX"/>
        </w:rPr>
        <w:t>Carolina Elizabeth Ruiz</w:t>
      </w:r>
      <w:r w:rsidRPr="00EA6C7A">
        <w:rPr>
          <w:rFonts w:ascii="Verdana" w:eastAsia="Batang" w:hAnsi="Verdana" w:cs="Arial"/>
          <w:sz w:val="20"/>
          <w:szCs w:val="20"/>
          <w:lang w:val="en-US" w:eastAsia="es-MX"/>
        </w:rPr>
        <w:t>.</w:t>
      </w:r>
      <w:r w:rsidR="0017063C"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In this way</w:t>
      </w:r>
      <w:r w:rsidR="0017063C" w:rsidRPr="00EA6C7A">
        <w:rPr>
          <w:rFonts w:ascii="Verdana" w:eastAsia="Batang" w:hAnsi="Verdana" w:cs="Arial"/>
          <w:sz w:val="20"/>
          <w:szCs w:val="20"/>
          <w:lang w:val="en-US" w:eastAsia="es-MX"/>
        </w:rPr>
        <w:t>, “[</w:t>
      </w:r>
      <w:r w:rsidRPr="00EA6C7A">
        <w:rPr>
          <w:rFonts w:ascii="Verdana" w:eastAsia="Batang" w:hAnsi="Verdana" w:cs="Arial"/>
          <w:sz w:val="20"/>
          <w:szCs w:val="20"/>
          <w:lang w:val="en-US" w:eastAsia="es-MX"/>
        </w:rPr>
        <w:t>t</w:t>
      </w:r>
      <w:r w:rsidR="0017063C" w:rsidRPr="00EA6C7A">
        <w:rPr>
          <w:rFonts w:ascii="Verdana" w:eastAsia="Batang" w:hAnsi="Verdana" w:cs="Arial"/>
          <w:sz w:val="20"/>
          <w:szCs w:val="20"/>
          <w:lang w:val="en-US" w:eastAsia="es-MX"/>
        </w:rPr>
        <w:t>]</w:t>
      </w:r>
      <w:r w:rsidRPr="00EA6C7A">
        <w:rPr>
          <w:rFonts w:ascii="Verdana" w:eastAsia="Batang" w:hAnsi="Verdana" w:cs="Arial"/>
          <w:sz w:val="20"/>
          <w:szCs w:val="20"/>
          <w:lang w:val="en-US" w:eastAsia="es-MX"/>
        </w:rPr>
        <w:t xml:space="preserve">he initial indifference to conducting a diligent investigation of the case is explained by the suppose confusion about the identity of the victim” because, “owing to her manner of dress and the place of the crime, it was considered to be a crime that was not worth investigating.” In addition, he noted that “[t]he </w:t>
      </w:r>
      <w:proofErr w:type="gramStart"/>
      <w:r w:rsidRPr="00EA6C7A">
        <w:rPr>
          <w:rFonts w:ascii="Verdana" w:eastAsia="Batang" w:hAnsi="Verdana" w:cs="Arial"/>
          <w:sz w:val="20"/>
          <w:szCs w:val="20"/>
          <w:lang w:val="en-US" w:eastAsia="es-MX"/>
        </w:rPr>
        <w:t>lack</w:t>
      </w:r>
      <w:proofErr w:type="gramEnd"/>
      <w:r w:rsidRPr="00EA6C7A">
        <w:rPr>
          <w:rFonts w:ascii="Verdana" w:eastAsia="Batang" w:hAnsi="Verdana" w:cs="Arial"/>
          <w:sz w:val="20"/>
          <w:szCs w:val="20"/>
          <w:lang w:val="en-US" w:eastAsia="es-MX"/>
        </w:rPr>
        <w:t xml:space="preserve"> of administrative controls over the activity of the prosecutor </w:t>
      </w:r>
      <w:r w:rsidR="00565307" w:rsidRPr="00EA6C7A">
        <w:rPr>
          <w:rFonts w:ascii="Verdana" w:eastAsia="Batang" w:hAnsi="Verdana" w:cs="Arial"/>
          <w:sz w:val="20"/>
          <w:szCs w:val="20"/>
          <w:lang w:val="en-US" w:eastAsia="es-MX"/>
        </w:rPr>
        <w:t>influenced</w:t>
      </w:r>
      <w:r w:rsidRPr="00EA6C7A">
        <w:rPr>
          <w:rFonts w:ascii="Verdana" w:eastAsia="Batang" w:hAnsi="Verdana" w:cs="Arial"/>
          <w:sz w:val="20"/>
          <w:szCs w:val="20"/>
          <w:lang w:val="en-US" w:eastAsia="es-MX"/>
        </w:rPr>
        <w:t xml:space="preserve"> the fact that there was no real concern to conduct an adequate investigation, which was a generalized pattern in cases of murder, especially when the victim was stereotyped as marginal.”</w:t>
      </w:r>
    </w:p>
    <w:p w14:paraId="71D8FD40" w14:textId="77777777" w:rsidR="0017063C" w:rsidRPr="00EA6C7A" w:rsidRDefault="0017063C" w:rsidP="0017063C">
      <w:pPr>
        <w:autoSpaceDE w:val="0"/>
        <w:autoSpaceDN w:val="0"/>
        <w:adjustRightInd w:val="0"/>
        <w:spacing w:after="0" w:line="240" w:lineRule="auto"/>
        <w:jc w:val="both"/>
        <w:rPr>
          <w:rFonts w:ascii="Verdana" w:eastAsia="Calibri" w:hAnsi="Verdana"/>
          <w:sz w:val="20"/>
          <w:szCs w:val="20"/>
          <w:lang w:val="en-US"/>
        </w:rPr>
      </w:pPr>
    </w:p>
    <w:p w14:paraId="2C7871C5" w14:textId="77777777" w:rsidR="0017063C" w:rsidRPr="00EA6C7A" w:rsidRDefault="00BA1F30" w:rsidP="008A1E82">
      <w:pPr>
        <w:numPr>
          <w:ilvl w:val="0"/>
          <w:numId w:val="3"/>
        </w:numPr>
        <w:tabs>
          <w:tab w:val="left" w:pos="720"/>
        </w:tabs>
        <w:spacing w:after="0" w:line="240" w:lineRule="auto"/>
        <w:ind w:left="0" w:firstLine="0"/>
        <w:jc w:val="both"/>
        <w:rPr>
          <w:rFonts w:ascii="Verdana" w:eastAsia="Batang" w:hAnsi="Verdana" w:cs="Arial"/>
          <w:i/>
          <w:sz w:val="20"/>
          <w:szCs w:val="20"/>
          <w:lang w:val="en-US" w:eastAsia="es-MX"/>
        </w:rPr>
      </w:pPr>
      <w:r w:rsidRPr="00EA6C7A">
        <w:rPr>
          <w:rFonts w:ascii="Verdana" w:eastAsia="Batang" w:hAnsi="Verdana"/>
          <w:sz w:val="20"/>
          <w:szCs w:val="20"/>
          <w:lang w:val="en-US" w:eastAsia="es-MX"/>
        </w:rPr>
        <w:t xml:space="preserve">Added to the above, the Court notes that the report of August 22, 2005, prepared by </w:t>
      </w:r>
      <w:r w:rsidR="00B109AB" w:rsidRPr="00EA6C7A">
        <w:rPr>
          <w:rFonts w:ascii="Verdana" w:eastAsia="Batang" w:hAnsi="Verdana"/>
          <w:sz w:val="20"/>
          <w:szCs w:val="20"/>
          <w:lang w:val="en-US" w:eastAsia="es-MX"/>
        </w:rPr>
        <w:t>the investigator</w:t>
      </w:r>
      <w:r w:rsidR="0017063C" w:rsidRPr="00EA6C7A">
        <w:rPr>
          <w:rFonts w:ascii="Verdana" w:eastAsia="Batang" w:hAnsi="Verdana"/>
          <w:sz w:val="20"/>
          <w:szCs w:val="20"/>
          <w:lang w:val="en-US" w:eastAsia="es-MX"/>
        </w:rPr>
        <w:t xml:space="preserve"> </w:t>
      </w:r>
      <w:r w:rsidR="00B109AB" w:rsidRPr="00EA6C7A">
        <w:rPr>
          <w:rFonts w:ascii="Verdana" w:eastAsia="Batang" w:hAnsi="Verdana"/>
          <w:sz w:val="20"/>
          <w:szCs w:val="20"/>
          <w:lang w:val="en-US" w:eastAsia="es-MX"/>
        </w:rPr>
        <w:t>of the Unit</w:t>
      </w:r>
      <w:r w:rsidR="00EF1D78" w:rsidRPr="00EA6C7A">
        <w:rPr>
          <w:rFonts w:ascii="Verdana" w:eastAsia="Batang" w:hAnsi="Verdana"/>
          <w:sz w:val="20"/>
          <w:szCs w:val="20"/>
          <w:lang w:val="en-US" w:eastAsia="es-MX"/>
        </w:rPr>
        <w:t xml:space="preserve"> to Combat Murders of Women</w:t>
      </w:r>
      <w:r w:rsidR="0017063C" w:rsidRPr="00EA6C7A">
        <w:rPr>
          <w:rFonts w:ascii="Verdana" w:eastAsia="Batang" w:hAnsi="Verdana"/>
          <w:sz w:val="20"/>
          <w:szCs w:val="20"/>
          <w:lang w:val="en-US" w:eastAsia="es-MX"/>
        </w:rPr>
        <w:t xml:space="preserve"> </w:t>
      </w:r>
      <w:r w:rsidR="005319CD" w:rsidRPr="00EA6C7A">
        <w:rPr>
          <w:rFonts w:ascii="Verdana" w:eastAsia="Batang" w:hAnsi="Verdana"/>
          <w:sz w:val="20"/>
          <w:szCs w:val="20"/>
          <w:lang w:val="en-US" w:eastAsia="es-MX"/>
        </w:rPr>
        <w:t>of the PNC Criminal Investigation Service</w:t>
      </w:r>
      <w:r w:rsidR="0017063C" w:rsidRPr="00EA6C7A">
        <w:rPr>
          <w:rFonts w:ascii="Verdana" w:eastAsia="Batang" w:hAnsi="Verdana" w:cs="Arial"/>
          <w:i/>
          <w:sz w:val="20"/>
          <w:szCs w:val="20"/>
          <w:lang w:val="en-US" w:eastAsia="es-MX"/>
        </w:rPr>
        <w:t xml:space="preserve"> </w:t>
      </w:r>
      <w:r w:rsidR="0017063C" w:rsidRPr="00EA6C7A">
        <w:rPr>
          <w:rFonts w:ascii="Verdana" w:eastAsia="Batang" w:hAnsi="Verdana" w:cs="Arial"/>
          <w:sz w:val="20"/>
          <w:szCs w:val="20"/>
          <w:lang w:val="en-US" w:eastAsia="es-MX"/>
        </w:rPr>
        <w:t>(</w:t>
      </w:r>
      <w:r w:rsidR="0017063C" w:rsidRPr="00EA6C7A">
        <w:rPr>
          <w:rFonts w:ascii="Verdana" w:eastAsia="Batang" w:hAnsi="Verdana" w:cs="Arial"/>
          <w:i/>
          <w:sz w:val="20"/>
          <w:szCs w:val="20"/>
          <w:lang w:val="en-US" w:eastAsia="es-MX"/>
        </w:rPr>
        <w:t>supra</w:t>
      </w:r>
      <w:r w:rsidR="0017063C" w:rsidRPr="00EA6C7A">
        <w:rPr>
          <w:rFonts w:ascii="Verdana" w:eastAsia="Batang" w:hAnsi="Verdana" w:cs="Arial"/>
          <w:sz w:val="20"/>
          <w:szCs w:val="20"/>
          <w:lang w:val="en-US" w:eastAsia="es-MX"/>
        </w:rPr>
        <w:t xml:space="preserve"> nota </w:t>
      </w:r>
      <w:r w:rsidR="002E077B" w:rsidRPr="00EA6C7A">
        <w:rPr>
          <w:rFonts w:ascii="Verdana" w:eastAsia="Batang" w:hAnsi="Verdana" w:cs="Arial"/>
          <w:sz w:val="20"/>
          <w:szCs w:val="20"/>
          <w:lang w:val="en-US" w:eastAsia="es-MX"/>
        </w:rPr>
        <w:t>278</w:t>
      </w:r>
      <w:r w:rsidR="0017063C" w:rsidRPr="00EA6C7A">
        <w:rPr>
          <w:rFonts w:ascii="Verdana" w:eastAsia="Batang" w:hAnsi="Verdana" w:cs="Arial"/>
          <w:sz w:val="20"/>
          <w:szCs w:val="20"/>
          <w:lang w:val="en-US" w:eastAsia="es-MX"/>
        </w:rPr>
        <w:t>)</w:t>
      </w:r>
      <w:r w:rsidRPr="00EA6C7A">
        <w:rPr>
          <w:rFonts w:ascii="Verdana" w:eastAsia="Batang" w:hAnsi="Verdana" w:cs="Arial"/>
          <w:sz w:val="20"/>
          <w:szCs w:val="20"/>
          <w:lang w:val="en-US" w:eastAsia="es-MX"/>
        </w:rPr>
        <w:t xml:space="preserve"> indicated that the motive for the death was “</w:t>
      </w:r>
      <w:r w:rsidR="00565307" w:rsidRPr="00EA6C7A">
        <w:rPr>
          <w:rFonts w:ascii="Verdana" w:hAnsi="Verdana" w:cs="Arial"/>
          <w:sz w:val="20"/>
          <w:szCs w:val="20"/>
          <w:lang w:val="en-US"/>
        </w:rPr>
        <w:t>p</w:t>
      </w:r>
      <w:r w:rsidRPr="00EA6C7A">
        <w:rPr>
          <w:rFonts w:ascii="Verdana" w:hAnsi="Verdana" w:cs="Arial"/>
          <w:sz w:val="20"/>
          <w:szCs w:val="20"/>
          <w:lang w:val="en-US"/>
        </w:rPr>
        <w:t>ossibly a crime of passion under the effects of alcohol resulting in someone’s death</w:t>
      </w:r>
      <w:r w:rsidRPr="00EA6C7A">
        <w:rPr>
          <w:rFonts w:ascii="Verdana" w:eastAsia="Batang" w:hAnsi="Verdana" w:cs="Arial"/>
          <w:sz w:val="20"/>
          <w:szCs w:val="20"/>
          <w:lang w:val="en-US" w:eastAsia="es-MX"/>
        </w:rPr>
        <w:t>.”</w:t>
      </w:r>
    </w:p>
    <w:p w14:paraId="23B14D3D" w14:textId="77777777" w:rsidR="0017063C" w:rsidRPr="00EA6C7A" w:rsidRDefault="0017063C" w:rsidP="008A1E82">
      <w:pPr>
        <w:tabs>
          <w:tab w:val="left" w:pos="720"/>
        </w:tabs>
        <w:autoSpaceDE w:val="0"/>
        <w:autoSpaceDN w:val="0"/>
        <w:adjustRightInd w:val="0"/>
        <w:spacing w:after="0" w:line="240" w:lineRule="auto"/>
        <w:jc w:val="both"/>
        <w:rPr>
          <w:rFonts w:ascii="Verdana" w:eastAsia="Calibri" w:hAnsi="Verdana"/>
          <w:sz w:val="20"/>
          <w:szCs w:val="20"/>
          <w:lang w:val="en-US"/>
        </w:rPr>
      </w:pPr>
    </w:p>
    <w:p w14:paraId="63ECD940" w14:textId="77777777" w:rsidR="0017063C" w:rsidRPr="00EA6C7A" w:rsidRDefault="00BA1F30" w:rsidP="00BA1F30">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cs="Arial"/>
          <w:sz w:val="20"/>
          <w:szCs w:val="20"/>
          <w:lang w:val="en-US" w:eastAsia="es-MX"/>
        </w:rPr>
        <w:t xml:space="preserve">On this point, expert witness </w:t>
      </w:r>
      <w:r w:rsidR="0017063C" w:rsidRPr="00EA6C7A">
        <w:rPr>
          <w:rFonts w:ascii="Verdana" w:eastAsia="Batang" w:hAnsi="Verdana" w:cs="Arial"/>
          <w:sz w:val="20"/>
          <w:szCs w:val="20"/>
          <w:lang w:val="en-US" w:eastAsia="es-MX"/>
        </w:rPr>
        <w:t>Alberto Bovino</w:t>
      </w:r>
      <w:r w:rsidR="0017063C" w:rsidRPr="00EA6C7A">
        <w:rPr>
          <w:rFonts w:ascii="Verdana" w:eastAsia="Batang" w:hAnsi="Verdana"/>
          <w:sz w:val="20"/>
          <w:szCs w:val="20"/>
          <w:vertAlign w:val="superscript"/>
          <w:lang w:val="en-US" w:eastAsia="es-MX"/>
        </w:rPr>
        <w:footnoteReference w:id="290"/>
      </w:r>
      <w:r w:rsidR="0017063C" w:rsidRPr="00EA6C7A">
        <w:rPr>
          <w:rFonts w:ascii="Verdana" w:eastAsia="Batang" w:hAnsi="Verdana" w:cs="Arial"/>
          <w:sz w:val="20"/>
          <w:szCs w:val="20"/>
          <w:lang w:val="en-US" w:eastAsia="es-MX"/>
        </w:rPr>
        <w:t xml:space="preserve"> a</w:t>
      </w:r>
      <w:r w:rsidRPr="00EA6C7A">
        <w:rPr>
          <w:rFonts w:ascii="Verdana" w:eastAsia="Batang" w:hAnsi="Verdana" w:cs="Arial"/>
          <w:sz w:val="20"/>
          <w:szCs w:val="20"/>
          <w:lang w:val="en-US" w:eastAsia="es-MX"/>
        </w:rPr>
        <w:t xml:space="preserve">ffirmed that “the concept of ‘a crime of passion’ is part of a stereotype that justifies </w:t>
      </w:r>
      <w:r w:rsidR="00C12C08" w:rsidRPr="00EA6C7A">
        <w:rPr>
          <w:rFonts w:ascii="Verdana" w:eastAsia="Batang" w:hAnsi="Verdana"/>
          <w:sz w:val="20"/>
          <w:szCs w:val="20"/>
          <w:lang w:val="en-US" w:eastAsia="es-MX"/>
        </w:rPr>
        <w:t>violence against women</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The term </w:t>
      </w:r>
      <w:r w:rsidR="00565307" w:rsidRPr="00EA6C7A">
        <w:rPr>
          <w:rFonts w:ascii="Verdana" w:eastAsia="Batang" w:hAnsi="Verdana"/>
          <w:sz w:val="20"/>
          <w:szCs w:val="20"/>
          <w:lang w:val="en-US" w:eastAsia="es-MX"/>
        </w:rPr>
        <w:t>‘</w:t>
      </w:r>
      <w:r w:rsidRPr="00EA6C7A">
        <w:rPr>
          <w:rFonts w:ascii="Verdana" w:eastAsia="Batang" w:hAnsi="Verdana"/>
          <w:sz w:val="20"/>
          <w:szCs w:val="20"/>
          <w:lang w:val="en-US" w:eastAsia="es-MX"/>
        </w:rPr>
        <w:t>passion</w:t>
      </w:r>
      <w:r w:rsidR="00565307"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places the accent on justifying the conduct of the perpetrator.” For example, “</w:t>
      </w:r>
      <w:r w:rsidR="006B0FF9" w:rsidRPr="00EA6C7A">
        <w:rPr>
          <w:rFonts w:ascii="Verdana" w:eastAsia="Batang" w:hAnsi="Verdana"/>
          <w:sz w:val="20"/>
          <w:szCs w:val="20"/>
          <w:lang w:val="en-US" w:eastAsia="es-MX"/>
        </w:rPr>
        <w:t>‘he killed her because he was jealous,’ ‘in an attack of fury,’ [are] expressions that encourage blaming the woman who suffered the violence. The victim is blamed</w:t>
      </w:r>
      <w:r w:rsidR="006B0FF9" w:rsidRPr="00EA6C7A">
        <w:rPr>
          <w:rFonts w:ascii="Verdana" w:eastAsia="Calibri" w:hAnsi="Verdana"/>
          <w:sz w:val="20"/>
          <w:szCs w:val="20"/>
          <w:lang w:val="en-US" w:eastAsia="es-MX"/>
        </w:rPr>
        <w:t xml:space="preserve"> and the violent action of the attacker is supported.” In this regard, he indicated that, in the case of </w:t>
      </w:r>
      <w:r w:rsidR="0017063C" w:rsidRPr="00EA6C7A">
        <w:rPr>
          <w:rFonts w:ascii="Verdana" w:eastAsia="Batang" w:hAnsi="Verdana"/>
          <w:sz w:val="20"/>
          <w:szCs w:val="20"/>
          <w:lang w:val="en-US" w:eastAsia="es-MX"/>
        </w:rPr>
        <w:t>Claudina Velásquez</w:t>
      </w:r>
      <w:r w:rsidR="006B0FF9" w:rsidRPr="00EA6C7A">
        <w:rPr>
          <w:rFonts w:ascii="Verdana" w:eastAsia="Batang" w:hAnsi="Verdana"/>
          <w:sz w:val="20"/>
          <w:szCs w:val="20"/>
          <w:lang w:val="en-US" w:eastAsia="es-MX"/>
        </w:rPr>
        <w:t>’s death, “</w:t>
      </w:r>
      <w:r w:rsidR="00565307" w:rsidRPr="00EA6C7A">
        <w:rPr>
          <w:rFonts w:ascii="Verdana" w:eastAsia="Batang" w:hAnsi="Verdana"/>
          <w:sz w:val="20"/>
          <w:szCs w:val="20"/>
          <w:lang w:val="en-US" w:eastAsia="es-MX"/>
        </w:rPr>
        <w:t xml:space="preserve">the motive was </w:t>
      </w:r>
      <w:r w:rsidR="006B0FF9" w:rsidRPr="00EA6C7A">
        <w:rPr>
          <w:rFonts w:ascii="Verdana" w:eastAsia="Batang" w:hAnsi="Verdana"/>
          <w:sz w:val="20"/>
          <w:szCs w:val="20"/>
          <w:lang w:val="en-US" w:eastAsia="es-MX"/>
        </w:rPr>
        <w:t>prejudg</w:t>
      </w:r>
      <w:r w:rsidR="00565307" w:rsidRPr="00EA6C7A">
        <w:rPr>
          <w:rFonts w:ascii="Verdana" w:eastAsia="Batang" w:hAnsi="Verdana"/>
          <w:sz w:val="20"/>
          <w:szCs w:val="20"/>
          <w:lang w:val="en-US" w:eastAsia="es-MX"/>
        </w:rPr>
        <w:t>ed</w:t>
      </w:r>
      <w:r w:rsidR="006B0FF9" w:rsidRPr="00EA6C7A">
        <w:rPr>
          <w:rFonts w:ascii="Verdana" w:eastAsia="Batang" w:hAnsi="Verdana"/>
          <w:sz w:val="20"/>
          <w:szCs w:val="20"/>
          <w:lang w:val="en-US" w:eastAsia="es-MX"/>
        </w:rPr>
        <w:t xml:space="preserve">, mitigating the responsibility of the possible author, and minimizing the victim’s need for protection.” In addition, he determined that in circumstances such as those of this case, </w:t>
      </w:r>
      <w:r w:rsidR="006B0FF9" w:rsidRPr="00EA6C7A">
        <w:rPr>
          <w:rFonts w:ascii="Verdana" w:eastAsia="Batang" w:hAnsi="Verdana"/>
          <w:sz w:val="20"/>
          <w:szCs w:val="20"/>
          <w:lang w:val="en-US" w:eastAsia="es-MX"/>
        </w:rPr>
        <w:lastRenderedPageBreak/>
        <w:t>“omissive or deficient actions represent a violation of the convention-based obligation of due diligence in the investigation and criminal prosecution of those who commit egregious acts of gender-based violence.”</w:t>
      </w:r>
    </w:p>
    <w:p w14:paraId="10576004" w14:textId="77777777" w:rsidR="0017063C" w:rsidRPr="00EA6C7A" w:rsidRDefault="0017063C" w:rsidP="0017063C">
      <w:pPr>
        <w:spacing w:after="0" w:line="240" w:lineRule="auto"/>
        <w:ind w:left="720"/>
        <w:contextualSpacing/>
        <w:rPr>
          <w:rFonts w:ascii="Verdana" w:hAnsi="Verdana"/>
          <w:sz w:val="20"/>
          <w:szCs w:val="20"/>
          <w:lang w:val="en-US" w:eastAsia="es-MX"/>
        </w:rPr>
      </w:pPr>
    </w:p>
    <w:p w14:paraId="030B4549" w14:textId="77777777" w:rsidR="0017063C" w:rsidRPr="00EA6C7A" w:rsidRDefault="006B0FF9" w:rsidP="006B0FF9">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t>Furthermore, for at least 10 days, confusio</w:t>
      </w:r>
      <w:r w:rsidR="00404BDC" w:rsidRPr="00EA6C7A">
        <w:rPr>
          <w:rFonts w:ascii="Verdana" w:eastAsia="Batang" w:hAnsi="Verdana"/>
          <w:sz w:val="20"/>
          <w:szCs w:val="20"/>
          <w:lang w:val="en-US" w:eastAsia="es-MX"/>
        </w:rPr>
        <w:t>n</w:t>
      </w:r>
      <w:r w:rsidRPr="00EA6C7A">
        <w:rPr>
          <w:rFonts w:ascii="Verdana" w:eastAsia="Batang" w:hAnsi="Verdana"/>
          <w:sz w:val="20"/>
          <w:szCs w:val="20"/>
          <w:lang w:val="en-US" w:eastAsia="es-MX"/>
        </w:rPr>
        <w:t xml:space="preserve"> existed regarding the nature of a packet found near </w:t>
      </w:r>
      <w:r w:rsidR="0017063C"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’s body</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which at first was identified as a condom wrapper, an error that was rectified on realizing that it was a torn and empty packet of soup,</w:t>
      </w:r>
      <w:r w:rsidR="0017063C" w:rsidRPr="00EA6C7A">
        <w:rPr>
          <w:rStyle w:val="Refdenotaalpie"/>
          <w:rFonts w:ascii="Verdana" w:eastAsia="Batang" w:hAnsi="Verdana"/>
          <w:sz w:val="20"/>
          <w:szCs w:val="20"/>
          <w:lang w:val="en-US" w:eastAsia="es-MX"/>
        </w:rPr>
        <w:footnoteReference w:id="291"/>
      </w:r>
      <w:r w:rsidRPr="00EA6C7A">
        <w:rPr>
          <w:rFonts w:ascii="Verdana" w:eastAsia="Batang" w:hAnsi="Verdana"/>
          <w:sz w:val="20"/>
          <w:szCs w:val="20"/>
          <w:lang w:val="en-US" w:eastAsia="es-MX"/>
        </w:rPr>
        <w:t xml:space="preserve"> which was not preserved appropriately </w:t>
      </w:r>
      <w:r w:rsidR="0017063C" w:rsidRPr="00EA6C7A">
        <w:rPr>
          <w:rFonts w:ascii="Verdana" w:eastAsia="Batang" w:hAnsi="Verdana"/>
          <w:sz w:val="20"/>
          <w:szCs w:val="20"/>
          <w:lang w:val="en-US" w:eastAsia="es-MX"/>
        </w:rPr>
        <w:t>(</w:t>
      </w:r>
      <w:r w:rsidR="0017063C" w:rsidRPr="00EA6C7A">
        <w:rPr>
          <w:rFonts w:ascii="Verdana" w:eastAsia="Batang" w:hAnsi="Verdana"/>
          <w:i/>
          <w:sz w:val="20"/>
          <w:szCs w:val="20"/>
          <w:lang w:val="en-US" w:eastAsia="es-MX"/>
        </w:rPr>
        <w:t>supra</w:t>
      </w:r>
      <w:r w:rsidR="0017063C"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17063C" w:rsidRPr="00EA6C7A">
        <w:rPr>
          <w:rFonts w:ascii="Verdana" w:eastAsia="Batang" w:hAnsi="Verdana"/>
          <w:sz w:val="20"/>
          <w:szCs w:val="20"/>
          <w:lang w:val="en-US" w:eastAsia="es-MX"/>
        </w:rPr>
        <w:t xml:space="preserve"> 71). </w:t>
      </w:r>
      <w:r w:rsidRPr="00EA6C7A">
        <w:rPr>
          <w:rFonts w:ascii="Verdana" w:eastAsia="Batang" w:hAnsi="Verdana"/>
          <w:sz w:val="20"/>
          <w:szCs w:val="20"/>
          <w:lang w:val="en-US" w:eastAsia="es-MX"/>
        </w:rPr>
        <w:t xml:space="preserve">This confusion </w:t>
      </w:r>
      <w:r w:rsidR="00565307" w:rsidRPr="00EA6C7A">
        <w:rPr>
          <w:rFonts w:ascii="Verdana" w:eastAsia="Batang" w:hAnsi="Verdana"/>
          <w:sz w:val="20"/>
          <w:szCs w:val="20"/>
          <w:lang w:val="en-US" w:eastAsia="es-MX"/>
        </w:rPr>
        <w:t>contributed to</w:t>
      </w:r>
      <w:r w:rsidRPr="00EA6C7A">
        <w:rPr>
          <w:rFonts w:ascii="Verdana" w:eastAsia="Batang" w:hAnsi="Verdana"/>
          <w:sz w:val="20"/>
          <w:szCs w:val="20"/>
          <w:lang w:val="en-US" w:eastAsia="es-MX"/>
        </w:rPr>
        <w:t xml:space="preserve"> the statements and prejudices concerning the </w:t>
      </w:r>
      <w:r w:rsidR="00565307" w:rsidRPr="00EA6C7A">
        <w:rPr>
          <w:rFonts w:ascii="Verdana" w:eastAsia="Batang" w:hAnsi="Verdana"/>
          <w:sz w:val="20"/>
          <w:szCs w:val="20"/>
          <w:lang w:val="en-US" w:eastAsia="es-MX"/>
        </w:rPr>
        <w:t xml:space="preserve">victim’s </w:t>
      </w:r>
      <w:r w:rsidRPr="00EA6C7A">
        <w:rPr>
          <w:rFonts w:ascii="Verdana" w:eastAsia="Batang" w:hAnsi="Verdana"/>
          <w:sz w:val="20"/>
          <w:szCs w:val="20"/>
          <w:lang w:val="en-US" w:eastAsia="es-MX"/>
        </w:rPr>
        <w:t xml:space="preserve">origin and </w:t>
      </w:r>
      <w:r w:rsidR="00565307" w:rsidRPr="00EA6C7A">
        <w:rPr>
          <w:rFonts w:ascii="Verdana" w:eastAsia="Batang" w:hAnsi="Verdana"/>
          <w:sz w:val="20"/>
          <w:szCs w:val="20"/>
          <w:lang w:val="en-US" w:eastAsia="es-MX"/>
        </w:rPr>
        <w:t>status</w:t>
      </w:r>
      <w:r w:rsidRPr="00EA6C7A">
        <w:rPr>
          <w:rFonts w:ascii="Verdana" w:eastAsia="Batang" w:hAnsi="Verdana"/>
          <w:sz w:val="20"/>
          <w:szCs w:val="20"/>
          <w:lang w:val="en-US" w:eastAsia="es-MX"/>
        </w:rPr>
        <w:t>.</w:t>
      </w:r>
    </w:p>
    <w:p w14:paraId="626DAE1A" w14:textId="77777777" w:rsidR="0017063C" w:rsidRPr="00EA6C7A" w:rsidRDefault="0017063C" w:rsidP="006B0FF9">
      <w:pPr>
        <w:tabs>
          <w:tab w:val="left" w:pos="720"/>
        </w:tabs>
        <w:autoSpaceDE w:val="0"/>
        <w:autoSpaceDN w:val="0"/>
        <w:adjustRightInd w:val="0"/>
        <w:spacing w:after="0" w:line="240" w:lineRule="auto"/>
        <w:jc w:val="both"/>
        <w:rPr>
          <w:rFonts w:ascii="Verdana" w:eastAsia="Calibri" w:hAnsi="Verdana"/>
          <w:sz w:val="20"/>
          <w:szCs w:val="20"/>
          <w:lang w:val="en-US"/>
        </w:rPr>
      </w:pPr>
    </w:p>
    <w:p w14:paraId="24BCF836" w14:textId="77777777" w:rsidR="0017063C" w:rsidRPr="00EA6C7A" w:rsidRDefault="00355A30" w:rsidP="00404BDC">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cs="Arial"/>
          <w:sz w:val="20"/>
          <w:szCs w:val="20"/>
          <w:lang w:val="en-US" w:eastAsia="es-MX"/>
        </w:rPr>
        <w:t xml:space="preserve">Additionally, more than three years after the victim’s death and in the course of the </w:t>
      </w:r>
      <w:r w:rsidRPr="00EA6C7A">
        <w:rPr>
          <w:rFonts w:ascii="Verdana" w:eastAsia="Batang" w:hAnsi="Verdana"/>
          <w:sz w:val="20"/>
          <w:szCs w:val="20"/>
          <w:lang w:val="en-US" w:eastAsia="es-MX"/>
        </w:rPr>
        <w:t>criminal investigation</w:t>
      </w:r>
      <w:r w:rsidR="0017063C" w:rsidRPr="00EA6C7A">
        <w:rPr>
          <w:rFonts w:ascii="Verdana" w:eastAsia="Batang" w:hAnsi="Verdana"/>
          <w:sz w:val="20"/>
          <w:szCs w:val="20"/>
          <w:lang w:val="en-US" w:eastAsia="es-MX"/>
        </w:rPr>
        <w:t>,</w:t>
      </w:r>
      <w:r w:rsidR="0017063C" w:rsidRPr="00EA6C7A">
        <w:rPr>
          <w:rFonts w:ascii="Verdana" w:eastAsia="Batang" w:hAnsi="Verdana" w:cs="Arial"/>
          <w:sz w:val="20"/>
          <w:szCs w:val="20"/>
          <w:lang w:val="en-US" w:eastAsia="es-MX"/>
        </w:rPr>
        <w:t xml:space="preserve"> </w:t>
      </w:r>
      <w:r w:rsidRPr="00EA6C7A">
        <w:rPr>
          <w:rFonts w:ascii="Verdana" w:eastAsia="Batang" w:hAnsi="Verdana" w:cs="Arial"/>
          <w:sz w:val="20"/>
          <w:szCs w:val="20"/>
          <w:lang w:val="en-US" w:eastAsia="es-MX"/>
        </w:rPr>
        <w:t xml:space="preserve">INACIF prepared a forensic psychiatric report on </w:t>
      </w:r>
      <w:r w:rsidR="003F510E" w:rsidRPr="00EA6C7A">
        <w:rPr>
          <w:rFonts w:ascii="Verdana" w:eastAsia="Batang" w:hAnsi="Verdana"/>
          <w:sz w:val="20"/>
          <w:szCs w:val="20"/>
          <w:lang w:val="en-US" w:eastAsia="es-MX"/>
        </w:rPr>
        <w:t xml:space="preserve">November </w:t>
      </w:r>
      <w:r w:rsidRPr="00EA6C7A">
        <w:rPr>
          <w:rFonts w:ascii="Verdana" w:eastAsia="Batang" w:hAnsi="Verdana"/>
          <w:sz w:val="20"/>
          <w:szCs w:val="20"/>
          <w:lang w:val="en-US" w:eastAsia="es-MX"/>
        </w:rPr>
        <w:t>2</w:t>
      </w:r>
      <w:r w:rsidR="003F510E" w:rsidRPr="00EA6C7A">
        <w:rPr>
          <w:rFonts w:ascii="Verdana" w:eastAsia="Batang" w:hAnsi="Verdana"/>
          <w:sz w:val="20"/>
          <w:szCs w:val="20"/>
          <w:lang w:val="en-US" w:eastAsia="es-MX"/>
        </w:rPr>
        <w:t>4,</w:t>
      </w:r>
      <w:r w:rsidR="0017063C" w:rsidRPr="00EA6C7A">
        <w:rPr>
          <w:rFonts w:ascii="Verdana" w:eastAsia="Batang" w:hAnsi="Verdana"/>
          <w:sz w:val="20"/>
          <w:szCs w:val="20"/>
          <w:lang w:val="en-US" w:eastAsia="es-MX"/>
        </w:rPr>
        <w:t xml:space="preserve"> 2008</w:t>
      </w:r>
      <w:r w:rsidR="0017063C" w:rsidRPr="00EA6C7A">
        <w:rPr>
          <w:rFonts w:ascii="Verdana" w:eastAsia="Batang" w:hAnsi="Verdana" w:cs="Arial"/>
          <w:sz w:val="20"/>
          <w:szCs w:val="20"/>
          <w:lang w:val="en-US" w:eastAsia="es-MX"/>
        </w:rPr>
        <w:t xml:space="preserve"> (</w:t>
      </w:r>
      <w:r w:rsidR="0017063C" w:rsidRPr="00EA6C7A">
        <w:rPr>
          <w:rFonts w:ascii="Verdana" w:eastAsia="Batang" w:hAnsi="Verdana" w:cs="Arial"/>
          <w:i/>
          <w:sz w:val="20"/>
          <w:szCs w:val="20"/>
          <w:lang w:val="en-US" w:eastAsia="es-MX"/>
        </w:rPr>
        <w:t>supra</w:t>
      </w:r>
      <w:r w:rsidR="0017063C" w:rsidRPr="00EA6C7A">
        <w:rPr>
          <w:rFonts w:ascii="Verdana" w:eastAsia="Batang" w:hAnsi="Verdana" w:cs="Arial"/>
          <w:sz w:val="20"/>
          <w:szCs w:val="20"/>
          <w:lang w:val="en-US" w:eastAsia="es-MX"/>
        </w:rPr>
        <w:t xml:space="preserve"> </w:t>
      </w:r>
      <w:r w:rsidR="002F3848" w:rsidRPr="00EA6C7A">
        <w:rPr>
          <w:rFonts w:ascii="Verdana" w:eastAsia="Batang" w:hAnsi="Verdana" w:cs="Arial"/>
          <w:sz w:val="20"/>
          <w:szCs w:val="20"/>
          <w:lang w:val="en-US" w:eastAsia="es-MX"/>
        </w:rPr>
        <w:t>para.</w:t>
      </w:r>
      <w:r w:rsidR="0017063C" w:rsidRPr="00EA6C7A">
        <w:rPr>
          <w:rFonts w:ascii="Verdana" w:eastAsia="Batang" w:hAnsi="Verdana" w:cs="Arial"/>
          <w:sz w:val="20"/>
          <w:szCs w:val="20"/>
          <w:lang w:val="en-US" w:eastAsia="es-MX"/>
        </w:rPr>
        <w:t xml:space="preserve"> 88). </w:t>
      </w:r>
      <w:r w:rsidRPr="00EA6C7A">
        <w:rPr>
          <w:rFonts w:ascii="Verdana" w:eastAsia="Batang" w:hAnsi="Verdana" w:cs="Arial"/>
          <w:sz w:val="20"/>
          <w:szCs w:val="20"/>
          <w:lang w:val="en-US" w:eastAsia="es-MX"/>
        </w:rPr>
        <w:t xml:space="preserve">When referring to the victimization profile of </w:t>
      </w:r>
      <w:r w:rsidR="0017063C"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 xml:space="preserve">, </w:t>
      </w:r>
      <w:r w:rsidRPr="00EA6C7A">
        <w:rPr>
          <w:rFonts w:ascii="Verdana" w:eastAsia="Batang" w:hAnsi="Verdana" w:cs="Arial"/>
          <w:sz w:val="20"/>
          <w:szCs w:val="20"/>
          <w:lang w:val="en-US" w:eastAsia="es-MX"/>
        </w:rPr>
        <w:t>this report indicated: “</w:t>
      </w:r>
      <w:r w:rsidR="00404BDC" w:rsidRPr="00EA6C7A">
        <w:rPr>
          <w:rFonts w:ascii="Verdana" w:eastAsia="Batang" w:hAnsi="Verdana" w:cs="Arial"/>
          <w:sz w:val="20"/>
          <w:szCs w:val="20"/>
          <w:lang w:val="en-US" w:eastAsia="es-MX"/>
        </w:rPr>
        <w:t xml:space="preserve">It is considered that [she] </w:t>
      </w:r>
      <w:r w:rsidR="00565307" w:rsidRPr="00EA6C7A">
        <w:rPr>
          <w:rFonts w:ascii="Verdana" w:eastAsia="Batang" w:hAnsi="Verdana" w:cs="Arial"/>
          <w:sz w:val="20"/>
          <w:szCs w:val="20"/>
          <w:lang w:val="en-US" w:eastAsia="es-MX"/>
        </w:rPr>
        <w:t>filled the role</w:t>
      </w:r>
      <w:r w:rsidR="00404BDC" w:rsidRPr="00EA6C7A">
        <w:rPr>
          <w:rFonts w:ascii="Verdana" w:eastAsia="Batang" w:hAnsi="Verdana" w:cs="Arial"/>
          <w:sz w:val="20"/>
          <w:szCs w:val="20"/>
          <w:lang w:val="en-US" w:eastAsia="es-MX"/>
        </w:rPr>
        <w:t xml:space="preserve"> of </w:t>
      </w:r>
      <w:r w:rsidR="00EF1950" w:rsidRPr="00EA6C7A">
        <w:rPr>
          <w:rFonts w:ascii="Verdana" w:eastAsia="Batang" w:hAnsi="Verdana" w:cs="Arial"/>
          <w:sz w:val="20"/>
          <w:szCs w:val="20"/>
          <w:lang w:val="en-US" w:eastAsia="es-MX"/>
        </w:rPr>
        <w:t xml:space="preserve">an </w:t>
      </w:r>
      <w:r w:rsidR="00404BDC" w:rsidRPr="00EA6C7A">
        <w:rPr>
          <w:rFonts w:ascii="Verdana" w:eastAsia="Batang" w:hAnsi="Verdana" w:cs="Arial"/>
          <w:sz w:val="20"/>
          <w:szCs w:val="20"/>
          <w:lang w:val="en-US" w:eastAsia="es-MX"/>
        </w:rPr>
        <w:t>unwise victim by placing herself in a dangerous situation and not measuring the consequences of walking home alone late at night. This reveals an impulsive, immature and irresponsible attitude, especially if it can be confirmed [or] rejected that she was under the effects of alcohol [or] drugs.” In addition, when describing the psychiatric profile of the victim, it included comments such as:</w:t>
      </w:r>
      <w:r w:rsidR="0017063C" w:rsidRPr="00EA6C7A">
        <w:rPr>
          <w:rFonts w:ascii="Verdana" w:eastAsia="Batang" w:hAnsi="Verdana"/>
          <w:sz w:val="20"/>
          <w:szCs w:val="20"/>
          <w:lang w:val="en-US" w:eastAsia="es-MX"/>
        </w:rPr>
        <w:t xml:space="preserve"> “</w:t>
      </w:r>
      <w:r w:rsidR="0017063C" w:rsidRPr="00EA6C7A">
        <w:rPr>
          <w:rFonts w:ascii="Verdana" w:eastAsia="Calibri" w:hAnsi="Verdana"/>
          <w:sz w:val="20"/>
          <w:szCs w:val="20"/>
          <w:lang w:val="en-US"/>
        </w:rPr>
        <w:t xml:space="preserve">Claudina Isabel Velásquez Paiz </w:t>
      </w:r>
      <w:r w:rsidR="00565307" w:rsidRPr="00EA6C7A">
        <w:rPr>
          <w:rFonts w:ascii="Verdana" w:eastAsia="Calibri" w:hAnsi="Verdana"/>
          <w:sz w:val="20"/>
          <w:szCs w:val="20"/>
          <w:lang w:val="en-US"/>
        </w:rPr>
        <w:t>wa</w:t>
      </w:r>
      <w:r w:rsidR="00404BDC" w:rsidRPr="00EA6C7A">
        <w:rPr>
          <w:rFonts w:ascii="Verdana" w:eastAsia="Calibri" w:hAnsi="Verdana"/>
          <w:sz w:val="20"/>
          <w:szCs w:val="20"/>
          <w:lang w:val="en-US"/>
        </w:rPr>
        <w:t>s capable of developing heterosexual and monogamous affective relationships,” that “[in] both personal and social relationships the consumption of alcohol predominate</w:t>
      </w:r>
      <w:r w:rsidR="00565307" w:rsidRPr="00EA6C7A">
        <w:rPr>
          <w:rFonts w:ascii="Verdana" w:eastAsia="Calibri" w:hAnsi="Verdana"/>
          <w:sz w:val="20"/>
          <w:szCs w:val="20"/>
          <w:lang w:val="en-US"/>
        </w:rPr>
        <w:t>d</w:t>
      </w:r>
      <w:r w:rsidR="00404BDC" w:rsidRPr="00EA6C7A">
        <w:rPr>
          <w:rFonts w:ascii="Verdana" w:eastAsia="Calibri" w:hAnsi="Verdana"/>
          <w:sz w:val="20"/>
          <w:szCs w:val="20"/>
          <w:lang w:val="en-US"/>
        </w:rPr>
        <w:t xml:space="preserve"> and participation in parties organized by friends or by friends of friends, and these relations</w:t>
      </w:r>
      <w:r w:rsidR="00565307" w:rsidRPr="00EA6C7A">
        <w:rPr>
          <w:rFonts w:ascii="Verdana" w:eastAsia="Calibri" w:hAnsi="Verdana"/>
          <w:sz w:val="20"/>
          <w:szCs w:val="20"/>
          <w:lang w:val="en-US"/>
        </w:rPr>
        <w:t>hips</w:t>
      </w:r>
      <w:r w:rsidR="00404BDC" w:rsidRPr="00EA6C7A">
        <w:rPr>
          <w:rFonts w:ascii="Verdana" w:eastAsia="Calibri" w:hAnsi="Verdana"/>
          <w:sz w:val="20"/>
          <w:szCs w:val="20"/>
          <w:lang w:val="en-US"/>
        </w:rPr>
        <w:t xml:space="preserve"> were priorities in her life, while the family circle and her university studies occupied a secondary position; she even missed classes to take part in activities with her friends,” and “she had </w:t>
      </w:r>
      <w:r w:rsidR="00565307" w:rsidRPr="00EA6C7A">
        <w:rPr>
          <w:rFonts w:ascii="Verdana" w:eastAsia="Calibri" w:hAnsi="Verdana"/>
          <w:sz w:val="20"/>
          <w:szCs w:val="20"/>
          <w:lang w:val="en-US"/>
        </w:rPr>
        <w:t xml:space="preserve">an </w:t>
      </w:r>
      <w:r w:rsidR="00404BDC" w:rsidRPr="00EA6C7A">
        <w:rPr>
          <w:rFonts w:ascii="Verdana" w:eastAsia="Calibri" w:hAnsi="Verdana"/>
          <w:sz w:val="20"/>
          <w:szCs w:val="20"/>
          <w:lang w:val="en-US"/>
        </w:rPr>
        <w:t>oppositional attitude towards family norms and a permissive attitude in her affective relationships.</w:t>
      </w:r>
      <w:r w:rsidR="0017063C" w:rsidRPr="00EA6C7A">
        <w:rPr>
          <w:rFonts w:ascii="Verdana" w:eastAsia="Calibri" w:hAnsi="Verdana"/>
          <w:sz w:val="20"/>
          <w:szCs w:val="20"/>
          <w:lang w:val="en-US"/>
        </w:rPr>
        <w:t>”</w:t>
      </w:r>
      <w:r w:rsidR="0017063C" w:rsidRPr="00EA6C7A">
        <w:rPr>
          <w:rFonts w:ascii="Verdana" w:eastAsia="Batang" w:hAnsi="Verdana"/>
          <w:sz w:val="20"/>
          <w:szCs w:val="20"/>
          <w:vertAlign w:val="superscript"/>
          <w:lang w:val="en-US" w:eastAsia="es-MX"/>
        </w:rPr>
        <w:footnoteReference w:id="292"/>
      </w:r>
    </w:p>
    <w:p w14:paraId="008AF528" w14:textId="77777777" w:rsidR="0017063C" w:rsidRPr="00EA6C7A" w:rsidRDefault="0017063C" w:rsidP="0017063C">
      <w:pPr>
        <w:autoSpaceDE w:val="0"/>
        <w:autoSpaceDN w:val="0"/>
        <w:adjustRightInd w:val="0"/>
        <w:spacing w:after="0" w:line="240" w:lineRule="auto"/>
        <w:jc w:val="both"/>
        <w:rPr>
          <w:rFonts w:ascii="Verdana" w:eastAsia="Calibri" w:hAnsi="Verdana"/>
          <w:sz w:val="20"/>
          <w:szCs w:val="20"/>
          <w:lang w:val="en-US"/>
        </w:rPr>
      </w:pPr>
    </w:p>
    <w:p w14:paraId="6DEBA238" w14:textId="77777777" w:rsidR="0017063C" w:rsidRPr="00EA6C7A" w:rsidRDefault="0096418F" w:rsidP="00F73E9C">
      <w:pPr>
        <w:numPr>
          <w:ilvl w:val="0"/>
          <w:numId w:val="3"/>
        </w:numPr>
        <w:tabs>
          <w:tab w:val="left" w:pos="567"/>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cs="FPNLKG+TimesNewRoman"/>
          <w:sz w:val="20"/>
          <w:szCs w:val="20"/>
          <w:lang w:val="en-US" w:eastAsia="es-MX"/>
        </w:rPr>
        <w:t>The Court</w:t>
      </w:r>
      <w:r w:rsidR="0017063C" w:rsidRPr="00EA6C7A">
        <w:rPr>
          <w:rFonts w:ascii="Verdana" w:eastAsia="Batang" w:hAnsi="Verdana" w:cs="FPNLKG+TimesNewRoman"/>
          <w:sz w:val="20"/>
          <w:szCs w:val="20"/>
          <w:lang w:val="en-US" w:eastAsia="es-MX"/>
        </w:rPr>
        <w:t xml:space="preserve"> </w:t>
      </w:r>
      <w:r w:rsidR="00404BDC" w:rsidRPr="00EA6C7A">
        <w:rPr>
          <w:rFonts w:ascii="Verdana" w:eastAsia="Batang" w:hAnsi="Verdana" w:cs="FPNLKG+TimesNewRoman"/>
          <w:sz w:val="20"/>
          <w:szCs w:val="20"/>
          <w:lang w:val="en-US" w:eastAsia="es-MX"/>
        </w:rPr>
        <w:t xml:space="preserve">notes that the attitude assumed by the authorities in the investigation into the death of </w:t>
      </w:r>
      <w:r w:rsidR="0017063C" w:rsidRPr="00EA6C7A">
        <w:rPr>
          <w:rFonts w:ascii="Verdana" w:eastAsia="Batang" w:hAnsi="Verdana"/>
          <w:sz w:val="20"/>
          <w:szCs w:val="20"/>
          <w:lang w:val="en-US" w:eastAsia="es-MX"/>
        </w:rPr>
        <w:t>Claudina</w:t>
      </w:r>
      <w:r w:rsidR="0017063C" w:rsidRPr="00EA6C7A">
        <w:rPr>
          <w:rFonts w:ascii="Verdana" w:eastAsia="Batang" w:hAnsi="Verdana" w:cs="FPNLKG+TimesNewRoman"/>
          <w:sz w:val="20"/>
          <w:szCs w:val="20"/>
          <w:lang w:val="en-US" w:eastAsia="es-MX"/>
        </w:rPr>
        <w:t xml:space="preserve"> Velásquez </w:t>
      </w:r>
      <w:r w:rsidR="00404BDC" w:rsidRPr="00EA6C7A">
        <w:rPr>
          <w:rFonts w:ascii="Verdana" w:eastAsia="Batang" w:hAnsi="Verdana" w:cs="FPNLKG+TimesNewRoman"/>
          <w:sz w:val="20"/>
          <w:szCs w:val="20"/>
          <w:lang w:val="en-US" w:eastAsia="es-MX"/>
        </w:rPr>
        <w:t>is not an isolated fact, because it is in keeping with the context of the “tendency of investigators to discredit victims and blame them for their lifestyle</w:t>
      </w:r>
      <w:r w:rsidR="004D0F94" w:rsidRPr="00EA6C7A">
        <w:rPr>
          <w:rFonts w:ascii="Verdana" w:eastAsia="Batang" w:hAnsi="Verdana" w:cs="FPNLKG+TimesNewRoman"/>
          <w:sz w:val="20"/>
          <w:szCs w:val="20"/>
          <w:lang w:val="en-US" w:eastAsia="es-MX"/>
        </w:rPr>
        <w:t xml:space="preserve"> or clothes,” and to inquire into aspects </w:t>
      </w:r>
      <w:r w:rsidR="00565307" w:rsidRPr="00EA6C7A">
        <w:rPr>
          <w:rFonts w:ascii="Verdana" w:eastAsia="Batang" w:hAnsi="Verdana" w:cs="FPNLKG+TimesNewRoman"/>
          <w:sz w:val="20"/>
          <w:szCs w:val="20"/>
          <w:lang w:val="en-US" w:eastAsia="es-MX"/>
        </w:rPr>
        <w:t>of</w:t>
      </w:r>
      <w:r w:rsidR="004D0F94" w:rsidRPr="00EA6C7A">
        <w:rPr>
          <w:rFonts w:ascii="Verdana" w:eastAsia="Batang" w:hAnsi="Verdana" w:cs="FPNLKG+TimesNewRoman"/>
          <w:sz w:val="20"/>
          <w:szCs w:val="20"/>
          <w:lang w:val="en-US" w:eastAsia="es-MX"/>
        </w:rPr>
        <w:t xml:space="preserve"> the</w:t>
      </w:r>
      <w:r w:rsidR="00565307" w:rsidRPr="00EA6C7A">
        <w:rPr>
          <w:rFonts w:ascii="Verdana" w:eastAsia="Batang" w:hAnsi="Verdana" w:cs="FPNLKG+TimesNewRoman"/>
          <w:sz w:val="20"/>
          <w:szCs w:val="20"/>
          <w:lang w:val="en-US" w:eastAsia="es-MX"/>
        </w:rPr>
        <w:t xml:space="preserve"> victims’</w:t>
      </w:r>
      <w:r w:rsidR="004D0F94" w:rsidRPr="00EA6C7A">
        <w:rPr>
          <w:rFonts w:ascii="Verdana" w:eastAsia="Batang" w:hAnsi="Verdana" w:cs="FPNLKG+TimesNewRoman"/>
          <w:sz w:val="20"/>
          <w:szCs w:val="20"/>
          <w:lang w:val="en-US" w:eastAsia="es-MX"/>
        </w:rPr>
        <w:t xml:space="preserve"> personal and sexual relationships, </w:t>
      </w:r>
      <w:r w:rsidR="00EA1682" w:rsidRPr="00EA6C7A">
        <w:rPr>
          <w:rFonts w:ascii="Verdana" w:eastAsia="Batang" w:hAnsi="Verdana" w:cs="FPNLKG+TimesNewRoman"/>
          <w:sz w:val="20"/>
          <w:szCs w:val="20"/>
          <w:lang w:val="en-US" w:eastAsia="es-MX"/>
        </w:rPr>
        <w:t>and also the context of</w:t>
      </w:r>
      <w:r w:rsidR="004D0F94" w:rsidRPr="00EA6C7A">
        <w:rPr>
          <w:rFonts w:ascii="Verdana" w:eastAsia="Batang" w:hAnsi="Verdana" w:cs="FPNLKG+TimesNewRoman"/>
          <w:sz w:val="20"/>
          <w:szCs w:val="20"/>
          <w:lang w:val="en-US" w:eastAsia="es-MX"/>
        </w:rPr>
        <w:t xml:space="preserve"> the impunity of violent acts resulting in the death of women</w:t>
      </w:r>
      <w:r w:rsidR="0017063C" w:rsidRPr="00EA6C7A">
        <w:rPr>
          <w:rFonts w:ascii="Verdana" w:eastAsia="Batang" w:hAnsi="Verdana"/>
          <w:sz w:val="20"/>
          <w:szCs w:val="20"/>
          <w:lang w:val="en-US" w:eastAsia="es-MX"/>
        </w:rPr>
        <w:t xml:space="preserve"> (</w:t>
      </w:r>
      <w:r w:rsidR="0017063C" w:rsidRPr="00EA6C7A">
        <w:rPr>
          <w:rFonts w:ascii="Verdana" w:eastAsia="Batang" w:hAnsi="Verdana"/>
          <w:i/>
          <w:sz w:val="20"/>
          <w:szCs w:val="20"/>
          <w:lang w:val="en-US" w:eastAsia="es-MX"/>
        </w:rPr>
        <w:t>supra</w:t>
      </w:r>
      <w:r w:rsidR="0017063C" w:rsidRPr="00EA6C7A">
        <w:rPr>
          <w:rFonts w:ascii="Verdana" w:eastAsia="Batang" w:hAnsi="Verdana"/>
          <w:sz w:val="20"/>
          <w:szCs w:val="20"/>
          <w:lang w:val="en-US" w:eastAsia="es-MX"/>
        </w:rPr>
        <w:t xml:space="preserve"> </w:t>
      </w:r>
      <w:r w:rsidR="002F3848" w:rsidRPr="00EA6C7A">
        <w:rPr>
          <w:rFonts w:ascii="Verdana" w:eastAsia="Batang" w:hAnsi="Verdana"/>
          <w:sz w:val="20"/>
          <w:szCs w:val="20"/>
          <w:lang w:val="en-US" w:eastAsia="es-MX"/>
        </w:rPr>
        <w:t>para.</w:t>
      </w:r>
      <w:r w:rsidR="0017063C" w:rsidRPr="00EA6C7A">
        <w:rPr>
          <w:rFonts w:ascii="Verdana" w:eastAsia="Batang" w:hAnsi="Verdana"/>
          <w:sz w:val="20"/>
          <w:szCs w:val="20"/>
          <w:lang w:val="en-US" w:eastAsia="es-MX"/>
        </w:rPr>
        <w:t xml:space="preserve"> 49). </w:t>
      </w:r>
      <w:r w:rsidR="004D0F94" w:rsidRPr="00EA6C7A">
        <w:rPr>
          <w:rFonts w:ascii="Verdana" w:eastAsia="Batang" w:hAnsi="Verdana"/>
          <w:sz w:val="20"/>
          <w:szCs w:val="20"/>
          <w:lang w:val="en-US" w:eastAsia="es-MX"/>
        </w:rPr>
        <w:t>It</w:t>
      </w:r>
      <w:r w:rsidR="00EA1682" w:rsidRPr="00EA6C7A">
        <w:rPr>
          <w:rFonts w:ascii="Verdana" w:eastAsia="Batang" w:hAnsi="Verdana"/>
          <w:sz w:val="20"/>
          <w:szCs w:val="20"/>
          <w:lang w:val="en-US" w:eastAsia="es-MX"/>
        </w:rPr>
        <w:t xml:space="preserve"> also accords </w:t>
      </w:r>
      <w:r w:rsidR="004D0F94" w:rsidRPr="00EA6C7A">
        <w:rPr>
          <w:rFonts w:ascii="Verdana" w:eastAsia="Batang" w:hAnsi="Verdana"/>
          <w:sz w:val="20"/>
          <w:szCs w:val="20"/>
          <w:lang w:val="en-US" w:eastAsia="es-MX"/>
        </w:rPr>
        <w:t>wit</w:t>
      </w:r>
      <w:r w:rsidR="00F73E9C" w:rsidRPr="00EA6C7A">
        <w:rPr>
          <w:rFonts w:ascii="Verdana" w:eastAsia="Batang" w:hAnsi="Verdana"/>
          <w:sz w:val="20"/>
          <w:szCs w:val="20"/>
          <w:lang w:val="en-US" w:eastAsia="es-MX"/>
        </w:rPr>
        <w:t>h</w:t>
      </w:r>
      <w:r w:rsidR="004D0F94" w:rsidRPr="00EA6C7A">
        <w:rPr>
          <w:rFonts w:ascii="Verdana" w:eastAsia="Batang" w:hAnsi="Verdana"/>
          <w:sz w:val="20"/>
          <w:szCs w:val="20"/>
          <w:lang w:val="en-US" w:eastAsia="es-MX"/>
        </w:rPr>
        <w:t xml:space="preserve"> the attitude of the officials in charge of the inv</w:t>
      </w:r>
      <w:r w:rsidR="00F73E9C" w:rsidRPr="00EA6C7A">
        <w:rPr>
          <w:rFonts w:ascii="Verdana" w:eastAsia="Batang" w:hAnsi="Verdana"/>
          <w:sz w:val="20"/>
          <w:szCs w:val="20"/>
          <w:lang w:val="en-US" w:eastAsia="es-MX"/>
        </w:rPr>
        <w:t xml:space="preserve">estigation in </w:t>
      </w:r>
      <w:r w:rsidR="007E6E93" w:rsidRPr="00EA6C7A">
        <w:rPr>
          <w:rFonts w:ascii="Verdana" w:eastAsia="Batang" w:hAnsi="Verdana"/>
          <w:sz w:val="20"/>
          <w:szCs w:val="20"/>
          <w:lang w:val="en-US" w:eastAsia="es-MX"/>
        </w:rPr>
        <w:t>the case of</w:t>
      </w:r>
      <w:r w:rsidR="001914FC" w:rsidRPr="00EA6C7A">
        <w:rPr>
          <w:rFonts w:ascii="Verdana" w:eastAsia="Batang" w:hAnsi="Verdana"/>
          <w:i/>
          <w:iCs/>
          <w:sz w:val="20"/>
          <w:szCs w:val="20"/>
          <w:lang w:val="en-US" w:eastAsia="es-MX"/>
        </w:rPr>
        <w:t xml:space="preserve"> </w:t>
      </w:r>
      <w:r w:rsidR="0017063C" w:rsidRPr="00EA6C7A">
        <w:rPr>
          <w:rFonts w:ascii="Verdana" w:eastAsia="Batang" w:hAnsi="Verdana"/>
          <w:i/>
          <w:iCs/>
          <w:sz w:val="20"/>
          <w:szCs w:val="20"/>
          <w:lang w:val="en-US" w:eastAsia="es-MX"/>
        </w:rPr>
        <w:t xml:space="preserve">Veliz Franco </w:t>
      </w:r>
      <w:r w:rsidR="001914FC" w:rsidRPr="00EA6C7A">
        <w:rPr>
          <w:rFonts w:ascii="Verdana" w:eastAsia="Batang" w:hAnsi="Verdana"/>
          <w:i/>
          <w:iCs/>
          <w:sz w:val="20"/>
          <w:szCs w:val="20"/>
          <w:lang w:val="en-US" w:eastAsia="es-MX"/>
        </w:rPr>
        <w:t>et al. v.</w:t>
      </w:r>
      <w:r w:rsidR="0017063C" w:rsidRPr="00EA6C7A">
        <w:rPr>
          <w:rFonts w:ascii="Verdana" w:eastAsia="Batang" w:hAnsi="Verdana"/>
          <w:i/>
          <w:iCs/>
          <w:sz w:val="20"/>
          <w:szCs w:val="20"/>
          <w:lang w:val="en-US" w:eastAsia="es-MX"/>
        </w:rPr>
        <w:t xml:space="preserve"> Guatemala</w:t>
      </w:r>
      <w:r w:rsidR="0017063C" w:rsidRPr="00EA6C7A">
        <w:rPr>
          <w:rFonts w:ascii="Verdana" w:eastAsia="Batang" w:hAnsi="Verdana"/>
          <w:iCs/>
          <w:sz w:val="20"/>
          <w:szCs w:val="20"/>
          <w:lang w:val="en-US" w:eastAsia="es-MX"/>
        </w:rPr>
        <w:t xml:space="preserve">, </w:t>
      </w:r>
      <w:r w:rsidR="00F73E9C" w:rsidRPr="00EA6C7A">
        <w:rPr>
          <w:rFonts w:ascii="Verdana" w:eastAsia="Batang" w:hAnsi="Verdana"/>
          <w:iCs/>
          <w:sz w:val="20"/>
          <w:szCs w:val="20"/>
          <w:lang w:val="en-US" w:eastAsia="es-MX"/>
        </w:rPr>
        <w:t xml:space="preserve">in which the Court verified </w:t>
      </w:r>
      <w:r w:rsidR="00EA1682" w:rsidRPr="00EA6C7A">
        <w:rPr>
          <w:rFonts w:ascii="Verdana" w:eastAsia="Batang" w:hAnsi="Verdana"/>
          <w:iCs/>
          <w:sz w:val="20"/>
          <w:szCs w:val="20"/>
          <w:lang w:val="en-US" w:eastAsia="es-MX"/>
        </w:rPr>
        <w:t>the omission of</w:t>
      </w:r>
      <w:r w:rsidR="00F73E9C" w:rsidRPr="00EA6C7A">
        <w:rPr>
          <w:rFonts w:ascii="Verdana" w:eastAsia="Batang" w:hAnsi="Verdana"/>
          <w:iCs/>
          <w:sz w:val="20"/>
          <w:szCs w:val="20"/>
          <w:lang w:val="en-US" w:eastAsia="es-MX"/>
        </w:rPr>
        <w:t xml:space="preserve"> pertinent evidence to determine</w:t>
      </w:r>
      <w:r w:rsidR="00EA1682" w:rsidRPr="00EA6C7A">
        <w:rPr>
          <w:rFonts w:ascii="Verdana" w:eastAsia="Batang" w:hAnsi="Verdana"/>
          <w:iCs/>
          <w:sz w:val="20"/>
          <w:szCs w:val="20"/>
          <w:lang w:val="en-US" w:eastAsia="es-MX"/>
        </w:rPr>
        <w:t xml:space="preserve"> the</w:t>
      </w:r>
      <w:r w:rsidR="00F73E9C" w:rsidRPr="00EA6C7A">
        <w:rPr>
          <w:rFonts w:ascii="Verdana" w:eastAsia="Batang" w:hAnsi="Verdana"/>
          <w:iCs/>
          <w:sz w:val="20"/>
          <w:szCs w:val="20"/>
          <w:lang w:val="en-US" w:eastAsia="es-MX"/>
        </w:rPr>
        <w:t xml:space="preserve"> sexual violence, or </w:t>
      </w:r>
      <w:r w:rsidR="00EA1682" w:rsidRPr="00EA6C7A">
        <w:rPr>
          <w:rFonts w:ascii="Verdana" w:eastAsia="Batang" w:hAnsi="Verdana"/>
          <w:iCs/>
          <w:sz w:val="20"/>
          <w:szCs w:val="20"/>
          <w:lang w:val="en-US" w:eastAsia="es-MX"/>
        </w:rPr>
        <w:t>that this was obtained</w:t>
      </w:r>
      <w:r w:rsidR="00F73E9C" w:rsidRPr="00EA6C7A">
        <w:rPr>
          <w:rFonts w:ascii="Verdana" w:eastAsia="Batang" w:hAnsi="Verdana"/>
          <w:iCs/>
          <w:sz w:val="20"/>
          <w:szCs w:val="20"/>
          <w:lang w:val="en-US" w:eastAsia="es-MX"/>
        </w:rPr>
        <w:t xml:space="preserve"> belatedly and when </w:t>
      </w:r>
      <w:r w:rsidR="00EA1682" w:rsidRPr="00EA6C7A">
        <w:rPr>
          <w:rFonts w:ascii="Verdana" w:eastAsia="Batang" w:hAnsi="Verdana"/>
          <w:iCs/>
          <w:sz w:val="20"/>
          <w:szCs w:val="20"/>
          <w:lang w:val="en-US" w:eastAsia="es-MX"/>
        </w:rPr>
        <w:t>it</w:t>
      </w:r>
      <w:r w:rsidR="00F73E9C" w:rsidRPr="00EA6C7A">
        <w:rPr>
          <w:rFonts w:ascii="Verdana" w:eastAsia="Batang" w:hAnsi="Verdana"/>
          <w:iCs/>
          <w:sz w:val="20"/>
          <w:szCs w:val="20"/>
          <w:lang w:val="en-US" w:eastAsia="es-MX"/>
        </w:rPr>
        <w:t xml:space="preserve"> was contaminated;</w:t>
      </w:r>
      <w:r w:rsidR="00EA1682" w:rsidRPr="00EA6C7A">
        <w:rPr>
          <w:rFonts w:ascii="Verdana" w:eastAsia="Batang" w:hAnsi="Verdana"/>
          <w:iCs/>
          <w:sz w:val="20"/>
          <w:szCs w:val="20"/>
          <w:lang w:val="en-US" w:eastAsia="es-MX"/>
        </w:rPr>
        <w:t xml:space="preserve"> </w:t>
      </w:r>
      <w:r w:rsidR="00F73E9C" w:rsidRPr="00EA6C7A">
        <w:rPr>
          <w:rFonts w:ascii="Verdana" w:eastAsia="Batang" w:hAnsi="Verdana"/>
          <w:iCs/>
          <w:sz w:val="20"/>
          <w:szCs w:val="20"/>
          <w:lang w:val="en-US" w:eastAsia="es-MX"/>
        </w:rPr>
        <w:t>the absence of a thorough and effective investigation into the violent incident that resulted in the victim’s death, as well as of possible causes and motives</w:t>
      </w:r>
      <w:r w:rsidR="00EA1682" w:rsidRPr="00EA6C7A">
        <w:rPr>
          <w:rFonts w:ascii="Verdana" w:eastAsia="Batang" w:hAnsi="Verdana"/>
          <w:iCs/>
          <w:sz w:val="20"/>
          <w:szCs w:val="20"/>
          <w:lang w:val="en-US" w:eastAsia="es-MX"/>
        </w:rPr>
        <w:t>,</w:t>
      </w:r>
      <w:r w:rsidR="00F73E9C" w:rsidRPr="00EA6C7A">
        <w:rPr>
          <w:rFonts w:ascii="Verdana" w:eastAsia="Batang" w:hAnsi="Verdana"/>
          <w:iCs/>
          <w:sz w:val="20"/>
          <w:szCs w:val="20"/>
          <w:lang w:val="en-US" w:eastAsia="es-MX"/>
        </w:rPr>
        <w:t xml:space="preserve"> </w:t>
      </w:r>
      <w:r w:rsidR="00EA1682" w:rsidRPr="00EA6C7A">
        <w:rPr>
          <w:rFonts w:ascii="Verdana" w:eastAsia="Batang" w:hAnsi="Verdana"/>
          <w:iCs/>
          <w:sz w:val="20"/>
          <w:szCs w:val="20"/>
          <w:lang w:val="en-US" w:eastAsia="es-MX"/>
        </w:rPr>
        <w:t xml:space="preserve">and </w:t>
      </w:r>
      <w:r w:rsidR="00F73E9C" w:rsidRPr="00EA6C7A">
        <w:rPr>
          <w:rFonts w:ascii="Verdana" w:eastAsia="Batang" w:hAnsi="Verdana"/>
          <w:iCs/>
          <w:sz w:val="20"/>
          <w:szCs w:val="20"/>
          <w:lang w:val="en-US" w:eastAsia="es-MX"/>
        </w:rPr>
        <w:t>declarations</w:t>
      </w:r>
      <w:r w:rsidR="00EA1682" w:rsidRPr="00EA6C7A">
        <w:rPr>
          <w:rFonts w:ascii="Verdana" w:eastAsia="Batang" w:hAnsi="Verdana"/>
          <w:iCs/>
          <w:sz w:val="20"/>
          <w:szCs w:val="20"/>
          <w:lang w:val="en-US" w:eastAsia="es-MX"/>
        </w:rPr>
        <w:t xml:space="preserve"> by those officials</w:t>
      </w:r>
      <w:r w:rsidR="00F73E9C" w:rsidRPr="00EA6C7A">
        <w:rPr>
          <w:rFonts w:ascii="Verdana" w:eastAsia="Batang" w:hAnsi="Verdana"/>
          <w:iCs/>
          <w:sz w:val="20"/>
          <w:szCs w:val="20"/>
          <w:lang w:val="en-US" w:eastAsia="es-MX"/>
        </w:rPr>
        <w:t xml:space="preserve"> that revealed the existence of stereotypes and prejudices regarding the role of women in society, with a negative impact on the investigation insofar as they transferred the blame for what had happened </w:t>
      </w:r>
      <w:r w:rsidR="00EA1682" w:rsidRPr="00EA6C7A">
        <w:rPr>
          <w:rFonts w:ascii="Verdana" w:eastAsia="Batang" w:hAnsi="Verdana"/>
          <w:iCs/>
          <w:sz w:val="20"/>
          <w:szCs w:val="20"/>
          <w:lang w:val="en-US" w:eastAsia="es-MX"/>
        </w:rPr>
        <w:t>to</w:t>
      </w:r>
      <w:r w:rsidR="00F73E9C" w:rsidRPr="00EA6C7A">
        <w:rPr>
          <w:rFonts w:ascii="Verdana" w:eastAsia="Batang" w:hAnsi="Verdana"/>
          <w:iCs/>
          <w:sz w:val="20"/>
          <w:szCs w:val="20"/>
          <w:lang w:val="en-US" w:eastAsia="es-MX"/>
        </w:rPr>
        <w:t xml:space="preserve"> the victim and her family, closing other possible lines of investigation into the circumstances of the case and</w:t>
      </w:r>
      <w:r w:rsidR="00EA1682" w:rsidRPr="00EA6C7A">
        <w:rPr>
          <w:rFonts w:ascii="Verdana" w:eastAsia="Batang" w:hAnsi="Verdana"/>
          <w:iCs/>
          <w:sz w:val="20"/>
          <w:szCs w:val="20"/>
          <w:lang w:val="en-US" w:eastAsia="es-MX"/>
        </w:rPr>
        <w:t xml:space="preserve"> the</w:t>
      </w:r>
      <w:r w:rsidR="00F73E9C" w:rsidRPr="00EA6C7A">
        <w:rPr>
          <w:rFonts w:ascii="Verdana" w:eastAsia="Batang" w:hAnsi="Verdana"/>
          <w:iCs/>
          <w:sz w:val="20"/>
          <w:szCs w:val="20"/>
          <w:lang w:val="en-US" w:eastAsia="es-MX"/>
        </w:rPr>
        <w:t xml:space="preserve"> identification of the perpetrators.</w:t>
      </w:r>
      <w:r w:rsidR="0017063C" w:rsidRPr="00EA6C7A">
        <w:rPr>
          <w:rFonts w:ascii="Verdana" w:eastAsia="Batang" w:hAnsi="Verdana"/>
          <w:sz w:val="20"/>
          <w:szCs w:val="20"/>
          <w:vertAlign w:val="superscript"/>
          <w:lang w:val="en-US" w:eastAsia="es-MX"/>
        </w:rPr>
        <w:footnoteReference w:id="293"/>
      </w:r>
    </w:p>
    <w:p w14:paraId="03BB425F" w14:textId="77777777" w:rsidR="0017063C" w:rsidRPr="00EA6C7A" w:rsidRDefault="0017063C" w:rsidP="0017063C">
      <w:pPr>
        <w:tabs>
          <w:tab w:val="left" w:pos="567"/>
        </w:tabs>
        <w:spacing w:after="0" w:line="240" w:lineRule="auto"/>
        <w:jc w:val="both"/>
        <w:rPr>
          <w:rFonts w:ascii="Verdana" w:eastAsia="Calibri" w:hAnsi="Verdana"/>
          <w:sz w:val="20"/>
          <w:szCs w:val="20"/>
          <w:lang w:val="en-US" w:eastAsia="es-MX"/>
        </w:rPr>
      </w:pPr>
    </w:p>
    <w:p w14:paraId="41EDF77A" w14:textId="77777777" w:rsidR="00EF1950" w:rsidRPr="00EA6C7A" w:rsidRDefault="00EF1950" w:rsidP="00EF1950">
      <w:pPr>
        <w:numPr>
          <w:ilvl w:val="0"/>
          <w:numId w:val="3"/>
        </w:numPr>
        <w:tabs>
          <w:tab w:val="left" w:pos="720"/>
        </w:tabs>
        <w:spacing w:after="0" w:line="240" w:lineRule="auto"/>
        <w:ind w:left="0" w:firstLine="0"/>
        <w:jc w:val="both"/>
        <w:rPr>
          <w:rFonts w:ascii="Verdana" w:eastAsia="Calibri" w:hAnsi="Verdana"/>
          <w:sz w:val="20"/>
          <w:szCs w:val="20"/>
          <w:lang w:val="en-US" w:eastAsia="es-MX"/>
        </w:rPr>
      </w:pPr>
      <w:r w:rsidRPr="00EA6C7A">
        <w:rPr>
          <w:rFonts w:ascii="Verdana" w:eastAsia="Batang" w:hAnsi="Verdana"/>
          <w:sz w:val="20"/>
          <w:szCs w:val="20"/>
          <w:lang w:val="en-US" w:eastAsia="es-MX"/>
        </w:rPr>
        <w:lastRenderedPageBreak/>
        <w:t>I</w:t>
      </w:r>
      <w:r w:rsidR="0017063C" w:rsidRPr="00EA6C7A">
        <w:rPr>
          <w:rFonts w:ascii="Verdana" w:eastAsia="Batang" w:hAnsi="Verdana"/>
          <w:sz w:val="20"/>
          <w:szCs w:val="20"/>
          <w:lang w:val="en-US" w:eastAsia="es-MX"/>
        </w:rPr>
        <w:t>n</w:t>
      </w:r>
      <w:r w:rsidRPr="00EA6C7A">
        <w:rPr>
          <w:rFonts w:ascii="Verdana" w:eastAsia="Batang" w:hAnsi="Verdana"/>
          <w:sz w:val="20"/>
          <w:szCs w:val="20"/>
          <w:lang w:val="en-US" w:eastAsia="es-MX"/>
        </w:rPr>
        <w:t xml:space="preserve"> this case, </w:t>
      </w:r>
      <w:r w:rsidR="0096418F" w:rsidRPr="00EA6C7A">
        <w:rPr>
          <w:rFonts w:ascii="Verdana" w:eastAsia="Batang" w:hAnsi="Verdana"/>
          <w:sz w:val="20"/>
          <w:szCs w:val="20"/>
          <w:lang w:val="en-US" w:eastAsia="es-MX"/>
        </w:rPr>
        <w:t>the Court</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noted that the crime scene was not processed appropriately, or with the thoroughness required to achieve positive results in the investigation; there were errors in the collection, documentation and preservation of evidence, and irregularities in the forensic medicine examination, in the autopsy and in the respective autopsy re</w:t>
      </w:r>
      <w:r w:rsidR="00EA1682" w:rsidRPr="00EA6C7A">
        <w:rPr>
          <w:rFonts w:ascii="Verdana" w:eastAsia="Batang" w:hAnsi="Verdana"/>
          <w:sz w:val="20"/>
          <w:szCs w:val="20"/>
          <w:lang w:val="en-US" w:eastAsia="es-MX"/>
        </w:rPr>
        <w:t>port</w:t>
      </w:r>
      <w:r w:rsidRPr="00EA6C7A">
        <w:rPr>
          <w:rFonts w:ascii="Verdana" w:eastAsia="Batang" w:hAnsi="Verdana"/>
          <w:sz w:val="20"/>
          <w:szCs w:val="20"/>
          <w:lang w:val="en-US" w:eastAsia="es-MX"/>
        </w:rPr>
        <w:t xml:space="preserve">. In addition, the investigation procedures were belated, repetitive and have extended over time and, in the case of some procedures, it is not clear why they were </w:t>
      </w:r>
      <w:r w:rsidR="00EA1682" w:rsidRPr="00EA6C7A">
        <w:rPr>
          <w:rFonts w:ascii="Verdana" w:eastAsia="Batang" w:hAnsi="Verdana"/>
          <w:sz w:val="20"/>
          <w:szCs w:val="20"/>
          <w:lang w:val="en-US" w:eastAsia="es-MX"/>
        </w:rPr>
        <w:t>conducted</w:t>
      </w:r>
      <w:r w:rsidR="00D17F53" w:rsidRPr="00EA6C7A">
        <w:rPr>
          <w:rFonts w:ascii="Verdana" w:hAnsi="Verdana" w:cs="Arial"/>
          <w:color w:val="000000"/>
          <w:sz w:val="20"/>
          <w:szCs w:val="20"/>
          <w:lang w:val="en-US" w:eastAsia="es-MX"/>
        </w:rPr>
        <w:t xml:space="preserve"> </w:t>
      </w:r>
      <w:r w:rsidR="0017063C" w:rsidRPr="00EA6C7A">
        <w:rPr>
          <w:rFonts w:ascii="Verdana" w:eastAsia="Batang" w:hAnsi="Verdana"/>
          <w:sz w:val="20"/>
          <w:szCs w:val="20"/>
          <w:lang w:val="en-US" w:eastAsia="es-MX"/>
        </w:rPr>
        <w:t>(</w:t>
      </w:r>
      <w:r w:rsidR="0017063C" w:rsidRPr="00EA6C7A">
        <w:rPr>
          <w:rFonts w:ascii="Verdana" w:eastAsia="Batang" w:hAnsi="Verdana"/>
          <w:i/>
          <w:sz w:val="20"/>
          <w:szCs w:val="20"/>
          <w:lang w:val="en-US" w:eastAsia="es-MX"/>
        </w:rPr>
        <w:t>supra</w:t>
      </w:r>
      <w:r w:rsidR="0017063C" w:rsidRPr="00EA6C7A">
        <w:rPr>
          <w:rFonts w:ascii="Verdana" w:eastAsia="Batang" w:hAnsi="Verdana"/>
          <w:sz w:val="20"/>
          <w:szCs w:val="20"/>
          <w:lang w:val="en-US" w:eastAsia="es-MX"/>
        </w:rPr>
        <w:t xml:space="preserve"> </w:t>
      </w:r>
      <w:r w:rsidR="008524CB" w:rsidRPr="00EA6C7A">
        <w:rPr>
          <w:rFonts w:ascii="Verdana" w:eastAsia="Batang" w:hAnsi="Verdana"/>
          <w:sz w:val="20"/>
          <w:szCs w:val="20"/>
          <w:lang w:val="en-US" w:eastAsia="es-MX"/>
        </w:rPr>
        <w:t>paras.</w:t>
      </w:r>
      <w:r w:rsidR="0017063C" w:rsidRPr="00EA6C7A">
        <w:rPr>
          <w:rFonts w:ascii="Verdana" w:eastAsia="Batang" w:hAnsi="Verdana"/>
          <w:sz w:val="20"/>
          <w:szCs w:val="20"/>
          <w:lang w:val="en-US" w:eastAsia="es-MX"/>
        </w:rPr>
        <w:t xml:space="preserve"> </w:t>
      </w:r>
      <w:r w:rsidR="00612240" w:rsidRPr="00EA6C7A">
        <w:rPr>
          <w:rFonts w:ascii="Verdana" w:eastAsia="Batang" w:hAnsi="Verdana"/>
          <w:sz w:val="20"/>
          <w:szCs w:val="20"/>
          <w:lang w:val="en-US" w:eastAsia="es-MX"/>
        </w:rPr>
        <w:t>168</w:t>
      </w:r>
      <w:r w:rsidR="00D948A1" w:rsidRPr="00EA6C7A">
        <w:rPr>
          <w:rFonts w:ascii="Verdana" w:eastAsia="Batang" w:hAnsi="Verdana"/>
          <w:sz w:val="20"/>
          <w:szCs w:val="20"/>
          <w:lang w:val="en-US" w:eastAsia="es-MX"/>
        </w:rPr>
        <w:t xml:space="preserve"> and </w:t>
      </w:r>
      <w:r w:rsidR="0017063C" w:rsidRPr="00EA6C7A">
        <w:rPr>
          <w:rFonts w:ascii="Verdana" w:eastAsia="Batang" w:hAnsi="Verdana"/>
          <w:sz w:val="20"/>
          <w:szCs w:val="20"/>
          <w:lang w:val="en-US" w:eastAsia="es-MX"/>
        </w:rPr>
        <w:t xml:space="preserve">172). </w:t>
      </w:r>
      <w:r w:rsidRPr="00EA6C7A">
        <w:rPr>
          <w:rFonts w:ascii="Verdana" w:eastAsia="Batang" w:hAnsi="Verdana"/>
          <w:sz w:val="20"/>
          <w:szCs w:val="20"/>
          <w:lang w:val="en-US" w:eastAsia="es-MX"/>
        </w:rPr>
        <w:t xml:space="preserve">These deficiencies in the investigation are not a casual fact, or collateral to the investigation; they are a direct consequence of a common practice of the investigative authorities to make a stereotypical assessment of the victim, added to the absence of administrative controls on the activity of the State agents who intervened and acted in the investigation based on these stereotypes and prejudices. All this meant that the case was not investigated diligently or with rigor, keeping it in impunity up until today, </w:t>
      </w:r>
      <w:r w:rsidR="00EA1682" w:rsidRPr="00EA6C7A">
        <w:rPr>
          <w:rFonts w:ascii="Verdana" w:eastAsia="Batang" w:hAnsi="Verdana"/>
          <w:sz w:val="20"/>
          <w:szCs w:val="20"/>
          <w:lang w:val="en-US" w:eastAsia="es-MX"/>
        </w:rPr>
        <w:t>and this</w:t>
      </w:r>
      <w:r w:rsidRPr="00EA6C7A">
        <w:rPr>
          <w:rFonts w:ascii="Verdana" w:eastAsia="Batang" w:hAnsi="Verdana"/>
          <w:sz w:val="20"/>
          <w:szCs w:val="20"/>
          <w:lang w:val="en-US" w:eastAsia="es-MX"/>
        </w:rPr>
        <w:t xml:space="preserve"> constituted a form of </w:t>
      </w:r>
      <w:r w:rsidR="0012643E" w:rsidRPr="00EA6C7A">
        <w:rPr>
          <w:rFonts w:ascii="Verdana" w:eastAsia="Batang" w:hAnsi="Verdana"/>
          <w:sz w:val="20"/>
          <w:szCs w:val="20"/>
          <w:lang w:val="en-US" w:eastAsia="es-MX"/>
        </w:rPr>
        <w:t xml:space="preserve">gender-based </w:t>
      </w:r>
      <w:r w:rsidRPr="00EA6C7A">
        <w:rPr>
          <w:rFonts w:ascii="Verdana" w:eastAsia="Batang" w:hAnsi="Verdana"/>
          <w:sz w:val="20"/>
          <w:szCs w:val="20"/>
          <w:lang w:val="en-US" w:eastAsia="es-MX"/>
        </w:rPr>
        <w:t>discrimination in access to justice</w:t>
      </w:r>
      <w:r w:rsidR="0012643E" w:rsidRPr="00EA6C7A">
        <w:rPr>
          <w:rFonts w:ascii="Verdana" w:eastAsia="Batang" w:hAnsi="Verdana"/>
          <w:sz w:val="20"/>
          <w:szCs w:val="20"/>
          <w:lang w:val="en-US" w:eastAsia="es-MX"/>
        </w:rPr>
        <w:t>.</w:t>
      </w:r>
    </w:p>
    <w:p w14:paraId="613BC94D" w14:textId="77777777" w:rsidR="0017063C" w:rsidRPr="00EA6C7A" w:rsidRDefault="0017063C" w:rsidP="0017063C">
      <w:pPr>
        <w:spacing w:after="0" w:line="240" w:lineRule="auto"/>
        <w:jc w:val="both"/>
        <w:rPr>
          <w:rFonts w:ascii="Verdana" w:eastAsia="Calibri" w:hAnsi="Verdana"/>
          <w:sz w:val="20"/>
          <w:szCs w:val="20"/>
          <w:lang w:val="en-US"/>
        </w:rPr>
      </w:pPr>
    </w:p>
    <w:p w14:paraId="4DA681D6" w14:textId="77777777" w:rsidR="0017063C" w:rsidRPr="00EA6C7A" w:rsidRDefault="00A05897" w:rsidP="00A05897">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Calibri" w:hAnsi="Verdana"/>
          <w:sz w:val="20"/>
          <w:szCs w:val="20"/>
          <w:lang w:val="en-US" w:eastAsia="es-MX"/>
        </w:rPr>
        <w:t xml:space="preserve">That said, it may be assumed that the violent death of </w:t>
      </w:r>
      <w:r w:rsidR="0017063C" w:rsidRPr="00EA6C7A">
        <w:rPr>
          <w:rFonts w:ascii="Verdana" w:eastAsia="Calibri" w:hAnsi="Verdana"/>
          <w:sz w:val="20"/>
          <w:szCs w:val="20"/>
          <w:lang w:val="en-US" w:eastAsia="es-MX"/>
        </w:rPr>
        <w:t xml:space="preserve">Claudina Velásquez Paiz </w:t>
      </w:r>
      <w:r w:rsidRPr="00EA6C7A">
        <w:rPr>
          <w:rFonts w:ascii="Verdana" w:eastAsia="Calibri" w:hAnsi="Verdana"/>
          <w:sz w:val="20"/>
          <w:szCs w:val="20"/>
          <w:lang w:val="en-US" w:eastAsia="es-MX"/>
        </w:rPr>
        <w:t>was a</w:t>
      </w:r>
      <w:r w:rsidR="00022A62" w:rsidRPr="00EA6C7A">
        <w:rPr>
          <w:rFonts w:ascii="Verdana" w:eastAsia="Calibri" w:hAnsi="Verdana"/>
          <w:sz w:val="20"/>
          <w:szCs w:val="20"/>
          <w:lang w:val="en-US" w:eastAsia="es-MX"/>
        </w:rPr>
        <w:t>n expression</w:t>
      </w:r>
      <w:r w:rsidRPr="00EA6C7A">
        <w:rPr>
          <w:rFonts w:ascii="Verdana" w:eastAsia="Calibri" w:hAnsi="Verdana"/>
          <w:sz w:val="20"/>
          <w:szCs w:val="20"/>
          <w:lang w:val="en-US" w:eastAsia="es-MX"/>
        </w:rPr>
        <w:t xml:space="preserve"> of gender-based violence in order to apply</w:t>
      </w:r>
      <w:r w:rsidR="001914FC" w:rsidRPr="00EA6C7A">
        <w:rPr>
          <w:rFonts w:ascii="Verdana" w:eastAsia="Batang" w:hAnsi="Verdana"/>
          <w:sz w:val="20"/>
          <w:szCs w:val="20"/>
          <w:lang w:val="en-US" w:eastAsia="es-MX"/>
        </w:rPr>
        <w:t xml:space="preserve"> Article</w:t>
      </w:r>
      <w:r w:rsidR="0017063C" w:rsidRPr="00EA6C7A">
        <w:rPr>
          <w:rFonts w:ascii="Verdana" w:eastAsia="Batang" w:hAnsi="Verdana"/>
          <w:sz w:val="20"/>
          <w:szCs w:val="20"/>
          <w:lang w:val="en-US" w:eastAsia="es-MX"/>
        </w:rPr>
        <w:t xml:space="preserve"> 7</w:t>
      </w:r>
      <w:r w:rsidR="0096418F" w:rsidRPr="00EA6C7A">
        <w:rPr>
          <w:rFonts w:ascii="Verdana" w:eastAsia="Batang" w:hAnsi="Verdana"/>
          <w:sz w:val="20"/>
          <w:szCs w:val="20"/>
          <w:lang w:val="en-US" w:eastAsia="es-MX"/>
        </w:rPr>
        <w:t xml:space="preserve"> of the </w:t>
      </w:r>
      <w:r w:rsidR="004554C7" w:rsidRPr="00EA6C7A">
        <w:rPr>
          <w:rFonts w:ascii="Verdana" w:eastAsia="Batang" w:hAnsi="Verdana"/>
          <w:sz w:val="20"/>
          <w:szCs w:val="20"/>
          <w:lang w:val="en-US" w:eastAsia="es-MX"/>
        </w:rPr>
        <w:t>Convention of Belém</w:t>
      </w:r>
      <w:r w:rsidR="0017063C" w:rsidRPr="00EA6C7A">
        <w:rPr>
          <w:rFonts w:ascii="Verdana" w:eastAsia="Batang" w:hAnsi="Verdana"/>
          <w:sz w:val="20"/>
          <w:szCs w:val="20"/>
          <w:lang w:val="en-US" w:eastAsia="es-MX"/>
        </w:rPr>
        <w:t xml:space="preserve"> do Pará</w:t>
      </w:r>
      <w:r w:rsidR="0017063C" w:rsidRPr="00EA6C7A">
        <w:rPr>
          <w:rFonts w:ascii="Verdana" w:eastAsia="Batang" w:hAnsi="Verdana"/>
          <w:sz w:val="20"/>
          <w:szCs w:val="20"/>
          <w:vertAlign w:val="superscript"/>
          <w:lang w:val="en-US" w:eastAsia="es-MX"/>
        </w:rPr>
        <w:footnoteReference w:id="294"/>
      </w:r>
      <w:r w:rsidRPr="00EA6C7A">
        <w:rPr>
          <w:rFonts w:ascii="Verdana" w:eastAsia="Batang" w:hAnsi="Verdana"/>
          <w:sz w:val="20"/>
          <w:szCs w:val="20"/>
          <w:lang w:val="en-US" w:eastAsia="es-MX"/>
        </w:rPr>
        <w:t xml:space="preserve"> to the case</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taking into account</w:t>
      </w:r>
      <w:r w:rsidR="0017063C" w:rsidRPr="00EA6C7A">
        <w:rPr>
          <w:rFonts w:ascii="Verdana" w:eastAsia="Calibri" w:hAnsi="Verdana"/>
          <w:sz w:val="20"/>
          <w:szCs w:val="20"/>
          <w:lang w:val="en-US" w:eastAsia="es-MX"/>
        </w:rPr>
        <w:t>:</w:t>
      </w:r>
    </w:p>
    <w:p w14:paraId="07CFDA0B" w14:textId="77777777" w:rsidR="0017063C" w:rsidRPr="00EA6C7A" w:rsidRDefault="0017063C" w:rsidP="0017063C">
      <w:pPr>
        <w:spacing w:after="0" w:line="240" w:lineRule="auto"/>
        <w:jc w:val="both"/>
        <w:rPr>
          <w:rFonts w:ascii="Verdana" w:hAnsi="Verdana"/>
          <w:sz w:val="20"/>
          <w:szCs w:val="20"/>
          <w:lang w:val="en-US"/>
        </w:rPr>
      </w:pPr>
    </w:p>
    <w:p w14:paraId="4BEC8FAB" w14:textId="77777777" w:rsidR="0017063C" w:rsidRPr="00EA6C7A" w:rsidRDefault="002C263C" w:rsidP="00E11A7C">
      <w:pPr>
        <w:numPr>
          <w:ilvl w:val="0"/>
          <w:numId w:val="7"/>
        </w:numPr>
        <w:spacing w:after="0" w:line="240" w:lineRule="auto"/>
        <w:ind w:left="540"/>
        <w:contextualSpacing/>
        <w:jc w:val="both"/>
        <w:rPr>
          <w:rFonts w:ascii="Verdana" w:hAnsi="Verdana"/>
          <w:sz w:val="20"/>
          <w:szCs w:val="20"/>
          <w:lang w:val="en-US" w:eastAsia="es-MX"/>
        </w:rPr>
      </w:pPr>
      <w:r w:rsidRPr="00EA6C7A">
        <w:rPr>
          <w:rFonts w:ascii="Verdana" w:hAnsi="Verdana"/>
          <w:sz w:val="20"/>
          <w:szCs w:val="20"/>
          <w:lang w:val="en-US" w:eastAsia="es-MX"/>
        </w:rPr>
        <w:t xml:space="preserve">the indications that she had probably been raped: she was not wearing her brassiere, which </w:t>
      </w:r>
      <w:r w:rsidR="00022A62" w:rsidRPr="00EA6C7A">
        <w:rPr>
          <w:rFonts w:ascii="Verdana" w:hAnsi="Verdana"/>
          <w:sz w:val="20"/>
          <w:szCs w:val="20"/>
          <w:lang w:val="en-US" w:eastAsia="es-MX"/>
        </w:rPr>
        <w:t>had been</w:t>
      </w:r>
      <w:r w:rsidRPr="00EA6C7A">
        <w:rPr>
          <w:rFonts w:ascii="Verdana" w:hAnsi="Verdana"/>
          <w:sz w:val="20"/>
          <w:szCs w:val="20"/>
          <w:lang w:val="en-US" w:eastAsia="es-MX"/>
        </w:rPr>
        <w:t xml:space="preserve"> placed between her jeans and her hips, the zipper of her jeans was undone, her belt removed, </w:t>
      </w:r>
      <w:r w:rsidR="00022A62" w:rsidRPr="00EA6C7A">
        <w:rPr>
          <w:rFonts w:ascii="Verdana" w:hAnsi="Verdana"/>
          <w:sz w:val="20"/>
          <w:szCs w:val="20"/>
          <w:lang w:val="en-US" w:eastAsia="es-MX"/>
        </w:rPr>
        <w:t xml:space="preserve">and </w:t>
      </w:r>
      <w:r w:rsidRPr="00EA6C7A">
        <w:rPr>
          <w:rFonts w:ascii="Verdana" w:hAnsi="Verdana"/>
          <w:sz w:val="20"/>
          <w:szCs w:val="20"/>
          <w:lang w:val="en-US" w:eastAsia="es-MX"/>
        </w:rPr>
        <w:t>her blouse on back</w:t>
      </w:r>
      <w:r w:rsidR="00721F8D" w:rsidRPr="00EA6C7A">
        <w:rPr>
          <w:rFonts w:ascii="Verdana" w:hAnsi="Verdana"/>
          <w:sz w:val="20"/>
          <w:szCs w:val="20"/>
          <w:lang w:val="en-US" w:eastAsia="es-MX"/>
        </w:rPr>
        <w:t xml:space="preserve"> </w:t>
      </w:r>
      <w:r w:rsidR="00022A62" w:rsidRPr="00EA6C7A">
        <w:rPr>
          <w:rFonts w:ascii="Verdana" w:hAnsi="Verdana"/>
          <w:sz w:val="20"/>
          <w:szCs w:val="20"/>
          <w:lang w:val="en-US" w:eastAsia="es-MX"/>
        </w:rPr>
        <w:t>to</w:t>
      </w:r>
      <w:r w:rsidR="00721F8D" w:rsidRPr="00EA6C7A">
        <w:rPr>
          <w:rFonts w:ascii="Verdana" w:hAnsi="Verdana"/>
          <w:sz w:val="20"/>
          <w:szCs w:val="20"/>
          <w:lang w:val="en-US" w:eastAsia="es-MX"/>
        </w:rPr>
        <w:t xml:space="preserve"> </w:t>
      </w:r>
      <w:r w:rsidR="00022A62" w:rsidRPr="00EA6C7A">
        <w:rPr>
          <w:rFonts w:ascii="Verdana" w:hAnsi="Verdana"/>
          <w:sz w:val="20"/>
          <w:szCs w:val="20"/>
          <w:lang w:val="en-US" w:eastAsia="es-MX"/>
        </w:rPr>
        <w:t>front;</w:t>
      </w:r>
      <w:r w:rsidRPr="00EA6C7A">
        <w:rPr>
          <w:rFonts w:ascii="Verdana" w:hAnsi="Verdana"/>
          <w:sz w:val="20"/>
          <w:szCs w:val="20"/>
          <w:lang w:val="en-US" w:eastAsia="es-MX"/>
        </w:rPr>
        <w:t xml:space="preserve"> a</w:t>
      </w:r>
      <w:r w:rsidR="00022A62" w:rsidRPr="00EA6C7A">
        <w:rPr>
          <w:rFonts w:ascii="Verdana" w:hAnsi="Verdana"/>
          <w:sz w:val="20"/>
          <w:szCs w:val="20"/>
          <w:lang w:val="en-US" w:eastAsia="es-MX"/>
        </w:rPr>
        <w:t>lso</w:t>
      </w:r>
      <w:r w:rsidRPr="00EA6C7A">
        <w:rPr>
          <w:rFonts w:ascii="Verdana" w:hAnsi="Verdana"/>
          <w:sz w:val="20"/>
          <w:szCs w:val="20"/>
          <w:lang w:val="en-US" w:eastAsia="es-MX"/>
        </w:rPr>
        <w:t xml:space="preserve"> the presence of semen in the victim’s vagina was recorded </w:t>
      </w:r>
      <w:r w:rsidR="0017063C" w:rsidRPr="00EA6C7A">
        <w:rPr>
          <w:rFonts w:ascii="Verdana" w:hAnsi="Verdana"/>
          <w:sz w:val="20"/>
          <w:szCs w:val="20"/>
          <w:lang w:val="en-US" w:eastAsia="es-MX"/>
        </w:rPr>
        <w:t>(</w:t>
      </w:r>
      <w:r w:rsidR="0017063C" w:rsidRPr="00EA6C7A">
        <w:rPr>
          <w:rFonts w:ascii="Verdana" w:hAnsi="Verdana"/>
          <w:i/>
          <w:sz w:val="20"/>
          <w:szCs w:val="20"/>
          <w:lang w:val="en-US" w:eastAsia="es-MX"/>
        </w:rPr>
        <w:t>supra</w:t>
      </w:r>
      <w:r w:rsidR="0017063C" w:rsidRPr="00EA6C7A">
        <w:rPr>
          <w:rFonts w:ascii="Verdana" w:hAnsi="Verdana"/>
          <w:sz w:val="20"/>
          <w:szCs w:val="20"/>
          <w:lang w:val="en-US" w:eastAsia="es-MX"/>
        </w:rPr>
        <w:t xml:space="preserve"> </w:t>
      </w:r>
      <w:r w:rsidR="008524CB" w:rsidRPr="00EA6C7A">
        <w:rPr>
          <w:rFonts w:ascii="Verdana" w:hAnsi="Verdana"/>
          <w:sz w:val="20"/>
          <w:szCs w:val="20"/>
          <w:lang w:val="en-US" w:eastAsia="es-MX"/>
        </w:rPr>
        <w:t>paras.</w:t>
      </w:r>
      <w:r w:rsidR="0017063C" w:rsidRPr="00EA6C7A">
        <w:rPr>
          <w:rFonts w:ascii="Verdana" w:hAnsi="Verdana"/>
          <w:sz w:val="20"/>
          <w:szCs w:val="20"/>
          <w:lang w:val="en-US" w:eastAsia="es-MX"/>
        </w:rPr>
        <w:t xml:space="preserve"> 56</w:t>
      </w:r>
      <w:r w:rsidR="00D948A1" w:rsidRPr="00EA6C7A">
        <w:rPr>
          <w:rFonts w:ascii="Verdana" w:hAnsi="Verdana"/>
          <w:sz w:val="20"/>
          <w:szCs w:val="20"/>
          <w:lang w:val="en-US" w:eastAsia="es-MX"/>
        </w:rPr>
        <w:t xml:space="preserve"> and </w:t>
      </w:r>
      <w:r w:rsidR="0017063C" w:rsidRPr="00EA6C7A">
        <w:rPr>
          <w:rFonts w:ascii="Verdana" w:hAnsi="Verdana"/>
          <w:sz w:val="20"/>
          <w:szCs w:val="20"/>
          <w:lang w:val="en-US" w:eastAsia="es-MX"/>
        </w:rPr>
        <w:t>67);</w:t>
      </w:r>
    </w:p>
    <w:p w14:paraId="4D506B63" w14:textId="77777777" w:rsidR="0017063C" w:rsidRPr="00EA6C7A" w:rsidRDefault="002C263C" w:rsidP="00E11A7C">
      <w:pPr>
        <w:numPr>
          <w:ilvl w:val="0"/>
          <w:numId w:val="7"/>
        </w:numPr>
        <w:spacing w:after="0" w:line="240" w:lineRule="auto"/>
        <w:ind w:left="540"/>
        <w:contextualSpacing/>
        <w:jc w:val="both"/>
        <w:rPr>
          <w:rFonts w:ascii="Verdana" w:hAnsi="Verdana"/>
          <w:sz w:val="20"/>
          <w:szCs w:val="20"/>
          <w:lang w:val="en-US" w:eastAsia="es-MX"/>
        </w:rPr>
      </w:pPr>
      <w:r w:rsidRPr="00EA6C7A">
        <w:rPr>
          <w:rFonts w:ascii="Verdana" w:hAnsi="Verdana"/>
          <w:sz w:val="20"/>
          <w:szCs w:val="20"/>
          <w:lang w:val="en-US" w:eastAsia="es-MX"/>
        </w:rPr>
        <w:t xml:space="preserve">the injuries to the body: an injury around her eye and the left side of her cheek caused before death, and scratches to her right knee and side, apparently caused after death </w:t>
      </w:r>
      <w:r w:rsidR="0017063C" w:rsidRPr="00EA6C7A">
        <w:rPr>
          <w:rFonts w:ascii="Verdana" w:hAnsi="Verdana"/>
          <w:sz w:val="20"/>
          <w:szCs w:val="20"/>
          <w:lang w:val="en-US" w:eastAsia="es-MX"/>
        </w:rPr>
        <w:t xml:space="preserve"> (</w:t>
      </w:r>
      <w:r w:rsidR="0017063C" w:rsidRPr="00EA6C7A">
        <w:rPr>
          <w:rFonts w:ascii="Verdana" w:hAnsi="Verdana"/>
          <w:i/>
          <w:sz w:val="20"/>
          <w:szCs w:val="20"/>
          <w:lang w:val="en-US" w:eastAsia="es-MX"/>
        </w:rPr>
        <w:t>supra</w:t>
      </w:r>
      <w:r w:rsidR="0017063C" w:rsidRPr="00EA6C7A">
        <w:rPr>
          <w:rFonts w:ascii="Verdana" w:hAnsi="Verdana"/>
          <w:sz w:val="20"/>
          <w:szCs w:val="20"/>
          <w:lang w:val="en-US" w:eastAsia="es-MX"/>
        </w:rPr>
        <w:t xml:space="preserve"> </w:t>
      </w:r>
      <w:r w:rsidR="002F3848" w:rsidRPr="00EA6C7A">
        <w:rPr>
          <w:rFonts w:ascii="Verdana" w:hAnsi="Verdana"/>
          <w:sz w:val="20"/>
          <w:szCs w:val="20"/>
          <w:lang w:val="en-US" w:eastAsia="es-MX"/>
        </w:rPr>
        <w:t>para.</w:t>
      </w:r>
      <w:r w:rsidR="0017063C" w:rsidRPr="00EA6C7A">
        <w:rPr>
          <w:rFonts w:ascii="Verdana" w:hAnsi="Verdana"/>
          <w:sz w:val="20"/>
          <w:szCs w:val="20"/>
          <w:lang w:val="en-US" w:eastAsia="es-MX"/>
        </w:rPr>
        <w:t xml:space="preserve"> 56)</w:t>
      </w:r>
      <w:r w:rsidR="0017063C" w:rsidRPr="00EA6C7A">
        <w:rPr>
          <w:rFonts w:ascii="Verdana" w:eastAsia="Calibri" w:hAnsi="Verdana"/>
          <w:sz w:val="20"/>
          <w:szCs w:val="20"/>
          <w:lang w:val="en-US" w:eastAsia="es-MX"/>
        </w:rPr>
        <w:t xml:space="preserve">, </w:t>
      </w:r>
      <w:r w:rsidRPr="00EA6C7A">
        <w:rPr>
          <w:rFonts w:ascii="Verdana" w:eastAsia="Calibri" w:hAnsi="Verdana"/>
          <w:sz w:val="20"/>
          <w:szCs w:val="20"/>
          <w:lang w:val="en-US" w:eastAsia="es-MX"/>
        </w:rPr>
        <w:t>and</w:t>
      </w:r>
    </w:p>
    <w:p w14:paraId="21348DC2" w14:textId="77777777" w:rsidR="0017063C" w:rsidRPr="00EA6C7A" w:rsidRDefault="002C263C" w:rsidP="00E11A7C">
      <w:pPr>
        <w:numPr>
          <w:ilvl w:val="0"/>
          <w:numId w:val="7"/>
        </w:numPr>
        <w:spacing w:after="0" w:line="240" w:lineRule="auto"/>
        <w:ind w:left="540"/>
        <w:contextualSpacing/>
        <w:jc w:val="both"/>
        <w:rPr>
          <w:rFonts w:ascii="Verdana" w:hAnsi="Verdana"/>
          <w:sz w:val="20"/>
          <w:szCs w:val="20"/>
          <w:lang w:val="en-US" w:eastAsia="es-MX"/>
        </w:rPr>
      </w:pPr>
      <w:r w:rsidRPr="00EA6C7A">
        <w:rPr>
          <w:rFonts w:ascii="Verdana" w:hAnsi="Verdana"/>
          <w:sz w:val="20"/>
          <w:szCs w:val="20"/>
          <w:lang w:val="en-US" w:eastAsia="es-MX"/>
        </w:rPr>
        <w:t xml:space="preserve">the context of an </w:t>
      </w:r>
      <w:r w:rsidR="00AD1D9E" w:rsidRPr="00EA6C7A">
        <w:rPr>
          <w:rFonts w:ascii="Verdana" w:eastAsia="Batang" w:hAnsi="Verdana"/>
          <w:sz w:val="20"/>
          <w:szCs w:val="20"/>
          <w:lang w:val="en-US" w:eastAsia="es-MX"/>
        </w:rPr>
        <w:t>escalation of</w:t>
      </w:r>
      <w:r w:rsidRPr="00EA6C7A">
        <w:rPr>
          <w:rFonts w:ascii="Verdana" w:hAnsi="Verdana"/>
          <w:sz w:val="20"/>
          <w:szCs w:val="20"/>
          <w:lang w:val="en-US" w:eastAsia="es-MX"/>
        </w:rPr>
        <w:t xml:space="preserve"> </w:t>
      </w:r>
      <w:r w:rsidR="00812408" w:rsidRPr="00EA6C7A">
        <w:rPr>
          <w:rFonts w:ascii="Verdana" w:hAnsi="Verdana"/>
          <w:sz w:val="20"/>
          <w:szCs w:val="20"/>
          <w:lang w:val="en-US" w:eastAsia="es-MX"/>
        </w:rPr>
        <w:t>homicidal violence</w:t>
      </w:r>
      <w:r w:rsidR="0017063C" w:rsidRPr="00EA6C7A">
        <w:rPr>
          <w:rFonts w:ascii="Verdana" w:hAnsi="Verdana"/>
          <w:sz w:val="20"/>
          <w:szCs w:val="20"/>
          <w:lang w:val="en-US" w:eastAsia="es-MX"/>
        </w:rPr>
        <w:t xml:space="preserve"> </w:t>
      </w:r>
      <w:r w:rsidRPr="00EA6C7A">
        <w:rPr>
          <w:rFonts w:ascii="Verdana" w:hAnsi="Verdana"/>
          <w:sz w:val="20"/>
          <w:szCs w:val="20"/>
          <w:lang w:val="en-US" w:eastAsia="es-MX"/>
        </w:rPr>
        <w:t>against women</w:t>
      </w:r>
      <w:r w:rsidR="00FC7D3B" w:rsidRPr="00EA6C7A">
        <w:rPr>
          <w:rFonts w:ascii="Verdana" w:hAnsi="Verdana"/>
          <w:sz w:val="20"/>
          <w:szCs w:val="20"/>
          <w:lang w:val="en-US" w:eastAsia="es-MX"/>
        </w:rPr>
        <w:t xml:space="preserve"> in Guatemala</w:t>
      </w:r>
      <w:r w:rsidR="00022A62" w:rsidRPr="00EA6C7A">
        <w:rPr>
          <w:rFonts w:ascii="Verdana" w:hAnsi="Verdana"/>
          <w:sz w:val="20"/>
          <w:szCs w:val="20"/>
          <w:lang w:val="en-US" w:eastAsia="es-MX"/>
        </w:rPr>
        <w:t>;</w:t>
      </w:r>
      <w:r w:rsidR="0017063C" w:rsidRPr="00EA6C7A">
        <w:rPr>
          <w:rFonts w:ascii="Verdana" w:hAnsi="Verdana"/>
          <w:sz w:val="20"/>
          <w:szCs w:val="20"/>
          <w:lang w:val="en-US" w:eastAsia="es-MX"/>
        </w:rPr>
        <w:t xml:space="preserve"> </w:t>
      </w:r>
      <w:r w:rsidR="00022A62" w:rsidRPr="00EA6C7A">
        <w:rPr>
          <w:rFonts w:ascii="Verdana" w:hAnsi="Verdana"/>
          <w:sz w:val="20"/>
          <w:szCs w:val="20"/>
          <w:lang w:val="en-US" w:eastAsia="es-MX"/>
        </w:rPr>
        <w:t xml:space="preserve">the </w:t>
      </w:r>
      <w:r w:rsidRPr="00EA6C7A">
        <w:rPr>
          <w:rFonts w:ascii="Verdana" w:hAnsi="Verdana"/>
          <w:sz w:val="20"/>
          <w:szCs w:val="20"/>
          <w:lang w:val="en-US" w:eastAsia="es-MX"/>
        </w:rPr>
        <w:t>e</w:t>
      </w:r>
      <w:r w:rsidR="00022A62" w:rsidRPr="00EA6C7A">
        <w:rPr>
          <w:rFonts w:ascii="Verdana" w:hAnsi="Verdana"/>
          <w:sz w:val="20"/>
          <w:szCs w:val="20"/>
          <w:lang w:val="en-US" w:eastAsia="es-MX"/>
        </w:rPr>
        <w:t>xacerbation</w:t>
      </w:r>
      <w:r w:rsidRPr="00EA6C7A">
        <w:rPr>
          <w:rFonts w:ascii="Verdana" w:hAnsi="Verdana"/>
          <w:sz w:val="20"/>
          <w:szCs w:val="20"/>
          <w:lang w:val="en-US" w:eastAsia="es-MX"/>
        </w:rPr>
        <w:t xml:space="preserve"> of violence against </w:t>
      </w:r>
      <w:r w:rsidR="00022A62" w:rsidRPr="00EA6C7A">
        <w:rPr>
          <w:rFonts w:ascii="Verdana" w:hAnsi="Verdana"/>
          <w:sz w:val="20"/>
          <w:szCs w:val="20"/>
          <w:lang w:val="en-US" w:eastAsia="es-MX"/>
        </w:rPr>
        <w:t>women</w:t>
      </w:r>
      <w:r w:rsidRPr="00EA6C7A">
        <w:rPr>
          <w:rFonts w:ascii="Verdana" w:hAnsi="Verdana"/>
          <w:sz w:val="20"/>
          <w:szCs w:val="20"/>
          <w:lang w:val="en-US" w:eastAsia="es-MX"/>
        </w:rPr>
        <w:t xml:space="preserve"> and the cruelty </w:t>
      </w:r>
      <w:r w:rsidR="00A204AD" w:rsidRPr="00EA6C7A">
        <w:rPr>
          <w:rFonts w:ascii="Verdana" w:hAnsi="Verdana"/>
          <w:sz w:val="20"/>
          <w:szCs w:val="20"/>
          <w:lang w:val="en-US" w:eastAsia="es-MX"/>
        </w:rPr>
        <w:t>inflicted</w:t>
      </w:r>
      <w:r w:rsidRPr="00EA6C7A">
        <w:rPr>
          <w:rFonts w:ascii="Verdana" w:hAnsi="Verdana"/>
          <w:sz w:val="20"/>
          <w:szCs w:val="20"/>
          <w:lang w:val="en-US" w:eastAsia="es-MX"/>
        </w:rPr>
        <w:t xml:space="preserve"> on the bodies of many of victims in </w:t>
      </w:r>
      <w:r w:rsidR="00387859" w:rsidRPr="00EA6C7A">
        <w:rPr>
          <w:rFonts w:ascii="Verdana" w:hAnsi="Verdana"/>
          <w:sz w:val="20"/>
          <w:szCs w:val="20"/>
          <w:lang w:val="en-US" w:eastAsia="es-MX"/>
        </w:rPr>
        <w:t>a</w:t>
      </w:r>
      <w:r w:rsidRPr="00EA6C7A">
        <w:rPr>
          <w:rFonts w:ascii="Verdana" w:hAnsi="Verdana"/>
          <w:sz w:val="20"/>
          <w:szCs w:val="20"/>
          <w:lang w:val="en-US" w:eastAsia="es-MX"/>
        </w:rPr>
        <w:t xml:space="preserve"> </w:t>
      </w:r>
      <w:r w:rsidR="00022A62" w:rsidRPr="00EA6C7A">
        <w:rPr>
          <w:rFonts w:ascii="Verdana" w:hAnsi="Verdana"/>
          <w:sz w:val="20"/>
          <w:szCs w:val="20"/>
          <w:lang w:val="en-US" w:eastAsia="es-MX"/>
        </w:rPr>
        <w:t>context</w:t>
      </w:r>
      <w:r w:rsidRPr="00EA6C7A">
        <w:rPr>
          <w:rFonts w:ascii="Verdana" w:hAnsi="Verdana"/>
          <w:sz w:val="20"/>
          <w:szCs w:val="20"/>
          <w:lang w:val="en-US" w:eastAsia="es-MX"/>
        </w:rPr>
        <w:t xml:space="preserve"> of different forms of </w:t>
      </w:r>
      <w:r w:rsidR="00C12C08" w:rsidRPr="00EA6C7A">
        <w:rPr>
          <w:rFonts w:ascii="Verdana" w:eastAsia="Calibri" w:hAnsi="Verdana"/>
          <w:sz w:val="20"/>
          <w:szCs w:val="20"/>
          <w:lang w:val="en-US" w:eastAsia="es-MX"/>
        </w:rPr>
        <w:t>violence against women</w:t>
      </w:r>
      <w:r w:rsidR="0017063C" w:rsidRPr="00EA6C7A">
        <w:rPr>
          <w:rFonts w:ascii="Verdana" w:eastAsia="Calibri" w:hAnsi="Verdana"/>
          <w:sz w:val="20"/>
          <w:szCs w:val="20"/>
          <w:lang w:val="en-US" w:eastAsia="es-MX"/>
        </w:rPr>
        <w:t xml:space="preserve"> </w:t>
      </w:r>
      <w:r w:rsidR="0017063C" w:rsidRPr="00EA6C7A">
        <w:rPr>
          <w:rFonts w:ascii="Verdana" w:hAnsi="Verdana"/>
          <w:sz w:val="20"/>
          <w:szCs w:val="20"/>
          <w:lang w:val="en-US" w:eastAsia="es-MX"/>
        </w:rPr>
        <w:t>(</w:t>
      </w:r>
      <w:r w:rsidR="0017063C" w:rsidRPr="00EA6C7A">
        <w:rPr>
          <w:rFonts w:ascii="Verdana" w:hAnsi="Verdana"/>
          <w:i/>
          <w:sz w:val="20"/>
          <w:szCs w:val="20"/>
          <w:lang w:val="en-US" w:eastAsia="es-MX"/>
        </w:rPr>
        <w:t>supra</w:t>
      </w:r>
      <w:r w:rsidR="00617799" w:rsidRPr="00EA6C7A">
        <w:rPr>
          <w:rFonts w:ascii="Verdana" w:hAnsi="Verdana"/>
          <w:sz w:val="20"/>
          <w:szCs w:val="20"/>
          <w:lang w:val="en-US" w:eastAsia="es-MX"/>
        </w:rPr>
        <w:t xml:space="preserve"> </w:t>
      </w:r>
      <w:r w:rsidR="008524CB" w:rsidRPr="00EA6C7A">
        <w:rPr>
          <w:rFonts w:ascii="Verdana" w:hAnsi="Verdana"/>
          <w:sz w:val="20"/>
          <w:szCs w:val="20"/>
          <w:lang w:val="en-US" w:eastAsia="es-MX"/>
        </w:rPr>
        <w:t>paras.</w:t>
      </w:r>
      <w:r w:rsidR="00617799" w:rsidRPr="00EA6C7A">
        <w:rPr>
          <w:rFonts w:ascii="Verdana" w:hAnsi="Verdana"/>
          <w:sz w:val="20"/>
          <w:szCs w:val="20"/>
          <w:lang w:val="en-US" w:eastAsia="es-MX"/>
        </w:rPr>
        <w:t xml:space="preserve"> 45</w:t>
      </w:r>
      <w:r w:rsidR="00D948A1" w:rsidRPr="00EA6C7A">
        <w:rPr>
          <w:rFonts w:ascii="Verdana" w:hAnsi="Verdana"/>
          <w:sz w:val="20"/>
          <w:szCs w:val="20"/>
          <w:lang w:val="en-US" w:eastAsia="es-MX"/>
        </w:rPr>
        <w:t xml:space="preserve"> and </w:t>
      </w:r>
      <w:r w:rsidR="00617799" w:rsidRPr="00EA6C7A">
        <w:rPr>
          <w:rFonts w:ascii="Verdana" w:hAnsi="Verdana"/>
          <w:sz w:val="20"/>
          <w:szCs w:val="20"/>
          <w:lang w:val="en-US" w:eastAsia="es-MX"/>
        </w:rPr>
        <w:t>48</w:t>
      </w:r>
      <w:r w:rsidR="0017063C" w:rsidRPr="00EA6C7A">
        <w:rPr>
          <w:rFonts w:ascii="Verdana" w:hAnsi="Verdana"/>
          <w:sz w:val="20"/>
          <w:szCs w:val="20"/>
          <w:lang w:val="en-US" w:eastAsia="es-MX"/>
        </w:rPr>
        <w:t>)</w:t>
      </w:r>
      <w:r w:rsidR="0017063C" w:rsidRPr="00EA6C7A">
        <w:rPr>
          <w:rFonts w:ascii="Verdana" w:eastAsia="Calibri" w:hAnsi="Verdana"/>
          <w:sz w:val="20"/>
          <w:szCs w:val="20"/>
          <w:lang w:val="en-US" w:eastAsia="es-MX"/>
        </w:rPr>
        <w:t>.</w:t>
      </w:r>
    </w:p>
    <w:p w14:paraId="782F0851" w14:textId="77777777" w:rsidR="0017063C" w:rsidRPr="00EA6C7A" w:rsidRDefault="0017063C" w:rsidP="0017063C">
      <w:pPr>
        <w:spacing w:after="0" w:line="240" w:lineRule="auto"/>
        <w:jc w:val="both"/>
        <w:rPr>
          <w:rFonts w:ascii="Verdana" w:eastAsia="Calibri" w:hAnsi="Verdana"/>
          <w:sz w:val="20"/>
          <w:szCs w:val="20"/>
          <w:lang w:val="en-US"/>
        </w:rPr>
      </w:pPr>
    </w:p>
    <w:p w14:paraId="3F5EF826" w14:textId="77777777" w:rsidR="0017063C" w:rsidRPr="00EA6C7A" w:rsidRDefault="008D321F" w:rsidP="00A05897">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Calibri" w:hAnsi="Verdana"/>
          <w:sz w:val="20"/>
          <w:szCs w:val="20"/>
          <w:lang w:val="en-US" w:eastAsia="es-MX"/>
        </w:rPr>
        <w:t xml:space="preserve">It should be pointed out that the two police agents who went to the </w:t>
      </w:r>
      <w:r w:rsidR="00022A62" w:rsidRPr="00EA6C7A">
        <w:rPr>
          <w:rFonts w:ascii="Verdana" w:eastAsia="Calibri" w:hAnsi="Verdana"/>
          <w:sz w:val="20"/>
          <w:szCs w:val="20"/>
          <w:lang w:val="en-US" w:eastAsia="es-MX"/>
        </w:rPr>
        <w:t xml:space="preserve">site </w:t>
      </w:r>
      <w:r w:rsidRPr="00EA6C7A">
        <w:rPr>
          <w:rFonts w:ascii="Verdana" w:eastAsia="Calibri" w:hAnsi="Verdana"/>
          <w:sz w:val="20"/>
          <w:szCs w:val="20"/>
          <w:lang w:val="en-US" w:eastAsia="es-MX"/>
        </w:rPr>
        <w:t xml:space="preserve">where </w:t>
      </w:r>
      <w:r w:rsidR="0017063C" w:rsidRPr="00EA6C7A">
        <w:rPr>
          <w:rFonts w:ascii="Verdana" w:eastAsia="Batang" w:hAnsi="Verdana"/>
          <w:sz w:val="20"/>
          <w:szCs w:val="20"/>
          <w:lang w:val="en-US" w:eastAsia="es-MX"/>
        </w:rPr>
        <w:t>Claudina Velásquez</w:t>
      </w:r>
      <w:r w:rsidRPr="00EA6C7A">
        <w:rPr>
          <w:rFonts w:ascii="Verdana" w:eastAsia="Batang" w:hAnsi="Verdana"/>
          <w:sz w:val="20"/>
          <w:szCs w:val="20"/>
          <w:lang w:val="en-US" w:eastAsia="es-MX"/>
        </w:rPr>
        <w:t xml:space="preserve">’s body was found were interviewed and, </w:t>
      </w:r>
      <w:r w:rsidR="00022A62" w:rsidRPr="00EA6C7A">
        <w:rPr>
          <w:rFonts w:ascii="Verdana" w:eastAsia="Batang" w:hAnsi="Verdana"/>
          <w:sz w:val="20"/>
          <w:szCs w:val="20"/>
          <w:lang w:val="en-US" w:eastAsia="es-MX"/>
        </w:rPr>
        <w:t>by</w:t>
      </w:r>
      <w:r w:rsidR="0017063C" w:rsidRPr="00EA6C7A">
        <w:rPr>
          <w:rFonts w:ascii="Verdana" w:eastAsia="Batang" w:hAnsi="Verdana"/>
          <w:sz w:val="20"/>
          <w:szCs w:val="20"/>
          <w:lang w:val="en-US" w:eastAsia="es-MX"/>
        </w:rPr>
        <w:t xml:space="preserve"> </w:t>
      </w:r>
      <w:r w:rsidR="007B566E" w:rsidRPr="00EA6C7A">
        <w:rPr>
          <w:rFonts w:ascii="Verdana" w:eastAsia="Batang" w:hAnsi="Verdana"/>
          <w:sz w:val="20"/>
          <w:szCs w:val="20"/>
          <w:lang w:val="en-US" w:eastAsia="es-MX"/>
        </w:rPr>
        <w:t>October</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24,</w:t>
      </w:r>
      <w:r w:rsidR="0017063C" w:rsidRPr="00EA6C7A">
        <w:rPr>
          <w:rFonts w:ascii="Verdana" w:eastAsia="Batang" w:hAnsi="Verdana"/>
          <w:sz w:val="20"/>
          <w:szCs w:val="20"/>
          <w:lang w:val="en-US" w:eastAsia="es-MX"/>
        </w:rPr>
        <w:t xml:space="preserve"> 2005, </w:t>
      </w:r>
      <w:r w:rsidRPr="00EA6C7A">
        <w:rPr>
          <w:rFonts w:ascii="Verdana" w:eastAsia="Batang" w:hAnsi="Verdana"/>
          <w:sz w:val="20"/>
          <w:szCs w:val="20"/>
          <w:lang w:val="en-US" w:eastAsia="es-MX"/>
        </w:rPr>
        <w:t xml:space="preserve">it was on record that they had made specific statements </w:t>
      </w:r>
      <w:r w:rsidR="00022A62" w:rsidRPr="00EA6C7A">
        <w:rPr>
          <w:rFonts w:ascii="Verdana" w:eastAsia="Batang" w:hAnsi="Verdana"/>
          <w:sz w:val="20"/>
          <w:szCs w:val="20"/>
          <w:lang w:val="en-US" w:eastAsia="es-MX"/>
        </w:rPr>
        <w:t>that the victim had possibly been raped.</w:t>
      </w:r>
      <w:r w:rsidRPr="00EA6C7A">
        <w:rPr>
          <w:rFonts w:ascii="Verdana" w:eastAsia="Batang" w:hAnsi="Verdana"/>
          <w:sz w:val="20"/>
          <w:szCs w:val="20"/>
          <w:lang w:val="en-US" w:eastAsia="es-MX"/>
        </w:rPr>
        <w:t xml:space="preserve"> The first agent indicated that “her brassiere was full of blood [and] she was not wearing it, but rather it was inside her jeans, so that </w:t>
      </w:r>
      <w:r w:rsidR="00022A62" w:rsidRPr="00EA6C7A">
        <w:rPr>
          <w:rFonts w:ascii="Verdana" w:eastAsia="Batang" w:hAnsi="Verdana"/>
          <w:sz w:val="20"/>
          <w:szCs w:val="20"/>
          <w:lang w:val="en-US" w:eastAsia="es-MX"/>
        </w:rPr>
        <w:t>[</w:t>
      </w:r>
      <w:r w:rsidRPr="00EA6C7A">
        <w:rPr>
          <w:rFonts w:ascii="Verdana" w:eastAsia="Batang" w:hAnsi="Verdana"/>
          <w:sz w:val="20"/>
          <w:szCs w:val="20"/>
          <w:lang w:val="en-US" w:eastAsia="es-MX"/>
        </w:rPr>
        <w:t>he</w:t>
      </w:r>
      <w:r w:rsidR="00022A62"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presumed that the young woman had been raped.” The second agent indicated that “</w:t>
      </w:r>
      <w:r w:rsidR="00A07761" w:rsidRPr="00EA6C7A">
        <w:rPr>
          <w:rFonts w:ascii="Verdana" w:eastAsia="Batang" w:hAnsi="Verdana"/>
          <w:sz w:val="20"/>
          <w:szCs w:val="20"/>
          <w:lang w:val="en-US" w:eastAsia="es-MX"/>
        </w:rPr>
        <w:t>it was presumed that she had been raped because her underclothes were stained with blood and she was not wearing her brassiere.</w:t>
      </w:r>
      <w:r w:rsidR="0017063C"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95"/>
      </w:r>
      <w:r w:rsidR="0017063C" w:rsidRPr="00EA6C7A">
        <w:rPr>
          <w:rFonts w:ascii="Verdana" w:eastAsia="Batang" w:hAnsi="Verdana"/>
          <w:sz w:val="20"/>
          <w:szCs w:val="20"/>
          <w:lang w:val="en-US" w:eastAsia="es-MX"/>
        </w:rPr>
        <w:t xml:space="preserve"> </w:t>
      </w:r>
    </w:p>
    <w:p w14:paraId="396292DC" w14:textId="77777777" w:rsidR="0017063C" w:rsidRPr="00EA6C7A" w:rsidRDefault="0017063C" w:rsidP="0017063C">
      <w:pPr>
        <w:spacing w:after="0" w:line="240" w:lineRule="auto"/>
        <w:jc w:val="both"/>
        <w:rPr>
          <w:rFonts w:ascii="Verdana" w:eastAsia="Calibri" w:hAnsi="Verdana"/>
          <w:sz w:val="20"/>
          <w:szCs w:val="20"/>
          <w:lang w:val="en-US"/>
        </w:rPr>
      </w:pPr>
    </w:p>
    <w:p w14:paraId="15A8DF96" w14:textId="77777777" w:rsidR="0017063C" w:rsidRPr="00EA6C7A" w:rsidRDefault="0017063C" w:rsidP="00A07761">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Calibri" w:hAnsi="Verdana"/>
          <w:sz w:val="20"/>
          <w:szCs w:val="20"/>
          <w:lang w:val="en-US" w:eastAsia="es-MX"/>
        </w:rPr>
        <w:lastRenderedPageBreak/>
        <w:t>A</w:t>
      </w:r>
      <w:r w:rsidR="00A07761" w:rsidRPr="00EA6C7A">
        <w:rPr>
          <w:rFonts w:ascii="Verdana" w:eastAsia="Calibri" w:hAnsi="Verdana"/>
          <w:sz w:val="20"/>
          <w:szCs w:val="20"/>
          <w:lang w:val="en-US" w:eastAsia="es-MX"/>
        </w:rPr>
        <w:t xml:space="preserve">dded to this, the INACIF Forensic Psychiatric Report of </w:t>
      </w:r>
      <w:r w:rsidR="00A07761" w:rsidRPr="00EA6C7A">
        <w:rPr>
          <w:rFonts w:ascii="Verdana" w:eastAsia="Batang" w:hAnsi="Verdana"/>
          <w:sz w:val="20"/>
          <w:szCs w:val="20"/>
          <w:lang w:val="en-US" w:eastAsia="es-MX"/>
        </w:rPr>
        <w:t>November 24</w:t>
      </w:r>
      <w:r w:rsidR="003F510E"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2008</w:t>
      </w:r>
      <w:r w:rsidR="00A07761" w:rsidRPr="00EA6C7A">
        <w:rPr>
          <w:rFonts w:ascii="Verdana" w:eastAsia="Batang" w:hAnsi="Verdana"/>
          <w:sz w:val="20"/>
          <w:szCs w:val="20"/>
          <w:lang w:val="en-US" w:eastAsia="es-MX"/>
        </w:rPr>
        <w:t>, determined, as regards the appraisal of the crime scene and considerations on the perpetrator, that:</w:t>
      </w:r>
    </w:p>
    <w:p w14:paraId="0A9632EB" w14:textId="77777777" w:rsidR="0017063C" w:rsidRPr="00EA6C7A" w:rsidRDefault="0017063C" w:rsidP="0017063C">
      <w:pPr>
        <w:spacing w:after="0" w:line="240" w:lineRule="auto"/>
        <w:jc w:val="both"/>
        <w:rPr>
          <w:rFonts w:ascii="Verdana" w:hAnsi="Verdana"/>
          <w:sz w:val="16"/>
          <w:szCs w:val="16"/>
          <w:lang w:val="en-US"/>
        </w:rPr>
      </w:pPr>
    </w:p>
    <w:p w14:paraId="3F2C2867" w14:textId="77777777" w:rsidR="0017063C" w:rsidRPr="00EA6C7A" w:rsidRDefault="0017063C" w:rsidP="00A07761">
      <w:pPr>
        <w:spacing w:after="0" w:line="240" w:lineRule="auto"/>
        <w:ind w:left="720" w:right="-18"/>
        <w:jc w:val="both"/>
        <w:rPr>
          <w:rFonts w:ascii="Verdana" w:hAnsi="Verdana"/>
          <w:sz w:val="16"/>
          <w:szCs w:val="16"/>
          <w:lang w:val="en-US"/>
        </w:rPr>
      </w:pPr>
      <w:r w:rsidRPr="00EA6C7A">
        <w:rPr>
          <w:rFonts w:ascii="Verdana" w:hAnsi="Verdana"/>
          <w:sz w:val="16"/>
          <w:szCs w:val="16"/>
          <w:lang w:val="en-US"/>
        </w:rPr>
        <w:t>[</w:t>
      </w:r>
      <w:r w:rsidR="00A07761" w:rsidRPr="00EA6C7A">
        <w:rPr>
          <w:rFonts w:ascii="Verdana" w:hAnsi="Verdana"/>
          <w:sz w:val="16"/>
          <w:szCs w:val="16"/>
          <w:lang w:val="en-US"/>
        </w:rPr>
        <w:t>A</w:t>
      </w:r>
      <w:r w:rsidRPr="00EA6C7A">
        <w:rPr>
          <w:rFonts w:ascii="Verdana" w:hAnsi="Verdana"/>
          <w:sz w:val="16"/>
          <w:szCs w:val="16"/>
          <w:lang w:val="en-US"/>
        </w:rPr>
        <w:t>]</w:t>
      </w:r>
      <w:r w:rsidR="00A07761" w:rsidRPr="00EA6C7A">
        <w:rPr>
          <w:rFonts w:ascii="Verdana" w:hAnsi="Verdana"/>
          <w:sz w:val="16"/>
          <w:szCs w:val="16"/>
          <w:lang w:val="en-US"/>
        </w:rPr>
        <w:t>t least two individuals, or possibly more, took part [and …] at least three different s</w:t>
      </w:r>
      <w:r w:rsidR="00022A62" w:rsidRPr="00EA6C7A">
        <w:rPr>
          <w:rFonts w:ascii="Verdana" w:hAnsi="Verdana"/>
          <w:sz w:val="16"/>
          <w:szCs w:val="16"/>
          <w:lang w:val="en-US"/>
        </w:rPr>
        <w:t>ites</w:t>
      </w:r>
      <w:r w:rsidR="00A07761" w:rsidRPr="00EA6C7A">
        <w:rPr>
          <w:rFonts w:ascii="Verdana" w:hAnsi="Verdana"/>
          <w:sz w:val="16"/>
          <w:szCs w:val="16"/>
          <w:lang w:val="en-US"/>
        </w:rPr>
        <w:t xml:space="preserve"> where the facts occurred can be established: a </w:t>
      </w:r>
      <w:r w:rsidR="00022A62" w:rsidRPr="00EA6C7A">
        <w:rPr>
          <w:rFonts w:ascii="Verdana" w:hAnsi="Verdana"/>
          <w:sz w:val="16"/>
          <w:szCs w:val="16"/>
          <w:lang w:val="en-US"/>
        </w:rPr>
        <w:t>site</w:t>
      </w:r>
      <w:r w:rsidR="00A07761" w:rsidRPr="00EA6C7A">
        <w:rPr>
          <w:rFonts w:ascii="Verdana" w:hAnsi="Verdana"/>
          <w:sz w:val="16"/>
          <w:szCs w:val="16"/>
          <w:lang w:val="en-US"/>
        </w:rPr>
        <w:t xml:space="preserve"> where the victim was waylaid, a </w:t>
      </w:r>
      <w:r w:rsidR="00022A62" w:rsidRPr="00EA6C7A">
        <w:rPr>
          <w:rFonts w:ascii="Verdana" w:hAnsi="Verdana"/>
          <w:sz w:val="16"/>
          <w:szCs w:val="16"/>
          <w:lang w:val="en-US"/>
        </w:rPr>
        <w:t>site</w:t>
      </w:r>
      <w:r w:rsidR="00A07761" w:rsidRPr="00EA6C7A">
        <w:rPr>
          <w:rFonts w:ascii="Verdana" w:hAnsi="Verdana"/>
          <w:sz w:val="16"/>
          <w:szCs w:val="16"/>
          <w:lang w:val="en-US"/>
        </w:rPr>
        <w:t xml:space="preserve"> where the assault took place, and a </w:t>
      </w:r>
      <w:r w:rsidR="00022A62" w:rsidRPr="00EA6C7A">
        <w:rPr>
          <w:rFonts w:ascii="Verdana" w:hAnsi="Verdana"/>
          <w:sz w:val="16"/>
          <w:szCs w:val="16"/>
          <w:lang w:val="en-US"/>
        </w:rPr>
        <w:t>site</w:t>
      </w:r>
      <w:r w:rsidR="00A07761" w:rsidRPr="00EA6C7A">
        <w:rPr>
          <w:rFonts w:ascii="Verdana" w:hAnsi="Verdana"/>
          <w:sz w:val="16"/>
          <w:szCs w:val="16"/>
          <w:lang w:val="en-US"/>
        </w:rPr>
        <w:t xml:space="preserve"> where the victim was abandoned. This suggests that, although the act could have started out circumstantially, it continued methodically, without </w:t>
      </w:r>
      <w:r w:rsidR="00721F8D" w:rsidRPr="00EA6C7A">
        <w:rPr>
          <w:rFonts w:ascii="Verdana" w:hAnsi="Verdana"/>
          <w:sz w:val="16"/>
          <w:szCs w:val="16"/>
          <w:lang w:val="en-US"/>
        </w:rPr>
        <w:t>malice</w:t>
      </w:r>
      <w:r w:rsidR="00A07761" w:rsidRPr="00EA6C7A">
        <w:rPr>
          <w:rFonts w:ascii="Verdana" w:hAnsi="Verdana"/>
          <w:sz w:val="16"/>
          <w:szCs w:val="16"/>
          <w:lang w:val="en-US"/>
        </w:rPr>
        <w:t>, and with an outcome that would suggest that, the individual who executed the act was knowledgeable about the use of firearms and had experience in committing this type of act. It is evident that she was subjected to some kind of manipulation while undressed, and that someone else</w:t>
      </w:r>
      <w:r w:rsidR="00022A62" w:rsidRPr="00EA6C7A">
        <w:rPr>
          <w:rFonts w:ascii="Verdana" w:hAnsi="Verdana"/>
          <w:sz w:val="16"/>
          <w:szCs w:val="16"/>
          <w:lang w:val="en-US"/>
        </w:rPr>
        <w:t xml:space="preserve"> dressed her</w:t>
      </w:r>
      <w:r w:rsidR="00A07761" w:rsidRPr="00EA6C7A">
        <w:rPr>
          <w:rFonts w:ascii="Verdana" w:hAnsi="Verdana"/>
          <w:sz w:val="16"/>
          <w:szCs w:val="16"/>
          <w:lang w:val="en-US"/>
        </w:rPr>
        <w:t>.</w:t>
      </w:r>
      <w:r w:rsidRPr="00EA6C7A">
        <w:rPr>
          <w:rFonts w:ascii="Verdana" w:hAnsi="Verdana"/>
          <w:sz w:val="16"/>
          <w:szCs w:val="16"/>
          <w:vertAlign w:val="superscript"/>
          <w:lang w:val="en-US"/>
        </w:rPr>
        <w:footnoteReference w:id="296"/>
      </w:r>
    </w:p>
    <w:p w14:paraId="1C16D8C1" w14:textId="77777777" w:rsidR="0017063C" w:rsidRPr="00EA6C7A" w:rsidRDefault="0017063C" w:rsidP="0017063C">
      <w:pPr>
        <w:spacing w:after="0" w:line="240" w:lineRule="auto"/>
        <w:jc w:val="both"/>
        <w:rPr>
          <w:rFonts w:ascii="Verdana" w:eastAsia="Calibri" w:hAnsi="Verdana"/>
          <w:sz w:val="20"/>
          <w:szCs w:val="20"/>
          <w:lang w:val="en-US"/>
        </w:rPr>
      </w:pPr>
    </w:p>
    <w:p w14:paraId="338615B8" w14:textId="77777777" w:rsidR="0017063C" w:rsidRPr="00EA6C7A" w:rsidRDefault="00A07761" w:rsidP="00A07761">
      <w:pPr>
        <w:numPr>
          <w:ilvl w:val="0"/>
          <w:numId w:val="3"/>
        </w:numPr>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Added to this, on</w:t>
      </w:r>
      <w:r w:rsidR="003F510E" w:rsidRPr="00EA6C7A">
        <w:rPr>
          <w:rFonts w:ascii="Verdana" w:eastAsia="Batang" w:hAnsi="Verdana"/>
          <w:sz w:val="20"/>
          <w:szCs w:val="20"/>
          <w:lang w:val="en-US" w:eastAsia="es-MX"/>
        </w:rPr>
        <w:t xml:space="preserve"> January</w:t>
      </w:r>
      <w:r w:rsidR="00586DC6" w:rsidRPr="00EA6C7A">
        <w:rPr>
          <w:rFonts w:ascii="Verdana" w:eastAsia="Batang" w:hAnsi="Verdana"/>
          <w:sz w:val="20"/>
          <w:szCs w:val="20"/>
          <w:lang w:val="en-US" w:eastAsia="es-MX"/>
        </w:rPr>
        <w:t xml:space="preserve"> 20,</w:t>
      </w:r>
      <w:r w:rsidR="0017063C" w:rsidRPr="00EA6C7A">
        <w:rPr>
          <w:rFonts w:ascii="Verdana" w:eastAsia="Batang" w:hAnsi="Verdana"/>
          <w:sz w:val="20"/>
          <w:szCs w:val="20"/>
          <w:lang w:val="en-US" w:eastAsia="es-MX"/>
        </w:rPr>
        <w:t xml:space="preserve"> 2009</w:t>
      </w:r>
      <w:r w:rsidRPr="00EA6C7A">
        <w:rPr>
          <w:rFonts w:ascii="Verdana" w:eastAsia="Batang" w:hAnsi="Verdana"/>
          <w:sz w:val="20"/>
          <w:szCs w:val="20"/>
          <w:lang w:val="en-US" w:eastAsia="es-MX"/>
        </w:rPr>
        <w:t xml:space="preserve">, </w:t>
      </w:r>
      <w:r w:rsidR="000821BA" w:rsidRPr="00EA6C7A">
        <w:rPr>
          <w:rFonts w:ascii="Verdana" w:eastAsia="Batang" w:hAnsi="Verdana"/>
          <w:sz w:val="20"/>
          <w:szCs w:val="20"/>
          <w:lang w:val="en-US" w:eastAsia="es-MX"/>
        </w:rPr>
        <w:t>the forensic physician</w:t>
      </w:r>
      <w:r w:rsidR="0017063C"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who examined the body </w:t>
      </w:r>
      <w:r w:rsidR="00721F8D" w:rsidRPr="00EA6C7A">
        <w:rPr>
          <w:rFonts w:ascii="Verdana" w:eastAsia="Batang" w:hAnsi="Verdana"/>
          <w:sz w:val="20"/>
          <w:szCs w:val="20"/>
          <w:lang w:val="en-US" w:eastAsia="es-MX"/>
        </w:rPr>
        <w:t xml:space="preserve">at the site </w:t>
      </w:r>
      <w:r w:rsidRPr="00EA6C7A">
        <w:rPr>
          <w:rFonts w:ascii="Verdana" w:eastAsia="Batang" w:hAnsi="Verdana"/>
          <w:sz w:val="20"/>
          <w:szCs w:val="20"/>
          <w:lang w:val="en-US" w:eastAsia="es-MX"/>
        </w:rPr>
        <w:t xml:space="preserve">where it was found declared that “her brassiere was on top of her clothes, </w:t>
      </w:r>
      <w:r w:rsidR="00721F8D" w:rsidRPr="00EA6C7A">
        <w:rPr>
          <w:rFonts w:ascii="Verdana" w:eastAsia="Batang" w:hAnsi="Verdana"/>
          <w:sz w:val="20"/>
          <w:szCs w:val="20"/>
          <w:lang w:val="en-US" w:eastAsia="es-MX"/>
        </w:rPr>
        <w:t>her</w:t>
      </w:r>
      <w:r w:rsidRPr="00EA6C7A">
        <w:rPr>
          <w:rFonts w:ascii="Verdana" w:eastAsia="Batang" w:hAnsi="Verdana"/>
          <w:sz w:val="20"/>
          <w:szCs w:val="20"/>
          <w:lang w:val="en-US" w:eastAsia="es-MX"/>
        </w:rPr>
        <w:t xml:space="preserve"> blouse and sweater were </w:t>
      </w:r>
      <w:r w:rsidR="00721F8D" w:rsidRPr="00EA6C7A">
        <w:rPr>
          <w:rFonts w:ascii="Verdana" w:eastAsia="Batang" w:hAnsi="Verdana"/>
          <w:sz w:val="20"/>
          <w:szCs w:val="20"/>
          <w:lang w:val="en-US" w:eastAsia="es-MX"/>
        </w:rPr>
        <w:t xml:space="preserve">on </w:t>
      </w:r>
      <w:r w:rsidRPr="00EA6C7A">
        <w:rPr>
          <w:rFonts w:ascii="Verdana" w:eastAsia="Batang" w:hAnsi="Verdana"/>
          <w:sz w:val="20"/>
          <w:szCs w:val="20"/>
          <w:lang w:val="en-US" w:eastAsia="es-MX"/>
        </w:rPr>
        <w:t xml:space="preserve">back to front, </w:t>
      </w:r>
      <w:r w:rsidR="00721F8D" w:rsidRPr="00EA6C7A">
        <w:rPr>
          <w:rFonts w:ascii="Verdana" w:eastAsia="Batang" w:hAnsi="Verdana"/>
          <w:sz w:val="20"/>
          <w:szCs w:val="20"/>
          <w:lang w:val="en-US" w:eastAsia="es-MX"/>
        </w:rPr>
        <w:t xml:space="preserve">her </w:t>
      </w:r>
      <w:r w:rsidRPr="00EA6C7A">
        <w:rPr>
          <w:rFonts w:ascii="Verdana" w:eastAsia="Batang" w:hAnsi="Verdana"/>
          <w:sz w:val="20"/>
          <w:szCs w:val="20"/>
          <w:lang w:val="en-US" w:eastAsia="es-MX"/>
        </w:rPr>
        <w:t>the belt was unbuckled</w:t>
      </w:r>
      <w:r w:rsidR="00721F8D" w:rsidRPr="00EA6C7A">
        <w:rPr>
          <w:rFonts w:ascii="Verdana" w:eastAsia="Batang" w:hAnsi="Verdana"/>
          <w:sz w:val="20"/>
          <w:szCs w:val="20"/>
          <w:lang w:val="en-US" w:eastAsia="es-MX"/>
        </w:rPr>
        <w:t>,</w:t>
      </w:r>
      <w:r w:rsidRPr="00EA6C7A">
        <w:rPr>
          <w:rFonts w:ascii="Verdana" w:eastAsia="Batang" w:hAnsi="Verdana"/>
          <w:sz w:val="20"/>
          <w:szCs w:val="20"/>
          <w:lang w:val="en-US" w:eastAsia="es-MX"/>
        </w:rPr>
        <w:t xml:space="preserve"> and the zipper of </w:t>
      </w:r>
      <w:r w:rsidR="00721F8D" w:rsidRPr="00EA6C7A">
        <w:rPr>
          <w:rFonts w:ascii="Verdana" w:eastAsia="Batang" w:hAnsi="Verdana"/>
          <w:sz w:val="20"/>
          <w:szCs w:val="20"/>
          <w:lang w:val="en-US" w:eastAsia="es-MX"/>
        </w:rPr>
        <w:t>her</w:t>
      </w:r>
      <w:r w:rsidRPr="00EA6C7A">
        <w:rPr>
          <w:rFonts w:ascii="Verdana" w:eastAsia="Batang" w:hAnsi="Verdana"/>
          <w:sz w:val="20"/>
          <w:szCs w:val="20"/>
          <w:lang w:val="en-US" w:eastAsia="es-MX"/>
        </w:rPr>
        <w:t xml:space="preserve"> jeans undone,” a</w:t>
      </w:r>
      <w:r w:rsidR="00721F8D" w:rsidRPr="00EA6C7A">
        <w:rPr>
          <w:rFonts w:ascii="Verdana" w:eastAsia="Batang" w:hAnsi="Verdana"/>
          <w:sz w:val="20"/>
          <w:szCs w:val="20"/>
          <w:lang w:val="en-US" w:eastAsia="es-MX"/>
        </w:rPr>
        <w:t>lso,</w:t>
      </w:r>
      <w:r w:rsidRPr="00EA6C7A">
        <w:rPr>
          <w:rFonts w:ascii="Verdana" w:eastAsia="Batang" w:hAnsi="Verdana"/>
          <w:sz w:val="20"/>
          <w:szCs w:val="20"/>
          <w:lang w:val="en-US" w:eastAsia="es-MX"/>
        </w:rPr>
        <w:t xml:space="preserve"> he could infer “that she had been raped and that it is possible that the victim knew her assailant.</w:t>
      </w:r>
      <w:r w:rsidR="0017063C" w:rsidRPr="00EA6C7A">
        <w:rPr>
          <w:rFonts w:ascii="Verdana" w:eastAsia="Batang" w:hAnsi="Verdana"/>
          <w:sz w:val="20"/>
          <w:szCs w:val="20"/>
          <w:lang w:val="en-US" w:eastAsia="es-MX"/>
        </w:rPr>
        <w:t>”</w:t>
      </w:r>
      <w:r w:rsidR="0017063C" w:rsidRPr="00EA6C7A">
        <w:rPr>
          <w:rFonts w:ascii="Verdana" w:eastAsia="Batang" w:hAnsi="Verdana"/>
          <w:sz w:val="20"/>
          <w:szCs w:val="20"/>
          <w:vertAlign w:val="superscript"/>
          <w:lang w:val="en-US" w:eastAsia="es-MX"/>
        </w:rPr>
        <w:footnoteReference w:id="297"/>
      </w:r>
    </w:p>
    <w:p w14:paraId="39FBF0C3" w14:textId="77777777" w:rsidR="0017063C" w:rsidRPr="00EA6C7A" w:rsidRDefault="0017063C" w:rsidP="00A07761">
      <w:pPr>
        <w:spacing w:after="0" w:line="240" w:lineRule="auto"/>
        <w:jc w:val="both"/>
        <w:rPr>
          <w:rFonts w:ascii="Verdana" w:eastAsia="Calibri" w:hAnsi="Verdana" w:cs="Arial"/>
          <w:sz w:val="20"/>
          <w:szCs w:val="20"/>
          <w:lang w:val="en-US"/>
        </w:rPr>
      </w:pPr>
    </w:p>
    <w:p w14:paraId="1150362B" w14:textId="77777777" w:rsidR="0017063C" w:rsidRPr="00EA6C7A" w:rsidRDefault="00062CC4" w:rsidP="00062CC4">
      <w:pPr>
        <w:numPr>
          <w:ilvl w:val="0"/>
          <w:numId w:val="3"/>
        </w:numPr>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 xml:space="preserve">In conclusion, the authorities in charge of the investigation were aware </w:t>
      </w:r>
      <w:r w:rsidR="00721F8D" w:rsidRPr="00EA6C7A">
        <w:rPr>
          <w:rFonts w:ascii="Verdana" w:eastAsia="Batang" w:hAnsi="Verdana"/>
          <w:sz w:val="20"/>
          <w:szCs w:val="20"/>
          <w:lang w:val="en-US" w:eastAsia="es-MX"/>
        </w:rPr>
        <w:t>that there were</w:t>
      </w:r>
      <w:r w:rsidRPr="00EA6C7A">
        <w:rPr>
          <w:rFonts w:ascii="Verdana" w:eastAsia="Batang" w:hAnsi="Verdana"/>
          <w:sz w:val="20"/>
          <w:szCs w:val="20"/>
          <w:lang w:val="en-US" w:eastAsia="es-MX"/>
        </w:rPr>
        <w:t xml:space="preserve"> indications of possible gender-based violence against Claudina Velásquez from the initial moments of the investigation. Additionally, these indications were mentioned repeatedly during the investigation. Nevertheless, owing to </w:t>
      </w:r>
      <w:r w:rsidR="00721F8D" w:rsidRPr="00EA6C7A">
        <w:rPr>
          <w:rFonts w:ascii="Verdana" w:eastAsia="Batang" w:hAnsi="Verdana"/>
          <w:sz w:val="20"/>
          <w:szCs w:val="20"/>
          <w:lang w:val="en-US" w:eastAsia="es-MX"/>
        </w:rPr>
        <w:t xml:space="preserve">the </w:t>
      </w:r>
      <w:r w:rsidRPr="00EA6C7A">
        <w:rPr>
          <w:rFonts w:ascii="Verdana" w:eastAsia="Batang" w:hAnsi="Verdana"/>
          <w:sz w:val="20"/>
          <w:szCs w:val="20"/>
          <w:lang w:val="en-US" w:eastAsia="es-MX"/>
        </w:rPr>
        <w:t>prejudices and discriminatory statements based on gender stereotyping of the State agents who intervened in the investigation, they failed to conduct the investigation from a gender perspective and Claudina Velásquez’s death was investigated as just another murder.</w:t>
      </w:r>
      <w:r w:rsidR="0017063C" w:rsidRPr="00EA6C7A">
        <w:rPr>
          <w:rStyle w:val="Refdenotaalpie"/>
          <w:rFonts w:ascii="Verdana" w:eastAsia="Batang" w:hAnsi="Verdana"/>
          <w:sz w:val="20"/>
          <w:szCs w:val="20"/>
          <w:lang w:val="en-US" w:eastAsia="es-MX"/>
        </w:rPr>
        <w:footnoteReference w:id="298"/>
      </w:r>
    </w:p>
    <w:p w14:paraId="4D3AD47B" w14:textId="77777777" w:rsidR="0017063C" w:rsidRPr="00EA6C7A" w:rsidRDefault="0017063C" w:rsidP="0017063C">
      <w:pPr>
        <w:spacing w:after="0" w:line="240" w:lineRule="auto"/>
        <w:jc w:val="both"/>
        <w:rPr>
          <w:rFonts w:ascii="Verdana" w:eastAsia="Calibri" w:hAnsi="Verdana"/>
          <w:sz w:val="20"/>
          <w:szCs w:val="20"/>
          <w:lang w:val="en-US"/>
        </w:rPr>
      </w:pPr>
    </w:p>
    <w:p w14:paraId="64F649C0" w14:textId="77777777" w:rsidR="00062CC4" w:rsidRPr="00EA6C7A" w:rsidRDefault="00062CC4" w:rsidP="00062CC4">
      <w:pPr>
        <w:numPr>
          <w:ilvl w:val="0"/>
          <w:numId w:val="3"/>
        </w:numPr>
        <w:tabs>
          <w:tab w:val="left" w:pos="720"/>
        </w:tabs>
        <w:spacing w:after="0" w:line="240" w:lineRule="auto"/>
        <w:ind w:left="0" w:firstLine="0"/>
        <w:jc w:val="both"/>
        <w:rPr>
          <w:rFonts w:ascii="Verdana" w:eastAsia="Batang" w:hAnsi="Verdana"/>
          <w:sz w:val="20"/>
          <w:szCs w:val="20"/>
          <w:lang w:val="en-US" w:eastAsia="es-MX"/>
        </w:rPr>
      </w:pPr>
      <w:r w:rsidRPr="00EA6C7A">
        <w:rPr>
          <w:rFonts w:ascii="Verdana" w:eastAsia="Batang" w:hAnsi="Verdana"/>
          <w:sz w:val="20"/>
          <w:szCs w:val="20"/>
          <w:lang w:val="en-US" w:eastAsia="es-MX"/>
        </w:rPr>
        <w:t>In</w:t>
      </w:r>
      <w:r w:rsidR="0017063C" w:rsidRPr="00EA6C7A">
        <w:rPr>
          <w:rFonts w:ascii="Verdana" w:eastAsia="Batang" w:hAnsi="Verdana"/>
          <w:sz w:val="20"/>
          <w:szCs w:val="20"/>
          <w:lang w:val="en-US" w:eastAsia="es-MX"/>
        </w:rPr>
        <w:t xml:space="preserve"> </w:t>
      </w:r>
      <w:r w:rsidR="0096418F" w:rsidRPr="00EA6C7A">
        <w:rPr>
          <w:rFonts w:ascii="Verdana" w:eastAsia="Batang" w:hAnsi="Verdana"/>
          <w:sz w:val="20"/>
          <w:szCs w:val="20"/>
          <w:lang w:val="en-US" w:eastAsia="es-MX"/>
        </w:rPr>
        <w:t>the Court</w:t>
      </w:r>
      <w:r w:rsidRPr="00EA6C7A">
        <w:rPr>
          <w:rFonts w:ascii="Verdana" w:eastAsia="Batang" w:hAnsi="Verdana"/>
          <w:sz w:val="20"/>
          <w:szCs w:val="20"/>
          <w:lang w:val="en-US" w:eastAsia="es-MX"/>
        </w:rPr>
        <w:t>’s opinion, there are three essential aspects of the absence of a gender approach in the criminal investigation. First, the fact that the circumstances prior to her death were rendered invisible, while the evidence indicate</w:t>
      </w:r>
      <w:r w:rsidR="00721F8D" w:rsidRPr="00EA6C7A">
        <w:rPr>
          <w:rFonts w:ascii="Verdana" w:eastAsia="Batang" w:hAnsi="Verdana"/>
          <w:sz w:val="20"/>
          <w:szCs w:val="20"/>
          <w:lang w:val="en-US" w:eastAsia="es-MX"/>
        </w:rPr>
        <w:t>d</w:t>
      </w:r>
      <w:r w:rsidRPr="00EA6C7A">
        <w:rPr>
          <w:rFonts w:ascii="Verdana" w:eastAsia="Batang" w:hAnsi="Verdana"/>
          <w:sz w:val="20"/>
          <w:szCs w:val="20"/>
          <w:lang w:val="en-US" w:eastAsia="es-MX"/>
        </w:rPr>
        <w:t xml:space="preserve"> the existence of an act of violence prior to her death. Second, the way in which death occurred was rendered invisible, even though the evidence </w:t>
      </w:r>
      <w:r w:rsidR="00721F8D" w:rsidRPr="00EA6C7A">
        <w:rPr>
          <w:rFonts w:ascii="Verdana" w:eastAsia="Batang" w:hAnsi="Verdana"/>
          <w:sz w:val="20"/>
          <w:szCs w:val="20"/>
          <w:lang w:val="en-US" w:eastAsia="es-MX"/>
        </w:rPr>
        <w:t>suggested</w:t>
      </w:r>
      <w:r w:rsidRPr="00EA6C7A">
        <w:rPr>
          <w:rFonts w:ascii="Verdana" w:eastAsia="Batang" w:hAnsi="Verdana"/>
          <w:sz w:val="20"/>
          <w:szCs w:val="20"/>
          <w:lang w:val="en-US" w:eastAsia="es-MX"/>
        </w:rPr>
        <w:t xml:space="preserve"> the perpetration of an act of violence after her death. Third, the possible sexual violence was rendered invisible. These three aspects reveal a possible re</w:t>
      </w:r>
      <w:r w:rsidR="000C67BA" w:rsidRPr="00EA6C7A">
        <w:rPr>
          <w:rFonts w:ascii="Verdana" w:eastAsia="Batang" w:hAnsi="Verdana"/>
          <w:sz w:val="20"/>
          <w:szCs w:val="20"/>
          <w:lang w:val="en-US" w:eastAsia="es-MX"/>
        </w:rPr>
        <w:t>petition</w:t>
      </w:r>
      <w:r w:rsidRPr="00EA6C7A">
        <w:rPr>
          <w:rFonts w:ascii="Verdana" w:eastAsia="Batang" w:hAnsi="Verdana"/>
          <w:sz w:val="20"/>
          <w:szCs w:val="20"/>
          <w:lang w:val="en-US" w:eastAsia="es-MX"/>
        </w:rPr>
        <w:t xml:space="preserve"> of the violence </w:t>
      </w:r>
      <w:r w:rsidR="000C67BA" w:rsidRPr="00EA6C7A">
        <w:rPr>
          <w:rFonts w:ascii="Verdana" w:eastAsia="Batang" w:hAnsi="Verdana"/>
          <w:sz w:val="20"/>
          <w:szCs w:val="20"/>
          <w:lang w:val="en-US" w:eastAsia="es-MX"/>
        </w:rPr>
        <w:t>inflicted on</w:t>
      </w:r>
      <w:r w:rsidRPr="00EA6C7A">
        <w:rPr>
          <w:rFonts w:ascii="Verdana" w:eastAsia="Batang" w:hAnsi="Verdana"/>
          <w:sz w:val="20"/>
          <w:szCs w:val="20"/>
          <w:lang w:val="en-US" w:eastAsia="es-MX"/>
        </w:rPr>
        <w:t xml:space="preserve"> the victim while she was missing</w:t>
      </w:r>
      <w:r w:rsidR="000C67BA" w:rsidRPr="00EA6C7A">
        <w:rPr>
          <w:rFonts w:ascii="Verdana" w:eastAsia="Batang" w:hAnsi="Verdana"/>
          <w:sz w:val="20"/>
          <w:szCs w:val="20"/>
          <w:lang w:val="en-US" w:eastAsia="es-MX"/>
        </w:rPr>
        <w:t>, which</w:t>
      </w:r>
      <w:r w:rsidRPr="00EA6C7A">
        <w:rPr>
          <w:rFonts w:ascii="Verdana" w:eastAsia="Batang" w:hAnsi="Verdana"/>
          <w:sz w:val="20"/>
          <w:szCs w:val="20"/>
          <w:lang w:val="en-US" w:eastAsia="es-MX"/>
        </w:rPr>
        <w:t xml:space="preserve"> was in addition to the fact of her murder.</w:t>
      </w:r>
    </w:p>
    <w:p w14:paraId="57782723" w14:textId="77777777" w:rsidR="0017063C" w:rsidRPr="00EA6C7A" w:rsidRDefault="0017063C" w:rsidP="00062CC4">
      <w:pPr>
        <w:tabs>
          <w:tab w:val="left" w:pos="720"/>
        </w:tabs>
        <w:spacing w:after="0" w:line="240" w:lineRule="auto"/>
        <w:jc w:val="both"/>
        <w:rPr>
          <w:rFonts w:ascii="Verdana" w:eastAsia="Calibri" w:hAnsi="Verdana"/>
          <w:sz w:val="20"/>
          <w:szCs w:val="20"/>
          <w:lang w:val="en-US"/>
        </w:rPr>
      </w:pPr>
    </w:p>
    <w:p w14:paraId="37824222" w14:textId="77777777" w:rsidR="00062CC4" w:rsidRPr="00EA6C7A" w:rsidRDefault="00062CC4" w:rsidP="00AA0BE1">
      <w:pPr>
        <w:numPr>
          <w:ilvl w:val="0"/>
          <w:numId w:val="3"/>
        </w:numPr>
        <w:tabs>
          <w:tab w:val="left" w:pos="720"/>
        </w:tabs>
        <w:spacing w:after="0" w:line="240" w:lineRule="auto"/>
        <w:ind w:left="0" w:firstLine="0"/>
        <w:jc w:val="both"/>
        <w:rPr>
          <w:rFonts w:ascii="Verdana" w:eastAsia="Calibri" w:hAnsi="Verdana" w:cs="Arial"/>
          <w:sz w:val="20"/>
          <w:szCs w:val="20"/>
          <w:lang w:val="en-US" w:eastAsia="es-MX"/>
        </w:rPr>
      </w:pPr>
      <w:r w:rsidRPr="00EA6C7A">
        <w:rPr>
          <w:rFonts w:ascii="Verdana" w:eastAsia="Batang" w:hAnsi="Verdana"/>
          <w:sz w:val="20"/>
          <w:szCs w:val="20"/>
          <w:lang w:val="en-US" w:eastAsia="es-MX"/>
        </w:rPr>
        <w:t xml:space="preserve">Based on the foregoing, the State failed to comply with its obligation to investigate </w:t>
      </w:r>
      <w:r w:rsidR="0017063C" w:rsidRPr="00EA6C7A">
        <w:rPr>
          <w:rFonts w:ascii="Verdana" w:eastAsia="Calibri" w:hAnsi="Verdana"/>
          <w:i/>
          <w:sz w:val="20"/>
          <w:szCs w:val="20"/>
          <w:lang w:val="en-US" w:eastAsia="es-MX"/>
        </w:rPr>
        <w:t>ex officio</w:t>
      </w:r>
      <w:r w:rsidR="0017063C" w:rsidRPr="00EA6C7A">
        <w:rPr>
          <w:rFonts w:ascii="Verdana" w:eastAsia="Calibri" w:hAnsi="Verdana"/>
          <w:sz w:val="20"/>
          <w:szCs w:val="20"/>
          <w:lang w:val="en-US" w:eastAsia="es-MX"/>
        </w:rPr>
        <w:t xml:space="preserve"> </w:t>
      </w:r>
      <w:r w:rsidRPr="00EA6C7A">
        <w:rPr>
          <w:rFonts w:ascii="Verdana" w:eastAsia="Calibri" w:hAnsi="Verdana" w:cs="Arial"/>
          <w:sz w:val="20"/>
          <w:szCs w:val="20"/>
          <w:lang w:val="en-US" w:eastAsia="es-MX"/>
        </w:rPr>
        <w:t>the death of</w:t>
      </w:r>
      <w:r w:rsidR="0017063C" w:rsidRPr="00EA6C7A">
        <w:rPr>
          <w:rFonts w:ascii="Verdana" w:eastAsia="Calibri" w:hAnsi="Verdana" w:cs="Arial"/>
          <w:sz w:val="20"/>
          <w:szCs w:val="20"/>
          <w:lang w:val="en-US" w:eastAsia="es-MX"/>
        </w:rPr>
        <w:t xml:space="preserve"> </w:t>
      </w:r>
      <w:r w:rsidRPr="00EA6C7A">
        <w:rPr>
          <w:rFonts w:ascii="Verdana" w:eastAsia="Calibri" w:hAnsi="Verdana" w:cs="Arial"/>
          <w:sz w:val="20"/>
          <w:szCs w:val="20"/>
          <w:lang w:val="en-US" w:eastAsia="es-MX"/>
        </w:rPr>
        <w:t>C</w:t>
      </w:r>
      <w:r w:rsidR="0017063C" w:rsidRPr="00EA6C7A">
        <w:rPr>
          <w:rFonts w:ascii="Verdana" w:eastAsia="Calibri" w:hAnsi="Verdana" w:cs="Arial"/>
          <w:sz w:val="20"/>
          <w:szCs w:val="20"/>
          <w:lang w:val="en-US" w:eastAsia="es-MX"/>
        </w:rPr>
        <w:t xml:space="preserve">laudina Velásquez </w:t>
      </w:r>
      <w:r w:rsidR="000C67BA" w:rsidRPr="00EA6C7A">
        <w:rPr>
          <w:rFonts w:ascii="Verdana" w:eastAsia="Calibri" w:hAnsi="Verdana" w:cs="Arial"/>
          <w:sz w:val="20"/>
          <w:szCs w:val="20"/>
          <w:lang w:val="en-US" w:eastAsia="es-MX"/>
        </w:rPr>
        <w:t xml:space="preserve">with a gender approach  and </w:t>
      </w:r>
      <w:r w:rsidRPr="00EA6C7A">
        <w:rPr>
          <w:rFonts w:ascii="Verdana" w:eastAsia="Calibri" w:hAnsi="Verdana" w:cs="Arial"/>
          <w:sz w:val="20"/>
          <w:szCs w:val="20"/>
          <w:lang w:val="en-US" w:eastAsia="es-MX"/>
        </w:rPr>
        <w:t>as a possible expression of gender-based violence. To the contrary, the investigation focused merely on the victim’s death and continued as a case of murder without taking into account the standards established for this type of case. Thus, evidence such as the victim’s clothes w</w:t>
      </w:r>
      <w:r w:rsidR="00AA0BE1" w:rsidRPr="00EA6C7A">
        <w:rPr>
          <w:rFonts w:ascii="Verdana" w:eastAsia="Calibri" w:hAnsi="Verdana" w:cs="Arial"/>
          <w:sz w:val="20"/>
          <w:szCs w:val="20"/>
          <w:lang w:val="en-US" w:eastAsia="es-MX"/>
        </w:rPr>
        <w:t>as</w:t>
      </w:r>
      <w:r w:rsidRPr="00EA6C7A">
        <w:rPr>
          <w:rFonts w:ascii="Verdana" w:eastAsia="Calibri" w:hAnsi="Verdana" w:cs="Arial"/>
          <w:sz w:val="20"/>
          <w:szCs w:val="20"/>
          <w:lang w:val="en-US" w:eastAsia="es-MX"/>
        </w:rPr>
        <w:t xml:space="preserve"> not secured</w:t>
      </w:r>
      <w:r w:rsidR="00AA0BE1" w:rsidRPr="00EA6C7A">
        <w:rPr>
          <w:rFonts w:ascii="Verdana" w:eastAsia="Calibri" w:hAnsi="Verdana" w:cs="Arial"/>
          <w:sz w:val="20"/>
          <w:szCs w:val="20"/>
          <w:lang w:val="en-US" w:eastAsia="es-MX"/>
        </w:rPr>
        <w:t xml:space="preserve">, and the proper chain of custody was not respected; the physical evidence was not conserved; the </w:t>
      </w:r>
      <w:r w:rsidR="000C67BA" w:rsidRPr="00EA6C7A">
        <w:rPr>
          <w:rFonts w:ascii="Verdana" w:eastAsia="Calibri" w:hAnsi="Verdana" w:cs="Arial"/>
          <w:sz w:val="20"/>
          <w:szCs w:val="20"/>
          <w:lang w:val="en-US" w:eastAsia="es-MX"/>
        </w:rPr>
        <w:t>relevant</w:t>
      </w:r>
      <w:r w:rsidR="00AA0BE1" w:rsidRPr="00EA6C7A">
        <w:rPr>
          <w:rFonts w:ascii="Verdana" w:eastAsia="Calibri" w:hAnsi="Verdana" w:cs="Arial"/>
          <w:sz w:val="20"/>
          <w:szCs w:val="20"/>
          <w:lang w:val="en-US" w:eastAsia="es-MX"/>
        </w:rPr>
        <w:t xml:space="preserve"> examinations and tests were not performed; appropriate lines of investigation were not followed, and other possible lines of investigation into the circumstances of the case and the identification of the perpetrators were closed. Accordingly, the State failed to comply with its obligation to investigate with due diligence.</w:t>
      </w:r>
    </w:p>
    <w:p w14:paraId="1B2FD2B8" w14:textId="77777777" w:rsidR="0017063C" w:rsidRPr="00EA6C7A" w:rsidRDefault="0017063C" w:rsidP="0017063C">
      <w:pPr>
        <w:spacing w:after="0" w:line="240" w:lineRule="auto"/>
        <w:ind w:left="720"/>
        <w:contextualSpacing/>
        <w:rPr>
          <w:rFonts w:ascii="Verdana" w:hAnsi="Verdana"/>
          <w:bCs/>
          <w:sz w:val="20"/>
          <w:szCs w:val="20"/>
          <w:lang w:val="en-US" w:eastAsia="es-MX"/>
        </w:rPr>
      </w:pPr>
    </w:p>
    <w:p w14:paraId="14B39172" w14:textId="77777777" w:rsidR="0017063C" w:rsidRPr="00EA6C7A" w:rsidRDefault="00AA0BE1" w:rsidP="00062CC4">
      <w:pPr>
        <w:numPr>
          <w:ilvl w:val="0"/>
          <w:numId w:val="3"/>
        </w:numPr>
        <w:tabs>
          <w:tab w:val="left" w:pos="720"/>
        </w:tabs>
        <w:spacing w:after="0" w:line="240" w:lineRule="auto"/>
        <w:ind w:left="0" w:firstLine="0"/>
        <w:jc w:val="both"/>
        <w:rPr>
          <w:rFonts w:ascii="Verdana" w:eastAsia="Calibri" w:hAnsi="Verdana" w:cs="Arial"/>
          <w:sz w:val="20"/>
          <w:szCs w:val="20"/>
          <w:lang w:val="en-US" w:eastAsia="es-MX"/>
        </w:rPr>
      </w:pPr>
      <w:r w:rsidRPr="00EA6C7A">
        <w:rPr>
          <w:rFonts w:ascii="Verdana" w:eastAsia="Batang" w:hAnsi="Verdana"/>
          <w:bCs/>
          <w:sz w:val="20"/>
          <w:szCs w:val="20"/>
          <w:lang w:val="en-US" w:eastAsia="es-MX"/>
        </w:rPr>
        <w:t>In consequence</w:t>
      </w:r>
      <w:r w:rsidR="0017063C" w:rsidRPr="00EA6C7A">
        <w:rPr>
          <w:rFonts w:ascii="Verdana" w:eastAsia="Batang" w:hAnsi="Verdana"/>
          <w:bCs/>
          <w:sz w:val="20"/>
          <w:szCs w:val="20"/>
          <w:lang w:val="en-US" w:eastAsia="es-MX"/>
        </w:rPr>
        <w:t xml:space="preserve">, </w:t>
      </w:r>
      <w:r w:rsidR="0096418F" w:rsidRPr="00EA6C7A">
        <w:rPr>
          <w:rFonts w:ascii="Verdana" w:eastAsia="Batang" w:hAnsi="Verdana"/>
          <w:bCs/>
          <w:sz w:val="20"/>
          <w:szCs w:val="20"/>
          <w:lang w:val="en-US" w:eastAsia="es-MX"/>
        </w:rPr>
        <w:t>the Court</w:t>
      </w:r>
      <w:r w:rsidR="0017063C" w:rsidRPr="00EA6C7A">
        <w:rPr>
          <w:rFonts w:ascii="Verdana" w:eastAsia="Batang" w:hAnsi="Verdana"/>
          <w:bCs/>
          <w:sz w:val="20"/>
          <w:szCs w:val="20"/>
          <w:lang w:val="en-US" w:eastAsia="es-MX"/>
        </w:rPr>
        <w:t xml:space="preserve"> </w:t>
      </w:r>
      <w:r w:rsidRPr="00EA6C7A">
        <w:rPr>
          <w:rFonts w:ascii="Verdana" w:eastAsia="Batang" w:hAnsi="Verdana"/>
          <w:bCs/>
          <w:sz w:val="20"/>
          <w:szCs w:val="20"/>
          <w:lang w:val="en-US" w:eastAsia="es-MX"/>
        </w:rPr>
        <w:t xml:space="preserve">finds that the investigation into the death of </w:t>
      </w:r>
      <w:r w:rsidR="0017063C" w:rsidRPr="00EA6C7A">
        <w:rPr>
          <w:rFonts w:ascii="Verdana" w:eastAsia="Batang" w:hAnsi="Verdana"/>
          <w:bCs/>
          <w:sz w:val="20"/>
          <w:szCs w:val="20"/>
          <w:lang w:val="en-US" w:eastAsia="es-MX"/>
        </w:rPr>
        <w:t xml:space="preserve">Claudina Velásquez </w:t>
      </w:r>
      <w:r w:rsidRPr="00EA6C7A">
        <w:rPr>
          <w:rFonts w:ascii="Verdana" w:eastAsia="Batang" w:hAnsi="Verdana"/>
          <w:bCs/>
          <w:sz w:val="20"/>
          <w:szCs w:val="20"/>
          <w:lang w:val="en-US" w:eastAsia="es-MX"/>
        </w:rPr>
        <w:t xml:space="preserve">was not conducted with a gender perspective in keeping with the special obligations imposed by </w:t>
      </w:r>
      <w:r w:rsidR="0096418F" w:rsidRPr="00EA6C7A">
        <w:rPr>
          <w:rFonts w:ascii="Verdana" w:eastAsia="Batang" w:hAnsi="Verdana"/>
          <w:bCs/>
          <w:sz w:val="20"/>
          <w:szCs w:val="20"/>
          <w:lang w:val="en-US" w:eastAsia="es-MX"/>
        </w:rPr>
        <w:t xml:space="preserve">the </w:t>
      </w:r>
      <w:r w:rsidR="004554C7" w:rsidRPr="00EA6C7A">
        <w:rPr>
          <w:rFonts w:ascii="Verdana" w:eastAsia="Batang" w:hAnsi="Verdana"/>
          <w:bCs/>
          <w:sz w:val="20"/>
          <w:szCs w:val="20"/>
          <w:lang w:val="en-US" w:eastAsia="es-MX"/>
        </w:rPr>
        <w:t>Convention of Belém</w:t>
      </w:r>
      <w:r w:rsidR="0017063C" w:rsidRPr="00EA6C7A">
        <w:rPr>
          <w:rFonts w:ascii="Verdana" w:eastAsia="Batang" w:hAnsi="Verdana"/>
          <w:bCs/>
          <w:sz w:val="20"/>
          <w:szCs w:val="20"/>
          <w:lang w:val="en-US" w:eastAsia="es-MX"/>
        </w:rPr>
        <w:t xml:space="preserve"> do Pará. </w:t>
      </w:r>
      <w:r w:rsidRPr="00EA6C7A">
        <w:rPr>
          <w:rFonts w:ascii="Verdana" w:hAnsi="Verdana"/>
          <w:sz w:val="20"/>
          <w:szCs w:val="20"/>
          <w:lang w:val="en-US"/>
        </w:rPr>
        <w:t xml:space="preserve">As in </w:t>
      </w:r>
      <w:r w:rsidR="007E6E93" w:rsidRPr="00EA6C7A">
        <w:rPr>
          <w:rFonts w:ascii="Verdana" w:hAnsi="Verdana"/>
          <w:sz w:val="20"/>
          <w:szCs w:val="20"/>
          <w:lang w:val="en-US"/>
        </w:rPr>
        <w:t>the case of</w:t>
      </w:r>
      <w:r w:rsidR="001914FC" w:rsidRPr="00EA6C7A">
        <w:rPr>
          <w:rFonts w:ascii="Verdana" w:hAnsi="Verdana"/>
          <w:i/>
          <w:sz w:val="20"/>
          <w:szCs w:val="20"/>
          <w:lang w:val="en-US"/>
        </w:rPr>
        <w:t xml:space="preserve"> </w:t>
      </w:r>
      <w:r w:rsidR="0017063C" w:rsidRPr="00EA6C7A">
        <w:rPr>
          <w:rFonts w:ascii="Verdana" w:hAnsi="Verdana"/>
          <w:i/>
          <w:sz w:val="20"/>
          <w:szCs w:val="20"/>
          <w:lang w:val="en-US"/>
        </w:rPr>
        <w:t xml:space="preserve">Veliz Franco </w:t>
      </w:r>
      <w:r w:rsidR="006A51FD" w:rsidRPr="00EA6C7A">
        <w:rPr>
          <w:rFonts w:ascii="Verdana" w:hAnsi="Verdana"/>
          <w:i/>
          <w:sz w:val="20"/>
          <w:szCs w:val="20"/>
          <w:lang w:val="en-US"/>
        </w:rPr>
        <w:t>et al.</w:t>
      </w:r>
      <w:r w:rsidR="0017063C" w:rsidRPr="00EA6C7A">
        <w:rPr>
          <w:rFonts w:ascii="Verdana" w:hAnsi="Verdana"/>
          <w:sz w:val="20"/>
          <w:szCs w:val="20"/>
          <w:lang w:val="en-US"/>
        </w:rPr>
        <w:t xml:space="preserve">, </w:t>
      </w:r>
      <w:r w:rsidR="0096418F" w:rsidRPr="00EA6C7A">
        <w:rPr>
          <w:rFonts w:ascii="Verdana" w:hAnsi="Verdana"/>
          <w:sz w:val="20"/>
          <w:szCs w:val="20"/>
          <w:lang w:val="en-US"/>
        </w:rPr>
        <w:t>the Court</w:t>
      </w:r>
      <w:r w:rsidR="0017063C" w:rsidRPr="00EA6C7A">
        <w:rPr>
          <w:rFonts w:ascii="Verdana" w:hAnsi="Verdana"/>
          <w:sz w:val="20"/>
          <w:szCs w:val="20"/>
          <w:lang w:val="en-US"/>
        </w:rPr>
        <w:t xml:space="preserve"> </w:t>
      </w:r>
      <w:r w:rsidR="0017063C" w:rsidRPr="00EA6C7A">
        <w:rPr>
          <w:rFonts w:ascii="Verdana" w:hAnsi="Verdana"/>
          <w:sz w:val="20"/>
          <w:szCs w:val="20"/>
          <w:lang w:val="en-US"/>
        </w:rPr>
        <w:lastRenderedPageBreak/>
        <w:t>consider</w:t>
      </w:r>
      <w:r w:rsidRPr="00EA6C7A">
        <w:rPr>
          <w:rFonts w:ascii="Verdana" w:hAnsi="Verdana"/>
          <w:sz w:val="20"/>
          <w:szCs w:val="20"/>
          <w:lang w:val="en-US"/>
        </w:rPr>
        <w:t>s that the State has violated both</w:t>
      </w:r>
      <w:r w:rsidR="0017063C" w:rsidRPr="00EA6C7A">
        <w:rPr>
          <w:rFonts w:ascii="Verdana" w:hAnsi="Verdana"/>
          <w:sz w:val="20"/>
          <w:szCs w:val="20"/>
          <w:lang w:val="en-US"/>
        </w:rPr>
        <w:t xml:space="preserve"> </w:t>
      </w:r>
      <w:r w:rsidR="00515C34" w:rsidRPr="00EA6C7A">
        <w:rPr>
          <w:rFonts w:ascii="Verdana" w:hAnsi="Verdana"/>
          <w:sz w:val="20"/>
          <w:szCs w:val="20"/>
          <w:lang w:val="en-US"/>
        </w:rPr>
        <w:t>the right to</w:t>
      </w:r>
      <w:r w:rsidR="0017063C" w:rsidRPr="00EA6C7A">
        <w:rPr>
          <w:rFonts w:ascii="Verdana" w:hAnsi="Verdana"/>
          <w:sz w:val="20"/>
          <w:szCs w:val="20"/>
          <w:lang w:val="en-US"/>
        </w:rPr>
        <w:t xml:space="preserve"> </w:t>
      </w:r>
      <w:r w:rsidRPr="00EA6C7A">
        <w:rPr>
          <w:rFonts w:ascii="Verdana" w:hAnsi="Verdana"/>
          <w:sz w:val="20"/>
          <w:szCs w:val="20"/>
          <w:lang w:val="en-US"/>
        </w:rPr>
        <w:t xml:space="preserve">equal protection of the law </w:t>
      </w:r>
      <w:r w:rsidR="0017063C" w:rsidRPr="00EA6C7A">
        <w:rPr>
          <w:rFonts w:ascii="Verdana" w:hAnsi="Verdana"/>
          <w:sz w:val="20"/>
          <w:szCs w:val="20"/>
          <w:lang w:val="en-US"/>
        </w:rPr>
        <w:t>(</w:t>
      </w:r>
      <w:r w:rsidR="0096418F" w:rsidRPr="00EA6C7A">
        <w:rPr>
          <w:rFonts w:ascii="Verdana" w:hAnsi="Verdana"/>
          <w:sz w:val="20"/>
          <w:szCs w:val="20"/>
          <w:lang w:val="en-US"/>
        </w:rPr>
        <w:t>Article</w:t>
      </w:r>
      <w:r w:rsidR="0017063C" w:rsidRPr="00EA6C7A">
        <w:rPr>
          <w:rFonts w:ascii="Verdana" w:hAnsi="Verdana"/>
          <w:sz w:val="20"/>
          <w:szCs w:val="20"/>
          <w:lang w:val="en-US"/>
        </w:rPr>
        <w:t xml:space="preserve"> 24) </w:t>
      </w:r>
      <w:r w:rsidRPr="00EA6C7A">
        <w:rPr>
          <w:rFonts w:ascii="Verdana" w:hAnsi="Verdana"/>
          <w:sz w:val="20"/>
          <w:szCs w:val="20"/>
          <w:lang w:val="en-US"/>
        </w:rPr>
        <w:t xml:space="preserve">and the obligation to respect and ensure, without discrimination, the rights recognized in </w:t>
      </w:r>
      <w:r w:rsidR="0096418F" w:rsidRPr="00EA6C7A">
        <w:rPr>
          <w:rFonts w:ascii="Verdana" w:hAnsi="Verdana"/>
          <w:sz w:val="20"/>
          <w:szCs w:val="20"/>
          <w:lang w:val="en-US"/>
        </w:rPr>
        <w:t>the American Convention</w:t>
      </w:r>
      <w:r w:rsidR="0017063C" w:rsidRPr="00EA6C7A">
        <w:rPr>
          <w:rFonts w:ascii="Verdana" w:hAnsi="Verdana"/>
          <w:sz w:val="20"/>
          <w:szCs w:val="20"/>
          <w:lang w:val="en-US"/>
        </w:rPr>
        <w:t xml:space="preserve"> (</w:t>
      </w:r>
      <w:r w:rsidR="00515C34" w:rsidRPr="00EA6C7A">
        <w:rPr>
          <w:rFonts w:ascii="Verdana" w:hAnsi="Verdana"/>
          <w:sz w:val="20"/>
          <w:szCs w:val="20"/>
          <w:lang w:val="en-US"/>
        </w:rPr>
        <w:t>Article 1(1)</w:t>
      </w:r>
      <w:r w:rsidR="0017063C" w:rsidRPr="00EA6C7A">
        <w:rPr>
          <w:rFonts w:ascii="Verdana" w:hAnsi="Verdana"/>
          <w:sz w:val="20"/>
          <w:szCs w:val="20"/>
          <w:lang w:val="en-US"/>
        </w:rPr>
        <w:t xml:space="preserve">), </w:t>
      </w:r>
      <w:r w:rsidRPr="00EA6C7A">
        <w:rPr>
          <w:rFonts w:ascii="Verdana" w:hAnsi="Verdana"/>
          <w:sz w:val="20"/>
          <w:szCs w:val="20"/>
          <w:lang w:val="en-US"/>
        </w:rPr>
        <w:t xml:space="preserve">because the facts of this case encompass both types of discrimination and, therefore, </w:t>
      </w:r>
      <w:r w:rsidR="001D2041" w:rsidRPr="00EA6C7A">
        <w:rPr>
          <w:rFonts w:ascii="Verdana" w:hAnsi="Verdana"/>
          <w:sz w:val="20"/>
          <w:szCs w:val="20"/>
          <w:lang w:val="en-US"/>
        </w:rPr>
        <w:t>no</w:t>
      </w:r>
      <w:r w:rsidRPr="00EA6C7A">
        <w:rPr>
          <w:rFonts w:ascii="Verdana" w:hAnsi="Verdana"/>
          <w:sz w:val="20"/>
          <w:szCs w:val="20"/>
          <w:lang w:val="en-US"/>
        </w:rPr>
        <w:t xml:space="preserve"> distinction</w:t>
      </w:r>
      <w:r w:rsidR="001D2041" w:rsidRPr="00EA6C7A">
        <w:rPr>
          <w:rFonts w:ascii="Verdana" w:hAnsi="Verdana"/>
          <w:sz w:val="20"/>
          <w:szCs w:val="20"/>
          <w:lang w:val="en-US"/>
        </w:rPr>
        <w:t xml:space="preserve"> need be made</w:t>
      </w:r>
      <w:r w:rsidR="0017063C" w:rsidRPr="00EA6C7A">
        <w:rPr>
          <w:rFonts w:ascii="Verdana" w:hAnsi="Verdana"/>
          <w:sz w:val="20"/>
          <w:szCs w:val="20"/>
          <w:lang w:val="en-US"/>
        </w:rPr>
        <w:t>.</w:t>
      </w:r>
      <w:r w:rsidR="0017063C" w:rsidRPr="00EA6C7A">
        <w:rPr>
          <w:rFonts w:ascii="Verdana" w:eastAsia="Batang" w:hAnsi="Verdana"/>
          <w:bCs/>
          <w:sz w:val="20"/>
          <w:szCs w:val="20"/>
          <w:lang w:val="en-US" w:eastAsia="es-MX"/>
        </w:rPr>
        <w:t xml:space="preserve"> </w:t>
      </w:r>
    </w:p>
    <w:p w14:paraId="47DF8985" w14:textId="77777777" w:rsidR="0017063C" w:rsidRPr="00EA6C7A" w:rsidRDefault="0017063C" w:rsidP="0017063C">
      <w:pPr>
        <w:spacing w:after="0" w:line="240" w:lineRule="auto"/>
        <w:contextualSpacing/>
        <w:rPr>
          <w:rFonts w:ascii="Verdana" w:hAnsi="Verdana"/>
          <w:sz w:val="20"/>
          <w:szCs w:val="20"/>
          <w:lang w:val="en-US" w:eastAsia="es-MX"/>
        </w:rPr>
      </w:pPr>
    </w:p>
    <w:p w14:paraId="65AB9B9D" w14:textId="77777777" w:rsidR="0017063C" w:rsidRPr="00EA6C7A" w:rsidRDefault="0017063C" w:rsidP="0017063C">
      <w:pPr>
        <w:pStyle w:val="Sentencia2"/>
        <w:rPr>
          <w:lang w:val="en-US" w:eastAsia="es-MX"/>
        </w:rPr>
      </w:pPr>
      <w:bookmarkStart w:id="78" w:name="_Toc26002325"/>
      <w:r w:rsidRPr="00EA6C7A">
        <w:rPr>
          <w:lang w:val="en-US" w:eastAsia="es-MX"/>
        </w:rPr>
        <w:t xml:space="preserve">B.4. </w:t>
      </w:r>
      <w:r w:rsidR="00951B49" w:rsidRPr="00EA6C7A">
        <w:rPr>
          <w:lang w:val="en-US" w:eastAsia="es-MX"/>
        </w:rPr>
        <w:t>General conclusion</w:t>
      </w:r>
      <w:bookmarkEnd w:id="78"/>
      <w:r w:rsidRPr="00EA6C7A">
        <w:rPr>
          <w:lang w:val="en-US" w:eastAsia="es-MX"/>
        </w:rPr>
        <w:t xml:space="preserve"> </w:t>
      </w:r>
    </w:p>
    <w:p w14:paraId="037DD03F" w14:textId="77777777" w:rsidR="0017063C" w:rsidRPr="00EA6C7A" w:rsidRDefault="0017063C" w:rsidP="0017063C">
      <w:pPr>
        <w:autoSpaceDE w:val="0"/>
        <w:autoSpaceDN w:val="0"/>
        <w:adjustRightInd w:val="0"/>
        <w:spacing w:after="0" w:line="240" w:lineRule="auto"/>
        <w:jc w:val="both"/>
        <w:rPr>
          <w:rFonts w:ascii="Verdana" w:eastAsia="Calibri" w:hAnsi="Verdana" w:cs="Arial"/>
          <w:sz w:val="20"/>
          <w:szCs w:val="20"/>
          <w:lang w:val="en-US"/>
        </w:rPr>
      </w:pPr>
    </w:p>
    <w:p w14:paraId="0CAABE2E" w14:textId="77777777" w:rsidR="0017063C" w:rsidRPr="00EA6C7A" w:rsidRDefault="0096418F" w:rsidP="00B64FA0">
      <w:pPr>
        <w:numPr>
          <w:ilvl w:val="0"/>
          <w:numId w:val="3"/>
        </w:numPr>
        <w:tabs>
          <w:tab w:val="left" w:pos="720"/>
        </w:tabs>
        <w:spacing w:after="0" w:line="240" w:lineRule="auto"/>
        <w:ind w:left="0" w:firstLine="0"/>
        <w:jc w:val="both"/>
        <w:rPr>
          <w:rFonts w:ascii="Verdana" w:eastAsia="Calibri" w:hAnsi="Verdana" w:cs="Arial"/>
          <w:sz w:val="20"/>
          <w:szCs w:val="20"/>
          <w:lang w:val="en-US" w:eastAsia="es-MX"/>
        </w:rPr>
      </w:pPr>
      <w:r w:rsidRPr="00EA6C7A">
        <w:rPr>
          <w:rFonts w:ascii="Verdana" w:eastAsia="Batang" w:hAnsi="Verdana" w:cs="Arial"/>
          <w:sz w:val="20"/>
          <w:szCs w:val="20"/>
          <w:lang w:val="en-US" w:eastAsia="es-MX"/>
        </w:rPr>
        <w:t>The Court</w:t>
      </w:r>
      <w:r w:rsidR="0017063C" w:rsidRPr="00EA6C7A">
        <w:rPr>
          <w:rFonts w:ascii="Verdana" w:eastAsia="Batang" w:hAnsi="Verdana" w:cs="Arial"/>
          <w:sz w:val="20"/>
          <w:szCs w:val="20"/>
          <w:lang w:val="en-US" w:eastAsia="es-MX"/>
        </w:rPr>
        <w:t xml:space="preserve"> consider</w:t>
      </w:r>
      <w:r w:rsidR="00B64FA0" w:rsidRPr="00EA6C7A">
        <w:rPr>
          <w:rFonts w:ascii="Verdana" w:eastAsia="Batang" w:hAnsi="Verdana" w:cs="Arial"/>
          <w:sz w:val="20"/>
          <w:szCs w:val="20"/>
          <w:lang w:val="en-US" w:eastAsia="es-MX"/>
        </w:rPr>
        <w:t xml:space="preserve">s that, in this case, the State failed to comply with its obligation to investigate the violent death of </w:t>
      </w:r>
      <w:r w:rsidR="00B64FA0" w:rsidRPr="00EA6C7A">
        <w:rPr>
          <w:rFonts w:ascii="Verdana" w:eastAsia="Calibri" w:hAnsi="Verdana" w:cs="Arial"/>
          <w:sz w:val="20"/>
          <w:szCs w:val="20"/>
          <w:lang w:val="en-US" w:eastAsia="es-MX"/>
        </w:rPr>
        <w:t>Claudina Velásquez as a possible expression of gender-based violence and with a gender approach. Also, the existence of gender stereotyping and prejudices</w:t>
      </w:r>
      <w:r w:rsidR="001D2041" w:rsidRPr="00EA6C7A">
        <w:rPr>
          <w:rFonts w:ascii="Verdana" w:eastAsia="Calibri" w:hAnsi="Verdana" w:cs="Arial"/>
          <w:sz w:val="20"/>
          <w:szCs w:val="20"/>
          <w:lang w:val="en-US" w:eastAsia="es-MX"/>
        </w:rPr>
        <w:t>,</w:t>
      </w:r>
      <w:r w:rsidR="00B64FA0" w:rsidRPr="00EA6C7A">
        <w:rPr>
          <w:rFonts w:ascii="Verdana" w:eastAsia="Calibri" w:hAnsi="Verdana" w:cs="Arial"/>
          <w:sz w:val="20"/>
          <w:szCs w:val="20"/>
          <w:lang w:val="en-US" w:eastAsia="es-MX"/>
        </w:rPr>
        <w:t xml:space="preserve"> owing to which </w:t>
      </w:r>
      <w:r w:rsidR="00B64FA0" w:rsidRPr="00EA6C7A">
        <w:rPr>
          <w:rFonts w:ascii="Verdana" w:eastAsia="Batang" w:hAnsi="Verdana"/>
          <w:sz w:val="20"/>
          <w:szCs w:val="20"/>
          <w:lang w:val="en-US" w:eastAsia="es-MX"/>
        </w:rPr>
        <w:t>Claudina Isabel Velásquez Paiz was considered a person whose death did not deserve to be investigated</w:t>
      </w:r>
      <w:r w:rsidR="001D2041" w:rsidRPr="00EA6C7A">
        <w:rPr>
          <w:rFonts w:ascii="Verdana" w:eastAsia="Batang" w:hAnsi="Verdana"/>
          <w:sz w:val="20"/>
          <w:szCs w:val="20"/>
          <w:lang w:val="en-US" w:eastAsia="es-MX"/>
        </w:rPr>
        <w:t>,</w:t>
      </w:r>
      <w:r w:rsidR="00B64FA0" w:rsidRPr="00EA6C7A">
        <w:rPr>
          <w:rFonts w:ascii="Verdana" w:eastAsia="Batang" w:hAnsi="Verdana"/>
          <w:sz w:val="20"/>
          <w:szCs w:val="20"/>
          <w:lang w:val="en-US" w:eastAsia="es-MX"/>
        </w:rPr>
        <w:t xml:space="preserve"> resulted in the failure to investigate the case diligently and thoroughly. This constituted violence against women and a form of gender-based discrimination in access to justice</w:t>
      </w:r>
      <w:r w:rsidR="0017063C" w:rsidRPr="00EA6C7A">
        <w:rPr>
          <w:rFonts w:ascii="Verdana" w:eastAsia="Batang" w:hAnsi="Verdana"/>
          <w:sz w:val="20"/>
          <w:szCs w:val="20"/>
          <w:lang w:val="en-US" w:eastAsia="es-MX"/>
        </w:rPr>
        <w:t xml:space="preserve">. </w:t>
      </w:r>
    </w:p>
    <w:p w14:paraId="0D4EB485" w14:textId="77777777" w:rsidR="0017063C" w:rsidRPr="00EA6C7A" w:rsidRDefault="0017063C" w:rsidP="00B64FA0">
      <w:pPr>
        <w:tabs>
          <w:tab w:val="left" w:pos="720"/>
        </w:tabs>
        <w:autoSpaceDE w:val="0"/>
        <w:autoSpaceDN w:val="0"/>
        <w:adjustRightInd w:val="0"/>
        <w:spacing w:after="0" w:line="240" w:lineRule="auto"/>
        <w:jc w:val="both"/>
        <w:rPr>
          <w:rFonts w:ascii="Verdana" w:eastAsia="Calibri" w:hAnsi="Verdana" w:cs="Arial"/>
          <w:sz w:val="20"/>
          <w:szCs w:val="20"/>
          <w:lang w:val="en-US"/>
        </w:rPr>
      </w:pPr>
    </w:p>
    <w:p w14:paraId="1F700293" w14:textId="77777777" w:rsidR="0017063C" w:rsidRPr="00EA6C7A" w:rsidRDefault="00B64FA0" w:rsidP="00455D0E">
      <w:pPr>
        <w:numPr>
          <w:ilvl w:val="0"/>
          <w:numId w:val="3"/>
        </w:numPr>
        <w:tabs>
          <w:tab w:val="left" w:pos="720"/>
        </w:tabs>
        <w:autoSpaceDE w:val="0"/>
        <w:autoSpaceDN w:val="0"/>
        <w:adjustRightInd w:val="0"/>
        <w:spacing w:after="0" w:line="240" w:lineRule="auto"/>
        <w:ind w:left="0" w:firstLine="0"/>
        <w:jc w:val="both"/>
        <w:rPr>
          <w:rFonts w:ascii="Verdana" w:eastAsia="Calibri" w:hAnsi="Verdana" w:cs="Arial"/>
          <w:sz w:val="20"/>
          <w:szCs w:val="20"/>
          <w:lang w:val="en-US"/>
        </w:rPr>
      </w:pPr>
      <w:r w:rsidRPr="00EA6C7A">
        <w:rPr>
          <w:rFonts w:ascii="Verdana" w:eastAsia="Batang" w:hAnsi="Verdana"/>
          <w:sz w:val="20"/>
          <w:szCs w:val="20"/>
          <w:lang w:val="en-US" w:eastAsia="es-MX"/>
        </w:rPr>
        <w:t xml:space="preserve">In the instant case, the Court </w:t>
      </w:r>
      <w:r w:rsidR="001D2041" w:rsidRPr="00EA6C7A">
        <w:rPr>
          <w:rFonts w:ascii="Verdana" w:eastAsia="Batang" w:hAnsi="Verdana"/>
          <w:sz w:val="20"/>
          <w:szCs w:val="20"/>
          <w:lang w:val="en-US" w:eastAsia="es-MX"/>
        </w:rPr>
        <w:t xml:space="preserve">has </w:t>
      </w:r>
      <w:r w:rsidRPr="00EA6C7A">
        <w:rPr>
          <w:rFonts w:ascii="Verdana" w:eastAsia="Batang" w:hAnsi="Verdana"/>
          <w:sz w:val="20"/>
          <w:szCs w:val="20"/>
          <w:lang w:val="en-US" w:eastAsia="es-MX"/>
        </w:rPr>
        <w:t xml:space="preserve">noted that the crime scene was not processed appropriately or with the thoroughness required to achieve positive results in the investigation; there was a failure to gather, record and preserve evidence, and irregularities were committed in the forensic medical examination, as well as in the autopsy and its respective report. </w:t>
      </w:r>
      <w:r w:rsidR="00803DD4" w:rsidRPr="00EA6C7A">
        <w:rPr>
          <w:rFonts w:ascii="Verdana" w:eastAsia="Batang" w:hAnsi="Verdana"/>
          <w:sz w:val="20"/>
          <w:szCs w:val="20"/>
          <w:lang w:val="en-US" w:eastAsia="es-MX"/>
        </w:rPr>
        <w:t>T</w:t>
      </w:r>
      <w:r w:rsidRPr="00EA6C7A">
        <w:rPr>
          <w:rFonts w:ascii="Verdana" w:eastAsia="Batang" w:hAnsi="Verdana"/>
          <w:sz w:val="20"/>
          <w:szCs w:val="20"/>
          <w:lang w:val="en-US" w:eastAsia="es-MX"/>
        </w:rPr>
        <w:t xml:space="preserve">hese </w:t>
      </w:r>
      <w:r w:rsidR="00803DD4" w:rsidRPr="00EA6C7A">
        <w:rPr>
          <w:rFonts w:ascii="Verdana" w:eastAsia="Batang" w:hAnsi="Verdana"/>
          <w:sz w:val="20"/>
          <w:szCs w:val="20"/>
          <w:lang w:val="en-US" w:eastAsia="es-MX"/>
        </w:rPr>
        <w:t>deficiencies</w:t>
      </w:r>
      <w:r w:rsidRPr="00EA6C7A">
        <w:rPr>
          <w:rFonts w:ascii="Verdana" w:eastAsia="Batang" w:hAnsi="Verdana"/>
          <w:sz w:val="20"/>
          <w:szCs w:val="20"/>
          <w:lang w:val="en-US" w:eastAsia="es-MX"/>
        </w:rPr>
        <w:t xml:space="preserve"> in the initial investigation procedures</w:t>
      </w:r>
      <w:r w:rsidR="00803DD4" w:rsidRPr="00EA6C7A">
        <w:rPr>
          <w:rFonts w:ascii="Verdana" w:eastAsia="Batang" w:hAnsi="Verdana"/>
          <w:sz w:val="20"/>
          <w:szCs w:val="20"/>
          <w:lang w:val="en-US" w:eastAsia="es-MX"/>
        </w:rPr>
        <w:t xml:space="preserve"> are almost impossible to rectify</w:t>
      </w:r>
      <w:r w:rsidRPr="00EA6C7A">
        <w:rPr>
          <w:rFonts w:ascii="Verdana" w:eastAsia="Batang" w:hAnsi="Verdana"/>
          <w:sz w:val="20"/>
          <w:szCs w:val="20"/>
          <w:lang w:val="en-US" w:eastAsia="es-MX"/>
        </w:rPr>
        <w:t xml:space="preserve">, added to the loss of evidence that was irreparable. In addition, investigation procedures have been belated </w:t>
      </w:r>
      <w:r w:rsidR="00803DD4" w:rsidRPr="00EA6C7A">
        <w:rPr>
          <w:rFonts w:ascii="Verdana" w:eastAsia="Batang" w:hAnsi="Verdana"/>
          <w:sz w:val="20"/>
          <w:szCs w:val="20"/>
          <w:lang w:val="en-US" w:eastAsia="es-MX"/>
        </w:rPr>
        <w:t xml:space="preserve">and </w:t>
      </w:r>
      <w:r w:rsidRPr="00EA6C7A">
        <w:rPr>
          <w:rFonts w:ascii="Verdana" w:eastAsia="Batang" w:hAnsi="Verdana"/>
          <w:sz w:val="20"/>
          <w:szCs w:val="20"/>
          <w:lang w:val="en-US" w:eastAsia="es-MX"/>
        </w:rPr>
        <w:t>repetitive and have extended over time</w:t>
      </w:r>
      <w:r w:rsidR="00803DD4" w:rsidRPr="00EA6C7A">
        <w:rPr>
          <w:rFonts w:ascii="Verdana" w:eastAsia="Batang" w:hAnsi="Verdana"/>
          <w:sz w:val="20"/>
          <w:szCs w:val="20"/>
          <w:lang w:val="en-US" w:eastAsia="es-MX"/>
        </w:rPr>
        <w:t>; also</w:t>
      </w:r>
      <w:r w:rsidRPr="00EA6C7A">
        <w:rPr>
          <w:rFonts w:ascii="Verdana" w:eastAsia="Batang" w:hAnsi="Verdana"/>
          <w:sz w:val="20"/>
          <w:szCs w:val="20"/>
          <w:lang w:val="en-US" w:eastAsia="es-MX"/>
        </w:rPr>
        <w:t xml:space="preserve">, it is not clear why </w:t>
      </w:r>
      <w:r w:rsidR="00803DD4" w:rsidRPr="00EA6C7A">
        <w:rPr>
          <w:rFonts w:ascii="Verdana" w:eastAsia="Batang" w:hAnsi="Verdana"/>
          <w:sz w:val="20"/>
          <w:szCs w:val="20"/>
          <w:lang w:val="en-US" w:eastAsia="es-MX"/>
        </w:rPr>
        <w:t>some of them</w:t>
      </w:r>
      <w:r w:rsidRPr="00EA6C7A">
        <w:rPr>
          <w:rFonts w:ascii="Verdana" w:eastAsia="Batang" w:hAnsi="Verdana"/>
          <w:sz w:val="20"/>
          <w:szCs w:val="20"/>
          <w:lang w:val="en-US" w:eastAsia="es-MX"/>
        </w:rPr>
        <w:t xml:space="preserve"> were </w:t>
      </w:r>
      <w:r w:rsidR="00444A4F" w:rsidRPr="00EA6C7A">
        <w:rPr>
          <w:rFonts w:ascii="Verdana" w:eastAsia="Batang" w:hAnsi="Verdana"/>
          <w:sz w:val="20"/>
          <w:szCs w:val="20"/>
          <w:lang w:val="en-US" w:eastAsia="es-MX"/>
        </w:rPr>
        <w:t xml:space="preserve">carried out. Also, appropriate lines of investigation were not followed. These </w:t>
      </w:r>
      <w:r w:rsidR="00803DD4" w:rsidRPr="00EA6C7A">
        <w:rPr>
          <w:rFonts w:ascii="Verdana" w:eastAsia="Batang" w:hAnsi="Verdana"/>
          <w:sz w:val="20"/>
          <w:szCs w:val="20"/>
          <w:lang w:val="en-US" w:eastAsia="es-MX"/>
        </w:rPr>
        <w:t>flaws</w:t>
      </w:r>
      <w:r w:rsidR="00444A4F" w:rsidRPr="00EA6C7A">
        <w:rPr>
          <w:rFonts w:ascii="Verdana" w:eastAsia="Batang" w:hAnsi="Verdana"/>
          <w:sz w:val="20"/>
          <w:szCs w:val="20"/>
          <w:lang w:val="en-US" w:eastAsia="es-MX"/>
        </w:rPr>
        <w:t xml:space="preserve"> in the investigation are a direct result of the stereotyped appraisal that the investigating authorities made of the victim and of the absence of a gender perspective in the investigation. Thus, more than 10 years since the facts of the case and since the investigation was opened, the death of </w:t>
      </w:r>
      <w:r w:rsidR="0017063C" w:rsidRPr="00EA6C7A">
        <w:rPr>
          <w:rFonts w:ascii="Verdana" w:eastAsia="Batang" w:hAnsi="Verdana" w:cs="Arial"/>
          <w:sz w:val="20"/>
          <w:szCs w:val="20"/>
          <w:lang w:val="en-US" w:eastAsia="es-MX"/>
        </w:rPr>
        <w:t>Claudina Velásquez</w:t>
      </w:r>
      <w:r w:rsidR="00444A4F" w:rsidRPr="00EA6C7A">
        <w:rPr>
          <w:rFonts w:ascii="Verdana" w:eastAsia="Batang" w:hAnsi="Verdana" w:cs="Arial"/>
          <w:sz w:val="20"/>
          <w:szCs w:val="20"/>
          <w:lang w:val="en-US" w:eastAsia="es-MX"/>
        </w:rPr>
        <w:t xml:space="preserve"> remains in absolute impunity, </w:t>
      </w:r>
      <w:r w:rsidR="00803DD4" w:rsidRPr="00EA6C7A">
        <w:rPr>
          <w:rFonts w:ascii="Verdana" w:eastAsia="Batang" w:hAnsi="Verdana" w:cs="Arial"/>
          <w:sz w:val="20"/>
          <w:szCs w:val="20"/>
          <w:lang w:val="en-US" w:eastAsia="es-MX"/>
        </w:rPr>
        <w:t>over and above</w:t>
      </w:r>
      <w:r w:rsidR="00444A4F" w:rsidRPr="00EA6C7A">
        <w:rPr>
          <w:rFonts w:ascii="Verdana" w:eastAsia="Batang" w:hAnsi="Verdana" w:cs="Arial"/>
          <w:sz w:val="20"/>
          <w:szCs w:val="20"/>
          <w:lang w:val="en-US" w:eastAsia="es-MX"/>
        </w:rPr>
        <w:t xml:space="preserve"> any reasonable time. </w:t>
      </w:r>
    </w:p>
    <w:p w14:paraId="271F73FB" w14:textId="77777777" w:rsidR="00444A4F" w:rsidRPr="00EA6C7A" w:rsidRDefault="00444A4F" w:rsidP="00444A4F">
      <w:pPr>
        <w:tabs>
          <w:tab w:val="left" w:pos="720"/>
        </w:tabs>
        <w:autoSpaceDE w:val="0"/>
        <w:autoSpaceDN w:val="0"/>
        <w:adjustRightInd w:val="0"/>
        <w:spacing w:after="0" w:line="240" w:lineRule="auto"/>
        <w:jc w:val="both"/>
        <w:rPr>
          <w:rFonts w:ascii="Verdana" w:eastAsia="Calibri" w:hAnsi="Verdana" w:cs="Arial"/>
          <w:sz w:val="20"/>
          <w:szCs w:val="20"/>
          <w:lang w:val="en-US"/>
        </w:rPr>
      </w:pPr>
    </w:p>
    <w:p w14:paraId="7CB12EF5" w14:textId="77777777" w:rsidR="0017063C" w:rsidRPr="00EA6C7A" w:rsidRDefault="00444A4F" w:rsidP="00B64FA0">
      <w:pPr>
        <w:numPr>
          <w:ilvl w:val="0"/>
          <w:numId w:val="3"/>
        </w:numPr>
        <w:tabs>
          <w:tab w:val="left" w:pos="720"/>
        </w:tabs>
        <w:spacing w:after="0" w:line="240" w:lineRule="auto"/>
        <w:ind w:left="0" w:firstLine="0"/>
        <w:jc w:val="both"/>
        <w:rPr>
          <w:rFonts w:ascii="Verdana" w:eastAsia="Batang" w:hAnsi="Verdana" w:cs="Times"/>
          <w:b/>
          <w:sz w:val="20"/>
          <w:szCs w:val="20"/>
          <w:u w:val="single"/>
          <w:lang w:val="en-US"/>
        </w:rPr>
      </w:pPr>
      <w:r w:rsidRPr="00EA6C7A">
        <w:rPr>
          <w:rFonts w:ascii="Verdana" w:eastAsia="Batang" w:hAnsi="Verdana" w:cs="Times"/>
          <w:sz w:val="20"/>
          <w:szCs w:val="20"/>
          <w:lang w:val="en-US"/>
        </w:rPr>
        <w:t xml:space="preserve">Based on the </w:t>
      </w:r>
      <w:r w:rsidR="00803DD4" w:rsidRPr="00EA6C7A">
        <w:rPr>
          <w:rFonts w:ascii="Verdana" w:eastAsia="Batang" w:hAnsi="Verdana" w:cs="Times"/>
          <w:sz w:val="20"/>
          <w:szCs w:val="20"/>
          <w:lang w:val="en-US"/>
        </w:rPr>
        <w:t>foregoing</w:t>
      </w:r>
      <w:r w:rsidR="00505396" w:rsidRPr="00EA6C7A">
        <w:rPr>
          <w:rFonts w:ascii="Verdana" w:eastAsia="Batang" w:hAnsi="Verdana" w:cs="Times"/>
          <w:sz w:val="20"/>
          <w:szCs w:val="20"/>
          <w:lang w:val="en-US"/>
        </w:rPr>
        <w:t xml:space="preserve">, </w:t>
      </w:r>
      <w:r w:rsidR="002F3848" w:rsidRPr="00EA6C7A">
        <w:rPr>
          <w:rFonts w:ascii="Verdana" w:eastAsia="Batang" w:hAnsi="Verdana" w:cs="Times"/>
          <w:sz w:val="20"/>
          <w:szCs w:val="20"/>
          <w:lang w:val="en-US"/>
        </w:rPr>
        <w:t>the State</w:t>
      </w:r>
      <w:r w:rsidR="0017063C" w:rsidRPr="00EA6C7A">
        <w:rPr>
          <w:rFonts w:ascii="Verdana" w:eastAsia="Batang" w:hAnsi="Verdana" w:cs="Times"/>
          <w:sz w:val="20"/>
          <w:szCs w:val="20"/>
          <w:lang w:val="en-US"/>
        </w:rPr>
        <w:t xml:space="preserve"> viol</w:t>
      </w:r>
      <w:r w:rsidRPr="00EA6C7A">
        <w:rPr>
          <w:rFonts w:ascii="Verdana" w:eastAsia="Batang" w:hAnsi="Verdana" w:cs="Times"/>
          <w:sz w:val="20"/>
          <w:szCs w:val="20"/>
          <w:lang w:val="en-US"/>
        </w:rPr>
        <w:t>ated the r</w:t>
      </w:r>
      <w:r w:rsidR="00F4629D" w:rsidRPr="00EA6C7A">
        <w:rPr>
          <w:rFonts w:ascii="Verdana" w:eastAsia="Batang" w:hAnsi="Verdana" w:cs="Times"/>
          <w:sz w:val="20"/>
          <w:szCs w:val="20"/>
          <w:lang w:val="en-US"/>
        </w:rPr>
        <w:t>ights to judicial guarantees</w:t>
      </w:r>
      <w:r w:rsidR="00D948A1" w:rsidRPr="00EA6C7A">
        <w:rPr>
          <w:rFonts w:ascii="Verdana" w:eastAsia="Batang" w:hAnsi="Verdana" w:cs="Times"/>
          <w:sz w:val="20"/>
          <w:szCs w:val="20"/>
          <w:lang w:val="en-US"/>
        </w:rPr>
        <w:t xml:space="preserve"> and </w:t>
      </w:r>
      <w:r w:rsidR="00F4629D" w:rsidRPr="00EA6C7A">
        <w:rPr>
          <w:rFonts w:ascii="Verdana" w:eastAsia="Batang" w:hAnsi="Verdana" w:cs="Times"/>
          <w:sz w:val="20"/>
          <w:szCs w:val="20"/>
          <w:lang w:val="en-US"/>
        </w:rPr>
        <w:t>judicial protection</w:t>
      </w:r>
      <w:r w:rsidR="0017063C" w:rsidRPr="00EA6C7A">
        <w:rPr>
          <w:rFonts w:ascii="Verdana" w:eastAsia="Batang" w:hAnsi="Verdana" w:cs="Times"/>
          <w:sz w:val="20"/>
          <w:szCs w:val="20"/>
          <w:lang w:val="en-US"/>
        </w:rPr>
        <w:t xml:space="preserve"> </w:t>
      </w:r>
      <w:r w:rsidRPr="00EA6C7A">
        <w:rPr>
          <w:rFonts w:ascii="Verdana" w:eastAsia="Batang" w:hAnsi="Verdana" w:cs="Times"/>
          <w:sz w:val="20"/>
          <w:szCs w:val="20"/>
          <w:lang w:val="en-US"/>
        </w:rPr>
        <w:t>recognized in</w:t>
      </w:r>
      <w:r w:rsidR="0017063C" w:rsidRPr="00EA6C7A">
        <w:rPr>
          <w:rFonts w:ascii="Verdana" w:eastAsia="Batang" w:hAnsi="Verdana" w:cs="Times"/>
          <w:sz w:val="20"/>
          <w:szCs w:val="20"/>
          <w:lang w:val="en-US"/>
        </w:rPr>
        <w:t xml:space="preserve"> </w:t>
      </w:r>
      <w:r w:rsidR="00515C34" w:rsidRPr="00EA6C7A">
        <w:rPr>
          <w:rFonts w:ascii="Verdana" w:eastAsia="Batang" w:hAnsi="Verdana" w:cs="Times"/>
          <w:sz w:val="20"/>
          <w:szCs w:val="20"/>
          <w:lang w:val="en-US"/>
        </w:rPr>
        <w:t>Articles 8(1)</w:t>
      </w:r>
      <w:r w:rsidR="00D948A1" w:rsidRPr="00EA6C7A">
        <w:rPr>
          <w:rFonts w:ascii="Verdana" w:eastAsia="Batang" w:hAnsi="Verdana" w:cs="Times"/>
          <w:sz w:val="20"/>
          <w:szCs w:val="20"/>
          <w:lang w:val="en-US"/>
        </w:rPr>
        <w:t xml:space="preserve"> and </w:t>
      </w:r>
      <w:r w:rsidR="00715B6F" w:rsidRPr="00EA6C7A">
        <w:rPr>
          <w:rFonts w:ascii="Verdana" w:eastAsia="Batang" w:hAnsi="Verdana" w:cs="Times"/>
          <w:sz w:val="20"/>
          <w:szCs w:val="20"/>
          <w:lang w:val="en-US"/>
        </w:rPr>
        <w:t>25(1)</w:t>
      </w:r>
      <w:r w:rsidR="0096418F" w:rsidRPr="00EA6C7A">
        <w:rPr>
          <w:rFonts w:ascii="Verdana" w:eastAsia="Batang" w:hAnsi="Verdana" w:cs="Times"/>
          <w:sz w:val="20"/>
          <w:szCs w:val="20"/>
          <w:lang w:val="en-US"/>
        </w:rPr>
        <w:t xml:space="preserve"> of the American Convention on Human Rights</w:t>
      </w:r>
      <w:r w:rsidR="0017063C" w:rsidRPr="00EA6C7A">
        <w:rPr>
          <w:rFonts w:ascii="Verdana" w:eastAsia="Batang" w:hAnsi="Verdana" w:cs="Times"/>
          <w:sz w:val="20"/>
          <w:szCs w:val="20"/>
          <w:lang w:val="en-US"/>
        </w:rPr>
        <w:t>,</w:t>
      </w:r>
      <w:r w:rsidR="00D948A1" w:rsidRPr="00EA6C7A">
        <w:rPr>
          <w:rFonts w:ascii="Verdana" w:eastAsia="Batang" w:hAnsi="Verdana" w:cs="Times"/>
          <w:sz w:val="20"/>
          <w:szCs w:val="20"/>
          <w:lang w:val="en-US"/>
        </w:rPr>
        <w:t xml:space="preserve"> and </w:t>
      </w:r>
      <w:r w:rsidR="00515C34" w:rsidRPr="00EA6C7A">
        <w:rPr>
          <w:rFonts w:ascii="Verdana" w:eastAsia="Batang" w:hAnsi="Verdana" w:cs="Times"/>
          <w:sz w:val="20"/>
          <w:szCs w:val="20"/>
          <w:lang w:val="en-US"/>
        </w:rPr>
        <w:t>the right to</w:t>
      </w:r>
      <w:r w:rsidR="0017063C" w:rsidRPr="00EA6C7A">
        <w:rPr>
          <w:rFonts w:ascii="Verdana" w:eastAsia="Batang" w:hAnsi="Verdana" w:cs="Times"/>
          <w:sz w:val="20"/>
          <w:szCs w:val="20"/>
          <w:lang w:val="en-US"/>
        </w:rPr>
        <w:t xml:space="preserve"> </w:t>
      </w:r>
      <w:r w:rsidR="002D218C" w:rsidRPr="00EA6C7A">
        <w:rPr>
          <w:rFonts w:ascii="Verdana" w:eastAsia="Batang" w:hAnsi="Verdana" w:cs="Times"/>
          <w:sz w:val="20"/>
          <w:szCs w:val="20"/>
          <w:lang w:val="en-US"/>
        </w:rPr>
        <w:t>equality before the law</w:t>
      </w:r>
      <w:r w:rsidR="0017063C" w:rsidRPr="00EA6C7A">
        <w:rPr>
          <w:rFonts w:ascii="Verdana" w:eastAsia="Batang" w:hAnsi="Verdana" w:cs="Times"/>
          <w:sz w:val="20"/>
          <w:szCs w:val="20"/>
          <w:lang w:val="en-US"/>
        </w:rPr>
        <w:t xml:space="preserve"> </w:t>
      </w:r>
      <w:r w:rsidRPr="00EA6C7A">
        <w:rPr>
          <w:rFonts w:ascii="Verdana" w:eastAsia="Batang" w:hAnsi="Verdana" w:cs="Times"/>
          <w:sz w:val="20"/>
          <w:szCs w:val="20"/>
          <w:lang w:val="en-US"/>
        </w:rPr>
        <w:t>recognized in</w:t>
      </w:r>
      <w:r w:rsidR="0017063C" w:rsidRPr="00EA6C7A">
        <w:rPr>
          <w:rFonts w:ascii="Verdana" w:eastAsia="Batang" w:hAnsi="Verdana" w:cs="Times"/>
          <w:sz w:val="20"/>
          <w:szCs w:val="20"/>
          <w:lang w:val="en-US"/>
        </w:rPr>
        <w:t xml:space="preserve"> </w:t>
      </w:r>
      <w:r w:rsidR="0096418F" w:rsidRPr="00EA6C7A">
        <w:rPr>
          <w:rFonts w:ascii="Verdana" w:eastAsia="Batang" w:hAnsi="Verdana" w:cs="Times"/>
          <w:sz w:val="20"/>
          <w:szCs w:val="20"/>
          <w:lang w:val="en-US"/>
        </w:rPr>
        <w:t>Article</w:t>
      </w:r>
      <w:r w:rsidR="0017063C" w:rsidRPr="00EA6C7A">
        <w:rPr>
          <w:rFonts w:ascii="Verdana" w:eastAsia="Batang" w:hAnsi="Verdana" w:cs="Times"/>
          <w:sz w:val="20"/>
          <w:szCs w:val="20"/>
          <w:lang w:val="en-US"/>
        </w:rPr>
        <w:t xml:space="preserve"> 24</w:t>
      </w:r>
      <w:r w:rsidR="0096418F" w:rsidRPr="00EA6C7A">
        <w:rPr>
          <w:rFonts w:ascii="Verdana" w:eastAsia="Batang" w:hAnsi="Verdana" w:cs="Times"/>
          <w:sz w:val="20"/>
          <w:szCs w:val="20"/>
          <w:lang w:val="en-US"/>
        </w:rPr>
        <w:t xml:space="preserve"> of the Convention</w:t>
      </w:r>
      <w:r w:rsidR="0017063C" w:rsidRPr="00EA6C7A">
        <w:rPr>
          <w:rFonts w:ascii="Verdana" w:eastAsia="Batang" w:hAnsi="Verdana" w:cs="Times"/>
          <w:sz w:val="20"/>
          <w:szCs w:val="20"/>
          <w:lang w:val="en-US"/>
        </w:rPr>
        <w:t>,</w:t>
      </w:r>
      <w:r w:rsidRPr="00EA6C7A">
        <w:rPr>
          <w:rFonts w:ascii="Verdana" w:eastAsia="Batang" w:hAnsi="Verdana" w:cs="Times"/>
          <w:sz w:val="20"/>
          <w:szCs w:val="20"/>
          <w:lang w:val="en-US"/>
        </w:rPr>
        <w:t xml:space="preserve"> in relation to the general obligations contained in </w:t>
      </w:r>
      <w:r w:rsidR="0096418F" w:rsidRPr="00EA6C7A">
        <w:rPr>
          <w:rFonts w:ascii="Verdana" w:eastAsia="Batang" w:hAnsi="Verdana" w:cs="Times"/>
          <w:sz w:val="20"/>
          <w:szCs w:val="20"/>
          <w:lang w:val="en-US"/>
        </w:rPr>
        <w:t>Articles</w:t>
      </w:r>
      <w:r w:rsidR="00715B6F" w:rsidRPr="00EA6C7A">
        <w:rPr>
          <w:rFonts w:ascii="Verdana" w:eastAsia="Batang" w:hAnsi="Verdana" w:cs="Times"/>
          <w:sz w:val="20"/>
          <w:szCs w:val="20"/>
          <w:lang w:val="en-US"/>
        </w:rPr>
        <w:t xml:space="preserve"> 1(1) </w:t>
      </w:r>
      <w:r w:rsidR="00D948A1" w:rsidRPr="00EA6C7A">
        <w:rPr>
          <w:rFonts w:ascii="Verdana" w:eastAsia="Batang" w:hAnsi="Verdana" w:cs="Times"/>
          <w:sz w:val="20"/>
          <w:szCs w:val="20"/>
          <w:lang w:val="en-US"/>
        </w:rPr>
        <w:t xml:space="preserve">and </w:t>
      </w:r>
      <w:r w:rsidR="0017063C" w:rsidRPr="00EA6C7A">
        <w:rPr>
          <w:rFonts w:ascii="Verdana" w:eastAsia="Batang" w:hAnsi="Verdana" w:cs="Times"/>
          <w:sz w:val="20"/>
          <w:szCs w:val="20"/>
          <w:lang w:val="en-US"/>
        </w:rPr>
        <w:t xml:space="preserve">2 </w:t>
      </w:r>
      <w:r w:rsidRPr="00EA6C7A">
        <w:rPr>
          <w:rFonts w:ascii="Verdana" w:eastAsia="Batang" w:hAnsi="Verdana" w:cs="Times"/>
          <w:sz w:val="20"/>
          <w:szCs w:val="20"/>
          <w:lang w:val="en-US"/>
        </w:rPr>
        <w:t>of this instrument</w:t>
      </w:r>
      <w:r w:rsidR="0017063C" w:rsidRPr="00EA6C7A">
        <w:rPr>
          <w:rFonts w:ascii="Verdana" w:eastAsia="Batang" w:hAnsi="Verdana" w:cs="Times"/>
          <w:sz w:val="20"/>
          <w:szCs w:val="20"/>
          <w:lang w:val="en-US"/>
        </w:rPr>
        <w:t>,</w:t>
      </w:r>
      <w:r w:rsidR="00D948A1" w:rsidRPr="00EA6C7A">
        <w:rPr>
          <w:rFonts w:ascii="Verdana" w:eastAsia="Batang" w:hAnsi="Verdana" w:cs="Times"/>
          <w:sz w:val="20"/>
          <w:szCs w:val="20"/>
          <w:lang w:val="en-US"/>
        </w:rPr>
        <w:t xml:space="preserve"> and </w:t>
      </w:r>
      <w:r w:rsidR="0096418F" w:rsidRPr="00EA6C7A">
        <w:rPr>
          <w:rFonts w:ascii="Verdana" w:eastAsia="Batang" w:hAnsi="Verdana" w:cs="Times"/>
          <w:sz w:val="20"/>
          <w:szCs w:val="20"/>
          <w:lang w:val="en-US"/>
        </w:rPr>
        <w:t>Article</w:t>
      </w:r>
      <w:r w:rsidR="0017063C" w:rsidRPr="00EA6C7A">
        <w:rPr>
          <w:rFonts w:ascii="Verdana" w:eastAsia="Batang" w:hAnsi="Verdana" w:cs="Times"/>
          <w:sz w:val="20"/>
          <w:szCs w:val="20"/>
          <w:lang w:val="en-US"/>
        </w:rPr>
        <w:t xml:space="preserve"> 7</w:t>
      </w:r>
      <w:r w:rsidR="0096418F" w:rsidRPr="00EA6C7A">
        <w:rPr>
          <w:rFonts w:ascii="Verdana" w:eastAsia="Batang" w:hAnsi="Verdana" w:cs="Times"/>
          <w:sz w:val="20"/>
          <w:szCs w:val="20"/>
          <w:lang w:val="en-US"/>
        </w:rPr>
        <w:t xml:space="preserve"> of the </w:t>
      </w:r>
      <w:r w:rsidR="008B402D" w:rsidRPr="00EA6C7A">
        <w:rPr>
          <w:rFonts w:ascii="Verdana" w:eastAsia="Batang" w:hAnsi="Verdana" w:cs="Times"/>
          <w:sz w:val="20"/>
          <w:szCs w:val="20"/>
          <w:lang w:val="en-US"/>
        </w:rPr>
        <w:t>Inter-American Convention on the Prevention, Punishment and Eradication of Violence against Women</w:t>
      </w:r>
      <w:r w:rsidR="0017063C" w:rsidRPr="00EA6C7A">
        <w:rPr>
          <w:rFonts w:ascii="Verdana" w:eastAsia="Batang" w:hAnsi="Verdana" w:cs="Times"/>
          <w:sz w:val="20"/>
          <w:szCs w:val="20"/>
          <w:lang w:val="en-US"/>
        </w:rPr>
        <w:t xml:space="preserve">, </w:t>
      </w:r>
      <w:r w:rsidR="00123BD3" w:rsidRPr="00EA6C7A">
        <w:rPr>
          <w:rFonts w:ascii="Verdana" w:eastAsia="Calibri" w:hAnsi="Verdana"/>
          <w:sz w:val="20"/>
          <w:szCs w:val="20"/>
          <w:lang w:val="en-US" w:eastAsia="es-MX"/>
        </w:rPr>
        <w:t>to the detriment of</w:t>
      </w:r>
      <w:r w:rsidR="0017063C" w:rsidRPr="00EA6C7A">
        <w:rPr>
          <w:rFonts w:ascii="Verdana" w:eastAsia="Calibri" w:hAnsi="Verdana"/>
          <w:sz w:val="20"/>
          <w:szCs w:val="20"/>
          <w:lang w:val="en-US" w:eastAsia="es-MX"/>
        </w:rPr>
        <w:t xml:space="preserve"> Jorge Rolando Velásquez Durán</w:t>
      </w:r>
      <w:r w:rsidR="0017063C" w:rsidRPr="00EA6C7A">
        <w:rPr>
          <w:rFonts w:ascii="Verdana" w:eastAsia="Calibri" w:hAnsi="Verdana"/>
          <w:sz w:val="20"/>
          <w:szCs w:val="20"/>
          <w:lang w:val="en-US"/>
        </w:rPr>
        <w:t>, Elsa Claudina Paiz Vidal</w:t>
      </w:r>
      <w:r w:rsidR="00D948A1" w:rsidRPr="00EA6C7A">
        <w:rPr>
          <w:rFonts w:ascii="Verdana" w:eastAsia="Calibri" w:hAnsi="Verdana"/>
          <w:sz w:val="20"/>
          <w:szCs w:val="20"/>
          <w:lang w:val="en-US"/>
        </w:rPr>
        <w:t xml:space="preserve"> and </w:t>
      </w:r>
      <w:r w:rsidR="0017063C" w:rsidRPr="00EA6C7A">
        <w:rPr>
          <w:rFonts w:ascii="Verdana" w:eastAsia="Calibri" w:hAnsi="Verdana"/>
          <w:sz w:val="20"/>
          <w:szCs w:val="20"/>
          <w:lang w:val="en-US"/>
        </w:rPr>
        <w:t>Pablo Andrés Velásquez Paiz,</w:t>
      </w:r>
      <w:r w:rsidR="0017063C" w:rsidRPr="00EA6C7A">
        <w:rPr>
          <w:rFonts w:ascii="Verdana" w:eastAsia="Calibri" w:hAnsi="Verdana"/>
          <w:sz w:val="20"/>
          <w:szCs w:val="20"/>
          <w:lang w:val="en-US" w:eastAsia="es-MX"/>
        </w:rPr>
        <w:t xml:space="preserve"> </w:t>
      </w:r>
      <w:r w:rsidRPr="00EA6C7A">
        <w:rPr>
          <w:rFonts w:ascii="Verdana" w:eastAsia="Calibri" w:hAnsi="Verdana"/>
          <w:sz w:val="20"/>
          <w:szCs w:val="20"/>
          <w:lang w:val="en-US" w:eastAsia="es-MX"/>
        </w:rPr>
        <w:t>all</w:t>
      </w:r>
      <w:r w:rsidR="00123BD3" w:rsidRPr="00EA6C7A">
        <w:rPr>
          <w:rFonts w:ascii="Verdana" w:eastAsia="Calibri" w:hAnsi="Verdana"/>
          <w:sz w:val="20"/>
          <w:szCs w:val="20"/>
          <w:lang w:val="en-US" w:eastAsia="es-MX"/>
        </w:rPr>
        <w:t xml:space="preserve"> next of kin of</w:t>
      </w:r>
      <w:r w:rsidR="0017063C" w:rsidRPr="00EA6C7A">
        <w:rPr>
          <w:rFonts w:ascii="Verdana" w:eastAsia="Calibri" w:hAnsi="Verdana"/>
          <w:sz w:val="20"/>
          <w:szCs w:val="20"/>
          <w:lang w:val="en-US" w:eastAsia="es-MX"/>
        </w:rPr>
        <w:t xml:space="preserve"> Claudina Isabel Velásquez Paiz.</w:t>
      </w:r>
    </w:p>
    <w:p w14:paraId="346377D9" w14:textId="77777777" w:rsidR="0017063C" w:rsidRPr="00EA6C7A" w:rsidRDefault="0017063C" w:rsidP="00B64FA0">
      <w:pPr>
        <w:tabs>
          <w:tab w:val="left" w:pos="720"/>
        </w:tabs>
        <w:spacing w:after="0" w:line="240" w:lineRule="auto"/>
        <w:jc w:val="both"/>
        <w:rPr>
          <w:rFonts w:ascii="Verdana" w:eastAsia="Batang" w:hAnsi="Verdana" w:cs="Times"/>
          <w:b/>
          <w:sz w:val="20"/>
          <w:szCs w:val="20"/>
          <w:u w:val="single"/>
          <w:lang w:val="en-US"/>
        </w:rPr>
      </w:pPr>
    </w:p>
    <w:p w14:paraId="66F989A2" w14:textId="77777777" w:rsidR="0017063C" w:rsidRPr="00EA6C7A" w:rsidRDefault="00444A4F" w:rsidP="00B64FA0">
      <w:pPr>
        <w:numPr>
          <w:ilvl w:val="0"/>
          <w:numId w:val="3"/>
        </w:numPr>
        <w:tabs>
          <w:tab w:val="left" w:pos="720"/>
        </w:tabs>
        <w:spacing w:after="0" w:line="240" w:lineRule="auto"/>
        <w:ind w:left="0" w:firstLine="0"/>
        <w:jc w:val="both"/>
        <w:rPr>
          <w:rFonts w:ascii="Verdana" w:eastAsia="Calibri" w:hAnsi="Verdana" w:cs="Arial"/>
          <w:sz w:val="16"/>
          <w:szCs w:val="20"/>
          <w:lang w:val="en-US"/>
        </w:rPr>
      </w:pPr>
      <w:r w:rsidRPr="00EA6C7A">
        <w:rPr>
          <w:rFonts w:ascii="Verdana" w:eastAsia="Batang" w:hAnsi="Verdana"/>
          <w:sz w:val="20"/>
          <w:lang w:val="en-US"/>
        </w:rPr>
        <w:t xml:space="preserve">In addition, the Court finds that the alleged violation of </w:t>
      </w:r>
      <w:r w:rsidR="0096418F" w:rsidRPr="00EA6C7A">
        <w:rPr>
          <w:rFonts w:ascii="Verdana" w:eastAsia="Batang" w:hAnsi="Verdana"/>
          <w:sz w:val="20"/>
          <w:lang w:val="en-US"/>
        </w:rPr>
        <w:t>Articles</w:t>
      </w:r>
      <w:r w:rsidR="0017063C" w:rsidRPr="00EA6C7A">
        <w:rPr>
          <w:rFonts w:ascii="Verdana" w:eastAsia="Batang" w:hAnsi="Verdana"/>
          <w:sz w:val="20"/>
          <w:lang w:val="en-US"/>
        </w:rPr>
        <w:t xml:space="preserve"> 13</w:t>
      </w:r>
      <w:r w:rsidR="00D948A1" w:rsidRPr="00EA6C7A">
        <w:rPr>
          <w:rFonts w:ascii="Verdana" w:eastAsia="Batang" w:hAnsi="Verdana"/>
          <w:sz w:val="20"/>
          <w:lang w:val="en-US"/>
        </w:rPr>
        <w:t xml:space="preserve"> and </w:t>
      </w:r>
      <w:r w:rsidR="0017063C" w:rsidRPr="00EA6C7A">
        <w:rPr>
          <w:rFonts w:ascii="Verdana" w:eastAsia="Batang" w:hAnsi="Verdana"/>
          <w:sz w:val="20"/>
          <w:lang w:val="en-US"/>
        </w:rPr>
        <w:t>22</w:t>
      </w:r>
      <w:r w:rsidR="0096418F" w:rsidRPr="00EA6C7A">
        <w:rPr>
          <w:rFonts w:ascii="Verdana" w:eastAsia="Batang" w:hAnsi="Verdana"/>
          <w:sz w:val="20"/>
          <w:lang w:val="en-US"/>
        </w:rPr>
        <w:t xml:space="preserve"> of the American Convention</w:t>
      </w:r>
      <w:r w:rsidR="0017063C" w:rsidRPr="00EA6C7A">
        <w:rPr>
          <w:rFonts w:ascii="Verdana" w:eastAsia="Batang" w:hAnsi="Verdana"/>
          <w:sz w:val="20"/>
          <w:lang w:val="en-US"/>
        </w:rPr>
        <w:t xml:space="preserve"> </w:t>
      </w:r>
      <w:r w:rsidRPr="00EA6C7A">
        <w:rPr>
          <w:rFonts w:ascii="Verdana" w:eastAsia="Batang" w:hAnsi="Verdana"/>
          <w:sz w:val="20"/>
          <w:lang w:val="en-US"/>
        </w:rPr>
        <w:t xml:space="preserve">was duly taken into consideration in the legal substantiation set out in this chapter, and that it is </w:t>
      </w:r>
      <w:r w:rsidR="00803DD4" w:rsidRPr="00EA6C7A">
        <w:rPr>
          <w:rFonts w:ascii="Verdana" w:eastAsia="Batang" w:hAnsi="Verdana"/>
          <w:sz w:val="20"/>
          <w:lang w:val="en-US"/>
        </w:rPr>
        <w:t>un</w:t>
      </w:r>
      <w:r w:rsidRPr="00EA6C7A">
        <w:rPr>
          <w:rFonts w:ascii="Verdana" w:eastAsia="Batang" w:hAnsi="Verdana"/>
          <w:sz w:val="20"/>
          <w:lang w:val="en-US"/>
        </w:rPr>
        <w:t xml:space="preserve">necessary to issue an autonomous ruling on their alleged violation. </w:t>
      </w:r>
    </w:p>
    <w:p w14:paraId="0E2208D6" w14:textId="77777777" w:rsidR="0025015F" w:rsidRPr="00EA6C7A" w:rsidRDefault="0025015F" w:rsidP="0025015F">
      <w:pPr>
        <w:pStyle w:val="Prrafodelista"/>
        <w:rPr>
          <w:rFonts w:ascii="Verdana" w:eastAsia="Calibri" w:hAnsi="Verdana" w:cs="Arial"/>
          <w:sz w:val="16"/>
          <w:szCs w:val="20"/>
          <w:lang w:val="en-US"/>
        </w:rPr>
      </w:pPr>
    </w:p>
    <w:p w14:paraId="4AB9AC52" w14:textId="77777777" w:rsidR="0025015F" w:rsidRPr="00EA6C7A" w:rsidRDefault="0025015F" w:rsidP="0025015F">
      <w:pPr>
        <w:pStyle w:val="Sentencia1"/>
        <w:rPr>
          <w:lang w:val="en-US"/>
        </w:rPr>
      </w:pPr>
      <w:bookmarkStart w:id="79" w:name="_Toc431801390"/>
      <w:bookmarkStart w:id="80" w:name="_Toc431804778"/>
      <w:bookmarkStart w:id="81" w:name="_Toc431806205"/>
      <w:bookmarkStart w:id="82" w:name="_Toc432677781"/>
      <w:bookmarkStart w:id="83" w:name="_Toc437425682"/>
      <w:bookmarkStart w:id="84" w:name="_Toc26002326"/>
      <w:r w:rsidRPr="00EA6C7A">
        <w:rPr>
          <w:lang w:val="en-US"/>
        </w:rPr>
        <w:lastRenderedPageBreak/>
        <w:t>V</w:t>
      </w:r>
      <w:r w:rsidR="00505D46" w:rsidRPr="00EA6C7A">
        <w:rPr>
          <w:lang w:val="en-US"/>
        </w:rPr>
        <w:t>I</w:t>
      </w:r>
      <w:r w:rsidRPr="00EA6C7A">
        <w:rPr>
          <w:lang w:val="en-US"/>
        </w:rPr>
        <w:t>I.III</w:t>
      </w:r>
      <w:bookmarkStart w:id="85" w:name="_Toc424834738"/>
      <w:bookmarkStart w:id="86" w:name="_Toc424834784"/>
      <w:bookmarkStart w:id="87" w:name="_Toc427234576"/>
      <w:bookmarkEnd w:id="79"/>
      <w:bookmarkEnd w:id="80"/>
      <w:bookmarkEnd w:id="81"/>
      <w:bookmarkEnd w:id="82"/>
      <w:bookmarkEnd w:id="83"/>
      <w:bookmarkEnd w:id="84"/>
    </w:p>
    <w:p w14:paraId="50149091" w14:textId="77777777" w:rsidR="0025015F" w:rsidRPr="00EA6C7A" w:rsidRDefault="00444A4F" w:rsidP="0025015F">
      <w:pPr>
        <w:pStyle w:val="Sentencia1"/>
        <w:rPr>
          <w:rFonts w:cs="Verdana"/>
          <w:lang w:val="en-US"/>
        </w:rPr>
      </w:pPr>
      <w:bookmarkStart w:id="88" w:name="_Toc431801391"/>
      <w:bookmarkStart w:id="89" w:name="_Toc26002327"/>
      <w:r w:rsidRPr="00EA6C7A">
        <w:rPr>
          <w:lang w:val="en-US"/>
        </w:rPr>
        <w:t>RIGHTS TO</w:t>
      </w:r>
      <w:r w:rsidR="0025015F" w:rsidRPr="00EA6C7A">
        <w:rPr>
          <w:lang w:val="en-US"/>
        </w:rPr>
        <w:t xml:space="preserve"> </w:t>
      </w:r>
      <w:r w:rsidR="00515C34" w:rsidRPr="00EA6C7A">
        <w:rPr>
          <w:lang w:val="en-US"/>
        </w:rPr>
        <w:t>PERSONAL INTEGRITY</w:t>
      </w:r>
      <w:r w:rsidR="0025015F" w:rsidRPr="00EA6C7A">
        <w:rPr>
          <w:rStyle w:val="Refdenotaalpie"/>
          <w:lang w:val="en-US"/>
        </w:rPr>
        <w:footnoteReference w:id="299"/>
      </w:r>
      <w:r w:rsidR="00D948A1" w:rsidRPr="00EA6C7A">
        <w:rPr>
          <w:lang w:val="en-US"/>
        </w:rPr>
        <w:t xml:space="preserve"> </w:t>
      </w:r>
      <w:r w:rsidRPr="00EA6C7A">
        <w:rPr>
          <w:lang w:val="en-US"/>
        </w:rPr>
        <w:t>AND PROTECTION OF HONOR AND DIGNITY</w:t>
      </w:r>
      <w:r w:rsidR="0025015F" w:rsidRPr="00EA6C7A">
        <w:rPr>
          <w:rStyle w:val="Refdenotaalpie"/>
          <w:lang w:val="en-US"/>
        </w:rPr>
        <w:footnoteReference w:id="300"/>
      </w:r>
      <w:r w:rsidR="0025015F" w:rsidRPr="00EA6C7A">
        <w:rPr>
          <w:lang w:val="en-US"/>
        </w:rPr>
        <w:t xml:space="preserve"> </w:t>
      </w:r>
      <w:r w:rsidR="00123BD3" w:rsidRPr="00EA6C7A">
        <w:rPr>
          <w:lang w:val="en-US"/>
        </w:rPr>
        <w:t xml:space="preserve">TO THE DETRIMENT </w:t>
      </w:r>
      <w:r w:rsidRPr="00EA6C7A">
        <w:rPr>
          <w:lang w:val="en-US"/>
        </w:rPr>
        <w:t>OF THE NEXT OF KIN</w:t>
      </w:r>
      <w:bookmarkEnd w:id="85"/>
      <w:bookmarkEnd w:id="86"/>
      <w:bookmarkEnd w:id="87"/>
      <w:bookmarkEnd w:id="88"/>
      <w:bookmarkEnd w:id="89"/>
    </w:p>
    <w:p w14:paraId="3FFAEF28" w14:textId="77777777" w:rsidR="0025015F" w:rsidRPr="00EA6C7A" w:rsidRDefault="0025015F" w:rsidP="0025015F">
      <w:pPr>
        <w:pStyle w:val="Sentencia2"/>
        <w:rPr>
          <w:rFonts w:eastAsia="Calibri"/>
          <w:lang w:val="en-US"/>
        </w:rPr>
      </w:pPr>
    </w:p>
    <w:p w14:paraId="18B59B43" w14:textId="77777777" w:rsidR="0025015F" w:rsidRPr="00EA6C7A" w:rsidRDefault="0025015F" w:rsidP="0025015F">
      <w:pPr>
        <w:pStyle w:val="Sentencia3"/>
        <w:rPr>
          <w:rStyle w:val="nfasis"/>
          <w:rFonts w:eastAsia="Calibri"/>
          <w:b/>
          <w:iCs w:val="0"/>
          <w:lang w:val="en-US"/>
        </w:rPr>
      </w:pPr>
      <w:bookmarkStart w:id="90" w:name="_Toc26002328"/>
      <w:r w:rsidRPr="00EA6C7A">
        <w:rPr>
          <w:rStyle w:val="nfasis"/>
          <w:rFonts w:eastAsia="Calibri"/>
          <w:b/>
          <w:iCs w:val="0"/>
          <w:lang w:val="en-US"/>
        </w:rPr>
        <w:t xml:space="preserve">A. </w:t>
      </w:r>
      <w:r w:rsidR="001238A7" w:rsidRPr="00EA6C7A">
        <w:rPr>
          <w:rStyle w:val="nfasis"/>
          <w:rFonts w:eastAsia="Calibri"/>
          <w:b/>
          <w:iCs w:val="0"/>
          <w:lang w:val="en-US"/>
        </w:rPr>
        <w:t>Arguments</w:t>
      </w:r>
      <w:r w:rsidR="0096418F" w:rsidRPr="00EA6C7A">
        <w:rPr>
          <w:rStyle w:val="nfasis"/>
          <w:rFonts w:eastAsia="Calibri"/>
          <w:b/>
          <w:iCs w:val="0"/>
          <w:lang w:val="en-US"/>
        </w:rPr>
        <w:t xml:space="preserve"> of the Commission</w:t>
      </w:r>
      <w:r w:rsidR="00D948A1" w:rsidRPr="00EA6C7A">
        <w:rPr>
          <w:rStyle w:val="nfasis"/>
          <w:rFonts w:eastAsia="Calibri"/>
          <w:b/>
          <w:iCs w:val="0"/>
          <w:lang w:val="en-US"/>
        </w:rPr>
        <w:t xml:space="preserve"> and </w:t>
      </w:r>
      <w:r w:rsidR="00711077" w:rsidRPr="00EA6C7A">
        <w:rPr>
          <w:rStyle w:val="nfasis"/>
          <w:rFonts w:eastAsia="Calibri"/>
          <w:b/>
          <w:iCs w:val="0"/>
          <w:lang w:val="en-US"/>
        </w:rPr>
        <w:t>of the parties</w:t>
      </w:r>
      <w:bookmarkEnd w:id="90"/>
    </w:p>
    <w:p w14:paraId="0A1228FE" w14:textId="77777777" w:rsidR="0025015F" w:rsidRPr="00EA6C7A" w:rsidRDefault="0025015F" w:rsidP="0025015F">
      <w:pPr>
        <w:pStyle w:val="ColorfulList-Accent11"/>
        <w:autoSpaceDE w:val="0"/>
        <w:autoSpaceDN w:val="0"/>
        <w:adjustRightInd w:val="0"/>
        <w:spacing w:after="0" w:line="240" w:lineRule="auto"/>
        <w:ind w:left="0"/>
        <w:contextualSpacing w:val="0"/>
        <w:jc w:val="both"/>
        <w:rPr>
          <w:rFonts w:ascii="Verdana" w:eastAsia="Calibri" w:hAnsi="Verdana" w:cs="Arial"/>
          <w:b/>
          <w:sz w:val="16"/>
          <w:lang w:val="en-US"/>
        </w:rPr>
      </w:pPr>
    </w:p>
    <w:p w14:paraId="75BB4EF8" w14:textId="77777777" w:rsidR="0025015F" w:rsidRPr="00EA6C7A" w:rsidRDefault="0096418F" w:rsidP="00E72ECF">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hAnsi="Verdana"/>
          <w:sz w:val="20"/>
          <w:szCs w:val="20"/>
          <w:lang w:val="en-US"/>
        </w:rPr>
        <w:t xml:space="preserve">The </w:t>
      </w:r>
      <w:r w:rsidRPr="00EA6C7A">
        <w:rPr>
          <w:rFonts w:ascii="Verdana" w:hAnsi="Verdana"/>
          <w:b/>
          <w:bCs/>
          <w:i/>
          <w:iCs/>
          <w:sz w:val="20"/>
          <w:szCs w:val="20"/>
          <w:lang w:val="en-US"/>
        </w:rPr>
        <w:t>Commission</w:t>
      </w:r>
      <w:r w:rsidR="0025015F" w:rsidRPr="00EA6C7A">
        <w:rPr>
          <w:rFonts w:ascii="Verdana" w:hAnsi="Verdana"/>
          <w:sz w:val="20"/>
          <w:szCs w:val="20"/>
          <w:lang w:val="en-US"/>
        </w:rPr>
        <w:t xml:space="preserve"> argu</w:t>
      </w:r>
      <w:r w:rsidR="00CD712B" w:rsidRPr="00EA6C7A">
        <w:rPr>
          <w:rFonts w:ascii="Verdana" w:hAnsi="Verdana"/>
          <w:sz w:val="20"/>
          <w:szCs w:val="20"/>
          <w:lang w:val="en-US"/>
        </w:rPr>
        <w:t xml:space="preserve">ed that, in this case, </w:t>
      </w:r>
      <w:r w:rsidR="00123BD3" w:rsidRPr="00EA6C7A">
        <w:rPr>
          <w:rFonts w:ascii="Verdana" w:hAnsi="Verdana"/>
          <w:sz w:val="20"/>
          <w:szCs w:val="20"/>
          <w:lang w:val="en-US"/>
        </w:rPr>
        <w:t>the next of kin of</w:t>
      </w:r>
      <w:r w:rsidR="0025015F" w:rsidRPr="00EA6C7A">
        <w:rPr>
          <w:rFonts w:ascii="Verdana" w:hAnsi="Verdana"/>
          <w:sz w:val="20"/>
          <w:szCs w:val="20"/>
          <w:lang w:val="en-US"/>
        </w:rPr>
        <w:t xml:space="preserve"> Claudina Velásquez ha</w:t>
      </w:r>
      <w:r w:rsidR="00CD712B" w:rsidRPr="00EA6C7A">
        <w:rPr>
          <w:rFonts w:ascii="Verdana" w:hAnsi="Verdana"/>
          <w:sz w:val="20"/>
          <w:szCs w:val="20"/>
          <w:lang w:val="en-US"/>
        </w:rPr>
        <w:t xml:space="preserve">d </w:t>
      </w:r>
      <w:r w:rsidR="001C2B25" w:rsidRPr="00EA6C7A">
        <w:rPr>
          <w:rFonts w:ascii="Verdana" w:hAnsi="Verdana"/>
          <w:sz w:val="20"/>
          <w:szCs w:val="20"/>
          <w:lang w:val="en-US"/>
        </w:rPr>
        <w:t xml:space="preserve">endured profound suffering and anguish as a result of the irregularities and delays in the investigation into her disappearance and subsequent death, as well as due to the failure to punish those responsible for these facts seven years after her body was found. It also argued that the continuous changes </w:t>
      </w:r>
      <w:r w:rsidR="00803DD4" w:rsidRPr="00EA6C7A">
        <w:rPr>
          <w:rFonts w:ascii="Verdana" w:hAnsi="Verdana"/>
          <w:sz w:val="20"/>
          <w:szCs w:val="20"/>
          <w:lang w:val="en-US"/>
        </w:rPr>
        <w:t>in the</w:t>
      </w:r>
      <w:r w:rsidR="001C2B25" w:rsidRPr="00EA6C7A">
        <w:rPr>
          <w:rFonts w:ascii="Verdana" w:hAnsi="Verdana"/>
          <w:sz w:val="20"/>
          <w:szCs w:val="20"/>
          <w:lang w:val="en-US"/>
        </w:rPr>
        <w:t xml:space="preserve"> prosecutor</w:t>
      </w:r>
      <w:r w:rsidR="00803DD4" w:rsidRPr="00EA6C7A">
        <w:rPr>
          <w:rFonts w:ascii="Verdana" w:hAnsi="Verdana"/>
          <w:sz w:val="20"/>
          <w:szCs w:val="20"/>
          <w:lang w:val="en-US"/>
        </w:rPr>
        <w:t>s</w:t>
      </w:r>
      <w:r w:rsidR="001C2B25" w:rsidRPr="00EA6C7A">
        <w:rPr>
          <w:rFonts w:ascii="Verdana" w:hAnsi="Verdana"/>
          <w:sz w:val="20"/>
          <w:szCs w:val="20"/>
          <w:lang w:val="en-US"/>
        </w:rPr>
        <w:t xml:space="preserve"> in charge of the case had been a source of victimization, because it meant that the family had to repeat the facts of the case “countless times” with the attendant pain and emotional suffering. It also referred to the scant concern and sensitivity that State officials showed towards the family’s grief, particularly owing to “the arrival of officials from </w:t>
      </w:r>
      <w:r w:rsidR="001C2B25" w:rsidRPr="00EA6C7A">
        <w:rPr>
          <w:rFonts w:ascii="Verdana" w:eastAsia="Calibri" w:hAnsi="Verdana"/>
          <w:sz w:val="20"/>
          <w:szCs w:val="20"/>
          <w:lang w:val="en-US"/>
        </w:rPr>
        <w:t xml:space="preserve">the Public Prosecution Service to fingerprint the corpse at the wake that the family was holding for the presumed victim,” with “the officials from the Public Prosecution Service even threatening prosecution if the parents refused to allows the procedure.” It also asserted that </w:t>
      </w:r>
      <w:r w:rsidR="001C2B25" w:rsidRPr="00EA6C7A">
        <w:rPr>
          <w:rFonts w:ascii="Verdana" w:hAnsi="Verdana"/>
          <w:sz w:val="20"/>
          <w:szCs w:val="20"/>
          <w:lang w:val="en-US"/>
        </w:rPr>
        <w:t xml:space="preserve">the Ombudsman had indicated that the family had been subjected to </w:t>
      </w:r>
      <w:r w:rsidR="00803DD4" w:rsidRPr="00EA6C7A">
        <w:rPr>
          <w:rFonts w:ascii="Verdana" w:hAnsi="Verdana"/>
          <w:sz w:val="20"/>
          <w:szCs w:val="20"/>
          <w:lang w:val="en-US"/>
        </w:rPr>
        <w:t xml:space="preserve">derogatory </w:t>
      </w:r>
      <w:r w:rsidR="001C2B25" w:rsidRPr="00EA6C7A">
        <w:rPr>
          <w:rFonts w:ascii="Verdana" w:hAnsi="Verdana"/>
          <w:sz w:val="20"/>
          <w:szCs w:val="20"/>
          <w:lang w:val="en-US"/>
        </w:rPr>
        <w:t xml:space="preserve">comments, </w:t>
      </w:r>
      <w:r w:rsidR="00803DD4" w:rsidRPr="00EA6C7A">
        <w:rPr>
          <w:rFonts w:ascii="Verdana" w:hAnsi="Verdana"/>
          <w:sz w:val="20"/>
          <w:szCs w:val="20"/>
          <w:lang w:val="en-US"/>
        </w:rPr>
        <w:t>in the sense</w:t>
      </w:r>
      <w:r w:rsidR="001C2B25" w:rsidRPr="00EA6C7A">
        <w:rPr>
          <w:rFonts w:ascii="Verdana" w:hAnsi="Verdana"/>
          <w:sz w:val="20"/>
          <w:szCs w:val="20"/>
          <w:lang w:val="en-US"/>
        </w:rPr>
        <w:t xml:space="preserve"> that </w:t>
      </w:r>
      <w:r w:rsidR="00803DD4" w:rsidRPr="00EA6C7A">
        <w:rPr>
          <w:rFonts w:ascii="Verdana" w:hAnsi="Verdana"/>
          <w:sz w:val="20"/>
          <w:szCs w:val="20"/>
          <w:lang w:val="en-US"/>
        </w:rPr>
        <w:t>officials had mistaken the</w:t>
      </w:r>
      <w:r w:rsidR="001C2B25" w:rsidRPr="00EA6C7A">
        <w:rPr>
          <w:rFonts w:ascii="Verdana" w:hAnsi="Verdana"/>
          <w:sz w:val="20"/>
          <w:szCs w:val="20"/>
          <w:lang w:val="en-US"/>
        </w:rPr>
        <w:t xml:space="preserve"> victim’s profile </w:t>
      </w:r>
      <w:r w:rsidR="00DB274A" w:rsidRPr="00EA6C7A">
        <w:rPr>
          <w:rFonts w:ascii="Verdana" w:hAnsi="Verdana"/>
          <w:sz w:val="20"/>
          <w:szCs w:val="20"/>
          <w:lang w:val="en-US"/>
        </w:rPr>
        <w:t xml:space="preserve">because of certain characteristics. The Ombudsman also found that on a number of occasion, Jorge Velásquez was denied access to the case file. Accordingly, the Commission concluded that the State had violated </w:t>
      </w:r>
      <w:r w:rsidR="00515C34" w:rsidRPr="00EA6C7A">
        <w:rPr>
          <w:rFonts w:ascii="Verdana" w:hAnsi="Verdana"/>
          <w:sz w:val="20"/>
          <w:szCs w:val="20"/>
          <w:lang w:val="en-US"/>
        </w:rPr>
        <w:t>Article 5(1)</w:t>
      </w:r>
      <w:r w:rsidRPr="00EA6C7A">
        <w:rPr>
          <w:rFonts w:ascii="Verdana" w:hAnsi="Verdana"/>
          <w:sz w:val="20"/>
          <w:szCs w:val="20"/>
          <w:lang w:val="en-US"/>
        </w:rPr>
        <w:t xml:space="preserve"> of the American Convention</w:t>
      </w:r>
      <w:r w:rsidR="0025015F" w:rsidRPr="00EA6C7A">
        <w:rPr>
          <w:rFonts w:ascii="Verdana" w:hAnsi="Verdana"/>
          <w:sz w:val="20"/>
          <w:szCs w:val="20"/>
          <w:lang w:val="en-US"/>
        </w:rPr>
        <w:t xml:space="preserve">, </w:t>
      </w:r>
      <w:r w:rsidR="00DB274A" w:rsidRPr="00EA6C7A">
        <w:rPr>
          <w:rFonts w:ascii="Verdana" w:hAnsi="Verdana"/>
          <w:sz w:val="20"/>
          <w:szCs w:val="20"/>
          <w:lang w:val="en-US"/>
        </w:rPr>
        <w:t>in relation to</w:t>
      </w:r>
      <w:r w:rsidR="0025015F" w:rsidRPr="00EA6C7A">
        <w:rPr>
          <w:rFonts w:ascii="Verdana" w:hAnsi="Verdana"/>
          <w:sz w:val="20"/>
          <w:szCs w:val="20"/>
          <w:lang w:val="en-US"/>
        </w:rPr>
        <w:t xml:space="preserve"> </w:t>
      </w:r>
      <w:r w:rsidR="00515C34" w:rsidRPr="00EA6C7A">
        <w:rPr>
          <w:rFonts w:ascii="Verdana" w:hAnsi="Verdana"/>
          <w:sz w:val="20"/>
          <w:szCs w:val="20"/>
          <w:lang w:val="en-US"/>
        </w:rPr>
        <w:t>Article 1(1)</w:t>
      </w:r>
      <w:r w:rsidR="0025015F" w:rsidRPr="00EA6C7A">
        <w:rPr>
          <w:rFonts w:ascii="Verdana" w:hAnsi="Verdana"/>
          <w:sz w:val="20"/>
          <w:szCs w:val="20"/>
          <w:lang w:val="en-US"/>
        </w:rPr>
        <w:t xml:space="preserve"> </w:t>
      </w:r>
      <w:r w:rsidR="002D218C" w:rsidRPr="00EA6C7A">
        <w:rPr>
          <w:rFonts w:ascii="Verdana" w:hAnsi="Verdana"/>
          <w:sz w:val="20"/>
          <w:szCs w:val="20"/>
          <w:lang w:val="en-US"/>
        </w:rPr>
        <w:t>of this instrument</w:t>
      </w:r>
      <w:r w:rsidR="0025015F" w:rsidRPr="00EA6C7A">
        <w:rPr>
          <w:rFonts w:ascii="Verdana" w:hAnsi="Verdana"/>
          <w:sz w:val="20"/>
          <w:szCs w:val="20"/>
          <w:lang w:val="en-US"/>
        </w:rPr>
        <w:t xml:space="preserve">, </w:t>
      </w:r>
      <w:r w:rsidR="00123BD3" w:rsidRPr="00EA6C7A">
        <w:rPr>
          <w:rFonts w:ascii="Verdana" w:eastAsia="Calibri" w:hAnsi="Verdana"/>
          <w:sz w:val="20"/>
          <w:szCs w:val="20"/>
          <w:lang w:val="en-US"/>
        </w:rPr>
        <w:t>to the detriment of</w:t>
      </w:r>
      <w:r w:rsidR="0025015F" w:rsidRPr="00EA6C7A">
        <w:rPr>
          <w:rFonts w:ascii="Verdana" w:eastAsia="Calibri" w:hAnsi="Verdana"/>
          <w:sz w:val="20"/>
          <w:szCs w:val="20"/>
          <w:lang w:val="en-US"/>
        </w:rPr>
        <w:t xml:space="preserve"> </w:t>
      </w:r>
      <w:r w:rsidR="0025015F" w:rsidRPr="00EA6C7A">
        <w:rPr>
          <w:rFonts w:ascii="Verdana" w:hAnsi="Verdana"/>
          <w:sz w:val="20"/>
          <w:szCs w:val="20"/>
          <w:lang w:val="en-US"/>
        </w:rPr>
        <w:t>Jorge Rolando Velásquez Durán</w:t>
      </w:r>
      <w:r w:rsidR="0025015F" w:rsidRPr="00EA6C7A">
        <w:rPr>
          <w:rFonts w:ascii="Verdana" w:eastAsia="Calibri" w:hAnsi="Verdana"/>
          <w:sz w:val="20"/>
          <w:szCs w:val="20"/>
          <w:lang w:val="en-US"/>
        </w:rPr>
        <w:t xml:space="preserve">, </w:t>
      </w:r>
      <w:r w:rsidR="0025015F" w:rsidRPr="00EA6C7A">
        <w:rPr>
          <w:rFonts w:ascii="Verdana" w:eastAsia="Batang" w:hAnsi="Verdana"/>
          <w:sz w:val="20"/>
          <w:szCs w:val="20"/>
          <w:lang w:val="en-US" w:eastAsia="es-MX"/>
        </w:rPr>
        <w:t>Elsa Claudina Paiz Vidal</w:t>
      </w:r>
      <w:r w:rsidR="00D948A1" w:rsidRPr="00EA6C7A">
        <w:rPr>
          <w:rFonts w:ascii="Verdana" w:eastAsia="Calibri" w:hAnsi="Verdana"/>
          <w:sz w:val="20"/>
          <w:szCs w:val="20"/>
          <w:lang w:val="en-US"/>
        </w:rPr>
        <w:t xml:space="preserve"> and </w:t>
      </w:r>
      <w:r w:rsidR="0025015F" w:rsidRPr="00EA6C7A">
        <w:rPr>
          <w:rFonts w:ascii="Verdana" w:eastAsia="Calibri" w:hAnsi="Verdana"/>
          <w:sz w:val="20"/>
          <w:szCs w:val="20"/>
          <w:lang w:val="en-US"/>
        </w:rPr>
        <w:t xml:space="preserve">Pablo Andrés Velásquez Paiz. </w:t>
      </w:r>
    </w:p>
    <w:p w14:paraId="2DD170DD" w14:textId="77777777" w:rsidR="0025015F" w:rsidRPr="00EA6C7A" w:rsidRDefault="0025015F" w:rsidP="0025015F">
      <w:pPr>
        <w:pStyle w:val="ColorfulList-Accent11"/>
        <w:autoSpaceDE w:val="0"/>
        <w:autoSpaceDN w:val="0"/>
        <w:adjustRightInd w:val="0"/>
        <w:spacing w:after="0" w:line="240" w:lineRule="auto"/>
        <w:ind w:left="0"/>
        <w:contextualSpacing w:val="0"/>
        <w:jc w:val="both"/>
        <w:rPr>
          <w:rFonts w:ascii="Verdana" w:hAnsi="Verdana" w:cs="Univers"/>
          <w:lang w:val="en-US"/>
        </w:rPr>
      </w:pPr>
    </w:p>
    <w:p w14:paraId="56E38FFF" w14:textId="77777777" w:rsidR="0025015F" w:rsidRPr="00EA6C7A" w:rsidRDefault="00E43A75" w:rsidP="00E72ECF">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hAnsi="Verdana"/>
          <w:sz w:val="20"/>
          <w:szCs w:val="20"/>
          <w:lang w:val="en-US"/>
        </w:rPr>
        <w:t xml:space="preserve">The </w:t>
      </w:r>
      <w:r w:rsidRPr="00EA6C7A">
        <w:rPr>
          <w:rFonts w:ascii="Verdana" w:hAnsi="Verdana"/>
          <w:b/>
          <w:bCs/>
          <w:i/>
          <w:iCs/>
          <w:sz w:val="20"/>
          <w:szCs w:val="20"/>
          <w:lang w:val="en-US"/>
        </w:rPr>
        <w:t>representatives</w:t>
      </w:r>
      <w:r w:rsidR="0025015F" w:rsidRPr="00EA6C7A">
        <w:rPr>
          <w:rFonts w:ascii="Verdana" w:hAnsi="Verdana"/>
          <w:sz w:val="20"/>
          <w:szCs w:val="20"/>
          <w:lang w:val="en-US"/>
        </w:rPr>
        <w:t xml:space="preserve"> </w:t>
      </w:r>
      <w:r w:rsidR="00DB274A" w:rsidRPr="00EA6C7A">
        <w:rPr>
          <w:rFonts w:ascii="Verdana" w:hAnsi="Verdana"/>
          <w:sz w:val="20"/>
          <w:szCs w:val="20"/>
          <w:lang w:val="en-US"/>
        </w:rPr>
        <w:t xml:space="preserve">agreed substantially with </w:t>
      </w:r>
      <w:r w:rsidR="0096418F" w:rsidRPr="00EA6C7A">
        <w:rPr>
          <w:rFonts w:ascii="Verdana" w:hAnsi="Verdana"/>
          <w:sz w:val="20"/>
          <w:szCs w:val="20"/>
          <w:lang w:val="en-US"/>
        </w:rPr>
        <w:t>the Commission</w:t>
      </w:r>
      <w:r w:rsidR="0025015F" w:rsidRPr="00EA6C7A">
        <w:rPr>
          <w:rFonts w:ascii="Verdana" w:hAnsi="Verdana"/>
          <w:sz w:val="20"/>
          <w:szCs w:val="20"/>
          <w:lang w:val="en-US"/>
        </w:rPr>
        <w:t>.</w:t>
      </w:r>
      <w:r w:rsidR="00DB274A" w:rsidRPr="00EA6C7A">
        <w:rPr>
          <w:rFonts w:ascii="Verdana" w:hAnsi="Verdana"/>
          <w:sz w:val="20"/>
          <w:szCs w:val="20"/>
          <w:lang w:val="en-US"/>
        </w:rPr>
        <w:t xml:space="preserve"> In addition, they </w:t>
      </w:r>
      <w:r w:rsidR="00803DD4" w:rsidRPr="00EA6C7A">
        <w:rPr>
          <w:rFonts w:ascii="Verdana" w:hAnsi="Verdana"/>
          <w:sz w:val="20"/>
          <w:szCs w:val="20"/>
          <w:lang w:val="en-US"/>
        </w:rPr>
        <w:t xml:space="preserve">referred </w:t>
      </w:r>
      <w:r w:rsidR="00DB274A" w:rsidRPr="00EA6C7A">
        <w:rPr>
          <w:rFonts w:ascii="Verdana" w:hAnsi="Verdana"/>
          <w:sz w:val="20"/>
          <w:szCs w:val="20"/>
          <w:lang w:val="en-US"/>
        </w:rPr>
        <w:t xml:space="preserve">to the fact that the violation of the family’s integrity was constituted because the police agents twice refused to receive the reports that the presumed victim was missing and, therefore, failed to investigate her disappearance effectively. Likewise, the inopportune arrival to take fingerprints during </w:t>
      </w:r>
      <w:r w:rsidR="00DB274A" w:rsidRPr="00EA6C7A">
        <w:rPr>
          <w:rFonts w:ascii="Verdana" w:eastAsia="Calibri" w:hAnsi="Verdana"/>
          <w:sz w:val="20"/>
          <w:szCs w:val="20"/>
          <w:lang w:val="en-US"/>
        </w:rPr>
        <w:t>Claudina Velásquez’s</w:t>
      </w:r>
      <w:r w:rsidR="00DB274A" w:rsidRPr="00EA6C7A">
        <w:rPr>
          <w:rFonts w:ascii="Verdana" w:hAnsi="Verdana"/>
          <w:sz w:val="20"/>
          <w:szCs w:val="20"/>
          <w:lang w:val="en-US"/>
        </w:rPr>
        <w:t xml:space="preserve"> funeral victimized the family and showed a serious lack of respect for their mental and moral integrity. They also pointed out that the family had suffered owing to the disdain, indifference and </w:t>
      </w:r>
      <w:r w:rsidR="00E83B6D" w:rsidRPr="00EA6C7A">
        <w:rPr>
          <w:rFonts w:ascii="Verdana" w:hAnsi="Verdana"/>
          <w:sz w:val="20"/>
          <w:szCs w:val="20"/>
          <w:lang w:val="en-US"/>
        </w:rPr>
        <w:t>negligence</w:t>
      </w:r>
      <w:r w:rsidR="00DB274A" w:rsidRPr="00EA6C7A">
        <w:rPr>
          <w:rFonts w:ascii="Verdana" w:hAnsi="Verdana"/>
          <w:sz w:val="20"/>
          <w:szCs w:val="20"/>
          <w:lang w:val="en-US"/>
        </w:rPr>
        <w:t xml:space="preserve"> of the prosecutors and officials who have been in charge of the case and who obliged them to repeat the same story </w:t>
      </w:r>
      <w:r w:rsidR="00102ACB" w:rsidRPr="00EA6C7A">
        <w:rPr>
          <w:rFonts w:ascii="Verdana" w:hAnsi="Verdana"/>
          <w:sz w:val="20"/>
          <w:szCs w:val="20"/>
          <w:lang w:val="en-US"/>
        </w:rPr>
        <w:t>numerous</w:t>
      </w:r>
      <w:r w:rsidR="00DB274A" w:rsidRPr="00EA6C7A">
        <w:rPr>
          <w:rFonts w:ascii="Verdana" w:hAnsi="Verdana"/>
          <w:sz w:val="20"/>
          <w:szCs w:val="20"/>
          <w:lang w:val="en-US"/>
        </w:rPr>
        <w:t xml:space="preserve"> times, with the resulting pain and emotional distress that this caused. All the foregoing added to the serious errors incurred by the different public officials who have taken part in the investigation process. In their final written arguments, they asserted that </w:t>
      </w:r>
      <w:r w:rsidR="0020127B" w:rsidRPr="00EA6C7A">
        <w:rPr>
          <w:rFonts w:ascii="Verdana" w:hAnsi="Verdana"/>
          <w:sz w:val="20"/>
          <w:szCs w:val="20"/>
          <w:lang w:val="en-US"/>
        </w:rPr>
        <w:t>Jorge</w:t>
      </w:r>
      <w:r w:rsidR="0025015F" w:rsidRPr="00EA6C7A">
        <w:rPr>
          <w:rFonts w:ascii="Verdana" w:hAnsi="Verdana"/>
          <w:sz w:val="20"/>
          <w:szCs w:val="20"/>
          <w:lang w:val="en-US"/>
        </w:rPr>
        <w:t xml:space="preserve"> Velásquez ha</w:t>
      </w:r>
      <w:r w:rsidR="00DB274A" w:rsidRPr="00EA6C7A">
        <w:rPr>
          <w:rFonts w:ascii="Verdana" w:hAnsi="Verdana"/>
          <w:sz w:val="20"/>
          <w:szCs w:val="20"/>
          <w:lang w:val="en-US"/>
        </w:rPr>
        <w:t xml:space="preserve">d </w:t>
      </w:r>
      <w:r w:rsidR="00E72ECF" w:rsidRPr="00EA6C7A">
        <w:rPr>
          <w:rFonts w:ascii="Verdana" w:hAnsi="Verdana"/>
          <w:sz w:val="20"/>
          <w:szCs w:val="20"/>
          <w:lang w:val="en-US"/>
        </w:rPr>
        <w:t>given impetus to the investigative actions aimed at discovering the truth of what happened to his daughter, and that this had caused the family “suffering, anguish, uncertainty, frustration and impotence in the face of the [omissions of the] State authorities.”</w:t>
      </w:r>
    </w:p>
    <w:p w14:paraId="73180EF0" w14:textId="77777777" w:rsidR="0025015F" w:rsidRPr="00EA6C7A" w:rsidRDefault="0025015F" w:rsidP="00E72ECF">
      <w:pPr>
        <w:pStyle w:val="ColorfulList-Accent11"/>
        <w:tabs>
          <w:tab w:val="left" w:pos="720"/>
        </w:tabs>
        <w:autoSpaceDE w:val="0"/>
        <w:autoSpaceDN w:val="0"/>
        <w:adjustRightInd w:val="0"/>
        <w:spacing w:after="0" w:line="240" w:lineRule="auto"/>
        <w:ind w:left="0"/>
        <w:contextualSpacing w:val="0"/>
        <w:jc w:val="both"/>
        <w:rPr>
          <w:rFonts w:ascii="Verdana" w:eastAsia="Calibri" w:hAnsi="Verdana"/>
          <w:lang w:val="en-US"/>
        </w:rPr>
      </w:pPr>
    </w:p>
    <w:p w14:paraId="7D01FD34" w14:textId="77777777" w:rsidR="0025015F" w:rsidRPr="00EA6C7A" w:rsidRDefault="00E72ECF" w:rsidP="00E72ECF">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hAnsi="Verdana"/>
          <w:sz w:val="20"/>
          <w:szCs w:val="20"/>
          <w:lang w:val="en-US"/>
        </w:rPr>
        <w:t>T</w:t>
      </w:r>
      <w:r w:rsidR="00E43A75" w:rsidRPr="00EA6C7A">
        <w:rPr>
          <w:rFonts w:ascii="Verdana" w:hAnsi="Verdana"/>
          <w:sz w:val="20"/>
          <w:szCs w:val="20"/>
          <w:lang w:val="en-US"/>
        </w:rPr>
        <w:t>he representatives</w:t>
      </w:r>
      <w:r w:rsidR="0025015F" w:rsidRPr="00EA6C7A">
        <w:rPr>
          <w:rFonts w:ascii="Verdana" w:hAnsi="Verdana"/>
          <w:sz w:val="20"/>
          <w:szCs w:val="20"/>
          <w:lang w:val="en-US"/>
        </w:rPr>
        <w:t xml:space="preserve"> </w:t>
      </w:r>
      <w:r w:rsidRPr="00EA6C7A">
        <w:rPr>
          <w:rFonts w:ascii="Verdana" w:hAnsi="Verdana"/>
          <w:sz w:val="20"/>
          <w:szCs w:val="20"/>
          <w:lang w:val="en-US"/>
        </w:rPr>
        <w:t xml:space="preserve">also alleged the violation </w:t>
      </w:r>
      <w:r w:rsidR="001914FC" w:rsidRPr="00EA6C7A">
        <w:rPr>
          <w:rFonts w:ascii="Verdana" w:hAnsi="Verdana"/>
          <w:sz w:val="20"/>
          <w:szCs w:val="20"/>
          <w:lang w:val="en-US"/>
        </w:rPr>
        <w:t>of Article</w:t>
      </w:r>
      <w:r w:rsidR="0025015F" w:rsidRPr="00EA6C7A">
        <w:rPr>
          <w:rFonts w:ascii="Verdana" w:hAnsi="Verdana"/>
          <w:sz w:val="20"/>
          <w:szCs w:val="20"/>
          <w:lang w:val="en-US"/>
        </w:rPr>
        <w:t xml:space="preserve"> 11, </w:t>
      </w:r>
      <w:r w:rsidR="002B325A" w:rsidRPr="00EA6C7A">
        <w:rPr>
          <w:rFonts w:ascii="Verdana" w:hAnsi="Verdana"/>
          <w:sz w:val="20"/>
          <w:szCs w:val="20"/>
          <w:lang w:val="en-US"/>
        </w:rPr>
        <w:t>in relation to Article</w:t>
      </w:r>
      <w:r w:rsidR="00515C34" w:rsidRPr="00EA6C7A">
        <w:rPr>
          <w:rFonts w:ascii="Verdana" w:hAnsi="Verdana"/>
          <w:sz w:val="20"/>
          <w:szCs w:val="20"/>
          <w:lang w:val="en-US"/>
        </w:rPr>
        <w:t xml:space="preserve"> 1(1)</w:t>
      </w:r>
      <w:r w:rsidR="0096418F" w:rsidRPr="00EA6C7A">
        <w:rPr>
          <w:rFonts w:ascii="Verdana" w:hAnsi="Verdana"/>
          <w:sz w:val="20"/>
          <w:szCs w:val="20"/>
          <w:lang w:val="en-US"/>
        </w:rPr>
        <w:t xml:space="preserve"> of the </w:t>
      </w:r>
      <w:r w:rsidRPr="00EA6C7A">
        <w:rPr>
          <w:rFonts w:ascii="Verdana" w:hAnsi="Verdana"/>
          <w:sz w:val="20"/>
          <w:szCs w:val="20"/>
          <w:lang w:val="en-US"/>
        </w:rPr>
        <w:t xml:space="preserve">American </w:t>
      </w:r>
      <w:r w:rsidR="0096418F" w:rsidRPr="00EA6C7A">
        <w:rPr>
          <w:rFonts w:ascii="Verdana" w:hAnsi="Verdana"/>
          <w:sz w:val="20"/>
          <w:szCs w:val="20"/>
          <w:lang w:val="en-US"/>
        </w:rPr>
        <w:t>Convention</w:t>
      </w:r>
      <w:r w:rsidR="0025015F" w:rsidRPr="00EA6C7A">
        <w:rPr>
          <w:rFonts w:ascii="Verdana" w:hAnsi="Verdana"/>
          <w:sz w:val="20"/>
          <w:szCs w:val="20"/>
          <w:lang w:val="en-US"/>
        </w:rPr>
        <w:t xml:space="preserve">, </w:t>
      </w:r>
      <w:r w:rsidR="00123BD3" w:rsidRPr="00EA6C7A">
        <w:rPr>
          <w:rFonts w:ascii="Verdana" w:eastAsia="Calibri" w:hAnsi="Verdana"/>
          <w:sz w:val="20"/>
          <w:szCs w:val="20"/>
          <w:lang w:val="en-US"/>
        </w:rPr>
        <w:t>to the detriment of</w:t>
      </w:r>
      <w:r w:rsidR="0025015F" w:rsidRPr="00EA6C7A">
        <w:rPr>
          <w:rFonts w:ascii="Verdana" w:eastAsia="Calibri" w:hAnsi="Verdana"/>
          <w:sz w:val="20"/>
          <w:szCs w:val="20"/>
          <w:lang w:val="en-US"/>
        </w:rPr>
        <w:t xml:space="preserve"> Claudina Velásquez Paiz</w:t>
      </w:r>
      <w:r w:rsidR="00D948A1" w:rsidRPr="00EA6C7A">
        <w:rPr>
          <w:rFonts w:ascii="Verdana" w:eastAsia="Calibri" w:hAnsi="Verdana"/>
          <w:sz w:val="20"/>
          <w:szCs w:val="20"/>
          <w:lang w:val="en-US"/>
        </w:rPr>
        <w:t xml:space="preserve"> and </w:t>
      </w:r>
      <w:r w:rsidRPr="00EA6C7A">
        <w:rPr>
          <w:rFonts w:ascii="Verdana" w:eastAsia="Calibri" w:hAnsi="Verdana"/>
          <w:sz w:val="20"/>
          <w:szCs w:val="20"/>
          <w:lang w:val="en-US"/>
        </w:rPr>
        <w:t>her family, owing to the treatment accorded to her mortal remains, because: (i) officials from the Public Prosecution Service had interrupted the family’s wake in the funeral home “in a deplorable way” to take fingerprints from the body</w:t>
      </w:r>
      <w:r w:rsidR="0025015F" w:rsidRPr="00EA6C7A">
        <w:rPr>
          <w:rFonts w:ascii="Verdana" w:hAnsi="Verdana"/>
          <w:sz w:val="20"/>
          <w:szCs w:val="20"/>
          <w:lang w:val="en-US"/>
        </w:rPr>
        <w:t xml:space="preserve">; </w:t>
      </w:r>
      <w:r w:rsidRPr="00EA6C7A">
        <w:rPr>
          <w:rFonts w:ascii="Verdana" w:hAnsi="Verdana"/>
          <w:sz w:val="20"/>
          <w:szCs w:val="20"/>
          <w:lang w:val="en-US"/>
        </w:rPr>
        <w:t>(</w:t>
      </w:r>
      <w:r w:rsidR="0025015F" w:rsidRPr="00EA6C7A">
        <w:rPr>
          <w:rFonts w:ascii="Verdana" w:hAnsi="Verdana"/>
          <w:sz w:val="20"/>
          <w:szCs w:val="20"/>
          <w:lang w:val="en-US"/>
        </w:rPr>
        <w:t xml:space="preserve">ii) </w:t>
      </w:r>
      <w:r w:rsidRPr="00EA6C7A">
        <w:rPr>
          <w:rFonts w:ascii="Verdana" w:hAnsi="Verdana"/>
          <w:sz w:val="20"/>
          <w:szCs w:val="20"/>
          <w:lang w:val="en-US"/>
        </w:rPr>
        <w:t xml:space="preserve">the corpse had already been </w:t>
      </w:r>
      <w:r w:rsidR="00102ACB" w:rsidRPr="00EA6C7A">
        <w:rPr>
          <w:rFonts w:ascii="Verdana" w:hAnsi="Verdana"/>
          <w:sz w:val="20"/>
          <w:szCs w:val="20"/>
          <w:lang w:val="en-US"/>
        </w:rPr>
        <w:t>tampered with</w:t>
      </w:r>
      <w:r w:rsidRPr="00EA6C7A">
        <w:rPr>
          <w:rFonts w:ascii="Verdana" w:hAnsi="Verdana"/>
          <w:sz w:val="20"/>
          <w:szCs w:val="20"/>
          <w:lang w:val="en-US"/>
        </w:rPr>
        <w:t xml:space="preserve"> before it was examined officially, as indicated in the report</w:t>
      </w:r>
      <w:r w:rsidR="003F510E" w:rsidRPr="00EA6C7A">
        <w:rPr>
          <w:rFonts w:ascii="Verdana" w:hAnsi="Verdana"/>
          <w:sz w:val="20"/>
          <w:szCs w:val="20"/>
          <w:lang w:val="en-US"/>
        </w:rPr>
        <w:t xml:space="preserve"> of the </w:t>
      </w:r>
      <w:r w:rsidR="000821BA" w:rsidRPr="00EA6C7A">
        <w:rPr>
          <w:rFonts w:ascii="Verdana" w:hAnsi="Verdana"/>
          <w:sz w:val="20"/>
          <w:szCs w:val="20"/>
          <w:lang w:val="en-US"/>
        </w:rPr>
        <w:t>forensic physician</w:t>
      </w:r>
      <w:r w:rsidR="0025015F" w:rsidRPr="00EA6C7A">
        <w:rPr>
          <w:rFonts w:ascii="Verdana" w:hAnsi="Verdana"/>
          <w:sz w:val="20"/>
          <w:szCs w:val="20"/>
          <w:lang w:val="en-US"/>
        </w:rPr>
        <w:t>,</w:t>
      </w:r>
      <w:r w:rsidR="00D948A1" w:rsidRPr="00EA6C7A">
        <w:rPr>
          <w:rFonts w:ascii="Verdana" w:hAnsi="Verdana"/>
          <w:sz w:val="20"/>
          <w:szCs w:val="20"/>
          <w:lang w:val="en-US"/>
        </w:rPr>
        <w:t xml:space="preserve"> and </w:t>
      </w:r>
      <w:r w:rsidRPr="00EA6C7A">
        <w:rPr>
          <w:rFonts w:ascii="Verdana" w:hAnsi="Verdana"/>
          <w:sz w:val="20"/>
          <w:szCs w:val="20"/>
          <w:lang w:val="en-US"/>
        </w:rPr>
        <w:t>(</w:t>
      </w:r>
      <w:r w:rsidR="0025015F" w:rsidRPr="00EA6C7A">
        <w:rPr>
          <w:rFonts w:ascii="Verdana" w:hAnsi="Verdana"/>
          <w:sz w:val="20"/>
          <w:szCs w:val="20"/>
          <w:lang w:val="en-US"/>
        </w:rPr>
        <w:t xml:space="preserve">iii) </w:t>
      </w:r>
      <w:r w:rsidRPr="00EA6C7A">
        <w:rPr>
          <w:rFonts w:ascii="Verdana" w:hAnsi="Verdana"/>
          <w:sz w:val="20"/>
          <w:szCs w:val="20"/>
          <w:lang w:val="en-US"/>
        </w:rPr>
        <w:t xml:space="preserve">the officials had </w:t>
      </w:r>
      <w:r w:rsidRPr="00EA6C7A">
        <w:rPr>
          <w:rFonts w:ascii="Verdana" w:hAnsi="Verdana"/>
          <w:sz w:val="20"/>
          <w:szCs w:val="20"/>
          <w:lang w:val="en-US"/>
        </w:rPr>
        <w:lastRenderedPageBreak/>
        <w:t>continued to refer to the corpse as</w:t>
      </w:r>
      <w:r w:rsidR="0025015F" w:rsidRPr="00EA6C7A">
        <w:rPr>
          <w:rFonts w:ascii="Verdana" w:hAnsi="Verdana"/>
          <w:sz w:val="20"/>
          <w:szCs w:val="20"/>
          <w:lang w:val="en-US"/>
        </w:rPr>
        <w:t xml:space="preserve"> “XX”</w:t>
      </w:r>
      <w:r w:rsidRPr="00EA6C7A">
        <w:rPr>
          <w:rFonts w:ascii="Verdana" w:hAnsi="Verdana"/>
          <w:sz w:val="20"/>
          <w:szCs w:val="20"/>
          <w:lang w:val="en-US"/>
        </w:rPr>
        <w:t xml:space="preserve"> following its identification. These facts, together with the numerous other alleged errors in the autopsy revealed a complete lack of respect for the honor and dignity of </w:t>
      </w:r>
      <w:r w:rsidR="0025015F" w:rsidRPr="00EA6C7A">
        <w:rPr>
          <w:rFonts w:ascii="Verdana" w:eastAsia="Calibri" w:hAnsi="Verdana"/>
          <w:sz w:val="20"/>
          <w:szCs w:val="20"/>
          <w:lang w:val="en-US"/>
        </w:rPr>
        <w:t>Claudina Velásquez</w:t>
      </w:r>
      <w:r w:rsidR="00D948A1" w:rsidRPr="00EA6C7A">
        <w:rPr>
          <w:rFonts w:ascii="Verdana" w:eastAsia="Calibri" w:hAnsi="Verdana"/>
          <w:sz w:val="20"/>
          <w:szCs w:val="20"/>
          <w:lang w:val="en-US"/>
        </w:rPr>
        <w:t xml:space="preserve"> and </w:t>
      </w:r>
      <w:r w:rsidRPr="00EA6C7A">
        <w:rPr>
          <w:rFonts w:ascii="Verdana" w:eastAsia="Calibri" w:hAnsi="Verdana"/>
          <w:sz w:val="20"/>
          <w:szCs w:val="20"/>
          <w:lang w:val="en-US"/>
        </w:rPr>
        <w:t>her family members.</w:t>
      </w:r>
    </w:p>
    <w:p w14:paraId="505BA302" w14:textId="77777777" w:rsidR="0025015F" w:rsidRPr="00EA6C7A" w:rsidRDefault="0025015F" w:rsidP="0025015F">
      <w:pPr>
        <w:spacing w:after="0" w:line="240" w:lineRule="auto"/>
        <w:jc w:val="both"/>
        <w:rPr>
          <w:rFonts w:ascii="Verdana" w:hAnsi="Verdana"/>
          <w:sz w:val="20"/>
          <w:szCs w:val="20"/>
          <w:lang w:val="en-US"/>
        </w:rPr>
      </w:pPr>
    </w:p>
    <w:p w14:paraId="66896BF3" w14:textId="77777777" w:rsidR="0025015F" w:rsidRPr="00EA6C7A" w:rsidRDefault="002F3848" w:rsidP="00AA65AB">
      <w:pPr>
        <w:numPr>
          <w:ilvl w:val="0"/>
          <w:numId w:val="3"/>
        </w:numPr>
        <w:tabs>
          <w:tab w:val="left" w:pos="720"/>
        </w:tabs>
        <w:spacing w:after="0" w:line="240" w:lineRule="auto"/>
        <w:ind w:left="0" w:firstLine="0"/>
        <w:jc w:val="both"/>
        <w:rPr>
          <w:rFonts w:ascii="Verdana" w:hAnsi="Verdana"/>
          <w:sz w:val="20"/>
          <w:szCs w:val="20"/>
          <w:lang w:val="en-US"/>
        </w:rPr>
      </w:pPr>
      <w:r w:rsidRPr="00EA6C7A">
        <w:rPr>
          <w:rFonts w:ascii="Verdana" w:hAnsi="Verdana"/>
          <w:sz w:val="20"/>
          <w:szCs w:val="20"/>
          <w:lang w:val="en-US"/>
        </w:rPr>
        <w:t xml:space="preserve">The </w:t>
      </w:r>
      <w:r w:rsidRPr="00EA6C7A">
        <w:rPr>
          <w:rFonts w:ascii="Verdana" w:hAnsi="Verdana"/>
          <w:b/>
          <w:bCs/>
          <w:i/>
          <w:iCs/>
          <w:sz w:val="20"/>
          <w:szCs w:val="20"/>
          <w:lang w:val="en-US"/>
        </w:rPr>
        <w:t>State</w:t>
      </w:r>
      <w:r w:rsidR="0025015F" w:rsidRPr="00EA6C7A">
        <w:rPr>
          <w:rFonts w:ascii="Verdana" w:hAnsi="Verdana"/>
          <w:sz w:val="20"/>
          <w:szCs w:val="20"/>
          <w:lang w:val="en-US"/>
        </w:rPr>
        <w:t xml:space="preserve"> </w:t>
      </w:r>
      <w:r w:rsidR="00AA65AB" w:rsidRPr="00EA6C7A">
        <w:rPr>
          <w:rFonts w:ascii="Verdana" w:hAnsi="Verdana"/>
          <w:sz w:val="20"/>
          <w:szCs w:val="20"/>
          <w:lang w:val="en-US"/>
        </w:rPr>
        <w:t>asserted that</w:t>
      </w:r>
      <w:r w:rsidR="0025015F" w:rsidRPr="00EA6C7A">
        <w:rPr>
          <w:rFonts w:ascii="Verdana" w:hAnsi="Verdana"/>
          <w:sz w:val="20"/>
          <w:szCs w:val="20"/>
          <w:lang w:val="en-US"/>
        </w:rPr>
        <w:t xml:space="preserve"> </w:t>
      </w:r>
      <w:r w:rsidR="00515C34" w:rsidRPr="00EA6C7A">
        <w:rPr>
          <w:rFonts w:ascii="Verdana" w:hAnsi="Verdana"/>
          <w:sz w:val="20"/>
          <w:szCs w:val="20"/>
          <w:lang w:val="en-US"/>
        </w:rPr>
        <w:t>the right to</w:t>
      </w:r>
      <w:r w:rsidR="0025015F" w:rsidRPr="00EA6C7A">
        <w:rPr>
          <w:rFonts w:ascii="Verdana" w:hAnsi="Verdana"/>
          <w:sz w:val="20"/>
          <w:szCs w:val="20"/>
          <w:lang w:val="en-US"/>
        </w:rPr>
        <w:t xml:space="preserve"> </w:t>
      </w:r>
      <w:r w:rsidR="00515C34" w:rsidRPr="00EA6C7A">
        <w:rPr>
          <w:rFonts w:ascii="Verdana" w:hAnsi="Verdana"/>
          <w:sz w:val="20"/>
          <w:szCs w:val="20"/>
          <w:lang w:val="en-US"/>
        </w:rPr>
        <w:t>personal integrity</w:t>
      </w:r>
      <w:r w:rsidR="0025015F" w:rsidRPr="00EA6C7A">
        <w:rPr>
          <w:rFonts w:ascii="Verdana" w:hAnsi="Verdana"/>
          <w:sz w:val="20"/>
          <w:szCs w:val="20"/>
          <w:lang w:val="en-US"/>
        </w:rPr>
        <w:t xml:space="preserve"> </w:t>
      </w:r>
      <w:r w:rsidR="00AA65AB" w:rsidRPr="00EA6C7A">
        <w:rPr>
          <w:rFonts w:ascii="Verdana" w:hAnsi="Verdana"/>
          <w:sz w:val="20"/>
          <w:szCs w:val="20"/>
          <w:lang w:val="en-US"/>
        </w:rPr>
        <w:t>is recognized in its domestic laws. It indicated that the criminal investigation was conducted diligently and in keeping with its resources and that the suffering caused by the facts was “a consequence of their occurrence and was not caused by the State.” It advised that it possesse</w:t>
      </w:r>
      <w:r w:rsidR="00102ACB" w:rsidRPr="00EA6C7A">
        <w:rPr>
          <w:rFonts w:ascii="Verdana" w:hAnsi="Verdana"/>
          <w:sz w:val="20"/>
          <w:szCs w:val="20"/>
          <w:lang w:val="en-US"/>
        </w:rPr>
        <w:t>d</w:t>
      </w:r>
      <w:r w:rsidR="00AA65AB" w:rsidRPr="00EA6C7A">
        <w:rPr>
          <w:rFonts w:ascii="Verdana" w:hAnsi="Verdana"/>
          <w:sz w:val="20"/>
          <w:szCs w:val="20"/>
          <w:lang w:val="en-US"/>
        </w:rPr>
        <w:t xml:space="preserve"> centers that c</w:t>
      </w:r>
      <w:r w:rsidR="00102ACB" w:rsidRPr="00EA6C7A">
        <w:rPr>
          <w:rFonts w:ascii="Verdana" w:hAnsi="Verdana"/>
          <w:sz w:val="20"/>
          <w:szCs w:val="20"/>
          <w:lang w:val="en-US"/>
        </w:rPr>
        <w:t>ould</w:t>
      </w:r>
      <w:r w:rsidR="00AA65AB" w:rsidRPr="00EA6C7A">
        <w:rPr>
          <w:rFonts w:ascii="Verdana" w:hAnsi="Verdana"/>
          <w:sz w:val="20"/>
          <w:szCs w:val="20"/>
          <w:lang w:val="en-US"/>
        </w:rPr>
        <w:t xml:space="preserve"> provide psychological care to the petitioners. However, “there is no record that, at any time, they have requested this support or have been treated”; accordingly, “the State could not even prevent the mental or moral integrity of these people being affected.” It rejected the argument that its officials had treated the family with disdain and indifference. On this basis, the State considered that it was not responsible for the violation </w:t>
      </w:r>
      <w:r w:rsidR="001914FC" w:rsidRPr="00EA6C7A">
        <w:rPr>
          <w:rFonts w:ascii="Verdana" w:hAnsi="Verdana"/>
          <w:sz w:val="20"/>
          <w:szCs w:val="20"/>
          <w:lang w:val="en-US"/>
        </w:rPr>
        <w:t xml:space="preserve">of the </w:t>
      </w:r>
      <w:r w:rsidR="00515C34" w:rsidRPr="00EA6C7A">
        <w:rPr>
          <w:rFonts w:ascii="Verdana" w:hAnsi="Verdana"/>
          <w:sz w:val="20"/>
          <w:szCs w:val="20"/>
          <w:lang w:val="en-US"/>
        </w:rPr>
        <w:t>right to</w:t>
      </w:r>
      <w:r w:rsidR="0025015F" w:rsidRPr="00EA6C7A">
        <w:rPr>
          <w:rFonts w:ascii="Verdana" w:hAnsi="Verdana"/>
          <w:sz w:val="20"/>
          <w:szCs w:val="20"/>
          <w:lang w:val="en-US"/>
        </w:rPr>
        <w:t xml:space="preserve"> </w:t>
      </w:r>
      <w:r w:rsidR="00515C34" w:rsidRPr="00EA6C7A">
        <w:rPr>
          <w:rFonts w:ascii="Verdana" w:hAnsi="Verdana"/>
          <w:sz w:val="20"/>
          <w:szCs w:val="20"/>
          <w:lang w:val="en-US"/>
        </w:rPr>
        <w:t>personal integrity</w:t>
      </w:r>
      <w:r w:rsidR="0025015F" w:rsidRPr="00EA6C7A">
        <w:rPr>
          <w:rFonts w:ascii="Verdana" w:hAnsi="Verdana"/>
          <w:sz w:val="20"/>
          <w:szCs w:val="20"/>
          <w:lang w:val="en-US"/>
        </w:rPr>
        <w:t xml:space="preserve"> </w:t>
      </w:r>
      <w:r w:rsidR="00AA65AB" w:rsidRPr="00EA6C7A">
        <w:rPr>
          <w:rFonts w:ascii="Verdana" w:hAnsi="Verdana"/>
          <w:sz w:val="20"/>
          <w:szCs w:val="20"/>
          <w:lang w:val="en-US"/>
        </w:rPr>
        <w:t>of</w:t>
      </w:r>
      <w:r w:rsidR="0025015F" w:rsidRPr="00EA6C7A">
        <w:rPr>
          <w:rFonts w:ascii="Verdana" w:hAnsi="Verdana"/>
          <w:sz w:val="20"/>
          <w:szCs w:val="20"/>
          <w:lang w:val="en-US"/>
        </w:rPr>
        <w:t xml:space="preserve"> </w:t>
      </w:r>
      <w:r w:rsidR="00123BD3" w:rsidRPr="00EA6C7A">
        <w:rPr>
          <w:rFonts w:ascii="Verdana" w:hAnsi="Verdana"/>
          <w:sz w:val="20"/>
          <w:szCs w:val="20"/>
          <w:lang w:val="en-US"/>
        </w:rPr>
        <w:t>the next of kin of</w:t>
      </w:r>
      <w:r w:rsidR="0025015F" w:rsidRPr="00EA6C7A">
        <w:rPr>
          <w:rFonts w:ascii="Verdana" w:hAnsi="Verdana"/>
          <w:sz w:val="20"/>
          <w:szCs w:val="20"/>
          <w:lang w:val="en-US"/>
        </w:rPr>
        <w:t xml:space="preserve"> Claudina Velásquez.</w:t>
      </w:r>
      <w:r w:rsidR="0025015F" w:rsidRPr="00EA6C7A">
        <w:rPr>
          <w:rFonts w:ascii="Verdana" w:hAnsi="Verdana"/>
          <w:b/>
          <w:sz w:val="20"/>
          <w:szCs w:val="20"/>
          <w:lang w:val="en-US"/>
        </w:rPr>
        <w:t xml:space="preserve"> </w:t>
      </w:r>
    </w:p>
    <w:p w14:paraId="40FF3C84" w14:textId="77777777" w:rsidR="0025015F" w:rsidRPr="00EA6C7A" w:rsidRDefault="0025015F" w:rsidP="0025015F">
      <w:pPr>
        <w:pStyle w:val="ColorfulList-Accent11"/>
        <w:autoSpaceDE w:val="0"/>
        <w:autoSpaceDN w:val="0"/>
        <w:adjustRightInd w:val="0"/>
        <w:spacing w:after="0" w:line="240" w:lineRule="auto"/>
        <w:ind w:left="0"/>
        <w:contextualSpacing w:val="0"/>
        <w:jc w:val="both"/>
        <w:rPr>
          <w:rFonts w:ascii="Verdana" w:hAnsi="Verdana"/>
          <w:lang w:val="en-US"/>
        </w:rPr>
      </w:pPr>
    </w:p>
    <w:p w14:paraId="1AC17BBB" w14:textId="77777777" w:rsidR="00AA65AB" w:rsidRPr="00EA6C7A" w:rsidRDefault="00AA65AB" w:rsidP="00AA65AB">
      <w:pPr>
        <w:numPr>
          <w:ilvl w:val="0"/>
          <w:numId w:val="3"/>
        </w:numPr>
        <w:tabs>
          <w:tab w:val="left" w:pos="720"/>
        </w:tabs>
        <w:spacing w:after="0" w:line="240" w:lineRule="auto"/>
        <w:ind w:left="0" w:firstLine="0"/>
        <w:jc w:val="both"/>
        <w:rPr>
          <w:rFonts w:ascii="Verdana" w:hAnsi="Verdana"/>
          <w:sz w:val="20"/>
          <w:szCs w:val="20"/>
          <w:lang w:val="en-US"/>
        </w:rPr>
      </w:pPr>
      <w:r w:rsidRPr="00EA6C7A">
        <w:rPr>
          <w:rFonts w:ascii="Verdana" w:hAnsi="Verdana"/>
          <w:sz w:val="20"/>
          <w:szCs w:val="20"/>
          <w:lang w:val="en-US"/>
        </w:rPr>
        <w:t>In addition</w:t>
      </w:r>
      <w:r w:rsidR="0025015F" w:rsidRPr="00EA6C7A">
        <w:rPr>
          <w:rFonts w:ascii="Verdana" w:hAnsi="Verdana"/>
          <w:sz w:val="20"/>
          <w:szCs w:val="20"/>
          <w:lang w:val="en-US"/>
        </w:rPr>
        <w:t>, Guatemala argu</w:t>
      </w:r>
      <w:r w:rsidRPr="00EA6C7A">
        <w:rPr>
          <w:rFonts w:ascii="Verdana" w:hAnsi="Verdana"/>
          <w:sz w:val="20"/>
          <w:szCs w:val="20"/>
          <w:lang w:val="en-US"/>
        </w:rPr>
        <w:t xml:space="preserve">ed, with regard to protection of honor and </w:t>
      </w:r>
      <w:r w:rsidR="00E97764" w:rsidRPr="00EA6C7A">
        <w:rPr>
          <w:rFonts w:ascii="Verdana" w:hAnsi="Verdana"/>
          <w:sz w:val="20"/>
          <w:szCs w:val="20"/>
          <w:lang w:val="en-US"/>
        </w:rPr>
        <w:t xml:space="preserve">recognition of </w:t>
      </w:r>
      <w:r w:rsidRPr="00EA6C7A">
        <w:rPr>
          <w:rFonts w:ascii="Verdana" w:hAnsi="Verdana"/>
          <w:sz w:val="20"/>
          <w:szCs w:val="20"/>
          <w:lang w:val="en-US"/>
        </w:rPr>
        <w:t xml:space="preserve">dignity, </w:t>
      </w:r>
      <w:r w:rsidR="00102ACB" w:rsidRPr="00EA6C7A">
        <w:rPr>
          <w:rFonts w:ascii="Verdana" w:hAnsi="Verdana"/>
          <w:sz w:val="20"/>
          <w:szCs w:val="20"/>
          <w:lang w:val="en-US"/>
        </w:rPr>
        <w:t xml:space="preserve">that </w:t>
      </w:r>
      <w:r w:rsidRPr="00EA6C7A">
        <w:rPr>
          <w:rFonts w:ascii="Verdana" w:hAnsi="Verdana"/>
          <w:sz w:val="20"/>
          <w:szCs w:val="20"/>
          <w:lang w:val="en-US"/>
        </w:rPr>
        <w:t>under no circumstances had</w:t>
      </w:r>
      <w:r w:rsidR="0025015F" w:rsidRPr="00EA6C7A">
        <w:rPr>
          <w:rFonts w:ascii="Verdana" w:hAnsi="Verdana"/>
          <w:sz w:val="20"/>
          <w:szCs w:val="20"/>
          <w:lang w:val="en-US"/>
        </w:rPr>
        <w:t xml:space="preserve"> </w:t>
      </w:r>
      <w:r w:rsidR="0096418F" w:rsidRPr="00EA6C7A">
        <w:rPr>
          <w:rFonts w:ascii="Verdana" w:hAnsi="Verdana"/>
          <w:sz w:val="20"/>
          <w:szCs w:val="20"/>
          <w:lang w:val="en-US"/>
        </w:rPr>
        <w:t>Article</w:t>
      </w:r>
      <w:r w:rsidR="0025015F" w:rsidRPr="00EA6C7A">
        <w:rPr>
          <w:rFonts w:ascii="Verdana" w:hAnsi="Verdana"/>
          <w:sz w:val="20"/>
          <w:szCs w:val="20"/>
          <w:lang w:val="en-US"/>
        </w:rPr>
        <w:t xml:space="preserve"> 11</w:t>
      </w:r>
      <w:r w:rsidR="0096418F" w:rsidRPr="00EA6C7A">
        <w:rPr>
          <w:rFonts w:ascii="Verdana" w:hAnsi="Verdana"/>
          <w:sz w:val="20"/>
          <w:szCs w:val="20"/>
          <w:lang w:val="en-US"/>
        </w:rPr>
        <w:t xml:space="preserve"> of the American Convention</w:t>
      </w:r>
      <w:r w:rsidRPr="00EA6C7A">
        <w:rPr>
          <w:rFonts w:ascii="Verdana" w:hAnsi="Verdana"/>
          <w:sz w:val="20"/>
          <w:szCs w:val="20"/>
          <w:lang w:val="en-US"/>
        </w:rPr>
        <w:t xml:space="preserve"> been violated. It affirmed that fingerprinting was a necessary procedure in the investigation and that, even though it was carried out during the presumed victim’s funeral, it was not done in public, and the next of kin had authorized the State officials to conduct this procedure. Regarding the identification of the corpse as ”XX” and the alleged errors committed during the investigation, it underlined that they had been rectified and the person responsible sanctioned, and that </w:t>
      </w:r>
      <w:r w:rsidR="00102ACB" w:rsidRPr="00EA6C7A">
        <w:rPr>
          <w:rFonts w:ascii="Verdana" w:hAnsi="Verdana"/>
          <w:sz w:val="20"/>
          <w:szCs w:val="20"/>
          <w:lang w:val="en-US"/>
        </w:rPr>
        <w:t>such errors</w:t>
      </w:r>
      <w:r w:rsidRPr="00EA6C7A">
        <w:rPr>
          <w:rFonts w:ascii="Verdana" w:hAnsi="Verdana"/>
          <w:sz w:val="20"/>
          <w:szCs w:val="20"/>
          <w:lang w:val="en-US"/>
        </w:rPr>
        <w:t xml:space="preserve"> represented a small percentage of all the procedures that had been conducted during the investigation.</w:t>
      </w:r>
    </w:p>
    <w:p w14:paraId="0BB47E5E" w14:textId="77777777" w:rsidR="0025015F" w:rsidRPr="00EA6C7A" w:rsidRDefault="0025015F" w:rsidP="0025015F">
      <w:pPr>
        <w:pStyle w:val="Sentencia2"/>
        <w:rPr>
          <w:sz w:val="16"/>
          <w:lang w:val="en-US"/>
        </w:rPr>
      </w:pPr>
    </w:p>
    <w:p w14:paraId="26608FED" w14:textId="77777777" w:rsidR="0025015F" w:rsidRPr="00EA6C7A" w:rsidRDefault="0025015F" w:rsidP="0025015F">
      <w:pPr>
        <w:pStyle w:val="Sentencia3"/>
        <w:rPr>
          <w:b/>
          <w:i w:val="0"/>
          <w:lang w:val="en-US"/>
        </w:rPr>
      </w:pPr>
      <w:bookmarkStart w:id="91" w:name="_Toc26002329"/>
      <w:r w:rsidRPr="00EA6C7A">
        <w:rPr>
          <w:b/>
          <w:i w:val="0"/>
          <w:lang w:val="en-US"/>
        </w:rPr>
        <w:t xml:space="preserve">B. </w:t>
      </w:r>
      <w:r w:rsidR="008524CB" w:rsidRPr="00EA6C7A">
        <w:rPr>
          <w:b/>
          <w:i w:val="0"/>
          <w:lang w:val="en-US"/>
        </w:rPr>
        <w:t>Considerations of the</w:t>
      </w:r>
      <w:r w:rsidR="0096418F" w:rsidRPr="00EA6C7A">
        <w:rPr>
          <w:b/>
          <w:i w:val="0"/>
          <w:lang w:val="en-US"/>
        </w:rPr>
        <w:t xml:space="preserve"> Court</w:t>
      </w:r>
      <w:bookmarkEnd w:id="91"/>
    </w:p>
    <w:p w14:paraId="617E3E47" w14:textId="77777777" w:rsidR="0025015F" w:rsidRPr="00EA6C7A" w:rsidRDefault="0025015F" w:rsidP="0025015F">
      <w:pPr>
        <w:pStyle w:val="Prrafodelista"/>
        <w:tabs>
          <w:tab w:val="left" w:pos="2410"/>
        </w:tabs>
        <w:autoSpaceDE w:val="0"/>
        <w:autoSpaceDN w:val="0"/>
        <w:adjustRightInd w:val="0"/>
        <w:spacing w:after="0" w:line="240" w:lineRule="auto"/>
        <w:ind w:left="0"/>
        <w:jc w:val="both"/>
        <w:rPr>
          <w:rFonts w:ascii="Verdana" w:hAnsi="Verdana" w:cs="Arial"/>
          <w:sz w:val="16"/>
          <w:szCs w:val="20"/>
          <w:lang w:val="en-US"/>
        </w:rPr>
      </w:pPr>
    </w:p>
    <w:p w14:paraId="43281910" w14:textId="77777777" w:rsidR="0025015F" w:rsidRPr="00EA6C7A" w:rsidRDefault="0096418F" w:rsidP="00E11A7C">
      <w:pPr>
        <w:pStyle w:val="ColorfulList-Accent11"/>
        <w:numPr>
          <w:ilvl w:val="0"/>
          <w:numId w:val="3"/>
        </w:numPr>
        <w:autoSpaceDE w:val="0"/>
        <w:autoSpaceDN w:val="0"/>
        <w:adjustRightInd w:val="0"/>
        <w:spacing w:after="0" w:line="240" w:lineRule="auto"/>
        <w:ind w:left="0" w:firstLine="0"/>
        <w:contextualSpacing w:val="0"/>
        <w:jc w:val="both"/>
        <w:rPr>
          <w:rFonts w:ascii="Verdana" w:hAnsi="Verdana"/>
          <w:lang w:val="en-US" w:eastAsia="es-MX"/>
        </w:rPr>
      </w:pPr>
      <w:r w:rsidRPr="00EA6C7A">
        <w:rPr>
          <w:rFonts w:ascii="Verdana" w:hAnsi="Verdana"/>
          <w:lang w:val="en-US" w:eastAsia="es-MX"/>
        </w:rPr>
        <w:t>The Court</w:t>
      </w:r>
      <w:r w:rsidR="0025015F" w:rsidRPr="00EA6C7A">
        <w:rPr>
          <w:rFonts w:ascii="Verdana" w:hAnsi="Verdana"/>
          <w:lang w:val="en-US" w:eastAsia="es-MX"/>
        </w:rPr>
        <w:t xml:space="preserve"> ha</w:t>
      </w:r>
      <w:r w:rsidR="001F5139" w:rsidRPr="00EA6C7A">
        <w:rPr>
          <w:rFonts w:ascii="Verdana" w:hAnsi="Verdana"/>
          <w:lang w:val="en-US" w:eastAsia="es-MX"/>
        </w:rPr>
        <w:t xml:space="preserve">s indicated on other occasions that </w:t>
      </w:r>
      <w:r w:rsidR="00123BD3" w:rsidRPr="00EA6C7A">
        <w:rPr>
          <w:rFonts w:ascii="Verdana" w:hAnsi="Verdana"/>
          <w:lang w:val="en-US" w:eastAsia="es-MX"/>
        </w:rPr>
        <w:t>the next of kin of</w:t>
      </w:r>
      <w:r w:rsidR="0025015F" w:rsidRPr="00EA6C7A">
        <w:rPr>
          <w:rFonts w:ascii="Verdana" w:hAnsi="Verdana"/>
          <w:lang w:val="en-US" w:eastAsia="es-MX"/>
        </w:rPr>
        <w:t xml:space="preserve"> </w:t>
      </w:r>
      <w:r w:rsidR="001F5139" w:rsidRPr="00EA6C7A">
        <w:rPr>
          <w:rFonts w:ascii="Verdana" w:hAnsi="Verdana"/>
          <w:lang w:val="en-US" w:eastAsia="es-MX"/>
        </w:rPr>
        <w:t>victims of human rights violations may also be victims.</w:t>
      </w:r>
      <w:r w:rsidR="0025015F" w:rsidRPr="00EA6C7A">
        <w:rPr>
          <w:rFonts w:ascii="Verdana" w:hAnsi="Verdana"/>
          <w:vertAlign w:val="superscript"/>
          <w:lang w:val="en-US" w:eastAsia="es-MX"/>
        </w:rPr>
        <w:footnoteReference w:id="301"/>
      </w:r>
      <w:r w:rsidR="001F5139" w:rsidRPr="00EA6C7A">
        <w:rPr>
          <w:rFonts w:ascii="Verdana" w:hAnsi="Verdana"/>
          <w:lang w:val="en-US" w:eastAsia="es-MX"/>
        </w:rPr>
        <w:t xml:space="preserve"> The Court has considered that </w:t>
      </w:r>
      <w:r w:rsidR="00515C34" w:rsidRPr="00EA6C7A">
        <w:rPr>
          <w:rFonts w:ascii="Verdana" w:hAnsi="Verdana"/>
          <w:lang w:val="en-US" w:eastAsia="es-MX"/>
        </w:rPr>
        <w:t>the right to</w:t>
      </w:r>
      <w:r w:rsidR="001F5139" w:rsidRPr="00EA6C7A">
        <w:rPr>
          <w:rFonts w:ascii="Verdana" w:hAnsi="Verdana"/>
          <w:lang w:val="en-US" w:eastAsia="es-MX"/>
        </w:rPr>
        <w:t xml:space="preserve"> mental and moral integrity of some family members has been violated owing to the suffering they have endured as a result of the acts or omissions of the State authorities,</w:t>
      </w:r>
      <w:r w:rsidR="0025015F" w:rsidRPr="00EA6C7A">
        <w:rPr>
          <w:rFonts w:ascii="Verdana" w:hAnsi="Verdana"/>
          <w:vertAlign w:val="superscript"/>
          <w:lang w:val="en-US" w:eastAsia="es-MX"/>
        </w:rPr>
        <w:footnoteReference w:id="302"/>
      </w:r>
      <w:r w:rsidR="001F5139" w:rsidRPr="00EA6C7A">
        <w:rPr>
          <w:rFonts w:ascii="Verdana" w:hAnsi="Verdana"/>
          <w:lang w:val="en-US" w:eastAsia="es-MX"/>
        </w:rPr>
        <w:t xml:space="preserve"> taking into account, among other matters, the actions taken to obtain justice and the existence of close family ties.</w:t>
      </w:r>
      <w:r w:rsidR="0025015F" w:rsidRPr="00EA6C7A">
        <w:rPr>
          <w:rFonts w:ascii="Verdana" w:hAnsi="Verdana"/>
          <w:vertAlign w:val="superscript"/>
          <w:lang w:val="en-US" w:eastAsia="es-MX"/>
        </w:rPr>
        <w:footnoteReference w:id="303"/>
      </w:r>
      <w:r w:rsidR="001F5139" w:rsidRPr="00EA6C7A">
        <w:rPr>
          <w:rFonts w:ascii="Verdana" w:hAnsi="Verdana"/>
          <w:lang w:val="en-US" w:eastAsia="es-MX"/>
        </w:rPr>
        <w:t xml:space="preserve"> It has also declared the violation of this right based on the suffering </w:t>
      </w:r>
      <w:r w:rsidR="00102ACB" w:rsidRPr="00EA6C7A">
        <w:rPr>
          <w:rFonts w:ascii="Verdana" w:hAnsi="Verdana"/>
          <w:lang w:val="en-US" w:eastAsia="es-MX"/>
        </w:rPr>
        <w:t>resulting</w:t>
      </w:r>
      <w:r w:rsidR="001F5139" w:rsidRPr="00EA6C7A">
        <w:rPr>
          <w:rFonts w:ascii="Verdana" w:hAnsi="Verdana"/>
          <w:lang w:val="en-US" w:eastAsia="es-MX"/>
        </w:rPr>
        <w:t xml:space="preserve"> from the acts perpetrated </w:t>
      </w:r>
      <w:r w:rsidR="008C4FF3" w:rsidRPr="00EA6C7A">
        <w:rPr>
          <w:rFonts w:ascii="Verdana" w:hAnsi="Verdana"/>
          <w:lang w:val="en-US" w:eastAsia="es-MX"/>
        </w:rPr>
        <w:t>against</w:t>
      </w:r>
      <w:r w:rsidR="001F5139" w:rsidRPr="00EA6C7A">
        <w:rPr>
          <w:rFonts w:ascii="Verdana" w:hAnsi="Verdana"/>
          <w:lang w:val="en-US" w:eastAsia="es-MX"/>
        </w:rPr>
        <w:t xml:space="preserve"> their loved ones.</w:t>
      </w:r>
      <w:r w:rsidR="0025015F" w:rsidRPr="00EA6C7A">
        <w:rPr>
          <w:rFonts w:ascii="Verdana" w:hAnsi="Verdana"/>
          <w:vertAlign w:val="superscript"/>
          <w:lang w:val="en-US" w:eastAsia="es-MX"/>
        </w:rPr>
        <w:footnoteReference w:id="304"/>
      </w:r>
      <w:r w:rsidR="0025015F" w:rsidRPr="00EA6C7A">
        <w:rPr>
          <w:rFonts w:ascii="Verdana" w:hAnsi="Verdana"/>
          <w:lang w:val="en-US" w:eastAsia="es-MX"/>
        </w:rPr>
        <w:t xml:space="preserve"> </w:t>
      </w:r>
    </w:p>
    <w:p w14:paraId="74564A89" w14:textId="77777777" w:rsidR="0025015F" w:rsidRPr="00EA6C7A" w:rsidRDefault="0025015F" w:rsidP="0025015F">
      <w:pPr>
        <w:spacing w:after="0" w:line="240" w:lineRule="auto"/>
        <w:jc w:val="both"/>
        <w:rPr>
          <w:rFonts w:ascii="Verdana" w:hAnsi="Verdana"/>
          <w:lang w:val="en-US"/>
        </w:rPr>
      </w:pPr>
    </w:p>
    <w:p w14:paraId="2D764DCD" w14:textId="77777777" w:rsidR="0025015F" w:rsidRPr="00EA6C7A" w:rsidRDefault="001F5139" w:rsidP="001F5139">
      <w:pPr>
        <w:pStyle w:val="Prrafodelista"/>
        <w:numPr>
          <w:ilvl w:val="0"/>
          <w:numId w:val="3"/>
        </w:numPr>
        <w:autoSpaceDE w:val="0"/>
        <w:autoSpaceDN w:val="0"/>
        <w:adjustRightInd w:val="0"/>
        <w:spacing w:after="0" w:line="240" w:lineRule="auto"/>
        <w:ind w:left="0" w:firstLine="0"/>
        <w:jc w:val="both"/>
        <w:rPr>
          <w:rFonts w:ascii="Verdana" w:hAnsi="Verdana"/>
          <w:sz w:val="20"/>
          <w:szCs w:val="20"/>
          <w:lang w:val="en-US"/>
        </w:rPr>
      </w:pPr>
      <w:r w:rsidRPr="00EA6C7A">
        <w:rPr>
          <w:rFonts w:ascii="Verdana" w:hAnsi="Verdana"/>
          <w:sz w:val="20"/>
          <w:szCs w:val="20"/>
          <w:lang w:val="en-US"/>
        </w:rPr>
        <w:t xml:space="preserve">The Court will now analyze whether the presumed violations of personal integrity alleged by the Commission and the representatives have been proved. Subsequently, it will analyze whether </w:t>
      </w:r>
      <w:r w:rsidR="00123BD3" w:rsidRPr="00EA6C7A">
        <w:rPr>
          <w:rFonts w:ascii="Verdana" w:hAnsi="Verdana"/>
          <w:sz w:val="20"/>
          <w:szCs w:val="20"/>
          <w:lang w:val="en-US"/>
        </w:rPr>
        <w:t>the violation</w:t>
      </w:r>
      <w:r w:rsidR="0025015F" w:rsidRPr="00EA6C7A">
        <w:rPr>
          <w:rFonts w:ascii="Verdana" w:hAnsi="Verdana"/>
          <w:sz w:val="20"/>
          <w:szCs w:val="20"/>
          <w:lang w:val="en-US"/>
        </w:rPr>
        <w:t xml:space="preserve"> </w:t>
      </w:r>
      <w:r w:rsidRPr="00EA6C7A">
        <w:rPr>
          <w:rFonts w:ascii="Verdana" w:hAnsi="Verdana"/>
          <w:sz w:val="20"/>
          <w:szCs w:val="20"/>
          <w:lang w:val="en-US"/>
        </w:rPr>
        <w:t>of the protection of honor and dignity alleged by</w:t>
      </w:r>
      <w:r w:rsidR="0025015F" w:rsidRPr="00EA6C7A">
        <w:rPr>
          <w:rFonts w:ascii="Verdana" w:hAnsi="Verdana"/>
          <w:sz w:val="20"/>
          <w:szCs w:val="20"/>
          <w:lang w:val="en-US"/>
        </w:rPr>
        <w:t xml:space="preserve"> </w:t>
      </w:r>
      <w:r w:rsidR="00E43A75" w:rsidRPr="00EA6C7A">
        <w:rPr>
          <w:rFonts w:ascii="Verdana" w:hAnsi="Verdana"/>
          <w:sz w:val="20"/>
          <w:szCs w:val="20"/>
          <w:lang w:val="en-US"/>
        </w:rPr>
        <w:t>the representatives</w:t>
      </w:r>
      <w:r w:rsidRPr="00EA6C7A">
        <w:rPr>
          <w:rFonts w:ascii="Verdana" w:hAnsi="Verdana"/>
          <w:sz w:val="20"/>
          <w:szCs w:val="20"/>
          <w:lang w:val="en-US"/>
        </w:rPr>
        <w:t xml:space="preserve"> has been constituted</w:t>
      </w:r>
      <w:r w:rsidR="0025015F" w:rsidRPr="00EA6C7A">
        <w:rPr>
          <w:rFonts w:ascii="Verdana" w:hAnsi="Verdana"/>
          <w:sz w:val="20"/>
          <w:szCs w:val="20"/>
          <w:lang w:val="en-US"/>
        </w:rPr>
        <w:t>.</w:t>
      </w:r>
    </w:p>
    <w:p w14:paraId="2E9377D5" w14:textId="77777777" w:rsidR="0025015F" w:rsidRPr="00EA6C7A" w:rsidRDefault="0025015F" w:rsidP="0025015F">
      <w:pPr>
        <w:pStyle w:val="Prrafodelista"/>
        <w:spacing w:after="0" w:line="240" w:lineRule="auto"/>
        <w:jc w:val="both"/>
        <w:rPr>
          <w:rFonts w:ascii="Verdana" w:hAnsi="Verdana" w:cs="Arial"/>
          <w:sz w:val="20"/>
          <w:szCs w:val="20"/>
          <w:lang w:val="en-US"/>
        </w:rPr>
      </w:pPr>
    </w:p>
    <w:p w14:paraId="6A68EF5B" w14:textId="77777777" w:rsidR="0025015F" w:rsidRPr="00EA6C7A" w:rsidRDefault="001F5139" w:rsidP="00E11A7C">
      <w:pPr>
        <w:pStyle w:val="Prrafodelista"/>
        <w:numPr>
          <w:ilvl w:val="0"/>
          <w:numId w:val="3"/>
        </w:numPr>
        <w:autoSpaceDE w:val="0"/>
        <w:autoSpaceDN w:val="0"/>
        <w:adjustRightInd w:val="0"/>
        <w:spacing w:after="0" w:line="240" w:lineRule="auto"/>
        <w:ind w:left="0" w:firstLine="0"/>
        <w:jc w:val="both"/>
        <w:rPr>
          <w:rFonts w:ascii="Verdana" w:hAnsi="Verdana" w:cs="Arial"/>
          <w:sz w:val="20"/>
          <w:szCs w:val="20"/>
          <w:lang w:val="en-US"/>
        </w:rPr>
      </w:pPr>
      <w:r w:rsidRPr="00EA6C7A">
        <w:rPr>
          <w:rFonts w:ascii="Verdana" w:hAnsi="Verdana" w:cs="Arial"/>
          <w:sz w:val="20"/>
          <w:szCs w:val="20"/>
          <w:lang w:val="en-US"/>
        </w:rPr>
        <w:t xml:space="preserve">Regarding the presumed violation of the </w:t>
      </w:r>
      <w:r w:rsidR="00515C34" w:rsidRPr="00EA6C7A">
        <w:rPr>
          <w:rFonts w:ascii="Verdana" w:hAnsi="Verdana" w:cs="Arial"/>
          <w:sz w:val="20"/>
          <w:szCs w:val="20"/>
          <w:lang w:val="en-US"/>
        </w:rPr>
        <w:t>personal integrity</w:t>
      </w:r>
      <w:r w:rsidR="0025015F" w:rsidRPr="00EA6C7A">
        <w:rPr>
          <w:rFonts w:ascii="Verdana" w:hAnsi="Verdana" w:cs="Arial"/>
          <w:sz w:val="20"/>
          <w:szCs w:val="20"/>
          <w:lang w:val="en-US"/>
        </w:rPr>
        <w:t xml:space="preserve"> </w:t>
      </w:r>
      <w:r w:rsidRPr="00EA6C7A">
        <w:rPr>
          <w:rFonts w:ascii="Verdana" w:hAnsi="Verdana" w:cs="Arial"/>
          <w:sz w:val="20"/>
          <w:szCs w:val="20"/>
          <w:lang w:val="en-US"/>
        </w:rPr>
        <w:t>of the family members</w:t>
      </w:r>
      <w:r w:rsidR="0025015F" w:rsidRPr="00EA6C7A">
        <w:rPr>
          <w:rFonts w:ascii="Verdana" w:hAnsi="Verdana" w:cs="Arial"/>
          <w:sz w:val="20"/>
          <w:szCs w:val="20"/>
          <w:lang w:val="en-US"/>
        </w:rPr>
        <w:t>, dur</w:t>
      </w:r>
      <w:r w:rsidRPr="00EA6C7A">
        <w:rPr>
          <w:rFonts w:ascii="Verdana" w:hAnsi="Verdana" w:cs="Arial"/>
          <w:sz w:val="20"/>
          <w:szCs w:val="20"/>
          <w:lang w:val="en-US"/>
        </w:rPr>
        <w:t>ing</w:t>
      </w:r>
      <w:r w:rsidR="0025015F" w:rsidRPr="00EA6C7A">
        <w:rPr>
          <w:rFonts w:ascii="Verdana" w:hAnsi="Verdana" w:cs="Arial"/>
          <w:sz w:val="20"/>
          <w:szCs w:val="20"/>
          <w:lang w:val="en-US"/>
        </w:rPr>
        <w:t xml:space="preserve"> </w:t>
      </w:r>
      <w:r w:rsidR="00E43A75" w:rsidRPr="00EA6C7A">
        <w:rPr>
          <w:rFonts w:ascii="Verdana" w:hAnsi="Verdana" w:cs="Arial"/>
          <w:sz w:val="20"/>
          <w:szCs w:val="20"/>
          <w:lang w:val="en-US"/>
        </w:rPr>
        <w:t>public hearing</w:t>
      </w:r>
      <w:r w:rsidRPr="00EA6C7A">
        <w:rPr>
          <w:rFonts w:ascii="Verdana" w:hAnsi="Verdana" w:cs="Arial"/>
          <w:sz w:val="20"/>
          <w:szCs w:val="20"/>
          <w:lang w:val="en-US"/>
        </w:rPr>
        <w:t>,</w:t>
      </w:r>
      <w:r w:rsidR="0025015F" w:rsidRPr="00EA6C7A">
        <w:rPr>
          <w:rFonts w:ascii="Verdana" w:hAnsi="Verdana" w:cs="Arial"/>
          <w:sz w:val="20"/>
          <w:szCs w:val="20"/>
          <w:lang w:val="en-US"/>
        </w:rPr>
        <w:t xml:space="preserve"> </w:t>
      </w:r>
      <w:r w:rsidR="0020127B" w:rsidRPr="00EA6C7A">
        <w:rPr>
          <w:rFonts w:ascii="Verdana" w:hAnsi="Verdana" w:cs="Arial"/>
          <w:sz w:val="20"/>
          <w:szCs w:val="20"/>
          <w:lang w:val="en-US"/>
        </w:rPr>
        <w:t>Jorge</w:t>
      </w:r>
      <w:r w:rsidR="0025015F" w:rsidRPr="00EA6C7A">
        <w:rPr>
          <w:rFonts w:ascii="Verdana" w:hAnsi="Verdana"/>
          <w:bCs/>
          <w:sz w:val="20"/>
          <w:szCs w:val="20"/>
          <w:lang w:val="en-US"/>
        </w:rPr>
        <w:t xml:space="preserve"> Rolando Velásquez Durán</w:t>
      </w:r>
      <w:r w:rsidR="0025015F" w:rsidRPr="00EA6C7A">
        <w:rPr>
          <w:rFonts w:ascii="Verdana" w:hAnsi="Verdana" w:cs="Arial"/>
          <w:sz w:val="20"/>
          <w:szCs w:val="20"/>
          <w:lang w:val="en-US"/>
        </w:rPr>
        <w:t xml:space="preserve"> </w:t>
      </w:r>
      <w:r w:rsidR="00455D0E" w:rsidRPr="00EA6C7A">
        <w:rPr>
          <w:rFonts w:ascii="Verdana" w:hAnsi="Verdana" w:cs="Arial"/>
          <w:sz w:val="20"/>
          <w:szCs w:val="20"/>
          <w:lang w:val="en-US"/>
        </w:rPr>
        <w:t xml:space="preserve">stated how “horrifying” he found it to see the agents </w:t>
      </w:r>
      <w:r w:rsidR="003E2012" w:rsidRPr="00EA6C7A">
        <w:rPr>
          <w:rFonts w:ascii="Verdana" w:hAnsi="Verdana" w:cs="Arial"/>
          <w:sz w:val="20"/>
          <w:szCs w:val="20"/>
          <w:lang w:val="en-US"/>
        </w:rPr>
        <w:t>of the Public</w:t>
      </w:r>
      <w:r w:rsidR="00B3248B" w:rsidRPr="00EA6C7A">
        <w:rPr>
          <w:rFonts w:ascii="Verdana" w:hAnsi="Verdana" w:cs="Arial"/>
          <w:sz w:val="20"/>
          <w:szCs w:val="20"/>
          <w:lang w:val="en-US"/>
        </w:rPr>
        <w:t xml:space="preserve"> Prosecution Service</w:t>
      </w:r>
      <w:r w:rsidR="0025015F" w:rsidRPr="00EA6C7A">
        <w:rPr>
          <w:rFonts w:ascii="Verdana" w:hAnsi="Verdana" w:cs="Arial"/>
          <w:sz w:val="20"/>
          <w:szCs w:val="20"/>
          <w:lang w:val="en-US"/>
        </w:rPr>
        <w:t xml:space="preserve"> t</w:t>
      </w:r>
      <w:r w:rsidR="00455D0E" w:rsidRPr="00EA6C7A">
        <w:rPr>
          <w:rFonts w:ascii="Verdana" w:hAnsi="Verdana" w:cs="Arial"/>
          <w:sz w:val="20"/>
          <w:szCs w:val="20"/>
          <w:lang w:val="en-US"/>
        </w:rPr>
        <w:t>ake the fingerprints of</w:t>
      </w:r>
      <w:r w:rsidR="0025015F" w:rsidRPr="00EA6C7A">
        <w:rPr>
          <w:rFonts w:ascii="Verdana" w:hAnsi="Verdana" w:cs="Arial"/>
          <w:sz w:val="20"/>
          <w:szCs w:val="20"/>
          <w:lang w:val="en-US"/>
        </w:rPr>
        <w:t xml:space="preserve"> Claudina Isabel Velásquez </w:t>
      </w:r>
      <w:r w:rsidR="00455D0E" w:rsidRPr="00EA6C7A">
        <w:rPr>
          <w:rFonts w:ascii="Verdana" w:hAnsi="Verdana" w:cs="Arial"/>
          <w:sz w:val="20"/>
          <w:szCs w:val="20"/>
          <w:lang w:val="en-US"/>
        </w:rPr>
        <w:t>while they were holding the wake for her. He indicated that the horror of this event “cannot be described.</w:t>
      </w:r>
      <w:r w:rsidR="0025015F" w:rsidRPr="00EA6C7A">
        <w:rPr>
          <w:rFonts w:ascii="Verdana" w:hAnsi="Verdana"/>
          <w:sz w:val="20"/>
          <w:szCs w:val="20"/>
          <w:lang w:val="en-US"/>
        </w:rPr>
        <w:t xml:space="preserve">” </w:t>
      </w:r>
      <w:r w:rsidR="00455D0E" w:rsidRPr="00EA6C7A">
        <w:rPr>
          <w:rFonts w:ascii="Verdana" w:hAnsi="Verdana"/>
          <w:sz w:val="20"/>
          <w:szCs w:val="20"/>
          <w:lang w:val="en-US"/>
        </w:rPr>
        <w:t>In this regard</w:t>
      </w:r>
      <w:r w:rsidR="0025015F" w:rsidRPr="00EA6C7A">
        <w:rPr>
          <w:rFonts w:ascii="Verdana" w:hAnsi="Verdana"/>
          <w:sz w:val="20"/>
          <w:szCs w:val="20"/>
          <w:lang w:val="en-US"/>
        </w:rPr>
        <w:t xml:space="preserve">, </w:t>
      </w:r>
      <w:r w:rsidR="00BB5015" w:rsidRPr="00EA6C7A">
        <w:rPr>
          <w:rFonts w:ascii="Verdana" w:hAnsi="Verdana"/>
          <w:sz w:val="20"/>
          <w:szCs w:val="20"/>
          <w:lang w:val="en-US"/>
        </w:rPr>
        <w:t>Mr. Velásquez</w:t>
      </w:r>
      <w:r w:rsidR="0025015F" w:rsidRPr="00EA6C7A">
        <w:rPr>
          <w:rFonts w:ascii="Verdana" w:hAnsi="Verdana"/>
          <w:bCs/>
          <w:sz w:val="20"/>
          <w:szCs w:val="20"/>
          <w:lang w:val="en-US"/>
        </w:rPr>
        <w:t xml:space="preserve"> Durán </w:t>
      </w:r>
      <w:r w:rsidR="00455D0E" w:rsidRPr="00EA6C7A">
        <w:rPr>
          <w:rFonts w:ascii="Verdana" w:hAnsi="Verdana"/>
          <w:bCs/>
          <w:sz w:val="20"/>
          <w:szCs w:val="20"/>
          <w:lang w:val="en-US"/>
        </w:rPr>
        <w:t>stated</w:t>
      </w:r>
      <w:r w:rsidR="0025015F" w:rsidRPr="00EA6C7A">
        <w:rPr>
          <w:rFonts w:ascii="Verdana" w:hAnsi="Verdana"/>
          <w:bCs/>
          <w:sz w:val="20"/>
          <w:szCs w:val="20"/>
          <w:lang w:val="en-US"/>
        </w:rPr>
        <w:t>:</w:t>
      </w:r>
    </w:p>
    <w:p w14:paraId="56B3731D" w14:textId="77777777" w:rsidR="0025015F" w:rsidRPr="00EA6C7A" w:rsidRDefault="0025015F" w:rsidP="0025015F">
      <w:pPr>
        <w:pStyle w:val="Prrafodelista"/>
        <w:autoSpaceDE w:val="0"/>
        <w:autoSpaceDN w:val="0"/>
        <w:adjustRightInd w:val="0"/>
        <w:spacing w:after="0" w:line="240" w:lineRule="auto"/>
        <w:ind w:left="0"/>
        <w:jc w:val="both"/>
        <w:rPr>
          <w:rFonts w:ascii="Verdana" w:hAnsi="Verdana" w:cs="Arial"/>
          <w:sz w:val="16"/>
          <w:szCs w:val="20"/>
          <w:lang w:val="en-US"/>
        </w:rPr>
      </w:pPr>
    </w:p>
    <w:p w14:paraId="3D53FF72" w14:textId="77777777" w:rsidR="0025015F" w:rsidRPr="00EA6C7A" w:rsidRDefault="00455D0E" w:rsidP="007B0DA7">
      <w:pPr>
        <w:pStyle w:val="Prrafodelista"/>
        <w:tabs>
          <w:tab w:val="left" w:pos="9360"/>
        </w:tabs>
        <w:autoSpaceDE w:val="0"/>
        <w:autoSpaceDN w:val="0"/>
        <w:adjustRightInd w:val="0"/>
        <w:spacing w:after="0" w:line="240" w:lineRule="auto"/>
        <w:ind w:left="567"/>
        <w:jc w:val="both"/>
        <w:rPr>
          <w:rFonts w:ascii="Verdana" w:hAnsi="Verdana"/>
          <w:sz w:val="16"/>
          <w:szCs w:val="16"/>
          <w:lang w:val="en-US"/>
        </w:rPr>
      </w:pPr>
      <w:r w:rsidRPr="00EA6C7A">
        <w:rPr>
          <w:rFonts w:ascii="Verdana" w:hAnsi="Verdana"/>
          <w:sz w:val="16"/>
          <w:szCs w:val="16"/>
          <w:lang w:val="en-US"/>
        </w:rPr>
        <w:t xml:space="preserve">I felt hurt, I felt outraged, I felt offended. That procedure should not have been done at that moment[. However,] I authorized the procedure under threat; </w:t>
      </w:r>
      <w:r w:rsidR="007B0DA7" w:rsidRPr="00EA6C7A">
        <w:rPr>
          <w:rFonts w:ascii="Verdana" w:hAnsi="Verdana"/>
          <w:sz w:val="16"/>
          <w:szCs w:val="16"/>
          <w:lang w:val="en-US"/>
        </w:rPr>
        <w:t xml:space="preserve">I authorized the procedure because I thought that it was necessary, so that, later, it was not </w:t>
      </w:r>
      <w:r w:rsidR="00102ACB" w:rsidRPr="00EA6C7A">
        <w:rPr>
          <w:rFonts w:ascii="Verdana" w:hAnsi="Verdana"/>
          <w:sz w:val="16"/>
          <w:szCs w:val="16"/>
          <w:lang w:val="en-US"/>
        </w:rPr>
        <w:t xml:space="preserve">used as </w:t>
      </w:r>
      <w:r w:rsidR="007B0DA7" w:rsidRPr="00EA6C7A">
        <w:rPr>
          <w:rFonts w:ascii="Verdana" w:hAnsi="Verdana"/>
          <w:sz w:val="16"/>
          <w:szCs w:val="16"/>
          <w:lang w:val="en-US"/>
        </w:rPr>
        <w:t xml:space="preserve">an excuse </w:t>
      </w:r>
      <w:r w:rsidR="00102ACB" w:rsidRPr="00EA6C7A">
        <w:rPr>
          <w:rFonts w:ascii="Verdana" w:hAnsi="Verdana"/>
          <w:sz w:val="16"/>
          <w:szCs w:val="16"/>
          <w:lang w:val="en-US"/>
        </w:rPr>
        <w:t xml:space="preserve">to fail </w:t>
      </w:r>
      <w:r w:rsidR="007B0DA7" w:rsidRPr="00EA6C7A">
        <w:rPr>
          <w:rFonts w:ascii="Verdana" w:hAnsi="Verdana"/>
          <w:sz w:val="16"/>
          <w:szCs w:val="16"/>
          <w:lang w:val="en-US"/>
        </w:rPr>
        <w:t>to resolve Claudina Isabel</w:t>
      </w:r>
      <w:r w:rsidR="00102ACB" w:rsidRPr="00EA6C7A">
        <w:rPr>
          <w:rFonts w:ascii="Verdana" w:hAnsi="Verdana"/>
          <w:sz w:val="16"/>
          <w:szCs w:val="16"/>
          <w:lang w:val="en-US"/>
        </w:rPr>
        <w:t>’s case</w:t>
      </w:r>
      <w:r w:rsidR="007B0DA7" w:rsidRPr="00EA6C7A">
        <w:rPr>
          <w:rFonts w:ascii="Verdana" w:hAnsi="Verdana"/>
          <w:sz w:val="16"/>
          <w:szCs w:val="16"/>
          <w:lang w:val="en-US"/>
        </w:rPr>
        <w:t xml:space="preserve">. […] And, as if this wasn’t enough, already traumatized by the event, the funeral home staff came and asked me what to do with my daughter’s clothes – whether they should put them in the coffin, or if Claudina Isabel’s clothes had to be included among the evidence. Everyone knows that the clothes should be conserved. […] So, full of anger and rage, and thinking that, </w:t>
      </w:r>
      <w:r w:rsidR="0001374B" w:rsidRPr="00EA6C7A">
        <w:rPr>
          <w:rFonts w:ascii="Verdana" w:hAnsi="Verdana"/>
          <w:sz w:val="16"/>
          <w:szCs w:val="16"/>
          <w:lang w:val="en-US"/>
        </w:rPr>
        <w:t xml:space="preserve">at </w:t>
      </w:r>
      <w:r w:rsidR="007B0DA7" w:rsidRPr="00EA6C7A">
        <w:rPr>
          <w:rFonts w:ascii="Verdana" w:hAnsi="Verdana"/>
          <w:sz w:val="16"/>
          <w:szCs w:val="16"/>
          <w:lang w:val="en-US"/>
        </w:rPr>
        <w:t xml:space="preserve">some time in the future, they could exhume my daughter’s body to correct the error and I wasn’t prepared to accept this, I ordered them to </w:t>
      </w:r>
      <w:r w:rsidR="00102ACB" w:rsidRPr="00EA6C7A">
        <w:rPr>
          <w:rFonts w:ascii="Verdana" w:hAnsi="Verdana"/>
          <w:sz w:val="16"/>
          <w:szCs w:val="16"/>
          <w:lang w:val="en-US"/>
        </w:rPr>
        <w:t xml:space="preserve">be </w:t>
      </w:r>
      <w:r w:rsidR="007B0DA7" w:rsidRPr="00EA6C7A">
        <w:rPr>
          <w:rFonts w:ascii="Verdana" w:hAnsi="Verdana"/>
          <w:sz w:val="16"/>
          <w:szCs w:val="16"/>
          <w:lang w:val="en-US"/>
        </w:rPr>
        <w:t>burn</w:t>
      </w:r>
      <w:r w:rsidR="00102ACB" w:rsidRPr="00EA6C7A">
        <w:rPr>
          <w:rFonts w:ascii="Verdana" w:hAnsi="Verdana"/>
          <w:sz w:val="16"/>
          <w:szCs w:val="16"/>
          <w:lang w:val="en-US"/>
        </w:rPr>
        <w:t>t</w:t>
      </w:r>
      <w:r w:rsidR="007B0DA7" w:rsidRPr="00EA6C7A">
        <w:rPr>
          <w:rFonts w:ascii="Verdana" w:hAnsi="Verdana"/>
          <w:sz w:val="16"/>
          <w:szCs w:val="16"/>
          <w:lang w:val="en-US"/>
        </w:rPr>
        <w:t>.</w:t>
      </w:r>
      <w:r w:rsidR="0025015F" w:rsidRPr="00EA6C7A">
        <w:rPr>
          <w:rStyle w:val="Refdenotaalpie"/>
          <w:rFonts w:ascii="Verdana" w:hAnsi="Verdana"/>
          <w:sz w:val="16"/>
          <w:szCs w:val="16"/>
          <w:lang w:val="en-US"/>
        </w:rPr>
        <w:footnoteReference w:id="305"/>
      </w:r>
    </w:p>
    <w:p w14:paraId="5A7B7F12" w14:textId="77777777" w:rsidR="0025015F" w:rsidRPr="00EA6C7A" w:rsidRDefault="0025015F" w:rsidP="0025015F">
      <w:pPr>
        <w:pStyle w:val="Prrafodelista"/>
        <w:autoSpaceDE w:val="0"/>
        <w:autoSpaceDN w:val="0"/>
        <w:adjustRightInd w:val="0"/>
        <w:spacing w:after="0" w:line="240" w:lineRule="auto"/>
        <w:ind w:left="567" w:right="571"/>
        <w:jc w:val="both"/>
        <w:rPr>
          <w:rFonts w:ascii="Verdana" w:hAnsi="Verdana" w:cs="Arial"/>
          <w:sz w:val="16"/>
          <w:szCs w:val="20"/>
          <w:lang w:val="en-US"/>
        </w:rPr>
      </w:pPr>
    </w:p>
    <w:p w14:paraId="4EC6BA64" w14:textId="77777777" w:rsidR="0025015F" w:rsidRPr="00EA6C7A" w:rsidRDefault="007B0DA7" w:rsidP="0001374B">
      <w:pPr>
        <w:pStyle w:val="Prrafodelista"/>
        <w:numPr>
          <w:ilvl w:val="0"/>
          <w:numId w:val="3"/>
        </w:numPr>
        <w:autoSpaceDE w:val="0"/>
        <w:autoSpaceDN w:val="0"/>
        <w:adjustRightInd w:val="0"/>
        <w:spacing w:after="0" w:line="240" w:lineRule="auto"/>
        <w:ind w:left="0" w:firstLine="0"/>
        <w:jc w:val="both"/>
        <w:rPr>
          <w:rFonts w:ascii="Verdana" w:hAnsi="Verdana" w:cs="Arial"/>
          <w:sz w:val="20"/>
          <w:szCs w:val="20"/>
          <w:lang w:val="en-US"/>
        </w:rPr>
      </w:pPr>
      <w:r w:rsidRPr="00EA6C7A">
        <w:rPr>
          <w:rFonts w:ascii="Verdana" w:hAnsi="Verdana" w:cs="Arial"/>
          <w:sz w:val="20"/>
          <w:szCs w:val="20"/>
          <w:lang w:val="en-US"/>
        </w:rPr>
        <w:t>He also indicated, with regard to the efforts he had made to give impetus to the investigation into his daughter’s death, that he had been “criticized,” “wounded,” “offended” and “humiliated” [and] they had spoken negatively about [his] daughter</w:t>
      </w:r>
      <w:r w:rsidR="0001374B" w:rsidRPr="00EA6C7A">
        <w:rPr>
          <w:rFonts w:ascii="Verdana" w:hAnsi="Verdana" w:cs="Arial"/>
          <w:sz w:val="20"/>
          <w:szCs w:val="20"/>
          <w:lang w:val="en-US"/>
        </w:rPr>
        <w:t>, owing to [his] action […] becoming a joint complainant in the case.” He asserted that all this had “taken its toll on the family,” who ceased to be happy, and the “harm” had been “irreparable.</w:t>
      </w:r>
      <w:r w:rsidR="0025015F" w:rsidRPr="00EA6C7A">
        <w:rPr>
          <w:rFonts w:ascii="Verdana" w:hAnsi="Verdana"/>
          <w:sz w:val="20"/>
          <w:szCs w:val="20"/>
          <w:lang w:val="en-US"/>
        </w:rPr>
        <w:t>”</w:t>
      </w:r>
      <w:r w:rsidR="0025015F" w:rsidRPr="00EA6C7A">
        <w:rPr>
          <w:rStyle w:val="Refdenotaalpie"/>
          <w:rFonts w:ascii="Verdana" w:hAnsi="Verdana"/>
          <w:sz w:val="20"/>
          <w:szCs w:val="20"/>
          <w:lang w:val="en-US"/>
        </w:rPr>
        <w:footnoteReference w:id="306"/>
      </w:r>
      <w:r w:rsidR="0001374B" w:rsidRPr="00EA6C7A">
        <w:rPr>
          <w:rFonts w:ascii="Verdana" w:hAnsi="Verdana"/>
          <w:sz w:val="20"/>
          <w:szCs w:val="20"/>
          <w:lang w:val="en-US"/>
        </w:rPr>
        <w:t xml:space="preserve"> Similarly,</w:t>
      </w:r>
      <w:r w:rsidR="0025015F" w:rsidRPr="00EA6C7A">
        <w:rPr>
          <w:rFonts w:ascii="Verdana" w:hAnsi="Verdana"/>
          <w:sz w:val="20"/>
          <w:szCs w:val="20"/>
          <w:lang w:val="en-US"/>
        </w:rPr>
        <w:t xml:space="preserve"> </w:t>
      </w:r>
      <w:r w:rsidR="0025015F" w:rsidRPr="00EA6C7A">
        <w:rPr>
          <w:rFonts w:ascii="Verdana" w:hAnsi="Verdana"/>
          <w:bCs/>
          <w:sz w:val="20"/>
          <w:szCs w:val="20"/>
          <w:lang w:val="en-US"/>
        </w:rPr>
        <w:t xml:space="preserve">Elsa Claudina Paiz Vidal </w:t>
      </w:r>
      <w:r w:rsidR="0001374B" w:rsidRPr="00EA6C7A">
        <w:rPr>
          <w:rFonts w:ascii="Verdana" w:hAnsi="Verdana"/>
          <w:bCs/>
          <w:sz w:val="20"/>
          <w:szCs w:val="20"/>
          <w:lang w:val="en-US"/>
        </w:rPr>
        <w:t>stated that her husband, “since then, has lived for the investigation of the case, […] he stopped working and maintaining the family [financially], […] he immersed himself in his pain and did not realize that he was abandoning us.</w:t>
      </w:r>
      <w:r w:rsidR="0025015F" w:rsidRPr="00EA6C7A">
        <w:rPr>
          <w:rFonts w:ascii="Verdana" w:hAnsi="Verdana"/>
          <w:sz w:val="20"/>
          <w:szCs w:val="20"/>
          <w:lang w:val="en-US"/>
        </w:rPr>
        <w:t>”</w:t>
      </w:r>
      <w:r w:rsidR="0025015F" w:rsidRPr="00EA6C7A">
        <w:rPr>
          <w:rStyle w:val="Refdenotaalpie"/>
          <w:rFonts w:ascii="Verdana" w:hAnsi="Verdana"/>
          <w:sz w:val="20"/>
          <w:szCs w:val="20"/>
          <w:lang w:val="en-US"/>
        </w:rPr>
        <w:footnoteReference w:id="307"/>
      </w:r>
      <w:r w:rsidR="0025015F" w:rsidRPr="00EA6C7A">
        <w:rPr>
          <w:rFonts w:ascii="Verdana" w:hAnsi="Verdana"/>
          <w:b/>
          <w:sz w:val="20"/>
          <w:szCs w:val="20"/>
          <w:lang w:val="en-US"/>
        </w:rPr>
        <w:t xml:space="preserve"> </w:t>
      </w:r>
    </w:p>
    <w:p w14:paraId="38E97AE6" w14:textId="77777777" w:rsidR="0025015F" w:rsidRPr="00EA6C7A" w:rsidRDefault="0025015F" w:rsidP="0025015F">
      <w:pPr>
        <w:pStyle w:val="Prrafodelista"/>
        <w:autoSpaceDE w:val="0"/>
        <w:autoSpaceDN w:val="0"/>
        <w:adjustRightInd w:val="0"/>
        <w:spacing w:after="0" w:line="240" w:lineRule="auto"/>
        <w:ind w:left="0"/>
        <w:jc w:val="both"/>
        <w:rPr>
          <w:rFonts w:ascii="Verdana" w:hAnsi="Verdana" w:cs="Arial"/>
          <w:sz w:val="20"/>
          <w:szCs w:val="20"/>
          <w:lang w:val="en-US"/>
        </w:rPr>
      </w:pPr>
    </w:p>
    <w:p w14:paraId="701CAAF5" w14:textId="77777777" w:rsidR="0025015F" w:rsidRPr="00EA6C7A" w:rsidRDefault="0001374B" w:rsidP="0001374B">
      <w:pPr>
        <w:pStyle w:val="Prrafodelista"/>
        <w:numPr>
          <w:ilvl w:val="0"/>
          <w:numId w:val="3"/>
        </w:numPr>
        <w:autoSpaceDE w:val="0"/>
        <w:autoSpaceDN w:val="0"/>
        <w:adjustRightInd w:val="0"/>
        <w:spacing w:after="0" w:line="240" w:lineRule="auto"/>
        <w:ind w:left="0" w:firstLine="0"/>
        <w:jc w:val="both"/>
        <w:rPr>
          <w:rFonts w:ascii="Verdana" w:hAnsi="Verdana" w:cs="Arial"/>
          <w:sz w:val="20"/>
          <w:szCs w:val="20"/>
          <w:lang w:val="en-US"/>
        </w:rPr>
      </w:pPr>
      <w:r w:rsidRPr="00EA6C7A">
        <w:rPr>
          <w:rFonts w:ascii="Verdana" w:hAnsi="Verdana" w:cs="Arial"/>
          <w:sz w:val="20"/>
          <w:szCs w:val="20"/>
          <w:lang w:val="en-US"/>
        </w:rPr>
        <w:t>According to Mrs.</w:t>
      </w:r>
      <w:r w:rsidR="0025015F" w:rsidRPr="00EA6C7A">
        <w:rPr>
          <w:rFonts w:ascii="Verdana" w:hAnsi="Verdana" w:cs="Arial"/>
          <w:sz w:val="20"/>
          <w:szCs w:val="20"/>
          <w:lang w:val="en-US"/>
        </w:rPr>
        <w:t xml:space="preserve"> </w:t>
      </w:r>
      <w:r w:rsidR="0025015F" w:rsidRPr="00EA6C7A">
        <w:rPr>
          <w:rFonts w:ascii="Verdana" w:hAnsi="Verdana"/>
          <w:bCs/>
          <w:sz w:val="20"/>
          <w:szCs w:val="20"/>
          <w:lang w:val="en-US"/>
        </w:rPr>
        <w:t xml:space="preserve">Paiz Vidal, </w:t>
      </w:r>
      <w:r w:rsidRPr="00EA6C7A">
        <w:rPr>
          <w:rFonts w:ascii="Verdana" w:hAnsi="Verdana"/>
          <w:bCs/>
          <w:sz w:val="20"/>
          <w:szCs w:val="20"/>
          <w:lang w:val="en-US"/>
        </w:rPr>
        <w:t>her daughter’s death “caused indescribable sorrow.” She indicated that</w:t>
      </w:r>
      <w:r w:rsidR="00102ACB" w:rsidRPr="00EA6C7A">
        <w:rPr>
          <w:rFonts w:ascii="Verdana" w:hAnsi="Verdana"/>
          <w:bCs/>
          <w:sz w:val="20"/>
          <w:szCs w:val="20"/>
          <w:lang w:val="en-US"/>
        </w:rPr>
        <w:t>:</w:t>
      </w:r>
      <w:r w:rsidRPr="00EA6C7A">
        <w:rPr>
          <w:rFonts w:ascii="Verdana" w:hAnsi="Verdana"/>
          <w:bCs/>
          <w:sz w:val="20"/>
          <w:szCs w:val="20"/>
          <w:lang w:val="en-US"/>
        </w:rPr>
        <w:t xml:space="preserve"> “that was the worst day of [her] life; it broke [her]</w:t>
      </w:r>
      <w:r w:rsidR="00102ACB" w:rsidRPr="00EA6C7A">
        <w:rPr>
          <w:rFonts w:ascii="Verdana" w:hAnsi="Verdana"/>
          <w:bCs/>
          <w:sz w:val="20"/>
          <w:szCs w:val="20"/>
          <w:lang w:val="en-US"/>
        </w:rPr>
        <w:t xml:space="preserve"> </w:t>
      </w:r>
      <w:r w:rsidRPr="00EA6C7A">
        <w:rPr>
          <w:rFonts w:ascii="Verdana" w:hAnsi="Verdana"/>
          <w:bCs/>
          <w:sz w:val="20"/>
          <w:szCs w:val="20"/>
          <w:lang w:val="en-US"/>
        </w:rPr>
        <w:t xml:space="preserve">heart and it </w:t>
      </w:r>
      <w:proofErr w:type="spellStart"/>
      <w:r w:rsidRPr="00EA6C7A">
        <w:rPr>
          <w:rFonts w:ascii="Verdana" w:hAnsi="Verdana"/>
          <w:bCs/>
          <w:sz w:val="20"/>
          <w:szCs w:val="20"/>
          <w:lang w:val="en-US"/>
        </w:rPr>
        <w:t>ha</w:t>
      </w:r>
      <w:proofErr w:type="spellEnd"/>
      <w:r w:rsidR="00102ACB" w:rsidRPr="00EA6C7A">
        <w:rPr>
          <w:rFonts w:ascii="Verdana" w:hAnsi="Verdana"/>
          <w:bCs/>
          <w:sz w:val="20"/>
          <w:szCs w:val="20"/>
          <w:lang w:val="en-US"/>
        </w:rPr>
        <w:t>[</w:t>
      </w:r>
      <w:r w:rsidRPr="00EA6C7A">
        <w:rPr>
          <w:rFonts w:ascii="Verdana" w:hAnsi="Verdana"/>
          <w:bCs/>
          <w:sz w:val="20"/>
          <w:szCs w:val="20"/>
          <w:lang w:val="en-US"/>
        </w:rPr>
        <w:t>d</w:t>
      </w:r>
      <w:r w:rsidR="00102ACB" w:rsidRPr="00EA6C7A">
        <w:rPr>
          <w:rFonts w:ascii="Verdana" w:hAnsi="Verdana"/>
          <w:bCs/>
          <w:sz w:val="20"/>
          <w:szCs w:val="20"/>
          <w:lang w:val="en-US"/>
        </w:rPr>
        <w:t>]</w:t>
      </w:r>
      <w:r w:rsidRPr="00EA6C7A">
        <w:rPr>
          <w:rFonts w:ascii="Verdana" w:hAnsi="Verdana"/>
          <w:bCs/>
          <w:sz w:val="20"/>
          <w:szCs w:val="20"/>
          <w:lang w:val="en-US"/>
        </w:rPr>
        <w:t xml:space="preserve"> been impossible to rebuild [their] lives.” Regarding the taking of the fingerprints by agents </w:t>
      </w:r>
      <w:r w:rsidR="003E2012" w:rsidRPr="00EA6C7A">
        <w:rPr>
          <w:rFonts w:ascii="Verdana" w:hAnsi="Verdana"/>
          <w:sz w:val="20"/>
          <w:szCs w:val="20"/>
          <w:lang w:val="en-US"/>
        </w:rPr>
        <w:t>of the Public</w:t>
      </w:r>
      <w:r w:rsidR="00B3248B" w:rsidRPr="00EA6C7A">
        <w:rPr>
          <w:rFonts w:ascii="Verdana" w:hAnsi="Verdana"/>
          <w:sz w:val="20"/>
          <w:szCs w:val="20"/>
          <w:lang w:val="en-US"/>
        </w:rPr>
        <w:t xml:space="preserve"> Prosecution Service</w:t>
      </w:r>
      <w:r w:rsidR="0025015F" w:rsidRPr="00EA6C7A">
        <w:rPr>
          <w:rFonts w:ascii="Verdana" w:hAnsi="Verdana"/>
          <w:sz w:val="20"/>
          <w:szCs w:val="20"/>
          <w:lang w:val="en-US"/>
        </w:rPr>
        <w:t xml:space="preserve">, </w:t>
      </w:r>
      <w:r w:rsidRPr="00EA6C7A">
        <w:rPr>
          <w:rFonts w:ascii="Verdana" w:hAnsi="Verdana"/>
          <w:sz w:val="20"/>
          <w:szCs w:val="20"/>
          <w:lang w:val="en-US"/>
        </w:rPr>
        <w:t>she stated that “it shocked [her] exceedingly and caused [her] profound anguish.</w:t>
      </w:r>
      <w:r w:rsidR="0025015F" w:rsidRPr="00EA6C7A">
        <w:rPr>
          <w:rFonts w:ascii="Verdana" w:hAnsi="Verdana"/>
          <w:sz w:val="20"/>
          <w:szCs w:val="20"/>
          <w:lang w:val="en-US"/>
        </w:rPr>
        <w:t>”</w:t>
      </w:r>
      <w:r w:rsidRPr="00EA6C7A">
        <w:rPr>
          <w:rFonts w:ascii="Verdana" w:hAnsi="Verdana"/>
          <w:sz w:val="20"/>
          <w:szCs w:val="20"/>
          <w:lang w:val="en-US"/>
        </w:rPr>
        <w:t xml:space="preserve"> She added that:</w:t>
      </w:r>
    </w:p>
    <w:p w14:paraId="16D77E4E" w14:textId="77777777" w:rsidR="0025015F" w:rsidRPr="00EA6C7A" w:rsidRDefault="0025015F" w:rsidP="0025015F">
      <w:pPr>
        <w:autoSpaceDE w:val="0"/>
        <w:autoSpaceDN w:val="0"/>
        <w:adjustRightInd w:val="0"/>
        <w:spacing w:after="0" w:line="240" w:lineRule="auto"/>
        <w:jc w:val="both"/>
        <w:rPr>
          <w:rFonts w:ascii="Verdana" w:hAnsi="Verdana"/>
          <w:sz w:val="16"/>
          <w:szCs w:val="20"/>
          <w:lang w:val="en-US"/>
        </w:rPr>
      </w:pPr>
    </w:p>
    <w:p w14:paraId="64152F34" w14:textId="77777777" w:rsidR="0025015F" w:rsidRPr="00EA6C7A" w:rsidRDefault="0001374B" w:rsidP="00B841D7">
      <w:pPr>
        <w:autoSpaceDE w:val="0"/>
        <w:autoSpaceDN w:val="0"/>
        <w:adjustRightInd w:val="0"/>
        <w:spacing w:after="0" w:line="240" w:lineRule="auto"/>
        <w:ind w:left="567"/>
        <w:jc w:val="both"/>
        <w:rPr>
          <w:rFonts w:ascii="Verdana" w:hAnsi="Verdana"/>
          <w:sz w:val="16"/>
          <w:szCs w:val="20"/>
          <w:lang w:val="en-US"/>
        </w:rPr>
      </w:pPr>
      <w:r w:rsidRPr="00EA6C7A">
        <w:rPr>
          <w:rFonts w:ascii="Verdana" w:hAnsi="Verdana"/>
          <w:sz w:val="16"/>
          <w:szCs w:val="20"/>
          <w:lang w:val="en-US"/>
        </w:rPr>
        <w:t xml:space="preserve">The conversation with </w:t>
      </w:r>
      <w:r w:rsidR="00B109AB" w:rsidRPr="00EA6C7A">
        <w:rPr>
          <w:rFonts w:ascii="Verdana" w:hAnsi="Verdana"/>
          <w:sz w:val="16"/>
          <w:szCs w:val="20"/>
          <w:lang w:val="en-US"/>
        </w:rPr>
        <w:t>the investigator</w:t>
      </w:r>
      <w:r w:rsidR="0025015F" w:rsidRPr="00EA6C7A">
        <w:rPr>
          <w:rFonts w:ascii="Verdana" w:hAnsi="Verdana"/>
          <w:sz w:val="16"/>
          <w:szCs w:val="20"/>
          <w:lang w:val="en-US"/>
        </w:rPr>
        <w:t xml:space="preserve"> [Carolina Ruiz]</w:t>
      </w:r>
      <w:r w:rsidRPr="00EA6C7A">
        <w:rPr>
          <w:rFonts w:ascii="Verdana" w:hAnsi="Verdana"/>
          <w:sz w:val="16"/>
          <w:szCs w:val="20"/>
          <w:lang w:val="en-US"/>
        </w:rPr>
        <w:t xml:space="preserve"> on the Monday following </w:t>
      </w:r>
      <w:r w:rsidR="0025015F" w:rsidRPr="00EA6C7A">
        <w:rPr>
          <w:rFonts w:ascii="Verdana" w:hAnsi="Verdana"/>
          <w:sz w:val="16"/>
          <w:szCs w:val="20"/>
          <w:lang w:val="en-US"/>
        </w:rPr>
        <w:t>Claudina Isabel</w:t>
      </w:r>
      <w:r w:rsidRPr="00EA6C7A">
        <w:rPr>
          <w:rFonts w:ascii="Verdana" w:hAnsi="Verdana"/>
          <w:sz w:val="16"/>
          <w:szCs w:val="20"/>
          <w:lang w:val="en-US"/>
        </w:rPr>
        <w:t xml:space="preserve">’s murder only served to </w:t>
      </w:r>
      <w:r w:rsidR="00B841D7" w:rsidRPr="00EA6C7A">
        <w:rPr>
          <w:rFonts w:ascii="Verdana" w:hAnsi="Verdana"/>
          <w:sz w:val="16"/>
          <w:szCs w:val="20"/>
          <w:lang w:val="en-US"/>
        </w:rPr>
        <w:t xml:space="preserve">add more pain to the pain already felt. She told us that, at the start, they were not very interested in carrying out the procedure </w:t>
      </w:r>
      <w:r w:rsidR="002C294F" w:rsidRPr="00EA6C7A">
        <w:rPr>
          <w:rFonts w:ascii="Verdana" w:hAnsi="Verdana"/>
          <w:sz w:val="16"/>
          <w:szCs w:val="20"/>
          <w:lang w:val="en-US"/>
        </w:rPr>
        <w:t>for the removal of her</w:t>
      </w:r>
      <w:r w:rsidR="00B841D7" w:rsidRPr="00EA6C7A">
        <w:rPr>
          <w:rFonts w:ascii="Verdana" w:hAnsi="Verdana"/>
          <w:sz w:val="16"/>
          <w:szCs w:val="20"/>
          <w:lang w:val="en-US"/>
        </w:rPr>
        <w:t xml:space="preserve"> body appropriately and investigating the crime scene thoroughly because they had assumed that Claudina Isabel was ‘a loose woman’ </w:t>
      </w:r>
      <w:r w:rsidR="002C294F" w:rsidRPr="00EA6C7A">
        <w:rPr>
          <w:rFonts w:ascii="Verdana" w:hAnsi="Verdana"/>
          <w:sz w:val="16"/>
          <w:szCs w:val="20"/>
          <w:lang w:val="en-US"/>
        </w:rPr>
        <w:t>as</w:t>
      </w:r>
      <w:r w:rsidR="00B841D7" w:rsidRPr="00EA6C7A">
        <w:rPr>
          <w:rFonts w:ascii="Verdana" w:hAnsi="Verdana"/>
          <w:sz w:val="16"/>
          <w:szCs w:val="20"/>
          <w:lang w:val="en-US"/>
        </w:rPr>
        <w:t xml:space="preserve"> she was wearing sandals and a choker necklace, and because she had a navel piercing with a ring. She told us that she thought the ring was in bad taste; she also told us that the investigators had assumed this because of the place where the body was discovered.</w:t>
      </w:r>
      <w:r w:rsidR="0025015F" w:rsidRPr="00EA6C7A">
        <w:rPr>
          <w:rStyle w:val="Refdenotaalpie"/>
          <w:rFonts w:ascii="Verdana" w:eastAsia="HiddenHorzOCR" w:hAnsi="Verdana" w:cs="HiddenHorzOCR"/>
          <w:sz w:val="16"/>
          <w:szCs w:val="16"/>
          <w:lang w:val="en-US"/>
        </w:rPr>
        <w:footnoteReference w:id="308"/>
      </w:r>
      <w:r w:rsidR="0025015F" w:rsidRPr="00EA6C7A">
        <w:rPr>
          <w:rFonts w:ascii="Verdana" w:eastAsia="HiddenHorzOCR" w:hAnsi="Verdana" w:cs="HiddenHorzOCR"/>
          <w:sz w:val="16"/>
          <w:szCs w:val="16"/>
          <w:lang w:val="en-US"/>
        </w:rPr>
        <w:t xml:space="preserve"> </w:t>
      </w:r>
    </w:p>
    <w:p w14:paraId="1BC0D8ED" w14:textId="77777777" w:rsidR="0025015F" w:rsidRPr="00EA6C7A" w:rsidRDefault="0025015F" w:rsidP="0025015F">
      <w:pPr>
        <w:pStyle w:val="Prrafodelista"/>
        <w:autoSpaceDE w:val="0"/>
        <w:autoSpaceDN w:val="0"/>
        <w:adjustRightInd w:val="0"/>
        <w:spacing w:after="0" w:line="240" w:lineRule="auto"/>
        <w:ind w:left="0"/>
        <w:jc w:val="both"/>
        <w:rPr>
          <w:rFonts w:ascii="Verdana" w:hAnsi="Verdana" w:cs="Arial"/>
          <w:sz w:val="16"/>
          <w:szCs w:val="20"/>
          <w:lang w:val="en-US"/>
        </w:rPr>
      </w:pPr>
    </w:p>
    <w:p w14:paraId="504EB950" w14:textId="77777777" w:rsidR="0025015F" w:rsidRPr="00EA6C7A" w:rsidRDefault="00B841D7" w:rsidP="00B841D7">
      <w:pPr>
        <w:pStyle w:val="Prrafodelista"/>
        <w:numPr>
          <w:ilvl w:val="0"/>
          <w:numId w:val="3"/>
        </w:numPr>
        <w:autoSpaceDE w:val="0"/>
        <w:autoSpaceDN w:val="0"/>
        <w:adjustRightInd w:val="0"/>
        <w:spacing w:after="0" w:line="240" w:lineRule="auto"/>
        <w:ind w:left="0" w:firstLine="0"/>
        <w:jc w:val="both"/>
        <w:rPr>
          <w:rFonts w:ascii="Verdana" w:hAnsi="Verdana"/>
          <w:bCs/>
          <w:sz w:val="20"/>
          <w:szCs w:val="20"/>
          <w:lang w:val="en-US"/>
        </w:rPr>
      </w:pPr>
      <w:r w:rsidRPr="00EA6C7A">
        <w:rPr>
          <w:rFonts w:ascii="Verdana" w:hAnsi="Verdana"/>
          <w:bCs/>
          <w:sz w:val="20"/>
          <w:szCs w:val="20"/>
          <w:lang w:val="en-US"/>
        </w:rPr>
        <w:t>Mrs.</w:t>
      </w:r>
      <w:r w:rsidR="0025015F" w:rsidRPr="00EA6C7A">
        <w:rPr>
          <w:rFonts w:ascii="Verdana" w:hAnsi="Verdana"/>
          <w:bCs/>
          <w:sz w:val="20"/>
          <w:szCs w:val="20"/>
          <w:lang w:val="en-US"/>
        </w:rPr>
        <w:t xml:space="preserve"> Paiz Vidal </w:t>
      </w:r>
      <w:r w:rsidRPr="00EA6C7A">
        <w:rPr>
          <w:rFonts w:ascii="Verdana" w:hAnsi="Verdana"/>
          <w:bCs/>
          <w:sz w:val="20"/>
          <w:szCs w:val="20"/>
          <w:lang w:val="en-US"/>
        </w:rPr>
        <w:t xml:space="preserve">also described the obstacles to closing the mourning process with her husband and son, and the </w:t>
      </w:r>
      <w:r w:rsidR="002C294F" w:rsidRPr="00EA6C7A">
        <w:rPr>
          <w:rFonts w:ascii="Verdana" w:hAnsi="Verdana"/>
          <w:bCs/>
          <w:sz w:val="20"/>
          <w:szCs w:val="20"/>
          <w:lang w:val="en-US"/>
        </w:rPr>
        <w:t>rift</w:t>
      </w:r>
      <w:r w:rsidRPr="00EA6C7A">
        <w:rPr>
          <w:rFonts w:ascii="Verdana" w:hAnsi="Verdana"/>
          <w:bCs/>
          <w:sz w:val="20"/>
          <w:szCs w:val="20"/>
          <w:lang w:val="en-US"/>
        </w:rPr>
        <w:t xml:space="preserve"> in the family due to the absence of </w:t>
      </w:r>
      <w:r w:rsidR="0020127B" w:rsidRPr="00EA6C7A">
        <w:rPr>
          <w:rFonts w:ascii="Verdana" w:hAnsi="Verdana"/>
          <w:bCs/>
          <w:sz w:val="20"/>
          <w:szCs w:val="20"/>
          <w:lang w:val="en-US"/>
        </w:rPr>
        <w:t>Jorge</w:t>
      </w:r>
      <w:r w:rsidR="0025015F" w:rsidRPr="00EA6C7A">
        <w:rPr>
          <w:rFonts w:ascii="Verdana" w:hAnsi="Verdana"/>
          <w:bCs/>
          <w:sz w:val="20"/>
          <w:szCs w:val="20"/>
          <w:lang w:val="en-US"/>
        </w:rPr>
        <w:t xml:space="preserve"> Rolando Velásquez, </w:t>
      </w:r>
      <w:r w:rsidRPr="00EA6C7A">
        <w:rPr>
          <w:rFonts w:ascii="Verdana" w:hAnsi="Verdana"/>
          <w:bCs/>
          <w:sz w:val="20"/>
          <w:szCs w:val="20"/>
          <w:lang w:val="en-US"/>
        </w:rPr>
        <w:t>who devoted himself to investigating their daughter</w:t>
      </w:r>
      <w:r w:rsidR="002C294F" w:rsidRPr="00EA6C7A">
        <w:rPr>
          <w:rFonts w:ascii="Verdana" w:hAnsi="Verdana"/>
          <w:bCs/>
          <w:sz w:val="20"/>
          <w:szCs w:val="20"/>
          <w:lang w:val="en-US"/>
        </w:rPr>
        <w:t>’s death</w:t>
      </w:r>
      <w:r w:rsidRPr="00EA6C7A">
        <w:rPr>
          <w:rFonts w:ascii="Verdana" w:hAnsi="Verdana"/>
          <w:bCs/>
          <w:sz w:val="20"/>
          <w:szCs w:val="20"/>
          <w:lang w:val="en-US"/>
        </w:rPr>
        <w:t xml:space="preserve">. In this regard, Mrs. </w:t>
      </w:r>
      <w:r w:rsidR="0025015F" w:rsidRPr="00EA6C7A">
        <w:rPr>
          <w:rFonts w:ascii="Verdana" w:hAnsi="Verdana"/>
          <w:bCs/>
          <w:sz w:val="20"/>
          <w:szCs w:val="20"/>
          <w:lang w:val="en-US"/>
        </w:rPr>
        <w:t xml:space="preserve">Paiz Vidal </w:t>
      </w:r>
      <w:r w:rsidRPr="00EA6C7A">
        <w:rPr>
          <w:rFonts w:ascii="Verdana" w:hAnsi="Verdana"/>
          <w:bCs/>
          <w:sz w:val="20"/>
          <w:szCs w:val="20"/>
          <w:lang w:val="en-US"/>
        </w:rPr>
        <w:t>indicated that</w:t>
      </w:r>
      <w:r w:rsidR="0025015F" w:rsidRPr="00EA6C7A">
        <w:rPr>
          <w:rFonts w:ascii="Verdana" w:hAnsi="Verdana"/>
          <w:bCs/>
          <w:sz w:val="20"/>
          <w:szCs w:val="20"/>
          <w:lang w:val="en-US"/>
        </w:rPr>
        <w:t>:</w:t>
      </w:r>
    </w:p>
    <w:p w14:paraId="77281B42" w14:textId="77777777" w:rsidR="0025015F" w:rsidRPr="00EA6C7A" w:rsidRDefault="0025015F" w:rsidP="0025015F">
      <w:pPr>
        <w:pStyle w:val="Prrafodelista"/>
        <w:spacing w:after="0" w:line="240" w:lineRule="auto"/>
        <w:jc w:val="both"/>
        <w:rPr>
          <w:rFonts w:ascii="Verdana" w:hAnsi="Verdana"/>
          <w:bCs/>
          <w:sz w:val="16"/>
          <w:szCs w:val="20"/>
          <w:lang w:val="en-US"/>
        </w:rPr>
      </w:pPr>
    </w:p>
    <w:p w14:paraId="58AAB414" w14:textId="77777777" w:rsidR="0025015F" w:rsidRPr="00EA6C7A" w:rsidRDefault="00B841D7" w:rsidP="00B841D7">
      <w:pPr>
        <w:pStyle w:val="Prrafodelista"/>
        <w:autoSpaceDE w:val="0"/>
        <w:autoSpaceDN w:val="0"/>
        <w:adjustRightInd w:val="0"/>
        <w:spacing w:after="0" w:line="240" w:lineRule="auto"/>
        <w:ind w:left="567" w:right="4"/>
        <w:jc w:val="both"/>
        <w:rPr>
          <w:rFonts w:ascii="Verdana" w:hAnsi="Verdana"/>
          <w:bCs/>
          <w:sz w:val="16"/>
          <w:szCs w:val="16"/>
          <w:lang w:val="en-US"/>
        </w:rPr>
      </w:pPr>
      <w:r w:rsidRPr="00EA6C7A">
        <w:rPr>
          <w:rFonts w:ascii="Verdana" w:hAnsi="Verdana"/>
          <w:bCs/>
          <w:sz w:val="16"/>
          <w:szCs w:val="16"/>
          <w:lang w:val="en-US"/>
        </w:rPr>
        <w:t xml:space="preserve">We should have been able to </w:t>
      </w:r>
      <w:r w:rsidR="002C294F" w:rsidRPr="00EA6C7A">
        <w:rPr>
          <w:rFonts w:ascii="Verdana" w:hAnsi="Verdana"/>
          <w:bCs/>
          <w:sz w:val="16"/>
          <w:szCs w:val="16"/>
          <w:lang w:val="en-US"/>
        </w:rPr>
        <w:t>face</w:t>
      </w:r>
      <w:r w:rsidRPr="00EA6C7A">
        <w:rPr>
          <w:rFonts w:ascii="Verdana" w:hAnsi="Verdana"/>
          <w:bCs/>
          <w:sz w:val="16"/>
          <w:szCs w:val="16"/>
          <w:lang w:val="en-US"/>
        </w:rPr>
        <w:t xml:space="preserve"> our pain together as a family, but when the State was so negligent in the investigation, my husband had to assume the role of investigator; he spent most days in the offices of the Public Prosecution Service […]. This prevented us from healing and </w:t>
      </w:r>
      <w:r w:rsidR="002C294F" w:rsidRPr="00EA6C7A">
        <w:rPr>
          <w:rFonts w:ascii="Verdana" w:hAnsi="Verdana"/>
          <w:bCs/>
          <w:sz w:val="16"/>
          <w:szCs w:val="16"/>
          <w:lang w:val="en-US"/>
        </w:rPr>
        <w:t>separated</w:t>
      </w:r>
      <w:r w:rsidRPr="00EA6C7A">
        <w:rPr>
          <w:rFonts w:ascii="Verdana" w:hAnsi="Verdana"/>
          <w:bCs/>
          <w:sz w:val="16"/>
          <w:szCs w:val="16"/>
          <w:lang w:val="en-US"/>
        </w:rPr>
        <w:t xml:space="preserve"> us at a time when we most needed to be </w:t>
      </w:r>
      <w:r w:rsidR="002C294F" w:rsidRPr="00EA6C7A">
        <w:rPr>
          <w:rFonts w:ascii="Verdana" w:hAnsi="Verdana"/>
          <w:bCs/>
          <w:sz w:val="16"/>
          <w:szCs w:val="16"/>
          <w:lang w:val="en-US"/>
        </w:rPr>
        <w:t>together</w:t>
      </w:r>
      <w:r w:rsidRPr="00EA6C7A">
        <w:rPr>
          <w:rFonts w:ascii="Verdana" w:hAnsi="Verdana"/>
          <w:bCs/>
          <w:sz w:val="16"/>
          <w:szCs w:val="16"/>
          <w:lang w:val="en-US"/>
        </w:rPr>
        <w:t>. My relationship with Jorge also suffered; it almost destroyed us as a couple; there were times when I wanted to disappear and escape from everything.</w:t>
      </w:r>
      <w:r w:rsidR="0025015F" w:rsidRPr="00EA6C7A">
        <w:rPr>
          <w:rStyle w:val="Refdenotaalpie"/>
          <w:rFonts w:ascii="Verdana" w:hAnsi="Verdana"/>
          <w:bCs/>
          <w:sz w:val="16"/>
          <w:szCs w:val="16"/>
          <w:lang w:val="en-US"/>
        </w:rPr>
        <w:footnoteReference w:id="309"/>
      </w:r>
    </w:p>
    <w:p w14:paraId="27CB3BE8" w14:textId="77777777" w:rsidR="0025015F" w:rsidRPr="00EA6C7A" w:rsidRDefault="0025015F" w:rsidP="0025015F">
      <w:pPr>
        <w:pStyle w:val="Prrafodelista"/>
        <w:autoSpaceDE w:val="0"/>
        <w:autoSpaceDN w:val="0"/>
        <w:adjustRightInd w:val="0"/>
        <w:spacing w:after="0" w:line="240" w:lineRule="auto"/>
        <w:ind w:left="0"/>
        <w:jc w:val="both"/>
        <w:rPr>
          <w:rFonts w:ascii="Verdana" w:hAnsi="Verdana"/>
          <w:sz w:val="16"/>
          <w:szCs w:val="20"/>
          <w:lang w:val="en-US"/>
        </w:rPr>
      </w:pPr>
    </w:p>
    <w:p w14:paraId="3AC6088D" w14:textId="77777777" w:rsidR="0025015F" w:rsidRPr="00EA6C7A" w:rsidRDefault="00B841D7" w:rsidP="00794627">
      <w:pPr>
        <w:pStyle w:val="Prrafodelista"/>
        <w:numPr>
          <w:ilvl w:val="0"/>
          <w:numId w:val="3"/>
        </w:numPr>
        <w:autoSpaceDE w:val="0"/>
        <w:autoSpaceDN w:val="0"/>
        <w:adjustRightInd w:val="0"/>
        <w:spacing w:after="0" w:line="240" w:lineRule="auto"/>
        <w:ind w:left="0" w:firstLine="0"/>
        <w:jc w:val="both"/>
        <w:rPr>
          <w:rFonts w:ascii="Verdana" w:hAnsi="Verdana"/>
          <w:sz w:val="20"/>
          <w:szCs w:val="20"/>
          <w:lang w:val="en-US"/>
        </w:rPr>
      </w:pPr>
      <w:r w:rsidRPr="00EA6C7A">
        <w:rPr>
          <w:rFonts w:ascii="Verdana" w:hAnsi="Verdana"/>
          <w:sz w:val="20"/>
          <w:szCs w:val="20"/>
          <w:lang w:val="en-US"/>
        </w:rPr>
        <w:t>Meanwhile</w:t>
      </w:r>
      <w:r w:rsidR="0025015F" w:rsidRPr="00EA6C7A">
        <w:rPr>
          <w:rFonts w:ascii="Verdana" w:hAnsi="Verdana"/>
          <w:sz w:val="20"/>
          <w:szCs w:val="20"/>
          <w:lang w:val="en-US"/>
        </w:rPr>
        <w:t>, Pablo Andrés Velásquez Paiz, Claudina Isabel Velásquez</w:t>
      </w:r>
      <w:r w:rsidRPr="00EA6C7A">
        <w:rPr>
          <w:rFonts w:ascii="Verdana" w:hAnsi="Verdana"/>
          <w:sz w:val="20"/>
          <w:szCs w:val="20"/>
          <w:lang w:val="en-US"/>
        </w:rPr>
        <w:t xml:space="preserve">’s brother, stated that </w:t>
      </w:r>
      <w:r w:rsidR="00794627" w:rsidRPr="00EA6C7A">
        <w:rPr>
          <w:rFonts w:ascii="Verdana" w:hAnsi="Verdana"/>
          <w:sz w:val="20"/>
          <w:szCs w:val="20"/>
          <w:lang w:val="en-US"/>
        </w:rPr>
        <w:t xml:space="preserve">he had “stored up all the rage and sadness and never stopped thinking over and over again what would have happened if he had accompanied her to the Law Faculty in the morning or </w:t>
      </w:r>
      <w:r w:rsidR="002C294F" w:rsidRPr="00EA6C7A">
        <w:rPr>
          <w:rFonts w:ascii="Verdana" w:hAnsi="Verdana"/>
          <w:sz w:val="20"/>
          <w:szCs w:val="20"/>
          <w:lang w:val="en-US"/>
        </w:rPr>
        <w:t xml:space="preserve">to </w:t>
      </w:r>
      <w:r w:rsidR="00794627" w:rsidRPr="00EA6C7A">
        <w:rPr>
          <w:rFonts w:ascii="Verdana" w:hAnsi="Verdana"/>
          <w:sz w:val="20"/>
          <w:szCs w:val="20"/>
          <w:lang w:val="en-US"/>
        </w:rPr>
        <w:t>the party she went to that night.” He stated that his “sister’s death had affected [him] profoundly,” and that he “began to drink until [he] passed out […] three or four times a week</w:t>
      </w:r>
      <w:r w:rsidR="0025015F" w:rsidRPr="00EA6C7A">
        <w:rPr>
          <w:rFonts w:ascii="Verdana" w:hAnsi="Verdana"/>
          <w:sz w:val="20"/>
          <w:szCs w:val="20"/>
          <w:lang w:val="en-US"/>
        </w:rPr>
        <w:t xml:space="preserve"> […] </w:t>
      </w:r>
      <w:r w:rsidR="00794627" w:rsidRPr="00EA6C7A">
        <w:rPr>
          <w:rFonts w:ascii="Verdana" w:hAnsi="Verdana"/>
          <w:sz w:val="20"/>
          <w:szCs w:val="20"/>
          <w:lang w:val="en-US"/>
        </w:rPr>
        <w:t xml:space="preserve">to forget the pain, [and] to stop thinking.” At the same time, he “began to have ever stronger suicidal thoughts, to the point that </w:t>
      </w:r>
      <w:r w:rsidR="002C294F" w:rsidRPr="00EA6C7A">
        <w:rPr>
          <w:rFonts w:ascii="Verdana" w:hAnsi="Verdana"/>
          <w:sz w:val="20"/>
          <w:szCs w:val="20"/>
          <w:lang w:val="en-US"/>
        </w:rPr>
        <w:t>[</w:t>
      </w:r>
      <w:r w:rsidR="00794627" w:rsidRPr="00EA6C7A">
        <w:rPr>
          <w:rFonts w:ascii="Verdana" w:hAnsi="Verdana"/>
          <w:sz w:val="20"/>
          <w:szCs w:val="20"/>
          <w:lang w:val="en-US"/>
        </w:rPr>
        <w:t>he</w:t>
      </w:r>
      <w:r w:rsidR="002C294F" w:rsidRPr="00EA6C7A">
        <w:rPr>
          <w:rFonts w:ascii="Verdana" w:hAnsi="Verdana"/>
          <w:sz w:val="20"/>
          <w:szCs w:val="20"/>
          <w:lang w:val="en-US"/>
        </w:rPr>
        <w:t>]</w:t>
      </w:r>
      <w:r w:rsidR="00794627" w:rsidRPr="00EA6C7A">
        <w:rPr>
          <w:rFonts w:ascii="Verdana" w:hAnsi="Verdana"/>
          <w:sz w:val="20"/>
          <w:szCs w:val="20"/>
          <w:lang w:val="en-US"/>
        </w:rPr>
        <w:t xml:space="preserve"> try to kill [himself] driving too fast and, on one </w:t>
      </w:r>
      <w:r w:rsidR="00794627" w:rsidRPr="00EA6C7A">
        <w:rPr>
          <w:rFonts w:ascii="Verdana" w:hAnsi="Verdana"/>
          <w:sz w:val="20"/>
          <w:szCs w:val="20"/>
          <w:lang w:val="en-US"/>
        </w:rPr>
        <w:lastRenderedPageBreak/>
        <w:t>of those occasions [he] had an accident.</w:t>
      </w:r>
      <w:r w:rsidR="0025015F" w:rsidRPr="00EA6C7A">
        <w:rPr>
          <w:rFonts w:ascii="Verdana" w:hAnsi="Verdana"/>
          <w:sz w:val="20"/>
          <w:szCs w:val="20"/>
          <w:lang w:val="en-US"/>
        </w:rPr>
        <w:t>”</w:t>
      </w:r>
      <w:r w:rsidR="0025015F" w:rsidRPr="00EA6C7A">
        <w:rPr>
          <w:rStyle w:val="Refdenotaalpie"/>
          <w:rFonts w:ascii="Verdana" w:hAnsi="Verdana"/>
          <w:sz w:val="20"/>
          <w:szCs w:val="20"/>
          <w:lang w:val="en-US"/>
        </w:rPr>
        <w:footnoteReference w:id="310"/>
      </w:r>
      <w:r w:rsidR="00794627" w:rsidRPr="00EA6C7A">
        <w:rPr>
          <w:rFonts w:ascii="Verdana" w:hAnsi="Verdana"/>
          <w:sz w:val="20"/>
          <w:szCs w:val="20"/>
          <w:lang w:val="en-US"/>
        </w:rPr>
        <w:t xml:space="preserve"> In this regard,</w:t>
      </w:r>
      <w:r w:rsidR="0025015F" w:rsidRPr="00EA6C7A">
        <w:rPr>
          <w:rFonts w:ascii="Verdana" w:hAnsi="Verdana"/>
          <w:sz w:val="20"/>
          <w:szCs w:val="20"/>
          <w:lang w:val="en-US"/>
        </w:rPr>
        <w:t xml:space="preserve"> </w:t>
      </w:r>
      <w:r w:rsidR="0025015F" w:rsidRPr="00EA6C7A">
        <w:rPr>
          <w:rFonts w:ascii="Verdana" w:hAnsi="Verdana"/>
          <w:bCs/>
          <w:sz w:val="20"/>
          <w:szCs w:val="20"/>
          <w:lang w:val="en-US"/>
        </w:rPr>
        <w:t xml:space="preserve">Elsa Claudina Paiz Vidal </w:t>
      </w:r>
      <w:r w:rsidR="00794627" w:rsidRPr="00EA6C7A">
        <w:rPr>
          <w:rFonts w:ascii="Verdana" w:hAnsi="Verdana"/>
          <w:bCs/>
          <w:sz w:val="20"/>
          <w:szCs w:val="20"/>
          <w:lang w:val="en-US"/>
        </w:rPr>
        <w:t>stated that</w:t>
      </w:r>
      <w:r w:rsidR="0025015F" w:rsidRPr="00EA6C7A">
        <w:rPr>
          <w:rFonts w:ascii="Verdana" w:hAnsi="Verdana"/>
          <w:sz w:val="20"/>
          <w:szCs w:val="20"/>
          <w:lang w:val="en-US"/>
        </w:rPr>
        <w:t xml:space="preserve"> Pablo Andrés Velásquez </w:t>
      </w:r>
      <w:r w:rsidR="00794627" w:rsidRPr="00EA6C7A">
        <w:rPr>
          <w:rFonts w:ascii="Verdana" w:hAnsi="Verdana"/>
          <w:sz w:val="20"/>
          <w:szCs w:val="20"/>
          <w:lang w:val="en-US"/>
        </w:rPr>
        <w:t xml:space="preserve">fell to pieces, “he almost destroyed himself,” and </w:t>
      </w:r>
      <w:r w:rsidR="002C294F" w:rsidRPr="00EA6C7A">
        <w:rPr>
          <w:rFonts w:ascii="Verdana" w:hAnsi="Verdana"/>
          <w:sz w:val="20"/>
          <w:szCs w:val="20"/>
          <w:lang w:val="en-US"/>
        </w:rPr>
        <w:t>it was Pablo Andrés who was</w:t>
      </w:r>
      <w:r w:rsidR="00794627" w:rsidRPr="00EA6C7A">
        <w:rPr>
          <w:rFonts w:ascii="Verdana" w:hAnsi="Verdana"/>
          <w:sz w:val="20"/>
          <w:szCs w:val="20"/>
          <w:lang w:val="en-US"/>
        </w:rPr>
        <w:t xml:space="preserve"> most affected by the death of </w:t>
      </w:r>
      <w:r w:rsidR="0025015F" w:rsidRPr="00EA6C7A">
        <w:rPr>
          <w:rFonts w:ascii="Verdana" w:hAnsi="Verdana"/>
          <w:bCs/>
          <w:sz w:val="20"/>
          <w:szCs w:val="20"/>
          <w:lang w:val="en-US"/>
        </w:rPr>
        <w:t>Claudina Velásquez, “</w:t>
      </w:r>
      <w:r w:rsidR="00794627" w:rsidRPr="00EA6C7A">
        <w:rPr>
          <w:rFonts w:ascii="Verdana" w:hAnsi="Verdana"/>
          <w:bCs/>
          <w:sz w:val="20"/>
          <w:szCs w:val="20"/>
          <w:lang w:val="en-US"/>
        </w:rPr>
        <w:t>owing to the closeness of his ties to his sister.</w:t>
      </w:r>
      <w:r w:rsidR="0025015F" w:rsidRPr="00EA6C7A">
        <w:rPr>
          <w:rFonts w:ascii="Verdana" w:hAnsi="Verdana"/>
          <w:sz w:val="20"/>
          <w:szCs w:val="20"/>
          <w:lang w:val="en-US"/>
        </w:rPr>
        <w:t>”</w:t>
      </w:r>
      <w:r w:rsidR="0025015F" w:rsidRPr="00EA6C7A">
        <w:rPr>
          <w:rStyle w:val="Refdenotaalpie"/>
          <w:rFonts w:ascii="Verdana" w:hAnsi="Verdana"/>
          <w:sz w:val="20"/>
          <w:szCs w:val="20"/>
          <w:lang w:val="en-US"/>
        </w:rPr>
        <w:footnoteReference w:id="311"/>
      </w:r>
    </w:p>
    <w:p w14:paraId="5A42D7D2" w14:textId="77777777" w:rsidR="0025015F" w:rsidRPr="00EA6C7A" w:rsidRDefault="0025015F" w:rsidP="0025015F">
      <w:pPr>
        <w:pStyle w:val="Prrafodelista"/>
        <w:spacing w:after="0" w:line="240" w:lineRule="auto"/>
        <w:jc w:val="both"/>
        <w:rPr>
          <w:rFonts w:ascii="Verdana" w:hAnsi="Verdana"/>
          <w:sz w:val="20"/>
          <w:szCs w:val="20"/>
          <w:lang w:val="en-US"/>
        </w:rPr>
      </w:pPr>
    </w:p>
    <w:p w14:paraId="515E81E2" w14:textId="77777777" w:rsidR="0025015F" w:rsidRPr="00EA6C7A" w:rsidRDefault="00E83B6D" w:rsidP="00E83B6D">
      <w:pPr>
        <w:pStyle w:val="Prrafodelista"/>
        <w:numPr>
          <w:ilvl w:val="0"/>
          <w:numId w:val="3"/>
        </w:numPr>
        <w:autoSpaceDE w:val="0"/>
        <w:autoSpaceDN w:val="0"/>
        <w:adjustRightInd w:val="0"/>
        <w:spacing w:after="0" w:line="240" w:lineRule="auto"/>
        <w:ind w:left="0" w:firstLine="0"/>
        <w:jc w:val="both"/>
        <w:rPr>
          <w:rFonts w:ascii="Verdana" w:hAnsi="Verdana"/>
          <w:sz w:val="20"/>
          <w:szCs w:val="20"/>
          <w:lang w:val="en-US"/>
        </w:rPr>
      </w:pPr>
      <w:r w:rsidRPr="00EA6C7A">
        <w:rPr>
          <w:rFonts w:ascii="Verdana" w:hAnsi="Verdana"/>
          <w:sz w:val="20"/>
          <w:szCs w:val="20"/>
          <w:lang w:val="en-US"/>
        </w:rPr>
        <w:t>Like his parents</w:t>
      </w:r>
      <w:r w:rsidR="0025015F" w:rsidRPr="00EA6C7A">
        <w:rPr>
          <w:rFonts w:ascii="Verdana" w:hAnsi="Verdana"/>
          <w:sz w:val="20"/>
          <w:szCs w:val="20"/>
          <w:lang w:val="en-US"/>
        </w:rPr>
        <w:t>, Pablo Andrés Velásquez Paiz expres</w:t>
      </w:r>
      <w:r w:rsidRPr="00EA6C7A">
        <w:rPr>
          <w:rFonts w:ascii="Verdana" w:hAnsi="Verdana"/>
          <w:sz w:val="20"/>
          <w:szCs w:val="20"/>
          <w:lang w:val="en-US"/>
        </w:rPr>
        <w:t xml:space="preserve">sed his “pain” and “anger” on hearing the investigator who visited the house “justify the negligence in the processing of the crime scene </w:t>
      </w:r>
      <w:r w:rsidR="002C294F" w:rsidRPr="00EA6C7A">
        <w:rPr>
          <w:rFonts w:ascii="Verdana" w:hAnsi="Verdana"/>
          <w:sz w:val="20"/>
          <w:szCs w:val="20"/>
          <w:lang w:val="en-US"/>
        </w:rPr>
        <w:t>by</w:t>
      </w:r>
      <w:r w:rsidRPr="00EA6C7A">
        <w:rPr>
          <w:rFonts w:ascii="Verdana" w:hAnsi="Verdana"/>
          <w:sz w:val="20"/>
          <w:szCs w:val="20"/>
          <w:lang w:val="en-US"/>
        </w:rPr>
        <w:t xml:space="preserve"> the fact that [his] sister appeared to be a ‘loose woman’” and, therefore, “they had considered that it was not worth investigating.” According to Pablo Andrés Velásquez, “the words of the investigator hurt me and offended me deeply, and I still feel angry thinking that the State authorities are more interested in making excuses for not having done their work than […] in investigating.</w:t>
      </w:r>
      <w:r w:rsidR="0025015F" w:rsidRPr="00EA6C7A">
        <w:rPr>
          <w:rFonts w:ascii="Verdana" w:hAnsi="Verdana"/>
          <w:sz w:val="20"/>
          <w:szCs w:val="20"/>
          <w:lang w:val="en-US"/>
        </w:rPr>
        <w:t>”</w:t>
      </w:r>
      <w:r w:rsidR="0025015F" w:rsidRPr="00EA6C7A">
        <w:rPr>
          <w:rStyle w:val="Refdenotaalpie"/>
          <w:rFonts w:ascii="Verdana" w:hAnsi="Verdana"/>
          <w:sz w:val="20"/>
          <w:szCs w:val="20"/>
          <w:lang w:val="en-US"/>
        </w:rPr>
        <w:footnoteReference w:id="312"/>
      </w:r>
    </w:p>
    <w:p w14:paraId="31A998D7" w14:textId="77777777" w:rsidR="0025015F" w:rsidRPr="00EA6C7A" w:rsidRDefault="0025015F" w:rsidP="0025015F">
      <w:pPr>
        <w:autoSpaceDE w:val="0"/>
        <w:autoSpaceDN w:val="0"/>
        <w:adjustRightInd w:val="0"/>
        <w:spacing w:after="0" w:line="240" w:lineRule="auto"/>
        <w:ind w:left="630"/>
        <w:jc w:val="both"/>
        <w:rPr>
          <w:rFonts w:ascii="Verdana" w:hAnsi="Verdana"/>
          <w:sz w:val="20"/>
          <w:szCs w:val="20"/>
          <w:lang w:val="en-US"/>
        </w:rPr>
      </w:pPr>
    </w:p>
    <w:p w14:paraId="52592C7F" w14:textId="77777777" w:rsidR="0025015F" w:rsidRPr="00EA6C7A" w:rsidRDefault="00E83B6D" w:rsidP="00E83B6D">
      <w:pPr>
        <w:pStyle w:val="Prrafodelista"/>
        <w:numPr>
          <w:ilvl w:val="0"/>
          <w:numId w:val="3"/>
        </w:numPr>
        <w:autoSpaceDE w:val="0"/>
        <w:autoSpaceDN w:val="0"/>
        <w:adjustRightInd w:val="0"/>
        <w:spacing w:after="0" w:line="240" w:lineRule="auto"/>
        <w:ind w:left="0" w:firstLine="0"/>
        <w:jc w:val="both"/>
        <w:rPr>
          <w:rFonts w:ascii="Verdana" w:hAnsi="Verdana"/>
          <w:sz w:val="20"/>
          <w:szCs w:val="20"/>
          <w:lang w:val="en-US"/>
        </w:rPr>
      </w:pPr>
      <w:r w:rsidRPr="00EA6C7A">
        <w:rPr>
          <w:rFonts w:ascii="Verdana" w:hAnsi="Verdana"/>
          <w:sz w:val="20"/>
          <w:szCs w:val="20"/>
          <w:lang w:val="en-US"/>
        </w:rPr>
        <w:t>Lastly, it is worth pointing out that</w:t>
      </w:r>
      <w:r w:rsidR="0025015F" w:rsidRPr="00EA6C7A">
        <w:rPr>
          <w:rFonts w:ascii="Verdana" w:hAnsi="Verdana"/>
          <w:sz w:val="20"/>
          <w:szCs w:val="20"/>
          <w:lang w:val="en-US"/>
        </w:rPr>
        <w:t xml:space="preserve"> </w:t>
      </w:r>
      <w:r w:rsidR="00781EBE" w:rsidRPr="00EA6C7A">
        <w:rPr>
          <w:rFonts w:ascii="Verdana" w:hAnsi="Verdana"/>
          <w:sz w:val="20"/>
          <w:szCs w:val="20"/>
          <w:lang w:val="en-US"/>
        </w:rPr>
        <w:t>the Guatemalan Ombudsman</w:t>
      </w:r>
      <w:r w:rsidR="0025015F" w:rsidRPr="00EA6C7A">
        <w:rPr>
          <w:rFonts w:ascii="Verdana" w:hAnsi="Verdana"/>
          <w:sz w:val="20"/>
          <w:szCs w:val="20"/>
          <w:lang w:val="en-US"/>
        </w:rPr>
        <w:t xml:space="preserve"> conclu</w:t>
      </w:r>
      <w:r w:rsidRPr="00EA6C7A">
        <w:rPr>
          <w:rFonts w:ascii="Verdana" w:hAnsi="Verdana"/>
          <w:sz w:val="20"/>
          <w:szCs w:val="20"/>
          <w:lang w:val="en-US"/>
        </w:rPr>
        <w:t xml:space="preserve">ded that “the failure of public servants, including the police, the forensic physician and the </w:t>
      </w:r>
      <w:r w:rsidRPr="00EA6C7A">
        <w:rPr>
          <w:rFonts w:ascii="Verdana" w:eastAsia="Calibri" w:hAnsi="Verdana" w:cs="Arial"/>
          <w:sz w:val="20"/>
          <w:szCs w:val="20"/>
          <w:lang w:val="en-US"/>
        </w:rPr>
        <w:t>Public Prosecution Service to act with due diligence to prevent and to investigate” the facts of the case, “resulted in the violation of the right to legal certainty [and] personal integrity</w:t>
      </w:r>
      <w:r w:rsidRPr="00EA6C7A">
        <w:rPr>
          <w:rFonts w:ascii="Verdana" w:hAnsi="Verdana"/>
          <w:sz w:val="20"/>
          <w:szCs w:val="20"/>
          <w:lang w:val="en-US"/>
        </w:rPr>
        <w:t xml:space="preserve"> </w:t>
      </w:r>
      <w:r w:rsidR="00123BD3" w:rsidRPr="00EA6C7A">
        <w:rPr>
          <w:rFonts w:ascii="Verdana" w:eastAsia="Calibri" w:hAnsi="Verdana" w:cs="Arial"/>
          <w:sz w:val="20"/>
          <w:szCs w:val="20"/>
          <w:lang w:val="en-US"/>
        </w:rPr>
        <w:t>of</w:t>
      </w:r>
      <w:r w:rsidR="0025015F" w:rsidRPr="00EA6C7A">
        <w:rPr>
          <w:rFonts w:ascii="Verdana" w:eastAsia="Calibri" w:hAnsi="Verdana" w:cs="Arial"/>
          <w:sz w:val="20"/>
          <w:szCs w:val="20"/>
          <w:lang w:val="en-US"/>
        </w:rPr>
        <w:t xml:space="preserve"> Claudina Isabel Velásquez Paiz [</w:t>
      </w:r>
      <w:r w:rsidRPr="00EA6C7A">
        <w:rPr>
          <w:rFonts w:ascii="Verdana" w:eastAsia="Calibri" w:hAnsi="Verdana" w:cs="Arial"/>
          <w:sz w:val="20"/>
          <w:szCs w:val="20"/>
          <w:lang w:val="en-US"/>
        </w:rPr>
        <w:t>and</w:t>
      </w:r>
      <w:r w:rsidR="0025015F" w:rsidRPr="00EA6C7A">
        <w:rPr>
          <w:rFonts w:ascii="Verdana" w:eastAsia="Calibri" w:hAnsi="Verdana" w:cs="Arial"/>
          <w:sz w:val="20"/>
          <w:szCs w:val="20"/>
          <w:lang w:val="en-US"/>
        </w:rPr>
        <w:t>]</w:t>
      </w:r>
      <w:r w:rsidRPr="00EA6C7A">
        <w:rPr>
          <w:rFonts w:ascii="Verdana" w:eastAsia="Calibri" w:hAnsi="Verdana" w:cs="Arial"/>
          <w:sz w:val="20"/>
          <w:szCs w:val="20"/>
          <w:lang w:val="en-US"/>
        </w:rPr>
        <w:t xml:space="preserve"> her next of kin.” According to the Ombudsman, the</w:t>
      </w:r>
      <w:r w:rsidR="0025015F" w:rsidRPr="00EA6C7A">
        <w:rPr>
          <w:rFonts w:ascii="Verdana" w:eastAsia="Calibri" w:hAnsi="Verdana" w:cs="Arial"/>
          <w:sz w:val="20"/>
          <w:szCs w:val="20"/>
          <w:lang w:val="en-US"/>
        </w:rPr>
        <w:t xml:space="preserve"> </w:t>
      </w:r>
      <w:r w:rsidR="0025015F" w:rsidRPr="00EA6C7A">
        <w:rPr>
          <w:rFonts w:ascii="Verdana" w:hAnsi="Verdana" w:cs="Arial"/>
          <w:sz w:val="20"/>
          <w:szCs w:val="20"/>
          <w:lang w:val="en-US" w:eastAsia="es-CR"/>
        </w:rPr>
        <w:t>Velásquez Paiz</w:t>
      </w:r>
      <w:r w:rsidRPr="00EA6C7A">
        <w:rPr>
          <w:rFonts w:ascii="Verdana" w:hAnsi="Verdana" w:cs="Arial"/>
          <w:sz w:val="20"/>
          <w:szCs w:val="20"/>
          <w:lang w:val="en-US" w:eastAsia="es-CR"/>
        </w:rPr>
        <w:t xml:space="preserve"> family</w:t>
      </w:r>
      <w:r w:rsidR="0025015F" w:rsidRPr="00EA6C7A">
        <w:rPr>
          <w:rFonts w:ascii="Verdana" w:hAnsi="Verdana" w:cs="Arial"/>
          <w:sz w:val="20"/>
          <w:szCs w:val="20"/>
          <w:lang w:val="en-US" w:eastAsia="es-CR"/>
        </w:rPr>
        <w:t xml:space="preserve"> “</w:t>
      </w:r>
      <w:r w:rsidRPr="00EA6C7A">
        <w:rPr>
          <w:rFonts w:ascii="Verdana" w:hAnsi="Verdana" w:cs="Arial"/>
          <w:sz w:val="20"/>
          <w:szCs w:val="20"/>
          <w:lang w:val="en-US" w:eastAsia="es-CR"/>
        </w:rPr>
        <w:t xml:space="preserve">had to suffer the indifference, lack of interest and negligence of the prosecutors, which </w:t>
      </w:r>
      <w:r w:rsidR="006D4800" w:rsidRPr="00EA6C7A">
        <w:rPr>
          <w:rFonts w:ascii="Verdana" w:hAnsi="Verdana" w:cs="Arial"/>
          <w:sz w:val="20"/>
          <w:szCs w:val="20"/>
          <w:lang w:val="en-US" w:eastAsia="es-CR"/>
        </w:rPr>
        <w:t>obliged them to repeat the same facts innumerable times, with the consequent pain and emotional harm to the family members.</w:t>
      </w:r>
      <w:r w:rsidR="0025015F" w:rsidRPr="00EA6C7A">
        <w:rPr>
          <w:rFonts w:ascii="Verdana" w:hAnsi="Verdana" w:cs="Arial"/>
          <w:sz w:val="20"/>
          <w:szCs w:val="20"/>
          <w:lang w:val="en-US" w:eastAsia="es-CR"/>
        </w:rPr>
        <w:t>”</w:t>
      </w:r>
      <w:r w:rsidR="0025015F" w:rsidRPr="00EA6C7A">
        <w:rPr>
          <w:rStyle w:val="Refdenotaalpie"/>
          <w:rFonts w:ascii="Verdana" w:hAnsi="Verdana" w:cs="Arial"/>
          <w:sz w:val="20"/>
          <w:szCs w:val="20"/>
          <w:lang w:val="en-US" w:eastAsia="es-CR"/>
        </w:rPr>
        <w:footnoteReference w:id="313"/>
      </w:r>
      <w:r w:rsidR="006D4800" w:rsidRPr="00EA6C7A">
        <w:rPr>
          <w:rFonts w:ascii="Verdana" w:hAnsi="Verdana" w:cs="Arial"/>
          <w:sz w:val="20"/>
          <w:szCs w:val="20"/>
          <w:lang w:val="en-US" w:eastAsia="es-CR"/>
        </w:rPr>
        <w:t xml:space="preserve"> Similarly, the psychiatrist, </w:t>
      </w:r>
      <w:r w:rsidR="0025015F" w:rsidRPr="00EA6C7A">
        <w:rPr>
          <w:rFonts w:ascii="Verdana" w:hAnsi="Verdana"/>
          <w:sz w:val="20"/>
          <w:szCs w:val="20"/>
          <w:lang w:val="en-US"/>
        </w:rPr>
        <w:t>Karen Denisse Peña Juárez</w:t>
      </w:r>
      <w:r w:rsidR="006D4800" w:rsidRPr="00EA6C7A">
        <w:rPr>
          <w:rFonts w:ascii="Verdana" w:hAnsi="Verdana"/>
          <w:sz w:val="20"/>
          <w:szCs w:val="20"/>
          <w:lang w:val="en-US"/>
        </w:rPr>
        <w:t>, stated that:</w:t>
      </w:r>
      <w:r w:rsidR="0025015F" w:rsidRPr="00EA6C7A">
        <w:rPr>
          <w:rFonts w:ascii="Verdana" w:hAnsi="Verdana"/>
          <w:sz w:val="20"/>
          <w:szCs w:val="20"/>
          <w:lang w:val="en-US"/>
        </w:rPr>
        <w:t xml:space="preserve"> </w:t>
      </w:r>
    </w:p>
    <w:p w14:paraId="420CED69" w14:textId="77777777" w:rsidR="0025015F" w:rsidRPr="00EA6C7A" w:rsidRDefault="0025015F" w:rsidP="0025015F">
      <w:pPr>
        <w:pStyle w:val="Prrafodelista"/>
        <w:rPr>
          <w:rFonts w:ascii="Verdana" w:hAnsi="Verdana"/>
          <w:sz w:val="20"/>
          <w:szCs w:val="20"/>
          <w:lang w:val="en-US"/>
        </w:rPr>
      </w:pPr>
    </w:p>
    <w:p w14:paraId="04FCB6DB" w14:textId="77777777" w:rsidR="006D4800" w:rsidRPr="00EA6C7A" w:rsidRDefault="00387859" w:rsidP="0025015F">
      <w:pPr>
        <w:pStyle w:val="Prrafodelista"/>
        <w:autoSpaceDE w:val="0"/>
        <w:autoSpaceDN w:val="0"/>
        <w:adjustRightInd w:val="0"/>
        <w:spacing w:after="0" w:line="240" w:lineRule="auto"/>
        <w:ind w:left="540"/>
        <w:jc w:val="both"/>
        <w:rPr>
          <w:rFonts w:ascii="Verdana" w:eastAsia="Calibri" w:hAnsi="Verdana"/>
          <w:sz w:val="16"/>
          <w:szCs w:val="16"/>
          <w:lang w:val="en-US"/>
        </w:rPr>
      </w:pPr>
      <w:r w:rsidRPr="00EA6C7A">
        <w:rPr>
          <w:rFonts w:ascii="Verdana" w:eastAsia="Calibri" w:hAnsi="Verdana"/>
          <w:sz w:val="16"/>
          <w:szCs w:val="16"/>
          <w:lang w:val="en-US"/>
        </w:rPr>
        <w:t>U</w:t>
      </w:r>
      <w:r w:rsidR="006D4800" w:rsidRPr="00EA6C7A">
        <w:rPr>
          <w:rFonts w:ascii="Verdana" w:eastAsia="Calibri" w:hAnsi="Verdana"/>
          <w:sz w:val="16"/>
          <w:szCs w:val="16"/>
          <w:lang w:val="en-US"/>
        </w:rPr>
        <w:t xml:space="preserve">nfinished mourning and the need to play an active role in the investigation procedure into the crime against their daughter has been </w:t>
      </w:r>
      <w:r w:rsidR="002C294F" w:rsidRPr="00EA6C7A">
        <w:rPr>
          <w:rFonts w:ascii="Verdana" w:eastAsia="Calibri" w:hAnsi="Verdana"/>
          <w:sz w:val="16"/>
          <w:szCs w:val="16"/>
          <w:lang w:val="en-US"/>
        </w:rPr>
        <w:t>reinforced</w:t>
      </w:r>
      <w:r w:rsidR="006D4800" w:rsidRPr="00EA6C7A">
        <w:rPr>
          <w:rFonts w:ascii="Verdana" w:eastAsia="Calibri" w:hAnsi="Verdana"/>
          <w:sz w:val="16"/>
          <w:szCs w:val="16"/>
          <w:lang w:val="en-US"/>
        </w:rPr>
        <w:t xml:space="preserve"> by the conditions that reigned within the State’s system of justice, which have made them collateral victims of negligence, abuse of power and authority, and indifference. In addition, their safety has not been ensured and their dignity has not been respected. This situation has caused the family to feel that the State lies and also attacks them, and this increases the feeling of helplessness and frustration when the legal situation is not resolved and the truth is not uncovered.</w:t>
      </w:r>
    </w:p>
    <w:p w14:paraId="6DFF9DA3" w14:textId="77777777" w:rsidR="006D4800" w:rsidRPr="00EA6C7A" w:rsidRDefault="006D4800" w:rsidP="0025015F">
      <w:pPr>
        <w:pStyle w:val="Prrafodelista"/>
        <w:autoSpaceDE w:val="0"/>
        <w:autoSpaceDN w:val="0"/>
        <w:adjustRightInd w:val="0"/>
        <w:spacing w:after="0" w:line="240" w:lineRule="auto"/>
        <w:ind w:left="540"/>
        <w:jc w:val="both"/>
        <w:rPr>
          <w:rFonts w:ascii="Verdana" w:eastAsia="Calibri" w:hAnsi="Verdana"/>
          <w:sz w:val="16"/>
          <w:szCs w:val="16"/>
          <w:lang w:val="en-US"/>
        </w:rPr>
      </w:pPr>
    </w:p>
    <w:p w14:paraId="024F6B42" w14:textId="77777777" w:rsidR="0025015F" w:rsidRPr="00EA6C7A" w:rsidRDefault="0025015F" w:rsidP="009532CF">
      <w:pPr>
        <w:pStyle w:val="Prrafodelista"/>
        <w:autoSpaceDE w:val="0"/>
        <w:autoSpaceDN w:val="0"/>
        <w:adjustRightInd w:val="0"/>
        <w:spacing w:after="0" w:line="240" w:lineRule="auto"/>
        <w:ind w:left="540"/>
        <w:jc w:val="both"/>
        <w:rPr>
          <w:rFonts w:ascii="Verdana" w:eastAsia="Calibri" w:hAnsi="Verdana"/>
          <w:sz w:val="16"/>
          <w:szCs w:val="16"/>
          <w:lang w:val="en-US"/>
        </w:rPr>
      </w:pPr>
      <w:r w:rsidRPr="00EA6C7A">
        <w:rPr>
          <w:rFonts w:ascii="Verdana" w:eastAsia="Calibri" w:hAnsi="Verdana"/>
          <w:sz w:val="16"/>
          <w:szCs w:val="16"/>
          <w:lang w:val="en-US"/>
        </w:rPr>
        <w:t>[</w:t>
      </w:r>
      <w:r w:rsidR="006D4800" w:rsidRPr="00EA6C7A">
        <w:rPr>
          <w:rFonts w:ascii="Verdana" w:hAnsi="Verdana"/>
          <w:sz w:val="16"/>
          <w:szCs w:val="16"/>
          <w:lang w:val="en-US"/>
        </w:rPr>
        <w:t>The</w:t>
      </w:r>
      <w:r w:rsidRPr="00EA6C7A">
        <w:rPr>
          <w:rFonts w:ascii="Verdana" w:hAnsi="Verdana"/>
          <w:sz w:val="16"/>
          <w:szCs w:val="16"/>
          <w:lang w:val="en-US"/>
        </w:rPr>
        <w:t xml:space="preserve"> </w:t>
      </w:r>
      <w:r w:rsidR="006D4800" w:rsidRPr="00EA6C7A">
        <w:rPr>
          <w:rFonts w:ascii="Verdana" w:hAnsi="Verdana"/>
          <w:sz w:val="16"/>
          <w:szCs w:val="16"/>
          <w:lang w:val="en-US"/>
        </w:rPr>
        <w:t>e</w:t>
      </w:r>
      <w:r w:rsidR="00586DC6" w:rsidRPr="00EA6C7A">
        <w:rPr>
          <w:rFonts w:ascii="Verdana" w:hAnsi="Verdana"/>
          <w:sz w:val="16"/>
          <w:szCs w:val="16"/>
          <w:lang w:val="en-US"/>
        </w:rPr>
        <w:t>xpert witness</w:t>
      </w:r>
      <w:r w:rsidRPr="00EA6C7A">
        <w:rPr>
          <w:rFonts w:ascii="Verdana" w:hAnsi="Verdana"/>
          <w:sz w:val="16"/>
          <w:szCs w:val="16"/>
          <w:lang w:val="en-US"/>
        </w:rPr>
        <w:t xml:space="preserve"> </w:t>
      </w:r>
      <w:r w:rsidR="006D4800" w:rsidRPr="00EA6C7A">
        <w:rPr>
          <w:rFonts w:ascii="Verdana" w:hAnsi="Verdana"/>
          <w:sz w:val="16"/>
          <w:szCs w:val="16"/>
          <w:lang w:val="en-US"/>
        </w:rPr>
        <w:t xml:space="preserve">also indicated that the father, mother and brother of </w:t>
      </w:r>
      <w:r w:rsidRPr="00EA6C7A">
        <w:rPr>
          <w:rFonts w:ascii="Verdana" w:eastAsia="Calibri" w:hAnsi="Verdana"/>
          <w:sz w:val="16"/>
          <w:szCs w:val="16"/>
          <w:lang w:val="en-US"/>
        </w:rPr>
        <w:t>Claudina Velásquez]</w:t>
      </w:r>
      <w:r w:rsidR="006D4800" w:rsidRPr="00EA6C7A">
        <w:rPr>
          <w:rFonts w:ascii="Verdana" w:eastAsia="Calibri" w:hAnsi="Verdana"/>
          <w:sz w:val="16"/>
          <w:szCs w:val="16"/>
          <w:lang w:val="en-US"/>
        </w:rPr>
        <w:t xml:space="preserve"> are col</w:t>
      </w:r>
      <w:r w:rsidR="002C294F" w:rsidRPr="00EA6C7A">
        <w:rPr>
          <w:rFonts w:ascii="Verdana" w:eastAsia="Calibri" w:hAnsi="Verdana"/>
          <w:sz w:val="16"/>
          <w:szCs w:val="16"/>
          <w:lang w:val="en-US"/>
        </w:rPr>
        <w:t>l</w:t>
      </w:r>
      <w:r w:rsidR="006D4800" w:rsidRPr="00EA6C7A">
        <w:rPr>
          <w:rFonts w:ascii="Verdana" w:eastAsia="Calibri" w:hAnsi="Verdana"/>
          <w:sz w:val="16"/>
          <w:szCs w:val="16"/>
          <w:lang w:val="en-US"/>
        </w:rPr>
        <w:t xml:space="preserve">ateral victims of the crime and have been revictimized </w:t>
      </w:r>
      <w:r w:rsidRPr="00EA6C7A">
        <w:rPr>
          <w:rFonts w:ascii="Verdana" w:eastAsia="Calibri" w:hAnsi="Verdana"/>
          <w:sz w:val="16"/>
          <w:szCs w:val="16"/>
          <w:lang w:val="en-US"/>
        </w:rPr>
        <w:t xml:space="preserve"> </w:t>
      </w:r>
      <w:r w:rsidR="006D4800" w:rsidRPr="00EA6C7A">
        <w:rPr>
          <w:rFonts w:ascii="Verdana" w:eastAsia="Calibri" w:hAnsi="Verdana"/>
          <w:sz w:val="16"/>
          <w:szCs w:val="16"/>
          <w:lang w:val="en-US"/>
        </w:rPr>
        <w:t xml:space="preserve">peripherally because it is they who have had to provide evidence and urge that the case be resolved, becoming monitors of the whole process and, </w:t>
      </w:r>
      <w:r w:rsidR="002C294F" w:rsidRPr="00EA6C7A">
        <w:rPr>
          <w:rFonts w:ascii="Verdana" w:eastAsia="Calibri" w:hAnsi="Verdana"/>
          <w:sz w:val="16"/>
          <w:szCs w:val="16"/>
          <w:lang w:val="en-US"/>
        </w:rPr>
        <w:t>despite this</w:t>
      </w:r>
      <w:r w:rsidR="006D4800" w:rsidRPr="00EA6C7A">
        <w:rPr>
          <w:rFonts w:ascii="Verdana" w:eastAsia="Calibri" w:hAnsi="Verdana"/>
          <w:sz w:val="16"/>
          <w:szCs w:val="16"/>
          <w:lang w:val="en-US"/>
        </w:rPr>
        <w:t xml:space="preserve">, they have not obtained answers. </w:t>
      </w:r>
      <w:r w:rsidR="009532CF" w:rsidRPr="00EA6C7A">
        <w:rPr>
          <w:rFonts w:ascii="Verdana" w:eastAsia="Calibri" w:hAnsi="Verdana"/>
          <w:sz w:val="16"/>
          <w:szCs w:val="16"/>
          <w:lang w:val="en-US"/>
        </w:rPr>
        <w:t>Added to this, they have been subject to the opinion</w:t>
      </w:r>
      <w:r w:rsidR="00647242" w:rsidRPr="00EA6C7A">
        <w:rPr>
          <w:rFonts w:ascii="Verdana" w:eastAsia="Calibri" w:hAnsi="Verdana"/>
          <w:sz w:val="16"/>
          <w:szCs w:val="16"/>
          <w:lang w:val="en-US"/>
        </w:rPr>
        <w:t>s</w:t>
      </w:r>
      <w:r w:rsidR="009532CF" w:rsidRPr="00EA6C7A">
        <w:rPr>
          <w:rFonts w:ascii="Verdana" w:eastAsia="Calibri" w:hAnsi="Verdana"/>
          <w:sz w:val="16"/>
          <w:szCs w:val="16"/>
          <w:lang w:val="en-US"/>
        </w:rPr>
        <w:t xml:space="preserve"> of the media and </w:t>
      </w:r>
      <w:r w:rsidR="00647242" w:rsidRPr="00EA6C7A">
        <w:rPr>
          <w:rFonts w:ascii="Verdana" w:eastAsia="Calibri" w:hAnsi="Verdana"/>
          <w:sz w:val="16"/>
          <w:szCs w:val="16"/>
          <w:lang w:val="en-US"/>
        </w:rPr>
        <w:t xml:space="preserve">the </w:t>
      </w:r>
      <w:r w:rsidR="009532CF" w:rsidRPr="00EA6C7A">
        <w:rPr>
          <w:rFonts w:ascii="Verdana" w:eastAsia="Calibri" w:hAnsi="Verdana"/>
          <w:sz w:val="16"/>
          <w:szCs w:val="16"/>
          <w:lang w:val="en-US"/>
        </w:rPr>
        <w:t xml:space="preserve">public, and the indifference </w:t>
      </w:r>
      <w:r w:rsidR="00647242" w:rsidRPr="00EA6C7A">
        <w:rPr>
          <w:rFonts w:ascii="Verdana" w:eastAsia="Calibri" w:hAnsi="Verdana"/>
          <w:sz w:val="16"/>
          <w:szCs w:val="16"/>
          <w:lang w:val="en-US"/>
        </w:rPr>
        <w:t>towards the case</w:t>
      </w:r>
      <w:r w:rsidR="009532CF" w:rsidRPr="00EA6C7A">
        <w:rPr>
          <w:rFonts w:ascii="Verdana" w:eastAsia="Calibri" w:hAnsi="Verdana"/>
          <w:sz w:val="16"/>
          <w:szCs w:val="16"/>
          <w:lang w:val="en-US"/>
        </w:rPr>
        <w:t xml:space="preserve"> and </w:t>
      </w:r>
      <w:r w:rsidR="00647242" w:rsidRPr="00EA6C7A">
        <w:rPr>
          <w:rFonts w:ascii="Verdana" w:eastAsia="Calibri" w:hAnsi="Verdana"/>
          <w:sz w:val="16"/>
          <w:szCs w:val="16"/>
          <w:lang w:val="en-US"/>
        </w:rPr>
        <w:t xml:space="preserve">of </w:t>
      </w:r>
      <w:r w:rsidR="009532CF" w:rsidRPr="00EA6C7A">
        <w:rPr>
          <w:rFonts w:ascii="Verdana" w:eastAsia="Calibri" w:hAnsi="Verdana"/>
          <w:sz w:val="16"/>
          <w:szCs w:val="16"/>
          <w:lang w:val="en-US"/>
        </w:rPr>
        <w:t>the institutions that should provide health care services and justice.</w:t>
      </w:r>
      <w:r w:rsidRPr="00EA6C7A">
        <w:rPr>
          <w:rStyle w:val="Refdenotaalpie"/>
          <w:rFonts w:ascii="Verdana" w:eastAsia="Calibri" w:hAnsi="Verdana"/>
          <w:sz w:val="16"/>
          <w:szCs w:val="16"/>
          <w:lang w:val="en-US"/>
        </w:rPr>
        <w:footnoteReference w:id="314"/>
      </w:r>
    </w:p>
    <w:p w14:paraId="3BD26BF7" w14:textId="77777777" w:rsidR="0025015F" w:rsidRPr="00EA6C7A" w:rsidRDefault="0025015F" w:rsidP="0025015F">
      <w:pPr>
        <w:pStyle w:val="Prrafodelista"/>
        <w:autoSpaceDE w:val="0"/>
        <w:autoSpaceDN w:val="0"/>
        <w:adjustRightInd w:val="0"/>
        <w:spacing w:after="0" w:line="240" w:lineRule="auto"/>
        <w:ind w:left="0"/>
        <w:jc w:val="both"/>
        <w:rPr>
          <w:rFonts w:ascii="Verdana" w:hAnsi="Verdana"/>
          <w:sz w:val="20"/>
          <w:szCs w:val="20"/>
          <w:lang w:val="en-US"/>
        </w:rPr>
      </w:pPr>
    </w:p>
    <w:p w14:paraId="1284A3EC" w14:textId="77777777" w:rsidR="0025015F" w:rsidRPr="00EA6C7A" w:rsidRDefault="009532CF" w:rsidP="009532CF">
      <w:pPr>
        <w:pStyle w:val="Prrafodelista"/>
        <w:numPr>
          <w:ilvl w:val="0"/>
          <w:numId w:val="3"/>
        </w:numPr>
        <w:spacing w:after="0" w:line="240" w:lineRule="auto"/>
        <w:ind w:left="0" w:right="-174" w:firstLine="0"/>
        <w:jc w:val="both"/>
        <w:rPr>
          <w:rFonts w:ascii="Verdana" w:hAnsi="Verdana"/>
          <w:sz w:val="20"/>
          <w:szCs w:val="20"/>
          <w:lang w:val="en-US"/>
        </w:rPr>
      </w:pPr>
      <w:r w:rsidRPr="00EA6C7A">
        <w:rPr>
          <w:rFonts w:ascii="Verdana" w:hAnsi="Verdana"/>
          <w:sz w:val="20"/>
          <w:szCs w:val="20"/>
          <w:lang w:val="en-US"/>
        </w:rPr>
        <w:t xml:space="preserve">Based on the above, the Court concludes that the State violated the </w:t>
      </w:r>
      <w:r w:rsidR="00515C34" w:rsidRPr="00EA6C7A">
        <w:rPr>
          <w:rFonts w:ascii="Verdana" w:hAnsi="Verdana"/>
          <w:sz w:val="20"/>
          <w:szCs w:val="20"/>
          <w:lang w:val="en-US"/>
        </w:rPr>
        <w:t>personal integrity</w:t>
      </w:r>
      <w:r w:rsidRPr="00EA6C7A">
        <w:rPr>
          <w:rFonts w:ascii="Verdana" w:hAnsi="Verdana"/>
          <w:sz w:val="20"/>
          <w:szCs w:val="20"/>
          <w:lang w:val="en-US"/>
        </w:rPr>
        <w:t xml:space="preserve"> of the </w:t>
      </w:r>
      <w:r w:rsidR="00123BD3" w:rsidRPr="00EA6C7A">
        <w:rPr>
          <w:rFonts w:ascii="Verdana" w:hAnsi="Verdana"/>
          <w:sz w:val="20"/>
          <w:szCs w:val="20"/>
          <w:lang w:val="en-US"/>
        </w:rPr>
        <w:t>next of kin of</w:t>
      </w:r>
      <w:r w:rsidR="0025015F" w:rsidRPr="00EA6C7A">
        <w:rPr>
          <w:rFonts w:ascii="Verdana" w:hAnsi="Verdana"/>
          <w:sz w:val="20"/>
          <w:szCs w:val="20"/>
          <w:lang w:val="en-US"/>
        </w:rPr>
        <w:t xml:space="preserve"> Claudina Isabel Velásquez Paiz </w:t>
      </w:r>
      <w:r w:rsidRPr="00EA6C7A">
        <w:rPr>
          <w:rFonts w:ascii="Verdana" w:hAnsi="Verdana"/>
          <w:sz w:val="20"/>
          <w:szCs w:val="20"/>
          <w:lang w:val="en-US"/>
        </w:rPr>
        <w:t xml:space="preserve">owing to the way in which the investigation of the case was conducted; in particular, the way in which the agents </w:t>
      </w:r>
      <w:r w:rsidR="003E2012" w:rsidRPr="00EA6C7A">
        <w:rPr>
          <w:rFonts w:ascii="Verdana" w:hAnsi="Verdana"/>
          <w:sz w:val="20"/>
          <w:szCs w:val="20"/>
          <w:lang w:val="en-US"/>
        </w:rPr>
        <w:t>of the Public</w:t>
      </w:r>
      <w:r w:rsidR="00B3248B" w:rsidRPr="00EA6C7A">
        <w:rPr>
          <w:rFonts w:ascii="Verdana" w:hAnsi="Verdana"/>
          <w:sz w:val="20"/>
          <w:szCs w:val="20"/>
          <w:lang w:val="en-US"/>
        </w:rPr>
        <w:t xml:space="preserve"> Prosecution Service</w:t>
      </w:r>
      <w:r w:rsidR="0025015F" w:rsidRPr="00EA6C7A">
        <w:rPr>
          <w:rFonts w:ascii="Verdana" w:hAnsi="Verdana"/>
          <w:sz w:val="20"/>
          <w:szCs w:val="20"/>
          <w:lang w:val="en-US"/>
        </w:rPr>
        <w:t xml:space="preserve"> </w:t>
      </w:r>
      <w:r w:rsidRPr="00EA6C7A">
        <w:rPr>
          <w:rFonts w:ascii="Verdana" w:hAnsi="Verdana"/>
          <w:sz w:val="20"/>
          <w:szCs w:val="20"/>
          <w:lang w:val="en-US"/>
        </w:rPr>
        <w:t xml:space="preserve">burst into the wake being held for </w:t>
      </w:r>
      <w:r w:rsidR="0025015F" w:rsidRPr="00EA6C7A">
        <w:rPr>
          <w:rFonts w:ascii="Verdana" w:hAnsi="Verdana"/>
          <w:sz w:val="20"/>
          <w:szCs w:val="20"/>
          <w:lang w:val="en-US"/>
        </w:rPr>
        <w:t>Claudina Velásquez</w:t>
      </w:r>
      <w:r w:rsidR="00647242" w:rsidRPr="00EA6C7A">
        <w:rPr>
          <w:rFonts w:ascii="Verdana" w:hAnsi="Verdana"/>
          <w:sz w:val="20"/>
          <w:szCs w:val="20"/>
          <w:lang w:val="en-US"/>
        </w:rPr>
        <w:t>;</w:t>
      </w:r>
      <w:r w:rsidR="0025015F" w:rsidRPr="00EA6C7A">
        <w:rPr>
          <w:rFonts w:ascii="Verdana" w:hAnsi="Verdana"/>
          <w:sz w:val="20"/>
          <w:szCs w:val="20"/>
          <w:lang w:val="en-US"/>
        </w:rPr>
        <w:t xml:space="preserve"> </w:t>
      </w:r>
      <w:r w:rsidRPr="00EA6C7A">
        <w:rPr>
          <w:rFonts w:ascii="Verdana" w:hAnsi="Verdana"/>
          <w:sz w:val="20"/>
          <w:szCs w:val="20"/>
          <w:lang w:val="en-US"/>
        </w:rPr>
        <w:t xml:space="preserve">her </w:t>
      </w:r>
      <w:r w:rsidR="002907A5" w:rsidRPr="00EA6C7A">
        <w:rPr>
          <w:rFonts w:ascii="Verdana" w:hAnsi="Verdana"/>
          <w:sz w:val="20"/>
          <w:szCs w:val="20"/>
          <w:lang w:val="en-US"/>
        </w:rPr>
        <w:t>categorization</w:t>
      </w:r>
      <w:r w:rsidRPr="00EA6C7A">
        <w:rPr>
          <w:rFonts w:ascii="Verdana" w:hAnsi="Verdana"/>
          <w:sz w:val="20"/>
          <w:szCs w:val="20"/>
          <w:lang w:val="en-US"/>
        </w:rPr>
        <w:t xml:space="preserve"> as a person whose death did not merit investigation, and the irregularities and deficiencies throughout the whole investigation, in which </w:t>
      </w:r>
      <w:r w:rsidR="00BB5015" w:rsidRPr="00EA6C7A">
        <w:rPr>
          <w:rFonts w:ascii="Verdana" w:hAnsi="Verdana"/>
          <w:sz w:val="20"/>
          <w:szCs w:val="20"/>
          <w:lang w:val="en-US"/>
        </w:rPr>
        <w:t>Mr. Velásquez</w:t>
      </w:r>
      <w:r w:rsidR="0025015F" w:rsidRPr="00EA6C7A">
        <w:rPr>
          <w:rFonts w:ascii="Verdana" w:hAnsi="Verdana"/>
          <w:sz w:val="20"/>
          <w:szCs w:val="20"/>
          <w:lang w:val="en-US"/>
        </w:rPr>
        <w:t xml:space="preserve"> Durán ha</w:t>
      </w:r>
      <w:r w:rsidRPr="00EA6C7A">
        <w:rPr>
          <w:rFonts w:ascii="Verdana" w:hAnsi="Verdana"/>
          <w:sz w:val="20"/>
          <w:szCs w:val="20"/>
          <w:lang w:val="en-US"/>
        </w:rPr>
        <w:t xml:space="preserve">s been particularly active. All of this constitutes a violation </w:t>
      </w:r>
      <w:r w:rsidR="001914FC" w:rsidRPr="00EA6C7A">
        <w:rPr>
          <w:rFonts w:ascii="Verdana" w:hAnsi="Verdana"/>
          <w:sz w:val="20"/>
          <w:szCs w:val="20"/>
          <w:lang w:val="en-US"/>
        </w:rPr>
        <w:t>of Article</w:t>
      </w:r>
      <w:r w:rsidR="00515C34" w:rsidRPr="00EA6C7A">
        <w:rPr>
          <w:rFonts w:ascii="Verdana" w:hAnsi="Verdana"/>
          <w:sz w:val="20"/>
          <w:szCs w:val="20"/>
          <w:lang w:val="en-US"/>
        </w:rPr>
        <w:t xml:space="preserve"> 5(1)</w:t>
      </w:r>
      <w:r w:rsidR="0096418F" w:rsidRPr="00EA6C7A">
        <w:rPr>
          <w:rFonts w:ascii="Verdana" w:hAnsi="Verdana"/>
          <w:sz w:val="20"/>
          <w:szCs w:val="20"/>
          <w:lang w:val="en-US"/>
        </w:rPr>
        <w:t xml:space="preserve"> of the American Convention</w:t>
      </w:r>
      <w:r w:rsidR="0025015F" w:rsidRPr="00EA6C7A">
        <w:rPr>
          <w:rFonts w:ascii="Verdana" w:hAnsi="Verdana"/>
          <w:sz w:val="20"/>
          <w:szCs w:val="20"/>
          <w:lang w:val="en-US"/>
        </w:rPr>
        <w:t xml:space="preserve">, </w:t>
      </w:r>
      <w:r w:rsidR="002B325A" w:rsidRPr="00EA6C7A">
        <w:rPr>
          <w:rFonts w:ascii="Verdana" w:hAnsi="Verdana"/>
          <w:sz w:val="20"/>
          <w:szCs w:val="20"/>
          <w:lang w:val="en-US"/>
        </w:rPr>
        <w:t>in relation to Article</w:t>
      </w:r>
      <w:r w:rsidR="00515C34" w:rsidRPr="00EA6C7A">
        <w:rPr>
          <w:rFonts w:ascii="Verdana" w:hAnsi="Verdana"/>
          <w:sz w:val="20"/>
          <w:szCs w:val="20"/>
          <w:lang w:val="en-US"/>
        </w:rPr>
        <w:t xml:space="preserve"> 1(1)</w:t>
      </w:r>
      <w:r w:rsidR="0025015F" w:rsidRPr="00EA6C7A">
        <w:rPr>
          <w:rFonts w:ascii="Verdana" w:hAnsi="Verdana"/>
          <w:sz w:val="20"/>
          <w:szCs w:val="20"/>
          <w:lang w:val="en-US"/>
        </w:rPr>
        <w:t xml:space="preserve">, </w:t>
      </w:r>
      <w:r w:rsidR="00123BD3" w:rsidRPr="00EA6C7A">
        <w:rPr>
          <w:rFonts w:ascii="Verdana" w:hAnsi="Verdana"/>
          <w:sz w:val="20"/>
          <w:szCs w:val="20"/>
          <w:lang w:val="en-US"/>
        </w:rPr>
        <w:t>to the detriment of</w:t>
      </w:r>
      <w:r w:rsidR="0025015F" w:rsidRPr="00EA6C7A">
        <w:rPr>
          <w:rFonts w:ascii="Verdana" w:hAnsi="Verdana"/>
          <w:sz w:val="20"/>
          <w:szCs w:val="20"/>
          <w:lang w:val="en-US"/>
        </w:rPr>
        <w:t xml:space="preserve"> </w:t>
      </w:r>
      <w:r w:rsidR="0025015F" w:rsidRPr="00EA6C7A">
        <w:rPr>
          <w:rFonts w:ascii="Verdana" w:hAnsi="Verdana"/>
          <w:bCs/>
          <w:sz w:val="20"/>
          <w:szCs w:val="20"/>
          <w:lang w:val="en-US"/>
        </w:rPr>
        <w:t>Jorge Rolando Velásquez Durán, Elsa Claudina Paiz Vidal</w:t>
      </w:r>
      <w:r w:rsidR="00D948A1" w:rsidRPr="00EA6C7A">
        <w:rPr>
          <w:rFonts w:ascii="Verdana" w:hAnsi="Verdana"/>
          <w:bCs/>
          <w:sz w:val="20"/>
          <w:szCs w:val="20"/>
          <w:lang w:val="en-US"/>
        </w:rPr>
        <w:t xml:space="preserve"> and </w:t>
      </w:r>
      <w:r w:rsidR="0025015F" w:rsidRPr="00EA6C7A">
        <w:rPr>
          <w:rFonts w:ascii="Verdana" w:hAnsi="Verdana"/>
          <w:sz w:val="20"/>
          <w:szCs w:val="20"/>
          <w:lang w:val="en-US"/>
        </w:rPr>
        <w:t>Pablo Andrés Velásquez Paiz.</w:t>
      </w:r>
    </w:p>
    <w:p w14:paraId="05916044" w14:textId="77777777" w:rsidR="0025015F" w:rsidRPr="00EA6C7A" w:rsidRDefault="0025015F" w:rsidP="0025015F">
      <w:pPr>
        <w:pStyle w:val="Prrafodelista"/>
        <w:spacing w:after="0" w:line="240" w:lineRule="auto"/>
        <w:ind w:left="0" w:right="-174"/>
        <w:jc w:val="both"/>
        <w:rPr>
          <w:rFonts w:ascii="Verdana" w:hAnsi="Verdana"/>
          <w:sz w:val="20"/>
          <w:szCs w:val="20"/>
          <w:lang w:val="en-US"/>
        </w:rPr>
      </w:pPr>
    </w:p>
    <w:p w14:paraId="3526C7C7" w14:textId="77777777" w:rsidR="0025015F" w:rsidRPr="00EA6C7A" w:rsidRDefault="009532CF" w:rsidP="00E11A7C">
      <w:pPr>
        <w:pStyle w:val="Prrafodelista"/>
        <w:numPr>
          <w:ilvl w:val="0"/>
          <w:numId w:val="3"/>
        </w:numPr>
        <w:spacing w:after="0" w:line="240" w:lineRule="auto"/>
        <w:ind w:left="0" w:right="-174" w:firstLine="0"/>
        <w:jc w:val="both"/>
        <w:rPr>
          <w:rFonts w:ascii="Verdana" w:hAnsi="Verdana" w:cs="Verdana"/>
          <w:sz w:val="20"/>
          <w:szCs w:val="20"/>
          <w:lang w:val="en-US"/>
        </w:rPr>
      </w:pPr>
      <w:r w:rsidRPr="00EA6C7A">
        <w:rPr>
          <w:rFonts w:ascii="Verdana" w:hAnsi="Verdana"/>
          <w:sz w:val="20"/>
          <w:szCs w:val="20"/>
          <w:lang w:val="en-US"/>
        </w:rPr>
        <w:t xml:space="preserve">In addition, the Court recalls that </w:t>
      </w:r>
      <w:r w:rsidR="0096418F" w:rsidRPr="00EA6C7A">
        <w:rPr>
          <w:rFonts w:ascii="Verdana" w:eastAsia="Calibri" w:hAnsi="Verdana"/>
          <w:sz w:val="20"/>
          <w:szCs w:val="20"/>
          <w:lang w:val="en-US"/>
        </w:rPr>
        <w:t>Article</w:t>
      </w:r>
      <w:r w:rsidR="0025015F" w:rsidRPr="00EA6C7A">
        <w:rPr>
          <w:rFonts w:ascii="Verdana" w:hAnsi="Verdana" w:cs="Verdana"/>
          <w:sz w:val="20"/>
          <w:szCs w:val="20"/>
          <w:lang w:val="en-US"/>
        </w:rPr>
        <w:t xml:space="preserve"> 11</w:t>
      </w:r>
      <w:r w:rsidR="0096418F" w:rsidRPr="00EA6C7A">
        <w:rPr>
          <w:rFonts w:ascii="Verdana" w:hAnsi="Verdana" w:cs="Verdana"/>
          <w:sz w:val="20"/>
          <w:szCs w:val="20"/>
          <w:lang w:val="en-US"/>
        </w:rPr>
        <w:t xml:space="preserve"> of the American Convention</w:t>
      </w:r>
      <w:r w:rsidR="0025015F" w:rsidRPr="00EA6C7A">
        <w:rPr>
          <w:rFonts w:ascii="Verdana" w:hAnsi="Verdana" w:cs="Verdana"/>
          <w:sz w:val="20"/>
          <w:szCs w:val="20"/>
          <w:lang w:val="en-US"/>
        </w:rPr>
        <w:t xml:space="preserve"> </w:t>
      </w:r>
      <w:r w:rsidR="0092568A" w:rsidRPr="00EA6C7A">
        <w:rPr>
          <w:rFonts w:ascii="Verdana" w:hAnsi="Verdana" w:cs="Verdana"/>
          <w:sz w:val="20"/>
          <w:szCs w:val="20"/>
          <w:lang w:val="en-US"/>
        </w:rPr>
        <w:t>establishes</w:t>
      </w:r>
      <w:r w:rsidR="0025015F" w:rsidRPr="00EA6C7A">
        <w:rPr>
          <w:rFonts w:ascii="Verdana" w:hAnsi="Verdana" w:cs="Verdana"/>
          <w:sz w:val="20"/>
          <w:szCs w:val="20"/>
          <w:lang w:val="en-US"/>
        </w:rPr>
        <w:t xml:space="preserve"> </w:t>
      </w:r>
      <w:r w:rsidRPr="00EA6C7A">
        <w:rPr>
          <w:rFonts w:ascii="Verdana" w:hAnsi="Verdana" w:cs="Verdana"/>
          <w:sz w:val="20"/>
          <w:szCs w:val="20"/>
          <w:lang w:val="en-US"/>
        </w:rPr>
        <w:t xml:space="preserve">that “everyone has the right to have his honor respected and his dignity recognized,” prohibits any unlawful attacks on honor or reputation, and imposes on the State the obligation to provide “the </w:t>
      </w:r>
      <w:r w:rsidRPr="00EA6C7A">
        <w:rPr>
          <w:rFonts w:ascii="Verdana" w:hAnsi="Verdana" w:cs="Verdana"/>
          <w:sz w:val="20"/>
          <w:szCs w:val="20"/>
          <w:lang w:val="en-US"/>
        </w:rPr>
        <w:lastRenderedPageBreak/>
        <w:t xml:space="preserve">protection of the law against such […] attacks.” In general, the right honor relates to </w:t>
      </w:r>
      <w:r w:rsidR="00F460A3" w:rsidRPr="00EA6C7A">
        <w:rPr>
          <w:rFonts w:ascii="Verdana" w:hAnsi="Verdana" w:cs="Verdana"/>
          <w:sz w:val="20"/>
          <w:szCs w:val="20"/>
          <w:lang w:val="en-US"/>
        </w:rPr>
        <w:t>self-</w:t>
      </w:r>
      <w:r w:rsidRPr="00EA6C7A">
        <w:rPr>
          <w:rFonts w:ascii="Verdana" w:hAnsi="Verdana" w:cs="Verdana"/>
          <w:sz w:val="20"/>
          <w:szCs w:val="20"/>
          <w:lang w:val="en-US"/>
        </w:rPr>
        <w:t>esteem and self-worth.</w:t>
      </w:r>
      <w:r w:rsidR="0025015F" w:rsidRPr="00EA6C7A">
        <w:rPr>
          <w:rStyle w:val="Refdenotaalpie"/>
          <w:rFonts w:ascii="Verdana" w:hAnsi="Verdana" w:cs="Verdana"/>
          <w:sz w:val="20"/>
          <w:szCs w:val="20"/>
          <w:lang w:val="en-US"/>
        </w:rPr>
        <w:footnoteReference w:id="315"/>
      </w:r>
      <w:r w:rsidR="0025015F" w:rsidRPr="00EA6C7A">
        <w:rPr>
          <w:rFonts w:ascii="Verdana" w:hAnsi="Verdana" w:cs="Verdana"/>
          <w:sz w:val="20"/>
          <w:szCs w:val="20"/>
          <w:lang w:val="en-US"/>
        </w:rPr>
        <w:t xml:space="preserve"> </w:t>
      </w:r>
    </w:p>
    <w:p w14:paraId="2BCAE42D" w14:textId="77777777" w:rsidR="0025015F" w:rsidRPr="00EA6C7A" w:rsidRDefault="0025015F" w:rsidP="0025015F">
      <w:pPr>
        <w:pStyle w:val="Prrafodelista"/>
        <w:spacing w:after="0" w:line="240" w:lineRule="auto"/>
        <w:ind w:left="0" w:right="-174"/>
        <w:jc w:val="both"/>
        <w:rPr>
          <w:rFonts w:ascii="Verdana" w:hAnsi="Verdana" w:cs="Verdana"/>
          <w:b/>
          <w:sz w:val="20"/>
          <w:szCs w:val="20"/>
          <w:lang w:val="en-US"/>
        </w:rPr>
      </w:pPr>
    </w:p>
    <w:p w14:paraId="21A065BF" w14:textId="77777777" w:rsidR="0025015F" w:rsidRPr="00EA6C7A" w:rsidRDefault="002565AF" w:rsidP="002565AF">
      <w:pPr>
        <w:pStyle w:val="Prrafodelista"/>
        <w:numPr>
          <w:ilvl w:val="0"/>
          <w:numId w:val="3"/>
        </w:numPr>
        <w:spacing w:after="0" w:line="240" w:lineRule="auto"/>
        <w:ind w:left="0" w:right="-174" w:firstLine="0"/>
        <w:jc w:val="both"/>
        <w:rPr>
          <w:rFonts w:ascii="Verdana" w:hAnsi="Verdana"/>
          <w:sz w:val="20"/>
          <w:szCs w:val="20"/>
          <w:lang w:val="en-US"/>
        </w:rPr>
      </w:pPr>
      <w:r w:rsidRPr="00EA6C7A">
        <w:rPr>
          <w:rFonts w:ascii="Verdana" w:hAnsi="Verdana" w:cs="Verdana"/>
          <w:sz w:val="20"/>
          <w:szCs w:val="20"/>
          <w:lang w:val="en-US"/>
        </w:rPr>
        <w:t xml:space="preserve">In previous cases, the Court has established that </w:t>
      </w:r>
      <w:r w:rsidR="00F460A3" w:rsidRPr="00EA6C7A">
        <w:rPr>
          <w:rFonts w:ascii="Verdana" w:hAnsi="Verdana" w:cs="Verdana"/>
          <w:sz w:val="20"/>
          <w:szCs w:val="20"/>
          <w:lang w:val="en-US"/>
        </w:rPr>
        <w:t xml:space="preserve">the </w:t>
      </w:r>
      <w:r w:rsidRPr="00EA6C7A">
        <w:rPr>
          <w:rFonts w:ascii="Verdana" w:hAnsi="Verdana" w:cs="Verdana"/>
          <w:sz w:val="20"/>
          <w:szCs w:val="20"/>
          <w:lang w:val="en-US"/>
        </w:rPr>
        <w:t xml:space="preserve">care </w:t>
      </w:r>
      <w:r w:rsidR="00F460A3" w:rsidRPr="00EA6C7A">
        <w:rPr>
          <w:rFonts w:ascii="Verdana" w:hAnsi="Verdana" w:cs="Verdana"/>
          <w:sz w:val="20"/>
          <w:szCs w:val="20"/>
          <w:lang w:val="en-US"/>
        </w:rPr>
        <w:t>accorded to</w:t>
      </w:r>
      <w:r w:rsidRPr="00EA6C7A">
        <w:rPr>
          <w:rFonts w:ascii="Verdana" w:hAnsi="Verdana" w:cs="Verdana"/>
          <w:sz w:val="20"/>
          <w:szCs w:val="20"/>
          <w:lang w:val="en-US"/>
        </w:rPr>
        <w:t xml:space="preserve"> a person’s mortal remains is a form of respecting the right to human dignity. It has also indicated that a person’s mortal remains deserve being treated with respect in front of their grieving family members, because of the significance those remains have for them.</w:t>
      </w:r>
      <w:r w:rsidR="0025015F" w:rsidRPr="00EA6C7A">
        <w:rPr>
          <w:rStyle w:val="Refdenotaalpie"/>
          <w:rFonts w:ascii="Verdana" w:hAnsi="Verdana"/>
          <w:sz w:val="20"/>
          <w:lang w:val="en-US"/>
        </w:rPr>
        <w:footnoteReference w:id="316"/>
      </w:r>
      <w:r w:rsidRPr="00EA6C7A">
        <w:rPr>
          <w:rFonts w:ascii="Verdana" w:hAnsi="Verdana"/>
          <w:sz w:val="20"/>
          <w:lang w:val="en-US"/>
        </w:rPr>
        <w:t xml:space="preserve"> The Court considers that funeral rites are acts by which the deceased</w:t>
      </w:r>
      <w:r w:rsidR="00F460A3" w:rsidRPr="00EA6C7A">
        <w:rPr>
          <w:rFonts w:ascii="Verdana" w:hAnsi="Verdana"/>
          <w:sz w:val="20"/>
          <w:lang w:val="en-US"/>
        </w:rPr>
        <w:t>’s next of kin</w:t>
      </w:r>
      <w:r w:rsidRPr="00EA6C7A">
        <w:rPr>
          <w:rFonts w:ascii="Verdana" w:hAnsi="Verdana"/>
          <w:sz w:val="20"/>
          <w:lang w:val="en-US"/>
        </w:rPr>
        <w:t xml:space="preserve"> pay homage to their loved one in accordance with their beliefs, trying to obtain some small comfort in the final moment</w:t>
      </w:r>
      <w:r w:rsidR="00F460A3" w:rsidRPr="00EA6C7A">
        <w:rPr>
          <w:rFonts w:ascii="Verdana" w:hAnsi="Verdana"/>
          <w:sz w:val="20"/>
          <w:lang w:val="en-US"/>
        </w:rPr>
        <w:t>s</w:t>
      </w:r>
      <w:r w:rsidRPr="00EA6C7A">
        <w:rPr>
          <w:rFonts w:ascii="Verdana" w:hAnsi="Verdana"/>
          <w:sz w:val="20"/>
          <w:lang w:val="en-US"/>
        </w:rPr>
        <w:t xml:space="preserve"> they will have in the physical presence of that person. In this case, the agents of </w:t>
      </w:r>
      <w:r w:rsidRPr="00EA6C7A">
        <w:rPr>
          <w:rFonts w:ascii="Verdana" w:eastAsia="Calibri" w:hAnsi="Verdana"/>
          <w:sz w:val="20"/>
          <w:szCs w:val="20"/>
          <w:lang w:val="en-US"/>
        </w:rPr>
        <w:t>the Public Prosecution Service came to the funeral home where a wake was being held for</w:t>
      </w:r>
      <w:r w:rsidRPr="00EA6C7A">
        <w:rPr>
          <w:rFonts w:ascii="Verdana" w:hAnsi="Verdana"/>
          <w:sz w:val="20"/>
          <w:szCs w:val="20"/>
          <w:lang w:val="en-US"/>
        </w:rPr>
        <w:t xml:space="preserve"> </w:t>
      </w:r>
      <w:r w:rsidR="0025015F" w:rsidRPr="00EA6C7A">
        <w:rPr>
          <w:rFonts w:ascii="Verdana" w:hAnsi="Verdana"/>
          <w:sz w:val="20"/>
          <w:szCs w:val="20"/>
          <w:lang w:val="en-US"/>
        </w:rPr>
        <w:t>Claudina Velásquez</w:t>
      </w:r>
      <w:r w:rsidR="00D948A1" w:rsidRPr="00EA6C7A">
        <w:rPr>
          <w:rFonts w:ascii="Verdana" w:hAnsi="Verdana"/>
          <w:sz w:val="20"/>
          <w:szCs w:val="20"/>
          <w:lang w:val="en-US"/>
        </w:rPr>
        <w:t xml:space="preserve"> and </w:t>
      </w:r>
      <w:r w:rsidRPr="00EA6C7A">
        <w:rPr>
          <w:rFonts w:ascii="Verdana" w:hAnsi="Verdana"/>
          <w:sz w:val="20"/>
          <w:szCs w:val="20"/>
          <w:lang w:val="en-US"/>
        </w:rPr>
        <w:t>asked to take her fingerprints, threatening her parents with accus</w:t>
      </w:r>
      <w:r w:rsidR="00F460A3" w:rsidRPr="00EA6C7A">
        <w:rPr>
          <w:rFonts w:ascii="Verdana" w:hAnsi="Verdana"/>
          <w:sz w:val="20"/>
          <w:szCs w:val="20"/>
          <w:lang w:val="en-US"/>
        </w:rPr>
        <w:t>ing them</w:t>
      </w:r>
      <w:r w:rsidRPr="00EA6C7A">
        <w:rPr>
          <w:rFonts w:ascii="Verdana" w:hAnsi="Verdana"/>
          <w:sz w:val="20"/>
          <w:szCs w:val="20"/>
          <w:lang w:val="en-US"/>
        </w:rPr>
        <w:t xml:space="preserve"> of obstruction of justice, even though this procedure should have been carried out before the body was returned to the family. Thus, they burst in on an intimate and painful moment in order to again handle the mortal remains of the daughter of </w:t>
      </w:r>
      <w:r w:rsidR="0025015F" w:rsidRPr="00EA6C7A">
        <w:rPr>
          <w:rFonts w:ascii="Verdana" w:hAnsi="Verdana"/>
          <w:bCs/>
          <w:sz w:val="20"/>
          <w:szCs w:val="20"/>
          <w:lang w:val="en-US"/>
        </w:rPr>
        <w:t>Jorge Rolando Velásquez Durán</w:t>
      </w:r>
      <w:r w:rsidR="00D948A1" w:rsidRPr="00EA6C7A">
        <w:rPr>
          <w:rFonts w:ascii="Verdana" w:hAnsi="Verdana"/>
          <w:bCs/>
          <w:sz w:val="20"/>
          <w:szCs w:val="20"/>
          <w:lang w:val="en-US"/>
        </w:rPr>
        <w:t xml:space="preserve"> and </w:t>
      </w:r>
      <w:r w:rsidR="0025015F" w:rsidRPr="00EA6C7A">
        <w:rPr>
          <w:rFonts w:ascii="Verdana" w:hAnsi="Verdana"/>
          <w:bCs/>
          <w:sz w:val="20"/>
          <w:szCs w:val="20"/>
          <w:lang w:val="en-US"/>
        </w:rPr>
        <w:t>Elsa Claudina Paiz Vidal,</w:t>
      </w:r>
      <w:r w:rsidR="00D948A1" w:rsidRPr="00EA6C7A">
        <w:rPr>
          <w:rFonts w:ascii="Verdana" w:hAnsi="Verdana"/>
          <w:bCs/>
          <w:sz w:val="20"/>
          <w:szCs w:val="20"/>
          <w:lang w:val="en-US"/>
        </w:rPr>
        <w:t xml:space="preserve"> and </w:t>
      </w:r>
      <w:r w:rsidRPr="00EA6C7A">
        <w:rPr>
          <w:rFonts w:ascii="Verdana" w:hAnsi="Verdana"/>
          <w:bCs/>
          <w:sz w:val="20"/>
          <w:szCs w:val="20"/>
          <w:lang w:val="en-US"/>
        </w:rPr>
        <w:t>sister of</w:t>
      </w:r>
      <w:r w:rsidR="0025015F" w:rsidRPr="00EA6C7A">
        <w:rPr>
          <w:rFonts w:ascii="Verdana" w:hAnsi="Verdana"/>
          <w:bCs/>
          <w:sz w:val="20"/>
          <w:szCs w:val="20"/>
          <w:lang w:val="en-US"/>
        </w:rPr>
        <w:t xml:space="preserve"> </w:t>
      </w:r>
      <w:r w:rsidR="0025015F" w:rsidRPr="00EA6C7A">
        <w:rPr>
          <w:rFonts w:ascii="Verdana" w:hAnsi="Verdana"/>
          <w:sz w:val="20"/>
          <w:szCs w:val="20"/>
          <w:lang w:val="en-US"/>
        </w:rPr>
        <w:t xml:space="preserve">Pablo Andrés Velásquez Paiz, </w:t>
      </w:r>
      <w:r w:rsidRPr="00EA6C7A">
        <w:rPr>
          <w:rFonts w:ascii="Verdana" w:hAnsi="Verdana"/>
          <w:sz w:val="20"/>
          <w:szCs w:val="20"/>
          <w:lang w:val="en-US"/>
        </w:rPr>
        <w:t>violating</w:t>
      </w:r>
      <w:r w:rsidR="0025015F" w:rsidRPr="00EA6C7A">
        <w:rPr>
          <w:rFonts w:ascii="Verdana" w:hAnsi="Verdana"/>
          <w:sz w:val="20"/>
          <w:szCs w:val="20"/>
          <w:lang w:val="en-US"/>
        </w:rPr>
        <w:t xml:space="preserve"> </w:t>
      </w:r>
      <w:r w:rsidR="00515C34" w:rsidRPr="00EA6C7A">
        <w:rPr>
          <w:rFonts w:ascii="Verdana" w:hAnsi="Verdana"/>
          <w:sz w:val="20"/>
          <w:szCs w:val="20"/>
          <w:lang w:val="en-US"/>
        </w:rPr>
        <w:t xml:space="preserve">the right to </w:t>
      </w:r>
      <w:r w:rsidR="0025015F" w:rsidRPr="00EA6C7A">
        <w:rPr>
          <w:rFonts w:ascii="Verdana" w:hAnsi="Verdana"/>
          <w:sz w:val="20"/>
          <w:szCs w:val="20"/>
          <w:lang w:val="en-US"/>
        </w:rPr>
        <w:t>respe</w:t>
      </w:r>
      <w:r w:rsidRPr="00EA6C7A">
        <w:rPr>
          <w:rFonts w:ascii="Verdana" w:hAnsi="Verdana"/>
          <w:sz w:val="20"/>
          <w:szCs w:val="20"/>
          <w:lang w:val="en-US"/>
        </w:rPr>
        <w:t>ct for their honor and recognition of their dignity</w:t>
      </w:r>
      <w:r w:rsidR="0025015F" w:rsidRPr="00EA6C7A">
        <w:rPr>
          <w:rFonts w:ascii="Verdana" w:hAnsi="Verdana"/>
          <w:sz w:val="20"/>
          <w:szCs w:val="20"/>
          <w:lang w:val="en-US"/>
        </w:rPr>
        <w:t xml:space="preserve">. </w:t>
      </w:r>
      <w:r w:rsidRPr="00EA6C7A">
        <w:rPr>
          <w:rFonts w:ascii="Verdana" w:hAnsi="Verdana"/>
          <w:sz w:val="20"/>
          <w:szCs w:val="20"/>
          <w:lang w:val="en-US"/>
        </w:rPr>
        <w:t>Consequently</w:t>
      </w:r>
      <w:r w:rsidR="0025015F" w:rsidRPr="00EA6C7A">
        <w:rPr>
          <w:rFonts w:ascii="Verdana" w:hAnsi="Verdana"/>
          <w:sz w:val="20"/>
          <w:szCs w:val="20"/>
          <w:lang w:val="en-US"/>
        </w:rPr>
        <w:t xml:space="preserve">, </w:t>
      </w:r>
      <w:r w:rsidR="002F3848" w:rsidRPr="00EA6C7A">
        <w:rPr>
          <w:rFonts w:ascii="Verdana" w:hAnsi="Verdana"/>
          <w:sz w:val="20"/>
          <w:szCs w:val="20"/>
          <w:lang w:val="en-US"/>
        </w:rPr>
        <w:t>the State</w:t>
      </w:r>
      <w:r w:rsidR="0025015F" w:rsidRPr="00EA6C7A">
        <w:rPr>
          <w:rFonts w:ascii="Verdana" w:hAnsi="Verdana"/>
          <w:sz w:val="20"/>
          <w:szCs w:val="20"/>
          <w:lang w:val="en-US"/>
        </w:rPr>
        <w:t xml:space="preserve"> </w:t>
      </w:r>
      <w:r w:rsidRPr="00EA6C7A">
        <w:rPr>
          <w:rFonts w:ascii="Verdana" w:hAnsi="Verdana"/>
          <w:sz w:val="20"/>
          <w:szCs w:val="20"/>
          <w:lang w:val="en-US"/>
        </w:rPr>
        <w:t>also violated</w:t>
      </w:r>
      <w:r w:rsidR="0025015F" w:rsidRPr="00EA6C7A">
        <w:rPr>
          <w:rFonts w:ascii="Verdana" w:hAnsi="Verdana"/>
          <w:sz w:val="20"/>
          <w:szCs w:val="20"/>
          <w:lang w:val="en-US"/>
        </w:rPr>
        <w:t xml:space="preserve"> </w:t>
      </w:r>
      <w:r w:rsidR="0096418F" w:rsidRPr="00EA6C7A">
        <w:rPr>
          <w:rFonts w:ascii="Verdana" w:hAnsi="Verdana"/>
          <w:sz w:val="20"/>
          <w:szCs w:val="20"/>
          <w:lang w:val="en-US"/>
        </w:rPr>
        <w:t>Article</w:t>
      </w:r>
      <w:r w:rsidR="0025015F" w:rsidRPr="00EA6C7A">
        <w:rPr>
          <w:rFonts w:ascii="Verdana" w:hAnsi="Verdana"/>
          <w:sz w:val="20"/>
          <w:szCs w:val="20"/>
          <w:lang w:val="en-US"/>
        </w:rPr>
        <w:t xml:space="preserve"> 11</w:t>
      </w:r>
      <w:r w:rsidR="0096418F" w:rsidRPr="00EA6C7A">
        <w:rPr>
          <w:rFonts w:ascii="Verdana" w:hAnsi="Verdana"/>
          <w:sz w:val="20"/>
          <w:szCs w:val="20"/>
          <w:lang w:val="en-US"/>
        </w:rPr>
        <w:t xml:space="preserve"> of the American Convention</w:t>
      </w:r>
      <w:r w:rsidR="0025015F" w:rsidRPr="00EA6C7A">
        <w:rPr>
          <w:rFonts w:ascii="Verdana" w:hAnsi="Verdana"/>
          <w:sz w:val="20"/>
          <w:szCs w:val="20"/>
          <w:lang w:val="en-US"/>
        </w:rPr>
        <w:t xml:space="preserve">, </w:t>
      </w:r>
      <w:r w:rsidR="002B325A" w:rsidRPr="00EA6C7A">
        <w:rPr>
          <w:rFonts w:ascii="Verdana" w:hAnsi="Verdana"/>
          <w:sz w:val="20"/>
          <w:szCs w:val="20"/>
          <w:lang w:val="en-US"/>
        </w:rPr>
        <w:t>in relation to Article</w:t>
      </w:r>
      <w:r w:rsidR="00515C34" w:rsidRPr="00EA6C7A">
        <w:rPr>
          <w:rFonts w:ascii="Verdana" w:hAnsi="Verdana"/>
          <w:sz w:val="20"/>
          <w:szCs w:val="20"/>
          <w:lang w:val="en-US"/>
        </w:rPr>
        <w:t xml:space="preserve"> 1(1)</w:t>
      </w:r>
      <w:r w:rsidR="0025015F" w:rsidRPr="00EA6C7A">
        <w:rPr>
          <w:rFonts w:ascii="Verdana" w:hAnsi="Verdana"/>
          <w:sz w:val="20"/>
          <w:szCs w:val="20"/>
          <w:lang w:val="en-US"/>
        </w:rPr>
        <w:t xml:space="preserve"> </w:t>
      </w:r>
      <w:r w:rsidRPr="00EA6C7A">
        <w:rPr>
          <w:rFonts w:ascii="Verdana" w:hAnsi="Verdana"/>
          <w:sz w:val="20"/>
          <w:szCs w:val="20"/>
          <w:lang w:val="en-US"/>
        </w:rPr>
        <w:t>of this instrument</w:t>
      </w:r>
      <w:r w:rsidR="0025015F" w:rsidRPr="00EA6C7A">
        <w:rPr>
          <w:rFonts w:ascii="Verdana" w:hAnsi="Verdana"/>
          <w:sz w:val="20"/>
          <w:szCs w:val="20"/>
          <w:lang w:val="en-US"/>
        </w:rPr>
        <w:t xml:space="preserve">, </w:t>
      </w:r>
      <w:r w:rsidR="00123BD3" w:rsidRPr="00EA6C7A">
        <w:rPr>
          <w:rFonts w:ascii="Verdana" w:hAnsi="Verdana"/>
          <w:sz w:val="20"/>
          <w:szCs w:val="20"/>
          <w:lang w:val="en-US"/>
        </w:rPr>
        <w:t>to the detriment of</w:t>
      </w:r>
      <w:r w:rsidR="0025015F" w:rsidRPr="00EA6C7A">
        <w:rPr>
          <w:rFonts w:ascii="Verdana" w:hAnsi="Verdana"/>
          <w:sz w:val="20"/>
          <w:szCs w:val="20"/>
          <w:lang w:val="en-US"/>
        </w:rPr>
        <w:t xml:space="preserve"> </w:t>
      </w:r>
      <w:r w:rsidRPr="00EA6C7A">
        <w:rPr>
          <w:rFonts w:ascii="Verdana" w:hAnsi="Verdana"/>
          <w:sz w:val="20"/>
          <w:szCs w:val="20"/>
          <w:lang w:val="en-US"/>
        </w:rPr>
        <w:t>these members of</w:t>
      </w:r>
      <w:r w:rsidR="0025015F" w:rsidRPr="00EA6C7A">
        <w:rPr>
          <w:rFonts w:ascii="Verdana" w:hAnsi="Verdana"/>
          <w:sz w:val="20"/>
          <w:szCs w:val="20"/>
          <w:lang w:val="en-US"/>
        </w:rPr>
        <w:t xml:space="preserve"> Claudina Velásquez Paiz</w:t>
      </w:r>
      <w:r w:rsidRPr="00EA6C7A">
        <w:rPr>
          <w:rFonts w:ascii="Verdana" w:hAnsi="Verdana"/>
          <w:sz w:val="20"/>
          <w:szCs w:val="20"/>
          <w:lang w:val="en-US"/>
        </w:rPr>
        <w:t>’s family</w:t>
      </w:r>
      <w:r w:rsidR="0025015F" w:rsidRPr="00EA6C7A">
        <w:rPr>
          <w:rFonts w:ascii="Verdana" w:hAnsi="Verdana"/>
          <w:sz w:val="20"/>
          <w:szCs w:val="20"/>
          <w:lang w:val="en-US"/>
        </w:rPr>
        <w:t>.</w:t>
      </w:r>
    </w:p>
    <w:p w14:paraId="216C0A3C" w14:textId="77777777" w:rsidR="0025015F" w:rsidRPr="00EA6C7A" w:rsidRDefault="0025015F" w:rsidP="0025015F">
      <w:pPr>
        <w:tabs>
          <w:tab w:val="left" w:pos="567"/>
        </w:tabs>
        <w:spacing w:after="0" w:line="240" w:lineRule="auto"/>
        <w:jc w:val="both"/>
        <w:rPr>
          <w:rFonts w:ascii="Verdana" w:eastAsia="Calibri" w:hAnsi="Verdana" w:cs="Arial"/>
          <w:sz w:val="16"/>
          <w:szCs w:val="20"/>
          <w:lang w:val="en-US"/>
        </w:rPr>
      </w:pPr>
    </w:p>
    <w:p w14:paraId="48D15BF7" w14:textId="77777777" w:rsidR="006D228A" w:rsidRPr="00EA6C7A" w:rsidRDefault="006D228A" w:rsidP="006D228A">
      <w:pPr>
        <w:pStyle w:val="Sentencia1"/>
        <w:rPr>
          <w:lang w:val="en-US"/>
        </w:rPr>
      </w:pPr>
      <w:bookmarkStart w:id="92" w:name="_Toc431801392"/>
      <w:bookmarkStart w:id="93" w:name="_Toc26002330"/>
      <w:r w:rsidRPr="00EA6C7A">
        <w:rPr>
          <w:rFonts w:cs="Verdana"/>
          <w:caps/>
          <w:snapToGrid w:val="0"/>
          <w:lang w:val="en-US" w:eastAsia="es-ES"/>
        </w:rPr>
        <w:t>VIIi</w:t>
      </w:r>
      <w:r w:rsidRPr="00EA6C7A">
        <w:rPr>
          <w:rFonts w:cs="Verdana"/>
          <w:caps/>
          <w:snapToGrid w:val="0"/>
          <w:lang w:val="en-US" w:eastAsia="es-ES"/>
        </w:rPr>
        <w:br/>
      </w:r>
      <w:r w:rsidR="00CD712B" w:rsidRPr="00EA6C7A">
        <w:rPr>
          <w:lang w:val="en-US"/>
        </w:rPr>
        <w:t>REPARATIONS</w:t>
      </w:r>
      <w:bookmarkEnd w:id="92"/>
      <w:bookmarkEnd w:id="93"/>
    </w:p>
    <w:p w14:paraId="22C1E71A" w14:textId="77777777" w:rsidR="006D228A" w:rsidRPr="00EA6C7A" w:rsidRDefault="006D228A" w:rsidP="006D228A">
      <w:pPr>
        <w:widowControl w:val="0"/>
        <w:spacing w:after="0" w:line="240" w:lineRule="auto"/>
        <w:rPr>
          <w:rFonts w:ascii="Verdana" w:hAnsi="Verdana"/>
          <w:sz w:val="20"/>
          <w:szCs w:val="20"/>
          <w:lang w:val="en-US"/>
        </w:rPr>
      </w:pPr>
    </w:p>
    <w:p w14:paraId="03CB9828" w14:textId="77777777" w:rsidR="006D228A" w:rsidRPr="00EA6C7A" w:rsidRDefault="00316AD7" w:rsidP="00077D21">
      <w:pPr>
        <w:pStyle w:val="PrrafodeSentencia"/>
        <w:rPr>
          <w:lang w:val="en-US"/>
        </w:rPr>
      </w:pPr>
      <w:r w:rsidRPr="00EA6C7A">
        <w:rPr>
          <w:lang w:val="en-US"/>
        </w:rPr>
        <w:t>Based on</w:t>
      </w:r>
      <w:r w:rsidR="006D228A" w:rsidRPr="00EA6C7A">
        <w:rPr>
          <w:lang w:val="en-US"/>
        </w:rPr>
        <w:t xml:space="preserve"> </w:t>
      </w:r>
      <w:r w:rsidR="0096418F" w:rsidRPr="00EA6C7A">
        <w:rPr>
          <w:lang w:val="en-US"/>
        </w:rPr>
        <w:t>Article</w:t>
      </w:r>
      <w:r w:rsidR="006D228A" w:rsidRPr="00EA6C7A">
        <w:rPr>
          <w:lang w:val="en-US"/>
        </w:rPr>
        <w:t xml:space="preserve"> </w:t>
      </w:r>
      <w:r w:rsidRPr="00EA6C7A">
        <w:rPr>
          <w:lang w:val="en-US"/>
        </w:rPr>
        <w:t>63(1)</w:t>
      </w:r>
      <w:r w:rsidR="0096418F" w:rsidRPr="00EA6C7A">
        <w:rPr>
          <w:lang w:val="en-US"/>
        </w:rPr>
        <w:t xml:space="preserve"> of the American Convention</w:t>
      </w:r>
      <w:r w:rsidRPr="00EA6C7A">
        <w:rPr>
          <w:lang w:val="en-US"/>
        </w:rPr>
        <w:t>,</w:t>
      </w:r>
      <w:r w:rsidR="006D228A" w:rsidRPr="00EA6C7A">
        <w:rPr>
          <w:vertAlign w:val="superscript"/>
        </w:rPr>
        <w:footnoteReference w:id="317"/>
      </w:r>
      <w:r w:rsidR="006D228A" w:rsidRPr="00EA6C7A">
        <w:rPr>
          <w:lang w:val="en-US"/>
        </w:rPr>
        <w:t xml:space="preserve"> </w:t>
      </w:r>
      <w:r w:rsidR="0096418F" w:rsidRPr="00EA6C7A">
        <w:rPr>
          <w:lang w:val="en-US"/>
        </w:rPr>
        <w:t>the Court</w:t>
      </w:r>
      <w:r w:rsidR="006D228A" w:rsidRPr="00EA6C7A">
        <w:rPr>
          <w:lang w:val="en-US"/>
        </w:rPr>
        <w:t xml:space="preserve"> ha</w:t>
      </w:r>
      <w:r w:rsidRPr="00EA6C7A">
        <w:rPr>
          <w:lang w:val="en-US"/>
        </w:rPr>
        <w:t>s indicated that any violation of an international obligation that has caused harm entails the obligation to make appropriate redress, and that this provision reflects a customary norm that constitutes one of the fundamental principles of contemporary international law on State responsibility.</w:t>
      </w:r>
      <w:r w:rsidR="006D228A" w:rsidRPr="00EA6C7A">
        <w:rPr>
          <w:vertAlign w:val="superscript"/>
        </w:rPr>
        <w:footnoteReference w:id="318"/>
      </w:r>
    </w:p>
    <w:p w14:paraId="3498E37D"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685C0BA6" w14:textId="77777777" w:rsidR="006D228A" w:rsidRPr="00EA6C7A" w:rsidRDefault="00316AD7" w:rsidP="00077D21">
      <w:pPr>
        <w:pStyle w:val="PrrafodeSentencia"/>
        <w:rPr>
          <w:lang w:val="en-US"/>
        </w:rPr>
      </w:pPr>
      <w:r w:rsidRPr="00EA6C7A">
        <w:rPr>
          <w:lang w:val="en-US"/>
        </w:rPr>
        <w:t xml:space="preserve">Reparation of the harm caused by the violation of an international obligation requires, whenever possible, full restoration of the previous situation </w:t>
      </w:r>
      <w:r w:rsidR="006D228A" w:rsidRPr="00EA6C7A">
        <w:rPr>
          <w:lang w:val="en-US"/>
        </w:rPr>
        <w:t>(</w:t>
      </w:r>
      <w:r w:rsidR="006D228A" w:rsidRPr="00EA6C7A">
        <w:rPr>
          <w:i/>
          <w:lang w:val="en-US"/>
        </w:rPr>
        <w:t>restitutio in integrum</w:t>
      </w:r>
      <w:r w:rsidR="006D228A" w:rsidRPr="00EA6C7A">
        <w:rPr>
          <w:lang w:val="en-US"/>
        </w:rPr>
        <w:t xml:space="preserve">). </w:t>
      </w:r>
      <w:r w:rsidRPr="00EA6C7A">
        <w:rPr>
          <w:lang w:val="en-US"/>
        </w:rPr>
        <w:t>If this is not feasible, as in most cases of human rights violations, the Court will determine measures to guarantee the rights that have been violated and to redress the consequences of such violations.</w:t>
      </w:r>
      <w:r w:rsidR="006D228A" w:rsidRPr="00EA6C7A">
        <w:rPr>
          <w:vertAlign w:val="superscript"/>
        </w:rPr>
        <w:footnoteReference w:id="319"/>
      </w:r>
      <w:r w:rsidRPr="00EA6C7A">
        <w:rPr>
          <w:lang w:val="en-US"/>
        </w:rPr>
        <w:t xml:space="preserve"> Therefore, the Court has considered the need to grant diverse measures of reparation in order to provide full compensation for the harm, so that, in addition to pecuniary compensation, measures of restitution and satisfaction, and guarantees of non-repetition have special relevance for the harm caused.</w:t>
      </w:r>
      <w:r w:rsidR="006D228A" w:rsidRPr="00EA6C7A">
        <w:rPr>
          <w:vertAlign w:val="superscript"/>
        </w:rPr>
        <w:footnoteReference w:id="320"/>
      </w:r>
      <w:r w:rsidR="006D228A" w:rsidRPr="00EA6C7A">
        <w:rPr>
          <w:lang w:val="en-US"/>
        </w:rPr>
        <w:t xml:space="preserve"> </w:t>
      </w:r>
    </w:p>
    <w:p w14:paraId="2E37C5F5"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2CB21C00" w14:textId="77777777" w:rsidR="006D228A" w:rsidRPr="00EA6C7A" w:rsidRDefault="00316AD7" w:rsidP="00077D21">
      <w:pPr>
        <w:pStyle w:val="PrrafodeSentencia"/>
        <w:rPr>
          <w:lang w:val="en-US"/>
        </w:rPr>
      </w:pPr>
      <w:r w:rsidRPr="00EA6C7A">
        <w:rPr>
          <w:lang w:val="en-US"/>
        </w:rPr>
        <w:lastRenderedPageBreak/>
        <w:t xml:space="preserve">The Court has established that reparations should have a causal </w:t>
      </w:r>
      <w:r w:rsidR="00AB0669" w:rsidRPr="00EA6C7A">
        <w:rPr>
          <w:lang w:val="en-US"/>
        </w:rPr>
        <w:t>n</w:t>
      </w:r>
      <w:r w:rsidRPr="00EA6C7A">
        <w:rPr>
          <w:lang w:val="en-US"/>
        </w:rPr>
        <w:t>exus with the facts of the case, the violations that have been declared, the harm proved, and the measures requested to redress the respective harm. The Court must observe the concurrence of these elements to rule appropriately and in accordance with law.</w:t>
      </w:r>
      <w:r w:rsidR="006D228A" w:rsidRPr="00EA6C7A">
        <w:rPr>
          <w:vertAlign w:val="superscript"/>
        </w:rPr>
        <w:footnoteReference w:id="321"/>
      </w:r>
    </w:p>
    <w:p w14:paraId="47E8F73A"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4F6153FF" w14:textId="77777777" w:rsidR="006D228A" w:rsidRPr="00EA6C7A" w:rsidRDefault="00316AD7" w:rsidP="00077D21">
      <w:pPr>
        <w:pStyle w:val="PrrafodeSentencia"/>
        <w:rPr>
          <w:lang w:val="en-US"/>
        </w:rPr>
      </w:pPr>
      <w:r w:rsidRPr="00EA6C7A">
        <w:rPr>
          <w:lang w:val="en-US"/>
        </w:rPr>
        <w:t>Taking into consideration the violations declared in the preceding chapters, the Court will proceed to examine the claims submitted by</w:t>
      </w:r>
      <w:r w:rsidR="006D228A" w:rsidRPr="00EA6C7A">
        <w:rPr>
          <w:lang w:val="en-US"/>
        </w:rPr>
        <w:t xml:space="preserve"> </w:t>
      </w:r>
      <w:r w:rsidR="0096418F" w:rsidRPr="00EA6C7A">
        <w:rPr>
          <w:lang w:val="en-US"/>
        </w:rPr>
        <w:t>the Commission</w:t>
      </w:r>
      <w:r w:rsidR="00D948A1" w:rsidRPr="00EA6C7A">
        <w:rPr>
          <w:lang w:val="en-US"/>
        </w:rPr>
        <w:t xml:space="preserve"> and </w:t>
      </w:r>
      <w:r w:rsidR="00E43A75" w:rsidRPr="00EA6C7A">
        <w:rPr>
          <w:lang w:val="en-US"/>
        </w:rPr>
        <w:t>the representatives</w:t>
      </w:r>
      <w:r w:rsidR="006D228A" w:rsidRPr="00EA6C7A">
        <w:rPr>
          <w:lang w:val="en-US"/>
        </w:rPr>
        <w:t xml:space="preserve">, </w:t>
      </w:r>
      <w:r w:rsidRPr="00EA6C7A">
        <w:rPr>
          <w:lang w:val="en-US"/>
        </w:rPr>
        <w:t xml:space="preserve">together with the arguments </w:t>
      </w:r>
      <w:r w:rsidR="001914FC" w:rsidRPr="00EA6C7A">
        <w:rPr>
          <w:lang w:val="en-US"/>
        </w:rPr>
        <w:t xml:space="preserve">of the </w:t>
      </w:r>
      <w:r w:rsidR="002F3848" w:rsidRPr="00EA6C7A">
        <w:rPr>
          <w:lang w:val="en-US"/>
        </w:rPr>
        <w:t>State</w:t>
      </w:r>
      <w:r w:rsidR="006D228A" w:rsidRPr="00EA6C7A">
        <w:rPr>
          <w:lang w:val="en-US"/>
        </w:rPr>
        <w:t xml:space="preserve">, </w:t>
      </w:r>
      <w:r w:rsidRPr="00EA6C7A">
        <w:rPr>
          <w:lang w:val="en-US"/>
        </w:rPr>
        <w:t>in light of the criteria established in its case law on the nature and scope of the obligation to make reparation,</w:t>
      </w:r>
      <w:r w:rsidR="006D228A" w:rsidRPr="00EA6C7A">
        <w:rPr>
          <w:vertAlign w:val="superscript"/>
        </w:rPr>
        <w:footnoteReference w:id="322"/>
      </w:r>
      <w:r w:rsidRPr="00EA6C7A">
        <w:rPr>
          <w:lang w:val="en-US"/>
        </w:rPr>
        <w:t xml:space="preserve"> in order to establish measures aimed at redressing the harm caused to the victims</w:t>
      </w:r>
      <w:r w:rsidR="006D228A" w:rsidRPr="00EA6C7A">
        <w:rPr>
          <w:lang w:val="en-US"/>
        </w:rPr>
        <w:t>.</w:t>
      </w:r>
    </w:p>
    <w:p w14:paraId="63E03500" w14:textId="77777777" w:rsidR="006D228A" w:rsidRPr="00EA6C7A" w:rsidRDefault="006D228A" w:rsidP="006D228A">
      <w:pPr>
        <w:pStyle w:val="Sentencia2"/>
        <w:rPr>
          <w:rFonts w:eastAsia="Batang"/>
          <w:i/>
          <w:lang w:val="en-US"/>
        </w:rPr>
      </w:pPr>
    </w:p>
    <w:p w14:paraId="2B5E3943" w14:textId="77777777" w:rsidR="006D228A" w:rsidRPr="00EA6C7A" w:rsidRDefault="006D228A" w:rsidP="006D228A">
      <w:pPr>
        <w:pStyle w:val="Sentencia2"/>
        <w:jc w:val="both"/>
        <w:rPr>
          <w:i/>
          <w:lang w:val="en-US"/>
        </w:rPr>
      </w:pPr>
      <w:bookmarkStart w:id="94" w:name="_Toc26002331"/>
      <w:r w:rsidRPr="00EA6C7A">
        <w:rPr>
          <w:i/>
          <w:lang w:val="en-US"/>
        </w:rPr>
        <w:t xml:space="preserve">A. </w:t>
      </w:r>
      <w:r w:rsidR="00CD712B" w:rsidRPr="00EA6C7A">
        <w:rPr>
          <w:i/>
          <w:lang w:val="en-US"/>
        </w:rPr>
        <w:t>Injured party</w:t>
      </w:r>
      <w:bookmarkEnd w:id="94"/>
    </w:p>
    <w:p w14:paraId="58C78745"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799D4A4A" w14:textId="77777777" w:rsidR="006D228A" w:rsidRPr="00EA6C7A" w:rsidRDefault="00316AD7" w:rsidP="00077D21">
      <w:pPr>
        <w:pStyle w:val="PrrafodeSentencia"/>
        <w:rPr>
          <w:lang w:val="en-US"/>
        </w:rPr>
      </w:pPr>
      <w:r w:rsidRPr="00EA6C7A">
        <w:rPr>
          <w:lang w:val="en-US"/>
        </w:rPr>
        <w:t xml:space="preserve">The Court reiterates that, pursuant to </w:t>
      </w:r>
      <w:r w:rsidR="001914FC" w:rsidRPr="00EA6C7A">
        <w:rPr>
          <w:lang w:val="en-US"/>
        </w:rPr>
        <w:t>Article</w:t>
      </w:r>
      <w:r w:rsidR="006D228A" w:rsidRPr="00EA6C7A">
        <w:rPr>
          <w:lang w:val="en-US"/>
        </w:rPr>
        <w:t xml:space="preserve"> </w:t>
      </w:r>
      <w:r w:rsidRPr="00EA6C7A">
        <w:rPr>
          <w:lang w:val="en-US"/>
        </w:rPr>
        <w:t>63(1)</w:t>
      </w:r>
      <w:r w:rsidR="0096418F" w:rsidRPr="00EA6C7A">
        <w:rPr>
          <w:lang w:val="en-US"/>
        </w:rPr>
        <w:t xml:space="preserve"> of the Convention</w:t>
      </w:r>
      <w:r w:rsidR="006D228A" w:rsidRPr="00EA6C7A">
        <w:rPr>
          <w:lang w:val="en-US"/>
        </w:rPr>
        <w:t xml:space="preserve">, </w:t>
      </w:r>
      <w:r w:rsidRPr="00EA6C7A">
        <w:rPr>
          <w:lang w:val="en-US"/>
        </w:rPr>
        <w:t>it considers that those who have been declared victims of the violation of any right recognized therein to be the injured party.</w:t>
      </w:r>
      <w:r w:rsidR="006D228A" w:rsidRPr="00EA6C7A">
        <w:rPr>
          <w:vertAlign w:val="superscript"/>
        </w:rPr>
        <w:footnoteReference w:id="323"/>
      </w:r>
      <w:r w:rsidRPr="00EA6C7A">
        <w:rPr>
          <w:lang w:val="en-US"/>
        </w:rPr>
        <w:t xml:space="preserve"> Accordingly, the Court considers that</w:t>
      </w:r>
      <w:r w:rsidR="006D228A" w:rsidRPr="00EA6C7A">
        <w:rPr>
          <w:lang w:val="en-US"/>
        </w:rPr>
        <w:t xml:space="preserve"> </w:t>
      </w:r>
      <w:r w:rsidR="006D228A" w:rsidRPr="00EA6C7A">
        <w:rPr>
          <w:rFonts w:eastAsia="Calibri" w:cs="Arial"/>
          <w:color w:val="000000"/>
          <w:lang w:val="en-US"/>
        </w:rPr>
        <w:t xml:space="preserve">Claudina </w:t>
      </w:r>
      <w:r w:rsidR="006D228A" w:rsidRPr="00EA6C7A">
        <w:rPr>
          <w:lang w:val="en-US"/>
        </w:rPr>
        <w:t>Isabel</w:t>
      </w:r>
      <w:r w:rsidR="006D228A" w:rsidRPr="00EA6C7A">
        <w:rPr>
          <w:rFonts w:eastAsia="Calibri" w:cs="Arial"/>
          <w:color w:val="000000"/>
          <w:lang w:val="en-US"/>
        </w:rPr>
        <w:t xml:space="preserve"> Velásquez Paiz,</w:t>
      </w:r>
      <w:r w:rsidR="006D228A" w:rsidRPr="00EA6C7A">
        <w:rPr>
          <w:rFonts w:eastAsia="Calibri"/>
          <w:lang w:val="en-US"/>
        </w:rPr>
        <w:t xml:space="preserve"> Jorge Rolando Velásquez Durán, Elsa Claudina Paiz Vidal</w:t>
      </w:r>
      <w:r w:rsidR="00D948A1" w:rsidRPr="00EA6C7A">
        <w:rPr>
          <w:rFonts w:eastAsia="Calibri"/>
          <w:lang w:val="en-US"/>
        </w:rPr>
        <w:t xml:space="preserve"> and </w:t>
      </w:r>
      <w:r w:rsidR="006D228A" w:rsidRPr="00EA6C7A">
        <w:rPr>
          <w:rFonts w:eastAsia="Calibri"/>
          <w:lang w:val="en-US"/>
        </w:rPr>
        <w:t>Pablo Andrés Velásquez Paiz</w:t>
      </w:r>
      <w:r w:rsidRPr="00EA6C7A">
        <w:rPr>
          <w:rFonts w:eastAsia="Calibri"/>
          <w:lang w:val="en-US"/>
        </w:rPr>
        <w:t xml:space="preserve"> are the “injured parties” and, in their capacity as victims of the violations declared in Chapters </w:t>
      </w:r>
      <w:r w:rsidR="006D228A" w:rsidRPr="00EA6C7A">
        <w:rPr>
          <w:lang w:val="en-US"/>
        </w:rPr>
        <w:t>VII</w:t>
      </w:r>
      <w:r w:rsidR="00460552" w:rsidRPr="00EA6C7A">
        <w:rPr>
          <w:lang w:val="en-US"/>
        </w:rPr>
        <w:t>.</w:t>
      </w:r>
      <w:r w:rsidR="006D228A" w:rsidRPr="00EA6C7A">
        <w:rPr>
          <w:lang w:val="en-US"/>
        </w:rPr>
        <w:t>I, VII</w:t>
      </w:r>
      <w:r w:rsidR="00460552" w:rsidRPr="00EA6C7A">
        <w:rPr>
          <w:lang w:val="en-US"/>
        </w:rPr>
        <w:t>.</w:t>
      </w:r>
      <w:r w:rsidR="006D228A" w:rsidRPr="00EA6C7A">
        <w:rPr>
          <w:lang w:val="en-US"/>
        </w:rPr>
        <w:t>II</w:t>
      </w:r>
      <w:r w:rsidR="00D948A1" w:rsidRPr="00EA6C7A">
        <w:rPr>
          <w:lang w:val="en-US"/>
        </w:rPr>
        <w:t xml:space="preserve"> and </w:t>
      </w:r>
      <w:r w:rsidR="006D228A" w:rsidRPr="00EA6C7A">
        <w:rPr>
          <w:lang w:val="en-US"/>
        </w:rPr>
        <w:t>VII</w:t>
      </w:r>
      <w:r w:rsidR="00460552" w:rsidRPr="00EA6C7A">
        <w:rPr>
          <w:lang w:val="en-US"/>
        </w:rPr>
        <w:t>.</w:t>
      </w:r>
      <w:r w:rsidR="006D228A" w:rsidRPr="00EA6C7A">
        <w:rPr>
          <w:lang w:val="en-US"/>
        </w:rPr>
        <w:t>III</w:t>
      </w:r>
      <w:r w:rsidRPr="00EA6C7A">
        <w:rPr>
          <w:lang w:val="en-US"/>
        </w:rPr>
        <w:t xml:space="preserve">, they will be the beneficiaries of the measures that the Court establishes below. </w:t>
      </w:r>
    </w:p>
    <w:p w14:paraId="2237EC20" w14:textId="77777777" w:rsidR="006D228A" w:rsidRPr="00EA6C7A" w:rsidRDefault="006D228A" w:rsidP="006D228A">
      <w:pPr>
        <w:pStyle w:val="Sentencia2"/>
        <w:rPr>
          <w:i/>
          <w:lang w:val="en-US"/>
        </w:rPr>
      </w:pPr>
    </w:p>
    <w:p w14:paraId="566A4930" w14:textId="77777777" w:rsidR="006D228A" w:rsidRPr="00EA6C7A" w:rsidRDefault="006D228A" w:rsidP="006D228A">
      <w:pPr>
        <w:pStyle w:val="Sentencia2"/>
        <w:spacing w:line="240" w:lineRule="auto"/>
        <w:jc w:val="both"/>
        <w:rPr>
          <w:i/>
          <w:lang w:val="en-US"/>
        </w:rPr>
      </w:pPr>
      <w:bookmarkStart w:id="95" w:name="_Toc26002332"/>
      <w:r w:rsidRPr="00EA6C7A">
        <w:rPr>
          <w:rFonts w:eastAsia="Calibri"/>
          <w:i/>
          <w:lang w:val="en-US"/>
        </w:rPr>
        <w:t xml:space="preserve">B. </w:t>
      </w:r>
      <w:bookmarkStart w:id="96" w:name="_Toc431801394"/>
      <w:r w:rsidR="00CD712B" w:rsidRPr="00EA6C7A">
        <w:rPr>
          <w:rFonts w:eastAsia="Calibri"/>
          <w:i/>
          <w:lang w:val="en-US"/>
        </w:rPr>
        <w:t>Obligation to investigate the facts that resulted in the violations and identify, prosecute and</w:t>
      </w:r>
      <w:r w:rsidRPr="00EA6C7A">
        <w:rPr>
          <w:rFonts w:eastAsia="Calibri"/>
          <w:i/>
          <w:lang w:val="en-US"/>
        </w:rPr>
        <w:t xml:space="preserve"> </w:t>
      </w:r>
      <w:r w:rsidR="00CD712B" w:rsidRPr="00EA6C7A">
        <w:rPr>
          <w:rFonts w:eastAsia="Calibri"/>
          <w:i/>
          <w:lang w:val="en-US"/>
        </w:rPr>
        <w:t xml:space="preserve">punish, as </w:t>
      </w:r>
      <w:r w:rsidR="00316AD7" w:rsidRPr="00EA6C7A">
        <w:rPr>
          <w:rFonts w:eastAsia="Calibri"/>
          <w:i/>
          <w:lang w:val="en-US"/>
        </w:rPr>
        <w:t>appropriate</w:t>
      </w:r>
      <w:r w:rsidR="00CD712B" w:rsidRPr="00EA6C7A">
        <w:rPr>
          <w:rFonts w:eastAsia="Calibri"/>
          <w:i/>
          <w:lang w:val="en-US"/>
        </w:rPr>
        <w:t>, those responsible</w:t>
      </w:r>
      <w:bookmarkEnd w:id="95"/>
      <w:bookmarkEnd w:id="96"/>
    </w:p>
    <w:p w14:paraId="46868DCE" w14:textId="77777777" w:rsidR="006D228A" w:rsidRPr="00EA6C7A" w:rsidRDefault="006D228A" w:rsidP="006D228A">
      <w:pPr>
        <w:autoSpaceDE w:val="0"/>
        <w:autoSpaceDN w:val="0"/>
        <w:adjustRightInd w:val="0"/>
        <w:spacing w:after="0" w:line="240" w:lineRule="auto"/>
        <w:jc w:val="both"/>
        <w:rPr>
          <w:rFonts w:ascii="Verdana" w:eastAsia="Calibri" w:hAnsi="Verdana" w:cs="Arial"/>
          <w:b/>
          <w:sz w:val="20"/>
          <w:szCs w:val="20"/>
          <w:lang w:val="en-US"/>
        </w:rPr>
      </w:pPr>
    </w:p>
    <w:p w14:paraId="32FAE9BC" w14:textId="77777777" w:rsidR="006D228A" w:rsidRPr="00EA6C7A" w:rsidRDefault="009D39CD" w:rsidP="00077D21">
      <w:pPr>
        <w:pStyle w:val="PrrafodeSentencia"/>
        <w:rPr>
          <w:b/>
          <w:lang w:val="en-US"/>
        </w:rPr>
      </w:pPr>
      <w:r w:rsidRPr="00EA6C7A">
        <w:rPr>
          <w:lang w:val="en-US"/>
        </w:rPr>
        <w:t>The</w:t>
      </w:r>
      <w:r w:rsidR="0096418F" w:rsidRPr="00EA6C7A">
        <w:rPr>
          <w:b/>
          <w:bCs/>
          <w:i/>
          <w:iCs/>
          <w:lang w:val="en-US"/>
        </w:rPr>
        <w:t xml:space="preserve"> Commission</w:t>
      </w:r>
      <w:r w:rsidR="006D228A" w:rsidRPr="00EA6C7A">
        <w:rPr>
          <w:b/>
          <w:i/>
          <w:lang w:val="en-US"/>
        </w:rPr>
        <w:t xml:space="preserve"> </w:t>
      </w:r>
      <w:r w:rsidR="0019362C" w:rsidRPr="00EA6C7A">
        <w:rPr>
          <w:lang w:val="en-US"/>
        </w:rPr>
        <w:t>asked that</w:t>
      </w:r>
      <w:r w:rsidR="006D228A" w:rsidRPr="00EA6C7A">
        <w:rPr>
          <w:lang w:val="en-US"/>
        </w:rPr>
        <w:t xml:space="preserve"> </w:t>
      </w:r>
      <w:r w:rsidR="002F3848" w:rsidRPr="00EA6C7A">
        <w:rPr>
          <w:lang w:val="en-US"/>
        </w:rPr>
        <w:t>the State</w:t>
      </w:r>
      <w:r w:rsidR="006D228A" w:rsidRPr="00EA6C7A">
        <w:rPr>
          <w:lang w:val="en-US"/>
        </w:rPr>
        <w:t xml:space="preserve"> </w:t>
      </w:r>
      <w:r w:rsidR="0019362C" w:rsidRPr="00EA6C7A">
        <w:rPr>
          <w:lang w:val="en-US"/>
        </w:rPr>
        <w:t xml:space="preserve">complete a </w:t>
      </w:r>
      <w:r w:rsidR="00AB0669" w:rsidRPr="00EA6C7A">
        <w:rPr>
          <w:lang w:val="en-US"/>
        </w:rPr>
        <w:t>prompt</w:t>
      </w:r>
      <w:r w:rsidR="0019362C" w:rsidRPr="00EA6C7A">
        <w:rPr>
          <w:lang w:val="en-US"/>
        </w:rPr>
        <w:t>, immediate, serious and impartial investigation to solve the murder of Claudina Isabel Velásquez Paiz and identify, prosecute and, as appropriate, punish those responsible</w:t>
      </w:r>
      <w:r w:rsidR="006D228A" w:rsidRPr="00EA6C7A">
        <w:rPr>
          <w:lang w:val="en-US"/>
        </w:rPr>
        <w:t>.</w:t>
      </w:r>
    </w:p>
    <w:p w14:paraId="5EE5993A"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29342E4C" w14:textId="77777777" w:rsidR="0019362C" w:rsidRPr="00EA6C7A" w:rsidRDefault="009D39CD" w:rsidP="00077D21">
      <w:pPr>
        <w:pStyle w:val="PrrafodeSentencia"/>
        <w:rPr>
          <w:rFonts w:eastAsia="Calibri" w:cs="Arial"/>
          <w:lang w:val="en-US" w:eastAsia="en-US"/>
        </w:rPr>
      </w:pPr>
      <w:r w:rsidRPr="00EA6C7A">
        <w:rPr>
          <w:lang w:val="en-US"/>
        </w:rPr>
        <w:t>The</w:t>
      </w:r>
      <w:r w:rsidRPr="00EA6C7A">
        <w:rPr>
          <w:b/>
          <w:bCs/>
          <w:i/>
          <w:iCs/>
          <w:lang w:val="en-US"/>
        </w:rPr>
        <w:t xml:space="preserve"> </w:t>
      </w:r>
      <w:r w:rsidR="00E43A75" w:rsidRPr="00EA6C7A">
        <w:rPr>
          <w:b/>
          <w:bCs/>
          <w:i/>
          <w:iCs/>
          <w:lang w:val="en-US"/>
        </w:rPr>
        <w:t>representatives</w:t>
      </w:r>
      <w:r w:rsidR="006D228A" w:rsidRPr="00EA6C7A">
        <w:rPr>
          <w:b/>
          <w:i/>
          <w:lang w:val="en-US"/>
        </w:rPr>
        <w:t xml:space="preserve"> </w:t>
      </w:r>
      <w:r w:rsidR="0019362C" w:rsidRPr="00EA6C7A">
        <w:rPr>
          <w:lang w:val="en-US"/>
        </w:rPr>
        <w:t>asked</w:t>
      </w:r>
      <w:r w:rsidR="006D228A" w:rsidRPr="00EA6C7A">
        <w:rPr>
          <w:lang w:val="en-US"/>
        </w:rPr>
        <w:t xml:space="preserve"> </w:t>
      </w:r>
      <w:r w:rsidR="0096418F" w:rsidRPr="00EA6C7A">
        <w:rPr>
          <w:lang w:val="en-US"/>
        </w:rPr>
        <w:t>the Court</w:t>
      </w:r>
      <w:r w:rsidR="006D228A" w:rsidRPr="00EA6C7A">
        <w:rPr>
          <w:lang w:val="en-US"/>
        </w:rPr>
        <w:t xml:space="preserve"> </w:t>
      </w:r>
      <w:r w:rsidR="0019362C" w:rsidRPr="00EA6C7A">
        <w:rPr>
          <w:lang w:val="en-US"/>
        </w:rPr>
        <w:t>to require</w:t>
      </w:r>
      <w:r w:rsidR="00E43A75" w:rsidRPr="00EA6C7A">
        <w:rPr>
          <w:lang w:val="en-US"/>
        </w:rPr>
        <w:t xml:space="preserve"> the State</w:t>
      </w:r>
      <w:r w:rsidR="006D228A" w:rsidRPr="00EA6C7A">
        <w:rPr>
          <w:lang w:val="en-US"/>
        </w:rPr>
        <w:t xml:space="preserve">: </w:t>
      </w:r>
      <w:r w:rsidR="0019362C" w:rsidRPr="00EA6C7A">
        <w:rPr>
          <w:lang w:val="en-US"/>
        </w:rPr>
        <w:t>(</w:t>
      </w:r>
      <w:r w:rsidR="006D228A" w:rsidRPr="00EA6C7A">
        <w:rPr>
          <w:lang w:val="en-US"/>
        </w:rPr>
        <w:t xml:space="preserve">a) </w:t>
      </w:r>
      <w:r w:rsidR="0019362C" w:rsidRPr="00EA6C7A">
        <w:rPr>
          <w:lang w:val="en-US"/>
        </w:rPr>
        <w:t xml:space="preserve">to investigate the facts of this case seriously, impartially and independently, using the competent organs, and within a reasonable time; (b) to identify, prosecute and punish appropriately the individuals who took part, either as masterminds or perpetrators, in the murder of Claudina Velásquez, and (c) to investigate and apply the sanctions corresponding to </w:t>
      </w:r>
      <w:r w:rsidR="00AB0669" w:rsidRPr="00EA6C7A">
        <w:rPr>
          <w:lang w:val="en-US"/>
        </w:rPr>
        <w:t xml:space="preserve">the function-related </w:t>
      </w:r>
      <w:r w:rsidR="0019362C" w:rsidRPr="00EA6C7A">
        <w:rPr>
          <w:lang w:val="en-US"/>
        </w:rPr>
        <w:t>offenses</w:t>
      </w:r>
      <w:r w:rsidR="00AB0669" w:rsidRPr="00EA6C7A">
        <w:rPr>
          <w:lang w:val="en-US"/>
        </w:rPr>
        <w:t xml:space="preserve"> </w:t>
      </w:r>
      <w:r w:rsidR="0019362C" w:rsidRPr="00EA6C7A">
        <w:rPr>
          <w:lang w:val="en-US"/>
        </w:rPr>
        <w:t>committed by the public officials in charge of investigating the facts of this case.</w:t>
      </w:r>
    </w:p>
    <w:p w14:paraId="51E0E67C" w14:textId="77777777" w:rsidR="006D228A" w:rsidRPr="00EA6C7A" w:rsidRDefault="006D228A" w:rsidP="006D228A">
      <w:pPr>
        <w:autoSpaceDE w:val="0"/>
        <w:autoSpaceDN w:val="0"/>
        <w:adjustRightInd w:val="0"/>
        <w:spacing w:after="0" w:line="240" w:lineRule="auto"/>
        <w:jc w:val="both"/>
        <w:rPr>
          <w:rFonts w:ascii="Verdana" w:eastAsia="Calibri" w:hAnsi="Verdana"/>
          <w:sz w:val="20"/>
          <w:szCs w:val="20"/>
          <w:lang w:val="en-US"/>
        </w:rPr>
      </w:pPr>
    </w:p>
    <w:p w14:paraId="3BF70AD3" w14:textId="77777777" w:rsidR="006D228A" w:rsidRPr="00EA6C7A" w:rsidRDefault="009D39CD" w:rsidP="00077D21">
      <w:pPr>
        <w:pStyle w:val="PrrafodeSentencia"/>
        <w:rPr>
          <w:rFonts w:eastAsia="Calibri"/>
          <w:lang w:val="en-US" w:eastAsia="en-US"/>
        </w:rPr>
      </w:pPr>
      <w:r w:rsidRPr="00EA6C7A">
        <w:rPr>
          <w:lang w:val="en-US"/>
        </w:rPr>
        <w:t>The</w:t>
      </w:r>
      <w:r w:rsidR="002F3848" w:rsidRPr="00EA6C7A">
        <w:rPr>
          <w:b/>
          <w:bCs/>
          <w:i/>
          <w:iCs/>
          <w:lang w:val="en-US"/>
        </w:rPr>
        <w:t xml:space="preserve"> State</w:t>
      </w:r>
      <w:r w:rsidR="006D228A" w:rsidRPr="00EA6C7A">
        <w:rPr>
          <w:lang w:val="en-US"/>
        </w:rPr>
        <w:t xml:space="preserve"> a</w:t>
      </w:r>
      <w:r w:rsidR="0019362C" w:rsidRPr="00EA6C7A">
        <w:rPr>
          <w:lang w:val="en-US"/>
        </w:rPr>
        <w:t>sserted that all the investigative procedures conduced had been aimed at identifying the person or persons responsible for the presumed victim</w:t>
      </w:r>
      <w:r w:rsidR="00AB0669" w:rsidRPr="00EA6C7A">
        <w:rPr>
          <w:lang w:val="en-US"/>
        </w:rPr>
        <w:t>’s death</w:t>
      </w:r>
      <w:r w:rsidR="0019362C" w:rsidRPr="00EA6C7A">
        <w:rPr>
          <w:lang w:val="en-US"/>
        </w:rPr>
        <w:t>, so that, in the near future, it hoped to achieve positive results. It reiterated that the investigation had been continuous, opportune, immediate, serious and impartial from the time of the processing of the crime scene and up until the present and that, regardless of the way in which the</w:t>
      </w:r>
      <w:r w:rsidR="00AB0669" w:rsidRPr="00EA6C7A">
        <w:rPr>
          <w:lang w:val="en-US"/>
        </w:rPr>
        <w:t xml:space="preserve"> Commission had</w:t>
      </w:r>
      <w:r w:rsidR="0019362C" w:rsidRPr="00EA6C7A">
        <w:rPr>
          <w:lang w:val="en-US"/>
        </w:rPr>
        <w:t xml:space="preserve"> assessed </w:t>
      </w:r>
      <w:r w:rsidR="00AB0669" w:rsidRPr="00EA6C7A">
        <w:rPr>
          <w:lang w:val="en-US"/>
        </w:rPr>
        <w:t>them</w:t>
      </w:r>
      <w:r w:rsidR="006D228A" w:rsidRPr="00EA6C7A">
        <w:rPr>
          <w:bCs/>
          <w:lang w:val="en-US"/>
        </w:rPr>
        <w:t xml:space="preserve">, </w:t>
      </w:r>
      <w:r w:rsidR="0019362C" w:rsidRPr="00EA6C7A">
        <w:rPr>
          <w:bCs/>
          <w:lang w:val="en-US"/>
        </w:rPr>
        <w:t xml:space="preserve">the investigation procedures were those that the State was able to conduct </w:t>
      </w:r>
      <w:r w:rsidR="00AB0669" w:rsidRPr="00EA6C7A">
        <w:rPr>
          <w:bCs/>
          <w:lang w:val="en-US"/>
        </w:rPr>
        <w:t>with</w:t>
      </w:r>
      <w:r w:rsidR="0019362C" w:rsidRPr="00EA6C7A">
        <w:rPr>
          <w:bCs/>
          <w:lang w:val="en-US"/>
        </w:rPr>
        <w:t xml:space="preserve"> the </w:t>
      </w:r>
      <w:r w:rsidR="00AB0669" w:rsidRPr="00EA6C7A">
        <w:rPr>
          <w:bCs/>
          <w:lang w:val="en-US"/>
        </w:rPr>
        <w:t xml:space="preserve">means </w:t>
      </w:r>
      <w:r w:rsidR="0019362C" w:rsidRPr="00EA6C7A">
        <w:rPr>
          <w:bCs/>
          <w:lang w:val="en-US"/>
        </w:rPr>
        <w:t>available</w:t>
      </w:r>
      <w:r w:rsidR="00EC057A" w:rsidRPr="00EA6C7A">
        <w:rPr>
          <w:bCs/>
          <w:lang w:val="en-US"/>
        </w:rPr>
        <w:t xml:space="preserve">, and they were diligent. The State also indicated that, even though the procedures conducted at the time of the incident were not ideal, </w:t>
      </w:r>
      <w:r w:rsidR="00AB0669" w:rsidRPr="00EA6C7A">
        <w:rPr>
          <w:bCs/>
          <w:lang w:val="en-US"/>
        </w:rPr>
        <w:t xml:space="preserve">over the past decade </w:t>
      </w:r>
      <w:r w:rsidR="00EC057A" w:rsidRPr="00EA6C7A">
        <w:rPr>
          <w:bCs/>
          <w:lang w:val="en-US"/>
        </w:rPr>
        <w:t xml:space="preserve">it has gradually overcome the deficiencies, taking a series of steps that, today, make the procedure </w:t>
      </w:r>
      <w:r w:rsidR="00AB0669" w:rsidRPr="00EA6C7A">
        <w:rPr>
          <w:bCs/>
          <w:lang w:val="en-US"/>
        </w:rPr>
        <w:t>for</w:t>
      </w:r>
      <w:r w:rsidR="00EC057A" w:rsidRPr="00EA6C7A">
        <w:rPr>
          <w:bCs/>
          <w:lang w:val="en-US"/>
        </w:rPr>
        <w:t xml:space="preserve"> the removal of corpses and gathering of evidence more standardized and orderly by the creation of the </w:t>
      </w:r>
      <w:r w:rsidR="00CA4197" w:rsidRPr="00EA6C7A">
        <w:rPr>
          <w:lang w:val="en-US"/>
        </w:rPr>
        <w:t>National Institute of Forensic Science</w:t>
      </w:r>
      <w:r w:rsidR="006D228A" w:rsidRPr="00EA6C7A">
        <w:rPr>
          <w:lang w:val="en-US"/>
        </w:rPr>
        <w:t xml:space="preserve"> (INACIF)</w:t>
      </w:r>
      <w:r w:rsidR="00D948A1" w:rsidRPr="00EA6C7A">
        <w:rPr>
          <w:lang w:val="en-US"/>
        </w:rPr>
        <w:t xml:space="preserve"> and </w:t>
      </w:r>
      <w:r w:rsidR="00EC057A" w:rsidRPr="00EA6C7A">
        <w:rPr>
          <w:lang w:val="en-US"/>
        </w:rPr>
        <w:t xml:space="preserve">its respective protocols. Lastly, it </w:t>
      </w:r>
      <w:r w:rsidR="00EC057A" w:rsidRPr="00EA6C7A">
        <w:rPr>
          <w:lang w:val="en-US"/>
        </w:rPr>
        <w:lastRenderedPageBreak/>
        <w:t>stated that it would keep the investigation open and would continue conducting the investigation diligently until it had identified and individualized those responsible for the murder.</w:t>
      </w:r>
    </w:p>
    <w:p w14:paraId="0F670A16" w14:textId="77777777" w:rsidR="006D228A" w:rsidRPr="00EA6C7A" w:rsidRDefault="006D228A" w:rsidP="006D228A">
      <w:pPr>
        <w:autoSpaceDE w:val="0"/>
        <w:autoSpaceDN w:val="0"/>
        <w:adjustRightInd w:val="0"/>
        <w:spacing w:after="0" w:line="240" w:lineRule="auto"/>
        <w:jc w:val="both"/>
        <w:rPr>
          <w:rFonts w:ascii="Verdana" w:eastAsia="Calibri" w:hAnsi="Verdana"/>
          <w:sz w:val="20"/>
          <w:szCs w:val="20"/>
          <w:lang w:val="en-US"/>
        </w:rPr>
      </w:pPr>
    </w:p>
    <w:p w14:paraId="7EFAA1C4" w14:textId="77777777" w:rsidR="00D80E4B" w:rsidRPr="00EA6C7A" w:rsidRDefault="0096418F" w:rsidP="00077D21">
      <w:pPr>
        <w:pStyle w:val="PrrafodeSentencia"/>
        <w:rPr>
          <w:lang w:val="en-US"/>
        </w:rPr>
      </w:pPr>
      <w:r w:rsidRPr="00EA6C7A">
        <w:rPr>
          <w:lang w:val="en-US"/>
        </w:rPr>
        <w:t>The Court</w:t>
      </w:r>
      <w:r w:rsidR="006D228A" w:rsidRPr="00EA6C7A">
        <w:rPr>
          <w:lang w:val="en-US"/>
        </w:rPr>
        <w:t xml:space="preserve"> </w:t>
      </w:r>
      <w:r w:rsidR="00EC057A" w:rsidRPr="00EA6C7A">
        <w:rPr>
          <w:lang w:val="en-US"/>
        </w:rPr>
        <w:t xml:space="preserve">appreciates the State’s declaration that it would “keep the investigation open and would continue conducting the investigation diligently until it had identified and individualized those responsible for the murder.” However, bearing in mind the conclusions of Chapter VII.II of this judgment, the Court establishes that, the State must, </w:t>
      </w:r>
      <w:r w:rsidR="00AD3BCF" w:rsidRPr="00EA6C7A">
        <w:rPr>
          <w:lang w:val="en-US"/>
        </w:rPr>
        <w:t>within a reasonable time</w:t>
      </w:r>
      <w:r w:rsidR="00B408CF" w:rsidRPr="00EA6C7A">
        <w:rPr>
          <w:lang w:val="en-US"/>
        </w:rPr>
        <w:t>,</w:t>
      </w:r>
      <w:r w:rsidR="006D228A" w:rsidRPr="00EA6C7A">
        <w:rPr>
          <w:lang w:val="en-US"/>
        </w:rPr>
        <w:t xml:space="preserve"> </w:t>
      </w:r>
      <w:r w:rsidR="00EC057A" w:rsidRPr="00EA6C7A">
        <w:rPr>
          <w:lang w:val="en-US"/>
        </w:rPr>
        <w:t>conduct the investigation effectively and</w:t>
      </w:r>
      <w:r w:rsidR="00C42C9E" w:rsidRPr="00EA6C7A">
        <w:rPr>
          <w:lang w:val="en-US"/>
        </w:rPr>
        <w:t xml:space="preserve">, when applicable, </w:t>
      </w:r>
      <w:r w:rsidR="00EC057A" w:rsidRPr="00EA6C7A">
        <w:rPr>
          <w:lang w:val="en-US"/>
        </w:rPr>
        <w:t xml:space="preserve">open the required criminal proceedings to identify, prosecute and </w:t>
      </w:r>
      <w:r w:rsidR="00CD712B" w:rsidRPr="00EA6C7A">
        <w:rPr>
          <w:lang w:val="en-US"/>
        </w:rPr>
        <w:t xml:space="preserve">punish, as </w:t>
      </w:r>
      <w:r w:rsidR="00316AD7" w:rsidRPr="00EA6C7A">
        <w:rPr>
          <w:lang w:val="en-US"/>
        </w:rPr>
        <w:t>appropriate</w:t>
      </w:r>
      <w:r w:rsidR="00CD712B" w:rsidRPr="00EA6C7A">
        <w:rPr>
          <w:lang w:val="en-US"/>
        </w:rPr>
        <w:t>, those responsible</w:t>
      </w:r>
      <w:r w:rsidR="006D228A" w:rsidRPr="00EA6C7A">
        <w:rPr>
          <w:lang w:val="en-US"/>
        </w:rPr>
        <w:t xml:space="preserve"> </w:t>
      </w:r>
      <w:r w:rsidR="00EC057A" w:rsidRPr="00EA6C7A">
        <w:rPr>
          <w:lang w:val="en-US"/>
        </w:rPr>
        <w:t>for the abuse and murder of</w:t>
      </w:r>
      <w:r w:rsidR="006D228A" w:rsidRPr="00EA6C7A">
        <w:rPr>
          <w:lang w:val="en-US"/>
        </w:rPr>
        <w:t xml:space="preserve"> Claudina Isabel Velásquez Paiz, </w:t>
      </w:r>
      <w:r w:rsidR="00EC057A" w:rsidRPr="00EA6C7A">
        <w:rPr>
          <w:lang w:val="en-US"/>
        </w:rPr>
        <w:t xml:space="preserve">in keeping with the guidelines in this judgment, in order to avoid the repetition of the same or similar </w:t>
      </w:r>
      <w:r w:rsidR="00D80E4B" w:rsidRPr="00EA6C7A">
        <w:rPr>
          <w:lang w:val="en-US"/>
        </w:rPr>
        <w:t>acts to those of this case. This investigation must include a gender perspective, undertake specific lines of investigation concerning sexual violence, and provide the victim’s next of kin with information on progress in the investigation pursuant to domestic law and, when app</w:t>
      </w:r>
      <w:r w:rsidR="00C42C9E" w:rsidRPr="00EA6C7A">
        <w:rPr>
          <w:lang w:val="en-US"/>
        </w:rPr>
        <w:t>licable</w:t>
      </w:r>
      <w:r w:rsidR="00D80E4B" w:rsidRPr="00EA6C7A">
        <w:rPr>
          <w:lang w:val="en-US"/>
        </w:rPr>
        <w:t>, ensure that they have appropriate participation in the criminal proceedings. Also, the investigation must be conducted by officials trained in similar cases and in dealing with victims of gender-based discrimination and violence. Lastly, it must ensure that those in charge of the investigation and the criminal proceedings, as well as any other persons involved, such as witnesses, expert witnesses, or members of the victim’s family, have adequate guarantees for their safety.</w:t>
      </w:r>
    </w:p>
    <w:p w14:paraId="701CC9BF"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1B7493CF" w14:textId="77777777" w:rsidR="006D228A" w:rsidRPr="00EA6C7A" w:rsidRDefault="00D80E4B" w:rsidP="00077D21">
      <w:pPr>
        <w:pStyle w:val="PrrafodeSentencia"/>
        <w:rPr>
          <w:lang w:val="en-US"/>
        </w:rPr>
      </w:pPr>
      <w:r w:rsidRPr="00EA6C7A">
        <w:rPr>
          <w:lang w:val="en-US"/>
        </w:rPr>
        <w:t>Furthermore, as it has on other occasions,</w:t>
      </w:r>
      <w:r w:rsidR="006D228A" w:rsidRPr="00EA6C7A">
        <w:rPr>
          <w:rStyle w:val="Refdenotaalpie"/>
          <w:lang w:val="en-US"/>
        </w:rPr>
        <w:footnoteReference w:id="324"/>
      </w:r>
      <w:r w:rsidR="006D228A" w:rsidRPr="00EA6C7A">
        <w:rPr>
          <w:lang w:val="en-US"/>
        </w:rPr>
        <w:t xml:space="preserve"> </w:t>
      </w:r>
      <w:r w:rsidR="0096418F" w:rsidRPr="00EA6C7A">
        <w:rPr>
          <w:lang w:val="en-US"/>
        </w:rPr>
        <w:t>the Court</w:t>
      </w:r>
      <w:r w:rsidR="006D228A" w:rsidRPr="00EA6C7A">
        <w:rPr>
          <w:lang w:val="en-US"/>
        </w:rPr>
        <w:t xml:space="preserve"> </w:t>
      </w:r>
      <w:r w:rsidRPr="00EA6C7A">
        <w:rPr>
          <w:lang w:val="en-US"/>
        </w:rPr>
        <w:t xml:space="preserve">establishes that, based on the pertinent disciplinary norms, the State </w:t>
      </w:r>
      <w:r w:rsidR="00C42C9E" w:rsidRPr="00EA6C7A">
        <w:rPr>
          <w:lang w:val="en-US"/>
        </w:rPr>
        <w:t>must</w:t>
      </w:r>
      <w:r w:rsidRPr="00EA6C7A">
        <w:rPr>
          <w:lang w:val="en-US"/>
        </w:rPr>
        <w:t xml:space="preserve"> examine the possible procedural and investigative </w:t>
      </w:r>
      <w:r w:rsidR="00043FBD" w:rsidRPr="00EA6C7A">
        <w:rPr>
          <w:lang w:val="en-US"/>
        </w:rPr>
        <w:t>irregularities</w:t>
      </w:r>
      <w:r w:rsidR="006D228A" w:rsidRPr="00EA6C7A">
        <w:rPr>
          <w:lang w:val="en-US"/>
        </w:rPr>
        <w:t xml:space="preserve"> </w:t>
      </w:r>
      <w:r w:rsidRPr="00EA6C7A">
        <w:rPr>
          <w:lang w:val="en-US"/>
        </w:rPr>
        <w:t xml:space="preserve">related to this case and, </w:t>
      </w:r>
      <w:r w:rsidR="00C42C9E" w:rsidRPr="00EA6C7A">
        <w:rPr>
          <w:lang w:val="en-US"/>
        </w:rPr>
        <w:t>if</w:t>
      </w:r>
      <w:r w:rsidRPr="00EA6C7A">
        <w:rPr>
          <w:lang w:val="en-US"/>
        </w:rPr>
        <w:t xml:space="preserve"> appropriate, sanction the conduct of the corresponding public servants without the victims in this case having to file complaints to this end</w:t>
      </w:r>
      <w:r w:rsidR="006D228A" w:rsidRPr="00EA6C7A">
        <w:rPr>
          <w:lang w:val="en-US"/>
        </w:rPr>
        <w:t xml:space="preserve">. </w:t>
      </w:r>
    </w:p>
    <w:p w14:paraId="62572392" w14:textId="77777777" w:rsidR="006D228A" w:rsidRPr="00EA6C7A" w:rsidRDefault="006D228A" w:rsidP="006D228A">
      <w:pPr>
        <w:autoSpaceDE w:val="0"/>
        <w:autoSpaceDN w:val="0"/>
        <w:adjustRightInd w:val="0"/>
        <w:spacing w:after="0" w:line="240" w:lineRule="auto"/>
        <w:contextualSpacing/>
        <w:jc w:val="both"/>
        <w:rPr>
          <w:rFonts w:ascii="Verdana" w:eastAsia="Calibri" w:hAnsi="Verdana" w:cs="Arial"/>
          <w:b/>
          <w:sz w:val="20"/>
          <w:szCs w:val="20"/>
          <w:lang w:val="en-US"/>
        </w:rPr>
      </w:pPr>
    </w:p>
    <w:p w14:paraId="43FC7ACB" w14:textId="77777777" w:rsidR="006D228A" w:rsidRPr="00EA6C7A" w:rsidRDefault="006D228A" w:rsidP="006D228A">
      <w:pPr>
        <w:pStyle w:val="Sentencia2"/>
        <w:jc w:val="both"/>
        <w:rPr>
          <w:rFonts w:eastAsia="Calibri"/>
          <w:i/>
          <w:lang w:val="en-US"/>
        </w:rPr>
      </w:pPr>
      <w:bookmarkStart w:id="97" w:name="_Toc431801395"/>
      <w:bookmarkStart w:id="98" w:name="_Toc26002333"/>
      <w:r w:rsidRPr="00EA6C7A">
        <w:rPr>
          <w:rFonts w:eastAsia="Calibri"/>
          <w:i/>
          <w:lang w:val="en-US"/>
        </w:rPr>
        <w:t xml:space="preserve">C. </w:t>
      </w:r>
      <w:r w:rsidR="00CD712B" w:rsidRPr="00EA6C7A">
        <w:rPr>
          <w:i/>
          <w:lang w:val="en-US"/>
        </w:rPr>
        <w:t>Measures of rehabilitation and satisfaction, and guarantees of non-repetition</w:t>
      </w:r>
      <w:bookmarkEnd w:id="97"/>
      <w:bookmarkEnd w:id="98"/>
    </w:p>
    <w:p w14:paraId="47FFA705"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35B74C86" w14:textId="77777777" w:rsidR="006D228A" w:rsidRPr="00EA6C7A" w:rsidRDefault="006D228A" w:rsidP="006D228A">
      <w:pPr>
        <w:pStyle w:val="Sentencia3"/>
        <w:rPr>
          <w:rFonts w:eastAsia="Calibri"/>
          <w:lang w:val="en-US"/>
        </w:rPr>
      </w:pPr>
      <w:bookmarkStart w:id="99" w:name="_Toc431801396"/>
      <w:bookmarkStart w:id="100" w:name="_Toc26002334"/>
      <w:r w:rsidRPr="00EA6C7A">
        <w:rPr>
          <w:rFonts w:eastAsia="Calibri"/>
          <w:lang w:val="en-US"/>
        </w:rPr>
        <w:t xml:space="preserve">C.1. </w:t>
      </w:r>
      <w:r w:rsidR="00CD712B" w:rsidRPr="00EA6C7A">
        <w:rPr>
          <w:rFonts w:eastAsia="Calibri"/>
          <w:lang w:val="en-US"/>
        </w:rPr>
        <w:t>Rehabilitation</w:t>
      </w:r>
      <w:bookmarkEnd w:id="99"/>
      <w:bookmarkEnd w:id="100"/>
    </w:p>
    <w:p w14:paraId="53FF851F"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0CA2EB4E" w14:textId="77777777" w:rsidR="006D228A" w:rsidRPr="00EA6C7A" w:rsidRDefault="009D39CD" w:rsidP="00077D21">
      <w:pPr>
        <w:pStyle w:val="PrrafodeSentencia"/>
        <w:rPr>
          <w:lang w:val="en-US"/>
        </w:rPr>
      </w:pPr>
      <w:r w:rsidRPr="00EA6C7A">
        <w:rPr>
          <w:lang w:val="en-US"/>
        </w:rPr>
        <w:t>The</w:t>
      </w:r>
      <w:r w:rsidRPr="00EA6C7A">
        <w:rPr>
          <w:b/>
          <w:bCs/>
          <w:i/>
          <w:iCs/>
          <w:lang w:val="en-US"/>
        </w:rPr>
        <w:t xml:space="preserve"> </w:t>
      </w:r>
      <w:r w:rsidR="0096418F" w:rsidRPr="00EA6C7A">
        <w:rPr>
          <w:b/>
          <w:bCs/>
          <w:i/>
          <w:iCs/>
          <w:lang w:val="en-US"/>
        </w:rPr>
        <w:t>Commission</w:t>
      </w:r>
      <w:r w:rsidR="006D228A" w:rsidRPr="00EA6C7A">
        <w:rPr>
          <w:b/>
          <w:i/>
          <w:lang w:val="en-US"/>
        </w:rPr>
        <w:t xml:space="preserve"> </w:t>
      </w:r>
      <w:r w:rsidR="00D80E4B" w:rsidRPr="00EA6C7A">
        <w:rPr>
          <w:lang w:val="en-US"/>
        </w:rPr>
        <w:t>did not present any speci</w:t>
      </w:r>
      <w:r w:rsidR="00225050" w:rsidRPr="00EA6C7A">
        <w:rPr>
          <w:lang w:val="en-US"/>
        </w:rPr>
        <w:t>f</w:t>
      </w:r>
      <w:r w:rsidR="00D80E4B" w:rsidRPr="00EA6C7A">
        <w:rPr>
          <w:lang w:val="en-US"/>
        </w:rPr>
        <w:t>ic arguments on this point.</w:t>
      </w:r>
    </w:p>
    <w:p w14:paraId="6129B82C" w14:textId="77777777" w:rsidR="00D80E4B" w:rsidRPr="00EA6C7A" w:rsidRDefault="00D80E4B" w:rsidP="00077D21">
      <w:pPr>
        <w:pStyle w:val="PrrafodeSentencia"/>
        <w:numPr>
          <w:ilvl w:val="0"/>
          <w:numId w:val="0"/>
        </w:numPr>
        <w:rPr>
          <w:lang w:val="en-US"/>
        </w:rPr>
      </w:pPr>
    </w:p>
    <w:p w14:paraId="188B499A" w14:textId="77777777" w:rsidR="006D228A" w:rsidRPr="00EA6C7A" w:rsidRDefault="009D39CD" w:rsidP="00077D21">
      <w:pPr>
        <w:pStyle w:val="PrrafodeSentencia"/>
        <w:rPr>
          <w:lang w:val="en-US"/>
        </w:rPr>
      </w:pPr>
      <w:r w:rsidRPr="00EA6C7A">
        <w:rPr>
          <w:lang w:val="en-US"/>
        </w:rPr>
        <w:t>The</w:t>
      </w:r>
      <w:r w:rsidR="00E43A75" w:rsidRPr="00EA6C7A">
        <w:rPr>
          <w:b/>
          <w:bCs/>
          <w:i/>
          <w:iCs/>
          <w:lang w:val="en-US"/>
        </w:rPr>
        <w:t xml:space="preserve"> representatives</w:t>
      </w:r>
      <w:r w:rsidR="006D228A" w:rsidRPr="00EA6C7A">
        <w:rPr>
          <w:b/>
          <w:i/>
          <w:lang w:val="en-US"/>
        </w:rPr>
        <w:t xml:space="preserve"> </w:t>
      </w:r>
      <w:r w:rsidR="00D80E4B" w:rsidRPr="00EA6C7A">
        <w:rPr>
          <w:lang w:val="en-US"/>
        </w:rPr>
        <w:t>asked</w:t>
      </w:r>
      <w:r w:rsidR="006D228A" w:rsidRPr="00EA6C7A">
        <w:rPr>
          <w:lang w:val="en-US"/>
        </w:rPr>
        <w:t xml:space="preserve"> </w:t>
      </w:r>
      <w:r w:rsidR="0096418F" w:rsidRPr="00EA6C7A">
        <w:rPr>
          <w:lang w:val="en-US"/>
        </w:rPr>
        <w:t>the Court</w:t>
      </w:r>
      <w:r w:rsidR="006D228A" w:rsidRPr="00EA6C7A">
        <w:rPr>
          <w:lang w:val="en-US"/>
        </w:rPr>
        <w:t xml:space="preserve"> </w:t>
      </w:r>
      <w:r w:rsidR="00D80E4B" w:rsidRPr="00EA6C7A">
        <w:rPr>
          <w:lang w:val="en-US"/>
        </w:rPr>
        <w:t>to order</w:t>
      </w:r>
      <w:r w:rsidR="00E43A75" w:rsidRPr="00EA6C7A">
        <w:rPr>
          <w:lang w:val="en-US"/>
        </w:rPr>
        <w:t xml:space="preserve"> the State</w:t>
      </w:r>
      <w:r w:rsidR="006D228A" w:rsidRPr="00EA6C7A">
        <w:rPr>
          <w:lang w:val="en-US"/>
        </w:rPr>
        <w:t xml:space="preserve"> </w:t>
      </w:r>
      <w:r w:rsidR="00D80E4B" w:rsidRPr="00EA6C7A">
        <w:rPr>
          <w:lang w:val="en-US"/>
        </w:rPr>
        <w:t xml:space="preserve">to provide medical and psychological care to </w:t>
      </w:r>
      <w:r w:rsidR="006D228A" w:rsidRPr="00EA6C7A">
        <w:rPr>
          <w:lang w:val="en-US"/>
        </w:rPr>
        <w:t>Jorge Rolando Velásquez Durán, Elsa Claudina Paiz Vidal</w:t>
      </w:r>
      <w:r w:rsidR="00D948A1" w:rsidRPr="00EA6C7A">
        <w:rPr>
          <w:lang w:val="en-US"/>
        </w:rPr>
        <w:t xml:space="preserve"> and </w:t>
      </w:r>
      <w:r w:rsidR="006D228A" w:rsidRPr="00EA6C7A">
        <w:rPr>
          <w:lang w:val="en-US"/>
        </w:rPr>
        <w:t xml:space="preserve">Pablo Andrés Velásquez Paiz, </w:t>
      </w:r>
      <w:r w:rsidR="00D80E4B" w:rsidRPr="00EA6C7A">
        <w:rPr>
          <w:lang w:val="en-US"/>
        </w:rPr>
        <w:t xml:space="preserve">for as long as necessary. This care must include the costs of any medication </w:t>
      </w:r>
      <w:r w:rsidR="00C42C9E" w:rsidRPr="00EA6C7A">
        <w:rPr>
          <w:lang w:val="en-US"/>
        </w:rPr>
        <w:t xml:space="preserve">they </w:t>
      </w:r>
      <w:r w:rsidR="00D80E4B" w:rsidRPr="00EA6C7A">
        <w:rPr>
          <w:lang w:val="en-US"/>
        </w:rPr>
        <w:t xml:space="preserve">require. The medical center </w:t>
      </w:r>
      <w:r w:rsidR="00163A85" w:rsidRPr="00EA6C7A">
        <w:rPr>
          <w:lang w:val="en-US"/>
        </w:rPr>
        <w:t>providing this physical and psychological care must be chosen by mutual agreement with them and must take into account the particular circumstances and needs of each of them.</w:t>
      </w:r>
    </w:p>
    <w:p w14:paraId="329355B7" w14:textId="77777777" w:rsidR="006D228A" w:rsidRPr="00EA6C7A" w:rsidRDefault="006D228A" w:rsidP="006D228A">
      <w:pPr>
        <w:autoSpaceDE w:val="0"/>
        <w:autoSpaceDN w:val="0"/>
        <w:adjustRightInd w:val="0"/>
        <w:spacing w:after="0" w:line="240" w:lineRule="auto"/>
        <w:jc w:val="both"/>
        <w:rPr>
          <w:rFonts w:ascii="Verdana" w:eastAsia="Calibri" w:hAnsi="Verdana" w:cs="Arial"/>
          <w:b/>
          <w:sz w:val="20"/>
          <w:szCs w:val="20"/>
          <w:lang w:val="en-US"/>
        </w:rPr>
      </w:pPr>
    </w:p>
    <w:p w14:paraId="594C0CDE" w14:textId="77777777" w:rsidR="006D228A" w:rsidRPr="00EA6C7A" w:rsidRDefault="009D39CD" w:rsidP="00077D21">
      <w:pPr>
        <w:pStyle w:val="PrrafodeSentencia"/>
        <w:rPr>
          <w:lang w:val="en-US"/>
        </w:rPr>
      </w:pPr>
      <w:r w:rsidRPr="00EA6C7A">
        <w:rPr>
          <w:lang w:val="en-US"/>
        </w:rPr>
        <w:t>The</w:t>
      </w:r>
      <w:r w:rsidRPr="00EA6C7A">
        <w:rPr>
          <w:b/>
          <w:bCs/>
          <w:i/>
          <w:iCs/>
          <w:lang w:val="en-US"/>
        </w:rPr>
        <w:t xml:space="preserve"> </w:t>
      </w:r>
      <w:r w:rsidR="002F3848" w:rsidRPr="00EA6C7A">
        <w:rPr>
          <w:b/>
          <w:bCs/>
          <w:i/>
          <w:iCs/>
          <w:lang w:val="en-US"/>
        </w:rPr>
        <w:t>State</w:t>
      </w:r>
      <w:r w:rsidR="006D228A" w:rsidRPr="00EA6C7A">
        <w:rPr>
          <w:lang w:val="en-US"/>
        </w:rPr>
        <w:t xml:space="preserve"> </w:t>
      </w:r>
      <w:r w:rsidR="00163A85" w:rsidRPr="00EA6C7A">
        <w:rPr>
          <w:lang w:val="en-US"/>
        </w:rPr>
        <w:t xml:space="preserve">indicated that, if it had been requested, it would have provided psychological and medical care to the next of kin of the presumed victim in this case. However, they had never indicated that they required psychological support for any member of the family group under the State’s programs and institutions. It also indicated that it had not been proved that any member of the family group had suffered physical or psychological harm as a result of the facts of this case. Consequently, it did not consider that it was fair or equitable that the requested medical expenses be charged to the national budget. Lastly, it indicated that, if </w:t>
      </w:r>
      <w:r w:rsidR="00123BD3" w:rsidRPr="00EA6C7A">
        <w:rPr>
          <w:lang w:val="en-US"/>
        </w:rPr>
        <w:t>the next of kin of</w:t>
      </w:r>
      <w:r w:rsidR="006D228A" w:rsidRPr="00EA6C7A">
        <w:rPr>
          <w:lang w:val="en-US"/>
        </w:rPr>
        <w:t xml:space="preserve"> Claudina Velásquez</w:t>
      </w:r>
      <w:r w:rsidR="00163A85" w:rsidRPr="00EA6C7A">
        <w:rPr>
          <w:lang w:val="en-US"/>
        </w:rPr>
        <w:t xml:space="preserve"> attended private doctors and health clinics, it was at their own choice, because the </w:t>
      </w:r>
      <w:r w:rsidR="002F3848" w:rsidRPr="00EA6C7A">
        <w:rPr>
          <w:lang w:val="en-US"/>
        </w:rPr>
        <w:t>State</w:t>
      </w:r>
      <w:r w:rsidR="006D228A" w:rsidRPr="00EA6C7A">
        <w:rPr>
          <w:lang w:val="en-US"/>
        </w:rPr>
        <w:t xml:space="preserve"> </w:t>
      </w:r>
      <w:r w:rsidR="00163A85" w:rsidRPr="00EA6C7A">
        <w:rPr>
          <w:lang w:val="en-US"/>
        </w:rPr>
        <w:t>ha</w:t>
      </w:r>
      <w:r w:rsidR="00C42C9E" w:rsidRPr="00EA6C7A">
        <w:rPr>
          <w:lang w:val="en-US"/>
        </w:rPr>
        <w:t>d</w:t>
      </w:r>
      <w:r w:rsidR="00163A85" w:rsidRPr="00EA6C7A">
        <w:rPr>
          <w:lang w:val="en-US"/>
        </w:rPr>
        <w:t xml:space="preserve"> a public health system that could have provided them with the services required free of cost.</w:t>
      </w:r>
    </w:p>
    <w:p w14:paraId="5596941D" w14:textId="77777777" w:rsidR="006D228A" w:rsidRPr="00EA6C7A" w:rsidRDefault="006D228A" w:rsidP="006D228A">
      <w:pPr>
        <w:spacing w:after="0" w:line="240" w:lineRule="auto"/>
        <w:ind w:left="720"/>
        <w:contextualSpacing/>
        <w:rPr>
          <w:rFonts w:ascii="Verdana" w:eastAsia="Calibri" w:hAnsi="Verdana"/>
          <w:sz w:val="20"/>
          <w:szCs w:val="20"/>
          <w:lang w:val="en-US"/>
        </w:rPr>
      </w:pPr>
    </w:p>
    <w:p w14:paraId="0CBCF2DB" w14:textId="77777777" w:rsidR="00163A85" w:rsidRPr="00EA6C7A" w:rsidRDefault="00123BD3" w:rsidP="00077D21">
      <w:pPr>
        <w:pStyle w:val="PrrafodeSentencia"/>
        <w:rPr>
          <w:rFonts w:cs="Verdana-Italic"/>
          <w:iCs/>
          <w:lang w:val="en-US" w:bidi="en-US"/>
        </w:rPr>
      </w:pPr>
      <w:r w:rsidRPr="00EA6C7A">
        <w:rPr>
          <w:lang w:val="en-US"/>
        </w:rPr>
        <w:t>In Chapter</w:t>
      </w:r>
      <w:r w:rsidR="006D228A" w:rsidRPr="00EA6C7A">
        <w:rPr>
          <w:lang w:val="en-US"/>
        </w:rPr>
        <w:t xml:space="preserve"> VII</w:t>
      </w:r>
      <w:r w:rsidR="00E92ADD" w:rsidRPr="00EA6C7A">
        <w:rPr>
          <w:lang w:val="en-US"/>
        </w:rPr>
        <w:t>.</w:t>
      </w:r>
      <w:r w:rsidR="006D228A" w:rsidRPr="00EA6C7A">
        <w:rPr>
          <w:lang w:val="en-US"/>
        </w:rPr>
        <w:t xml:space="preserve">III </w:t>
      </w:r>
      <w:r w:rsidR="00163A85" w:rsidRPr="00EA6C7A">
        <w:rPr>
          <w:lang w:val="en-US"/>
        </w:rPr>
        <w:t>of this judgment</w:t>
      </w:r>
      <w:r w:rsidR="006D228A" w:rsidRPr="00EA6C7A">
        <w:rPr>
          <w:lang w:val="en-US"/>
        </w:rPr>
        <w:t xml:space="preserve">, </w:t>
      </w:r>
      <w:r w:rsidR="0096418F" w:rsidRPr="00EA6C7A">
        <w:rPr>
          <w:lang w:val="en-US"/>
        </w:rPr>
        <w:t>the Court</w:t>
      </w:r>
      <w:r w:rsidR="006D228A" w:rsidRPr="00EA6C7A">
        <w:rPr>
          <w:lang w:val="en-US"/>
        </w:rPr>
        <w:t xml:space="preserve"> declar</w:t>
      </w:r>
      <w:r w:rsidR="00163A85" w:rsidRPr="00EA6C7A">
        <w:rPr>
          <w:lang w:val="en-US"/>
        </w:rPr>
        <w:t>ed</w:t>
      </w:r>
      <w:r w:rsidR="006D228A" w:rsidRPr="00EA6C7A">
        <w:rPr>
          <w:lang w:val="en-US"/>
        </w:rPr>
        <w:t xml:space="preserve">, </w:t>
      </w:r>
      <w:r w:rsidR="006D228A" w:rsidRPr="00EA6C7A">
        <w:rPr>
          <w:i/>
          <w:lang w:val="en-US"/>
        </w:rPr>
        <w:t>inter alia</w:t>
      </w:r>
      <w:r w:rsidR="006D228A" w:rsidRPr="00EA6C7A">
        <w:rPr>
          <w:lang w:val="en-US"/>
        </w:rPr>
        <w:t xml:space="preserve">, </w:t>
      </w:r>
      <w:r w:rsidR="00163A85" w:rsidRPr="00EA6C7A">
        <w:rPr>
          <w:lang w:val="en-US"/>
        </w:rPr>
        <w:t>that the State was international</w:t>
      </w:r>
      <w:r w:rsidR="00C42C9E" w:rsidRPr="00EA6C7A">
        <w:rPr>
          <w:lang w:val="en-US"/>
        </w:rPr>
        <w:t>ly</w:t>
      </w:r>
      <w:r w:rsidR="00163A85" w:rsidRPr="00EA6C7A">
        <w:rPr>
          <w:lang w:val="en-US"/>
        </w:rPr>
        <w:t xml:space="preserve"> responsible for violating the </w:t>
      </w:r>
      <w:r w:rsidR="00515C34" w:rsidRPr="00EA6C7A">
        <w:rPr>
          <w:lang w:val="en-US"/>
        </w:rPr>
        <w:t>personal integrity</w:t>
      </w:r>
      <w:r w:rsidR="00D948A1" w:rsidRPr="00EA6C7A">
        <w:rPr>
          <w:lang w:val="en-US"/>
        </w:rPr>
        <w:t xml:space="preserve"> and </w:t>
      </w:r>
      <w:r w:rsidR="00515C34" w:rsidRPr="00EA6C7A">
        <w:rPr>
          <w:lang w:val="en-US"/>
        </w:rPr>
        <w:t xml:space="preserve">the right to </w:t>
      </w:r>
      <w:r w:rsidR="00163A85" w:rsidRPr="00EA6C7A">
        <w:rPr>
          <w:lang w:val="en-US"/>
        </w:rPr>
        <w:t xml:space="preserve">respect for honor and </w:t>
      </w:r>
      <w:r w:rsidR="00E97764" w:rsidRPr="00EA6C7A">
        <w:rPr>
          <w:lang w:val="en-US"/>
        </w:rPr>
        <w:t xml:space="preserve">recognition of </w:t>
      </w:r>
      <w:r w:rsidR="00163A85" w:rsidRPr="00EA6C7A">
        <w:rPr>
          <w:lang w:val="en-US"/>
        </w:rPr>
        <w:t xml:space="preserve">dignity </w:t>
      </w:r>
      <w:r w:rsidRPr="00EA6C7A">
        <w:rPr>
          <w:lang w:val="en-US"/>
        </w:rPr>
        <w:t>of</w:t>
      </w:r>
      <w:r w:rsidR="006D228A" w:rsidRPr="00EA6C7A">
        <w:rPr>
          <w:lang w:val="en-US"/>
        </w:rPr>
        <w:t xml:space="preserve"> </w:t>
      </w:r>
      <w:r w:rsidR="006D228A" w:rsidRPr="00EA6C7A">
        <w:rPr>
          <w:bCs/>
          <w:lang w:val="en-US"/>
        </w:rPr>
        <w:t>Jorge Rolando Velásquez Durán, Elsa Claudina Paiz Vidal</w:t>
      </w:r>
      <w:r w:rsidR="00D948A1" w:rsidRPr="00EA6C7A">
        <w:rPr>
          <w:bCs/>
          <w:lang w:val="en-US"/>
        </w:rPr>
        <w:t xml:space="preserve"> and </w:t>
      </w:r>
      <w:r w:rsidR="006D228A" w:rsidRPr="00EA6C7A">
        <w:rPr>
          <w:lang w:val="en-US"/>
        </w:rPr>
        <w:t xml:space="preserve">Pablo Andrés Velásquez Paiz, </w:t>
      </w:r>
      <w:r w:rsidR="00163A85" w:rsidRPr="00EA6C7A">
        <w:rPr>
          <w:lang w:val="en-US"/>
        </w:rPr>
        <w:t>all</w:t>
      </w:r>
      <w:r w:rsidRPr="00EA6C7A">
        <w:rPr>
          <w:lang w:val="en-US"/>
        </w:rPr>
        <w:t xml:space="preserve"> next of kin of</w:t>
      </w:r>
      <w:r w:rsidR="006D228A" w:rsidRPr="00EA6C7A">
        <w:rPr>
          <w:lang w:val="en-US"/>
        </w:rPr>
        <w:t xml:space="preserve"> Claudina Isabel Velásquez Paiz. </w:t>
      </w:r>
      <w:r w:rsidR="00163A85" w:rsidRPr="00EA6C7A">
        <w:rPr>
          <w:lang w:val="en-US"/>
        </w:rPr>
        <w:t>Therefore, the Court finds, as it has in other cases,</w:t>
      </w:r>
      <w:r w:rsidR="006D228A" w:rsidRPr="00EA6C7A">
        <w:rPr>
          <w:vertAlign w:val="superscript"/>
        </w:rPr>
        <w:footnoteReference w:id="325"/>
      </w:r>
      <w:r w:rsidR="00163A85" w:rsidRPr="00EA6C7A">
        <w:rPr>
          <w:lang w:val="en-US"/>
        </w:rPr>
        <w:t xml:space="preserve"> that it is necessary to establish a measure of reparation that provides adequate care for the psychological and physical ailments suffere</w:t>
      </w:r>
      <w:r w:rsidR="00225050" w:rsidRPr="00EA6C7A">
        <w:rPr>
          <w:lang w:val="en-US"/>
        </w:rPr>
        <w:t xml:space="preserve">d by the victims as a result of the violations declared in this judgment. In order to contribute to redressing this harm, the Court establishes the State’s obligation to provide, free of charge, through its specialized health care institutions and immediately, adequately, comprehensively and effectively, medical and psychological and/or psychiatric care to the victims who request this, following their informed consent, and including the supply, free of charge, of any medication they may eventually require based on their respective conditions. This means that the victims must receive a differentiated treatment </w:t>
      </w:r>
      <w:r w:rsidR="00C42C9E" w:rsidRPr="00EA6C7A">
        <w:rPr>
          <w:lang w:val="en-US"/>
        </w:rPr>
        <w:t xml:space="preserve">when following the procedures </w:t>
      </w:r>
      <w:r w:rsidR="00225050" w:rsidRPr="00EA6C7A">
        <w:rPr>
          <w:lang w:val="en-US"/>
        </w:rPr>
        <w:t>required to receive care in public institutions. Furthermore, the respective treatment must be provided, insofar as possible, in the centers closest to their places of residence in Guatemala for as long as necessary. In the case of the psychological or psychiatric treatment, this should take into consideration the particular circumstances and needs of each victim, so that they are provided with both family and individual treatment, as agreed with each of them and following an individual evaluation. The victims who request this measure of reparation, or their legal representatives, have six months from notification of this judgment to advise the State of their intention of receiving medical, psychological or psychiatric treatment.</w:t>
      </w:r>
    </w:p>
    <w:p w14:paraId="47BD78A0" w14:textId="77777777" w:rsidR="006D228A" w:rsidRPr="00EA6C7A" w:rsidRDefault="006D228A" w:rsidP="006D228A">
      <w:pPr>
        <w:autoSpaceDE w:val="0"/>
        <w:autoSpaceDN w:val="0"/>
        <w:adjustRightInd w:val="0"/>
        <w:spacing w:after="0" w:line="240" w:lineRule="auto"/>
        <w:jc w:val="both"/>
        <w:rPr>
          <w:rFonts w:ascii="Verdana" w:eastAsia="Calibri" w:hAnsi="Verdana"/>
          <w:sz w:val="20"/>
          <w:szCs w:val="20"/>
          <w:lang w:val="en-US"/>
        </w:rPr>
      </w:pPr>
    </w:p>
    <w:p w14:paraId="4AC96D63" w14:textId="77777777" w:rsidR="006D228A" w:rsidRPr="00EA6C7A" w:rsidRDefault="006D228A" w:rsidP="006D228A">
      <w:pPr>
        <w:pStyle w:val="Sentencia3"/>
        <w:rPr>
          <w:rFonts w:eastAsia="Calibri"/>
          <w:lang w:val="en-US"/>
        </w:rPr>
      </w:pPr>
      <w:bookmarkStart w:id="101" w:name="_Toc26002335"/>
      <w:r w:rsidRPr="00EA6C7A">
        <w:rPr>
          <w:rFonts w:eastAsia="Calibri"/>
          <w:lang w:val="en-US"/>
        </w:rPr>
        <w:t xml:space="preserve">C.2. </w:t>
      </w:r>
      <w:r w:rsidR="00CD712B" w:rsidRPr="00EA6C7A">
        <w:rPr>
          <w:rFonts w:eastAsia="Calibri"/>
          <w:lang w:val="en-US"/>
        </w:rPr>
        <w:t>Measures of satisfaction</w:t>
      </w:r>
      <w:bookmarkEnd w:id="101"/>
    </w:p>
    <w:p w14:paraId="2C7651F2" w14:textId="77777777" w:rsidR="006D228A" w:rsidRPr="00EA6C7A" w:rsidRDefault="006D228A" w:rsidP="00077D21">
      <w:pPr>
        <w:pStyle w:val="PrrafodeSentencia"/>
        <w:numPr>
          <w:ilvl w:val="0"/>
          <w:numId w:val="0"/>
        </w:numPr>
        <w:rPr>
          <w:lang w:val="en-US"/>
        </w:rPr>
      </w:pPr>
    </w:p>
    <w:p w14:paraId="523288BB" w14:textId="77777777" w:rsidR="006D228A" w:rsidRPr="00EA6C7A" w:rsidRDefault="006D228A" w:rsidP="006D228A">
      <w:pPr>
        <w:pStyle w:val="Sentencia3"/>
        <w:rPr>
          <w:rFonts w:eastAsia="Calibri"/>
          <w:lang w:val="en-US"/>
        </w:rPr>
      </w:pPr>
      <w:bookmarkStart w:id="102" w:name="_Toc26002336"/>
      <w:r w:rsidRPr="00EA6C7A">
        <w:rPr>
          <w:rFonts w:eastAsia="Calibri"/>
          <w:lang w:val="en-US"/>
        </w:rPr>
        <w:t xml:space="preserve">C.2.1 </w:t>
      </w:r>
      <w:r w:rsidR="00CD712B" w:rsidRPr="00EA6C7A">
        <w:rPr>
          <w:rFonts w:eastAsia="Calibri"/>
          <w:lang w:val="en-US"/>
        </w:rPr>
        <w:t>Publication of the judgment</w:t>
      </w:r>
      <w:bookmarkEnd w:id="102"/>
    </w:p>
    <w:p w14:paraId="77B44346" w14:textId="77777777" w:rsidR="006D228A" w:rsidRPr="00EA6C7A" w:rsidRDefault="006D228A" w:rsidP="006D228A">
      <w:pPr>
        <w:autoSpaceDE w:val="0"/>
        <w:autoSpaceDN w:val="0"/>
        <w:adjustRightInd w:val="0"/>
        <w:spacing w:after="0" w:line="240" w:lineRule="auto"/>
        <w:ind w:left="2977"/>
        <w:jc w:val="both"/>
        <w:rPr>
          <w:rFonts w:ascii="Verdana" w:eastAsia="Calibri" w:hAnsi="Verdana"/>
          <w:i/>
          <w:sz w:val="20"/>
          <w:szCs w:val="20"/>
          <w:lang w:val="en-US"/>
        </w:rPr>
      </w:pPr>
    </w:p>
    <w:p w14:paraId="5985D05C" w14:textId="77777777" w:rsidR="00940342" w:rsidRPr="00EA6C7A" w:rsidRDefault="0096418F" w:rsidP="00077D21">
      <w:pPr>
        <w:pStyle w:val="PrrafodeSentencia"/>
        <w:rPr>
          <w:lang w:val="en-US"/>
        </w:rPr>
      </w:pPr>
      <w:r w:rsidRPr="00EA6C7A">
        <w:rPr>
          <w:lang w:val="en-US"/>
        </w:rPr>
        <w:t>The</w:t>
      </w:r>
      <w:r w:rsidRPr="00EA6C7A">
        <w:rPr>
          <w:b/>
          <w:bCs/>
          <w:i/>
          <w:iCs/>
          <w:lang w:val="en-US"/>
        </w:rPr>
        <w:t xml:space="preserve"> Commission</w:t>
      </w:r>
      <w:r w:rsidR="006D228A" w:rsidRPr="00EA6C7A">
        <w:rPr>
          <w:lang w:val="en-US"/>
        </w:rPr>
        <w:t xml:space="preserve"> </w:t>
      </w:r>
      <w:r w:rsidR="00225050" w:rsidRPr="00EA6C7A">
        <w:rPr>
          <w:lang w:val="en-US"/>
        </w:rPr>
        <w:t>did not presen</w:t>
      </w:r>
      <w:r w:rsidR="0019641E" w:rsidRPr="00EA6C7A">
        <w:rPr>
          <w:lang w:val="en-US"/>
        </w:rPr>
        <w:t>t</w:t>
      </w:r>
      <w:r w:rsidR="00225050" w:rsidRPr="00EA6C7A">
        <w:rPr>
          <w:lang w:val="en-US"/>
        </w:rPr>
        <w:t xml:space="preserve"> </w:t>
      </w:r>
      <w:r w:rsidR="0019641E" w:rsidRPr="00EA6C7A">
        <w:rPr>
          <w:lang w:val="en-US"/>
        </w:rPr>
        <w:t xml:space="preserve">any </w:t>
      </w:r>
      <w:r w:rsidR="00225050" w:rsidRPr="00EA6C7A">
        <w:rPr>
          <w:lang w:val="en-US"/>
        </w:rPr>
        <w:t xml:space="preserve">specific arguments on this point. </w:t>
      </w:r>
      <w:r w:rsidR="00E43A75" w:rsidRPr="00EA6C7A">
        <w:rPr>
          <w:lang w:val="en-US"/>
        </w:rPr>
        <w:t>The</w:t>
      </w:r>
      <w:r w:rsidR="00E43A75" w:rsidRPr="00EA6C7A">
        <w:rPr>
          <w:b/>
          <w:bCs/>
          <w:i/>
          <w:iCs/>
          <w:lang w:val="en-US"/>
        </w:rPr>
        <w:t xml:space="preserve"> representatives</w:t>
      </w:r>
      <w:r w:rsidR="006D228A" w:rsidRPr="00EA6C7A">
        <w:rPr>
          <w:b/>
          <w:bCs/>
          <w:i/>
          <w:iCs/>
          <w:lang w:val="en-US"/>
        </w:rPr>
        <w:t xml:space="preserve"> </w:t>
      </w:r>
      <w:r w:rsidR="00940342" w:rsidRPr="00EA6C7A">
        <w:rPr>
          <w:lang w:val="en-US"/>
        </w:rPr>
        <w:t>asked</w:t>
      </w:r>
      <w:r w:rsidR="006D228A" w:rsidRPr="00EA6C7A">
        <w:rPr>
          <w:lang w:val="en-US"/>
        </w:rPr>
        <w:t xml:space="preserve"> </w:t>
      </w:r>
      <w:r w:rsidRPr="00EA6C7A">
        <w:rPr>
          <w:lang w:val="en-US"/>
        </w:rPr>
        <w:t>the Court</w:t>
      </w:r>
      <w:r w:rsidR="006D228A" w:rsidRPr="00EA6C7A">
        <w:rPr>
          <w:lang w:val="en-US"/>
        </w:rPr>
        <w:t xml:space="preserve"> </w:t>
      </w:r>
      <w:r w:rsidR="00940342" w:rsidRPr="00EA6C7A">
        <w:rPr>
          <w:lang w:val="en-US"/>
        </w:rPr>
        <w:t>to require</w:t>
      </w:r>
      <w:r w:rsidR="00E43A75" w:rsidRPr="00EA6C7A">
        <w:rPr>
          <w:lang w:val="en-US"/>
        </w:rPr>
        <w:t xml:space="preserve"> the State</w:t>
      </w:r>
      <w:r w:rsidR="006D228A" w:rsidRPr="00EA6C7A">
        <w:rPr>
          <w:lang w:val="en-US"/>
        </w:rPr>
        <w:t xml:space="preserve"> </w:t>
      </w:r>
      <w:r w:rsidR="00940342" w:rsidRPr="00EA6C7A">
        <w:rPr>
          <w:lang w:val="en-US"/>
        </w:rPr>
        <w:t>to publish the judgement delivered in this case in the Official Gazette and in another national newspaper, and to publish the entire judgment, for at least one year, on an appropriate official website of the State taking into account the characteristics of the publication required.</w:t>
      </w:r>
    </w:p>
    <w:p w14:paraId="7D97440B"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2F1A460B" w14:textId="77777777" w:rsidR="006D228A" w:rsidRPr="00EA6C7A" w:rsidRDefault="009D39CD" w:rsidP="00077D21">
      <w:pPr>
        <w:pStyle w:val="PrrafodeSentencia"/>
        <w:rPr>
          <w:lang w:val="en-US"/>
        </w:rPr>
      </w:pPr>
      <w:r w:rsidRPr="00EA6C7A">
        <w:rPr>
          <w:lang w:val="en-US"/>
        </w:rPr>
        <w:t>The</w:t>
      </w:r>
      <w:r w:rsidR="002F3848" w:rsidRPr="00EA6C7A">
        <w:rPr>
          <w:b/>
          <w:bCs/>
          <w:i/>
          <w:iCs/>
          <w:lang w:val="en-US"/>
        </w:rPr>
        <w:t xml:space="preserve"> State</w:t>
      </w:r>
      <w:r w:rsidR="006D228A" w:rsidRPr="00EA6C7A">
        <w:rPr>
          <w:lang w:val="en-US"/>
        </w:rPr>
        <w:t xml:space="preserve"> indic</w:t>
      </w:r>
      <w:r w:rsidR="00940342" w:rsidRPr="00EA6C7A">
        <w:rPr>
          <w:lang w:val="en-US"/>
        </w:rPr>
        <w:t xml:space="preserve">ated that, if the Court determined that the State was responsible for any of the alleged violations and decided </w:t>
      </w:r>
      <w:r w:rsidRPr="00EA6C7A">
        <w:rPr>
          <w:lang w:val="en-US"/>
        </w:rPr>
        <w:t>that</w:t>
      </w:r>
      <w:r w:rsidR="00940342" w:rsidRPr="00EA6C7A">
        <w:rPr>
          <w:lang w:val="en-US"/>
        </w:rPr>
        <w:t xml:space="preserve"> the judgment it handed down</w:t>
      </w:r>
      <w:r w:rsidRPr="00EA6C7A">
        <w:rPr>
          <w:lang w:val="en-US"/>
        </w:rPr>
        <w:t xml:space="preserve"> should be published</w:t>
      </w:r>
      <w:r w:rsidR="00940342" w:rsidRPr="00EA6C7A">
        <w:rPr>
          <w:lang w:val="en-US"/>
        </w:rPr>
        <w:t xml:space="preserve">, the State would publish it </w:t>
      </w:r>
      <w:r w:rsidRPr="00EA6C7A">
        <w:rPr>
          <w:lang w:val="en-US"/>
        </w:rPr>
        <w:t>as</w:t>
      </w:r>
      <w:r w:rsidR="00940342" w:rsidRPr="00EA6C7A">
        <w:rPr>
          <w:lang w:val="en-US"/>
        </w:rPr>
        <w:t xml:space="preserve"> considered appropriate.</w:t>
      </w:r>
    </w:p>
    <w:p w14:paraId="1DFDEB24" w14:textId="77777777" w:rsidR="006D228A" w:rsidRPr="00EA6C7A" w:rsidRDefault="006D228A" w:rsidP="00077D21">
      <w:pPr>
        <w:pStyle w:val="PrrafodeSentencia"/>
        <w:numPr>
          <w:ilvl w:val="0"/>
          <w:numId w:val="0"/>
        </w:numPr>
        <w:ind w:left="360"/>
        <w:rPr>
          <w:lang w:val="en-US"/>
        </w:rPr>
      </w:pPr>
    </w:p>
    <w:p w14:paraId="31328112" w14:textId="77777777" w:rsidR="006D228A" w:rsidRPr="00EA6C7A" w:rsidRDefault="0096418F" w:rsidP="00077D21">
      <w:pPr>
        <w:pStyle w:val="PrrafodeSentencia"/>
        <w:rPr>
          <w:rFonts w:eastAsia="Calibri"/>
          <w:lang w:val="en-US" w:eastAsia="en-US"/>
        </w:rPr>
      </w:pPr>
      <w:r w:rsidRPr="00EA6C7A">
        <w:rPr>
          <w:lang w:val="en-US"/>
        </w:rPr>
        <w:t>The Court</w:t>
      </w:r>
      <w:r w:rsidR="006D228A" w:rsidRPr="00EA6C7A">
        <w:rPr>
          <w:lang w:val="en-US"/>
        </w:rPr>
        <w:t xml:space="preserve"> </w:t>
      </w:r>
      <w:r w:rsidR="00940342" w:rsidRPr="00EA6C7A">
        <w:rPr>
          <w:lang w:val="en-US"/>
        </w:rPr>
        <w:t>establishes, as it has in other cases,</w:t>
      </w:r>
      <w:r w:rsidR="006D228A" w:rsidRPr="00EA6C7A">
        <w:rPr>
          <w:rFonts w:cs="Verdana"/>
          <w:sz w:val="16"/>
          <w:szCs w:val="16"/>
          <w:vertAlign w:val="superscript"/>
        </w:rPr>
        <w:footnoteReference w:id="326"/>
      </w:r>
      <w:r w:rsidR="006D228A" w:rsidRPr="00EA6C7A">
        <w:rPr>
          <w:lang w:val="en-US"/>
        </w:rPr>
        <w:t xml:space="preserve"> </w:t>
      </w:r>
      <w:r w:rsidR="00940342" w:rsidRPr="00EA6C7A">
        <w:rPr>
          <w:lang w:val="en-US"/>
        </w:rPr>
        <w:t>that</w:t>
      </w:r>
      <w:r w:rsidR="006D228A" w:rsidRPr="00EA6C7A">
        <w:rPr>
          <w:lang w:val="en-US"/>
        </w:rPr>
        <w:t xml:space="preserve"> </w:t>
      </w:r>
      <w:r w:rsidR="002F3848" w:rsidRPr="00EA6C7A">
        <w:rPr>
          <w:lang w:val="en-US"/>
        </w:rPr>
        <w:t>the State</w:t>
      </w:r>
      <w:r w:rsidR="006D228A" w:rsidRPr="00EA6C7A">
        <w:rPr>
          <w:lang w:val="en-US"/>
        </w:rPr>
        <w:t xml:space="preserve"> </w:t>
      </w:r>
      <w:r w:rsidR="00940342" w:rsidRPr="00EA6C7A">
        <w:rPr>
          <w:lang w:val="en-US"/>
        </w:rPr>
        <w:t>sh</w:t>
      </w:r>
      <w:r w:rsidR="009F64FF" w:rsidRPr="00EA6C7A">
        <w:rPr>
          <w:lang w:val="en-US"/>
        </w:rPr>
        <w:t>all</w:t>
      </w:r>
      <w:r w:rsidR="00940342" w:rsidRPr="00EA6C7A">
        <w:rPr>
          <w:lang w:val="en-US"/>
        </w:rPr>
        <w:t xml:space="preserve"> publish, within six months of notification of this judgment</w:t>
      </w:r>
      <w:r w:rsidR="006D228A" w:rsidRPr="00EA6C7A">
        <w:rPr>
          <w:lang w:val="en-US"/>
        </w:rPr>
        <w:t xml:space="preserve">: </w:t>
      </w:r>
      <w:r w:rsidR="00940342" w:rsidRPr="00EA6C7A">
        <w:rPr>
          <w:lang w:val="en-US"/>
        </w:rPr>
        <w:t>(</w:t>
      </w:r>
      <w:r w:rsidR="006D228A" w:rsidRPr="00EA6C7A">
        <w:rPr>
          <w:lang w:val="en-US"/>
        </w:rPr>
        <w:t xml:space="preserve">a) </w:t>
      </w:r>
      <w:r w:rsidR="00940342" w:rsidRPr="00EA6C7A">
        <w:rPr>
          <w:lang w:val="en-US"/>
        </w:rPr>
        <w:t xml:space="preserve">the official summary of this judgment prepared by </w:t>
      </w:r>
      <w:r w:rsidRPr="00EA6C7A">
        <w:rPr>
          <w:lang w:val="en-US"/>
        </w:rPr>
        <w:t>the Court</w:t>
      </w:r>
      <w:r w:rsidR="006D228A" w:rsidRPr="00EA6C7A">
        <w:rPr>
          <w:lang w:val="en-US"/>
        </w:rPr>
        <w:t xml:space="preserve">, </w:t>
      </w:r>
      <w:r w:rsidR="00940342" w:rsidRPr="00EA6C7A">
        <w:rPr>
          <w:lang w:val="en-US"/>
        </w:rPr>
        <w:t xml:space="preserve">once, in the official gazette; (b) the official summary of this judgment prepared by the Court, once, in a national newspaper with widespread circulation in Guatemala, and (c) this judgment in its entirety, available for at least one year, on an official website </w:t>
      </w:r>
      <w:r w:rsidR="003E2012" w:rsidRPr="00EA6C7A">
        <w:rPr>
          <w:lang w:val="en-US"/>
        </w:rPr>
        <w:t>of the Public</w:t>
      </w:r>
      <w:r w:rsidR="00B3248B" w:rsidRPr="00EA6C7A">
        <w:rPr>
          <w:lang w:val="en-US"/>
        </w:rPr>
        <w:t xml:space="preserve"> Prosecution Service</w:t>
      </w:r>
      <w:r w:rsidR="006D228A" w:rsidRPr="00EA6C7A">
        <w:rPr>
          <w:lang w:val="en-US"/>
        </w:rPr>
        <w:t xml:space="preserve">, </w:t>
      </w:r>
      <w:r w:rsidR="00940342" w:rsidRPr="00EA6C7A">
        <w:rPr>
          <w:lang w:val="en-US"/>
        </w:rPr>
        <w:t xml:space="preserve"> well as on official websites of the Judiciary and </w:t>
      </w:r>
      <w:r w:rsidR="000B3E6E" w:rsidRPr="00EA6C7A">
        <w:rPr>
          <w:lang w:val="en-US"/>
        </w:rPr>
        <w:t>the National Civil Police</w:t>
      </w:r>
      <w:r w:rsidR="006D228A" w:rsidRPr="00EA6C7A">
        <w:rPr>
          <w:lang w:val="en-US"/>
        </w:rPr>
        <w:t xml:space="preserve"> </w:t>
      </w:r>
      <w:r w:rsidR="00940342" w:rsidRPr="00EA6C7A">
        <w:rPr>
          <w:lang w:val="en-US"/>
        </w:rPr>
        <w:t>of</w:t>
      </w:r>
      <w:r w:rsidR="006D228A" w:rsidRPr="00EA6C7A">
        <w:rPr>
          <w:lang w:val="en-US"/>
        </w:rPr>
        <w:t xml:space="preserve"> Guatemala.</w:t>
      </w:r>
    </w:p>
    <w:p w14:paraId="798E63D5" w14:textId="77777777" w:rsidR="006D228A" w:rsidRPr="00EA6C7A" w:rsidRDefault="006D228A" w:rsidP="006D228A">
      <w:pPr>
        <w:autoSpaceDE w:val="0"/>
        <w:autoSpaceDN w:val="0"/>
        <w:adjustRightInd w:val="0"/>
        <w:spacing w:after="0" w:line="240" w:lineRule="auto"/>
        <w:contextualSpacing/>
        <w:jc w:val="both"/>
        <w:rPr>
          <w:rFonts w:ascii="Verdana" w:eastAsia="Calibri" w:hAnsi="Verdana"/>
          <w:sz w:val="20"/>
          <w:szCs w:val="20"/>
          <w:lang w:val="en-US"/>
        </w:rPr>
      </w:pPr>
    </w:p>
    <w:p w14:paraId="6698C97A" w14:textId="77777777" w:rsidR="006D228A" w:rsidRPr="00EA6C7A" w:rsidRDefault="006D228A" w:rsidP="006D228A">
      <w:pPr>
        <w:pStyle w:val="Sentencia3"/>
        <w:rPr>
          <w:rFonts w:eastAsia="Calibri"/>
          <w:lang w:val="en-US"/>
        </w:rPr>
      </w:pPr>
      <w:bookmarkStart w:id="103" w:name="_Toc26002337"/>
      <w:r w:rsidRPr="00EA6C7A">
        <w:rPr>
          <w:rFonts w:eastAsia="Calibri"/>
          <w:lang w:val="en-US"/>
        </w:rPr>
        <w:t xml:space="preserve">C.2.2. </w:t>
      </w:r>
      <w:r w:rsidR="00940342" w:rsidRPr="00EA6C7A">
        <w:rPr>
          <w:rFonts w:eastAsia="Calibri"/>
          <w:lang w:val="en-US"/>
        </w:rPr>
        <w:t>Public act to acknowledge international responsibility</w:t>
      </w:r>
      <w:bookmarkEnd w:id="103"/>
    </w:p>
    <w:p w14:paraId="0E764B21" w14:textId="77777777" w:rsidR="006D228A" w:rsidRPr="00EA6C7A" w:rsidRDefault="006D228A" w:rsidP="006D228A">
      <w:pPr>
        <w:autoSpaceDE w:val="0"/>
        <w:autoSpaceDN w:val="0"/>
        <w:adjustRightInd w:val="0"/>
        <w:spacing w:after="0" w:line="240" w:lineRule="auto"/>
        <w:contextualSpacing/>
        <w:jc w:val="both"/>
        <w:rPr>
          <w:rFonts w:ascii="Verdana" w:eastAsia="Calibri" w:hAnsi="Verdana"/>
          <w:sz w:val="20"/>
          <w:szCs w:val="20"/>
          <w:lang w:val="en-US"/>
        </w:rPr>
      </w:pPr>
    </w:p>
    <w:p w14:paraId="6B2CE37D" w14:textId="77777777" w:rsidR="006D228A" w:rsidRPr="00EA6C7A" w:rsidRDefault="009D39CD" w:rsidP="00077D21">
      <w:pPr>
        <w:pStyle w:val="PrrafodeSentencia"/>
        <w:rPr>
          <w:lang w:val="en-US"/>
        </w:rPr>
      </w:pPr>
      <w:r w:rsidRPr="00EA6C7A">
        <w:rPr>
          <w:lang w:val="en-US"/>
        </w:rPr>
        <w:lastRenderedPageBreak/>
        <w:t>The</w:t>
      </w:r>
      <w:r w:rsidR="0096418F" w:rsidRPr="00EA6C7A">
        <w:rPr>
          <w:b/>
          <w:bCs/>
          <w:i/>
          <w:iCs/>
          <w:lang w:val="en-US"/>
        </w:rPr>
        <w:t xml:space="preserve"> Commission</w:t>
      </w:r>
      <w:r w:rsidR="006D228A" w:rsidRPr="00EA6C7A">
        <w:rPr>
          <w:lang w:val="en-US"/>
        </w:rPr>
        <w:t xml:space="preserve"> </w:t>
      </w:r>
      <w:r w:rsidR="0019641E" w:rsidRPr="00EA6C7A">
        <w:rPr>
          <w:lang w:val="en-US"/>
        </w:rPr>
        <w:t>did not present any specific arguments on this point</w:t>
      </w:r>
      <w:r w:rsidR="006D228A" w:rsidRPr="00EA6C7A">
        <w:rPr>
          <w:lang w:val="en-US"/>
        </w:rPr>
        <w:t xml:space="preserve">. </w:t>
      </w:r>
      <w:r w:rsidRPr="00EA6C7A">
        <w:rPr>
          <w:lang w:val="en-US"/>
        </w:rPr>
        <w:t>The</w:t>
      </w:r>
      <w:r w:rsidRPr="00EA6C7A">
        <w:rPr>
          <w:b/>
          <w:bCs/>
          <w:i/>
          <w:iCs/>
          <w:lang w:val="en-US"/>
        </w:rPr>
        <w:t xml:space="preserve"> </w:t>
      </w:r>
      <w:r w:rsidR="00E43A75" w:rsidRPr="00EA6C7A">
        <w:rPr>
          <w:b/>
          <w:bCs/>
          <w:i/>
          <w:iCs/>
          <w:lang w:val="en-US"/>
        </w:rPr>
        <w:t>representatives</w:t>
      </w:r>
      <w:r w:rsidR="006D228A" w:rsidRPr="00EA6C7A">
        <w:rPr>
          <w:b/>
          <w:bCs/>
          <w:i/>
          <w:iCs/>
          <w:lang w:val="en-US"/>
        </w:rPr>
        <w:t xml:space="preserve"> </w:t>
      </w:r>
      <w:r w:rsidR="0019641E" w:rsidRPr="00EA6C7A">
        <w:rPr>
          <w:lang w:val="en-US"/>
        </w:rPr>
        <w:t>asked</w:t>
      </w:r>
      <w:r w:rsidR="006D228A" w:rsidRPr="00EA6C7A">
        <w:rPr>
          <w:lang w:val="en-US"/>
        </w:rPr>
        <w:t xml:space="preserve"> </w:t>
      </w:r>
      <w:r w:rsidR="0096418F" w:rsidRPr="00EA6C7A">
        <w:rPr>
          <w:lang w:val="en-US"/>
        </w:rPr>
        <w:t>the Court</w:t>
      </w:r>
      <w:r w:rsidR="006D228A" w:rsidRPr="00EA6C7A">
        <w:rPr>
          <w:lang w:val="en-US"/>
        </w:rPr>
        <w:t xml:space="preserve"> </w:t>
      </w:r>
      <w:r w:rsidR="0019641E" w:rsidRPr="00EA6C7A">
        <w:rPr>
          <w:lang w:val="en-US"/>
        </w:rPr>
        <w:t>to order</w:t>
      </w:r>
      <w:r w:rsidR="00E43A75" w:rsidRPr="00EA6C7A">
        <w:rPr>
          <w:lang w:val="en-US"/>
        </w:rPr>
        <w:t xml:space="preserve"> the State</w:t>
      </w:r>
      <w:r w:rsidR="006D228A" w:rsidRPr="00EA6C7A">
        <w:rPr>
          <w:lang w:val="en-US"/>
        </w:rPr>
        <w:t xml:space="preserve"> </w:t>
      </w:r>
      <w:r w:rsidR="0019641E" w:rsidRPr="00EA6C7A">
        <w:rPr>
          <w:lang w:val="en-US"/>
        </w:rPr>
        <w:t>to organize a public act to acknowledge international responsibility for the facts of this case and to</w:t>
      </w:r>
      <w:r w:rsidR="009F64FF" w:rsidRPr="00EA6C7A">
        <w:rPr>
          <w:lang w:val="en-US"/>
        </w:rPr>
        <w:t xml:space="preserve"> hold it within one year of notification of the judgment</w:t>
      </w:r>
      <w:r w:rsidR="006D228A" w:rsidRPr="00EA6C7A">
        <w:rPr>
          <w:lang w:val="en-US"/>
        </w:rPr>
        <w:t xml:space="preserve">. </w:t>
      </w:r>
      <w:r w:rsidR="009F64FF" w:rsidRPr="00EA6C7A">
        <w:rPr>
          <w:lang w:val="en-US"/>
        </w:rPr>
        <w:t xml:space="preserve">The implementation of this public ceremony </w:t>
      </w:r>
      <w:r w:rsidRPr="00EA6C7A">
        <w:rPr>
          <w:lang w:val="en-US"/>
        </w:rPr>
        <w:t xml:space="preserve">and other details </w:t>
      </w:r>
      <w:r w:rsidR="009F64FF" w:rsidRPr="00EA6C7A">
        <w:rPr>
          <w:lang w:val="en-US"/>
        </w:rPr>
        <w:t>should be previously and duly consulted with</w:t>
      </w:r>
      <w:r w:rsidR="006D228A" w:rsidRPr="00EA6C7A">
        <w:rPr>
          <w:lang w:val="en-US"/>
        </w:rPr>
        <w:t xml:space="preserve"> </w:t>
      </w:r>
      <w:r w:rsidR="00123BD3" w:rsidRPr="00EA6C7A">
        <w:rPr>
          <w:lang w:val="en-US"/>
        </w:rPr>
        <w:t>the next of kin of</w:t>
      </w:r>
      <w:r w:rsidR="006D228A" w:rsidRPr="00EA6C7A">
        <w:rPr>
          <w:lang w:val="en-US"/>
        </w:rPr>
        <w:t xml:space="preserve"> Claudina Velásquez,</w:t>
      </w:r>
      <w:r w:rsidR="00D948A1" w:rsidRPr="00EA6C7A">
        <w:rPr>
          <w:lang w:val="en-US"/>
        </w:rPr>
        <w:t xml:space="preserve"> and</w:t>
      </w:r>
      <w:r w:rsidR="009F64FF" w:rsidRPr="00EA6C7A">
        <w:rPr>
          <w:lang w:val="en-US"/>
        </w:rPr>
        <w:t xml:space="preserve"> senior representatives of the Guatemalan Judiciary must take part in it.</w:t>
      </w:r>
    </w:p>
    <w:p w14:paraId="34201C96"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4EF568CE" w14:textId="77777777" w:rsidR="006D228A" w:rsidRPr="00EA6C7A" w:rsidRDefault="009D39CD" w:rsidP="00077D21">
      <w:pPr>
        <w:pStyle w:val="PrrafodeSentencia"/>
        <w:rPr>
          <w:lang w:val="en-US"/>
        </w:rPr>
      </w:pPr>
      <w:r w:rsidRPr="00EA6C7A">
        <w:rPr>
          <w:lang w:val="en-US"/>
        </w:rPr>
        <w:t>The</w:t>
      </w:r>
      <w:r w:rsidRPr="00EA6C7A">
        <w:rPr>
          <w:b/>
          <w:bCs/>
          <w:i/>
          <w:iCs/>
          <w:lang w:val="en-US"/>
        </w:rPr>
        <w:t xml:space="preserve"> </w:t>
      </w:r>
      <w:r w:rsidR="002F3848" w:rsidRPr="00EA6C7A">
        <w:rPr>
          <w:b/>
          <w:bCs/>
          <w:i/>
          <w:iCs/>
          <w:lang w:val="en-US"/>
        </w:rPr>
        <w:t>State</w:t>
      </w:r>
      <w:r w:rsidR="006D228A" w:rsidRPr="00EA6C7A">
        <w:rPr>
          <w:lang w:val="en-US"/>
        </w:rPr>
        <w:t xml:space="preserve"> </w:t>
      </w:r>
      <w:r w:rsidR="009F64FF" w:rsidRPr="00EA6C7A">
        <w:rPr>
          <w:lang w:val="en-US"/>
        </w:rPr>
        <w:t>indicated that, since it did not acknowledge its international responsibility for the facts of the case, it did not accept that a public act was required in that regard.</w:t>
      </w:r>
    </w:p>
    <w:p w14:paraId="37C27729"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bookmarkStart w:id="104" w:name="_Ref248121295"/>
    </w:p>
    <w:p w14:paraId="3A622EF2" w14:textId="77777777" w:rsidR="006D228A" w:rsidRPr="00EA6C7A" w:rsidRDefault="009F64FF" w:rsidP="00077D21">
      <w:pPr>
        <w:pStyle w:val="PrrafodeSentencia"/>
        <w:rPr>
          <w:lang w:val="en-US"/>
        </w:rPr>
      </w:pPr>
      <w:r w:rsidRPr="00EA6C7A">
        <w:rPr>
          <w:lang w:val="en-US"/>
        </w:rPr>
        <w:t xml:space="preserve">The Court finds that the State </w:t>
      </w:r>
      <w:r w:rsidR="009D39CD" w:rsidRPr="00EA6C7A">
        <w:rPr>
          <w:lang w:val="en-US"/>
        </w:rPr>
        <w:t>must</w:t>
      </w:r>
      <w:r w:rsidRPr="00EA6C7A">
        <w:rPr>
          <w:lang w:val="en-US"/>
        </w:rPr>
        <w:t xml:space="preserve"> organize an act of public apology </w:t>
      </w:r>
      <w:r w:rsidR="009D39CD" w:rsidRPr="00EA6C7A">
        <w:rPr>
          <w:lang w:val="en-US"/>
        </w:rPr>
        <w:t>with regard to</w:t>
      </w:r>
      <w:r w:rsidRPr="00EA6C7A">
        <w:rPr>
          <w:lang w:val="en-US"/>
        </w:rPr>
        <w:t xml:space="preserve"> the facts of this case that occurred to </w:t>
      </w:r>
      <w:r w:rsidR="006D228A" w:rsidRPr="00EA6C7A">
        <w:rPr>
          <w:lang w:val="en-US"/>
        </w:rPr>
        <w:t>Claudina Isabel Velásquez Paiz</w:t>
      </w:r>
      <w:r w:rsidR="00D948A1" w:rsidRPr="00EA6C7A">
        <w:rPr>
          <w:lang w:val="en-US"/>
        </w:rPr>
        <w:t xml:space="preserve"> and </w:t>
      </w:r>
      <w:r w:rsidRPr="00EA6C7A">
        <w:rPr>
          <w:lang w:val="en-US"/>
        </w:rPr>
        <w:t xml:space="preserve">their subsequent investigation. During this act, the State </w:t>
      </w:r>
      <w:r w:rsidR="009D39CD" w:rsidRPr="00EA6C7A">
        <w:rPr>
          <w:lang w:val="en-US"/>
        </w:rPr>
        <w:t>must</w:t>
      </w:r>
      <w:r w:rsidRPr="00EA6C7A">
        <w:rPr>
          <w:lang w:val="en-US"/>
        </w:rPr>
        <w:t xml:space="preserve"> refer to the human rights violations declared in this judgment. The act </w:t>
      </w:r>
      <w:r w:rsidR="009D39CD" w:rsidRPr="00EA6C7A">
        <w:rPr>
          <w:lang w:val="en-US"/>
        </w:rPr>
        <w:t>must</w:t>
      </w:r>
      <w:r w:rsidRPr="00EA6C7A">
        <w:rPr>
          <w:lang w:val="en-US"/>
        </w:rPr>
        <w:t xml:space="preserve"> be held by means of a widely publicized public ceremony. The State </w:t>
      </w:r>
      <w:r w:rsidR="009D39CD" w:rsidRPr="00EA6C7A">
        <w:rPr>
          <w:lang w:val="en-US"/>
        </w:rPr>
        <w:t>must</w:t>
      </w:r>
      <w:r w:rsidRPr="00EA6C7A">
        <w:rPr>
          <w:lang w:val="en-US"/>
        </w:rPr>
        <w:t xml:space="preserve"> ensure the participation of </w:t>
      </w:r>
      <w:r w:rsidR="006D228A" w:rsidRPr="00EA6C7A">
        <w:rPr>
          <w:bCs/>
          <w:lang w:val="en-US"/>
        </w:rPr>
        <w:t>Jorge Rolando Velásquez Durán, Elsa Claudina Paiz Vidal</w:t>
      </w:r>
      <w:r w:rsidR="00D948A1" w:rsidRPr="00EA6C7A">
        <w:rPr>
          <w:bCs/>
          <w:lang w:val="en-US"/>
        </w:rPr>
        <w:t xml:space="preserve"> and </w:t>
      </w:r>
      <w:r w:rsidR="006D228A" w:rsidRPr="00EA6C7A">
        <w:rPr>
          <w:lang w:val="en-US"/>
        </w:rPr>
        <w:t xml:space="preserve">Pablo Andrés Velásquez Paiz, </w:t>
      </w:r>
      <w:r w:rsidRPr="00EA6C7A">
        <w:rPr>
          <w:lang w:val="en-US"/>
        </w:rPr>
        <w:t xml:space="preserve">if they so wish, and invite to the event the organizations that represented </w:t>
      </w:r>
      <w:r w:rsidR="006D228A" w:rsidRPr="00EA6C7A">
        <w:rPr>
          <w:lang w:val="en-US"/>
        </w:rPr>
        <w:t>Claudina Isabel Velásquez Paiz</w:t>
      </w:r>
      <w:r w:rsidRPr="00EA6C7A">
        <w:rPr>
          <w:lang w:val="en-US"/>
        </w:rPr>
        <w:t>’s family members</w:t>
      </w:r>
      <w:r w:rsidR="006D228A" w:rsidRPr="00EA6C7A">
        <w:rPr>
          <w:lang w:val="en-US"/>
        </w:rPr>
        <w:t xml:space="preserve"> </w:t>
      </w:r>
      <w:r w:rsidRPr="00EA6C7A">
        <w:rPr>
          <w:lang w:val="en-US"/>
        </w:rPr>
        <w:t xml:space="preserve">before the national and international courts. The </w:t>
      </w:r>
      <w:r w:rsidR="009D39CD" w:rsidRPr="00EA6C7A">
        <w:rPr>
          <w:lang w:val="en-US"/>
        </w:rPr>
        <w:t>organization</w:t>
      </w:r>
      <w:r w:rsidRPr="00EA6C7A">
        <w:rPr>
          <w:lang w:val="en-US"/>
        </w:rPr>
        <w:t xml:space="preserve"> and other details of this public ceremony must be previously and duly consulted with the said family members. The State authorities present or tak</w:t>
      </w:r>
      <w:r w:rsidR="009D39CD" w:rsidRPr="00EA6C7A">
        <w:rPr>
          <w:lang w:val="en-US"/>
        </w:rPr>
        <w:t>ing</w:t>
      </w:r>
      <w:r w:rsidRPr="00EA6C7A">
        <w:rPr>
          <w:lang w:val="en-US"/>
        </w:rPr>
        <w:t xml:space="preserve"> part in this act </w:t>
      </w:r>
      <w:r w:rsidR="009D39CD" w:rsidRPr="00EA6C7A">
        <w:rPr>
          <w:lang w:val="en-US"/>
        </w:rPr>
        <w:t>must</w:t>
      </w:r>
      <w:r w:rsidRPr="00EA6C7A">
        <w:rPr>
          <w:lang w:val="en-US"/>
        </w:rPr>
        <w:t xml:space="preserve"> be senior State officials. It will be for the State to define who it entrusts with this task. The State has one year from notification of this judgment to comply with this obligation</w:t>
      </w:r>
      <w:r w:rsidR="006D228A" w:rsidRPr="00EA6C7A">
        <w:rPr>
          <w:lang w:val="en-US"/>
        </w:rPr>
        <w:t>.</w:t>
      </w:r>
      <w:bookmarkEnd w:id="104"/>
      <w:r w:rsidR="006D228A" w:rsidRPr="00EA6C7A">
        <w:rPr>
          <w:lang w:val="en-US"/>
        </w:rPr>
        <w:t xml:space="preserve"> </w:t>
      </w:r>
    </w:p>
    <w:p w14:paraId="63AFC597" w14:textId="77777777" w:rsidR="006D228A" w:rsidRPr="00EA6C7A" w:rsidRDefault="006D228A" w:rsidP="006D228A">
      <w:pPr>
        <w:spacing w:after="0" w:line="240" w:lineRule="auto"/>
        <w:ind w:left="709"/>
        <w:outlineLvl w:val="1"/>
        <w:rPr>
          <w:rFonts w:ascii="Verdana" w:eastAsia="Calibri" w:hAnsi="Verdana"/>
          <w:i/>
          <w:sz w:val="20"/>
          <w:szCs w:val="20"/>
          <w:lang w:val="en-US"/>
        </w:rPr>
      </w:pPr>
    </w:p>
    <w:p w14:paraId="693C1D3A" w14:textId="77777777" w:rsidR="006D228A" w:rsidRPr="00EA6C7A" w:rsidRDefault="006D228A" w:rsidP="00C80A47">
      <w:pPr>
        <w:pStyle w:val="Sentencia3"/>
        <w:spacing w:line="240" w:lineRule="auto"/>
        <w:rPr>
          <w:rFonts w:eastAsia="Calibri"/>
          <w:iCs/>
          <w:lang w:val="en-US"/>
        </w:rPr>
      </w:pPr>
      <w:bookmarkStart w:id="105" w:name="_Toc431801397"/>
      <w:bookmarkStart w:id="106" w:name="_Toc26002338"/>
      <w:r w:rsidRPr="00EA6C7A">
        <w:rPr>
          <w:rFonts w:eastAsia="Calibri"/>
          <w:lang w:val="en-US"/>
        </w:rPr>
        <w:t xml:space="preserve">C.2.3. </w:t>
      </w:r>
      <w:r w:rsidR="009F64FF" w:rsidRPr="00EA6C7A">
        <w:rPr>
          <w:rFonts w:eastAsia="Calibri"/>
          <w:lang w:val="en-US"/>
        </w:rPr>
        <w:t>Request for funds to create the “Claudina Isabel Velásquez Paiz - Guatemala” Foundation</w:t>
      </w:r>
      <w:bookmarkEnd w:id="105"/>
      <w:bookmarkEnd w:id="106"/>
    </w:p>
    <w:p w14:paraId="423A1F13" w14:textId="77777777" w:rsidR="006D228A" w:rsidRPr="00EA6C7A" w:rsidRDefault="006D228A" w:rsidP="006D228A">
      <w:pPr>
        <w:autoSpaceDE w:val="0"/>
        <w:autoSpaceDN w:val="0"/>
        <w:adjustRightInd w:val="0"/>
        <w:spacing w:after="0" w:line="240" w:lineRule="auto"/>
        <w:jc w:val="both"/>
        <w:rPr>
          <w:rFonts w:ascii="Verdana" w:eastAsia="Calibri" w:hAnsi="Verdana"/>
          <w:sz w:val="16"/>
          <w:szCs w:val="20"/>
          <w:lang w:val="en-US"/>
        </w:rPr>
      </w:pPr>
    </w:p>
    <w:p w14:paraId="4AC6F00C" w14:textId="77777777" w:rsidR="006D228A" w:rsidRPr="00EA6C7A" w:rsidRDefault="00335EA4" w:rsidP="00077D21">
      <w:pPr>
        <w:pStyle w:val="PrrafodeSentencia"/>
        <w:rPr>
          <w:rFonts w:eastAsia="Calibri"/>
          <w:lang w:val="en-US" w:eastAsia="en-US"/>
        </w:rPr>
      </w:pPr>
      <w:r w:rsidRPr="00EA6C7A">
        <w:rPr>
          <w:lang w:val="en-US"/>
        </w:rPr>
        <w:t>The</w:t>
      </w:r>
      <w:r w:rsidR="0096418F" w:rsidRPr="00EA6C7A">
        <w:rPr>
          <w:b/>
          <w:bCs/>
          <w:i/>
          <w:iCs/>
          <w:lang w:val="en-US"/>
        </w:rPr>
        <w:t xml:space="preserve"> Commission</w:t>
      </w:r>
      <w:r w:rsidR="006D228A" w:rsidRPr="00EA6C7A">
        <w:rPr>
          <w:lang w:val="en-US"/>
        </w:rPr>
        <w:t xml:space="preserve"> </w:t>
      </w:r>
      <w:r w:rsidR="00C80A47" w:rsidRPr="00EA6C7A">
        <w:rPr>
          <w:lang w:val="en-US"/>
        </w:rPr>
        <w:t>did not present any specific arguments on this point</w:t>
      </w:r>
      <w:r w:rsidR="006D228A" w:rsidRPr="00EA6C7A">
        <w:rPr>
          <w:lang w:val="en-US"/>
        </w:rPr>
        <w:t xml:space="preserve">. </w:t>
      </w:r>
      <w:r w:rsidRPr="00EA6C7A">
        <w:rPr>
          <w:lang w:val="en-US"/>
        </w:rPr>
        <w:t>The</w:t>
      </w:r>
      <w:r w:rsidRPr="00EA6C7A">
        <w:rPr>
          <w:b/>
          <w:bCs/>
          <w:i/>
          <w:iCs/>
          <w:lang w:val="en-US"/>
        </w:rPr>
        <w:t xml:space="preserve"> </w:t>
      </w:r>
      <w:r w:rsidR="00E43A75" w:rsidRPr="00EA6C7A">
        <w:rPr>
          <w:b/>
          <w:bCs/>
          <w:i/>
          <w:iCs/>
          <w:lang w:val="en-US"/>
        </w:rPr>
        <w:t>representatives</w:t>
      </w:r>
      <w:r w:rsidR="006D228A" w:rsidRPr="00EA6C7A">
        <w:rPr>
          <w:lang w:val="en-US"/>
        </w:rPr>
        <w:t xml:space="preserve"> </w:t>
      </w:r>
      <w:r w:rsidR="00C80A47" w:rsidRPr="00EA6C7A">
        <w:rPr>
          <w:lang w:val="en-US"/>
        </w:rPr>
        <w:t>asked that, as a measure of satisfaction and dignification of</w:t>
      </w:r>
      <w:r w:rsidR="006D228A" w:rsidRPr="00EA6C7A">
        <w:rPr>
          <w:lang w:val="en-US"/>
        </w:rPr>
        <w:t xml:space="preserve"> Claudina Velásquez, </w:t>
      </w:r>
      <w:r w:rsidR="0096418F" w:rsidRPr="00EA6C7A">
        <w:rPr>
          <w:lang w:val="en-US"/>
        </w:rPr>
        <w:t>the Court</w:t>
      </w:r>
      <w:r w:rsidR="006D228A" w:rsidRPr="00EA6C7A">
        <w:rPr>
          <w:lang w:val="en-US"/>
        </w:rPr>
        <w:t xml:space="preserve"> </w:t>
      </w:r>
      <w:r w:rsidR="00C80A47" w:rsidRPr="00EA6C7A">
        <w:rPr>
          <w:lang w:val="en-US"/>
        </w:rPr>
        <w:t>require</w:t>
      </w:r>
      <w:r w:rsidR="00E43A75" w:rsidRPr="00EA6C7A">
        <w:rPr>
          <w:lang w:val="en-US"/>
        </w:rPr>
        <w:t xml:space="preserve"> the State</w:t>
      </w:r>
      <w:r w:rsidR="006D228A" w:rsidRPr="00EA6C7A">
        <w:rPr>
          <w:lang w:val="en-US"/>
        </w:rPr>
        <w:t xml:space="preserve"> </w:t>
      </w:r>
      <w:r w:rsidR="00D50E42" w:rsidRPr="00EA6C7A">
        <w:rPr>
          <w:lang w:val="en-US"/>
        </w:rPr>
        <w:t xml:space="preserve">to provide a sum of money to her family to allow them to </w:t>
      </w:r>
      <w:r w:rsidRPr="00EA6C7A">
        <w:rPr>
          <w:lang w:val="en-US"/>
        </w:rPr>
        <w:t>create</w:t>
      </w:r>
      <w:r w:rsidR="00D50E42" w:rsidRPr="00EA6C7A">
        <w:rPr>
          <w:lang w:val="en-US"/>
        </w:rPr>
        <w:t xml:space="preserve"> the </w:t>
      </w:r>
      <w:r w:rsidR="006D228A" w:rsidRPr="00EA6C7A">
        <w:rPr>
          <w:lang w:val="en-US"/>
        </w:rPr>
        <w:t>“Claudina Isabel Velásquez Paiz – Guatemala”</w:t>
      </w:r>
      <w:r w:rsidR="00D50E42" w:rsidRPr="00EA6C7A">
        <w:rPr>
          <w:lang w:val="en-US"/>
        </w:rPr>
        <w:t xml:space="preserve"> Foundation</w:t>
      </w:r>
      <w:r w:rsidR="006D228A" w:rsidRPr="00EA6C7A">
        <w:rPr>
          <w:lang w:val="en-US"/>
        </w:rPr>
        <w:t xml:space="preserve">, </w:t>
      </w:r>
      <w:r w:rsidR="00D50E42" w:rsidRPr="00EA6C7A">
        <w:rPr>
          <w:lang w:val="en-US"/>
        </w:rPr>
        <w:t>which would establish support mechanism for vulnerable population</w:t>
      </w:r>
      <w:r w:rsidRPr="00EA6C7A">
        <w:rPr>
          <w:lang w:val="en-US"/>
        </w:rPr>
        <w:t>s</w:t>
      </w:r>
      <w:r w:rsidR="00D50E42" w:rsidRPr="00EA6C7A">
        <w:rPr>
          <w:lang w:val="en-US"/>
        </w:rPr>
        <w:t xml:space="preserve">, programs for the education and training of young students in Guatemala, and </w:t>
      </w:r>
      <w:r w:rsidRPr="00EA6C7A">
        <w:rPr>
          <w:lang w:val="en-US"/>
        </w:rPr>
        <w:t xml:space="preserve">for </w:t>
      </w:r>
      <w:r w:rsidR="00D50E42" w:rsidRPr="00EA6C7A">
        <w:rPr>
          <w:lang w:val="en-US"/>
        </w:rPr>
        <w:t xml:space="preserve">divulgation of women’s rights, </w:t>
      </w:r>
      <w:r w:rsidRPr="00EA6C7A">
        <w:rPr>
          <w:lang w:val="en-US"/>
        </w:rPr>
        <w:t>including programs using the i</w:t>
      </w:r>
      <w:r w:rsidR="00D50E42" w:rsidRPr="00EA6C7A">
        <w:rPr>
          <w:lang w:val="en-US"/>
        </w:rPr>
        <w:t xml:space="preserve">nternet. The amount that the State was required to pay for this concept </w:t>
      </w:r>
      <w:r w:rsidRPr="00EA6C7A">
        <w:rPr>
          <w:lang w:val="en-US"/>
        </w:rPr>
        <w:t>sh</w:t>
      </w:r>
      <w:r w:rsidR="00D50E42" w:rsidRPr="00EA6C7A">
        <w:rPr>
          <w:lang w:val="en-US"/>
        </w:rPr>
        <w:t xml:space="preserve">ould be determined by the Court, based on equity. </w:t>
      </w:r>
      <w:r w:rsidRPr="00EA6C7A">
        <w:rPr>
          <w:lang w:val="en-US"/>
        </w:rPr>
        <w:t>The</w:t>
      </w:r>
      <w:r w:rsidR="00D50E42" w:rsidRPr="00EA6C7A">
        <w:rPr>
          <w:b/>
          <w:bCs/>
          <w:i/>
          <w:iCs/>
          <w:lang w:val="en-US"/>
        </w:rPr>
        <w:t xml:space="preserve"> State</w:t>
      </w:r>
      <w:r w:rsidR="00D50E42" w:rsidRPr="00EA6C7A">
        <w:rPr>
          <w:lang w:val="en-US"/>
        </w:rPr>
        <w:t xml:space="preserve"> opposed this and reiterated that it had not incurred responsibility with regard to the life of</w:t>
      </w:r>
      <w:r w:rsidR="00D50E42" w:rsidRPr="00EA6C7A">
        <w:rPr>
          <w:rFonts w:eastAsia="Calibri"/>
          <w:lang w:val="en-US" w:eastAsia="en-US"/>
        </w:rPr>
        <w:t xml:space="preserve"> </w:t>
      </w:r>
      <w:r w:rsidR="006D228A" w:rsidRPr="00EA6C7A">
        <w:rPr>
          <w:rFonts w:eastAsia="Calibri"/>
          <w:lang w:val="en-US" w:eastAsia="en-US"/>
        </w:rPr>
        <w:t xml:space="preserve">Claudina Velásquez, </w:t>
      </w:r>
      <w:r w:rsidR="00D50E42" w:rsidRPr="00EA6C7A">
        <w:rPr>
          <w:rFonts w:eastAsia="Calibri"/>
          <w:lang w:val="en-US" w:eastAsia="en-US"/>
        </w:rPr>
        <w:t>so that it would not be appropriate for the Court to establish measures of reparation “implicitly linked to this right.”</w:t>
      </w:r>
    </w:p>
    <w:p w14:paraId="4CF3D586"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4153555D" w14:textId="77777777" w:rsidR="006D228A" w:rsidRPr="00EA6C7A" w:rsidRDefault="00D50E42" w:rsidP="00077D21">
      <w:pPr>
        <w:pStyle w:val="PrrafodeSentencia"/>
        <w:rPr>
          <w:lang w:val="en-US"/>
        </w:rPr>
      </w:pPr>
      <w:r w:rsidRPr="00EA6C7A">
        <w:rPr>
          <w:lang w:val="en-US"/>
        </w:rPr>
        <w:t>In view of the other measures of reparation ordered in this judgment, the Court does not find it necessary to order this additional measure.</w:t>
      </w:r>
      <w:r w:rsidR="006D228A" w:rsidRPr="00EA6C7A">
        <w:rPr>
          <w:lang w:val="en-US"/>
        </w:rPr>
        <w:t xml:space="preserve"> </w:t>
      </w:r>
    </w:p>
    <w:p w14:paraId="34FEA8E7" w14:textId="77777777" w:rsidR="006D228A" w:rsidRPr="00EA6C7A" w:rsidRDefault="006D228A" w:rsidP="006D228A">
      <w:pPr>
        <w:spacing w:after="0" w:line="240" w:lineRule="auto"/>
        <w:ind w:left="709"/>
        <w:outlineLvl w:val="1"/>
        <w:rPr>
          <w:rFonts w:ascii="Verdana" w:eastAsia="Calibri" w:hAnsi="Verdana"/>
          <w:i/>
          <w:iCs/>
          <w:sz w:val="20"/>
          <w:szCs w:val="20"/>
          <w:lang w:val="en-US"/>
        </w:rPr>
      </w:pPr>
    </w:p>
    <w:p w14:paraId="28A270C6" w14:textId="77777777" w:rsidR="006D228A" w:rsidRPr="00EA6C7A" w:rsidRDefault="006D228A" w:rsidP="006D228A">
      <w:pPr>
        <w:pStyle w:val="Sentencia3"/>
        <w:rPr>
          <w:rFonts w:eastAsia="Calibri"/>
          <w:lang w:val="en-US"/>
        </w:rPr>
      </w:pPr>
      <w:bookmarkStart w:id="107" w:name="_Toc431801398"/>
      <w:bookmarkStart w:id="108" w:name="_Toc26002339"/>
      <w:r w:rsidRPr="00EA6C7A">
        <w:rPr>
          <w:rFonts w:eastAsia="Calibri"/>
          <w:lang w:val="en-US"/>
        </w:rPr>
        <w:t xml:space="preserve">C.3. </w:t>
      </w:r>
      <w:r w:rsidR="00CD712B" w:rsidRPr="00EA6C7A">
        <w:rPr>
          <w:rFonts w:eastAsia="Calibri"/>
          <w:lang w:val="en-US"/>
        </w:rPr>
        <w:t>Guarantees of non-repetition</w:t>
      </w:r>
      <w:bookmarkEnd w:id="107"/>
      <w:bookmarkEnd w:id="108"/>
    </w:p>
    <w:p w14:paraId="7ACD2103" w14:textId="77777777" w:rsidR="006D228A" w:rsidRPr="00EA6C7A" w:rsidRDefault="006D228A" w:rsidP="006D228A">
      <w:pPr>
        <w:autoSpaceDE w:val="0"/>
        <w:autoSpaceDN w:val="0"/>
        <w:adjustRightInd w:val="0"/>
        <w:spacing w:after="0" w:line="240" w:lineRule="auto"/>
        <w:rPr>
          <w:rFonts w:ascii="Verdana" w:hAnsi="Verdana"/>
          <w:b/>
          <w:sz w:val="20"/>
          <w:szCs w:val="20"/>
          <w:lang w:val="en-US"/>
        </w:rPr>
      </w:pPr>
    </w:p>
    <w:p w14:paraId="2A785C10" w14:textId="77777777" w:rsidR="00D50E42" w:rsidRPr="00EA6C7A" w:rsidRDefault="00335EA4" w:rsidP="00077D21">
      <w:pPr>
        <w:pStyle w:val="PrrafodeSentencia"/>
        <w:rPr>
          <w:lang w:val="en-US"/>
        </w:rPr>
      </w:pPr>
      <w:r w:rsidRPr="00EA6C7A">
        <w:rPr>
          <w:lang w:val="en-US"/>
        </w:rPr>
        <w:t>The</w:t>
      </w:r>
      <w:r w:rsidR="002F3848" w:rsidRPr="00EA6C7A">
        <w:rPr>
          <w:b/>
          <w:bCs/>
          <w:i/>
          <w:iCs/>
          <w:lang w:val="en-US"/>
        </w:rPr>
        <w:t xml:space="preserve"> State</w:t>
      </w:r>
      <w:r w:rsidR="006D228A" w:rsidRPr="00EA6C7A">
        <w:rPr>
          <w:lang w:val="en-US"/>
        </w:rPr>
        <w:t xml:space="preserve"> reiter</w:t>
      </w:r>
      <w:r w:rsidR="00D50E42" w:rsidRPr="00EA6C7A">
        <w:rPr>
          <w:lang w:val="en-US"/>
        </w:rPr>
        <w:t xml:space="preserve">ated that it was not responsible for any of the alleged violations and, consequently, it was not required to make reparation to the presumed victims. It noted that most of the reparations claimed </w:t>
      </w:r>
      <w:r w:rsidRPr="00EA6C7A">
        <w:rPr>
          <w:lang w:val="en-US"/>
        </w:rPr>
        <w:t>we</w:t>
      </w:r>
      <w:r w:rsidR="00D50E42" w:rsidRPr="00EA6C7A">
        <w:rPr>
          <w:lang w:val="en-US"/>
        </w:rPr>
        <w:t>re focused on the prevention, punishment and eradication of violence against women. In this regard, it affirmed that, in this case, it had not been proved that the incident had been motivated by the victim’s gender, and that not all crimes against women were due to the victims being women. It clarified that it had</w:t>
      </w:r>
      <w:r w:rsidRPr="00EA6C7A">
        <w:rPr>
          <w:lang w:val="en-US"/>
        </w:rPr>
        <w:t xml:space="preserve"> already</w:t>
      </w:r>
      <w:r w:rsidR="00D50E42" w:rsidRPr="00EA6C7A">
        <w:rPr>
          <w:lang w:val="en-US"/>
        </w:rPr>
        <w:t xml:space="preserve"> taken prevention and punishment </w:t>
      </w:r>
      <w:r w:rsidR="007E34D2" w:rsidRPr="00EA6C7A">
        <w:rPr>
          <w:lang w:val="en-US"/>
        </w:rPr>
        <w:t xml:space="preserve">measures with the main purpose of eradicating violence against women. Nevertheless, it </w:t>
      </w:r>
      <w:r w:rsidRPr="00EA6C7A">
        <w:rPr>
          <w:lang w:val="en-US"/>
        </w:rPr>
        <w:t>claimed</w:t>
      </w:r>
      <w:r w:rsidR="007E34D2" w:rsidRPr="00EA6C7A">
        <w:rPr>
          <w:lang w:val="en-US"/>
        </w:rPr>
        <w:t xml:space="preserve"> that the existence of patterns of human rights violations </w:t>
      </w:r>
      <w:r w:rsidRPr="00EA6C7A">
        <w:rPr>
          <w:lang w:val="en-US"/>
        </w:rPr>
        <w:t>was</w:t>
      </w:r>
      <w:r w:rsidR="007E34D2" w:rsidRPr="00EA6C7A">
        <w:rPr>
          <w:lang w:val="en-US"/>
        </w:rPr>
        <w:t xml:space="preserve"> not sufficient to declare a violation.</w:t>
      </w:r>
    </w:p>
    <w:p w14:paraId="6670A1E9" w14:textId="77777777" w:rsidR="006D228A" w:rsidRPr="00EA6C7A" w:rsidRDefault="006D228A" w:rsidP="00077D21">
      <w:pPr>
        <w:pStyle w:val="PrrafodeSentencia"/>
        <w:numPr>
          <w:ilvl w:val="0"/>
          <w:numId w:val="0"/>
        </w:numPr>
        <w:rPr>
          <w:lang w:val="en-US"/>
        </w:rPr>
      </w:pPr>
    </w:p>
    <w:p w14:paraId="0A004828" w14:textId="77777777" w:rsidR="006D228A" w:rsidRPr="00EA6C7A" w:rsidRDefault="0096418F" w:rsidP="00077D21">
      <w:pPr>
        <w:pStyle w:val="PrrafodeSentencia"/>
        <w:rPr>
          <w:lang w:val="en-US"/>
        </w:rPr>
      </w:pPr>
      <w:r w:rsidRPr="00EA6C7A">
        <w:rPr>
          <w:lang w:val="en-US"/>
        </w:rPr>
        <w:t>The Court</w:t>
      </w:r>
      <w:r w:rsidR="006D228A" w:rsidRPr="00EA6C7A">
        <w:rPr>
          <w:lang w:val="en-US"/>
        </w:rPr>
        <w:t xml:space="preserve"> </w:t>
      </w:r>
      <w:r w:rsidR="007E34D2" w:rsidRPr="00EA6C7A">
        <w:rPr>
          <w:lang w:val="en-US"/>
        </w:rPr>
        <w:t xml:space="preserve">will examine the measures requested by </w:t>
      </w:r>
      <w:r w:rsidRPr="00EA6C7A">
        <w:rPr>
          <w:lang w:val="en-US"/>
        </w:rPr>
        <w:t>the Commission</w:t>
      </w:r>
      <w:r w:rsidR="00D948A1" w:rsidRPr="00EA6C7A">
        <w:rPr>
          <w:lang w:val="en-US"/>
        </w:rPr>
        <w:t xml:space="preserve"> and </w:t>
      </w:r>
      <w:r w:rsidR="00E43A75" w:rsidRPr="00EA6C7A">
        <w:rPr>
          <w:lang w:val="en-US"/>
        </w:rPr>
        <w:t>the representatives</w:t>
      </w:r>
      <w:r w:rsidR="007E34D2" w:rsidRPr="00EA6C7A">
        <w:rPr>
          <w:lang w:val="en-US"/>
        </w:rPr>
        <w:t xml:space="preserve">, taking into account the violations declared in the chapter of this judgment on </w:t>
      </w:r>
      <w:r w:rsidR="007E34D2" w:rsidRPr="00EA6C7A">
        <w:rPr>
          <w:lang w:val="en-US"/>
        </w:rPr>
        <w:lastRenderedPageBreak/>
        <w:t>the merits. In addition, it will take into account the State’s arguments on the “prevention and punishment measures” taken in order to “eradicate violence against women.”</w:t>
      </w:r>
      <w:r w:rsidR="006D228A" w:rsidRPr="00EA6C7A">
        <w:rPr>
          <w:lang w:val="en-US"/>
        </w:rPr>
        <w:t xml:space="preserve"> </w:t>
      </w:r>
    </w:p>
    <w:p w14:paraId="47DCD835" w14:textId="77777777" w:rsidR="006D228A" w:rsidRPr="00EA6C7A" w:rsidRDefault="006D228A" w:rsidP="00077D21">
      <w:pPr>
        <w:pStyle w:val="PrrafodeSentencia"/>
        <w:numPr>
          <w:ilvl w:val="0"/>
          <w:numId w:val="0"/>
        </w:numPr>
        <w:rPr>
          <w:lang w:val="en-US"/>
        </w:rPr>
      </w:pPr>
    </w:p>
    <w:p w14:paraId="7E5F5380" w14:textId="77777777" w:rsidR="006D228A" w:rsidRPr="00EA6C7A" w:rsidRDefault="006D228A" w:rsidP="006D228A">
      <w:pPr>
        <w:pStyle w:val="Sentencia3"/>
        <w:rPr>
          <w:rFonts w:eastAsia="Calibri"/>
          <w:lang w:val="en-US"/>
        </w:rPr>
      </w:pPr>
      <w:bookmarkStart w:id="109" w:name="_Toc425327591"/>
      <w:bookmarkStart w:id="110" w:name="_Toc431801399"/>
      <w:bookmarkStart w:id="111" w:name="_Toc26002340"/>
      <w:r w:rsidRPr="00EA6C7A">
        <w:rPr>
          <w:rFonts w:eastAsia="Calibri"/>
          <w:lang w:val="en-US"/>
        </w:rPr>
        <w:t xml:space="preserve">C.3.1. </w:t>
      </w:r>
      <w:r w:rsidR="007E34D2" w:rsidRPr="00EA6C7A">
        <w:rPr>
          <w:rFonts w:eastAsia="Calibri"/>
          <w:lang w:val="en-US"/>
        </w:rPr>
        <w:t>Educational programs on</w:t>
      </w:r>
      <w:r w:rsidRPr="00EA6C7A">
        <w:rPr>
          <w:rFonts w:eastAsia="Calibri"/>
          <w:lang w:val="en-US"/>
        </w:rPr>
        <w:t xml:space="preserve"> </w:t>
      </w:r>
      <w:r w:rsidR="00B337B2" w:rsidRPr="00EA6C7A">
        <w:rPr>
          <w:rFonts w:eastAsia="Calibri"/>
          <w:lang w:val="en-US"/>
        </w:rPr>
        <w:t>non-discrimination</w:t>
      </w:r>
      <w:r w:rsidR="00D948A1" w:rsidRPr="00EA6C7A">
        <w:rPr>
          <w:rFonts w:eastAsia="Calibri"/>
          <w:lang w:val="en-US"/>
        </w:rPr>
        <w:t xml:space="preserve"> and </w:t>
      </w:r>
      <w:r w:rsidR="00C12C08" w:rsidRPr="00EA6C7A">
        <w:rPr>
          <w:rFonts w:eastAsia="Calibri"/>
          <w:lang w:val="en-US"/>
        </w:rPr>
        <w:t>violence against women</w:t>
      </w:r>
      <w:bookmarkEnd w:id="109"/>
      <w:bookmarkEnd w:id="110"/>
      <w:bookmarkEnd w:id="111"/>
    </w:p>
    <w:p w14:paraId="2A134512" w14:textId="77777777" w:rsidR="006D228A" w:rsidRPr="00EA6C7A" w:rsidRDefault="006D228A" w:rsidP="006D228A">
      <w:pPr>
        <w:spacing w:after="0" w:line="240" w:lineRule="auto"/>
        <w:jc w:val="both"/>
        <w:rPr>
          <w:rFonts w:ascii="Verdana" w:eastAsia="Calibri" w:hAnsi="Verdana"/>
          <w:sz w:val="20"/>
          <w:szCs w:val="20"/>
          <w:lang w:val="en-US"/>
        </w:rPr>
      </w:pPr>
    </w:p>
    <w:p w14:paraId="404D88D9" w14:textId="77777777" w:rsidR="006D228A" w:rsidRPr="00EA6C7A" w:rsidRDefault="00335EA4" w:rsidP="00077D21">
      <w:pPr>
        <w:pStyle w:val="PrrafodeSentencia"/>
        <w:rPr>
          <w:lang w:val="en-US"/>
        </w:rPr>
      </w:pPr>
      <w:r w:rsidRPr="00EA6C7A">
        <w:rPr>
          <w:lang w:val="en-US"/>
        </w:rPr>
        <w:t>The</w:t>
      </w:r>
      <w:r w:rsidR="0096418F" w:rsidRPr="00EA6C7A">
        <w:rPr>
          <w:b/>
          <w:bCs/>
          <w:i/>
          <w:iCs/>
          <w:lang w:val="en-US"/>
        </w:rPr>
        <w:t xml:space="preserve"> Commission</w:t>
      </w:r>
      <w:r w:rsidR="006D228A" w:rsidRPr="00EA6C7A">
        <w:rPr>
          <w:lang w:val="en-US"/>
        </w:rPr>
        <w:t xml:space="preserve"> </w:t>
      </w:r>
      <w:r w:rsidR="007E34D2" w:rsidRPr="00EA6C7A">
        <w:rPr>
          <w:lang w:val="en-US"/>
        </w:rPr>
        <w:t>asked</w:t>
      </w:r>
      <w:r w:rsidR="006D228A" w:rsidRPr="00EA6C7A">
        <w:rPr>
          <w:lang w:val="en-US"/>
        </w:rPr>
        <w:t xml:space="preserve"> </w:t>
      </w:r>
      <w:r w:rsidR="0096418F" w:rsidRPr="00EA6C7A">
        <w:rPr>
          <w:lang w:val="en-US"/>
        </w:rPr>
        <w:t>the Court</w:t>
      </w:r>
      <w:r w:rsidR="006D228A" w:rsidRPr="00EA6C7A">
        <w:rPr>
          <w:lang w:val="en-US"/>
        </w:rPr>
        <w:t xml:space="preserve"> </w:t>
      </w:r>
      <w:r w:rsidR="007E34D2" w:rsidRPr="00EA6C7A">
        <w:rPr>
          <w:lang w:val="en-US"/>
        </w:rPr>
        <w:t>to require</w:t>
      </w:r>
      <w:r w:rsidR="00E43A75" w:rsidRPr="00EA6C7A">
        <w:rPr>
          <w:lang w:val="en-US"/>
        </w:rPr>
        <w:t xml:space="preserve"> the State</w:t>
      </w:r>
      <w:r w:rsidR="006D228A" w:rsidRPr="00EA6C7A">
        <w:rPr>
          <w:lang w:val="en-US"/>
        </w:rPr>
        <w:t xml:space="preserve"> </w:t>
      </w:r>
      <w:r w:rsidR="007E34D2" w:rsidRPr="00EA6C7A">
        <w:rPr>
          <w:lang w:val="en-US"/>
        </w:rPr>
        <w:t>to introduce reforms in the State’s educational programs, starting in the early formative years</w:t>
      </w:r>
      <w:r w:rsidRPr="00EA6C7A">
        <w:rPr>
          <w:lang w:val="en-US"/>
        </w:rPr>
        <w:t>,</w:t>
      </w:r>
      <w:r w:rsidR="007E34D2" w:rsidRPr="00EA6C7A">
        <w:rPr>
          <w:lang w:val="en-US"/>
        </w:rPr>
        <w:t xml:space="preserve"> to promote respect for women as equals and </w:t>
      </w:r>
      <w:r w:rsidRPr="00EA6C7A">
        <w:rPr>
          <w:lang w:val="en-US"/>
        </w:rPr>
        <w:t>also respect for</w:t>
      </w:r>
      <w:r w:rsidR="007E34D2" w:rsidRPr="00EA6C7A">
        <w:rPr>
          <w:lang w:val="en-US"/>
        </w:rPr>
        <w:t xml:space="preserve"> their rights to non-violence and non-discrimination. Meanwhile,</w:t>
      </w:r>
      <w:r w:rsidRPr="00EA6C7A">
        <w:rPr>
          <w:lang w:val="en-US"/>
        </w:rPr>
        <w:t xml:space="preserve"> the</w:t>
      </w:r>
      <w:r w:rsidR="00E43A75" w:rsidRPr="00EA6C7A">
        <w:rPr>
          <w:b/>
          <w:bCs/>
          <w:i/>
          <w:iCs/>
          <w:lang w:val="en-US"/>
        </w:rPr>
        <w:t xml:space="preserve"> representatives</w:t>
      </w:r>
      <w:r w:rsidR="006D228A" w:rsidRPr="00EA6C7A">
        <w:rPr>
          <w:lang w:val="en-US"/>
        </w:rPr>
        <w:t xml:space="preserve"> </w:t>
      </w:r>
      <w:r w:rsidR="007E34D2" w:rsidRPr="00EA6C7A">
        <w:rPr>
          <w:lang w:val="en-US"/>
        </w:rPr>
        <w:t>asked</w:t>
      </w:r>
      <w:r w:rsidR="006D228A" w:rsidRPr="00EA6C7A">
        <w:rPr>
          <w:lang w:val="en-US"/>
        </w:rPr>
        <w:t xml:space="preserve"> </w:t>
      </w:r>
      <w:r w:rsidR="0096418F" w:rsidRPr="00EA6C7A">
        <w:rPr>
          <w:lang w:val="en-US"/>
        </w:rPr>
        <w:t>the Court</w:t>
      </w:r>
      <w:r w:rsidR="006D228A" w:rsidRPr="00EA6C7A">
        <w:rPr>
          <w:lang w:val="en-US"/>
        </w:rPr>
        <w:t xml:space="preserve"> </w:t>
      </w:r>
      <w:r w:rsidR="007E34D2" w:rsidRPr="00EA6C7A">
        <w:rPr>
          <w:lang w:val="en-US"/>
        </w:rPr>
        <w:t>to require</w:t>
      </w:r>
      <w:r w:rsidR="00E43A75" w:rsidRPr="00EA6C7A">
        <w:rPr>
          <w:lang w:val="en-US"/>
        </w:rPr>
        <w:t xml:space="preserve"> the State</w:t>
      </w:r>
      <w:r w:rsidR="006D228A" w:rsidRPr="00EA6C7A">
        <w:rPr>
          <w:lang w:val="en-US"/>
        </w:rPr>
        <w:t xml:space="preserve"> </w:t>
      </w:r>
      <w:r w:rsidR="007E34D2" w:rsidRPr="00EA6C7A">
        <w:rPr>
          <w:lang w:val="en-US"/>
        </w:rPr>
        <w:t xml:space="preserve">to establish, in the </w:t>
      </w:r>
      <w:r w:rsidR="006D228A" w:rsidRPr="00EA6C7A">
        <w:rPr>
          <w:lang w:val="en-US"/>
        </w:rPr>
        <w:t xml:space="preserve">Universidad Nacional de San Carlos de Guatemala </w:t>
      </w:r>
      <w:r w:rsidR="007E34D2" w:rsidRPr="00EA6C7A">
        <w:rPr>
          <w:lang w:val="en-US"/>
        </w:rPr>
        <w:t>and/or other public higher education establishments, a course on women’s rights entitled “</w:t>
      </w:r>
      <w:proofErr w:type="spellStart"/>
      <w:r w:rsidR="007E34D2" w:rsidRPr="00EA6C7A">
        <w:rPr>
          <w:i/>
          <w:iCs/>
          <w:lang w:val="en-US"/>
        </w:rPr>
        <w:t>Cátedra</w:t>
      </w:r>
      <w:proofErr w:type="spellEnd"/>
      <w:r w:rsidR="007E34D2" w:rsidRPr="00EA6C7A">
        <w:rPr>
          <w:i/>
          <w:iCs/>
          <w:lang w:val="en-US"/>
        </w:rPr>
        <w:t xml:space="preserve"> </w:t>
      </w:r>
      <w:proofErr w:type="spellStart"/>
      <w:r w:rsidR="007E34D2" w:rsidRPr="00EA6C7A">
        <w:rPr>
          <w:i/>
          <w:iCs/>
          <w:lang w:val="en-US"/>
        </w:rPr>
        <w:t>Claudina</w:t>
      </w:r>
      <w:proofErr w:type="spellEnd"/>
      <w:r w:rsidR="007E34D2" w:rsidRPr="00EA6C7A">
        <w:rPr>
          <w:i/>
          <w:iCs/>
          <w:lang w:val="en-US"/>
        </w:rPr>
        <w:t xml:space="preserve"> Isabel </w:t>
      </w:r>
      <w:proofErr w:type="spellStart"/>
      <w:r w:rsidR="007E34D2" w:rsidRPr="00EA6C7A">
        <w:rPr>
          <w:i/>
          <w:iCs/>
          <w:lang w:val="en-US"/>
        </w:rPr>
        <w:t>Velásquez</w:t>
      </w:r>
      <w:proofErr w:type="spellEnd"/>
      <w:r w:rsidR="007E34D2" w:rsidRPr="00EA6C7A">
        <w:rPr>
          <w:i/>
          <w:iCs/>
          <w:lang w:val="en-US"/>
        </w:rPr>
        <w:t xml:space="preserve"> Paiz</w:t>
      </w:r>
      <w:r w:rsidR="007E34D2" w:rsidRPr="00EA6C7A">
        <w:rPr>
          <w:lang w:val="en-US"/>
        </w:rPr>
        <w:t xml:space="preserve">” to honor her memory in her alma mater, and contribute to the dissemination of women’s rights in Guatemala and, thereby, to the eradication of </w:t>
      </w:r>
      <w:r w:rsidR="00C12C08" w:rsidRPr="00EA6C7A">
        <w:rPr>
          <w:lang w:val="en-US"/>
        </w:rPr>
        <w:t>violence against women</w:t>
      </w:r>
      <w:r w:rsidR="006D228A" w:rsidRPr="00EA6C7A">
        <w:rPr>
          <w:lang w:val="en-US"/>
        </w:rPr>
        <w:t xml:space="preserve">. </w:t>
      </w:r>
      <w:r w:rsidR="007E34D2" w:rsidRPr="00EA6C7A">
        <w:rPr>
          <w:lang w:val="en-US"/>
        </w:rPr>
        <w:t xml:space="preserve">The course should be offered every year starting with the academic year following </w:t>
      </w:r>
      <w:r w:rsidR="009F64FF" w:rsidRPr="00EA6C7A">
        <w:rPr>
          <w:lang w:val="en-US"/>
        </w:rPr>
        <w:t>notification of the judgment</w:t>
      </w:r>
      <w:r w:rsidR="006D228A" w:rsidRPr="00EA6C7A">
        <w:rPr>
          <w:lang w:val="en-US"/>
        </w:rPr>
        <w:t xml:space="preserve"> </w:t>
      </w:r>
      <w:r w:rsidR="007E34D2" w:rsidRPr="00EA6C7A">
        <w:rPr>
          <w:lang w:val="en-US"/>
        </w:rPr>
        <w:t>in this case.</w:t>
      </w:r>
    </w:p>
    <w:p w14:paraId="7987C758" w14:textId="77777777" w:rsidR="006D228A" w:rsidRPr="00EA6C7A" w:rsidRDefault="006D228A" w:rsidP="006D228A">
      <w:pPr>
        <w:autoSpaceDE w:val="0"/>
        <w:autoSpaceDN w:val="0"/>
        <w:adjustRightInd w:val="0"/>
        <w:spacing w:after="0" w:line="240" w:lineRule="auto"/>
        <w:contextualSpacing/>
        <w:jc w:val="both"/>
        <w:rPr>
          <w:rFonts w:ascii="Verdana" w:eastAsia="Calibri" w:hAnsi="Verdana"/>
          <w:lang w:val="en-US"/>
        </w:rPr>
      </w:pPr>
    </w:p>
    <w:p w14:paraId="68F764FD" w14:textId="77777777" w:rsidR="006D228A" w:rsidRPr="00EA6C7A" w:rsidRDefault="00335EA4" w:rsidP="00077D21">
      <w:pPr>
        <w:pStyle w:val="PrrafodeSentencia"/>
        <w:rPr>
          <w:lang w:val="en-US"/>
        </w:rPr>
      </w:pPr>
      <w:r w:rsidRPr="00EA6C7A">
        <w:rPr>
          <w:lang w:val="en-US"/>
        </w:rPr>
        <w:t>The</w:t>
      </w:r>
      <w:r w:rsidR="002F3848" w:rsidRPr="00EA6C7A">
        <w:rPr>
          <w:b/>
          <w:bCs/>
          <w:i/>
          <w:iCs/>
          <w:lang w:val="en-US"/>
        </w:rPr>
        <w:t xml:space="preserve"> State</w:t>
      </w:r>
      <w:r w:rsidR="006D228A" w:rsidRPr="00EA6C7A">
        <w:rPr>
          <w:b/>
          <w:lang w:val="en-US"/>
        </w:rPr>
        <w:t xml:space="preserve"> </w:t>
      </w:r>
      <w:r w:rsidR="005E2DFE" w:rsidRPr="00EA6C7A">
        <w:rPr>
          <w:bCs/>
          <w:lang w:val="en-US"/>
        </w:rPr>
        <w:t xml:space="preserve">indicated that its </w:t>
      </w:r>
      <w:r w:rsidR="005E2DFE" w:rsidRPr="00EA6C7A">
        <w:rPr>
          <w:lang w:val="en-US"/>
        </w:rPr>
        <w:t xml:space="preserve">educational programs “already include promotion of respect for women as equals, and also their rights.” According to Guatemala, for more than a decade, the Ministry of Education has promoted programs that have contributed to enhancing the dignity of girls and women, and cited in this regard: (1) </w:t>
      </w:r>
      <w:r w:rsidRPr="00EA6C7A">
        <w:rPr>
          <w:lang w:val="en-US"/>
        </w:rPr>
        <w:t>t</w:t>
      </w:r>
      <w:r w:rsidR="005E2DFE" w:rsidRPr="00EA6C7A">
        <w:rPr>
          <w:lang w:val="en-US"/>
        </w:rPr>
        <w:t>he program “Educating girls”; (b) the pilot project “</w:t>
      </w:r>
      <w:r w:rsidRPr="00EA6C7A">
        <w:rPr>
          <w:lang w:val="en-US"/>
        </w:rPr>
        <w:t>To e</w:t>
      </w:r>
      <w:r w:rsidR="005E2DFE" w:rsidRPr="00EA6C7A">
        <w:rPr>
          <w:lang w:val="en-US"/>
        </w:rPr>
        <w:t xml:space="preserve">ducate girls”; (c) the project “A new world for girls”; (d) the campaign “Educated girl, mother of development”; (e) the program of “Scholarships for indigenous girls in rural areas”; (f) “Global project for educating girls”; (g) the program for “Bilingual education,” and (h) the program to provide comprehensive care for children under the age of seven years. It also stressed that the design and implementation of the strategy of Comprehensive Education on Sexuality and Prevention of Violence is carried out by the General and Departmental Directorates with the support of the </w:t>
      </w:r>
      <w:r w:rsidRPr="00EA6C7A">
        <w:rPr>
          <w:lang w:val="en-US"/>
        </w:rPr>
        <w:t xml:space="preserve">Unit for </w:t>
      </w:r>
      <w:r w:rsidR="005E2DFE" w:rsidRPr="00EA6C7A">
        <w:rPr>
          <w:lang w:val="en-US"/>
        </w:rPr>
        <w:t xml:space="preserve">Gender Equity with Ethnic Relevance attached to the Educational Planning Directorate. In this regard, the State considered that the measures requested by </w:t>
      </w:r>
      <w:r w:rsidR="0096418F" w:rsidRPr="00EA6C7A">
        <w:rPr>
          <w:lang w:val="en-US"/>
        </w:rPr>
        <w:t>the Commission</w:t>
      </w:r>
      <w:r w:rsidR="00D948A1" w:rsidRPr="00EA6C7A">
        <w:rPr>
          <w:lang w:val="en-US"/>
        </w:rPr>
        <w:t xml:space="preserve"> and </w:t>
      </w:r>
      <w:r w:rsidR="00E43A75" w:rsidRPr="00EA6C7A">
        <w:rPr>
          <w:lang w:val="en-US"/>
        </w:rPr>
        <w:t>the representatives</w:t>
      </w:r>
      <w:r w:rsidR="006D228A" w:rsidRPr="00EA6C7A">
        <w:rPr>
          <w:lang w:val="en-US"/>
        </w:rPr>
        <w:t xml:space="preserve"> “</w:t>
      </w:r>
      <w:r w:rsidR="005E2DFE" w:rsidRPr="00EA6C7A">
        <w:rPr>
          <w:lang w:val="en-US"/>
        </w:rPr>
        <w:t>had already been implemented.</w:t>
      </w:r>
      <w:r w:rsidR="006D228A" w:rsidRPr="00EA6C7A">
        <w:rPr>
          <w:lang w:val="en-US"/>
        </w:rPr>
        <w:t xml:space="preserve">” </w:t>
      </w:r>
    </w:p>
    <w:p w14:paraId="75EA3F02" w14:textId="77777777" w:rsidR="006D228A" w:rsidRPr="00EA6C7A" w:rsidRDefault="006D228A" w:rsidP="006D228A">
      <w:pPr>
        <w:autoSpaceDE w:val="0"/>
        <w:autoSpaceDN w:val="0"/>
        <w:adjustRightInd w:val="0"/>
        <w:spacing w:after="0" w:line="240" w:lineRule="auto"/>
        <w:ind w:left="720"/>
        <w:contextualSpacing/>
        <w:jc w:val="both"/>
        <w:rPr>
          <w:rFonts w:ascii="Verdana" w:eastAsia="Calibri" w:hAnsi="Verdana"/>
          <w:lang w:val="en-US"/>
        </w:rPr>
      </w:pPr>
    </w:p>
    <w:p w14:paraId="36802EA8" w14:textId="77777777" w:rsidR="006D228A" w:rsidRPr="00EA6C7A" w:rsidRDefault="0096418F" w:rsidP="00077D21">
      <w:pPr>
        <w:pStyle w:val="PrrafodeSentencia"/>
        <w:rPr>
          <w:rFonts w:eastAsia="Calibri"/>
          <w:lang w:val="en-US"/>
        </w:rPr>
      </w:pPr>
      <w:r w:rsidRPr="00EA6C7A">
        <w:rPr>
          <w:lang w:val="en-US"/>
        </w:rPr>
        <w:t>The Court</w:t>
      </w:r>
      <w:r w:rsidR="006D228A" w:rsidRPr="00EA6C7A">
        <w:rPr>
          <w:lang w:val="en-US"/>
        </w:rPr>
        <w:t xml:space="preserve"> </w:t>
      </w:r>
      <w:r w:rsidR="00851090" w:rsidRPr="00EA6C7A">
        <w:rPr>
          <w:lang w:val="en-US"/>
        </w:rPr>
        <w:t xml:space="preserve">has verified that the facts of this case occurred in a context of an </w:t>
      </w:r>
      <w:r w:rsidR="00AD1D9E" w:rsidRPr="00EA6C7A">
        <w:rPr>
          <w:lang w:val="en-US"/>
        </w:rPr>
        <w:t xml:space="preserve">escalation of </w:t>
      </w:r>
      <w:r w:rsidR="00812408" w:rsidRPr="00EA6C7A">
        <w:rPr>
          <w:lang w:val="en-US"/>
        </w:rPr>
        <w:t>homicidal violence</w:t>
      </w:r>
      <w:r w:rsidR="006D228A" w:rsidRPr="00EA6C7A">
        <w:rPr>
          <w:lang w:val="en-US"/>
        </w:rPr>
        <w:t xml:space="preserve"> </w:t>
      </w:r>
      <w:r w:rsidR="00851090" w:rsidRPr="00EA6C7A">
        <w:rPr>
          <w:lang w:val="en-US"/>
        </w:rPr>
        <w:t>against women</w:t>
      </w:r>
      <w:r w:rsidR="00FC7D3B" w:rsidRPr="00EA6C7A">
        <w:rPr>
          <w:lang w:val="en-US"/>
        </w:rPr>
        <w:t xml:space="preserve"> in Guatemala</w:t>
      </w:r>
      <w:r w:rsidR="006D228A" w:rsidRPr="00EA6C7A">
        <w:rPr>
          <w:lang w:val="en-US"/>
        </w:rPr>
        <w:t xml:space="preserve">, </w:t>
      </w:r>
      <w:r w:rsidR="00851090" w:rsidRPr="00EA6C7A">
        <w:rPr>
          <w:lang w:val="en-US"/>
        </w:rPr>
        <w:t xml:space="preserve">that the levels of such violence continue to be elevated and that there has even been an increase in the level of violence against women and the cruelty </w:t>
      </w:r>
      <w:r w:rsidR="00A204AD" w:rsidRPr="00EA6C7A">
        <w:rPr>
          <w:lang w:val="en-US"/>
        </w:rPr>
        <w:t>inflicted</w:t>
      </w:r>
      <w:r w:rsidR="00851090" w:rsidRPr="00EA6C7A">
        <w:rPr>
          <w:lang w:val="en-US"/>
        </w:rPr>
        <w:t xml:space="preserve"> on the bodies of many of the victims</w:t>
      </w:r>
      <w:r w:rsidR="006D228A" w:rsidRPr="00EA6C7A">
        <w:rPr>
          <w:lang w:val="en-US"/>
        </w:rPr>
        <w:t xml:space="preserve"> (</w:t>
      </w:r>
      <w:r w:rsidR="006D228A" w:rsidRPr="00EA6C7A">
        <w:rPr>
          <w:i/>
          <w:lang w:val="en-US"/>
        </w:rPr>
        <w:t xml:space="preserve">supra </w:t>
      </w:r>
      <w:r w:rsidR="008524CB" w:rsidRPr="00EA6C7A">
        <w:rPr>
          <w:lang w:val="en-US"/>
        </w:rPr>
        <w:t>paras.</w:t>
      </w:r>
      <w:r w:rsidR="006D228A" w:rsidRPr="00EA6C7A">
        <w:rPr>
          <w:lang w:val="en-US"/>
        </w:rPr>
        <w:t xml:space="preserve"> 45</w:t>
      </w:r>
      <w:r w:rsidR="00D948A1" w:rsidRPr="00EA6C7A">
        <w:rPr>
          <w:lang w:val="en-US"/>
        </w:rPr>
        <w:t xml:space="preserve"> and </w:t>
      </w:r>
      <w:r w:rsidR="006D228A" w:rsidRPr="00EA6C7A">
        <w:rPr>
          <w:lang w:val="en-US"/>
        </w:rPr>
        <w:t xml:space="preserve">48). </w:t>
      </w:r>
      <w:r w:rsidR="0001012D" w:rsidRPr="00EA6C7A">
        <w:rPr>
          <w:lang w:val="en-US"/>
        </w:rPr>
        <w:t>When</w:t>
      </w:r>
      <w:r w:rsidR="00851090" w:rsidRPr="00EA6C7A">
        <w:rPr>
          <w:lang w:val="en-US"/>
        </w:rPr>
        <w:t xml:space="preserve"> this type of situation</w:t>
      </w:r>
      <w:r w:rsidR="0001012D" w:rsidRPr="00EA6C7A">
        <w:rPr>
          <w:lang w:val="en-US"/>
        </w:rPr>
        <w:t xml:space="preserve"> exists</w:t>
      </w:r>
      <w:r w:rsidR="00851090" w:rsidRPr="00EA6C7A">
        <w:rPr>
          <w:lang w:val="en-US"/>
        </w:rPr>
        <w:t>, the Court has ordered the i</w:t>
      </w:r>
      <w:r w:rsidR="00B11899" w:rsidRPr="00EA6C7A">
        <w:rPr>
          <w:lang w:val="en-US"/>
        </w:rPr>
        <w:t>mplementation</w:t>
      </w:r>
      <w:r w:rsidR="006D228A" w:rsidRPr="00EA6C7A">
        <w:rPr>
          <w:lang w:val="en-US"/>
        </w:rPr>
        <w:t xml:space="preserve"> </w:t>
      </w:r>
      <w:r w:rsidR="00851090" w:rsidRPr="00EA6C7A">
        <w:rPr>
          <w:lang w:val="en-US"/>
        </w:rPr>
        <w:t>of educational programs addressed at the general population to overcome discrimination against women.</w:t>
      </w:r>
      <w:r w:rsidR="006D228A" w:rsidRPr="00EA6C7A">
        <w:rPr>
          <w:rFonts w:cs="Verdana"/>
          <w:vertAlign w:val="superscript"/>
        </w:rPr>
        <w:footnoteReference w:id="327"/>
      </w:r>
      <w:r w:rsidR="006D228A" w:rsidRPr="00EA6C7A">
        <w:rPr>
          <w:rFonts w:eastAsia="Calibri"/>
          <w:lang w:val="en-US"/>
        </w:rPr>
        <w:t xml:space="preserve"> </w:t>
      </w:r>
    </w:p>
    <w:p w14:paraId="6E8AB17B" w14:textId="77777777" w:rsidR="006D228A" w:rsidRPr="00EA6C7A" w:rsidRDefault="006D228A" w:rsidP="00077D21">
      <w:pPr>
        <w:pStyle w:val="PrrafodeSentencia"/>
        <w:numPr>
          <w:ilvl w:val="0"/>
          <w:numId w:val="0"/>
        </w:numPr>
        <w:ind w:left="360"/>
        <w:rPr>
          <w:lang w:val="en-US"/>
        </w:rPr>
      </w:pPr>
    </w:p>
    <w:p w14:paraId="59C79C57" w14:textId="77777777" w:rsidR="006D228A" w:rsidRPr="00EA6C7A" w:rsidRDefault="00851090" w:rsidP="00077D21">
      <w:pPr>
        <w:pStyle w:val="PrrafodeSentencia"/>
        <w:rPr>
          <w:lang w:val="en-US"/>
        </w:rPr>
      </w:pPr>
      <w:r w:rsidRPr="00EA6C7A">
        <w:rPr>
          <w:lang w:val="en-US"/>
        </w:rPr>
        <w:t>Even though</w:t>
      </w:r>
      <w:r w:rsidR="006D228A" w:rsidRPr="00EA6C7A">
        <w:rPr>
          <w:lang w:val="en-US"/>
        </w:rPr>
        <w:t xml:space="preserve"> Guatemala ha</w:t>
      </w:r>
      <w:r w:rsidRPr="00EA6C7A">
        <w:rPr>
          <w:lang w:val="en-US"/>
        </w:rPr>
        <w:t xml:space="preserve">s indicated that it already has educational programs </w:t>
      </w:r>
      <w:r w:rsidR="0001012D" w:rsidRPr="00EA6C7A">
        <w:rPr>
          <w:lang w:val="en-US"/>
        </w:rPr>
        <w:t>to</w:t>
      </w:r>
      <w:r w:rsidRPr="00EA6C7A">
        <w:rPr>
          <w:lang w:val="en-US"/>
        </w:rPr>
        <w:t xml:space="preserve"> promot</w:t>
      </w:r>
      <w:r w:rsidR="0001012D" w:rsidRPr="00EA6C7A">
        <w:rPr>
          <w:lang w:val="en-US"/>
        </w:rPr>
        <w:t>e</w:t>
      </w:r>
      <w:r w:rsidRPr="00EA6C7A">
        <w:rPr>
          <w:lang w:val="en-US"/>
        </w:rPr>
        <w:t xml:space="preserve"> respect for women’s rights, the Court notes that, of the programs described by Guatemala, only one </w:t>
      </w:r>
      <w:r w:rsidR="00EF0A8A" w:rsidRPr="00EA6C7A">
        <w:rPr>
          <w:rFonts w:eastAsia="Calibri"/>
          <w:lang w:val="en-US"/>
        </w:rPr>
        <w:t>addresse</w:t>
      </w:r>
      <w:r w:rsidRPr="00EA6C7A">
        <w:rPr>
          <w:rFonts w:eastAsia="Calibri"/>
          <w:lang w:val="en-US"/>
        </w:rPr>
        <w:t>s the prevention of violence against women: the “strategy” for “</w:t>
      </w:r>
      <w:r w:rsidR="0001012D" w:rsidRPr="00EA6C7A">
        <w:rPr>
          <w:rFonts w:eastAsia="Calibri"/>
          <w:lang w:val="en-US"/>
        </w:rPr>
        <w:t>p</w:t>
      </w:r>
      <w:r w:rsidRPr="00EA6C7A">
        <w:rPr>
          <w:rFonts w:eastAsia="Calibri"/>
          <w:lang w:val="en-US"/>
        </w:rPr>
        <w:t xml:space="preserve">revention of </w:t>
      </w:r>
      <w:r w:rsidR="0001012D" w:rsidRPr="00EA6C7A">
        <w:rPr>
          <w:rFonts w:eastAsia="Calibri"/>
          <w:lang w:val="en-US"/>
        </w:rPr>
        <w:t>v</w:t>
      </w:r>
      <w:r w:rsidRPr="00EA6C7A">
        <w:rPr>
          <w:rFonts w:eastAsia="Calibri"/>
          <w:lang w:val="en-US"/>
        </w:rPr>
        <w:t>iolence,” presumably carried out by the</w:t>
      </w:r>
      <w:r w:rsidRPr="00EA6C7A">
        <w:rPr>
          <w:lang w:val="en-US"/>
        </w:rPr>
        <w:t xml:space="preserve"> General and Departmental Directorates with the support of the </w:t>
      </w:r>
      <w:r w:rsidR="0001012D" w:rsidRPr="00EA6C7A">
        <w:rPr>
          <w:lang w:val="en-US"/>
        </w:rPr>
        <w:t xml:space="preserve">Unit for </w:t>
      </w:r>
      <w:r w:rsidRPr="00EA6C7A">
        <w:rPr>
          <w:lang w:val="en-US"/>
        </w:rPr>
        <w:t xml:space="preserve">Gender Equity with Ethnic Relevance attached to the Educational Planning Directorate. However, the State has not provided any information on the content, scope or </w:t>
      </w:r>
      <w:r w:rsidRPr="00EA6C7A">
        <w:rPr>
          <w:rFonts w:eastAsia="Calibri"/>
          <w:lang w:val="en-US"/>
        </w:rPr>
        <w:t>i</w:t>
      </w:r>
      <w:r w:rsidR="00B11899" w:rsidRPr="00EA6C7A">
        <w:rPr>
          <w:rFonts w:eastAsia="Calibri"/>
          <w:lang w:val="en-US"/>
        </w:rPr>
        <w:t>mplementation</w:t>
      </w:r>
      <w:r w:rsidR="006D228A" w:rsidRPr="00EA6C7A">
        <w:rPr>
          <w:rFonts w:eastAsia="Calibri"/>
          <w:lang w:val="en-US"/>
        </w:rPr>
        <w:t xml:space="preserve"> </w:t>
      </w:r>
      <w:r w:rsidRPr="00EA6C7A">
        <w:rPr>
          <w:rFonts w:eastAsia="Calibri"/>
          <w:lang w:val="en-US"/>
        </w:rPr>
        <w:t>of this</w:t>
      </w:r>
      <w:r w:rsidR="006D228A" w:rsidRPr="00EA6C7A">
        <w:rPr>
          <w:rFonts w:eastAsia="Calibri"/>
          <w:lang w:val="en-US"/>
        </w:rPr>
        <w:t xml:space="preserve"> “</w:t>
      </w:r>
      <w:r w:rsidRPr="00EA6C7A">
        <w:rPr>
          <w:rFonts w:eastAsia="Calibri"/>
          <w:lang w:val="en-US"/>
        </w:rPr>
        <w:t>strategy.</w:t>
      </w:r>
      <w:r w:rsidR="006D228A" w:rsidRPr="00EA6C7A">
        <w:rPr>
          <w:rFonts w:eastAsia="Calibri"/>
          <w:lang w:val="en-US"/>
        </w:rPr>
        <w:t>”</w:t>
      </w:r>
      <w:r w:rsidRPr="00EA6C7A">
        <w:rPr>
          <w:rFonts w:eastAsia="Calibri"/>
          <w:lang w:val="en-US"/>
        </w:rPr>
        <w:t xml:space="preserve"> Consequently, bearing in mind the situation of discrimination and violence against women that has been verified, the Court requires the </w:t>
      </w:r>
      <w:r w:rsidR="00E43A75" w:rsidRPr="00EA6C7A">
        <w:rPr>
          <w:rFonts w:cs="Verdana"/>
          <w:lang w:val="en-US"/>
        </w:rPr>
        <w:t>State</w:t>
      </w:r>
      <w:r w:rsidR="006D228A" w:rsidRPr="00EA6C7A">
        <w:rPr>
          <w:rFonts w:cs="Verdana"/>
          <w:lang w:val="en-US"/>
        </w:rPr>
        <w:t xml:space="preserve">, </w:t>
      </w:r>
      <w:r w:rsidR="00AD3BCF" w:rsidRPr="00EA6C7A">
        <w:rPr>
          <w:rFonts w:cs="Verdana"/>
          <w:lang w:val="en-US"/>
        </w:rPr>
        <w:t>within a reasonable time</w:t>
      </w:r>
      <w:r w:rsidR="006D228A" w:rsidRPr="00EA6C7A">
        <w:rPr>
          <w:rFonts w:cs="Verdana"/>
          <w:lang w:val="en-US"/>
        </w:rPr>
        <w:t xml:space="preserve">, </w:t>
      </w:r>
      <w:r w:rsidRPr="00EA6C7A">
        <w:rPr>
          <w:rFonts w:cs="Verdana"/>
          <w:lang w:val="en-US"/>
        </w:rPr>
        <w:t xml:space="preserve">to incorporate into the </w:t>
      </w:r>
      <w:r w:rsidR="008C4FF3" w:rsidRPr="00EA6C7A">
        <w:rPr>
          <w:rFonts w:cs="Verdana"/>
          <w:lang w:val="en-US"/>
        </w:rPr>
        <w:t>curriculum</w:t>
      </w:r>
      <w:r w:rsidRPr="00EA6C7A">
        <w:rPr>
          <w:rFonts w:cs="Verdana"/>
          <w:lang w:val="en-US"/>
        </w:rPr>
        <w:t xml:space="preserve"> of the national education system, at all educational levels, a permanent program of education on the need to eradicate gender discrimination, gender stereotyping, and violence against women in Guatemala, in light of international law in this regard and the case law of this Court. To this end, for three years, the State </w:t>
      </w:r>
      <w:r w:rsidR="0001012D" w:rsidRPr="00EA6C7A">
        <w:rPr>
          <w:rFonts w:cs="Verdana"/>
          <w:lang w:val="en-US"/>
        </w:rPr>
        <w:t>must</w:t>
      </w:r>
      <w:r w:rsidRPr="00EA6C7A">
        <w:rPr>
          <w:rFonts w:cs="Verdana"/>
          <w:lang w:val="en-US"/>
        </w:rPr>
        <w:t xml:space="preserve"> present an annual report indicating the actions taken to this end. The Court does not </w:t>
      </w:r>
      <w:r w:rsidRPr="00EA6C7A">
        <w:rPr>
          <w:rFonts w:cs="Verdana"/>
          <w:lang w:val="en-US"/>
        </w:rPr>
        <w:lastRenderedPageBreak/>
        <w:t xml:space="preserve">find it necessary to </w:t>
      </w:r>
      <w:r w:rsidR="002A5679" w:rsidRPr="00EA6C7A">
        <w:rPr>
          <w:rFonts w:cs="Verdana"/>
          <w:lang w:val="en-US"/>
        </w:rPr>
        <w:t>require, additionally, the course o</w:t>
      </w:r>
      <w:r w:rsidR="0001012D" w:rsidRPr="00EA6C7A">
        <w:rPr>
          <w:rFonts w:cs="Verdana"/>
          <w:lang w:val="en-US"/>
        </w:rPr>
        <w:t>n</w:t>
      </w:r>
      <w:r w:rsidR="002A5679" w:rsidRPr="00EA6C7A">
        <w:rPr>
          <w:rFonts w:cs="Verdana"/>
          <w:lang w:val="en-US"/>
        </w:rPr>
        <w:t xml:space="preserve"> women’s rights requested by </w:t>
      </w:r>
      <w:r w:rsidR="00E43A75" w:rsidRPr="00EA6C7A">
        <w:rPr>
          <w:rFonts w:cs="Verdana"/>
          <w:lang w:val="en-US"/>
        </w:rPr>
        <w:t>the representatives</w:t>
      </w:r>
      <w:r w:rsidR="006D228A" w:rsidRPr="00EA6C7A">
        <w:rPr>
          <w:rFonts w:cs="Verdana"/>
          <w:lang w:val="en-US"/>
        </w:rPr>
        <w:t xml:space="preserve">. </w:t>
      </w:r>
    </w:p>
    <w:p w14:paraId="59C59BBB" w14:textId="77777777" w:rsidR="00D42BA8" w:rsidRPr="00EA6C7A" w:rsidRDefault="00D42BA8" w:rsidP="00077D21">
      <w:pPr>
        <w:pStyle w:val="PrrafodeSentencia"/>
        <w:numPr>
          <w:ilvl w:val="0"/>
          <w:numId w:val="0"/>
        </w:numPr>
        <w:rPr>
          <w:lang w:val="en-US"/>
        </w:rPr>
      </w:pPr>
    </w:p>
    <w:p w14:paraId="0CF444E1" w14:textId="77777777" w:rsidR="006D228A" w:rsidRPr="00EA6C7A" w:rsidRDefault="006D228A" w:rsidP="006D228A">
      <w:pPr>
        <w:pStyle w:val="Sentencia3"/>
        <w:rPr>
          <w:rFonts w:eastAsia="Calibri"/>
          <w:lang w:val="en-US"/>
        </w:rPr>
      </w:pPr>
      <w:bookmarkStart w:id="112" w:name="_Toc425327592"/>
      <w:bookmarkStart w:id="113" w:name="_Toc431801400"/>
      <w:bookmarkStart w:id="114" w:name="_Toc26002341"/>
      <w:r w:rsidRPr="00EA6C7A">
        <w:rPr>
          <w:rFonts w:eastAsia="Calibri"/>
          <w:lang w:val="en-US"/>
        </w:rPr>
        <w:t xml:space="preserve">C.3.2. </w:t>
      </w:r>
      <w:r w:rsidR="00D42BA8" w:rsidRPr="00EA6C7A">
        <w:rPr>
          <w:rFonts w:eastAsia="Calibri"/>
          <w:lang w:val="en-US"/>
        </w:rPr>
        <w:t xml:space="preserve">Institutional strengthening </w:t>
      </w:r>
      <w:r w:rsidR="009D4407" w:rsidRPr="00EA6C7A">
        <w:rPr>
          <w:rFonts w:eastAsia="Calibri"/>
          <w:lang w:val="en-US"/>
        </w:rPr>
        <w:t>for</w:t>
      </w:r>
      <w:r w:rsidR="00D42BA8" w:rsidRPr="00EA6C7A">
        <w:rPr>
          <w:rFonts w:eastAsia="Calibri"/>
          <w:lang w:val="en-US"/>
        </w:rPr>
        <w:t xml:space="preserve"> the investigation of cases of</w:t>
      </w:r>
      <w:r w:rsidRPr="00EA6C7A">
        <w:rPr>
          <w:rFonts w:eastAsia="Calibri"/>
          <w:lang w:val="en-US"/>
        </w:rPr>
        <w:t xml:space="preserve"> </w:t>
      </w:r>
      <w:r w:rsidR="00C12C08" w:rsidRPr="00EA6C7A">
        <w:rPr>
          <w:rFonts w:eastAsia="Calibri"/>
          <w:lang w:val="en-US"/>
        </w:rPr>
        <w:t>violence against women</w:t>
      </w:r>
      <w:bookmarkEnd w:id="112"/>
      <w:bookmarkEnd w:id="113"/>
      <w:bookmarkEnd w:id="114"/>
    </w:p>
    <w:p w14:paraId="12032D74" w14:textId="77777777" w:rsidR="006D228A" w:rsidRPr="00EA6C7A" w:rsidRDefault="006D228A" w:rsidP="006D228A">
      <w:pPr>
        <w:autoSpaceDE w:val="0"/>
        <w:autoSpaceDN w:val="0"/>
        <w:adjustRightInd w:val="0"/>
        <w:spacing w:after="0" w:line="240" w:lineRule="auto"/>
        <w:jc w:val="both"/>
        <w:rPr>
          <w:rFonts w:ascii="Verdana" w:eastAsia="Calibri" w:hAnsi="Verdana"/>
          <w:b/>
          <w:sz w:val="20"/>
          <w:szCs w:val="20"/>
          <w:lang w:val="en-US"/>
        </w:rPr>
      </w:pPr>
    </w:p>
    <w:p w14:paraId="1EF37A15" w14:textId="77777777" w:rsidR="00DD7D89" w:rsidRPr="00EA6C7A" w:rsidRDefault="0001012D" w:rsidP="00077D21">
      <w:pPr>
        <w:pStyle w:val="PrrafodeSentencia"/>
        <w:rPr>
          <w:lang w:val="en-US"/>
        </w:rPr>
      </w:pPr>
      <w:r w:rsidRPr="00EA6C7A">
        <w:rPr>
          <w:lang w:val="en-US"/>
        </w:rPr>
        <w:t>The</w:t>
      </w:r>
      <w:r w:rsidR="0096418F" w:rsidRPr="00EA6C7A">
        <w:rPr>
          <w:b/>
          <w:bCs/>
          <w:i/>
          <w:iCs/>
          <w:lang w:val="en-US"/>
        </w:rPr>
        <w:t xml:space="preserve"> Commission</w:t>
      </w:r>
      <w:r w:rsidR="006D228A" w:rsidRPr="00EA6C7A">
        <w:rPr>
          <w:b/>
          <w:i/>
          <w:lang w:val="en-US"/>
        </w:rPr>
        <w:t xml:space="preserve"> </w:t>
      </w:r>
      <w:r w:rsidR="00DD7D89" w:rsidRPr="00EA6C7A">
        <w:rPr>
          <w:lang w:val="en-US"/>
        </w:rPr>
        <w:t xml:space="preserve">requested that the State adopt and/or, as appropriate, adapt protocols </w:t>
      </w:r>
      <w:r w:rsidR="00231661" w:rsidRPr="00EA6C7A">
        <w:rPr>
          <w:lang w:val="en-US"/>
        </w:rPr>
        <w:t xml:space="preserve">for the investigations </w:t>
      </w:r>
      <w:r w:rsidR="00DD7D89" w:rsidRPr="00EA6C7A">
        <w:rPr>
          <w:lang w:val="en-US"/>
        </w:rPr>
        <w:t xml:space="preserve">and </w:t>
      </w:r>
      <w:r w:rsidR="00231661" w:rsidRPr="00EA6C7A">
        <w:rPr>
          <w:lang w:val="en-US"/>
        </w:rPr>
        <w:t xml:space="preserve">expert </w:t>
      </w:r>
      <w:r w:rsidR="00DD7D89" w:rsidRPr="00EA6C7A">
        <w:rPr>
          <w:lang w:val="en-US"/>
        </w:rPr>
        <w:t xml:space="preserve">services used in all crimes related to the disappearance, sexual violence or murder of women in accordance with international standards on such matters and with a gender perspective. It also asked that the State </w:t>
      </w:r>
      <w:r w:rsidR="00DD7D89" w:rsidRPr="00EA6C7A">
        <w:rPr>
          <w:rFonts w:cs="Arial"/>
          <w:lang w:val="en-US"/>
        </w:rPr>
        <w:t xml:space="preserve">reinforce the institutional capacity to combat impunity in cases of violence against women, through effective criminal investigations conducted with a gender perspective and with constant judicial </w:t>
      </w:r>
      <w:r w:rsidRPr="00EA6C7A">
        <w:rPr>
          <w:rFonts w:cs="Arial"/>
          <w:lang w:val="en-US"/>
        </w:rPr>
        <w:t>control</w:t>
      </w:r>
      <w:r w:rsidR="00DD7D89" w:rsidRPr="00EA6C7A">
        <w:rPr>
          <w:rFonts w:cs="Arial"/>
          <w:lang w:val="en-US"/>
        </w:rPr>
        <w:t>, thereby ensuring proper punishment and redress.</w:t>
      </w:r>
    </w:p>
    <w:p w14:paraId="7D9F4148" w14:textId="77777777" w:rsidR="006D228A" w:rsidRPr="00EA6C7A" w:rsidRDefault="006D228A" w:rsidP="006D228A">
      <w:pPr>
        <w:autoSpaceDE w:val="0"/>
        <w:autoSpaceDN w:val="0"/>
        <w:adjustRightInd w:val="0"/>
        <w:spacing w:after="0" w:line="240" w:lineRule="auto"/>
        <w:jc w:val="both"/>
        <w:rPr>
          <w:rFonts w:ascii="Verdana" w:hAnsi="Verdana" w:cs="Arial"/>
          <w:sz w:val="20"/>
          <w:szCs w:val="20"/>
          <w:lang w:val="en-US"/>
        </w:rPr>
      </w:pPr>
    </w:p>
    <w:p w14:paraId="61985633" w14:textId="77777777" w:rsidR="00231661" w:rsidRPr="00EA6C7A" w:rsidRDefault="0001012D" w:rsidP="00077D21">
      <w:pPr>
        <w:pStyle w:val="PrrafodeSentencia"/>
        <w:rPr>
          <w:b/>
          <w:lang w:val="en-US"/>
        </w:rPr>
      </w:pPr>
      <w:r w:rsidRPr="00EA6C7A">
        <w:rPr>
          <w:lang w:val="en-US"/>
        </w:rPr>
        <w:t>The</w:t>
      </w:r>
      <w:r w:rsidR="00E43A75" w:rsidRPr="00EA6C7A">
        <w:rPr>
          <w:b/>
          <w:bCs/>
          <w:i/>
          <w:iCs/>
          <w:lang w:val="en-US"/>
        </w:rPr>
        <w:t xml:space="preserve"> representatives</w:t>
      </w:r>
      <w:r w:rsidR="006D228A" w:rsidRPr="00EA6C7A">
        <w:rPr>
          <w:lang w:val="en-US"/>
        </w:rPr>
        <w:t xml:space="preserve"> </w:t>
      </w:r>
      <w:r w:rsidR="002554D2" w:rsidRPr="00EA6C7A">
        <w:rPr>
          <w:lang w:val="en-US"/>
        </w:rPr>
        <w:t>indicated that the Guatemalan system of justice continue</w:t>
      </w:r>
      <w:r w:rsidRPr="00EA6C7A">
        <w:rPr>
          <w:lang w:val="en-US"/>
        </w:rPr>
        <w:t>d</w:t>
      </w:r>
      <w:r w:rsidR="002554D2" w:rsidRPr="00EA6C7A">
        <w:rPr>
          <w:lang w:val="en-US"/>
        </w:rPr>
        <w:t xml:space="preserve"> to suffer from serious structural problems </w:t>
      </w:r>
      <w:r w:rsidRPr="00EA6C7A">
        <w:rPr>
          <w:lang w:val="en-US"/>
        </w:rPr>
        <w:t>that prevented</w:t>
      </w:r>
      <w:r w:rsidR="002554D2" w:rsidRPr="00EA6C7A">
        <w:rPr>
          <w:lang w:val="en-US"/>
        </w:rPr>
        <w:t xml:space="preserve"> the effective investigation of acts of</w:t>
      </w:r>
      <w:r w:rsidR="002554D2" w:rsidRPr="00EA6C7A">
        <w:rPr>
          <w:b/>
          <w:lang w:val="en-US"/>
        </w:rPr>
        <w:t xml:space="preserve"> </w:t>
      </w:r>
      <w:r w:rsidR="00C12C08" w:rsidRPr="00EA6C7A">
        <w:rPr>
          <w:lang w:val="en-US"/>
        </w:rPr>
        <w:t>violence against women</w:t>
      </w:r>
      <w:r w:rsidR="006D228A" w:rsidRPr="00EA6C7A">
        <w:rPr>
          <w:lang w:val="en-US"/>
        </w:rPr>
        <w:t xml:space="preserve">. </w:t>
      </w:r>
      <w:r w:rsidR="002554D2" w:rsidRPr="00EA6C7A">
        <w:rPr>
          <w:lang w:val="en-US"/>
        </w:rPr>
        <w:t xml:space="preserve">Accordingly, they asked the Court to require </w:t>
      </w:r>
      <w:r w:rsidR="00E43A75" w:rsidRPr="00EA6C7A">
        <w:rPr>
          <w:lang w:val="en-US"/>
        </w:rPr>
        <w:t>the State</w:t>
      </w:r>
      <w:r w:rsidR="006D228A" w:rsidRPr="00EA6C7A">
        <w:rPr>
          <w:lang w:val="en-US"/>
        </w:rPr>
        <w:t xml:space="preserve"> </w:t>
      </w:r>
      <w:r w:rsidR="002554D2" w:rsidRPr="00EA6C7A">
        <w:rPr>
          <w:lang w:val="en-US"/>
        </w:rPr>
        <w:t xml:space="preserve">to carry out a strategic reinforcement of the public entities that participate in the investigation and prosecution of cases of </w:t>
      </w:r>
      <w:r w:rsidR="00C12C08" w:rsidRPr="00EA6C7A">
        <w:rPr>
          <w:lang w:val="en-US"/>
        </w:rPr>
        <w:t>violence against women</w:t>
      </w:r>
      <w:r w:rsidR="006D228A" w:rsidRPr="00EA6C7A">
        <w:rPr>
          <w:lang w:val="en-US"/>
        </w:rPr>
        <w:t>, inclu</w:t>
      </w:r>
      <w:r w:rsidR="002554D2" w:rsidRPr="00EA6C7A">
        <w:rPr>
          <w:lang w:val="en-US"/>
        </w:rPr>
        <w:t xml:space="preserve">ding </w:t>
      </w:r>
      <w:r w:rsidR="003E2012" w:rsidRPr="00EA6C7A">
        <w:rPr>
          <w:lang w:val="en-US"/>
        </w:rPr>
        <w:t>the Public</w:t>
      </w:r>
      <w:r w:rsidR="00B3248B" w:rsidRPr="00EA6C7A">
        <w:rPr>
          <w:lang w:val="en-US"/>
        </w:rPr>
        <w:t xml:space="preserve"> Prosecution Service</w:t>
      </w:r>
      <w:r w:rsidR="00D948A1" w:rsidRPr="00EA6C7A">
        <w:rPr>
          <w:lang w:val="en-US"/>
        </w:rPr>
        <w:t xml:space="preserve"> and </w:t>
      </w:r>
      <w:r w:rsidR="002554D2" w:rsidRPr="00EA6C7A">
        <w:rPr>
          <w:lang w:val="en-US"/>
        </w:rPr>
        <w:t>the</w:t>
      </w:r>
      <w:r w:rsidR="006D228A" w:rsidRPr="00EA6C7A">
        <w:rPr>
          <w:lang w:val="en-US"/>
        </w:rPr>
        <w:t xml:space="preserve"> </w:t>
      </w:r>
      <w:r w:rsidR="00CA4197" w:rsidRPr="00EA6C7A">
        <w:rPr>
          <w:lang w:val="en-US"/>
        </w:rPr>
        <w:t>Guatemalan National Institute of Forensic Science</w:t>
      </w:r>
      <w:r w:rsidR="006D228A" w:rsidRPr="00EA6C7A">
        <w:rPr>
          <w:lang w:val="en-US"/>
        </w:rPr>
        <w:t xml:space="preserve"> (INACIF), </w:t>
      </w:r>
      <w:r w:rsidR="002554D2" w:rsidRPr="00EA6C7A">
        <w:rPr>
          <w:lang w:val="en-US"/>
        </w:rPr>
        <w:t>among other agencies</w:t>
      </w:r>
      <w:r w:rsidR="006D228A" w:rsidRPr="00EA6C7A">
        <w:rPr>
          <w:lang w:val="en-US"/>
        </w:rPr>
        <w:t xml:space="preserve">. </w:t>
      </w:r>
      <w:r w:rsidR="002554D2" w:rsidRPr="00EA6C7A">
        <w:rPr>
          <w:lang w:val="en-US"/>
        </w:rPr>
        <w:t>This reinforcement should also include education and training for the authorities responsible for the judicial proceedings in cases of violence against women that included a strategy to investigate patterns of violence of this type and raised awareness of the appropriate treatment of the victims of this type of incident and their families, as well as ensuring them adequate access to justice. This should also include strengthening the existing institutional and legal framework to combat femicide in Guatemala by standardizing protocols, investigation guidelines and methods, and forensic actions, as well as in the administration of justice in cases relating to</w:t>
      </w:r>
      <w:r w:rsidRPr="00EA6C7A">
        <w:rPr>
          <w:lang w:val="en-US"/>
        </w:rPr>
        <w:t xml:space="preserve"> the</w:t>
      </w:r>
      <w:r w:rsidR="002554D2" w:rsidRPr="00EA6C7A">
        <w:rPr>
          <w:lang w:val="en-US"/>
        </w:rPr>
        <w:t xml:space="preserve"> disappearance and murder of women or other types of violence against women, in light of applicable international standards. According to the representatives, the existing training and awareness-raising programs for </w:t>
      </w:r>
      <w:r w:rsidRPr="00EA6C7A">
        <w:rPr>
          <w:lang w:val="en-US"/>
        </w:rPr>
        <w:t>g</w:t>
      </w:r>
      <w:r w:rsidR="002554D2" w:rsidRPr="00EA6C7A">
        <w:rPr>
          <w:lang w:val="en-US"/>
        </w:rPr>
        <w:t>overnment agents, particularly in the legal sector and law enforcement, should be strengthened. They also indicated that</w:t>
      </w:r>
      <w:r w:rsidR="00231661" w:rsidRPr="00EA6C7A">
        <w:rPr>
          <w:lang w:val="en-US"/>
        </w:rPr>
        <w:t xml:space="preserve"> training courses on combating gender-based violence and on a gender-sensitive approach in law enforcement should be included in the training of all the agents </w:t>
      </w:r>
      <w:r w:rsidR="00D75E80" w:rsidRPr="00EA6C7A">
        <w:rPr>
          <w:lang w:val="en-US"/>
        </w:rPr>
        <w:t xml:space="preserve">of the </w:t>
      </w:r>
      <w:r w:rsidR="000B3E6E" w:rsidRPr="00EA6C7A">
        <w:rPr>
          <w:lang w:val="en-US"/>
        </w:rPr>
        <w:t>National Civil Police</w:t>
      </w:r>
      <w:r w:rsidR="00D948A1" w:rsidRPr="00EA6C7A">
        <w:rPr>
          <w:lang w:val="en-US"/>
        </w:rPr>
        <w:t xml:space="preserve"> and </w:t>
      </w:r>
      <w:r w:rsidR="00231661" w:rsidRPr="00EA6C7A">
        <w:rPr>
          <w:lang w:val="en-US"/>
        </w:rPr>
        <w:t>national defense forces. The training should include raising awareness of applicable laws, such as the Law against Femicide and the Law against Sexual Violence. They indicated that a gender-sensitive approach should be incorporated into the code of conduct for all prosecutors and other agents of justice involved in the investigation stage. Statistics on the number of trained officials in each department should be made public and complaints on misconduct by the police and other Government officials should be investigated in a complete, impartial and transparent manner.</w:t>
      </w:r>
    </w:p>
    <w:p w14:paraId="2C2FC3DC" w14:textId="77777777" w:rsidR="006D228A" w:rsidRPr="00EA6C7A" w:rsidRDefault="006D228A" w:rsidP="006D228A">
      <w:pPr>
        <w:tabs>
          <w:tab w:val="left" w:pos="2141"/>
        </w:tabs>
        <w:autoSpaceDE w:val="0"/>
        <w:autoSpaceDN w:val="0"/>
        <w:adjustRightInd w:val="0"/>
        <w:spacing w:after="0" w:line="240" w:lineRule="auto"/>
        <w:jc w:val="both"/>
        <w:rPr>
          <w:rFonts w:ascii="Verdana" w:hAnsi="Verdana" w:cs="Arial"/>
          <w:b/>
          <w:sz w:val="20"/>
          <w:szCs w:val="20"/>
          <w:lang w:val="en-US"/>
        </w:rPr>
      </w:pPr>
    </w:p>
    <w:p w14:paraId="3F79A6E3" w14:textId="77777777" w:rsidR="006D228A" w:rsidRPr="00EA6C7A" w:rsidRDefault="0001012D" w:rsidP="00077D21">
      <w:pPr>
        <w:pStyle w:val="PrrafodeSentencia"/>
        <w:rPr>
          <w:bCs/>
          <w:lang w:val="en-US"/>
        </w:rPr>
      </w:pPr>
      <w:r w:rsidRPr="00EA6C7A">
        <w:rPr>
          <w:lang w:val="en-US"/>
        </w:rPr>
        <w:t>The</w:t>
      </w:r>
      <w:r w:rsidR="002F3848" w:rsidRPr="00EA6C7A">
        <w:rPr>
          <w:b/>
          <w:bCs/>
          <w:i/>
          <w:iCs/>
          <w:lang w:val="en-US"/>
        </w:rPr>
        <w:t xml:space="preserve"> State</w:t>
      </w:r>
      <w:r w:rsidR="006D228A" w:rsidRPr="00EA6C7A">
        <w:rPr>
          <w:lang w:val="en-US"/>
        </w:rPr>
        <w:t xml:space="preserve"> </w:t>
      </w:r>
      <w:r w:rsidR="00231661" w:rsidRPr="00EA6C7A">
        <w:rPr>
          <w:lang w:val="en-US"/>
        </w:rPr>
        <w:t>indicated that programs aimed at strengthening the institutional capacity to combat impunity in cases of violence against women</w:t>
      </w:r>
      <w:r w:rsidRPr="00EA6C7A">
        <w:rPr>
          <w:lang w:val="en-US"/>
        </w:rPr>
        <w:t xml:space="preserve"> had </w:t>
      </w:r>
      <w:r w:rsidR="00231661" w:rsidRPr="00EA6C7A">
        <w:rPr>
          <w:lang w:val="en-US"/>
        </w:rPr>
        <w:t>been implemented in different institutions that participate</w:t>
      </w:r>
      <w:r w:rsidRPr="00EA6C7A">
        <w:rPr>
          <w:lang w:val="en-US"/>
        </w:rPr>
        <w:t>d</w:t>
      </w:r>
      <w:r w:rsidR="00231661" w:rsidRPr="00EA6C7A">
        <w:rPr>
          <w:lang w:val="en-US"/>
        </w:rPr>
        <w:t xml:space="preserve"> in the investigation, prosecution and punishment of such crimes. It also emphasized that the Commission had not defined the precise aspects that it considered had not been </w:t>
      </w:r>
      <w:r w:rsidRPr="00EA6C7A">
        <w:rPr>
          <w:lang w:val="en-US"/>
        </w:rPr>
        <w:t>reinforced</w:t>
      </w:r>
      <w:r w:rsidR="00231661" w:rsidRPr="00EA6C7A">
        <w:rPr>
          <w:lang w:val="en-US"/>
        </w:rPr>
        <w:t>. It indicated that it had complied with the adaptation and adjustment of protocols for the investigations and expert services used</w:t>
      </w:r>
      <w:r w:rsidR="00CB6AFD" w:rsidRPr="00EA6C7A">
        <w:rPr>
          <w:lang w:val="en-US"/>
        </w:rPr>
        <w:t xml:space="preserve"> in all crimes related to the disappearance, sexual violence or murder of women, in accordance with relevant international standards, based on a gender perspective. It also affirmed that “domestic legislation includes criminal laws for the punishment of </w:t>
      </w:r>
      <w:r w:rsidR="00FD7C5F" w:rsidRPr="00EA6C7A">
        <w:rPr>
          <w:lang w:val="en-US"/>
        </w:rPr>
        <w:t>any</w:t>
      </w:r>
      <w:r w:rsidR="00CB6AFD" w:rsidRPr="00EA6C7A">
        <w:rPr>
          <w:lang w:val="en-US"/>
        </w:rPr>
        <w:t xml:space="preserve"> perpetration of criminal acts, […] and there are specific laws aimed at dealing with situation</w:t>
      </w:r>
      <w:r w:rsidR="00FD7C5F" w:rsidRPr="00EA6C7A">
        <w:rPr>
          <w:lang w:val="en-US"/>
        </w:rPr>
        <w:t>s</w:t>
      </w:r>
      <w:r w:rsidR="00CB6AFD" w:rsidRPr="00EA6C7A">
        <w:rPr>
          <w:lang w:val="en-US"/>
        </w:rPr>
        <w:t xml:space="preserve"> of violence to which a woman could be exposed.” In particular, the State referred to the following measures and institutions</w:t>
      </w:r>
      <w:r w:rsidR="00FD7C5F" w:rsidRPr="00EA6C7A">
        <w:rPr>
          <w:lang w:val="en-US"/>
        </w:rPr>
        <w:t xml:space="preserve"> that</w:t>
      </w:r>
      <w:r w:rsidR="00CB6AFD" w:rsidRPr="00EA6C7A">
        <w:rPr>
          <w:lang w:val="en-US"/>
        </w:rPr>
        <w:t xml:space="preserve"> it considered had been strengthened: (a)</w:t>
      </w:r>
      <w:r w:rsidR="00CB6AFD" w:rsidRPr="00EA6C7A">
        <w:rPr>
          <w:bCs/>
          <w:lang w:val="en-US"/>
        </w:rPr>
        <w:t xml:space="preserve"> the </w:t>
      </w:r>
      <w:r w:rsidR="003B5D2D" w:rsidRPr="00EA6C7A">
        <w:rPr>
          <w:lang w:val="en-US"/>
        </w:rPr>
        <w:t>Ministry of the Interior</w:t>
      </w:r>
      <w:r w:rsidR="00CB6AFD" w:rsidRPr="00EA6C7A">
        <w:rPr>
          <w:lang w:val="en-US"/>
        </w:rPr>
        <w:t xml:space="preserve">, which had created the Special Task Force against Femicide; (b) the Attorney General’s Office </w:t>
      </w:r>
      <w:r w:rsidR="006D228A" w:rsidRPr="00EA6C7A">
        <w:rPr>
          <w:bCs/>
          <w:lang w:val="en-US"/>
        </w:rPr>
        <w:t>(PGN)</w:t>
      </w:r>
      <w:r w:rsidR="00CB6AFD" w:rsidRPr="00EA6C7A">
        <w:rPr>
          <w:bCs/>
          <w:lang w:val="en-US"/>
        </w:rPr>
        <w:t>, which coordinate</w:t>
      </w:r>
      <w:r w:rsidR="00FD7C5F" w:rsidRPr="00EA6C7A">
        <w:rPr>
          <w:bCs/>
          <w:lang w:val="en-US"/>
        </w:rPr>
        <w:t>d</w:t>
      </w:r>
      <w:r w:rsidR="00CB6AFD" w:rsidRPr="00EA6C7A">
        <w:rPr>
          <w:bCs/>
          <w:lang w:val="en-US"/>
        </w:rPr>
        <w:t xml:space="preserve"> the </w:t>
      </w:r>
      <w:r w:rsidR="00FD7C5F" w:rsidRPr="00EA6C7A">
        <w:rPr>
          <w:bCs/>
          <w:lang w:val="en-US"/>
        </w:rPr>
        <w:t xml:space="preserve">early </w:t>
      </w:r>
      <w:r w:rsidR="00CB6AFD" w:rsidRPr="00EA6C7A">
        <w:rPr>
          <w:bCs/>
          <w:lang w:val="en-US"/>
        </w:rPr>
        <w:t xml:space="preserve">warning system under the </w:t>
      </w:r>
      <w:r w:rsidR="006D228A" w:rsidRPr="00EA6C7A">
        <w:rPr>
          <w:bCs/>
          <w:lang w:val="en-US"/>
        </w:rPr>
        <w:t>Alba-Keneth</w:t>
      </w:r>
      <w:r w:rsidR="00CB6AFD" w:rsidRPr="00EA6C7A">
        <w:rPr>
          <w:bCs/>
          <w:lang w:val="en-US"/>
        </w:rPr>
        <w:t xml:space="preserve"> Law</w:t>
      </w:r>
      <w:r w:rsidR="00D948A1" w:rsidRPr="00EA6C7A">
        <w:rPr>
          <w:bCs/>
          <w:lang w:val="en-US"/>
        </w:rPr>
        <w:t xml:space="preserve"> and </w:t>
      </w:r>
      <w:r w:rsidR="00CB6AFD" w:rsidRPr="00EA6C7A">
        <w:rPr>
          <w:bCs/>
          <w:lang w:val="en-US"/>
        </w:rPr>
        <w:t xml:space="preserve">has a Unit for the Protection of the Rights of Women, </w:t>
      </w:r>
      <w:r w:rsidR="00CB6AFD" w:rsidRPr="00EA6C7A">
        <w:rPr>
          <w:bCs/>
          <w:lang w:val="en-US"/>
        </w:rPr>
        <w:lastRenderedPageBreak/>
        <w:t xml:space="preserve">the Elderly and People with Disabilities; (c) the Judiciary, which has had a Criminal Trial Court for crimes of femicide and other forms of violence against women since October 2012, with the Unit for Women and Gender Analysis that trains and advises Judiciary staff, and hears crimes of domestic violence and violence against women, and also </w:t>
      </w:r>
      <w:r w:rsidR="00FD7C5F" w:rsidRPr="00EA6C7A">
        <w:rPr>
          <w:bCs/>
          <w:lang w:val="en-US"/>
        </w:rPr>
        <w:t>special c</w:t>
      </w:r>
      <w:r w:rsidR="00CB6AFD" w:rsidRPr="00EA6C7A">
        <w:rPr>
          <w:bCs/>
          <w:lang w:val="en-US"/>
        </w:rPr>
        <w:t xml:space="preserve">ourts and </w:t>
      </w:r>
      <w:r w:rsidR="00FD7C5F" w:rsidRPr="00EA6C7A">
        <w:rPr>
          <w:bCs/>
          <w:lang w:val="en-US"/>
        </w:rPr>
        <w:t>t</w:t>
      </w:r>
      <w:r w:rsidR="00CB6AFD" w:rsidRPr="00EA6C7A">
        <w:rPr>
          <w:bCs/>
          <w:lang w:val="en-US"/>
        </w:rPr>
        <w:t>ribunals with jurisdiction in the area of f</w:t>
      </w:r>
      <w:r w:rsidR="006203AA" w:rsidRPr="00EA6C7A">
        <w:rPr>
          <w:bCs/>
          <w:lang w:val="en-US"/>
        </w:rPr>
        <w:t>emicide and other forms of violence against women</w:t>
      </w:r>
      <w:r w:rsidR="006D228A" w:rsidRPr="00EA6C7A">
        <w:rPr>
          <w:bCs/>
          <w:lang w:val="en-US"/>
        </w:rPr>
        <w:t xml:space="preserve"> </w:t>
      </w:r>
      <w:r w:rsidR="00CB6AFD" w:rsidRPr="00EA6C7A">
        <w:rPr>
          <w:bCs/>
          <w:lang w:val="en-US"/>
        </w:rPr>
        <w:t>created in</w:t>
      </w:r>
      <w:r w:rsidR="006D228A" w:rsidRPr="00EA6C7A">
        <w:rPr>
          <w:bCs/>
          <w:lang w:val="en-US"/>
        </w:rPr>
        <w:t xml:space="preserve"> 2010; </w:t>
      </w:r>
      <w:r w:rsidR="00CB6AFD" w:rsidRPr="00EA6C7A">
        <w:rPr>
          <w:bCs/>
          <w:lang w:val="en-US"/>
        </w:rPr>
        <w:t>(</w:t>
      </w:r>
      <w:r w:rsidR="006D228A" w:rsidRPr="00EA6C7A">
        <w:rPr>
          <w:bCs/>
          <w:lang w:val="en-US"/>
        </w:rPr>
        <w:t xml:space="preserve">d) </w:t>
      </w:r>
      <w:r w:rsidR="00CB6AFD" w:rsidRPr="00EA6C7A">
        <w:rPr>
          <w:bCs/>
          <w:lang w:val="en-US"/>
        </w:rPr>
        <w:t xml:space="preserve">the Legislature, whose working committees include the Committee for Women’s Affairs; (e) the </w:t>
      </w:r>
      <w:r w:rsidR="001B6E81" w:rsidRPr="00EA6C7A">
        <w:rPr>
          <w:bCs/>
          <w:lang w:val="en-US"/>
        </w:rPr>
        <w:t>Public Criminal Defense Institute</w:t>
      </w:r>
      <w:r w:rsidR="00D948A1" w:rsidRPr="00EA6C7A">
        <w:rPr>
          <w:bCs/>
          <w:lang w:val="en-US"/>
        </w:rPr>
        <w:t xml:space="preserve"> and </w:t>
      </w:r>
      <w:r w:rsidR="00CB6AFD" w:rsidRPr="00EA6C7A">
        <w:rPr>
          <w:bCs/>
          <w:lang w:val="en-US"/>
        </w:rPr>
        <w:t>its efforts to imp</w:t>
      </w:r>
      <w:r w:rsidR="00F16275" w:rsidRPr="00EA6C7A">
        <w:rPr>
          <w:bCs/>
          <w:lang w:val="en-US"/>
        </w:rPr>
        <w:t xml:space="preserve">lement the Program </w:t>
      </w:r>
      <w:r w:rsidR="001D1DD4" w:rsidRPr="00EA6C7A">
        <w:rPr>
          <w:bCs/>
          <w:lang w:val="en-US"/>
        </w:rPr>
        <w:t>of free legal aid</w:t>
      </w:r>
      <w:r w:rsidR="006D228A" w:rsidRPr="00EA6C7A">
        <w:rPr>
          <w:bCs/>
          <w:lang w:val="en-US"/>
        </w:rPr>
        <w:t xml:space="preserve"> </w:t>
      </w:r>
      <w:r w:rsidR="001D1DD4" w:rsidRPr="00EA6C7A">
        <w:rPr>
          <w:bCs/>
          <w:lang w:val="en-US"/>
        </w:rPr>
        <w:t>for victims of violence and their families</w:t>
      </w:r>
      <w:r w:rsidR="006D228A" w:rsidRPr="00EA6C7A">
        <w:rPr>
          <w:bCs/>
          <w:lang w:val="en-US"/>
        </w:rPr>
        <w:t xml:space="preserve">; </w:t>
      </w:r>
      <w:r w:rsidR="00F16275" w:rsidRPr="00EA6C7A">
        <w:rPr>
          <w:bCs/>
          <w:lang w:val="en-US"/>
        </w:rPr>
        <w:t>(</w:t>
      </w:r>
      <w:r w:rsidR="006D228A" w:rsidRPr="00EA6C7A">
        <w:rPr>
          <w:lang w:val="en-US"/>
        </w:rPr>
        <w:t xml:space="preserve">f) </w:t>
      </w:r>
      <w:r w:rsidR="00F16275" w:rsidRPr="00EA6C7A">
        <w:rPr>
          <w:lang w:val="en-US"/>
        </w:rPr>
        <w:t>the creation of the</w:t>
      </w:r>
      <w:r w:rsidR="006D228A" w:rsidRPr="00EA6C7A">
        <w:rPr>
          <w:lang w:val="en-US"/>
        </w:rPr>
        <w:t xml:space="preserve"> </w:t>
      </w:r>
      <w:r w:rsidR="00CA4197" w:rsidRPr="00EA6C7A">
        <w:rPr>
          <w:lang w:val="en-US"/>
        </w:rPr>
        <w:t>National Institute of Forensic Science</w:t>
      </w:r>
      <w:r w:rsidR="006D228A" w:rsidRPr="00EA6C7A">
        <w:rPr>
          <w:lang w:val="en-US"/>
        </w:rPr>
        <w:t xml:space="preserve"> (INACIF) </w:t>
      </w:r>
      <w:r w:rsidR="00F16275" w:rsidRPr="00EA6C7A">
        <w:rPr>
          <w:lang w:val="en-US"/>
        </w:rPr>
        <w:t>on</w:t>
      </w:r>
      <w:r w:rsidR="006D228A" w:rsidRPr="00EA6C7A">
        <w:rPr>
          <w:lang w:val="en-US"/>
        </w:rPr>
        <w:t xml:space="preserve"> </w:t>
      </w:r>
      <w:r w:rsidR="007B566E" w:rsidRPr="00EA6C7A">
        <w:rPr>
          <w:lang w:val="en-US"/>
        </w:rPr>
        <w:t>September</w:t>
      </w:r>
      <w:r w:rsidR="006D228A" w:rsidRPr="00EA6C7A">
        <w:rPr>
          <w:lang w:val="en-US"/>
        </w:rPr>
        <w:t xml:space="preserve"> </w:t>
      </w:r>
      <w:r w:rsidR="00F16275" w:rsidRPr="00EA6C7A">
        <w:rPr>
          <w:lang w:val="en-US"/>
        </w:rPr>
        <w:t>8,</w:t>
      </w:r>
      <w:r w:rsidR="006D228A" w:rsidRPr="00EA6C7A">
        <w:rPr>
          <w:lang w:val="en-US"/>
        </w:rPr>
        <w:t xml:space="preserve"> 2006, </w:t>
      </w:r>
      <w:r w:rsidR="00F16275" w:rsidRPr="00EA6C7A">
        <w:rPr>
          <w:lang w:val="en-US"/>
        </w:rPr>
        <w:t xml:space="preserve">which began operating on </w:t>
      </w:r>
      <w:r w:rsidR="007B566E" w:rsidRPr="00EA6C7A">
        <w:rPr>
          <w:lang w:val="en-US"/>
        </w:rPr>
        <w:t>July</w:t>
      </w:r>
      <w:r w:rsidR="006D228A" w:rsidRPr="00EA6C7A">
        <w:rPr>
          <w:lang w:val="en-US"/>
        </w:rPr>
        <w:t xml:space="preserve"> </w:t>
      </w:r>
      <w:r w:rsidR="00F16275" w:rsidRPr="00EA6C7A">
        <w:rPr>
          <w:lang w:val="en-US"/>
        </w:rPr>
        <w:t>19,</w:t>
      </w:r>
      <w:r w:rsidR="006D228A" w:rsidRPr="00EA6C7A">
        <w:rPr>
          <w:lang w:val="en-US"/>
        </w:rPr>
        <w:t xml:space="preserve"> 2007</w:t>
      </w:r>
      <w:r w:rsidR="00F16275" w:rsidRPr="00EA6C7A">
        <w:rPr>
          <w:lang w:val="en-US"/>
        </w:rPr>
        <w:t>.</w:t>
      </w:r>
      <w:r w:rsidR="006D228A" w:rsidRPr="00EA6C7A">
        <w:rPr>
          <w:rFonts w:cs="Verdana"/>
          <w:vertAlign w:val="superscript"/>
        </w:rPr>
        <w:footnoteReference w:id="328"/>
      </w:r>
      <w:r w:rsidR="00F16275" w:rsidRPr="00EA6C7A">
        <w:rPr>
          <w:lang w:val="en-US"/>
        </w:rPr>
        <w:t xml:space="preserve"> Similarly, the State referred to the following measures and institutions established within the</w:t>
      </w:r>
      <w:r w:rsidR="00F446D3" w:rsidRPr="00EA6C7A">
        <w:rPr>
          <w:lang w:val="en-US"/>
        </w:rPr>
        <w:t xml:space="preserve"> </w:t>
      </w:r>
      <w:r w:rsidR="00B3248B" w:rsidRPr="00EA6C7A">
        <w:rPr>
          <w:lang w:val="en-US"/>
        </w:rPr>
        <w:t>Public Prosecution Service</w:t>
      </w:r>
      <w:r w:rsidR="00F446D3" w:rsidRPr="00EA6C7A">
        <w:rPr>
          <w:lang w:val="en-US"/>
        </w:rPr>
        <w:t>:</w:t>
      </w:r>
      <w:r w:rsidR="00F446D3" w:rsidRPr="00EA6C7A">
        <w:rPr>
          <w:bCs/>
          <w:lang w:val="en-US"/>
        </w:rPr>
        <w:t xml:space="preserve"> crea</w:t>
      </w:r>
      <w:r w:rsidR="00F16275" w:rsidRPr="00EA6C7A">
        <w:rPr>
          <w:bCs/>
          <w:lang w:val="en-US"/>
        </w:rPr>
        <w:t xml:space="preserve">tion of </w:t>
      </w:r>
      <w:r w:rsidR="009532CF" w:rsidRPr="00EA6C7A">
        <w:rPr>
          <w:bCs/>
          <w:lang w:val="en-US"/>
        </w:rPr>
        <w:t xml:space="preserve">the </w:t>
      </w:r>
      <w:r w:rsidR="009C5D41" w:rsidRPr="00EA6C7A">
        <w:rPr>
          <w:lang w:val="en-US"/>
        </w:rPr>
        <w:t>Special Prosecutor’s Office for Women’s Affair</w:t>
      </w:r>
      <w:r w:rsidR="00F16275" w:rsidRPr="00EA6C7A">
        <w:rPr>
          <w:lang w:val="en-US"/>
        </w:rPr>
        <w:t>s</w:t>
      </w:r>
      <w:r w:rsidR="00D948A1" w:rsidRPr="00EA6C7A">
        <w:rPr>
          <w:lang w:val="en-US"/>
        </w:rPr>
        <w:t xml:space="preserve"> and </w:t>
      </w:r>
      <w:r w:rsidR="00F16275" w:rsidRPr="00EA6C7A">
        <w:rPr>
          <w:lang w:val="en-US"/>
        </w:rPr>
        <w:t>the special prosecutors</w:t>
      </w:r>
      <w:r w:rsidR="00FD7C5F" w:rsidRPr="00EA6C7A">
        <w:rPr>
          <w:lang w:val="en-US"/>
        </w:rPr>
        <w:t>’</w:t>
      </w:r>
      <w:r w:rsidR="00F16275" w:rsidRPr="00EA6C7A">
        <w:rPr>
          <w:lang w:val="en-US"/>
        </w:rPr>
        <w:t xml:space="preserve"> offices that exclusively examine crimes of femicide; </w:t>
      </w:r>
      <w:r w:rsidR="009C5D41" w:rsidRPr="00EA6C7A">
        <w:rPr>
          <w:bCs/>
          <w:lang w:val="en-US"/>
        </w:rPr>
        <w:t>the Special Prosecutor’s Office for Women</w:t>
      </w:r>
      <w:r w:rsidR="00F16275" w:rsidRPr="00EA6C7A">
        <w:rPr>
          <w:bCs/>
          <w:lang w:val="en-US"/>
        </w:rPr>
        <w:t xml:space="preserve"> </w:t>
      </w:r>
      <w:r w:rsidR="00D948A1" w:rsidRPr="00EA6C7A">
        <w:rPr>
          <w:bCs/>
          <w:lang w:val="en-US"/>
        </w:rPr>
        <w:t xml:space="preserve">and </w:t>
      </w:r>
      <w:r w:rsidR="00F16275" w:rsidRPr="00EA6C7A">
        <w:rPr>
          <w:bCs/>
          <w:lang w:val="en-US"/>
        </w:rPr>
        <w:t xml:space="preserve">Children Victims for other departments with ethnic cultural relevance to respond to indigenous women; the Holistic Care Model (MAI) for cases of domestic violence and sexual offenses in the metropolitan area; the Gesell Chamber; a mobile magistrate’s court to provide immediate protection for women and children victims of sexual offenses; the </w:t>
      </w:r>
      <w:r w:rsidR="001B6E81" w:rsidRPr="00EA6C7A">
        <w:rPr>
          <w:bCs/>
          <w:lang w:val="en-US"/>
        </w:rPr>
        <w:t xml:space="preserve">Unit for Investigating </w:t>
      </w:r>
      <w:r w:rsidR="00F16275" w:rsidRPr="00EA6C7A">
        <w:rPr>
          <w:bCs/>
          <w:lang w:val="en-US"/>
        </w:rPr>
        <w:t>S</w:t>
      </w:r>
      <w:r w:rsidR="001B6E81" w:rsidRPr="00EA6C7A">
        <w:rPr>
          <w:bCs/>
          <w:lang w:val="en-US"/>
        </w:rPr>
        <w:t>exual Offenses</w:t>
      </w:r>
      <w:r w:rsidR="006D228A" w:rsidRPr="00EA6C7A">
        <w:rPr>
          <w:bCs/>
          <w:lang w:val="en-US"/>
        </w:rPr>
        <w:t xml:space="preserve"> </w:t>
      </w:r>
      <w:r w:rsidR="00F16275" w:rsidRPr="00EA6C7A">
        <w:rPr>
          <w:bCs/>
          <w:lang w:val="en-US"/>
        </w:rPr>
        <w:t>established on</w:t>
      </w:r>
      <w:r w:rsidR="006D228A" w:rsidRPr="00EA6C7A">
        <w:rPr>
          <w:bCs/>
          <w:lang w:val="en-US"/>
        </w:rPr>
        <w:t xml:space="preserve"> </w:t>
      </w:r>
      <w:r w:rsidR="007B566E" w:rsidRPr="00EA6C7A">
        <w:rPr>
          <w:bCs/>
          <w:lang w:val="en-US"/>
        </w:rPr>
        <w:t>August</w:t>
      </w:r>
      <w:r w:rsidR="006D228A" w:rsidRPr="00EA6C7A">
        <w:rPr>
          <w:bCs/>
          <w:lang w:val="en-US"/>
        </w:rPr>
        <w:t xml:space="preserve"> </w:t>
      </w:r>
      <w:r w:rsidR="00F16275" w:rsidRPr="00EA6C7A">
        <w:rPr>
          <w:bCs/>
          <w:lang w:val="en-US"/>
        </w:rPr>
        <w:t>1</w:t>
      </w:r>
      <w:r w:rsidR="006D228A" w:rsidRPr="00EA6C7A">
        <w:rPr>
          <w:bCs/>
          <w:lang w:val="en-US"/>
        </w:rPr>
        <w:t xml:space="preserve"> 2012.</w:t>
      </w:r>
      <w:r w:rsidR="006D228A" w:rsidRPr="00EA6C7A">
        <w:rPr>
          <w:lang w:val="en-US"/>
        </w:rPr>
        <w:t xml:space="preserve"> </w:t>
      </w:r>
      <w:r w:rsidR="00F16275" w:rsidRPr="00EA6C7A">
        <w:rPr>
          <w:lang w:val="en-US"/>
        </w:rPr>
        <w:t>It also indicated that, the special protocol “General instructions for the criminal investigation of the crime of femicide” was being used</w:t>
      </w:r>
      <w:r w:rsidR="00F16275" w:rsidRPr="00EA6C7A">
        <w:rPr>
          <w:bCs/>
          <w:lang w:val="en-US"/>
        </w:rPr>
        <w:t xml:space="preserve"> </w:t>
      </w:r>
      <w:r w:rsidR="00F16275" w:rsidRPr="00EA6C7A">
        <w:rPr>
          <w:lang w:val="en-US"/>
        </w:rPr>
        <w:t xml:space="preserve">by </w:t>
      </w:r>
      <w:r w:rsidR="003E2012" w:rsidRPr="00EA6C7A">
        <w:rPr>
          <w:lang w:val="en-US"/>
        </w:rPr>
        <w:t>the Public</w:t>
      </w:r>
      <w:r w:rsidR="00B3248B" w:rsidRPr="00EA6C7A">
        <w:rPr>
          <w:lang w:val="en-US"/>
        </w:rPr>
        <w:t xml:space="preserve"> Prosecution Service</w:t>
      </w:r>
      <w:r w:rsidR="00F16275" w:rsidRPr="00EA6C7A">
        <w:rPr>
          <w:lang w:val="en-US"/>
        </w:rPr>
        <w:t>, under General Instruction</w:t>
      </w:r>
      <w:r w:rsidR="006D228A" w:rsidRPr="00EA6C7A">
        <w:rPr>
          <w:lang w:val="en-US"/>
        </w:rPr>
        <w:t xml:space="preserve"> 06-2013</w:t>
      </w:r>
      <w:r w:rsidR="00F16275" w:rsidRPr="00EA6C7A">
        <w:rPr>
          <w:lang w:val="en-US"/>
        </w:rPr>
        <w:t>;</w:t>
      </w:r>
      <w:r w:rsidR="006D228A" w:rsidRPr="00EA6C7A">
        <w:rPr>
          <w:rFonts w:cs="Verdana"/>
          <w:vertAlign w:val="superscript"/>
        </w:rPr>
        <w:footnoteReference w:id="329"/>
      </w:r>
      <w:r w:rsidR="006D228A" w:rsidRPr="00EA6C7A">
        <w:rPr>
          <w:lang w:val="en-US"/>
        </w:rPr>
        <w:t xml:space="preserve"> </w:t>
      </w:r>
      <w:r w:rsidR="00F16275" w:rsidRPr="00EA6C7A">
        <w:rPr>
          <w:lang w:val="en-US"/>
        </w:rPr>
        <w:t>the Prosecutor General and the Head</w:t>
      </w:r>
      <w:r w:rsidR="006D228A" w:rsidRPr="00EA6C7A">
        <w:rPr>
          <w:lang w:val="en-US"/>
        </w:rPr>
        <w:t xml:space="preserve"> </w:t>
      </w:r>
      <w:r w:rsidR="003E2012" w:rsidRPr="00EA6C7A">
        <w:rPr>
          <w:lang w:val="en-US"/>
        </w:rPr>
        <w:t>of the Public</w:t>
      </w:r>
      <w:r w:rsidR="00B3248B" w:rsidRPr="00EA6C7A">
        <w:rPr>
          <w:lang w:val="en-US"/>
        </w:rPr>
        <w:t xml:space="preserve"> Prosecution Service</w:t>
      </w:r>
      <w:r w:rsidR="006D228A" w:rsidRPr="00EA6C7A">
        <w:rPr>
          <w:lang w:val="en-US"/>
        </w:rPr>
        <w:t xml:space="preserve"> ha</w:t>
      </w:r>
      <w:r w:rsidR="00F16275" w:rsidRPr="00EA6C7A">
        <w:rPr>
          <w:lang w:val="en-US"/>
        </w:rPr>
        <w:t>d established “strategic criminal prosecution, interinstitutional coordination, care and protection for victims and witnesses, and institutional strengthening” as part of their institutional policies for 2011-2014; a series of directives had been implemented aimed at adapting the work of criminal investigation and prosecution to the relevant international standards;</w:t>
      </w:r>
      <w:r w:rsidR="006D228A" w:rsidRPr="00EA6C7A">
        <w:rPr>
          <w:rFonts w:cs="Verdana"/>
          <w:vertAlign w:val="superscript"/>
        </w:rPr>
        <w:footnoteReference w:id="330"/>
      </w:r>
      <w:r w:rsidR="00F16275" w:rsidRPr="00EA6C7A">
        <w:rPr>
          <w:lang w:val="en-US"/>
        </w:rPr>
        <w:t xml:space="preserve"> </w:t>
      </w:r>
      <w:r w:rsidR="00434C3B" w:rsidRPr="00EA6C7A">
        <w:rPr>
          <w:lang w:val="en-US"/>
        </w:rPr>
        <w:t>actions to protect and provide care to victims and witnesses had been promoted,</w:t>
      </w:r>
      <w:r w:rsidR="006D228A" w:rsidRPr="00EA6C7A">
        <w:rPr>
          <w:rFonts w:cs="Verdana"/>
          <w:vertAlign w:val="superscript"/>
        </w:rPr>
        <w:footnoteReference w:id="331"/>
      </w:r>
      <w:r w:rsidR="00D948A1" w:rsidRPr="00EA6C7A">
        <w:rPr>
          <w:lang w:val="en-US"/>
        </w:rPr>
        <w:t xml:space="preserve"> and </w:t>
      </w:r>
      <w:r w:rsidR="00434C3B" w:rsidRPr="00EA6C7A">
        <w:rPr>
          <w:lang w:val="en-US"/>
        </w:rPr>
        <w:t>personnel were receiving constant training.</w:t>
      </w:r>
    </w:p>
    <w:p w14:paraId="390435BF" w14:textId="77777777" w:rsidR="006D228A" w:rsidRPr="00EA6C7A" w:rsidRDefault="006D228A" w:rsidP="006D228A">
      <w:pPr>
        <w:autoSpaceDE w:val="0"/>
        <w:autoSpaceDN w:val="0"/>
        <w:adjustRightInd w:val="0"/>
        <w:spacing w:after="0" w:line="240" w:lineRule="auto"/>
        <w:jc w:val="both"/>
        <w:rPr>
          <w:rFonts w:ascii="Verdana" w:hAnsi="Verdana"/>
          <w:bCs/>
          <w:sz w:val="20"/>
          <w:szCs w:val="20"/>
          <w:lang w:val="en-US"/>
        </w:rPr>
      </w:pPr>
    </w:p>
    <w:p w14:paraId="718EADB6" w14:textId="77777777" w:rsidR="006D228A" w:rsidRPr="00EA6C7A" w:rsidRDefault="00680D54" w:rsidP="00077D21">
      <w:pPr>
        <w:pStyle w:val="PrrafodeSentencia"/>
        <w:rPr>
          <w:bCs/>
          <w:lang w:val="en-US"/>
        </w:rPr>
      </w:pPr>
      <w:r w:rsidRPr="00EA6C7A">
        <w:rPr>
          <w:lang w:val="en-US"/>
        </w:rPr>
        <w:t xml:space="preserve">As in </w:t>
      </w:r>
      <w:r w:rsidR="007E6E93" w:rsidRPr="00EA6C7A">
        <w:rPr>
          <w:lang w:val="en-US"/>
        </w:rPr>
        <w:t>the case of</w:t>
      </w:r>
      <w:r w:rsidR="001914FC" w:rsidRPr="00EA6C7A">
        <w:rPr>
          <w:rStyle w:val="Textoennegrita"/>
          <w:b w:val="0"/>
          <w:i/>
          <w:color w:val="000000"/>
          <w:shd w:val="clear" w:color="auto" w:fill="FFFFFF"/>
          <w:lang w:val="en-US"/>
        </w:rPr>
        <w:t xml:space="preserve"> </w:t>
      </w:r>
      <w:r w:rsidR="006D228A" w:rsidRPr="00EA6C7A">
        <w:rPr>
          <w:rStyle w:val="Textoennegrita"/>
          <w:b w:val="0"/>
          <w:i/>
          <w:color w:val="000000"/>
          <w:shd w:val="clear" w:color="auto" w:fill="FFFFFF"/>
          <w:lang w:val="en-US"/>
        </w:rPr>
        <w:t xml:space="preserve">Veliz Franco </w:t>
      </w:r>
      <w:r w:rsidR="006A51FD" w:rsidRPr="00EA6C7A">
        <w:rPr>
          <w:rStyle w:val="Textoennegrita"/>
          <w:b w:val="0"/>
          <w:i/>
          <w:color w:val="000000"/>
          <w:shd w:val="clear" w:color="auto" w:fill="FFFFFF"/>
          <w:lang w:val="en-US"/>
        </w:rPr>
        <w:t>et al.</w:t>
      </w:r>
      <w:r w:rsidR="006D228A" w:rsidRPr="00EA6C7A">
        <w:rPr>
          <w:lang w:val="en-US"/>
        </w:rPr>
        <w:t xml:space="preserve">, </w:t>
      </w:r>
      <w:r w:rsidRPr="00EA6C7A">
        <w:rPr>
          <w:lang w:val="en-US"/>
        </w:rPr>
        <w:t>the Court appreciates the effo</w:t>
      </w:r>
      <w:r w:rsidR="00434C3B" w:rsidRPr="00EA6C7A">
        <w:rPr>
          <w:lang w:val="en-US"/>
        </w:rPr>
        <w:t>r</w:t>
      </w:r>
      <w:r w:rsidRPr="00EA6C7A">
        <w:rPr>
          <w:lang w:val="en-US"/>
        </w:rPr>
        <w:t>ts made by the State to enact legislation, adopt other legal acts, and establish institutions and public policies aimed at combating gender-based violence, as well as its efforts to improve its criminal investigation system</w:t>
      </w:r>
      <w:r w:rsidR="006D228A" w:rsidRPr="00EA6C7A">
        <w:rPr>
          <w:lang w:val="en-US"/>
        </w:rPr>
        <w:t xml:space="preserve">. </w:t>
      </w:r>
      <w:r w:rsidRPr="00EA6C7A">
        <w:rPr>
          <w:lang w:val="en-US"/>
        </w:rPr>
        <w:t>These advances constitute structural indicators in relation to the adoption of measures that, in principle, are aimed at combating violence and discrimination against women, or their application contributes to this.</w:t>
      </w:r>
      <w:r w:rsidR="006D228A" w:rsidRPr="00EA6C7A">
        <w:rPr>
          <w:rFonts w:eastAsia="Calibri" w:cs="Verdana"/>
          <w:vertAlign w:val="superscript"/>
        </w:rPr>
        <w:footnoteReference w:id="332"/>
      </w:r>
      <w:r w:rsidR="006D228A" w:rsidRPr="00EA6C7A">
        <w:rPr>
          <w:lang w:val="en-US"/>
        </w:rPr>
        <w:t xml:space="preserve"> </w:t>
      </w:r>
    </w:p>
    <w:p w14:paraId="09AB0A58" w14:textId="77777777" w:rsidR="006D228A" w:rsidRPr="00EA6C7A" w:rsidRDefault="006D228A" w:rsidP="006D228A">
      <w:pPr>
        <w:spacing w:after="0" w:line="240" w:lineRule="auto"/>
        <w:contextualSpacing/>
        <w:jc w:val="both"/>
        <w:rPr>
          <w:rFonts w:ascii="Verdana" w:hAnsi="Verdana"/>
          <w:bCs/>
          <w:sz w:val="20"/>
          <w:szCs w:val="20"/>
          <w:lang w:val="en-US"/>
        </w:rPr>
      </w:pPr>
    </w:p>
    <w:p w14:paraId="01B882C0" w14:textId="77777777" w:rsidR="006D228A" w:rsidRPr="00EA6C7A" w:rsidRDefault="00680D54" w:rsidP="00077D21">
      <w:pPr>
        <w:pStyle w:val="PrrafodeSentencia"/>
        <w:rPr>
          <w:lang w:val="en-US"/>
        </w:rPr>
      </w:pPr>
      <w:r w:rsidRPr="00EA6C7A">
        <w:rPr>
          <w:lang w:val="en-US"/>
        </w:rPr>
        <w:t xml:space="preserve">Nevertheless, and has this Court has indicated </w:t>
      </w:r>
      <w:r w:rsidR="006D228A" w:rsidRPr="00EA6C7A">
        <w:rPr>
          <w:lang w:val="en-US"/>
        </w:rPr>
        <w:t>(</w:t>
      </w:r>
      <w:r w:rsidR="006D228A" w:rsidRPr="00EA6C7A">
        <w:rPr>
          <w:i/>
          <w:lang w:val="en-US"/>
        </w:rPr>
        <w:t>supra</w:t>
      </w:r>
      <w:r w:rsidR="006D228A" w:rsidRPr="00EA6C7A">
        <w:rPr>
          <w:lang w:val="en-US"/>
        </w:rPr>
        <w:t xml:space="preserve"> </w:t>
      </w:r>
      <w:r w:rsidR="002F3848" w:rsidRPr="00EA6C7A">
        <w:rPr>
          <w:lang w:val="en-US"/>
        </w:rPr>
        <w:t>para.</w:t>
      </w:r>
      <w:r w:rsidR="006D228A" w:rsidRPr="00EA6C7A">
        <w:rPr>
          <w:lang w:val="en-US"/>
        </w:rPr>
        <w:t xml:space="preserve"> 49), </w:t>
      </w:r>
      <w:r w:rsidRPr="00EA6C7A">
        <w:rPr>
          <w:lang w:val="en-US"/>
        </w:rPr>
        <w:t xml:space="preserve">the facts of this case took place in a context in which the levels of impunity </w:t>
      </w:r>
      <w:r w:rsidR="00FA7AE9" w:rsidRPr="00EA6C7A">
        <w:rPr>
          <w:lang w:val="en-US"/>
        </w:rPr>
        <w:t>of</w:t>
      </w:r>
      <w:r w:rsidRPr="00EA6C7A">
        <w:rPr>
          <w:lang w:val="en-US"/>
        </w:rPr>
        <w:t xml:space="preserve"> violent acts against women remain</w:t>
      </w:r>
      <w:r w:rsidR="00FA7AE9" w:rsidRPr="00EA6C7A">
        <w:rPr>
          <w:lang w:val="en-US"/>
        </w:rPr>
        <w:t>ed</w:t>
      </w:r>
      <w:r w:rsidRPr="00EA6C7A">
        <w:rPr>
          <w:lang w:val="en-US"/>
        </w:rPr>
        <w:t xml:space="preserve"> high in Guatemala. In this regard, the representatives mentioned that the Guatemalan system of justice continue</w:t>
      </w:r>
      <w:r w:rsidR="00FA7AE9" w:rsidRPr="00EA6C7A">
        <w:rPr>
          <w:lang w:val="en-US"/>
        </w:rPr>
        <w:t>d</w:t>
      </w:r>
      <w:r w:rsidRPr="00EA6C7A">
        <w:rPr>
          <w:lang w:val="en-US"/>
        </w:rPr>
        <w:t xml:space="preserve"> to suffer from serious structural problems that hinder</w:t>
      </w:r>
      <w:r w:rsidR="00FA7AE9" w:rsidRPr="00EA6C7A">
        <w:rPr>
          <w:lang w:val="en-US"/>
        </w:rPr>
        <w:t>ed</w:t>
      </w:r>
      <w:r w:rsidRPr="00EA6C7A">
        <w:rPr>
          <w:lang w:val="en-US"/>
        </w:rPr>
        <w:t xml:space="preserve"> the effective investigation of acts of violence against women. On this points, e</w:t>
      </w:r>
      <w:r w:rsidR="00586DC6" w:rsidRPr="00EA6C7A">
        <w:rPr>
          <w:lang w:val="en-US"/>
        </w:rPr>
        <w:t>xpert witness</w:t>
      </w:r>
      <w:r w:rsidR="006D228A" w:rsidRPr="00EA6C7A">
        <w:rPr>
          <w:lang w:val="en-US"/>
        </w:rPr>
        <w:t xml:space="preserve"> Karen Musalo </w:t>
      </w:r>
      <w:r w:rsidRPr="00EA6C7A">
        <w:rPr>
          <w:lang w:val="en-US"/>
        </w:rPr>
        <w:t>indicated the need to implement the following measures immediately:</w:t>
      </w:r>
      <w:r w:rsidR="006D228A" w:rsidRPr="00EA6C7A">
        <w:rPr>
          <w:rStyle w:val="Refdenotaalpie"/>
          <w:lang w:val="en-US"/>
        </w:rPr>
        <w:footnoteReference w:id="333"/>
      </w:r>
      <w:r w:rsidR="006D228A" w:rsidRPr="00EA6C7A">
        <w:rPr>
          <w:lang w:val="en-US"/>
        </w:rPr>
        <w:t xml:space="preserve"> </w:t>
      </w:r>
      <w:r w:rsidRPr="00EA6C7A">
        <w:rPr>
          <w:lang w:val="en-US"/>
        </w:rPr>
        <w:t>(</w:t>
      </w:r>
      <w:r w:rsidR="006D228A" w:rsidRPr="00EA6C7A">
        <w:rPr>
          <w:lang w:val="en-US"/>
        </w:rPr>
        <w:t xml:space="preserve">a) </w:t>
      </w:r>
      <w:r w:rsidRPr="00EA6C7A">
        <w:rPr>
          <w:lang w:val="en-US"/>
        </w:rPr>
        <w:t>improve investigations;</w:t>
      </w:r>
      <w:r w:rsidR="006D228A" w:rsidRPr="00EA6C7A">
        <w:rPr>
          <w:rFonts w:cs="Verdana"/>
          <w:vertAlign w:val="superscript"/>
        </w:rPr>
        <w:footnoteReference w:id="334"/>
      </w:r>
      <w:r w:rsidR="006D228A" w:rsidRPr="00EA6C7A">
        <w:rPr>
          <w:lang w:val="en-US"/>
        </w:rPr>
        <w:t xml:space="preserve"> </w:t>
      </w:r>
      <w:r w:rsidRPr="00EA6C7A">
        <w:rPr>
          <w:lang w:val="en-US"/>
        </w:rPr>
        <w:t>(</w:t>
      </w:r>
      <w:r w:rsidR="006D228A" w:rsidRPr="00EA6C7A">
        <w:rPr>
          <w:lang w:val="en-US"/>
        </w:rPr>
        <w:t>b) crea</w:t>
      </w:r>
      <w:r w:rsidRPr="00EA6C7A">
        <w:rPr>
          <w:lang w:val="en-US"/>
        </w:rPr>
        <w:t>te specialized courts;</w:t>
      </w:r>
      <w:r w:rsidR="006D228A" w:rsidRPr="00EA6C7A">
        <w:rPr>
          <w:rFonts w:cs="Verdana"/>
          <w:vertAlign w:val="superscript"/>
        </w:rPr>
        <w:footnoteReference w:id="335"/>
      </w:r>
      <w:r w:rsidR="006D228A" w:rsidRPr="00EA6C7A">
        <w:rPr>
          <w:lang w:val="en-US"/>
        </w:rPr>
        <w:t xml:space="preserve"> </w:t>
      </w:r>
      <w:r w:rsidRPr="00EA6C7A">
        <w:rPr>
          <w:lang w:val="en-US"/>
        </w:rPr>
        <w:t>(</w:t>
      </w:r>
      <w:r w:rsidR="006D228A" w:rsidRPr="00EA6C7A">
        <w:rPr>
          <w:lang w:val="en-US"/>
        </w:rPr>
        <w:t xml:space="preserve">c) </w:t>
      </w:r>
      <w:r w:rsidRPr="00EA6C7A">
        <w:rPr>
          <w:lang w:val="en-US"/>
        </w:rPr>
        <w:t xml:space="preserve">train, monitor and </w:t>
      </w:r>
      <w:r w:rsidR="008C4FF3" w:rsidRPr="00EA6C7A">
        <w:rPr>
          <w:lang w:val="en-US"/>
        </w:rPr>
        <w:t>discipline</w:t>
      </w:r>
      <w:r w:rsidRPr="00EA6C7A">
        <w:rPr>
          <w:lang w:val="en-US"/>
        </w:rPr>
        <w:t xml:space="preserve"> public officials; (d) allocate adequate funds for these activities, and (e) collect reliable data.</w:t>
      </w:r>
    </w:p>
    <w:p w14:paraId="1E7CBCBE" w14:textId="77777777" w:rsidR="006D228A" w:rsidRPr="00EA6C7A" w:rsidRDefault="006D228A" w:rsidP="00077D21">
      <w:pPr>
        <w:pStyle w:val="PrrafodeSentencia"/>
        <w:numPr>
          <w:ilvl w:val="0"/>
          <w:numId w:val="0"/>
        </w:numPr>
        <w:rPr>
          <w:lang w:val="en-US"/>
        </w:rPr>
      </w:pPr>
    </w:p>
    <w:p w14:paraId="32619952" w14:textId="77777777" w:rsidR="006D228A" w:rsidRPr="00EA6C7A" w:rsidRDefault="006905B4" w:rsidP="00077D21">
      <w:pPr>
        <w:pStyle w:val="PrrafodeSentencia"/>
        <w:rPr>
          <w:lang w:val="en-US"/>
        </w:rPr>
      </w:pPr>
      <w:r w:rsidRPr="00EA6C7A">
        <w:rPr>
          <w:lang w:val="en-US"/>
        </w:rPr>
        <w:t>In this regard</w:t>
      </w:r>
      <w:r w:rsidR="006D228A" w:rsidRPr="00EA6C7A">
        <w:rPr>
          <w:lang w:val="en-US"/>
        </w:rPr>
        <w:t xml:space="preserve">, </w:t>
      </w:r>
      <w:r w:rsidR="0096418F" w:rsidRPr="00EA6C7A">
        <w:rPr>
          <w:lang w:val="en-US"/>
        </w:rPr>
        <w:t>the Court</w:t>
      </w:r>
      <w:r w:rsidR="006D228A" w:rsidRPr="00EA6C7A">
        <w:rPr>
          <w:lang w:val="en-US"/>
        </w:rPr>
        <w:t xml:space="preserve"> not</w:t>
      </w:r>
      <w:r w:rsidRPr="00EA6C7A">
        <w:rPr>
          <w:lang w:val="en-US"/>
        </w:rPr>
        <w:t xml:space="preserve">es, first, that in </w:t>
      </w:r>
      <w:r w:rsidR="007E6E93" w:rsidRPr="00EA6C7A">
        <w:rPr>
          <w:lang w:val="en-US"/>
        </w:rPr>
        <w:t>the case of</w:t>
      </w:r>
      <w:r w:rsidR="001914FC" w:rsidRPr="00EA6C7A">
        <w:rPr>
          <w:i/>
          <w:lang w:val="en-US"/>
        </w:rPr>
        <w:t xml:space="preserve"> </w:t>
      </w:r>
      <w:r w:rsidR="006D228A" w:rsidRPr="00EA6C7A">
        <w:rPr>
          <w:i/>
          <w:lang w:val="en-US"/>
        </w:rPr>
        <w:t xml:space="preserve">Veliz Franco </w:t>
      </w:r>
      <w:r w:rsidR="006A51FD" w:rsidRPr="00EA6C7A">
        <w:rPr>
          <w:i/>
          <w:lang w:val="en-US"/>
        </w:rPr>
        <w:t>et al.</w:t>
      </w:r>
      <w:r w:rsidRPr="00EA6C7A">
        <w:rPr>
          <w:i/>
          <w:lang w:val="en-US"/>
        </w:rPr>
        <w:t>,</w:t>
      </w:r>
      <w:r w:rsidR="006D228A" w:rsidRPr="00EA6C7A">
        <w:rPr>
          <w:i/>
          <w:lang w:val="en-US"/>
        </w:rPr>
        <w:t xml:space="preserve"> </w:t>
      </w:r>
      <w:r w:rsidRPr="00EA6C7A">
        <w:rPr>
          <w:lang w:val="en-US"/>
        </w:rPr>
        <w:t xml:space="preserve">it ordered the State to draw up a scheduled plan to reinforce the </w:t>
      </w:r>
      <w:r w:rsidR="00CA4197" w:rsidRPr="00EA6C7A">
        <w:rPr>
          <w:lang w:val="en-US"/>
        </w:rPr>
        <w:t>National Institute of Forensic Science</w:t>
      </w:r>
      <w:r w:rsidR="006D228A" w:rsidRPr="00EA6C7A">
        <w:rPr>
          <w:lang w:val="en-US"/>
        </w:rPr>
        <w:t xml:space="preserve"> (INACIF). </w:t>
      </w:r>
      <w:r w:rsidRPr="00EA6C7A">
        <w:rPr>
          <w:lang w:val="en-US"/>
        </w:rPr>
        <w:t xml:space="preserve">In that case, the Court established that the satisfactory operation of that entity was </w:t>
      </w:r>
      <w:r w:rsidR="00FA7AE9" w:rsidRPr="00EA6C7A">
        <w:rPr>
          <w:lang w:val="en-US"/>
        </w:rPr>
        <w:t>important</w:t>
      </w:r>
      <w:r w:rsidRPr="00EA6C7A">
        <w:rPr>
          <w:lang w:val="en-US"/>
        </w:rPr>
        <w:t xml:space="preserve"> to ensure that cases of attacks on women could be investigated properly. Also, it found that </w:t>
      </w:r>
      <w:r w:rsidR="00FA7AE9" w:rsidRPr="00EA6C7A">
        <w:rPr>
          <w:lang w:val="en-US"/>
        </w:rPr>
        <w:t xml:space="preserve">verified </w:t>
      </w:r>
      <w:r w:rsidRPr="00EA6C7A">
        <w:rPr>
          <w:lang w:val="en-US"/>
        </w:rPr>
        <w:t xml:space="preserve">data from 2012 indicated the need for INACIF to be </w:t>
      </w:r>
      <w:r w:rsidR="00FA7AE9" w:rsidRPr="00EA6C7A">
        <w:rPr>
          <w:lang w:val="en-US"/>
        </w:rPr>
        <w:t>allocated</w:t>
      </w:r>
      <w:r w:rsidRPr="00EA6C7A">
        <w:rPr>
          <w:lang w:val="en-US"/>
        </w:rPr>
        <w:t xml:space="preserve"> increased resources, and this had also been indicated by the entity’s authorities</w:t>
      </w:r>
      <w:r w:rsidR="00FA7AE9" w:rsidRPr="00EA6C7A">
        <w:rPr>
          <w:lang w:val="en-US"/>
        </w:rPr>
        <w:t xml:space="preserve"> in 2010</w:t>
      </w:r>
      <w:r w:rsidRPr="00EA6C7A">
        <w:rPr>
          <w:lang w:val="en-US"/>
        </w:rPr>
        <w:t>.</w:t>
      </w:r>
      <w:r w:rsidR="006D228A" w:rsidRPr="00EA6C7A">
        <w:rPr>
          <w:rFonts w:cs="Verdana"/>
          <w:vertAlign w:val="superscript"/>
        </w:rPr>
        <w:footnoteReference w:id="336"/>
      </w:r>
      <w:r w:rsidRPr="00EA6C7A">
        <w:rPr>
          <w:lang w:val="en-US"/>
        </w:rPr>
        <w:t xml:space="preserve"> In this case, and as in </w:t>
      </w:r>
      <w:r w:rsidR="007E6E93" w:rsidRPr="00EA6C7A">
        <w:rPr>
          <w:lang w:val="en-US"/>
        </w:rPr>
        <w:t>the case of</w:t>
      </w:r>
      <w:r w:rsidRPr="00EA6C7A">
        <w:rPr>
          <w:i/>
          <w:lang w:val="en-US"/>
        </w:rPr>
        <w:t xml:space="preserve"> </w:t>
      </w:r>
      <w:r w:rsidR="006D228A" w:rsidRPr="00EA6C7A">
        <w:rPr>
          <w:i/>
          <w:lang w:val="en-US"/>
        </w:rPr>
        <w:t xml:space="preserve">Veliz Franco </w:t>
      </w:r>
      <w:r w:rsidR="006A51FD" w:rsidRPr="00EA6C7A">
        <w:rPr>
          <w:i/>
          <w:lang w:val="en-US"/>
        </w:rPr>
        <w:t>et al.</w:t>
      </w:r>
      <w:r w:rsidR="006D228A" w:rsidRPr="00EA6C7A">
        <w:rPr>
          <w:i/>
          <w:lang w:val="en-US"/>
        </w:rPr>
        <w:t xml:space="preserve">, </w:t>
      </w:r>
      <w:r w:rsidR="002F3848" w:rsidRPr="00EA6C7A">
        <w:rPr>
          <w:lang w:val="en-US"/>
        </w:rPr>
        <w:t>the State</w:t>
      </w:r>
      <w:r w:rsidR="006D228A" w:rsidRPr="00EA6C7A">
        <w:rPr>
          <w:lang w:val="en-US"/>
        </w:rPr>
        <w:t xml:space="preserve"> </w:t>
      </w:r>
      <w:r w:rsidRPr="00EA6C7A">
        <w:rPr>
          <w:lang w:val="en-US"/>
        </w:rPr>
        <w:t>has not provided the Court with information showing that this situation has changed.</w:t>
      </w:r>
      <w:r w:rsidR="006D228A" w:rsidRPr="00EA6C7A">
        <w:rPr>
          <w:rStyle w:val="Refdenotaalpie"/>
          <w:lang w:val="en-US"/>
        </w:rPr>
        <w:footnoteReference w:id="337"/>
      </w:r>
      <w:r w:rsidRPr="00EA6C7A">
        <w:rPr>
          <w:lang w:val="en-US"/>
        </w:rPr>
        <w:t xml:space="preserve"> Therefore, the Court finds it pertinent to again order that</w:t>
      </w:r>
      <w:r w:rsidR="006D228A" w:rsidRPr="00EA6C7A">
        <w:rPr>
          <w:lang w:val="en-US"/>
        </w:rPr>
        <w:t xml:space="preserve">, </w:t>
      </w:r>
      <w:r w:rsidR="00AD3BCF" w:rsidRPr="00EA6C7A">
        <w:rPr>
          <w:lang w:val="en-US"/>
        </w:rPr>
        <w:t>within a reasonable time</w:t>
      </w:r>
      <w:r w:rsidR="006D228A" w:rsidRPr="00EA6C7A">
        <w:rPr>
          <w:lang w:val="en-US"/>
        </w:rPr>
        <w:t xml:space="preserve">, </w:t>
      </w:r>
      <w:r w:rsidRPr="00EA6C7A">
        <w:rPr>
          <w:lang w:val="en-US"/>
        </w:rPr>
        <w:t xml:space="preserve">the State draw up a </w:t>
      </w:r>
      <w:r w:rsidR="00680D54" w:rsidRPr="00EA6C7A">
        <w:rPr>
          <w:lang w:val="en-US"/>
        </w:rPr>
        <w:t xml:space="preserve">scheduled plan to reinforce the </w:t>
      </w:r>
      <w:r w:rsidR="00CA4197" w:rsidRPr="00EA6C7A">
        <w:rPr>
          <w:lang w:val="en-US"/>
        </w:rPr>
        <w:t>National Institute of Forensic Science</w:t>
      </w:r>
      <w:r w:rsidR="006D228A" w:rsidRPr="00EA6C7A">
        <w:rPr>
          <w:lang w:val="en-US"/>
        </w:rPr>
        <w:t xml:space="preserve"> (INACIF)</w:t>
      </w:r>
      <w:r w:rsidR="00680D54" w:rsidRPr="00EA6C7A">
        <w:rPr>
          <w:lang w:val="en-US"/>
        </w:rPr>
        <w:t xml:space="preserve"> that includes an adequate allocation of resources to expand its activities over national territory and fulfill its </w:t>
      </w:r>
      <w:r w:rsidR="00FA7AE9" w:rsidRPr="00EA6C7A">
        <w:rPr>
          <w:lang w:val="en-US"/>
        </w:rPr>
        <w:t>mandate.</w:t>
      </w:r>
    </w:p>
    <w:p w14:paraId="6543B687" w14:textId="77777777" w:rsidR="006D228A" w:rsidRPr="00EA6C7A" w:rsidRDefault="006D228A" w:rsidP="00077D21">
      <w:pPr>
        <w:pStyle w:val="PrrafodeSentencia"/>
        <w:numPr>
          <w:ilvl w:val="0"/>
          <w:numId w:val="0"/>
        </w:numPr>
        <w:rPr>
          <w:lang w:val="en-US"/>
        </w:rPr>
      </w:pPr>
    </w:p>
    <w:p w14:paraId="71BE4DC7" w14:textId="77777777" w:rsidR="006D228A" w:rsidRPr="00EA6C7A" w:rsidRDefault="00262E64" w:rsidP="00077D21">
      <w:pPr>
        <w:pStyle w:val="PrrafodeSentencia"/>
        <w:rPr>
          <w:lang w:val="en-US"/>
        </w:rPr>
      </w:pPr>
      <w:r w:rsidRPr="00EA6C7A">
        <w:rPr>
          <w:lang w:val="en-US"/>
        </w:rPr>
        <w:t>Second</w:t>
      </w:r>
      <w:r w:rsidR="006D228A" w:rsidRPr="00EA6C7A">
        <w:rPr>
          <w:lang w:val="en-US"/>
        </w:rPr>
        <w:t xml:space="preserve">, </w:t>
      </w:r>
      <w:r w:rsidRPr="00EA6C7A">
        <w:rPr>
          <w:lang w:val="en-US"/>
        </w:rPr>
        <w:t xml:space="preserve">in </w:t>
      </w:r>
      <w:r w:rsidR="007E6E93" w:rsidRPr="00EA6C7A">
        <w:rPr>
          <w:lang w:val="en-US"/>
        </w:rPr>
        <w:t>the case of</w:t>
      </w:r>
      <w:r w:rsidR="001914FC" w:rsidRPr="00EA6C7A">
        <w:rPr>
          <w:i/>
          <w:lang w:val="en-US"/>
        </w:rPr>
        <w:t xml:space="preserve"> </w:t>
      </w:r>
      <w:r w:rsidR="006D228A" w:rsidRPr="00EA6C7A">
        <w:rPr>
          <w:i/>
          <w:lang w:val="en-US"/>
        </w:rPr>
        <w:t xml:space="preserve">Veliz Franco </w:t>
      </w:r>
      <w:r w:rsidR="006A51FD" w:rsidRPr="00EA6C7A">
        <w:rPr>
          <w:i/>
          <w:lang w:val="en-US"/>
        </w:rPr>
        <w:t>et al.</w:t>
      </w:r>
      <w:r w:rsidR="006D228A" w:rsidRPr="00EA6C7A">
        <w:rPr>
          <w:i/>
          <w:lang w:val="en-US"/>
        </w:rPr>
        <w:t xml:space="preserve">, </w:t>
      </w:r>
      <w:r w:rsidRPr="00EA6C7A">
        <w:rPr>
          <w:lang w:val="en-US"/>
        </w:rPr>
        <w:t>th</w:t>
      </w:r>
      <w:r w:rsidR="00FA7AE9" w:rsidRPr="00EA6C7A">
        <w:rPr>
          <w:lang w:val="en-US"/>
        </w:rPr>
        <w:t>e</w:t>
      </w:r>
      <w:r w:rsidRPr="00EA6C7A">
        <w:rPr>
          <w:lang w:val="en-US"/>
        </w:rPr>
        <w:t xml:space="preserve"> Court determined that article 15 of the 2008 Law against Femicide established the “creation of specialized jurisdictional organs.” Also, its article 14 </w:t>
      </w:r>
      <w:r w:rsidR="006D228A" w:rsidRPr="00EA6C7A">
        <w:rPr>
          <w:lang w:val="en-US"/>
        </w:rPr>
        <w:t>establ</w:t>
      </w:r>
      <w:r w:rsidRPr="00EA6C7A">
        <w:rPr>
          <w:lang w:val="en-US"/>
        </w:rPr>
        <w:t xml:space="preserve">ished that </w:t>
      </w:r>
      <w:r w:rsidR="006D228A" w:rsidRPr="00EA6C7A">
        <w:rPr>
          <w:lang w:val="en-US"/>
        </w:rPr>
        <w:t>“</w:t>
      </w:r>
      <w:r w:rsidRPr="00EA6C7A">
        <w:rPr>
          <w:lang w:val="en-US"/>
        </w:rPr>
        <w:t>the</w:t>
      </w:r>
      <w:r w:rsidR="006D228A" w:rsidRPr="00EA6C7A">
        <w:rPr>
          <w:lang w:val="en-US"/>
        </w:rPr>
        <w:t xml:space="preserve"> </w:t>
      </w:r>
      <w:r w:rsidR="00B3248B" w:rsidRPr="00EA6C7A">
        <w:rPr>
          <w:lang w:val="en-US"/>
        </w:rPr>
        <w:t>Public Prosecution Service</w:t>
      </w:r>
      <w:r w:rsidR="006D228A" w:rsidRPr="00EA6C7A">
        <w:rPr>
          <w:lang w:val="en-US"/>
        </w:rPr>
        <w:t xml:space="preserve"> </w:t>
      </w:r>
      <w:r w:rsidRPr="00EA6C7A">
        <w:rPr>
          <w:lang w:val="en-US"/>
        </w:rPr>
        <w:t>shall create the Office for the Prosecution of Crimes against the Life and Physical Integrity of Women</w:t>
      </w:r>
      <w:r w:rsidR="006D228A" w:rsidRPr="00EA6C7A">
        <w:rPr>
          <w:lang w:val="en-US"/>
        </w:rPr>
        <w:t>, specializ</w:t>
      </w:r>
      <w:r w:rsidRPr="00EA6C7A">
        <w:rPr>
          <w:lang w:val="en-US"/>
        </w:rPr>
        <w:t xml:space="preserve">ing in the investigation of the crimes defined by [the said] law, with the budgetary, physical, material, scientific and human resources that allow it to fulfill its </w:t>
      </w:r>
      <w:r w:rsidR="00FA7AE9" w:rsidRPr="00EA6C7A">
        <w:rPr>
          <w:lang w:val="en-US"/>
        </w:rPr>
        <w:t>mandate</w:t>
      </w:r>
      <w:r w:rsidRPr="00EA6C7A">
        <w:rPr>
          <w:lang w:val="en-US"/>
        </w:rPr>
        <w:t>.” Moreover, a</w:t>
      </w:r>
      <w:r w:rsidR="0096418F" w:rsidRPr="00EA6C7A">
        <w:rPr>
          <w:lang w:val="en-US"/>
        </w:rPr>
        <w:t>rticles</w:t>
      </w:r>
      <w:r w:rsidR="006D228A" w:rsidRPr="00EA6C7A">
        <w:rPr>
          <w:lang w:val="en-US"/>
        </w:rPr>
        <w:t xml:space="preserve"> 22</w:t>
      </w:r>
      <w:r w:rsidR="00D948A1" w:rsidRPr="00EA6C7A">
        <w:rPr>
          <w:lang w:val="en-US"/>
        </w:rPr>
        <w:t xml:space="preserve"> and </w:t>
      </w:r>
      <w:r w:rsidR="006D228A" w:rsidRPr="00EA6C7A">
        <w:rPr>
          <w:lang w:val="en-US"/>
        </w:rPr>
        <w:t>23</w:t>
      </w:r>
      <w:r w:rsidRPr="00EA6C7A">
        <w:rPr>
          <w:lang w:val="en-US"/>
        </w:rPr>
        <w:t xml:space="preserve"> of this law establish</w:t>
      </w:r>
      <w:r w:rsidR="00FA7AE9" w:rsidRPr="00EA6C7A">
        <w:rPr>
          <w:lang w:val="en-US"/>
        </w:rPr>
        <w:t>ed</w:t>
      </w:r>
      <w:r w:rsidRPr="00EA6C7A">
        <w:rPr>
          <w:lang w:val="en-US"/>
        </w:rPr>
        <w:t xml:space="preserve"> a period of 12 months for “</w:t>
      </w:r>
      <w:r w:rsidR="00FA7AE9" w:rsidRPr="00EA6C7A">
        <w:rPr>
          <w:lang w:val="en-US"/>
        </w:rPr>
        <w:t>creat</w:t>
      </w:r>
      <w:r w:rsidRPr="00EA6C7A">
        <w:rPr>
          <w:lang w:val="en-US"/>
        </w:rPr>
        <w:t>ing” “the specialized jurisdictional organs referred to in a</w:t>
      </w:r>
      <w:r w:rsidR="0096418F" w:rsidRPr="00EA6C7A">
        <w:rPr>
          <w:lang w:val="en-US"/>
        </w:rPr>
        <w:t>rticle</w:t>
      </w:r>
      <w:r w:rsidR="006D228A" w:rsidRPr="00EA6C7A">
        <w:rPr>
          <w:lang w:val="en-US"/>
        </w:rPr>
        <w:t xml:space="preserve"> 15 […] </w:t>
      </w:r>
      <w:r w:rsidRPr="00EA6C7A">
        <w:rPr>
          <w:lang w:val="en-US"/>
        </w:rPr>
        <w:t>throughout the Republic</w:t>
      </w:r>
      <w:r w:rsidR="00FA7AE9" w:rsidRPr="00EA6C7A">
        <w:rPr>
          <w:lang w:val="en-US"/>
        </w:rPr>
        <w:t>,</w:t>
      </w:r>
      <w:r w:rsidR="006D228A" w:rsidRPr="00EA6C7A">
        <w:rPr>
          <w:lang w:val="en-US"/>
        </w:rPr>
        <w:t>”</w:t>
      </w:r>
      <w:r w:rsidR="00D948A1" w:rsidRPr="00EA6C7A">
        <w:rPr>
          <w:lang w:val="en-US"/>
        </w:rPr>
        <w:t xml:space="preserve"> </w:t>
      </w:r>
      <w:r w:rsidRPr="00EA6C7A">
        <w:rPr>
          <w:lang w:val="en-US"/>
        </w:rPr>
        <w:t>as well as</w:t>
      </w:r>
      <w:r w:rsidR="006D228A" w:rsidRPr="00EA6C7A">
        <w:rPr>
          <w:lang w:val="en-US"/>
        </w:rPr>
        <w:t xml:space="preserve"> “[</w:t>
      </w:r>
      <w:r w:rsidRPr="00EA6C7A">
        <w:rPr>
          <w:lang w:val="en-US"/>
        </w:rPr>
        <w:t>the</w:t>
      </w:r>
      <w:r w:rsidR="006D228A" w:rsidRPr="00EA6C7A">
        <w:rPr>
          <w:lang w:val="en-US"/>
        </w:rPr>
        <w:t>]</w:t>
      </w:r>
      <w:r w:rsidRPr="00EA6C7A">
        <w:rPr>
          <w:lang w:val="en-US"/>
        </w:rPr>
        <w:t xml:space="preserve"> prosecutor’s office referred to in a</w:t>
      </w:r>
      <w:r w:rsidR="0096418F" w:rsidRPr="00EA6C7A">
        <w:rPr>
          <w:lang w:val="en-US"/>
        </w:rPr>
        <w:t>rticle</w:t>
      </w:r>
      <w:r w:rsidRPr="00EA6C7A">
        <w:rPr>
          <w:lang w:val="en-US"/>
        </w:rPr>
        <w:t xml:space="preserve"> </w:t>
      </w:r>
      <w:r w:rsidR="006D228A" w:rsidRPr="00EA6C7A">
        <w:rPr>
          <w:lang w:val="en-US"/>
        </w:rPr>
        <w:t>14</w:t>
      </w:r>
      <w:r w:rsidR="00D236D4" w:rsidRPr="00EA6C7A">
        <w:rPr>
          <w:lang w:val="en-US"/>
        </w:rPr>
        <w:t>.</w:t>
      </w:r>
      <w:r w:rsidR="006D228A" w:rsidRPr="00EA6C7A">
        <w:rPr>
          <w:lang w:val="en-US"/>
        </w:rPr>
        <w:t>”</w:t>
      </w:r>
      <w:r w:rsidR="006D228A" w:rsidRPr="00EA6C7A">
        <w:rPr>
          <w:rStyle w:val="Refdenotaalpie"/>
          <w:lang w:val="en-US"/>
        </w:rPr>
        <w:footnoteReference w:id="338"/>
      </w:r>
    </w:p>
    <w:p w14:paraId="2CBACB59"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1517D925" w14:textId="77777777" w:rsidR="006D228A" w:rsidRPr="00EA6C7A" w:rsidRDefault="0008006A" w:rsidP="00077D21">
      <w:pPr>
        <w:pStyle w:val="PrrafodeSentencia"/>
        <w:rPr>
          <w:lang w:val="en-US"/>
        </w:rPr>
      </w:pPr>
      <w:r w:rsidRPr="00EA6C7A">
        <w:rPr>
          <w:lang w:val="en-US"/>
        </w:rPr>
        <w:t>I</w:t>
      </w:r>
      <w:r w:rsidR="006D228A" w:rsidRPr="00EA6C7A">
        <w:rPr>
          <w:lang w:val="en-US"/>
        </w:rPr>
        <w:t xml:space="preserve">n </w:t>
      </w:r>
      <w:r w:rsidR="007E6E93" w:rsidRPr="00EA6C7A">
        <w:rPr>
          <w:lang w:val="en-US"/>
        </w:rPr>
        <w:t>the case of</w:t>
      </w:r>
      <w:r w:rsidR="001914FC" w:rsidRPr="00EA6C7A">
        <w:rPr>
          <w:i/>
          <w:lang w:val="en-US"/>
        </w:rPr>
        <w:t xml:space="preserve"> </w:t>
      </w:r>
      <w:r w:rsidR="006D228A" w:rsidRPr="00EA6C7A">
        <w:rPr>
          <w:i/>
          <w:lang w:val="en-US"/>
        </w:rPr>
        <w:t>Veliz Franco</w:t>
      </w:r>
      <w:r w:rsidR="000374F0" w:rsidRPr="00EA6C7A">
        <w:rPr>
          <w:i/>
          <w:lang w:val="en-US"/>
        </w:rPr>
        <w:t xml:space="preserve"> </w:t>
      </w:r>
      <w:r w:rsidR="006A51FD" w:rsidRPr="00EA6C7A">
        <w:rPr>
          <w:i/>
          <w:lang w:val="en-US"/>
        </w:rPr>
        <w:t>et al.</w:t>
      </w:r>
      <w:r w:rsidR="006D228A" w:rsidRPr="00EA6C7A">
        <w:rPr>
          <w:lang w:val="en-US"/>
        </w:rPr>
        <w:t xml:space="preserve">, </w:t>
      </w:r>
      <w:r w:rsidR="002F3848" w:rsidRPr="00EA6C7A">
        <w:rPr>
          <w:lang w:val="en-US"/>
        </w:rPr>
        <w:t>the State</w:t>
      </w:r>
      <w:r w:rsidR="006D228A" w:rsidRPr="00EA6C7A">
        <w:rPr>
          <w:lang w:val="en-US"/>
        </w:rPr>
        <w:t xml:space="preserve"> </w:t>
      </w:r>
      <w:r w:rsidRPr="00EA6C7A">
        <w:rPr>
          <w:lang w:val="en-US"/>
        </w:rPr>
        <w:t>reported that</w:t>
      </w:r>
      <w:r w:rsidR="006D228A" w:rsidRPr="00EA6C7A">
        <w:rPr>
          <w:lang w:val="en-US"/>
        </w:rPr>
        <w:t xml:space="preserve"> “</w:t>
      </w:r>
      <w:r w:rsidR="0096418F" w:rsidRPr="00EA6C7A">
        <w:rPr>
          <w:lang w:val="en-US"/>
        </w:rPr>
        <w:t xml:space="preserve">the </w:t>
      </w:r>
      <w:r w:rsidRPr="00EA6C7A">
        <w:rPr>
          <w:lang w:val="en-US"/>
        </w:rPr>
        <w:t xml:space="preserve">Guatemalan </w:t>
      </w:r>
      <w:r w:rsidR="00496C1B" w:rsidRPr="00EA6C7A">
        <w:rPr>
          <w:lang w:val="en-US"/>
        </w:rPr>
        <w:t>Supreme Court of Justice</w:t>
      </w:r>
      <w:r w:rsidRPr="00EA6C7A">
        <w:rPr>
          <w:lang w:val="en-US"/>
        </w:rPr>
        <w:t>, in decision</w:t>
      </w:r>
      <w:r w:rsidR="006D228A" w:rsidRPr="00EA6C7A">
        <w:rPr>
          <w:lang w:val="en-US"/>
        </w:rPr>
        <w:t xml:space="preserve"> 1-2010” </w:t>
      </w:r>
      <w:r w:rsidRPr="00EA6C7A">
        <w:rPr>
          <w:lang w:val="en-US"/>
        </w:rPr>
        <w:t xml:space="preserve">had </w:t>
      </w:r>
      <w:r w:rsidR="006D228A" w:rsidRPr="00EA6C7A">
        <w:rPr>
          <w:lang w:val="en-US"/>
        </w:rPr>
        <w:t>ap</w:t>
      </w:r>
      <w:r w:rsidRPr="00EA6C7A">
        <w:rPr>
          <w:lang w:val="en-US"/>
        </w:rPr>
        <w:t xml:space="preserve">proved the creation of specialized courts in some of </w:t>
      </w:r>
      <w:r w:rsidRPr="00EA6C7A">
        <w:rPr>
          <w:lang w:val="en-US"/>
        </w:rPr>
        <w:lastRenderedPageBreak/>
        <w:t xml:space="preserve">the country’s departments. However, the Court determined that, from the information provided, it was not clear whether this had been done in the remaining departments of Guatemala. In particular, it established that, in 2010, </w:t>
      </w:r>
      <w:r w:rsidR="0096418F" w:rsidRPr="00EA6C7A">
        <w:rPr>
          <w:lang w:val="en-US"/>
        </w:rPr>
        <w:t xml:space="preserve">the </w:t>
      </w:r>
      <w:r w:rsidR="00496C1B" w:rsidRPr="00EA6C7A">
        <w:rPr>
          <w:lang w:val="en-US"/>
        </w:rPr>
        <w:t>Supreme Court of Justice</w:t>
      </w:r>
      <w:r w:rsidR="006D228A" w:rsidRPr="00EA6C7A">
        <w:rPr>
          <w:lang w:val="en-US"/>
        </w:rPr>
        <w:t xml:space="preserve"> ap</w:t>
      </w:r>
      <w:r w:rsidRPr="00EA6C7A">
        <w:rPr>
          <w:lang w:val="en-US"/>
        </w:rPr>
        <w:t xml:space="preserve">proved the creation of “courts and tribunals for femicide </w:t>
      </w:r>
      <w:r w:rsidR="006203AA" w:rsidRPr="00EA6C7A">
        <w:rPr>
          <w:lang w:val="en-US"/>
        </w:rPr>
        <w:t>and other forms of violence against women</w:t>
      </w:r>
      <w:r w:rsidR="006D228A" w:rsidRPr="00EA6C7A">
        <w:rPr>
          <w:lang w:val="en-US"/>
        </w:rPr>
        <w:t xml:space="preserve">” </w:t>
      </w:r>
      <w:r w:rsidR="006203AA" w:rsidRPr="00EA6C7A">
        <w:rPr>
          <w:lang w:val="en-US"/>
        </w:rPr>
        <w:t>in the departments of</w:t>
      </w:r>
      <w:r w:rsidR="006D228A" w:rsidRPr="00EA6C7A">
        <w:rPr>
          <w:lang w:val="en-US"/>
        </w:rPr>
        <w:t xml:space="preserve"> Guatemala, Chiquimula</w:t>
      </w:r>
      <w:r w:rsidR="00D948A1" w:rsidRPr="00EA6C7A">
        <w:rPr>
          <w:lang w:val="en-US"/>
        </w:rPr>
        <w:t xml:space="preserve"> and </w:t>
      </w:r>
      <w:r w:rsidR="006D228A" w:rsidRPr="00EA6C7A">
        <w:rPr>
          <w:lang w:val="en-US"/>
        </w:rPr>
        <w:t xml:space="preserve">Quetzaltenango. </w:t>
      </w:r>
      <w:r w:rsidRPr="00EA6C7A">
        <w:rPr>
          <w:lang w:val="en-US"/>
        </w:rPr>
        <w:t>Subsequently</w:t>
      </w:r>
      <w:r w:rsidR="006D228A" w:rsidRPr="00EA6C7A">
        <w:rPr>
          <w:lang w:val="en-US"/>
        </w:rPr>
        <w:t xml:space="preserve">, </w:t>
      </w:r>
      <w:r w:rsidRPr="00EA6C7A">
        <w:rPr>
          <w:lang w:val="en-US"/>
        </w:rPr>
        <w:t>i</w:t>
      </w:r>
      <w:r w:rsidR="006D228A" w:rsidRPr="00EA6C7A">
        <w:rPr>
          <w:lang w:val="en-US"/>
        </w:rPr>
        <w:t xml:space="preserve">n 2012, </w:t>
      </w:r>
      <w:r w:rsidRPr="00EA6C7A">
        <w:rPr>
          <w:lang w:val="en-US"/>
        </w:rPr>
        <w:t xml:space="preserve">it </w:t>
      </w:r>
      <w:r w:rsidR="008C4FF3" w:rsidRPr="00EA6C7A">
        <w:rPr>
          <w:lang w:val="en-US"/>
        </w:rPr>
        <w:t>approved</w:t>
      </w:r>
      <w:r w:rsidRPr="00EA6C7A">
        <w:rPr>
          <w:lang w:val="en-US"/>
        </w:rPr>
        <w:t xml:space="preserve"> the creation of another two specialized courts and tribunals</w:t>
      </w:r>
      <w:r w:rsidR="006D228A" w:rsidRPr="00EA6C7A">
        <w:rPr>
          <w:lang w:val="en-US"/>
        </w:rPr>
        <w:t xml:space="preserve"> </w:t>
      </w:r>
      <w:r w:rsidR="006203AA" w:rsidRPr="00EA6C7A">
        <w:rPr>
          <w:lang w:val="en-US"/>
        </w:rPr>
        <w:t>in the departments of</w:t>
      </w:r>
      <w:r w:rsidR="006D228A" w:rsidRPr="00EA6C7A">
        <w:rPr>
          <w:lang w:val="en-US"/>
        </w:rPr>
        <w:t xml:space="preserve"> Huehuetenango</w:t>
      </w:r>
      <w:r w:rsidR="00D948A1" w:rsidRPr="00EA6C7A">
        <w:rPr>
          <w:lang w:val="en-US"/>
        </w:rPr>
        <w:t xml:space="preserve"> and </w:t>
      </w:r>
      <w:r w:rsidR="006D228A" w:rsidRPr="00EA6C7A">
        <w:rPr>
          <w:lang w:val="en-US"/>
        </w:rPr>
        <w:t xml:space="preserve">Alta Verapaz. </w:t>
      </w:r>
      <w:r w:rsidRPr="00EA6C7A">
        <w:rPr>
          <w:lang w:val="en-US"/>
        </w:rPr>
        <w:t xml:space="preserve">However, there is no evidence that specialized courts were created in the other </w:t>
      </w:r>
      <w:r w:rsidR="006D228A" w:rsidRPr="00EA6C7A">
        <w:rPr>
          <w:lang w:val="en-US"/>
        </w:rPr>
        <w:t xml:space="preserve">17 departments </w:t>
      </w:r>
      <w:r w:rsidRPr="00EA6C7A">
        <w:rPr>
          <w:lang w:val="en-US"/>
        </w:rPr>
        <w:t>of</w:t>
      </w:r>
      <w:r w:rsidR="006D228A" w:rsidRPr="00EA6C7A">
        <w:rPr>
          <w:lang w:val="en-US"/>
        </w:rPr>
        <w:t xml:space="preserve"> Guatemala</w:t>
      </w:r>
      <w:r w:rsidRPr="00EA6C7A">
        <w:rPr>
          <w:lang w:val="en-US"/>
        </w:rPr>
        <w:t>.</w:t>
      </w:r>
      <w:r w:rsidR="006D228A" w:rsidRPr="00EA6C7A">
        <w:rPr>
          <w:rStyle w:val="Refdenotaalpie"/>
          <w:lang w:val="en-US"/>
        </w:rPr>
        <w:footnoteReference w:id="339"/>
      </w:r>
      <w:r w:rsidR="006D228A" w:rsidRPr="00EA6C7A">
        <w:rPr>
          <w:lang w:val="en-US"/>
        </w:rPr>
        <w:t xml:space="preserve"> </w:t>
      </w:r>
    </w:p>
    <w:p w14:paraId="4EF222AD" w14:textId="77777777" w:rsidR="006D228A" w:rsidRPr="00EA6C7A" w:rsidRDefault="006D228A" w:rsidP="006D228A">
      <w:pPr>
        <w:tabs>
          <w:tab w:val="left" w:pos="567"/>
        </w:tabs>
        <w:spacing w:after="0" w:line="240" w:lineRule="auto"/>
        <w:jc w:val="both"/>
        <w:rPr>
          <w:rFonts w:ascii="Verdana" w:eastAsia="Batang" w:hAnsi="Verdana"/>
          <w:sz w:val="20"/>
          <w:szCs w:val="20"/>
          <w:lang w:val="en-US" w:eastAsia="es-MX"/>
        </w:rPr>
      </w:pPr>
    </w:p>
    <w:p w14:paraId="3A293691" w14:textId="77777777" w:rsidR="006D228A" w:rsidRPr="00EA6C7A" w:rsidRDefault="0008006A" w:rsidP="00077D21">
      <w:pPr>
        <w:pStyle w:val="PrrafodeSentencia"/>
        <w:rPr>
          <w:lang w:val="en-US"/>
        </w:rPr>
      </w:pPr>
      <w:r w:rsidRPr="00EA6C7A">
        <w:rPr>
          <w:lang w:val="en-US"/>
        </w:rPr>
        <w:t>In this case</w:t>
      </w:r>
      <w:r w:rsidR="006D228A" w:rsidRPr="00EA6C7A">
        <w:rPr>
          <w:lang w:val="en-US"/>
        </w:rPr>
        <w:t xml:space="preserve">, </w:t>
      </w:r>
      <w:r w:rsidR="002F3848" w:rsidRPr="00EA6C7A">
        <w:rPr>
          <w:lang w:val="en-US"/>
        </w:rPr>
        <w:t>the State</w:t>
      </w:r>
      <w:r w:rsidR="006D228A" w:rsidRPr="00EA6C7A">
        <w:rPr>
          <w:lang w:val="en-US"/>
        </w:rPr>
        <w:t xml:space="preserve"> h</w:t>
      </w:r>
      <w:r w:rsidRPr="00EA6C7A">
        <w:rPr>
          <w:lang w:val="en-US"/>
        </w:rPr>
        <w:t>as advised that it</w:t>
      </w:r>
      <w:r w:rsidR="006D228A" w:rsidRPr="00EA6C7A">
        <w:rPr>
          <w:lang w:val="en-US"/>
        </w:rPr>
        <w:t xml:space="preserve"> “</w:t>
      </w:r>
      <w:r w:rsidRPr="00EA6C7A">
        <w:rPr>
          <w:lang w:val="en-US"/>
        </w:rPr>
        <w:t>has</w:t>
      </w:r>
      <w:r w:rsidR="006D228A" w:rsidRPr="00EA6C7A">
        <w:rPr>
          <w:lang w:val="en-US"/>
        </w:rPr>
        <w:t xml:space="preserve">” </w:t>
      </w:r>
      <w:r w:rsidR="009137E5" w:rsidRPr="00EA6C7A">
        <w:rPr>
          <w:lang w:val="en-US"/>
        </w:rPr>
        <w:t>a</w:t>
      </w:r>
      <w:r w:rsidR="009C5D41" w:rsidRPr="00EA6C7A">
        <w:rPr>
          <w:lang w:val="en-US"/>
        </w:rPr>
        <w:t xml:space="preserve"> Special Prosecutor’s Office for Women’s Affair</w:t>
      </w:r>
      <w:r w:rsidRPr="00EA6C7A">
        <w:rPr>
          <w:lang w:val="en-US"/>
        </w:rPr>
        <w:t>s</w:t>
      </w:r>
      <w:r w:rsidR="006D228A" w:rsidRPr="00EA6C7A">
        <w:rPr>
          <w:lang w:val="en-US"/>
        </w:rPr>
        <w:t xml:space="preserve">, </w:t>
      </w:r>
      <w:r w:rsidRPr="00EA6C7A">
        <w:rPr>
          <w:lang w:val="en-US"/>
        </w:rPr>
        <w:t xml:space="preserve">responsible for criminal prosecution </w:t>
      </w:r>
      <w:r w:rsidR="009137E5" w:rsidRPr="00EA6C7A">
        <w:rPr>
          <w:lang w:val="en-US"/>
        </w:rPr>
        <w:t>of</w:t>
      </w:r>
      <w:r w:rsidRPr="00EA6C7A">
        <w:rPr>
          <w:lang w:val="en-US"/>
        </w:rPr>
        <w:t xml:space="preserve"> domestic violence and </w:t>
      </w:r>
      <w:r w:rsidR="00C12C08" w:rsidRPr="00EA6C7A">
        <w:rPr>
          <w:lang w:val="en-US"/>
        </w:rPr>
        <w:t>violence against women</w:t>
      </w:r>
      <w:r w:rsidR="006D228A" w:rsidRPr="00EA6C7A">
        <w:rPr>
          <w:lang w:val="en-US"/>
        </w:rPr>
        <w:t>, as</w:t>
      </w:r>
      <w:r w:rsidRPr="00EA6C7A">
        <w:rPr>
          <w:lang w:val="en-US"/>
        </w:rPr>
        <w:t xml:space="preserve"> well as 12 special prosecutors in seven departments who exclusively examine crimes of femicide.</w:t>
      </w:r>
      <w:r w:rsidR="006D228A" w:rsidRPr="00EA6C7A">
        <w:rPr>
          <w:vertAlign w:val="superscript"/>
        </w:rPr>
        <w:footnoteReference w:id="340"/>
      </w:r>
      <w:r w:rsidRPr="00EA6C7A">
        <w:rPr>
          <w:lang w:val="en-US"/>
        </w:rPr>
        <w:t xml:space="preserve"> Nevertheless, the Court has no information on the </w:t>
      </w:r>
      <w:r w:rsidR="009137E5" w:rsidRPr="00EA6C7A">
        <w:rPr>
          <w:lang w:val="en-US"/>
        </w:rPr>
        <w:t>possible</w:t>
      </w:r>
      <w:r w:rsidRPr="00EA6C7A">
        <w:rPr>
          <w:lang w:val="en-US"/>
        </w:rPr>
        <w:t xml:space="preserve"> </w:t>
      </w:r>
      <w:r w:rsidR="009137E5" w:rsidRPr="00EA6C7A">
        <w:rPr>
          <w:lang w:val="en-US"/>
        </w:rPr>
        <w:t>creation</w:t>
      </w:r>
      <w:r w:rsidRPr="00EA6C7A">
        <w:rPr>
          <w:lang w:val="en-US"/>
        </w:rPr>
        <w:t xml:space="preserve"> of the Office of the Prosecutor for Crimes against the Life and Physical Integrity of Women mentioned in a</w:t>
      </w:r>
      <w:r w:rsidR="0096418F" w:rsidRPr="00EA6C7A">
        <w:rPr>
          <w:lang w:val="en-US"/>
        </w:rPr>
        <w:t>rticles</w:t>
      </w:r>
      <w:r w:rsidR="006D228A" w:rsidRPr="00EA6C7A">
        <w:rPr>
          <w:lang w:val="en-US"/>
        </w:rPr>
        <w:t xml:space="preserve"> 14</w:t>
      </w:r>
      <w:r w:rsidR="00D948A1" w:rsidRPr="00EA6C7A">
        <w:rPr>
          <w:lang w:val="en-US"/>
        </w:rPr>
        <w:t xml:space="preserve"> and </w:t>
      </w:r>
      <w:r w:rsidR="006D228A" w:rsidRPr="00EA6C7A">
        <w:rPr>
          <w:lang w:val="en-US"/>
        </w:rPr>
        <w:t xml:space="preserve">23 </w:t>
      </w:r>
      <w:r w:rsidRPr="00EA6C7A">
        <w:rPr>
          <w:lang w:val="en-US"/>
        </w:rPr>
        <w:t xml:space="preserve">of the Law against Femicide, and the information provided fails to reveal whether the jurisdictional organs mentioned by the State </w:t>
      </w:r>
      <w:r w:rsidR="006D228A" w:rsidRPr="00EA6C7A">
        <w:rPr>
          <w:lang w:val="en-US"/>
        </w:rPr>
        <w:t>(</w:t>
      </w:r>
      <w:r w:rsidR="006D228A" w:rsidRPr="00EA6C7A">
        <w:rPr>
          <w:i/>
          <w:lang w:val="en-US"/>
        </w:rPr>
        <w:t>supra</w:t>
      </w:r>
      <w:r w:rsidR="006D228A" w:rsidRPr="00EA6C7A">
        <w:rPr>
          <w:lang w:val="en-US"/>
        </w:rPr>
        <w:t xml:space="preserve"> </w:t>
      </w:r>
      <w:r w:rsidR="008524CB" w:rsidRPr="00EA6C7A">
        <w:rPr>
          <w:lang w:val="en-US"/>
        </w:rPr>
        <w:t>paras.</w:t>
      </w:r>
      <w:r w:rsidR="006D228A" w:rsidRPr="00EA6C7A">
        <w:rPr>
          <w:lang w:val="en-US"/>
        </w:rPr>
        <w:t xml:space="preserve"> 251</w:t>
      </w:r>
      <w:r w:rsidR="00D948A1" w:rsidRPr="00EA6C7A">
        <w:rPr>
          <w:lang w:val="en-US"/>
        </w:rPr>
        <w:t xml:space="preserve"> and </w:t>
      </w:r>
      <w:r w:rsidR="006D228A" w:rsidRPr="00EA6C7A">
        <w:rPr>
          <w:lang w:val="en-US"/>
        </w:rPr>
        <w:t xml:space="preserve">256) </w:t>
      </w:r>
      <w:r w:rsidRPr="00EA6C7A">
        <w:rPr>
          <w:lang w:val="en-US"/>
        </w:rPr>
        <w:t>were established in compliance with the provisions of a</w:t>
      </w:r>
      <w:r w:rsidR="0096418F" w:rsidRPr="00EA6C7A">
        <w:rPr>
          <w:lang w:val="en-US"/>
        </w:rPr>
        <w:t>rticles</w:t>
      </w:r>
      <w:r w:rsidR="006D228A" w:rsidRPr="00EA6C7A">
        <w:rPr>
          <w:lang w:val="en-US"/>
        </w:rPr>
        <w:t xml:space="preserve"> 15</w:t>
      </w:r>
      <w:r w:rsidR="00D948A1" w:rsidRPr="00EA6C7A">
        <w:rPr>
          <w:lang w:val="en-US"/>
        </w:rPr>
        <w:t xml:space="preserve"> and </w:t>
      </w:r>
      <w:r w:rsidR="006D228A" w:rsidRPr="00EA6C7A">
        <w:rPr>
          <w:lang w:val="en-US"/>
        </w:rPr>
        <w:t xml:space="preserve">22 </w:t>
      </w:r>
      <w:r w:rsidRPr="00EA6C7A">
        <w:rPr>
          <w:lang w:val="en-US"/>
        </w:rPr>
        <w:t xml:space="preserve">of this law; in other words, in all the departments of Guatemala. </w:t>
      </w:r>
      <w:r w:rsidR="003F7447" w:rsidRPr="00EA6C7A">
        <w:rPr>
          <w:lang w:val="en-US"/>
        </w:rPr>
        <w:t>Consequently, and taking into account the provisions of the Law against Femicide, the Court finds it pertinent to again require the State,</w:t>
      </w:r>
      <w:r w:rsidR="006D228A" w:rsidRPr="00EA6C7A">
        <w:rPr>
          <w:lang w:val="en-US"/>
        </w:rPr>
        <w:t xml:space="preserve"> </w:t>
      </w:r>
      <w:r w:rsidR="00AD3BCF" w:rsidRPr="00EA6C7A">
        <w:rPr>
          <w:lang w:val="en-US"/>
        </w:rPr>
        <w:t>within a reasonable time</w:t>
      </w:r>
      <w:r w:rsidR="006D228A" w:rsidRPr="00EA6C7A">
        <w:rPr>
          <w:lang w:val="en-US"/>
        </w:rPr>
        <w:t xml:space="preserve">, </w:t>
      </w:r>
      <w:r w:rsidR="003F7447" w:rsidRPr="00EA6C7A">
        <w:rPr>
          <w:lang w:val="en-US"/>
        </w:rPr>
        <w:t xml:space="preserve">to </w:t>
      </w:r>
      <w:r w:rsidR="009137E5" w:rsidRPr="00EA6C7A">
        <w:rPr>
          <w:lang w:val="en-US"/>
        </w:rPr>
        <w:t>ensure</w:t>
      </w:r>
      <w:r w:rsidR="003F7447" w:rsidRPr="00EA6C7A">
        <w:rPr>
          <w:lang w:val="en-US"/>
        </w:rPr>
        <w:t xml:space="preserve"> the full functioning of the “specialized jurisdictional organs” throughout</w:t>
      </w:r>
      <w:r w:rsidR="006D228A" w:rsidRPr="00EA6C7A">
        <w:rPr>
          <w:lang w:val="en-US"/>
        </w:rPr>
        <w:t xml:space="preserve"> </w:t>
      </w:r>
      <w:r w:rsidR="003C14C1" w:rsidRPr="00EA6C7A">
        <w:rPr>
          <w:lang w:val="en-US"/>
        </w:rPr>
        <w:t>the Republic of</w:t>
      </w:r>
      <w:r w:rsidR="006D228A" w:rsidRPr="00EA6C7A">
        <w:rPr>
          <w:lang w:val="en-US"/>
        </w:rPr>
        <w:t xml:space="preserve"> Guatemala, </w:t>
      </w:r>
      <w:r w:rsidR="003F7447" w:rsidRPr="00EA6C7A">
        <w:rPr>
          <w:lang w:val="en-US"/>
        </w:rPr>
        <w:t>and also the special prosecutors’ offices.</w:t>
      </w:r>
    </w:p>
    <w:p w14:paraId="5A1F2BD8" w14:textId="77777777" w:rsidR="006D228A" w:rsidRPr="00EA6C7A" w:rsidRDefault="006D228A" w:rsidP="00077D21">
      <w:pPr>
        <w:pStyle w:val="PrrafodeSentencia"/>
        <w:numPr>
          <w:ilvl w:val="0"/>
          <w:numId w:val="0"/>
        </w:numPr>
        <w:rPr>
          <w:lang w:val="en-US"/>
        </w:rPr>
      </w:pPr>
    </w:p>
    <w:p w14:paraId="78E1EF22" w14:textId="77777777" w:rsidR="006D228A" w:rsidRPr="00EA6C7A" w:rsidRDefault="003F7447" w:rsidP="00077D21">
      <w:pPr>
        <w:pStyle w:val="PrrafodeSentencia"/>
        <w:rPr>
          <w:lang w:val="en-US"/>
        </w:rPr>
      </w:pPr>
      <w:r w:rsidRPr="00EA6C7A">
        <w:rPr>
          <w:lang w:val="en-US"/>
        </w:rPr>
        <w:t xml:space="preserve">Lastly, and third, even though, in this case, the State has referred to training on prevention and eradication of </w:t>
      </w:r>
      <w:r w:rsidR="00C12C08" w:rsidRPr="00EA6C7A">
        <w:rPr>
          <w:lang w:val="en-US"/>
        </w:rPr>
        <w:t>violence against women</w:t>
      </w:r>
      <w:r w:rsidR="006D228A" w:rsidRPr="00EA6C7A">
        <w:rPr>
          <w:lang w:val="en-US"/>
        </w:rPr>
        <w:t xml:space="preserve"> pres</w:t>
      </w:r>
      <w:r w:rsidRPr="00EA6C7A">
        <w:rPr>
          <w:lang w:val="en-US"/>
        </w:rPr>
        <w:t>umably provided by the Judiciary,</w:t>
      </w:r>
      <w:r w:rsidR="006D228A" w:rsidRPr="00EA6C7A">
        <w:rPr>
          <w:rStyle w:val="Refdenotaalpie"/>
          <w:lang w:val="en-US"/>
        </w:rPr>
        <w:footnoteReference w:id="341"/>
      </w:r>
      <w:r w:rsidR="006D228A" w:rsidRPr="00EA6C7A">
        <w:rPr>
          <w:lang w:val="en-US"/>
        </w:rPr>
        <w:t xml:space="preserve"> </w:t>
      </w:r>
      <w:r w:rsidRPr="00EA6C7A">
        <w:rPr>
          <w:lang w:val="en-US"/>
        </w:rPr>
        <w:t>the Legislature</w:t>
      </w:r>
      <w:r w:rsidR="006D228A" w:rsidRPr="00EA6C7A">
        <w:rPr>
          <w:lang w:val="en-US"/>
        </w:rPr>
        <w:t xml:space="preserve">, </w:t>
      </w:r>
      <w:r w:rsidRPr="00EA6C7A">
        <w:rPr>
          <w:lang w:val="en-US"/>
        </w:rPr>
        <w:t>the</w:t>
      </w:r>
      <w:r w:rsidR="006D228A" w:rsidRPr="00EA6C7A">
        <w:rPr>
          <w:lang w:val="en-US"/>
        </w:rPr>
        <w:t xml:space="preserve"> </w:t>
      </w:r>
      <w:r w:rsidR="003B5D2D" w:rsidRPr="00EA6C7A">
        <w:rPr>
          <w:lang w:val="en-US"/>
        </w:rPr>
        <w:t>Ministry of the Interior</w:t>
      </w:r>
      <w:r w:rsidRPr="00EA6C7A">
        <w:rPr>
          <w:lang w:val="en-US"/>
        </w:rPr>
        <w:t>,</w:t>
      </w:r>
      <w:r w:rsidR="006D228A" w:rsidRPr="00EA6C7A">
        <w:rPr>
          <w:rStyle w:val="Refdenotaalpie"/>
          <w:lang w:val="en-US"/>
        </w:rPr>
        <w:footnoteReference w:id="342"/>
      </w:r>
      <w:r w:rsidR="006D228A" w:rsidRPr="00EA6C7A">
        <w:rPr>
          <w:lang w:val="en-US"/>
        </w:rPr>
        <w:t xml:space="preserve"> </w:t>
      </w:r>
      <w:r w:rsidR="000B3E6E" w:rsidRPr="00EA6C7A">
        <w:rPr>
          <w:lang w:val="en-US"/>
        </w:rPr>
        <w:t>the National</w:t>
      </w:r>
      <w:r w:rsidR="000B3E6E" w:rsidRPr="00EA6C7A">
        <w:rPr>
          <w:bCs/>
          <w:lang w:val="en-US"/>
        </w:rPr>
        <w:t xml:space="preserve"> Civil Police</w:t>
      </w:r>
      <w:r w:rsidR="006D228A" w:rsidRPr="00EA6C7A">
        <w:rPr>
          <w:bCs/>
          <w:lang w:val="en-US"/>
        </w:rPr>
        <w:t xml:space="preserve"> (PNC)</w:t>
      </w:r>
      <w:r w:rsidRPr="00EA6C7A">
        <w:rPr>
          <w:bCs/>
          <w:lang w:val="en-US"/>
        </w:rPr>
        <w:t>,</w:t>
      </w:r>
      <w:r w:rsidR="006D228A" w:rsidRPr="00EA6C7A">
        <w:rPr>
          <w:rStyle w:val="Refdenotaalpie"/>
          <w:bCs/>
          <w:lang w:val="en-US"/>
        </w:rPr>
        <w:footnoteReference w:id="343"/>
      </w:r>
      <w:r w:rsidR="006D228A" w:rsidRPr="00EA6C7A">
        <w:rPr>
          <w:lang w:val="en-US"/>
        </w:rPr>
        <w:t xml:space="preserve"> </w:t>
      </w:r>
      <w:r w:rsidR="009137E5" w:rsidRPr="00EA6C7A">
        <w:rPr>
          <w:lang w:val="en-US"/>
        </w:rPr>
        <w:t>the</w:t>
      </w:r>
      <w:r w:rsidR="006D228A" w:rsidRPr="00EA6C7A">
        <w:rPr>
          <w:lang w:val="en-US"/>
        </w:rPr>
        <w:t xml:space="preserve"> </w:t>
      </w:r>
      <w:r w:rsidR="00B3248B" w:rsidRPr="00EA6C7A">
        <w:rPr>
          <w:bCs/>
          <w:lang w:val="en-US"/>
        </w:rPr>
        <w:t>Public Prosecution Service</w:t>
      </w:r>
      <w:r w:rsidRPr="00EA6C7A">
        <w:rPr>
          <w:bCs/>
          <w:lang w:val="en-US"/>
        </w:rPr>
        <w:t>,</w:t>
      </w:r>
      <w:r w:rsidR="00D948A1" w:rsidRPr="00EA6C7A">
        <w:rPr>
          <w:bCs/>
          <w:lang w:val="en-US"/>
        </w:rPr>
        <w:t xml:space="preserve"> and </w:t>
      </w:r>
      <w:r w:rsidR="0096418F" w:rsidRPr="00EA6C7A">
        <w:rPr>
          <w:bCs/>
          <w:lang w:val="en-US"/>
        </w:rPr>
        <w:t xml:space="preserve">the </w:t>
      </w:r>
      <w:r w:rsidR="00C12C08" w:rsidRPr="00EA6C7A">
        <w:rPr>
          <w:bCs/>
          <w:lang w:val="en-US"/>
        </w:rPr>
        <w:t>Presidential Human Rights Commission</w:t>
      </w:r>
      <w:r w:rsidR="006D228A" w:rsidRPr="00EA6C7A">
        <w:rPr>
          <w:bCs/>
          <w:lang w:val="en-US"/>
        </w:rPr>
        <w:t xml:space="preserve"> (COPREDEH)</w:t>
      </w:r>
      <w:r w:rsidRPr="00EA6C7A">
        <w:rPr>
          <w:bCs/>
          <w:lang w:val="en-US"/>
        </w:rPr>
        <w:t>,</w:t>
      </w:r>
      <w:r w:rsidR="006D228A" w:rsidRPr="00EA6C7A">
        <w:rPr>
          <w:rStyle w:val="Refdenotaalpie"/>
          <w:bCs/>
          <w:lang w:val="en-US"/>
        </w:rPr>
        <w:footnoteReference w:id="344"/>
      </w:r>
      <w:r w:rsidRPr="00EA6C7A">
        <w:rPr>
          <w:bCs/>
          <w:lang w:val="en-US"/>
        </w:rPr>
        <w:t xml:space="preserve"> it failed to </w:t>
      </w:r>
      <w:r w:rsidRPr="00EA6C7A">
        <w:rPr>
          <w:bCs/>
          <w:lang w:val="en-US"/>
        </w:rPr>
        <w:lastRenderedPageBreak/>
        <w:t xml:space="preserve">provide any documentation that would allow the Court to assess </w:t>
      </w:r>
      <w:r w:rsidR="009137E5" w:rsidRPr="00EA6C7A">
        <w:rPr>
          <w:bCs/>
          <w:lang w:val="en-US"/>
        </w:rPr>
        <w:t>the</w:t>
      </w:r>
      <w:r w:rsidRPr="00EA6C7A">
        <w:rPr>
          <w:bCs/>
          <w:lang w:val="en-US"/>
        </w:rPr>
        <w:t xml:space="preserve"> appropriateness and </w:t>
      </w:r>
      <w:r w:rsidR="009137E5" w:rsidRPr="00EA6C7A">
        <w:rPr>
          <w:bCs/>
          <w:lang w:val="en-US"/>
        </w:rPr>
        <w:t>continuity of this training</w:t>
      </w:r>
      <w:r w:rsidRPr="00EA6C7A">
        <w:rPr>
          <w:bCs/>
          <w:lang w:val="en-US"/>
        </w:rPr>
        <w:t>.</w:t>
      </w:r>
      <w:r w:rsidR="006D228A" w:rsidRPr="00EA6C7A">
        <w:rPr>
          <w:bCs/>
          <w:lang w:val="en-US"/>
        </w:rPr>
        <w:t xml:space="preserve"> </w:t>
      </w:r>
      <w:r w:rsidRPr="00EA6C7A">
        <w:rPr>
          <w:bCs/>
          <w:lang w:val="en-US"/>
        </w:rPr>
        <w:t xml:space="preserve">Therefore, and taking into account, the elements ordered by this Court in </w:t>
      </w:r>
      <w:r w:rsidR="007E6E93" w:rsidRPr="00EA6C7A">
        <w:rPr>
          <w:bCs/>
          <w:lang w:val="en-US"/>
        </w:rPr>
        <w:t>the case of</w:t>
      </w:r>
      <w:r w:rsidR="001914FC" w:rsidRPr="00EA6C7A">
        <w:rPr>
          <w:i/>
          <w:lang w:val="en-US"/>
        </w:rPr>
        <w:t xml:space="preserve"> </w:t>
      </w:r>
      <w:r w:rsidR="006D228A" w:rsidRPr="00EA6C7A">
        <w:rPr>
          <w:i/>
          <w:lang w:val="en-US"/>
        </w:rPr>
        <w:t xml:space="preserve">Veliz </w:t>
      </w:r>
      <w:r w:rsidR="006A51FD" w:rsidRPr="00EA6C7A">
        <w:rPr>
          <w:i/>
          <w:lang w:val="en-US"/>
        </w:rPr>
        <w:t>Franco et al.</w:t>
      </w:r>
      <w:r w:rsidRPr="00EA6C7A">
        <w:rPr>
          <w:i/>
          <w:lang w:val="en-US"/>
        </w:rPr>
        <w:t>,</w:t>
      </w:r>
      <w:r w:rsidR="006D228A" w:rsidRPr="00EA6C7A">
        <w:rPr>
          <w:rStyle w:val="Refdenotaalpie"/>
          <w:i/>
          <w:lang w:val="en-US"/>
        </w:rPr>
        <w:footnoteReference w:id="345"/>
      </w:r>
      <w:r w:rsidR="006D228A" w:rsidRPr="00EA6C7A">
        <w:rPr>
          <w:lang w:val="en-US"/>
        </w:rPr>
        <w:t xml:space="preserve"> </w:t>
      </w:r>
      <w:r w:rsidR="0096418F" w:rsidRPr="00EA6C7A">
        <w:rPr>
          <w:lang w:val="en-US"/>
        </w:rPr>
        <w:t>the Court</w:t>
      </w:r>
      <w:r w:rsidR="006D228A" w:rsidRPr="00EA6C7A">
        <w:rPr>
          <w:lang w:val="en-US"/>
        </w:rPr>
        <w:t xml:space="preserve"> </w:t>
      </w:r>
      <w:r w:rsidRPr="00EA6C7A">
        <w:rPr>
          <w:lang w:val="en-US"/>
        </w:rPr>
        <w:t xml:space="preserve">establishes that </w:t>
      </w:r>
      <w:r w:rsidR="002F3848" w:rsidRPr="00EA6C7A">
        <w:rPr>
          <w:lang w:val="en-US"/>
        </w:rPr>
        <w:t xml:space="preserve">the </w:t>
      </w:r>
      <w:r w:rsidR="0005349C" w:rsidRPr="00EA6C7A">
        <w:rPr>
          <w:lang w:val="en-US"/>
        </w:rPr>
        <w:t>State must</w:t>
      </w:r>
      <w:r w:rsidR="006D228A" w:rsidRPr="00EA6C7A">
        <w:rPr>
          <w:lang w:val="en-US"/>
        </w:rPr>
        <w:t xml:space="preserve">, </w:t>
      </w:r>
      <w:r w:rsidR="00AD3BCF" w:rsidRPr="00EA6C7A">
        <w:rPr>
          <w:lang w:val="en-US"/>
        </w:rPr>
        <w:t>within a reasonable time</w:t>
      </w:r>
      <w:r w:rsidR="006D228A" w:rsidRPr="00EA6C7A">
        <w:rPr>
          <w:lang w:val="en-US"/>
        </w:rPr>
        <w:t>, implement</w:t>
      </w:r>
      <w:r w:rsidRPr="00EA6C7A">
        <w:rPr>
          <w:lang w:val="en-US"/>
        </w:rPr>
        <w:t xml:space="preserve"> permanent programs and courses for public officials from the Judiciary, the </w:t>
      </w:r>
      <w:r w:rsidR="00B3248B" w:rsidRPr="00EA6C7A">
        <w:rPr>
          <w:lang w:val="en-US"/>
        </w:rPr>
        <w:t>Public Prosecution Service</w:t>
      </w:r>
      <w:r w:rsidR="00D948A1" w:rsidRPr="00EA6C7A">
        <w:rPr>
          <w:lang w:val="en-US"/>
        </w:rPr>
        <w:t xml:space="preserve"> and </w:t>
      </w:r>
      <w:r w:rsidRPr="00EA6C7A">
        <w:rPr>
          <w:lang w:val="en-US"/>
        </w:rPr>
        <w:t xml:space="preserve">the </w:t>
      </w:r>
      <w:r w:rsidR="000B3E6E" w:rsidRPr="00EA6C7A">
        <w:rPr>
          <w:lang w:val="en-US"/>
        </w:rPr>
        <w:t>National Civil Police</w:t>
      </w:r>
      <w:r w:rsidR="006D228A" w:rsidRPr="00EA6C7A">
        <w:rPr>
          <w:lang w:val="en-US"/>
        </w:rPr>
        <w:t xml:space="preserve">, </w:t>
      </w:r>
      <w:r w:rsidRPr="00EA6C7A">
        <w:rPr>
          <w:lang w:val="en-US"/>
        </w:rPr>
        <w:t>who work in the investigation of the murder of women on standards for the prevention, punishment and eradication of the murder of women, and train them in the proper enforcement of the relevant international standards and case law of this Court</w:t>
      </w:r>
      <w:r w:rsidR="006D228A" w:rsidRPr="00EA6C7A">
        <w:rPr>
          <w:lang w:val="en-US"/>
        </w:rPr>
        <w:t>.</w:t>
      </w:r>
    </w:p>
    <w:p w14:paraId="0E9FDA40" w14:textId="77777777" w:rsidR="006D228A" w:rsidRPr="00EA6C7A" w:rsidRDefault="006D228A" w:rsidP="006D228A">
      <w:pPr>
        <w:autoSpaceDE w:val="0"/>
        <w:autoSpaceDN w:val="0"/>
        <w:adjustRightInd w:val="0"/>
        <w:spacing w:after="0" w:line="240" w:lineRule="auto"/>
        <w:contextualSpacing/>
        <w:jc w:val="both"/>
        <w:rPr>
          <w:rFonts w:ascii="Verdana" w:hAnsi="Verdana"/>
          <w:sz w:val="20"/>
          <w:szCs w:val="20"/>
          <w:lang w:val="en-US"/>
        </w:rPr>
      </w:pPr>
    </w:p>
    <w:p w14:paraId="25847622" w14:textId="77777777" w:rsidR="006D228A" w:rsidRPr="00EA6C7A" w:rsidRDefault="006D228A" w:rsidP="006D228A">
      <w:pPr>
        <w:pStyle w:val="Sentencia3"/>
        <w:rPr>
          <w:lang w:val="en-US"/>
        </w:rPr>
      </w:pPr>
      <w:bookmarkStart w:id="115" w:name="_Toc425327593"/>
      <w:bookmarkStart w:id="116" w:name="_Toc431801401"/>
      <w:bookmarkStart w:id="117" w:name="_Toc26002342"/>
      <w:r w:rsidRPr="00EA6C7A">
        <w:rPr>
          <w:lang w:val="en-US"/>
        </w:rPr>
        <w:t xml:space="preserve">C.3.3. </w:t>
      </w:r>
      <w:r w:rsidR="00D42BA8" w:rsidRPr="00EA6C7A">
        <w:rPr>
          <w:lang w:val="en-US"/>
        </w:rPr>
        <w:t>Measures to prevent</w:t>
      </w:r>
      <w:r w:rsidRPr="00EA6C7A">
        <w:rPr>
          <w:lang w:val="en-US"/>
        </w:rPr>
        <w:t xml:space="preserve"> </w:t>
      </w:r>
      <w:r w:rsidR="00C12C08" w:rsidRPr="00EA6C7A">
        <w:rPr>
          <w:lang w:val="en-US"/>
        </w:rPr>
        <w:t>violence against women</w:t>
      </w:r>
      <w:r w:rsidRPr="00EA6C7A">
        <w:rPr>
          <w:lang w:val="en-US"/>
        </w:rPr>
        <w:t xml:space="preserve">: </w:t>
      </w:r>
      <w:r w:rsidR="00D42BA8" w:rsidRPr="00EA6C7A">
        <w:rPr>
          <w:lang w:val="en-US"/>
        </w:rPr>
        <w:t>State policies</w:t>
      </w:r>
      <w:bookmarkEnd w:id="115"/>
      <w:bookmarkEnd w:id="116"/>
      <w:bookmarkEnd w:id="117"/>
    </w:p>
    <w:p w14:paraId="65B4C89F" w14:textId="77777777" w:rsidR="006D228A" w:rsidRPr="00EA6C7A" w:rsidRDefault="006D228A" w:rsidP="006D228A">
      <w:pPr>
        <w:autoSpaceDE w:val="0"/>
        <w:autoSpaceDN w:val="0"/>
        <w:adjustRightInd w:val="0"/>
        <w:spacing w:after="0" w:line="240" w:lineRule="auto"/>
        <w:jc w:val="both"/>
        <w:rPr>
          <w:rFonts w:ascii="Verdana" w:hAnsi="Verdana"/>
          <w:b/>
          <w:sz w:val="20"/>
          <w:szCs w:val="20"/>
          <w:lang w:val="en-US"/>
        </w:rPr>
      </w:pPr>
    </w:p>
    <w:p w14:paraId="63816688" w14:textId="77777777" w:rsidR="00A05A7B" w:rsidRPr="00EA6C7A" w:rsidRDefault="0096418F" w:rsidP="00077D21">
      <w:pPr>
        <w:pStyle w:val="PrrafodeSentencia"/>
        <w:rPr>
          <w:lang w:val="en-US"/>
        </w:rPr>
      </w:pPr>
      <w:r w:rsidRPr="00EA6C7A">
        <w:rPr>
          <w:lang w:val="en-US"/>
        </w:rPr>
        <w:t>The</w:t>
      </w:r>
      <w:r w:rsidRPr="00EA6C7A">
        <w:rPr>
          <w:b/>
          <w:bCs/>
          <w:i/>
          <w:iCs/>
          <w:lang w:val="en-US"/>
        </w:rPr>
        <w:t xml:space="preserve"> Commission</w:t>
      </w:r>
      <w:r w:rsidR="006D228A" w:rsidRPr="00EA6C7A">
        <w:rPr>
          <w:b/>
          <w:i/>
          <w:lang w:val="en-US"/>
        </w:rPr>
        <w:t xml:space="preserve"> </w:t>
      </w:r>
      <w:r w:rsidR="00CF1514" w:rsidRPr="00EA6C7A">
        <w:rPr>
          <w:lang w:val="en-US"/>
        </w:rPr>
        <w:t>asked</w:t>
      </w:r>
      <w:r w:rsidR="006D228A" w:rsidRPr="00EA6C7A">
        <w:rPr>
          <w:lang w:val="en-US"/>
        </w:rPr>
        <w:t xml:space="preserve"> </w:t>
      </w:r>
      <w:r w:rsidR="002F3848" w:rsidRPr="00EA6C7A">
        <w:rPr>
          <w:lang w:val="en-US"/>
        </w:rPr>
        <w:t>the State</w:t>
      </w:r>
      <w:r w:rsidR="00A05A7B" w:rsidRPr="00EA6C7A">
        <w:rPr>
          <w:lang w:val="en-US"/>
        </w:rPr>
        <w:t>, as a measure of non-repetition, to introduce a comprehensive and coordinated State policy, backed by sufficient public funds, for prevention of violence against women. It also asked that the State adopt comprehensive public policies and institutional programs designed to eliminate discriminatory stereotypes about the role of women and to promote the eradication of discriminatory socio-cultural patterns that prevent</w:t>
      </w:r>
      <w:r w:rsidR="00397C02" w:rsidRPr="00EA6C7A">
        <w:rPr>
          <w:lang w:val="en-US"/>
        </w:rPr>
        <w:t>ed</w:t>
      </w:r>
      <w:r w:rsidR="00A05A7B" w:rsidRPr="00EA6C7A">
        <w:rPr>
          <w:lang w:val="en-US"/>
        </w:rPr>
        <w:t xml:space="preserve"> women’s full access to justice; this should include training programs for public officials in all sectors of government, including the education sector, those involved in the administration of justice and the police, as well as comprehensive policies on prevention.</w:t>
      </w:r>
    </w:p>
    <w:p w14:paraId="76476963"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2CA2F014" w14:textId="77777777" w:rsidR="006D228A" w:rsidRPr="00EA6C7A" w:rsidRDefault="00397C02" w:rsidP="00077D21">
      <w:pPr>
        <w:pStyle w:val="PrrafodeSentencia"/>
        <w:rPr>
          <w:b/>
          <w:lang w:val="en-US"/>
        </w:rPr>
      </w:pPr>
      <w:r w:rsidRPr="00EA6C7A">
        <w:rPr>
          <w:lang w:val="en-US"/>
        </w:rPr>
        <w:t>The</w:t>
      </w:r>
      <w:r w:rsidR="00E43A75" w:rsidRPr="00EA6C7A">
        <w:rPr>
          <w:b/>
          <w:bCs/>
          <w:i/>
          <w:iCs/>
          <w:lang w:val="en-US"/>
        </w:rPr>
        <w:t xml:space="preserve"> representatives</w:t>
      </w:r>
      <w:r w:rsidR="006D228A" w:rsidRPr="00EA6C7A">
        <w:rPr>
          <w:lang w:val="en-US"/>
        </w:rPr>
        <w:t xml:space="preserve"> </w:t>
      </w:r>
      <w:r w:rsidR="00A05A7B" w:rsidRPr="00EA6C7A">
        <w:rPr>
          <w:lang w:val="en-US"/>
        </w:rPr>
        <w:t>asked</w:t>
      </w:r>
      <w:r w:rsidR="006D228A" w:rsidRPr="00EA6C7A">
        <w:rPr>
          <w:lang w:val="en-US"/>
        </w:rPr>
        <w:t xml:space="preserve"> </w:t>
      </w:r>
      <w:r w:rsidR="0096418F" w:rsidRPr="00EA6C7A">
        <w:rPr>
          <w:lang w:val="en-US"/>
        </w:rPr>
        <w:t>the Court</w:t>
      </w:r>
      <w:r w:rsidR="006D228A" w:rsidRPr="00EA6C7A">
        <w:rPr>
          <w:lang w:val="en-US"/>
        </w:rPr>
        <w:t xml:space="preserve"> </w:t>
      </w:r>
      <w:r w:rsidR="007427DC" w:rsidRPr="00EA6C7A">
        <w:rPr>
          <w:lang w:val="en-US"/>
        </w:rPr>
        <w:t>t</w:t>
      </w:r>
      <w:r w:rsidR="00A05A7B" w:rsidRPr="00EA6C7A">
        <w:rPr>
          <w:lang w:val="en-US"/>
        </w:rPr>
        <w:t>o require</w:t>
      </w:r>
      <w:r w:rsidR="00E43A75" w:rsidRPr="00EA6C7A">
        <w:rPr>
          <w:lang w:val="en-US"/>
        </w:rPr>
        <w:t xml:space="preserve"> the State</w:t>
      </w:r>
      <w:r w:rsidR="006D228A" w:rsidRPr="00EA6C7A">
        <w:rPr>
          <w:lang w:val="en-US"/>
        </w:rPr>
        <w:t xml:space="preserve"> </w:t>
      </w:r>
      <w:r w:rsidR="007427DC" w:rsidRPr="00EA6C7A">
        <w:rPr>
          <w:lang w:val="en-US"/>
        </w:rPr>
        <w:t xml:space="preserve">to take the necessary affirmative measures to ensure that existing laws and policies on </w:t>
      </w:r>
      <w:r w:rsidR="00C12C08" w:rsidRPr="00EA6C7A">
        <w:rPr>
          <w:lang w:val="en-US"/>
        </w:rPr>
        <w:t>violence against women</w:t>
      </w:r>
      <w:r w:rsidR="006D228A" w:rsidRPr="00EA6C7A">
        <w:rPr>
          <w:lang w:val="en-US"/>
        </w:rPr>
        <w:t xml:space="preserve"> </w:t>
      </w:r>
      <w:r w:rsidR="007427DC" w:rsidRPr="00EA6C7A">
        <w:rPr>
          <w:lang w:val="en-US"/>
        </w:rPr>
        <w:t>were implemented immediately and effectively to prevent and punish this type of violence and guarantee that victims receive</w:t>
      </w:r>
      <w:r w:rsidRPr="00EA6C7A">
        <w:rPr>
          <w:lang w:val="en-US"/>
        </w:rPr>
        <w:t>d</w:t>
      </w:r>
      <w:r w:rsidR="007427DC" w:rsidRPr="00EA6C7A">
        <w:rPr>
          <w:lang w:val="en-US"/>
        </w:rPr>
        <w:t xml:space="preserve"> sufficient and prompt care, protection and compensation.</w:t>
      </w:r>
      <w:r w:rsidR="006D228A" w:rsidRPr="00EA6C7A">
        <w:rPr>
          <w:rStyle w:val="Refdenotaalpie"/>
          <w:lang w:val="en-US"/>
        </w:rPr>
        <w:footnoteReference w:id="346"/>
      </w:r>
      <w:r w:rsidR="007427DC" w:rsidRPr="00EA6C7A">
        <w:rPr>
          <w:lang w:val="en-US"/>
        </w:rPr>
        <w:t xml:space="preserve"> They also asked that the State take the necessary measures to change the socio-cultural patterns of conduct and stereotyping that exacerbate </w:t>
      </w:r>
      <w:r w:rsidR="00C12C08" w:rsidRPr="00EA6C7A">
        <w:rPr>
          <w:lang w:val="en-US"/>
        </w:rPr>
        <w:t>violence against women</w:t>
      </w:r>
      <w:r w:rsidR="006D228A" w:rsidRPr="00EA6C7A">
        <w:rPr>
          <w:lang w:val="en-US"/>
        </w:rPr>
        <w:t xml:space="preserve">, </w:t>
      </w:r>
      <w:r w:rsidRPr="00EA6C7A">
        <w:rPr>
          <w:lang w:val="en-US"/>
        </w:rPr>
        <w:t>in order to</w:t>
      </w:r>
      <w:r w:rsidR="007427DC" w:rsidRPr="00EA6C7A">
        <w:rPr>
          <w:lang w:val="en-US"/>
        </w:rPr>
        <w:t xml:space="preserve"> support </w:t>
      </w:r>
      <w:r w:rsidRPr="00EA6C7A">
        <w:rPr>
          <w:lang w:val="en-US"/>
        </w:rPr>
        <w:t xml:space="preserve">the </w:t>
      </w:r>
      <w:r w:rsidR="007427DC" w:rsidRPr="00EA6C7A">
        <w:rPr>
          <w:lang w:val="en-US"/>
        </w:rPr>
        <w:t>prevention of violence. This effort should include criminaliz</w:t>
      </w:r>
      <w:r w:rsidRPr="00EA6C7A">
        <w:rPr>
          <w:lang w:val="en-US"/>
        </w:rPr>
        <w:t>ing</w:t>
      </w:r>
      <w:r w:rsidR="007427DC" w:rsidRPr="00EA6C7A">
        <w:rPr>
          <w:lang w:val="en-US"/>
        </w:rPr>
        <w:t xml:space="preserve"> sexual assault, awareness-raising campaigns and educational programs to promote gender equality </w:t>
      </w:r>
      <w:r w:rsidR="00FC7D3B" w:rsidRPr="00EA6C7A">
        <w:rPr>
          <w:lang w:val="en-US"/>
        </w:rPr>
        <w:t>in Guatemala</w:t>
      </w:r>
      <w:r w:rsidR="006D228A" w:rsidRPr="00EA6C7A">
        <w:rPr>
          <w:lang w:val="en-US"/>
        </w:rPr>
        <w:t xml:space="preserve">, </w:t>
      </w:r>
      <w:r w:rsidR="007427DC" w:rsidRPr="00EA6C7A">
        <w:rPr>
          <w:lang w:val="en-US"/>
        </w:rPr>
        <w:t xml:space="preserve">training sessions for journalists on the coverage of cases of femicide and other forms of </w:t>
      </w:r>
      <w:r w:rsidR="00C12C08" w:rsidRPr="00EA6C7A">
        <w:rPr>
          <w:lang w:val="en-US"/>
        </w:rPr>
        <w:t>violence against women</w:t>
      </w:r>
      <w:r w:rsidR="006D228A" w:rsidRPr="00EA6C7A">
        <w:rPr>
          <w:lang w:val="en-US"/>
        </w:rPr>
        <w:t>,</w:t>
      </w:r>
      <w:r w:rsidR="00D948A1" w:rsidRPr="00EA6C7A">
        <w:rPr>
          <w:lang w:val="en-US"/>
        </w:rPr>
        <w:t xml:space="preserve"> and</w:t>
      </w:r>
      <w:r w:rsidR="007427DC" w:rsidRPr="00EA6C7A">
        <w:rPr>
          <w:lang w:val="en-US"/>
        </w:rPr>
        <w:t xml:space="preserve"> the implementation of a cooperation agreement or strategy with the media and publicity agencies to help combat the gender stereotypes portrayed in the mass media. In addition, they asked that the State play a role in campaigns to disseminate information on women’s rights, and publicize the services and mechanisms that exist for victims of violence</w:t>
      </w:r>
      <w:r w:rsidR="006D228A" w:rsidRPr="00EA6C7A">
        <w:rPr>
          <w:lang w:val="en-US"/>
        </w:rPr>
        <w:t>.</w:t>
      </w:r>
    </w:p>
    <w:p w14:paraId="01E10583" w14:textId="77777777" w:rsidR="006D228A" w:rsidRPr="00EA6C7A" w:rsidRDefault="006D228A" w:rsidP="006D228A">
      <w:pPr>
        <w:autoSpaceDE w:val="0"/>
        <w:autoSpaceDN w:val="0"/>
        <w:adjustRightInd w:val="0"/>
        <w:spacing w:after="0" w:line="240" w:lineRule="auto"/>
        <w:jc w:val="both"/>
        <w:rPr>
          <w:rFonts w:ascii="Verdana" w:hAnsi="Verdana" w:cs="Arial"/>
          <w:b/>
          <w:sz w:val="20"/>
          <w:szCs w:val="20"/>
          <w:lang w:val="en-US"/>
        </w:rPr>
      </w:pPr>
    </w:p>
    <w:p w14:paraId="309D28B0" w14:textId="77777777" w:rsidR="006D228A" w:rsidRPr="00EA6C7A" w:rsidRDefault="00397C02" w:rsidP="00077D21">
      <w:pPr>
        <w:pStyle w:val="PrrafodeSentencia"/>
        <w:rPr>
          <w:b/>
          <w:lang w:val="en-US"/>
        </w:rPr>
      </w:pPr>
      <w:r w:rsidRPr="00EA6C7A">
        <w:rPr>
          <w:lang w:val="en-US"/>
        </w:rPr>
        <w:t>The</w:t>
      </w:r>
      <w:r w:rsidR="002F3848" w:rsidRPr="00EA6C7A">
        <w:rPr>
          <w:b/>
          <w:bCs/>
          <w:i/>
          <w:iCs/>
          <w:lang w:val="en-US"/>
        </w:rPr>
        <w:t xml:space="preserve"> State</w:t>
      </w:r>
      <w:r w:rsidR="006D228A" w:rsidRPr="00EA6C7A">
        <w:rPr>
          <w:lang w:val="en-US"/>
        </w:rPr>
        <w:t xml:space="preserve"> indic</w:t>
      </w:r>
      <w:r w:rsidR="002327A1" w:rsidRPr="00EA6C7A">
        <w:rPr>
          <w:lang w:val="en-US"/>
        </w:rPr>
        <w:t xml:space="preserve">ated that this measure of non-repetition requested by </w:t>
      </w:r>
      <w:r w:rsidR="0096418F" w:rsidRPr="00EA6C7A">
        <w:rPr>
          <w:lang w:val="en-US"/>
        </w:rPr>
        <w:t>the Commission</w:t>
      </w:r>
      <w:r w:rsidR="006D228A" w:rsidRPr="00EA6C7A">
        <w:rPr>
          <w:lang w:val="en-US"/>
        </w:rPr>
        <w:t xml:space="preserve"> </w:t>
      </w:r>
      <w:r w:rsidR="002327A1" w:rsidRPr="00EA6C7A">
        <w:rPr>
          <w:lang w:val="en-US"/>
        </w:rPr>
        <w:t xml:space="preserve">had already been implemented </w:t>
      </w:r>
      <w:r w:rsidRPr="00EA6C7A">
        <w:rPr>
          <w:lang w:val="en-US"/>
        </w:rPr>
        <w:t>to meet</w:t>
      </w:r>
      <w:r w:rsidR="002327A1" w:rsidRPr="00EA6C7A">
        <w:rPr>
          <w:lang w:val="en-US"/>
        </w:rPr>
        <w:t xml:space="preserve"> </w:t>
      </w:r>
      <w:r w:rsidRPr="00EA6C7A">
        <w:rPr>
          <w:lang w:val="en-US"/>
        </w:rPr>
        <w:t>the</w:t>
      </w:r>
      <w:r w:rsidR="002327A1" w:rsidRPr="00EA6C7A">
        <w:rPr>
          <w:lang w:val="en-US"/>
        </w:rPr>
        <w:t xml:space="preserve"> obligations assumed </w:t>
      </w:r>
      <w:r w:rsidRPr="00EA6C7A">
        <w:rPr>
          <w:lang w:val="en-US"/>
        </w:rPr>
        <w:t>under</w:t>
      </w:r>
      <w:r w:rsidR="002327A1" w:rsidRPr="00EA6C7A">
        <w:rPr>
          <w:lang w:val="en-US"/>
        </w:rPr>
        <w:t xml:space="preserve"> international conventions and </w:t>
      </w:r>
      <w:r w:rsidRPr="00EA6C7A">
        <w:rPr>
          <w:lang w:val="en-US"/>
        </w:rPr>
        <w:t>to</w:t>
      </w:r>
      <w:r w:rsidR="002327A1" w:rsidRPr="00EA6C7A">
        <w:rPr>
          <w:lang w:val="en-US"/>
        </w:rPr>
        <w:t xml:space="preserve"> enforce </w:t>
      </w:r>
      <w:r w:rsidRPr="00EA6C7A">
        <w:rPr>
          <w:lang w:val="en-US"/>
        </w:rPr>
        <w:t>the</w:t>
      </w:r>
      <w:r w:rsidR="002327A1" w:rsidRPr="00EA6C7A">
        <w:rPr>
          <w:lang w:val="en-US"/>
        </w:rPr>
        <w:t xml:space="preserve"> laws in force on the prevention, punishment and eradication of violence against women. It also indicated that the Court had already required implementation of this measure in the eleventh and twelfth operative paragraph of the</w:t>
      </w:r>
      <w:r w:rsidRPr="00EA6C7A">
        <w:rPr>
          <w:lang w:val="en-US"/>
        </w:rPr>
        <w:t xml:space="preserve"> 2014</w:t>
      </w:r>
      <w:r w:rsidR="002327A1" w:rsidRPr="00EA6C7A">
        <w:rPr>
          <w:lang w:val="en-US"/>
        </w:rPr>
        <w:t xml:space="preserve"> judgment in </w:t>
      </w:r>
      <w:r w:rsidR="007E6E93" w:rsidRPr="00EA6C7A">
        <w:rPr>
          <w:lang w:val="en-US"/>
        </w:rPr>
        <w:t>the case of</w:t>
      </w:r>
      <w:r w:rsidR="001914FC" w:rsidRPr="00EA6C7A">
        <w:rPr>
          <w:i/>
          <w:lang w:val="en-US"/>
        </w:rPr>
        <w:t xml:space="preserve"> </w:t>
      </w:r>
      <w:r w:rsidR="006D228A" w:rsidRPr="00EA6C7A">
        <w:rPr>
          <w:i/>
          <w:lang w:val="en-US"/>
        </w:rPr>
        <w:t xml:space="preserve">Veliz </w:t>
      </w:r>
      <w:r w:rsidR="006A51FD" w:rsidRPr="00EA6C7A">
        <w:rPr>
          <w:i/>
          <w:lang w:val="en-US"/>
        </w:rPr>
        <w:t>Franco et al</w:t>
      </w:r>
      <w:r w:rsidR="002327A1" w:rsidRPr="00EA6C7A">
        <w:rPr>
          <w:lang w:val="en-US"/>
        </w:rPr>
        <w:t>.</w:t>
      </w:r>
      <w:r w:rsidR="006D228A" w:rsidRPr="00EA6C7A">
        <w:rPr>
          <w:rFonts w:cs="Verdana"/>
          <w:vertAlign w:val="superscript"/>
        </w:rPr>
        <w:footnoteReference w:id="347"/>
      </w:r>
      <w:r w:rsidR="002327A1" w:rsidRPr="00EA6C7A">
        <w:rPr>
          <w:lang w:val="en-US"/>
        </w:rPr>
        <w:t xml:space="preserve"> Furthermore, the State provided details of the creation, structure, functions and work carried out by the</w:t>
      </w:r>
      <w:r w:rsidR="006D228A" w:rsidRPr="00EA6C7A">
        <w:rPr>
          <w:lang w:val="en-US"/>
        </w:rPr>
        <w:t xml:space="preserve"> </w:t>
      </w:r>
      <w:r w:rsidR="00C66427" w:rsidRPr="00EA6C7A">
        <w:rPr>
          <w:lang w:val="en-US"/>
        </w:rPr>
        <w:t xml:space="preserve">Coordinating Body for the Prevention, Punishment and </w:t>
      </w:r>
      <w:r w:rsidR="002327A1" w:rsidRPr="00EA6C7A">
        <w:rPr>
          <w:lang w:val="en-US"/>
        </w:rPr>
        <w:t>Eradication of Domestic Violence</w:t>
      </w:r>
      <w:r w:rsidR="00C66427" w:rsidRPr="00EA6C7A">
        <w:rPr>
          <w:lang w:val="en-US"/>
        </w:rPr>
        <w:t xml:space="preserve"> and Violence against Women</w:t>
      </w:r>
      <w:r w:rsidR="006D228A" w:rsidRPr="00EA6C7A">
        <w:rPr>
          <w:lang w:val="en-US"/>
        </w:rPr>
        <w:t xml:space="preserve"> (CONAPREVI), </w:t>
      </w:r>
      <w:r w:rsidR="00C66427" w:rsidRPr="00EA6C7A">
        <w:rPr>
          <w:lang w:val="en-US"/>
        </w:rPr>
        <w:t>the Presidential Secretariat for Women</w:t>
      </w:r>
      <w:r w:rsidR="006D228A" w:rsidRPr="00EA6C7A">
        <w:rPr>
          <w:lang w:val="en-US"/>
        </w:rPr>
        <w:t xml:space="preserve"> (SEPREM)</w:t>
      </w:r>
      <w:r w:rsidR="00D948A1" w:rsidRPr="00EA6C7A">
        <w:rPr>
          <w:lang w:val="en-US"/>
        </w:rPr>
        <w:t xml:space="preserve"> and </w:t>
      </w:r>
      <w:r w:rsidR="002327A1" w:rsidRPr="00EA6C7A">
        <w:rPr>
          <w:lang w:val="en-US"/>
        </w:rPr>
        <w:t>t</w:t>
      </w:r>
      <w:r w:rsidR="001D086E" w:rsidRPr="00EA6C7A">
        <w:rPr>
          <w:lang w:val="en-US"/>
        </w:rPr>
        <w:t>he Special Office for Women’s Affairs</w:t>
      </w:r>
      <w:r w:rsidR="006D228A" w:rsidRPr="00EA6C7A">
        <w:rPr>
          <w:lang w:val="en-US"/>
        </w:rPr>
        <w:t xml:space="preserve"> (GEM). </w:t>
      </w:r>
      <w:r w:rsidR="002327A1" w:rsidRPr="00EA6C7A">
        <w:rPr>
          <w:lang w:val="en-US"/>
        </w:rPr>
        <w:t xml:space="preserve">In addition, it referred, in detail, to the following public policies in the area of prevention, attention, punishment and eradication of violence against women, implemented to combat </w:t>
      </w:r>
      <w:r w:rsidR="00C12C08" w:rsidRPr="00EA6C7A">
        <w:rPr>
          <w:lang w:val="en-US"/>
        </w:rPr>
        <w:t>violence against women</w:t>
      </w:r>
      <w:r w:rsidR="006D228A" w:rsidRPr="00EA6C7A">
        <w:rPr>
          <w:lang w:val="en-US"/>
        </w:rPr>
        <w:t xml:space="preserve">: </w:t>
      </w:r>
      <w:r w:rsidR="002327A1" w:rsidRPr="00EA6C7A">
        <w:rPr>
          <w:lang w:val="en-US"/>
        </w:rPr>
        <w:t xml:space="preserve">the </w:t>
      </w:r>
      <w:r w:rsidR="004C2623" w:rsidRPr="00EA6C7A">
        <w:rPr>
          <w:lang w:val="en-US"/>
        </w:rPr>
        <w:t>National Policy for the Comprehensive Promotion</w:t>
      </w:r>
      <w:r w:rsidR="00CF08AC" w:rsidRPr="00EA6C7A">
        <w:rPr>
          <w:lang w:val="en-US"/>
        </w:rPr>
        <w:t xml:space="preserve"> and Development of Women </w:t>
      </w:r>
      <w:r w:rsidR="006D228A" w:rsidRPr="00EA6C7A">
        <w:rPr>
          <w:lang w:val="en-US"/>
        </w:rPr>
        <w:t>(PNPDIM)</w:t>
      </w:r>
      <w:r w:rsidR="00D948A1" w:rsidRPr="00EA6C7A">
        <w:rPr>
          <w:lang w:val="en-US"/>
        </w:rPr>
        <w:t xml:space="preserve"> and </w:t>
      </w:r>
      <w:r w:rsidR="002327A1" w:rsidRPr="00EA6C7A">
        <w:rPr>
          <w:rFonts w:cs="Arial"/>
          <w:lang w:val="en-US"/>
        </w:rPr>
        <w:t>the</w:t>
      </w:r>
      <w:r w:rsidR="006D228A" w:rsidRPr="00EA6C7A">
        <w:rPr>
          <w:rFonts w:cs="Arial"/>
          <w:lang w:val="en-US"/>
        </w:rPr>
        <w:t xml:space="preserve"> </w:t>
      </w:r>
      <w:r w:rsidR="00CF08AC" w:rsidRPr="00EA6C7A">
        <w:rPr>
          <w:lang w:val="en-US"/>
        </w:rPr>
        <w:t>Equal Opportunities Plan</w:t>
      </w:r>
      <w:r w:rsidR="006D228A" w:rsidRPr="00EA6C7A">
        <w:rPr>
          <w:lang w:val="en-US"/>
        </w:rPr>
        <w:t xml:space="preserve"> (PEO) 2008-2023,</w:t>
      </w:r>
      <w:r w:rsidR="00D948A1" w:rsidRPr="00EA6C7A">
        <w:rPr>
          <w:lang w:val="en-US"/>
        </w:rPr>
        <w:t xml:space="preserve"> and </w:t>
      </w:r>
      <w:r w:rsidR="002327A1" w:rsidRPr="00EA6C7A">
        <w:rPr>
          <w:lang w:val="en-US"/>
        </w:rPr>
        <w:t>the</w:t>
      </w:r>
      <w:r w:rsidR="006D228A" w:rsidRPr="00EA6C7A">
        <w:rPr>
          <w:lang w:val="en-US"/>
        </w:rPr>
        <w:t xml:space="preserve"> </w:t>
      </w:r>
      <w:r w:rsidR="001B3072" w:rsidRPr="00EA6C7A">
        <w:rPr>
          <w:lang w:val="en-US"/>
        </w:rPr>
        <w:t xml:space="preserve">National Plan for the Prevention and </w:t>
      </w:r>
      <w:r w:rsidR="002327A1" w:rsidRPr="00EA6C7A">
        <w:rPr>
          <w:lang w:val="en-US"/>
        </w:rPr>
        <w:t>Eradication of Domestic Violence</w:t>
      </w:r>
      <w:r w:rsidR="001B3072" w:rsidRPr="00EA6C7A">
        <w:rPr>
          <w:lang w:val="en-US"/>
        </w:rPr>
        <w:t xml:space="preserve"> and Violence against Women</w:t>
      </w:r>
      <w:r w:rsidR="001B3072" w:rsidRPr="00EA6C7A">
        <w:rPr>
          <w:bCs/>
          <w:lang w:val="en-US"/>
        </w:rPr>
        <w:t xml:space="preserve"> </w:t>
      </w:r>
      <w:r w:rsidR="006D228A" w:rsidRPr="00EA6C7A">
        <w:rPr>
          <w:bCs/>
          <w:lang w:val="en-US"/>
        </w:rPr>
        <w:t>(PLANOVI) 2004-2014.</w:t>
      </w:r>
      <w:r w:rsidR="002327A1" w:rsidRPr="00EA6C7A">
        <w:rPr>
          <w:bCs/>
          <w:lang w:val="en-US"/>
        </w:rPr>
        <w:t xml:space="preserve"> It also referred to inter-institutional coordination to implement these policies. In this regard, it referred to the creation of the “Technical group to promote the life and safety of women,” composed </w:t>
      </w:r>
      <w:r w:rsidR="00FD4E6B" w:rsidRPr="00EA6C7A">
        <w:rPr>
          <w:bCs/>
          <w:lang w:val="en-US"/>
        </w:rPr>
        <w:t xml:space="preserve">of </w:t>
      </w:r>
      <w:r w:rsidR="006D228A" w:rsidRPr="00EA6C7A">
        <w:rPr>
          <w:bCs/>
          <w:lang w:val="en-US"/>
        </w:rPr>
        <w:t>CONAPREVI, SEPREM</w:t>
      </w:r>
      <w:r w:rsidR="00D948A1" w:rsidRPr="00EA6C7A">
        <w:rPr>
          <w:bCs/>
          <w:lang w:val="en-US"/>
        </w:rPr>
        <w:t xml:space="preserve"> and </w:t>
      </w:r>
      <w:r w:rsidR="00C66427" w:rsidRPr="00EA6C7A">
        <w:rPr>
          <w:bCs/>
          <w:lang w:val="en-US"/>
        </w:rPr>
        <w:t>the Office for the Defense of Indigenous Women’s Rights</w:t>
      </w:r>
      <w:r w:rsidR="006D228A" w:rsidRPr="00EA6C7A">
        <w:rPr>
          <w:bCs/>
          <w:lang w:val="en-US"/>
        </w:rPr>
        <w:t xml:space="preserve"> (DEMI), </w:t>
      </w:r>
      <w:r w:rsidR="00FD4E6B" w:rsidRPr="00EA6C7A">
        <w:rPr>
          <w:bCs/>
          <w:lang w:val="en-US"/>
        </w:rPr>
        <w:t xml:space="preserve">in coordination with the </w:t>
      </w:r>
      <w:r w:rsidR="003B5D2D" w:rsidRPr="00EA6C7A">
        <w:rPr>
          <w:bCs/>
          <w:lang w:val="en-US"/>
        </w:rPr>
        <w:t>Ministry of the Interior</w:t>
      </w:r>
      <w:r w:rsidR="00D948A1" w:rsidRPr="00EA6C7A">
        <w:rPr>
          <w:bCs/>
          <w:lang w:val="en-US"/>
        </w:rPr>
        <w:t xml:space="preserve"> and </w:t>
      </w:r>
      <w:r w:rsidR="0096418F" w:rsidRPr="00EA6C7A">
        <w:rPr>
          <w:bCs/>
          <w:lang w:val="en-US"/>
        </w:rPr>
        <w:t xml:space="preserve">the </w:t>
      </w:r>
      <w:r w:rsidR="00FD4E6B" w:rsidRPr="00EA6C7A">
        <w:rPr>
          <w:bCs/>
          <w:lang w:val="en-US"/>
        </w:rPr>
        <w:t>congressional Committee for Women’s Affairs</w:t>
      </w:r>
      <w:r w:rsidR="006D228A" w:rsidRPr="00EA6C7A">
        <w:rPr>
          <w:bCs/>
          <w:lang w:val="en-US"/>
        </w:rPr>
        <w:t xml:space="preserve">. </w:t>
      </w:r>
      <w:r w:rsidR="00FD4E6B" w:rsidRPr="00EA6C7A">
        <w:rPr>
          <w:bCs/>
          <w:lang w:val="en-US"/>
        </w:rPr>
        <w:t xml:space="preserve">It also referred to a network to provide care to women who had been attacked, established by the </w:t>
      </w:r>
      <w:r w:rsidR="009C5D41" w:rsidRPr="00EA6C7A">
        <w:rPr>
          <w:bCs/>
          <w:lang w:val="en-US"/>
        </w:rPr>
        <w:t>Office for Attention to Victims</w:t>
      </w:r>
      <w:r w:rsidR="00FD4E6B" w:rsidRPr="00EA6C7A">
        <w:rPr>
          <w:bCs/>
          <w:lang w:val="en-US"/>
        </w:rPr>
        <w:t xml:space="preserve"> </w:t>
      </w:r>
      <w:r w:rsidR="00D948A1" w:rsidRPr="00EA6C7A">
        <w:rPr>
          <w:bCs/>
          <w:lang w:val="en-US"/>
        </w:rPr>
        <w:t xml:space="preserve">and </w:t>
      </w:r>
      <w:r w:rsidR="009C5D41" w:rsidRPr="00EA6C7A">
        <w:rPr>
          <w:bCs/>
          <w:lang w:val="en-US"/>
        </w:rPr>
        <w:t xml:space="preserve">the Special Prosecutor’s Office </w:t>
      </w:r>
      <w:r w:rsidR="00FD4E6B" w:rsidRPr="00EA6C7A">
        <w:rPr>
          <w:bCs/>
          <w:lang w:val="en-US"/>
        </w:rPr>
        <w:t xml:space="preserve">for Women’s Affairs </w:t>
      </w:r>
      <w:r w:rsidR="003E2012" w:rsidRPr="00EA6C7A">
        <w:rPr>
          <w:bCs/>
          <w:lang w:val="en-US"/>
        </w:rPr>
        <w:t>of the Public</w:t>
      </w:r>
      <w:r w:rsidR="00B3248B" w:rsidRPr="00EA6C7A">
        <w:rPr>
          <w:bCs/>
          <w:lang w:val="en-US"/>
        </w:rPr>
        <w:t xml:space="preserve"> Prosecution Service</w:t>
      </w:r>
      <w:r w:rsidR="006D228A" w:rsidRPr="00EA6C7A">
        <w:rPr>
          <w:bCs/>
          <w:lang w:val="en-US"/>
        </w:rPr>
        <w:t xml:space="preserve">, </w:t>
      </w:r>
      <w:r w:rsidR="00FD4E6B" w:rsidRPr="00EA6C7A">
        <w:rPr>
          <w:bCs/>
          <w:lang w:val="en-US"/>
        </w:rPr>
        <w:t>and also the</w:t>
      </w:r>
      <w:r w:rsidR="006D228A" w:rsidRPr="00EA6C7A">
        <w:rPr>
          <w:bCs/>
          <w:lang w:val="en-US"/>
        </w:rPr>
        <w:t xml:space="preserve"> </w:t>
      </w:r>
      <w:r w:rsidR="00CA4197" w:rsidRPr="00EA6C7A">
        <w:rPr>
          <w:bCs/>
          <w:lang w:val="en-US"/>
        </w:rPr>
        <w:t>National Institute of Forensic Science</w:t>
      </w:r>
      <w:r w:rsidR="006D228A" w:rsidRPr="00EA6C7A">
        <w:rPr>
          <w:bCs/>
          <w:lang w:val="en-US"/>
        </w:rPr>
        <w:t xml:space="preserve"> (INACIF). </w:t>
      </w:r>
      <w:r w:rsidR="00FD4E6B" w:rsidRPr="00EA6C7A">
        <w:rPr>
          <w:bCs/>
          <w:lang w:val="en-US"/>
        </w:rPr>
        <w:t>Additionally, it ha</w:t>
      </w:r>
      <w:r w:rsidRPr="00EA6C7A">
        <w:rPr>
          <w:bCs/>
          <w:lang w:val="en-US"/>
        </w:rPr>
        <w:t>d</w:t>
      </w:r>
      <w:r w:rsidR="00FD4E6B" w:rsidRPr="00EA6C7A">
        <w:rPr>
          <w:bCs/>
          <w:lang w:val="en-US"/>
        </w:rPr>
        <w:t xml:space="preserve"> </w:t>
      </w:r>
      <w:r w:rsidR="009C5D41" w:rsidRPr="00EA6C7A">
        <w:rPr>
          <w:bCs/>
          <w:lang w:val="en-US"/>
        </w:rPr>
        <w:t>Comprehensive Support Centers for Women Survivors of Violence</w:t>
      </w:r>
      <w:r w:rsidR="006D228A" w:rsidRPr="00EA6C7A">
        <w:rPr>
          <w:bCs/>
          <w:lang w:val="en-US"/>
        </w:rPr>
        <w:t xml:space="preserve"> (CAIMUS). </w:t>
      </w:r>
      <w:r w:rsidR="00FD4E6B" w:rsidRPr="00EA6C7A">
        <w:rPr>
          <w:bCs/>
          <w:lang w:val="en-US"/>
        </w:rPr>
        <w:t>Lastly, it referred to the i</w:t>
      </w:r>
      <w:r w:rsidR="00B11899" w:rsidRPr="00EA6C7A">
        <w:rPr>
          <w:bCs/>
          <w:lang w:val="en-US"/>
        </w:rPr>
        <w:t>mplementation</w:t>
      </w:r>
      <w:r w:rsidR="006D228A" w:rsidRPr="00EA6C7A">
        <w:rPr>
          <w:bCs/>
          <w:lang w:val="en-US"/>
        </w:rPr>
        <w:t xml:space="preserve"> </w:t>
      </w:r>
      <w:r w:rsidR="00FD4E6B" w:rsidRPr="00EA6C7A">
        <w:rPr>
          <w:bCs/>
          <w:lang w:val="en-US"/>
        </w:rPr>
        <w:t xml:space="preserve">of the Action Protocol to address </w:t>
      </w:r>
      <w:r w:rsidR="00FD4E6B" w:rsidRPr="00EA6C7A">
        <w:rPr>
          <w:lang w:val="en-US"/>
        </w:rPr>
        <w:t>violence against women</w:t>
      </w:r>
      <w:r w:rsidR="00FD4E6B" w:rsidRPr="00EA6C7A">
        <w:rPr>
          <w:bCs/>
          <w:lang w:val="en-US"/>
        </w:rPr>
        <w:t xml:space="preserve"> </w:t>
      </w:r>
      <w:r w:rsidR="00D75E80" w:rsidRPr="00EA6C7A">
        <w:rPr>
          <w:lang w:val="en-US"/>
        </w:rPr>
        <w:t xml:space="preserve">of the </w:t>
      </w:r>
      <w:r w:rsidR="000B3E6E" w:rsidRPr="00EA6C7A">
        <w:rPr>
          <w:lang w:val="en-US"/>
        </w:rPr>
        <w:t>National Civil Police</w:t>
      </w:r>
      <w:r w:rsidR="006D228A" w:rsidRPr="00EA6C7A">
        <w:rPr>
          <w:lang w:val="en-US"/>
        </w:rPr>
        <w:t xml:space="preserve"> (PNC).</w:t>
      </w:r>
    </w:p>
    <w:p w14:paraId="182EC754" w14:textId="77777777" w:rsidR="006D228A" w:rsidRPr="00EA6C7A" w:rsidRDefault="006D228A" w:rsidP="006D228A">
      <w:pPr>
        <w:autoSpaceDE w:val="0"/>
        <w:autoSpaceDN w:val="0"/>
        <w:adjustRightInd w:val="0"/>
        <w:spacing w:after="0" w:line="240" w:lineRule="auto"/>
        <w:jc w:val="both"/>
        <w:rPr>
          <w:rFonts w:ascii="Verdana" w:hAnsi="Verdana"/>
          <w:bCs/>
          <w:sz w:val="20"/>
          <w:szCs w:val="20"/>
          <w:lang w:val="en-US"/>
        </w:rPr>
      </w:pPr>
    </w:p>
    <w:p w14:paraId="55A18E66" w14:textId="77777777" w:rsidR="006D228A" w:rsidRPr="00EA6C7A" w:rsidRDefault="001E7BC3" w:rsidP="00077D21">
      <w:pPr>
        <w:pStyle w:val="PrrafodeSentencia"/>
        <w:rPr>
          <w:lang w:val="en-US"/>
        </w:rPr>
      </w:pPr>
      <w:r w:rsidRPr="00EA6C7A">
        <w:rPr>
          <w:lang w:val="en-US"/>
        </w:rPr>
        <w:t xml:space="preserve">With regard to the elimination of discriminatory stereotypes, the State indicated, among other matters, that the measures implemented to ensure access to justice included: creation of institutions to provide legal support to indigenous women; creation </w:t>
      </w:r>
      <w:r w:rsidR="009532CF" w:rsidRPr="00EA6C7A">
        <w:rPr>
          <w:lang w:val="en-US"/>
        </w:rPr>
        <w:t xml:space="preserve">of the </w:t>
      </w:r>
      <w:r w:rsidR="00C66427" w:rsidRPr="00EA6C7A">
        <w:rPr>
          <w:bCs/>
          <w:lang w:val="en-US"/>
        </w:rPr>
        <w:t>Office for the Defense of Indigenous Women’s Rights</w:t>
      </w:r>
      <w:r w:rsidR="006D228A" w:rsidRPr="00EA6C7A">
        <w:rPr>
          <w:bCs/>
          <w:lang w:val="en-US"/>
        </w:rPr>
        <w:t>,</w:t>
      </w:r>
      <w:r w:rsidR="0096418F" w:rsidRPr="00EA6C7A">
        <w:rPr>
          <w:bCs/>
          <w:lang w:val="en-US"/>
        </w:rPr>
        <w:t xml:space="preserve"> </w:t>
      </w:r>
      <w:r w:rsidRPr="00EA6C7A">
        <w:rPr>
          <w:bCs/>
          <w:lang w:val="en-US"/>
        </w:rPr>
        <w:t>attached to the National</w:t>
      </w:r>
      <w:r w:rsidR="0096418F" w:rsidRPr="00EA6C7A">
        <w:rPr>
          <w:bCs/>
          <w:lang w:val="en-US"/>
        </w:rPr>
        <w:t xml:space="preserve"> Commission</w:t>
      </w:r>
      <w:r w:rsidR="006D228A" w:rsidRPr="00EA6C7A">
        <w:rPr>
          <w:bCs/>
          <w:lang w:val="en-US"/>
        </w:rPr>
        <w:t xml:space="preserve"> </w:t>
      </w:r>
      <w:r w:rsidRPr="00EA6C7A">
        <w:rPr>
          <w:bCs/>
          <w:lang w:val="en-US"/>
        </w:rPr>
        <w:t>against Racism and Discrimination, and Indigenous Defenders attached to the</w:t>
      </w:r>
      <w:r w:rsidRPr="00EA6C7A">
        <w:rPr>
          <w:lang w:val="en-US"/>
        </w:rPr>
        <w:t xml:space="preserve"> </w:t>
      </w:r>
      <w:r w:rsidR="001B6E81" w:rsidRPr="00EA6C7A">
        <w:rPr>
          <w:lang w:val="en-US"/>
        </w:rPr>
        <w:t>Public Criminal Defense Institute</w:t>
      </w:r>
      <w:r w:rsidR="006D228A" w:rsidRPr="00EA6C7A">
        <w:rPr>
          <w:lang w:val="en-US"/>
        </w:rPr>
        <w:t xml:space="preserve">; </w:t>
      </w:r>
      <w:r w:rsidRPr="00EA6C7A">
        <w:rPr>
          <w:lang w:val="en-US"/>
        </w:rPr>
        <w:t>incorporation of interpreters in institutions related to the a</w:t>
      </w:r>
      <w:r w:rsidR="00397C02" w:rsidRPr="00EA6C7A">
        <w:rPr>
          <w:lang w:val="en-US"/>
        </w:rPr>
        <w:t>dministration</w:t>
      </w:r>
      <w:r w:rsidRPr="00EA6C7A">
        <w:rPr>
          <w:lang w:val="en-US"/>
        </w:rPr>
        <w:t xml:space="preserve"> of justice; signature of an agreement between the DEMI and the </w:t>
      </w:r>
      <w:r w:rsidR="00B3248B" w:rsidRPr="00EA6C7A">
        <w:rPr>
          <w:lang w:val="en-US"/>
        </w:rPr>
        <w:t>Office of the United Nations High Commissioner for Human Rights</w:t>
      </w:r>
      <w:r w:rsidR="00D948A1" w:rsidRPr="00EA6C7A">
        <w:rPr>
          <w:lang w:val="en-US"/>
        </w:rPr>
        <w:t xml:space="preserve"> and </w:t>
      </w:r>
      <w:r w:rsidR="0096418F" w:rsidRPr="00EA6C7A">
        <w:rPr>
          <w:lang w:val="en-US"/>
        </w:rPr>
        <w:t xml:space="preserve">the </w:t>
      </w:r>
      <w:r w:rsidRPr="00EA6C7A">
        <w:rPr>
          <w:lang w:val="en-US"/>
        </w:rPr>
        <w:t xml:space="preserve">Presidential </w:t>
      </w:r>
      <w:r w:rsidR="0096418F" w:rsidRPr="00EA6C7A">
        <w:rPr>
          <w:lang w:val="en-US"/>
        </w:rPr>
        <w:t>Commission</w:t>
      </w:r>
      <w:r w:rsidR="006D228A" w:rsidRPr="00EA6C7A">
        <w:rPr>
          <w:lang w:val="en-US"/>
        </w:rPr>
        <w:t xml:space="preserve"> </w:t>
      </w:r>
      <w:r w:rsidRPr="00EA6C7A">
        <w:rPr>
          <w:bCs/>
          <w:lang w:val="en-US"/>
        </w:rPr>
        <w:t>against Discrimination and Racism; increase in the number of complaints filed before the DEMI by indigenous women</w:t>
      </w:r>
      <w:r w:rsidRPr="00EA6C7A">
        <w:rPr>
          <w:lang w:val="en-US"/>
        </w:rPr>
        <w:t xml:space="preserve"> with regard to acts of violence against them; i</w:t>
      </w:r>
      <w:r w:rsidR="00B11899" w:rsidRPr="00EA6C7A">
        <w:rPr>
          <w:lang w:val="en-US"/>
        </w:rPr>
        <w:t>mplementation</w:t>
      </w:r>
      <w:r w:rsidR="006D228A" w:rsidRPr="00EA6C7A">
        <w:rPr>
          <w:lang w:val="en-US"/>
        </w:rPr>
        <w:t xml:space="preserve"> </w:t>
      </w:r>
      <w:r w:rsidRPr="00EA6C7A">
        <w:rPr>
          <w:lang w:val="en-US"/>
        </w:rPr>
        <w:t xml:space="preserve">by the Educational Directorate </w:t>
      </w:r>
      <w:r w:rsidR="0096418F" w:rsidRPr="00EA6C7A">
        <w:rPr>
          <w:lang w:val="en-US"/>
        </w:rPr>
        <w:t xml:space="preserve">of </w:t>
      </w:r>
      <w:r w:rsidRPr="00EA6C7A">
        <w:rPr>
          <w:lang w:val="en-US"/>
        </w:rPr>
        <w:t xml:space="preserve">the Presidential Coordinating </w:t>
      </w:r>
      <w:r w:rsidR="0096418F" w:rsidRPr="00EA6C7A">
        <w:rPr>
          <w:lang w:val="en-US"/>
        </w:rPr>
        <w:t>Commission</w:t>
      </w:r>
      <w:r w:rsidR="006D228A" w:rsidRPr="00EA6C7A">
        <w:rPr>
          <w:lang w:val="en-US"/>
        </w:rPr>
        <w:t xml:space="preserve"> </w:t>
      </w:r>
      <w:r w:rsidRPr="00EA6C7A">
        <w:rPr>
          <w:lang w:val="en-US"/>
        </w:rPr>
        <w:t>for the Executive’s Human Rights Policy</w:t>
      </w:r>
      <w:r w:rsidR="006D228A" w:rsidRPr="00EA6C7A">
        <w:rPr>
          <w:lang w:val="en-US"/>
        </w:rPr>
        <w:t xml:space="preserve"> (COPREDEH) </w:t>
      </w:r>
      <w:r w:rsidRPr="00EA6C7A">
        <w:rPr>
          <w:lang w:val="en-US"/>
        </w:rPr>
        <w:t>of diploma course on relevant issues for employees and public officials of the Executive and other institutions;</w:t>
      </w:r>
      <w:r w:rsidR="006D228A" w:rsidRPr="00EA6C7A">
        <w:rPr>
          <w:lang w:val="en-US"/>
        </w:rPr>
        <w:t xml:space="preserve"> </w:t>
      </w:r>
      <w:r w:rsidRPr="00EA6C7A">
        <w:rPr>
          <w:lang w:val="en-US"/>
        </w:rPr>
        <w:t>two in</w:t>
      </w:r>
      <w:r w:rsidR="006D228A" w:rsidRPr="00EA6C7A">
        <w:rPr>
          <w:lang w:val="en-US"/>
        </w:rPr>
        <w:t xml:space="preserve"> 2012, </w:t>
      </w:r>
      <w:r w:rsidRPr="00EA6C7A">
        <w:rPr>
          <w:lang w:val="en-US"/>
        </w:rPr>
        <w:t>nine in</w:t>
      </w:r>
      <w:r w:rsidR="006D228A" w:rsidRPr="00EA6C7A">
        <w:rPr>
          <w:lang w:val="en-US"/>
        </w:rPr>
        <w:t xml:space="preserve"> 2013</w:t>
      </w:r>
      <w:r w:rsidR="00D948A1" w:rsidRPr="00EA6C7A">
        <w:rPr>
          <w:lang w:val="en-US"/>
        </w:rPr>
        <w:t xml:space="preserve"> and </w:t>
      </w:r>
      <w:r w:rsidRPr="00EA6C7A">
        <w:rPr>
          <w:lang w:val="en-US"/>
        </w:rPr>
        <w:t>fourteen in</w:t>
      </w:r>
      <w:r w:rsidR="006D228A" w:rsidRPr="00EA6C7A">
        <w:rPr>
          <w:lang w:val="en-US"/>
        </w:rPr>
        <w:t xml:space="preserve"> 2014.</w:t>
      </w:r>
    </w:p>
    <w:p w14:paraId="31E0B154" w14:textId="77777777" w:rsidR="006D228A" w:rsidRPr="00EA6C7A" w:rsidRDefault="006D228A" w:rsidP="006D228A">
      <w:pPr>
        <w:autoSpaceDE w:val="0"/>
        <w:autoSpaceDN w:val="0"/>
        <w:adjustRightInd w:val="0"/>
        <w:spacing w:after="0" w:line="240" w:lineRule="auto"/>
        <w:jc w:val="both"/>
        <w:rPr>
          <w:rFonts w:ascii="Verdana" w:hAnsi="Verdana"/>
          <w:sz w:val="20"/>
          <w:szCs w:val="20"/>
          <w:lang w:val="en-US"/>
        </w:rPr>
      </w:pPr>
    </w:p>
    <w:p w14:paraId="13FFA7EE" w14:textId="77777777" w:rsidR="006D228A" w:rsidRPr="00EA6C7A" w:rsidRDefault="001E7BC3" w:rsidP="001E7BC3">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eastAsia="Batang" w:hAnsi="Verdana"/>
          <w:sz w:val="20"/>
          <w:szCs w:val="20"/>
          <w:lang w:val="en-US" w:eastAsia="es-MX"/>
        </w:rPr>
        <w:t>The Court appreciates the different measures taken by the State, including the creation of diverse agencies</w:t>
      </w:r>
      <w:r w:rsidR="00CD7D17" w:rsidRPr="00EA6C7A">
        <w:rPr>
          <w:rFonts w:ascii="Verdana" w:eastAsia="Batang" w:hAnsi="Verdana"/>
          <w:sz w:val="20"/>
          <w:szCs w:val="20"/>
          <w:lang w:val="en-US" w:eastAsia="es-MX"/>
        </w:rPr>
        <w:t xml:space="preserve">, addressed at the prevention of </w:t>
      </w:r>
      <w:r w:rsidR="00C12C08" w:rsidRPr="00EA6C7A">
        <w:rPr>
          <w:rFonts w:ascii="Verdana" w:eastAsia="Batang" w:hAnsi="Verdana"/>
          <w:sz w:val="20"/>
          <w:szCs w:val="20"/>
          <w:lang w:val="en-US" w:eastAsia="es-MX"/>
        </w:rPr>
        <w:t>violence against women</w:t>
      </w:r>
      <w:r w:rsidR="00D948A1" w:rsidRPr="00EA6C7A">
        <w:rPr>
          <w:rFonts w:ascii="Verdana" w:eastAsia="Batang" w:hAnsi="Verdana"/>
          <w:sz w:val="20"/>
          <w:szCs w:val="20"/>
          <w:lang w:val="en-US" w:eastAsia="es-MX"/>
        </w:rPr>
        <w:t xml:space="preserve"> and </w:t>
      </w:r>
      <w:r w:rsidR="00CD7D17" w:rsidRPr="00EA6C7A">
        <w:rPr>
          <w:rFonts w:ascii="Verdana" w:eastAsia="Batang" w:hAnsi="Verdana"/>
          <w:sz w:val="20"/>
          <w:szCs w:val="20"/>
          <w:lang w:val="en-US" w:eastAsia="es-MX"/>
        </w:rPr>
        <w:t>the eradication of discriminatory socio-cultural patterns.</w:t>
      </w:r>
      <w:r w:rsidR="006D228A" w:rsidRPr="00EA6C7A">
        <w:rPr>
          <w:rFonts w:ascii="Verdana" w:eastAsia="Batang" w:hAnsi="Verdana"/>
          <w:sz w:val="20"/>
          <w:szCs w:val="20"/>
          <w:lang w:val="en-US" w:eastAsia="es-MX"/>
        </w:rPr>
        <w:t xml:space="preserve"> </w:t>
      </w:r>
    </w:p>
    <w:p w14:paraId="51DA02B8" w14:textId="77777777" w:rsidR="006D228A" w:rsidRPr="00EA6C7A" w:rsidRDefault="006D228A" w:rsidP="001E7BC3">
      <w:pPr>
        <w:tabs>
          <w:tab w:val="left" w:pos="720"/>
        </w:tabs>
        <w:spacing w:after="0" w:line="240" w:lineRule="auto"/>
        <w:jc w:val="both"/>
        <w:rPr>
          <w:rFonts w:ascii="Verdana" w:eastAsia="Calibri" w:hAnsi="Verdana"/>
          <w:sz w:val="20"/>
          <w:szCs w:val="20"/>
          <w:lang w:val="en-US"/>
        </w:rPr>
      </w:pPr>
    </w:p>
    <w:p w14:paraId="33A71B98" w14:textId="77777777" w:rsidR="006D228A" w:rsidRPr="00EA6C7A" w:rsidRDefault="00DA7092" w:rsidP="00DA7092">
      <w:pPr>
        <w:numPr>
          <w:ilvl w:val="0"/>
          <w:numId w:val="3"/>
        </w:numPr>
        <w:tabs>
          <w:tab w:val="left" w:pos="720"/>
        </w:tabs>
        <w:spacing w:after="0" w:line="240" w:lineRule="auto"/>
        <w:ind w:left="0" w:firstLine="0"/>
        <w:jc w:val="both"/>
        <w:rPr>
          <w:rFonts w:ascii="Verdana" w:eastAsia="Calibri" w:hAnsi="Verdana"/>
          <w:sz w:val="20"/>
          <w:szCs w:val="20"/>
          <w:lang w:val="en-US"/>
        </w:rPr>
      </w:pPr>
      <w:r w:rsidRPr="00EA6C7A">
        <w:rPr>
          <w:rFonts w:ascii="Verdana" w:eastAsia="Batang" w:hAnsi="Verdana"/>
          <w:sz w:val="20"/>
          <w:szCs w:val="20"/>
          <w:lang w:val="en-US" w:eastAsia="es-MX"/>
        </w:rPr>
        <w:t>Nevertheless, in this case, the Court has established that, according to the reports of various national and international organisations, as well as e</w:t>
      </w:r>
      <w:r w:rsidR="00586DC6" w:rsidRPr="00EA6C7A">
        <w:rPr>
          <w:rFonts w:ascii="Verdana" w:eastAsia="Batang" w:hAnsi="Verdana"/>
          <w:sz w:val="20"/>
          <w:szCs w:val="20"/>
          <w:lang w:val="en-US" w:eastAsia="es-MX"/>
        </w:rPr>
        <w:t>xpert witness</w:t>
      </w:r>
      <w:r w:rsidR="006D228A" w:rsidRPr="00EA6C7A">
        <w:rPr>
          <w:rFonts w:ascii="Verdana" w:eastAsia="Batang" w:hAnsi="Verdana"/>
          <w:sz w:val="20"/>
          <w:szCs w:val="20"/>
          <w:lang w:val="en-US" w:eastAsia="es-MX"/>
        </w:rPr>
        <w:t xml:space="preserve"> Karen Musalo, </w:t>
      </w:r>
      <w:r w:rsidRPr="00EA6C7A">
        <w:rPr>
          <w:rFonts w:ascii="Verdana" w:eastAsia="Batang" w:hAnsi="Verdana"/>
          <w:sz w:val="20"/>
          <w:szCs w:val="20"/>
          <w:lang w:val="en-US" w:eastAsia="es-MX"/>
        </w:rPr>
        <w:t xml:space="preserve">the measures implemented by the State to address the problem of </w:t>
      </w:r>
      <w:r w:rsidR="00C12C08" w:rsidRPr="00EA6C7A">
        <w:rPr>
          <w:rFonts w:ascii="Verdana" w:eastAsia="Batang" w:hAnsi="Verdana"/>
          <w:sz w:val="20"/>
          <w:szCs w:val="20"/>
          <w:lang w:val="en-US" w:eastAsia="es-MX"/>
        </w:rPr>
        <w:t>violence against women</w:t>
      </w:r>
      <w:r w:rsidR="006D228A"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up until </w:t>
      </w:r>
      <w:r w:rsidRPr="00EA6C7A">
        <w:rPr>
          <w:rFonts w:ascii="Verdana" w:eastAsia="Batang" w:hAnsi="Verdana"/>
          <w:sz w:val="20"/>
          <w:szCs w:val="20"/>
          <w:lang w:val="en-US" w:eastAsia="es-MX"/>
        </w:rPr>
        <w:lastRenderedPageBreak/>
        <w:t xml:space="preserve">the time at which the facts of the case occurred were insufficient to resolve the problem because they were allocated insufficient resources, and owing to </w:t>
      </w:r>
      <w:r w:rsidR="00832660" w:rsidRPr="00EA6C7A">
        <w:rPr>
          <w:rFonts w:ascii="Verdana" w:eastAsia="Batang" w:hAnsi="Verdana"/>
          <w:sz w:val="20"/>
          <w:szCs w:val="20"/>
          <w:lang w:val="en-US" w:eastAsia="es-MX"/>
        </w:rPr>
        <w:t>a</w:t>
      </w:r>
      <w:r w:rsidRPr="00EA6C7A">
        <w:rPr>
          <w:rFonts w:ascii="Verdana" w:eastAsia="Batang" w:hAnsi="Verdana"/>
          <w:sz w:val="20"/>
          <w:szCs w:val="20"/>
          <w:lang w:val="en-US" w:eastAsia="es-MX"/>
        </w:rPr>
        <w:t xml:space="preserve"> lack of coordination between the different institutions and a comprehensive protection strategy. In addition, the Court has verified that, in its last National Report presented to the </w:t>
      </w:r>
      <w:r w:rsidR="00682F6F" w:rsidRPr="00EA6C7A">
        <w:rPr>
          <w:rFonts w:ascii="Verdana" w:eastAsia="Batang" w:hAnsi="Verdana"/>
          <w:sz w:val="20"/>
          <w:szCs w:val="20"/>
          <w:lang w:val="en-US" w:eastAsia="es-MX"/>
        </w:rPr>
        <w:t>Working Group on the Universal Periodic Review of the UN Human Rights Council</w:t>
      </w:r>
      <w:r w:rsidR="006D228A"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 xml:space="preserve">dated August 7, </w:t>
      </w:r>
      <w:r w:rsidR="006D228A" w:rsidRPr="00EA6C7A">
        <w:rPr>
          <w:rFonts w:ascii="Verdana" w:eastAsia="Batang" w:hAnsi="Verdana"/>
          <w:sz w:val="20"/>
          <w:szCs w:val="20"/>
          <w:lang w:val="en-US" w:eastAsia="es-MX"/>
        </w:rPr>
        <w:t xml:space="preserve">2012, </w:t>
      </w:r>
      <w:r w:rsidR="002F3848" w:rsidRPr="00EA6C7A">
        <w:rPr>
          <w:rFonts w:ascii="Verdana" w:eastAsia="Batang" w:hAnsi="Verdana"/>
          <w:sz w:val="20"/>
          <w:szCs w:val="20"/>
          <w:lang w:val="en-US" w:eastAsia="es-MX"/>
        </w:rPr>
        <w:t>the State</w:t>
      </w:r>
      <w:r w:rsidR="006D228A" w:rsidRPr="00EA6C7A">
        <w:rPr>
          <w:rFonts w:ascii="Verdana" w:eastAsia="Batang" w:hAnsi="Verdana"/>
          <w:sz w:val="20"/>
          <w:szCs w:val="20"/>
          <w:lang w:val="en-US" w:eastAsia="es-MX"/>
        </w:rPr>
        <w:t xml:space="preserve"> </w:t>
      </w:r>
      <w:r w:rsidRPr="00EA6C7A">
        <w:rPr>
          <w:rFonts w:ascii="Verdana" w:eastAsia="Batang" w:hAnsi="Verdana"/>
          <w:sz w:val="20"/>
          <w:szCs w:val="20"/>
          <w:lang w:val="en-US" w:eastAsia="es-MX"/>
        </w:rPr>
        <w:t>acknowledged that, among the challenges it faced, was</w:t>
      </w:r>
      <w:r w:rsidRPr="00EA6C7A">
        <w:rPr>
          <w:rFonts w:ascii="Verdana" w:hAnsi="Verdana"/>
          <w:sz w:val="20"/>
          <w:szCs w:val="20"/>
          <w:lang w:val="en-US"/>
        </w:rPr>
        <w:t xml:space="preserve"> “implementation of a coordinated inter-agency </w:t>
      </w:r>
      <w:r w:rsidRPr="00EA6C7A">
        <w:rPr>
          <w:rStyle w:val="highlight"/>
          <w:rFonts w:ascii="Verdana" w:hAnsi="Verdana"/>
          <w:sz w:val="20"/>
          <w:szCs w:val="20"/>
          <w:lang w:val="en-US"/>
        </w:rPr>
        <w:t>strategy</w:t>
      </w:r>
      <w:r w:rsidRPr="00EA6C7A">
        <w:rPr>
          <w:rFonts w:ascii="Verdana" w:hAnsi="Verdana"/>
          <w:sz w:val="20"/>
          <w:szCs w:val="20"/>
          <w:lang w:val="en-US"/>
        </w:rPr>
        <w:t xml:space="preserve"> for preventing violence against women in all circumstances.” For the purposes of this case, the Court has also established, specifically, that the State ha</w:t>
      </w:r>
      <w:r w:rsidR="00832660" w:rsidRPr="00EA6C7A">
        <w:rPr>
          <w:rFonts w:ascii="Verdana" w:hAnsi="Verdana"/>
          <w:sz w:val="20"/>
          <w:szCs w:val="20"/>
          <w:lang w:val="en-US"/>
        </w:rPr>
        <w:t>d</w:t>
      </w:r>
      <w:r w:rsidRPr="00EA6C7A">
        <w:rPr>
          <w:rFonts w:ascii="Verdana" w:hAnsi="Verdana"/>
          <w:sz w:val="20"/>
          <w:szCs w:val="20"/>
          <w:lang w:val="en-US"/>
        </w:rPr>
        <w:t xml:space="preserve"> not </w:t>
      </w:r>
      <w:r w:rsidR="00832660" w:rsidRPr="00EA6C7A">
        <w:rPr>
          <w:rFonts w:ascii="Verdana" w:hAnsi="Verdana"/>
          <w:sz w:val="20"/>
          <w:szCs w:val="20"/>
          <w:lang w:val="en-US"/>
        </w:rPr>
        <w:t>proved</w:t>
      </w:r>
      <w:r w:rsidRPr="00EA6C7A">
        <w:rPr>
          <w:rFonts w:ascii="Verdana" w:hAnsi="Verdana"/>
          <w:sz w:val="20"/>
          <w:szCs w:val="20"/>
          <w:lang w:val="en-US"/>
        </w:rPr>
        <w:t xml:space="preserve"> that it had implemented the necessary measures </w:t>
      </w:r>
      <w:r w:rsidR="00400CCA" w:rsidRPr="00EA6C7A">
        <w:rPr>
          <w:rFonts w:ascii="Verdana" w:hAnsi="Verdana"/>
          <w:sz w:val="20"/>
          <w:szCs w:val="20"/>
          <w:lang w:val="en-US"/>
        </w:rPr>
        <w:t xml:space="preserve">to ensure </w:t>
      </w:r>
      <w:r w:rsidRPr="00EA6C7A">
        <w:rPr>
          <w:rFonts w:ascii="Verdana" w:hAnsi="Verdana"/>
          <w:sz w:val="20"/>
          <w:szCs w:val="20"/>
          <w:lang w:val="en-US"/>
        </w:rPr>
        <w:t xml:space="preserve">that </w:t>
      </w:r>
      <w:r w:rsidR="00400CCA" w:rsidRPr="00EA6C7A">
        <w:rPr>
          <w:rFonts w:ascii="Verdana" w:hAnsi="Verdana"/>
          <w:sz w:val="20"/>
          <w:szCs w:val="20"/>
          <w:lang w:val="en-US"/>
        </w:rPr>
        <w:t xml:space="preserve">the </w:t>
      </w:r>
      <w:r w:rsidRPr="00EA6C7A">
        <w:rPr>
          <w:rFonts w:ascii="Verdana" w:hAnsi="Verdana"/>
          <w:sz w:val="20"/>
          <w:szCs w:val="20"/>
          <w:lang w:val="en-US"/>
        </w:rPr>
        <w:t xml:space="preserve">officials responsible for receiving missing person reports had the capacity and </w:t>
      </w:r>
      <w:r w:rsidR="00832660" w:rsidRPr="00EA6C7A">
        <w:rPr>
          <w:rFonts w:ascii="Verdana" w:hAnsi="Verdana"/>
          <w:sz w:val="20"/>
          <w:szCs w:val="20"/>
          <w:lang w:val="en-US"/>
        </w:rPr>
        <w:t>sensitivity</w:t>
      </w:r>
      <w:r w:rsidRPr="00EA6C7A">
        <w:rPr>
          <w:rFonts w:ascii="Verdana" w:hAnsi="Verdana"/>
          <w:sz w:val="20"/>
          <w:szCs w:val="20"/>
          <w:lang w:val="en-US"/>
        </w:rPr>
        <w:t xml:space="preserve"> to understand the gravity of such reports in the context of </w:t>
      </w:r>
      <w:r w:rsidRPr="00EA6C7A">
        <w:rPr>
          <w:rFonts w:ascii="Verdana" w:eastAsia="Batang" w:hAnsi="Verdana"/>
          <w:sz w:val="20"/>
          <w:szCs w:val="20"/>
          <w:lang w:val="en-US" w:eastAsia="es-MX"/>
        </w:rPr>
        <w:t>violence against women,</w:t>
      </w:r>
      <w:r w:rsidR="003575FB" w:rsidRPr="00EA6C7A">
        <w:rPr>
          <w:rFonts w:ascii="Verdana" w:eastAsia="Batang" w:hAnsi="Verdana"/>
          <w:sz w:val="20"/>
          <w:szCs w:val="20"/>
          <w:lang w:val="en-US" w:eastAsia="es-MX"/>
        </w:rPr>
        <w:t xml:space="preserve"> and the willingness and training to act immediately and effectively</w:t>
      </w:r>
      <w:r w:rsidR="006D228A" w:rsidRPr="00EA6C7A">
        <w:rPr>
          <w:rFonts w:ascii="Verdana" w:eastAsia="Batang" w:hAnsi="Verdana"/>
          <w:sz w:val="20"/>
          <w:szCs w:val="20"/>
          <w:lang w:val="en-US" w:eastAsia="es-MX"/>
        </w:rPr>
        <w:t xml:space="preserve"> (</w:t>
      </w:r>
      <w:r w:rsidR="006D228A" w:rsidRPr="00EA6C7A">
        <w:rPr>
          <w:rFonts w:ascii="Verdana" w:eastAsia="Batang" w:hAnsi="Verdana"/>
          <w:i/>
          <w:sz w:val="20"/>
          <w:szCs w:val="20"/>
          <w:lang w:val="en-US" w:eastAsia="es-MX"/>
        </w:rPr>
        <w:t xml:space="preserve">supra </w:t>
      </w:r>
      <w:r w:rsidR="008524CB" w:rsidRPr="00EA6C7A">
        <w:rPr>
          <w:rFonts w:ascii="Verdana" w:eastAsia="Batang" w:hAnsi="Verdana"/>
          <w:sz w:val="20"/>
          <w:szCs w:val="20"/>
          <w:lang w:val="en-US" w:eastAsia="es-MX"/>
        </w:rPr>
        <w:t>paras.</w:t>
      </w:r>
      <w:r w:rsidR="006D228A" w:rsidRPr="00EA6C7A">
        <w:rPr>
          <w:rFonts w:ascii="Verdana" w:eastAsia="Batang" w:hAnsi="Verdana"/>
          <w:sz w:val="20"/>
          <w:szCs w:val="20"/>
          <w:lang w:val="en-US" w:eastAsia="es-MX"/>
        </w:rPr>
        <w:t xml:space="preserve"> 120</w:t>
      </w:r>
      <w:r w:rsidR="00D948A1" w:rsidRPr="00EA6C7A">
        <w:rPr>
          <w:rFonts w:ascii="Verdana" w:eastAsia="Batang" w:hAnsi="Verdana"/>
          <w:sz w:val="20"/>
          <w:szCs w:val="20"/>
          <w:lang w:val="en-US" w:eastAsia="es-MX"/>
        </w:rPr>
        <w:t xml:space="preserve"> and </w:t>
      </w:r>
      <w:r w:rsidR="006D228A" w:rsidRPr="00EA6C7A">
        <w:rPr>
          <w:rFonts w:ascii="Verdana" w:eastAsia="Batang" w:hAnsi="Verdana"/>
          <w:sz w:val="20"/>
          <w:szCs w:val="20"/>
          <w:lang w:val="en-US" w:eastAsia="es-MX"/>
        </w:rPr>
        <w:t xml:space="preserve">133). </w:t>
      </w:r>
      <w:r w:rsidR="003575FB" w:rsidRPr="00EA6C7A">
        <w:rPr>
          <w:rFonts w:ascii="Verdana" w:eastAsia="Batang" w:hAnsi="Verdana"/>
          <w:sz w:val="20"/>
          <w:szCs w:val="20"/>
          <w:lang w:val="en-US" w:eastAsia="es-MX"/>
        </w:rPr>
        <w:t xml:space="preserve">That said, in its answer to the submission of the case, </w:t>
      </w:r>
      <w:r w:rsidR="002F3848" w:rsidRPr="00EA6C7A">
        <w:rPr>
          <w:rFonts w:ascii="Verdana" w:eastAsia="Batang" w:hAnsi="Verdana"/>
          <w:sz w:val="20"/>
          <w:szCs w:val="20"/>
          <w:lang w:val="en-US" w:eastAsia="es-MX"/>
        </w:rPr>
        <w:t>the State</w:t>
      </w:r>
      <w:r w:rsidR="006D228A" w:rsidRPr="00EA6C7A">
        <w:rPr>
          <w:rFonts w:ascii="Verdana" w:eastAsia="Batang" w:hAnsi="Verdana"/>
          <w:sz w:val="20"/>
          <w:szCs w:val="20"/>
          <w:lang w:val="en-US" w:eastAsia="es-MX"/>
        </w:rPr>
        <w:t xml:space="preserve"> men</w:t>
      </w:r>
      <w:r w:rsidR="003575FB" w:rsidRPr="00EA6C7A">
        <w:rPr>
          <w:rFonts w:ascii="Verdana" w:eastAsia="Batang" w:hAnsi="Verdana"/>
          <w:sz w:val="20"/>
          <w:szCs w:val="20"/>
          <w:lang w:val="en-US" w:eastAsia="es-MX"/>
        </w:rPr>
        <w:t>tioned the creation of the “</w:t>
      </w:r>
      <w:r w:rsidR="00D03E43" w:rsidRPr="00EA6C7A">
        <w:rPr>
          <w:rFonts w:ascii="Verdana" w:eastAsia="Batang" w:hAnsi="Verdana"/>
          <w:sz w:val="20"/>
          <w:szCs w:val="20"/>
          <w:lang w:val="en-US" w:eastAsia="es-MX"/>
        </w:rPr>
        <w:t xml:space="preserve">early </w:t>
      </w:r>
      <w:r w:rsidR="003575FB" w:rsidRPr="00EA6C7A">
        <w:rPr>
          <w:rFonts w:ascii="Verdana" w:eastAsia="Batang" w:hAnsi="Verdana"/>
          <w:sz w:val="20"/>
          <w:szCs w:val="20"/>
          <w:lang w:val="en-US" w:eastAsia="es-MX"/>
        </w:rPr>
        <w:t xml:space="preserve">warning system of the </w:t>
      </w:r>
      <w:r w:rsidR="006D228A" w:rsidRPr="00EA6C7A">
        <w:rPr>
          <w:rFonts w:ascii="Verdana" w:eastAsia="Batang" w:hAnsi="Verdana"/>
          <w:sz w:val="20"/>
          <w:szCs w:val="20"/>
          <w:lang w:val="en-US" w:eastAsia="es-MX"/>
        </w:rPr>
        <w:t>Alba-Keneth</w:t>
      </w:r>
      <w:r w:rsidR="003575FB" w:rsidRPr="00EA6C7A">
        <w:rPr>
          <w:rFonts w:ascii="Verdana" w:eastAsia="Batang" w:hAnsi="Verdana"/>
          <w:sz w:val="20"/>
          <w:szCs w:val="20"/>
          <w:lang w:val="en-US" w:eastAsia="es-MX"/>
        </w:rPr>
        <w:t xml:space="preserve"> Law,</w:t>
      </w:r>
      <w:r w:rsidR="006D228A" w:rsidRPr="00EA6C7A">
        <w:rPr>
          <w:rFonts w:ascii="Verdana" w:eastAsia="Batang" w:hAnsi="Verdana"/>
          <w:sz w:val="20"/>
          <w:szCs w:val="20"/>
          <w:lang w:val="en-US" w:eastAsia="es-MX"/>
        </w:rPr>
        <w:t>”</w:t>
      </w:r>
      <w:r w:rsidR="003575FB" w:rsidRPr="00EA6C7A">
        <w:rPr>
          <w:rFonts w:ascii="Verdana" w:eastAsia="Batang" w:hAnsi="Verdana"/>
          <w:sz w:val="20"/>
          <w:szCs w:val="20"/>
          <w:lang w:val="en-US" w:eastAsia="es-MX"/>
        </w:rPr>
        <w:t xml:space="preserve"> coordinated by the Office of the Attorney General</w:t>
      </w:r>
      <w:r w:rsidR="006D228A" w:rsidRPr="00EA6C7A">
        <w:rPr>
          <w:rFonts w:ascii="Verdana" w:eastAsia="Batang" w:hAnsi="Verdana"/>
          <w:sz w:val="20"/>
          <w:szCs w:val="20"/>
          <w:lang w:val="en-US" w:eastAsia="es-MX"/>
        </w:rPr>
        <w:t xml:space="preserve"> </w:t>
      </w:r>
      <w:r w:rsidR="006D228A" w:rsidRPr="00EA6C7A">
        <w:rPr>
          <w:rFonts w:ascii="Verdana" w:hAnsi="Verdana"/>
          <w:bCs/>
          <w:sz w:val="20"/>
          <w:szCs w:val="20"/>
          <w:lang w:val="en-US"/>
        </w:rPr>
        <w:t>(PGN) (</w:t>
      </w:r>
      <w:r w:rsidR="006D228A" w:rsidRPr="00EA6C7A">
        <w:rPr>
          <w:rFonts w:ascii="Verdana" w:hAnsi="Verdana"/>
          <w:bCs/>
          <w:i/>
          <w:sz w:val="20"/>
          <w:szCs w:val="20"/>
          <w:lang w:val="en-US"/>
        </w:rPr>
        <w:t>supra</w:t>
      </w:r>
      <w:r w:rsidR="006D228A" w:rsidRPr="00EA6C7A">
        <w:rPr>
          <w:rFonts w:ascii="Verdana" w:hAnsi="Verdana"/>
          <w:bCs/>
          <w:sz w:val="20"/>
          <w:szCs w:val="20"/>
          <w:lang w:val="en-US"/>
        </w:rPr>
        <w:t xml:space="preserve"> </w:t>
      </w:r>
      <w:r w:rsidR="002F3848" w:rsidRPr="00EA6C7A">
        <w:rPr>
          <w:rFonts w:ascii="Verdana" w:hAnsi="Verdana"/>
          <w:bCs/>
          <w:sz w:val="20"/>
          <w:szCs w:val="20"/>
          <w:lang w:val="en-US"/>
        </w:rPr>
        <w:t>para.</w:t>
      </w:r>
      <w:r w:rsidR="006D228A" w:rsidRPr="00EA6C7A">
        <w:rPr>
          <w:rFonts w:ascii="Verdana" w:hAnsi="Verdana"/>
          <w:bCs/>
          <w:sz w:val="20"/>
          <w:szCs w:val="20"/>
          <w:lang w:val="en-US"/>
        </w:rPr>
        <w:t xml:space="preserve"> 251), </w:t>
      </w:r>
      <w:r w:rsidR="003575FB" w:rsidRPr="00EA6C7A">
        <w:rPr>
          <w:rFonts w:ascii="Verdana" w:hAnsi="Verdana"/>
          <w:bCs/>
          <w:sz w:val="20"/>
          <w:szCs w:val="20"/>
          <w:lang w:val="en-US"/>
        </w:rPr>
        <w:t xml:space="preserve">which “seeks to provide better protection for children and adolescents against kidnapping, trafficking, sale and smuggling </w:t>
      </w:r>
      <w:r w:rsidR="006D228A" w:rsidRPr="00EA6C7A">
        <w:rPr>
          <w:rFonts w:ascii="Verdana" w:eastAsia="Batang" w:hAnsi="Verdana"/>
          <w:sz w:val="20"/>
          <w:szCs w:val="20"/>
          <w:lang w:val="en-US" w:eastAsia="es-MX"/>
        </w:rPr>
        <w:t>[…]</w:t>
      </w:r>
      <w:r w:rsidR="003575FB" w:rsidRPr="00EA6C7A">
        <w:rPr>
          <w:rFonts w:ascii="Verdana" w:eastAsia="Batang" w:hAnsi="Verdana"/>
          <w:sz w:val="20"/>
          <w:szCs w:val="20"/>
          <w:lang w:val="en-US" w:eastAsia="es-MX"/>
        </w:rPr>
        <w:t>.</w:t>
      </w:r>
      <w:r w:rsidR="006D228A" w:rsidRPr="00EA6C7A">
        <w:rPr>
          <w:rFonts w:ascii="Verdana" w:eastAsia="Batang" w:hAnsi="Verdana"/>
          <w:sz w:val="20"/>
          <w:szCs w:val="20"/>
          <w:lang w:val="en-US" w:eastAsia="es-MX"/>
        </w:rPr>
        <w:t>”</w:t>
      </w:r>
      <w:r w:rsidR="006D228A" w:rsidRPr="00EA6C7A">
        <w:rPr>
          <w:rStyle w:val="Refdenotaalpie"/>
          <w:rFonts w:ascii="Verdana" w:eastAsia="Batang" w:hAnsi="Verdana"/>
          <w:sz w:val="20"/>
          <w:szCs w:val="20"/>
          <w:lang w:val="en-US" w:eastAsia="es-MX"/>
        </w:rPr>
        <w:footnoteReference w:id="348"/>
      </w:r>
      <w:r w:rsidR="003575FB" w:rsidRPr="00EA6C7A">
        <w:rPr>
          <w:rFonts w:ascii="Verdana" w:eastAsia="Batang" w:hAnsi="Verdana"/>
          <w:sz w:val="20"/>
          <w:szCs w:val="20"/>
          <w:lang w:val="en-US" w:eastAsia="es-MX"/>
        </w:rPr>
        <w:t xml:space="preserve"> However, it did not indicate whether a similar system existed in its domestic law </w:t>
      </w:r>
      <w:r w:rsidR="00832660" w:rsidRPr="00EA6C7A">
        <w:rPr>
          <w:rFonts w:ascii="Verdana" w:eastAsia="Batang" w:hAnsi="Verdana"/>
          <w:sz w:val="20"/>
          <w:szCs w:val="20"/>
          <w:lang w:val="en-US" w:eastAsia="es-MX"/>
        </w:rPr>
        <w:t>for</w:t>
      </w:r>
      <w:r w:rsidR="003575FB" w:rsidRPr="00EA6C7A">
        <w:rPr>
          <w:rFonts w:ascii="Verdana" w:eastAsia="Batang" w:hAnsi="Verdana"/>
          <w:sz w:val="20"/>
          <w:szCs w:val="20"/>
          <w:lang w:val="en-US" w:eastAsia="es-MX"/>
        </w:rPr>
        <w:t xml:space="preserve"> the situation of adult women reported missing in the context of this case</w:t>
      </w:r>
      <w:r w:rsidR="006D228A" w:rsidRPr="00EA6C7A">
        <w:rPr>
          <w:rFonts w:ascii="Verdana" w:eastAsia="Batang" w:hAnsi="Verdana"/>
          <w:sz w:val="20"/>
          <w:szCs w:val="20"/>
          <w:lang w:val="en-US" w:eastAsia="es-MX"/>
        </w:rPr>
        <w:t xml:space="preserve">. </w:t>
      </w:r>
    </w:p>
    <w:p w14:paraId="2CDA6C63" w14:textId="77777777" w:rsidR="006D228A" w:rsidRPr="00EA6C7A" w:rsidRDefault="006D228A" w:rsidP="006D228A">
      <w:pPr>
        <w:tabs>
          <w:tab w:val="left" w:pos="567"/>
        </w:tabs>
        <w:spacing w:after="0" w:line="240" w:lineRule="auto"/>
        <w:jc w:val="both"/>
        <w:rPr>
          <w:rFonts w:ascii="Verdana" w:eastAsia="Calibri" w:hAnsi="Verdana"/>
          <w:sz w:val="20"/>
          <w:szCs w:val="20"/>
          <w:lang w:val="en-US"/>
        </w:rPr>
      </w:pPr>
    </w:p>
    <w:p w14:paraId="527CE775" w14:textId="77777777" w:rsidR="006D228A" w:rsidRPr="00EA6C7A" w:rsidRDefault="00BC7E1F" w:rsidP="007D4A03">
      <w:pPr>
        <w:numPr>
          <w:ilvl w:val="0"/>
          <w:numId w:val="3"/>
        </w:numPr>
        <w:tabs>
          <w:tab w:val="left" w:pos="720"/>
        </w:tabs>
        <w:spacing w:after="0" w:line="240" w:lineRule="auto"/>
        <w:ind w:left="0" w:firstLine="0"/>
        <w:jc w:val="both"/>
        <w:rPr>
          <w:rFonts w:ascii="Verdana" w:hAnsi="Verdana"/>
          <w:sz w:val="20"/>
          <w:szCs w:val="20"/>
          <w:lang w:val="en-US"/>
        </w:rPr>
      </w:pPr>
      <w:r w:rsidRPr="00EA6C7A">
        <w:rPr>
          <w:rFonts w:ascii="Verdana" w:eastAsia="Batang" w:hAnsi="Verdana"/>
          <w:sz w:val="20"/>
          <w:szCs w:val="20"/>
          <w:lang w:val="en-US" w:eastAsia="es-MX"/>
        </w:rPr>
        <w:t xml:space="preserve">The Court has verified that, on October 11, 2012, a group of members of Congress of </w:t>
      </w:r>
      <w:r w:rsidR="00D10759" w:rsidRPr="00EA6C7A">
        <w:rPr>
          <w:rFonts w:ascii="Verdana" w:hAnsi="Verdana"/>
          <w:sz w:val="20"/>
          <w:szCs w:val="20"/>
          <w:lang w:val="en-US"/>
        </w:rPr>
        <w:t xml:space="preserve">the </w:t>
      </w:r>
      <w:r w:rsidR="003C14C1" w:rsidRPr="00EA6C7A">
        <w:rPr>
          <w:rFonts w:ascii="Verdana" w:hAnsi="Verdana"/>
          <w:sz w:val="20"/>
          <w:szCs w:val="20"/>
          <w:lang w:val="en-US"/>
        </w:rPr>
        <w:t>Republic of</w:t>
      </w:r>
      <w:r w:rsidR="006D228A" w:rsidRPr="00EA6C7A">
        <w:rPr>
          <w:rFonts w:ascii="Verdana" w:hAnsi="Verdana"/>
          <w:sz w:val="20"/>
          <w:szCs w:val="20"/>
          <w:lang w:val="en-US"/>
        </w:rPr>
        <w:t xml:space="preserve"> Guatemala</w:t>
      </w:r>
      <w:r w:rsidRPr="00EA6C7A">
        <w:rPr>
          <w:rFonts w:ascii="Verdana" w:hAnsi="Verdana"/>
          <w:sz w:val="20"/>
          <w:szCs w:val="20"/>
          <w:lang w:val="en-US"/>
        </w:rPr>
        <w:t xml:space="preserve"> filed a “bill on the immediate search for missing women.” In the justification for this initiative, the case of Claudina Isabel Velásquez Paiz was cited as an example in which “the delay in taking immediate actions to search for missing persons, especially women, may assist the perpetrators who cut short their life.</w:t>
      </w:r>
      <w:r w:rsidR="006D228A" w:rsidRPr="00EA6C7A">
        <w:rPr>
          <w:rFonts w:ascii="Verdana" w:hAnsi="Verdana"/>
          <w:sz w:val="20"/>
          <w:szCs w:val="20"/>
          <w:lang w:val="en-US"/>
        </w:rPr>
        <w:t>”</w:t>
      </w:r>
      <w:r w:rsidR="006D228A" w:rsidRPr="00EA6C7A">
        <w:rPr>
          <w:rStyle w:val="Refdenotaalpie"/>
          <w:rFonts w:ascii="Verdana" w:hAnsi="Verdana"/>
          <w:color w:val="000000"/>
          <w:sz w:val="20"/>
          <w:szCs w:val="20"/>
          <w:lang w:val="en-US"/>
        </w:rPr>
        <w:footnoteReference w:id="349"/>
      </w:r>
      <w:r w:rsidRPr="00EA6C7A">
        <w:rPr>
          <w:rFonts w:ascii="Verdana" w:hAnsi="Verdana"/>
          <w:sz w:val="20"/>
          <w:szCs w:val="20"/>
          <w:lang w:val="en-US"/>
        </w:rPr>
        <w:t xml:space="preserve"> It also cite</w:t>
      </w:r>
      <w:r w:rsidR="00832660" w:rsidRPr="00EA6C7A">
        <w:rPr>
          <w:rFonts w:ascii="Verdana" w:hAnsi="Verdana"/>
          <w:sz w:val="20"/>
          <w:szCs w:val="20"/>
          <w:lang w:val="en-US"/>
        </w:rPr>
        <w:t>d</w:t>
      </w:r>
      <w:r w:rsidRPr="00EA6C7A">
        <w:rPr>
          <w:rFonts w:ascii="Verdana" w:hAnsi="Verdana"/>
          <w:sz w:val="20"/>
          <w:szCs w:val="20"/>
          <w:lang w:val="en-US"/>
        </w:rPr>
        <w:t xml:space="preserve"> </w:t>
      </w:r>
      <w:r w:rsidR="009532CF" w:rsidRPr="00EA6C7A">
        <w:rPr>
          <w:rFonts w:ascii="Verdana" w:hAnsi="Verdana"/>
          <w:sz w:val="20"/>
          <w:szCs w:val="20"/>
          <w:lang w:val="en-US"/>
        </w:rPr>
        <w:t xml:space="preserve">the </w:t>
      </w:r>
      <w:r w:rsidR="00781EBE" w:rsidRPr="00EA6C7A">
        <w:rPr>
          <w:rFonts w:ascii="Verdana" w:hAnsi="Verdana"/>
          <w:sz w:val="20"/>
          <w:szCs w:val="20"/>
          <w:lang w:val="en-US"/>
        </w:rPr>
        <w:t>Guatemalan Ombudsman</w:t>
      </w:r>
      <w:r w:rsidR="00832660" w:rsidRPr="00EA6C7A">
        <w:rPr>
          <w:rFonts w:ascii="Verdana" w:hAnsi="Verdana"/>
          <w:sz w:val="20"/>
          <w:szCs w:val="20"/>
          <w:lang w:val="en-US"/>
        </w:rPr>
        <w:t>’s report</w:t>
      </w:r>
      <w:r w:rsidR="006D228A" w:rsidRPr="00EA6C7A">
        <w:rPr>
          <w:rFonts w:ascii="Verdana" w:hAnsi="Verdana"/>
          <w:sz w:val="20"/>
          <w:szCs w:val="20"/>
          <w:lang w:val="en-US"/>
        </w:rPr>
        <w:t xml:space="preserve"> </w:t>
      </w:r>
      <w:r w:rsidR="00832660" w:rsidRPr="00EA6C7A">
        <w:rPr>
          <w:rFonts w:ascii="Verdana" w:hAnsi="Verdana"/>
          <w:sz w:val="20"/>
          <w:szCs w:val="20"/>
          <w:lang w:val="en-US"/>
        </w:rPr>
        <w:t>on</w:t>
      </w:r>
      <w:r w:rsidRPr="00EA6C7A">
        <w:rPr>
          <w:rFonts w:ascii="Verdana" w:hAnsi="Verdana"/>
          <w:sz w:val="20"/>
          <w:szCs w:val="20"/>
          <w:lang w:val="en-US"/>
        </w:rPr>
        <w:t xml:space="preserve"> the case of</w:t>
      </w:r>
      <w:r w:rsidR="006D228A" w:rsidRPr="00EA6C7A">
        <w:rPr>
          <w:rFonts w:ascii="Verdana" w:hAnsi="Verdana"/>
          <w:sz w:val="20"/>
          <w:szCs w:val="20"/>
          <w:lang w:val="en-US"/>
        </w:rPr>
        <w:t xml:space="preserve"> Claudina Velásquez, </w:t>
      </w:r>
      <w:r w:rsidRPr="00EA6C7A">
        <w:rPr>
          <w:rFonts w:ascii="Verdana" w:hAnsi="Verdana"/>
          <w:sz w:val="20"/>
          <w:szCs w:val="20"/>
          <w:lang w:val="en-US"/>
        </w:rPr>
        <w:t>in which he criticize</w:t>
      </w:r>
      <w:r w:rsidR="00832660" w:rsidRPr="00EA6C7A">
        <w:rPr>
          <w:rFonts w:ascii="Verdana" w:hAnsi="Verdana"/>
          <w:sz w:val="20"/>
          <w:szCs w:val="20"/>
          <w:lang w:val="en-US"/>
        </w:rPr>
        <w:t>d</w:t>
      </w:r>
      <w:r w:rsidRPr="00EA6C7A">
        <w:rPr>
          <w:rFonts w:ascii="Verdana" w:hAnsi="Verdana"/>
          <w:sz w:val="20"/>
          <w:szCs w:val="20"/>
          <w:lang w:val="en-US"/>
        </w:rPr>
        <w:t xml:space="preserve"> the </w:t>
      </w:r>
      <w:r w:rsidR="00832660" w:rsidRPr="00EA6C7A">
        <w:rPr>
          <w:rFonts w:ascii="Verdana" w:hAnsi="Verdana"/>
          <w:sz w:val="20"/>
          <w:szCs w:val="20"/>
          <w:lang w:val="en-US"/>
        </w:rPr>
        <w:t xml:space="preserve">24-hour </w:t>
      </w:r>
      <w:r w:rsidRPr="00EA6C7A">
        <w:rPr>
          <w:rFonts w:ascii="Verdana" w:hAnsi="Verdana"/>
          <w:sz w:val="20"/>
          <w:szCs w:val="20"/>
          <w:lang w:val="en-US"/>
        </w:rPr>
        <w:t>de</w:t>
      </w:r>
      <w:r w:rsidR="000B64A4" w:rsidRPr="00EA6C7A">
        <w:rPr>
          <w:rFonts w:ascii="Verdana" w:hAnsi="Verdana"/>
          <w:sz w:val="20"/>
          <w:szCs w:val="20"/>
          <w:lang w:val="en-US"/>
        </w:rPr>
        <w:t xml:space="preserve">lay </w:t>
      </w:r>
      <w:r w:rsidR="00832660" w:rsidRPr="00EA6C7A">
        <w:rPr>
          <w:rFonts w:ascii="Verdana" w:hAnsi="Verdana"/>
          <w:sz w:val="20"/>
          <w:szCs w:val="20"/>
          <w:lang w:val="en-US"/>
        </w:rPr>
        <w:t>for</w:t>
      </w:r>
      <w:r w:rsidR="000B64A4" w:rsidRPr="00EA6C7A">
        <w:rPr>
          <w:rFonts w:ascii="Verdana" w:hAnsi="Verdana"/>
          <w:sz w:val="20"/>
          <w:szCs w:val="20"/>
          <w:lang w:val="en-US"/>
        </w:rPr>
        <w:t xml:space="preserve"> receiv</w:t>
      </w:r>
      <w:r w:rsidR="00832660" w:rsidRPr="00EA6C7A">
        <w:rPr>
          <w:rFonts w:ascii="Verdana" w:hAnsi="Verdana"/>
          <w:sz w:val="20"/>
          <w:szCs w:val="20"/>
          <w:lang w:val="en-US"/>
        </w:rPr>
        <w:t>ing</w:t>
      </w:r>
      <w:r w:rsidR="000B64A4" w:rsidRPr="00EA6C7A">
        <w:rPr>
          <w:rFonts w:ascii="Verdana" w:hAnsi="Verdana"/>
          <w:sz w:val="20"/>
          <w:szCs w:val="20"/>
          <w:lang w:val="en-US"/>
        </w:rPr>
        <w:t xml:space="preserve"> a </w:t>
      </w:r>
      <w:r w:rsidR="008A04F5" w:rsidRPr="00EA6C7A">
        <w:rPr>
          <w:rFonts w:ascii="Verdana" w:hAnsi="Verdana"/>
          <w:sz w:val="20"/>
          <w:szCs w:val="20"/>
          <w:lang w:val="en-US"/>
        </w:rPr>
        <w:t>missing person report</w:t>
      </w:r>
      <w:r w:rsidR="000B64A4" w:rsidRPr="00EA6C7A">
        <w:rPr>
          <w:rFonts w:ascii="Verdana" w:hAnsi="Verdana"/>
          <w:sz w:val="20"/>
          <w:szCs w:val="20"/>
          <w:lang w:val="en-US"/>
        </w:rPr>
        <w:t>, because this create</w:t>
      </w:r>
      <w:r w:rsidR="00832660" w:rsidRPr="00EA6C7A">
        <w:rPr>
          <w:rFonts w:ascii="Verdana" w:hAnsi="Verdana"/>
          <w:sz w:val="20"/>
          <w:szCs w:val="20"/>
          <w:lang w:val="en-US"/>
        </w:rPr>
        <w:t>d</w:t>
      </w:r>
      <w:r w:rsidR="000B64A4" w:rsidRPr="00EA6C7A">
        <w:rPr>
          <w:rFonts w:ascii="Verdana" w:hAnsi="Verdana"/>
          <w:sz w:val="20"/>
          <w:szCs w:val="20"/>
          <w:lang w:val="en-US"/>
        </w:rPr>
        <w:t xml:space="preserve"> a lapse of time during which the victim </w:t>
      </w:r>
      <w:r w:rsidR="00832660" w:rsidRPr="00EA6C7A">
        <w:rPr>
          <w:rFonts w:ascii="Verdana" w:hAnsi="Verdana"/>
          <w:sz w:val="20"/>
          <w:szCs w:val="20"/>
          <w:lang w:val="en-US"/>
        </w:rPr>
        <w:t>was</w:t>
      </w:r>
      <w:r w:rsidR="000B64A4" w:rsidRPr="00EA6C7A">
        <w:rPr>
          <w:rFonts w:ascii="Verdana" w:hAnsi="Verdana"/>
          <w:sz w:val="20"/>
          <w:szCs w:val="20"/>
          <w:lang w:val="en-US"/>
        </w:rPr>
        <w:t xml:space="preserve"> left defenseless and prevent</w:t>
      </w:r>
      <w:r w:rsidR="00832660" w:rsidRPr="00EA6C7A">
        <w:rPr>
          <w:rFonts w:ascii="Verdana" w:hAnsi="Verdana"/>
          <w:sz w:val="20"/>
          <w:szCs w:val="20"/>
          <w:lang w:val="en-US"/>
        </w:rPr>
        <w:t>ed</w:t>
      </w:r>
      <w:r w:rsidR="000B64A4" w:rsidRPr="00EA6C7A">
        <w:rPr>
          <w:rFonts w:ascii="Verdana" w:hAnsi="Verdana"/>
          <w:sz w:val="20"/>
          <w:szCs w:val="20"/>
          <w:lang w:val="en-US"/>
        </w:rPr>
        <w:t xml:space="preserve"> the establishment of an adequate record of missing persons for the purposes of their subsequent identification</w:t>
      </w:r>
      <w:r w:rsidR="006D228A" w:rsidRPr="00EA6C7A">
        <w:rPr>
          <w:rFonts w:ascii="Verdana" w:hAnsi="Verdana"/>
          <w:sz w:val="20"/>
          <w:szCs w:val="20"/>
          <w:lang w:val="en-US"/>
        </w:rPr>
        <w:t xml:space="preserve"> (</w:t>
      </w:r>
      <w:r w:rsidR="006D228A" w:rsidRPr="00EA6C7A">
        <w:rPr>
          <w:rFonts w:ascii="Verdana" w:hAnsi="Verdana"/>
          <w:i/>
          <w:sz w:val="20"/>
          <w:szCs w:val="20"/>
          <w:lang w:val="en-US"/>
        </w:rPr>
        <w:t xml:space="preserve">supra </w:t>
      </w:r>
      <w:r w:rsidR="002F3848" w:rsidRPr="00EA6C7A">
        <w:rPr>
          <w:rFonts w:ascii="Verdana" w:hAnsi="Verdana"/>
          <w:sz w:val="20"/>
          <w:szCs w:val="20"/>
          <w:lang w:val="en-US"/>
        </w:rPr>
        <w:t>para.</w:t>
      </w:r>
      <w:r w:rsidR="006D228A" w:rsidRPr="00EA6C7A">
        <w:rPr>
          <w:rFonts w:ascii="Verdana" w:hAnsi="Verdana"/>
          <w:sz w:val="20"/>
          <w:szCs w:val="20"/>
          <w:lang w:val="en-US"/>
        </w:rPr>
        <w:t xml:space="preserve"> 131). </w:t>
      </w:r>
      <w:r w:rsidR="000B64A4" w:rsidRPr="00EA6C7A">
        <w:rPr>
          <w:rFonts w:ascii="Verdana" w:hAnsi="Verdana"/>
          <w:sz w:val="20"/>
          <w:szCs w:val="20"/>
          <w:lang w:val="en-US"/>
        </w:rPr>
        <w:t>On March 18,</w:t>
      </w:r>
      <w:r w:rsidR="006D228A" w:rsidRPr="00EA6C7A">
        <w:rPr>
          <w:rFonts w:ascii="Verdana" w:hAnsi="Verdana"/>
          <w:sz w:val="20"/>
          <w:szCs w:val="20"/>
          <w:lang w:val="en-US"/>
        </w:rPr>
        <w:t xml:space="preserve"> 2014, </w:t>
      </w:r>
      <w:r w:rsidR="0096418F" w:rsidRPr="00EA6C7A">
        <w:rPr>
          <w:rFonts w:ascii="Verdana" w:hAnsi="Verdana"/>
          <w:sz w:val="20"/>
          <w:szCs w:val="20"/>
          <w:lang w:val="en-US"/>
        </w:rPr>
        <w:t>the</w:t>
      </w:r>
      <w:r w:rsidR="000B64A4" w:rsidRPr="00EA6C7A">
        <w:rPr>
          <w:rFonts w:ascii="Verdana" w:hAnsi="Verdana"/>
          <w:sz w:val="20"/>
          <w:szCs w:val="20"/>
          <w:lang w:val="en-US"/>
        </w:rPr>
        <w:t xml:space="preserve"> congressional Committee on</w:t>
      </w:r>
      <w:r w:rsidR="0096418F" w:rsidRPr="00EA6C7A">
        <w:rPr>
          <w:rFonts w:ascii="Verdana" w:hAnsi="Verdana"/>
          <w:sz w:val="20"/>
          <w:szCs w:val="20"/>
          <w:lang w:val="en-US"/>
        </w:rPr>
        <w:t xml:space="preserve"> </w:t>
      </w:r>
      <w:r w:rsidR="000B64A4" w:rsidRPr="00EA6C7A">
        <w:rPr>
          <w:rFonts w:ascii="Verdana" w:hAnsi="Verdana"/>
          <w:sz w:val="20"/>
          <w:szCs w:val="20"/>
          <w:lang w:val="en-US"/>
        </w:rPr>
        <w:t xml:space="preserve">Legislation and Constitutional Matters issued a favorable report on this bill, considering that “there is no coordination mechanism that allows for an appropriate response to the disappearance of women,” “that, despite the efforts made concerning safety and justice, the level of </w:t>
      </w:r>
      <w:r w:rsidR="00C12C08" w:rsidRPr="00EA6C7A">
        <w:rPr>
          <w:rFonts w:ascii="Verdana" w:hAnsi="Verdana"/>
          <w:sz w:val="20"/>
          <w:szCs w:val="20"/>
          <w:lang w:val="en-US"/>
        </w:rPr>
        <w:t>violence against women</w:t>
      </w:r>
      <w:r w:rsidR="00FC7D3B" w:rsidRPr="00EA6C7A">
        <w:rPr>
          <w:rFonts w:ascii="Verdana" w:hAnsi="Verdana"/>
          <w:sz w:val="20"/>
          <w:szCs w:val="20"/>
          <w:lang w:val="en-US"/>
        </w:rPr>
        <w:t xml:space="preserve"> in Guatemala</w:t>
      </w:r>
      <w:r w:rsidR="006D228A" w:rsidRPr="00EA6C7A">
        <w:rPr>
          <w:rFonts w:ascii="Verdana" w:hAnsi="Verdana"/>
          <w:sz w:val="20"/>
          <w:szCs w:val="20"/>
          <w:lang w:val="en-US"/>
        </w:rPr>
        <w:t xml:space="preserve"> </w:t>
      </w:r>
      <w:r w:rsidR="000B64A4" w:rsidRPr="00EA6C7A">
        <w:rPr>
          <w:rFonts w:ascii="Verdana" w:hAnsi="Verdana"/>
          <w:sz w:val="20"/>
          <w:szCs w:val="20"/>
          <w:lang w:val="en-US"/>
        </w:rPr>
        <w:t>is high and is increasing year by year,” and that “the level of impunity in cases of the death of women is over 90%.</w:t>
      </w:r>
      <w:r w:rsidR="006D228A" w:rsidRPr="00EA6C7A">
        <w:rPr>
          <w:rFonts w:ascii="Verdana" w:hAnsi="Verdana"/>
          <w:sz w:val="20"/>
          <w:szCs w:val="20"/>
          <w:lang w:val="en-US"/>
        </w:rPr>
        <w:t>”</w:t>
      </w:r>
      <w:r w:rsidR="006D228A" w:rsidRPr="00EA6C7A">
        <w:rPr>
          <w:rStyle w:val="Refdenotaalpie"/>
          <w:rFonts w:ascii="Verdana" w:hAnsi="Verdana"/>
          <w:color w:val="000000"/>
          <w:sz w:val="20"/>
          <w:szCs w:val="20"/>
          <w:lang w:val="en-US"/>
        </w:rPr>
        <w:footnoteReference w:id="350"/>
      </w:r>
      <w:r w:rsidR="000B64A4" w:rsidRPr="00EA6C7A">
        <w:rPr>
          <w:rFonts w:ascii="Verdana" w:hAnsi="Verdana"/>
          <w:sz w:val="20"/>
          <w:szCs w:val="20"/>
          <w:lang w:val="en-US"/>
        </w:rPr>
        <w:t xml:space="preserve"> This bill has not been approved by the Guatemalan Congress. </w:t>
      </w:r>
      <w:r w:rsidR="006D228A" w:rsidRPr="00EA6C7A">
        <w:rPr>
          <w:rFonts w:ascii="Verdana" w:hAnsi="Verdana"/>
          <w:sz w:val="20"/>
          <w:szCs w:val="20"/>
          <w:lang w:val="en-US"/>
        </w:rPr>
        <w:t xml:space="preserve"> </w:t>
      </w:r>
    </w:p>
    <w:p w14:paraId="1CC85703" w14:textId="77777777" w:rsidR="000B64A4" w:rsidRPr="00EA6C7A" w:rsidRDefault="000B64A4" w:rsidP="000B64A4">
      <w:pPr>
        <w:tabs>
          <w:tab w:val="left" w:pos="720"/>
        </w:tabs>
        <w:spacing w:after="0" w:line="240" w:lineRule="auto"/>
        <w:jc w:val="both"/>
        <w:rPr>
          <w:rFonts w:ascii="Verdana" w:hAnsi="Verdana"/>
          <w:sz w:val="20"/>
          <w:szCs w:val="20"/>
          <w:lang w:val="en-US"/>
        </w:rPr>
      </w:pPr>
    </w:p>
    <w:p w14:paraId="4CBEC9F5" w14:textId="77777777" w:rsidR="006D228A" w:rsidRPr="00EA6C7A" w:rsidRDefault="00173418" w:rsidP="00173418">
      <w:pPr>
        <w:numPr>
          <w:ilvl w:val="0"/>
          <w:numId w:val="3"/>
        </w:numPr>
        <w:tabs>
          <w:tab w:val="left" w:pos="720"/>
        </w:tabs>
        <w:spacing w:after="0" w:line="240" w:lineRule="auto"/>
        <w:ind w:left="0" w:firstLine="0"/>
        <w:jc w:val="both"/>
        <w:rPr>
          <w:rFonts w:ascii="Verdana" w:hAnsi="Verdana"/>
          <w:sz w:val="20"/>
          <w:szCs w:val="20"/>
          <w:lang w:val="en-US"/>
        </w:rPr>
      </w:pPr>
      <w:r w:rsidRPr="00EA6C7A">
        <w:rPr>
          <w:rFonts w:ascii="Verdana" w:hAnsi="Verdana"/>
          <w:sz w:val="20"/>
          <w:szCs w:val="20"/>
          <w:lang w:val="en-US"/>
        </w:rPr>
        <w:t xml:space="preserve">Consequently, taking into account that the need to regulate the search for missing women in Guatemala has been identified, the Court deems it pertinent to require the State to </w:t>
      </w:r>
      <w:r w:rsidR="006D228A" w:rsidRPr="00EA6C7A">
        <w:rPr>
          <w:rFonts w:ascii="Verdana" w:hAnsi="Verdana"/>
          <w:sz w:val="20"/>
          <w:szCs w:val="20"/>
          <w:lang w:val="en-US"/>
        </w:rPr>
        <w:t>adopt</w:t>
      </w:r>
      <w:r w:rsidRPr="00EA6C7A">
        <w:rPr>
          <w:rFonts w:ascii="Verdana" w:hAnsi="Verdana"/>
          <w:sz w:val="20"/>
          <w:szCs w:val="20"/>
          <w:lang w:val="en-US"/>
        </w:rPr>
        <w:t xml:space="preserve"> a national strategy, system, mechanism or program, by legislative or other means, to </w:t>
      </w:r>
      <w:r w:rsidR="00F868C0" w:rsidRPr="00EA6C7A">
        <w:rPr>
          <w:rFonts w:ascii="Verdana" w:hAnsi="Verdana"/>
          <w:sz w:val="20"/>
          <w:szCs w:val="20"/>
          <w:lang w:val="en-US"/>
        </w:rPr>
        <w:t>ensure</w:t>
      </w:r>
      <w:r w:rsidRPr="00EA6C7A">
        <w:rPr>
          <w:rFonts w:ascii="Verdana" w:hAnsi="Verdana"/>
          <w:sz w:val="20"/>
          <w:szCs w:val="20"/>
          <w:lang w:val="en-US"/>
        </w:rPr>
        <w:t xml:space="preserve"> the immediate and effective search for missing women, and that ensures that in case</w:t>
      </w:r>
      <w:r w:rsidR="00832660" w:rsidRPr="00EA6C7A">
        <w:rPr>
          <w:rFonts w:ascii="Verdana" w:hAnsi="Verdana"/>
          <w:sz w:val="20"/>
          <w:szCs w:val="20"/>
          <w:lang w:val="en-US"/>
        </w:rPr>
        <w:t>s</w:t>
      </w:r>
      <w:r w:rsidRPr="00EA6C7A">
        <w:rPr>
          <w:rFonts w:ascii="Verdana" w:hAnsi="Verdana"/>
          <w:sz w:val="20"/>
          <w:szCs w:val="20"/>
          <w:lang w:val="en-US"/>
        </w:rPr>
        <w:t xml:space="preserve"> of reports of this nature, the corresponding authorities receive them immediately, without the need for formalities and, at the same time, initiate actions to locate the possible victims and prevent the violation of their </w:t>
      </w:r>
      <w:r w:rsidR="00F53A64" w:rsidRPr="00EA6C7A">
        <w:rPr>
          <w:rFonts w:ascii="Verdana" w:hAnsi="Verdana"/>
          <w:sz w:val="20"/>
          <w:szCs w:val="20"/>
          <w:lang w:val="en-US"/>
        </w:rPr>
        <w:t>rights to life</w:t>
      </w:r>
      <w:r w:rsidR="006D228A" w:rsidRPr="00EA6C7A">
        <w:rPr>
          <w:rFonts w:ascii="Verdana" w:hAnsi="Verdana"/>
          <w:sz w:val="20"/>
          <w:szCs w:val="20"/>
          <w:lang w:val="en-US"/>
        </w:rPr>
        <w:t xml:space="preserve"> </w:t>
      </w:r>
      <w:r w:rsidR="004C1E19" w:rsidRPr="00EA6C7A">
        <w:rPr>
          <w:rFonts w:ascii="Verdana" w:hAnsi="Verdana"/>
          <w:sz w:val="20"/>
          <w:szCs w:val="20"/>
          <w:lang w:val="en-US"/>
        </w:rPr>
        <w:t xml:space="preserve">and </w:t>
      </w:r>
      <w:r w:rsidRPr="00EA6C7A">
        <w:rPr>
          <w:rFonts w:ascii="Verdana" w:hAnsi="Verdana"/>
          <w:sz w:val="20"/>
          <w:szCs w:val="20"/>
          <w:lang w:val="en-US"/>
        </w:rPr>
        <w:t xml:space="preserve">to </w:t>
      </w:r>
      <w:r w:rsidR="004C1E19" w:rsidRPr="00EA6C7A">
        <w:rPr>
          <w:rFonts w:ascii="Verdana" w:hAnsi="Verdana"/>
          <w:sz w:val="20"/>
          <w:szCs w:val="20"/>
          <w:lang w:val="en-US"/>
        </w:rPr>
        <w:t>personal</w:t>
      </w:r>
      <w:r w:rsidR="00515C34" w:rsidRPr="00EA6C7A">
        <w:rPr>
          <w:rFonts w:ascii="Verdana" w:hAnsi="Verdana"/>
          <w:sz w:val="20"/>
          <w:szCs w:val="20"/>
          <w:lang w:val="en-US"/>
        </w:rPr>
        <w:t xml:space="preserve"> integrity</w:t>
      </w:r>
      <w:r w:rsidRPr="00EA6C7A">
        <w:rPr>
          <w:rFonts w:ascii="Verdana" w:hAnsi="Verdana"/>
          <w:sz w:val="20"/>
          <w:szCs w:val="20"/>
          <w:lang w:val="en-US"/>
        </w:rPr>
        <w:t xml:space="preserve">. All this, </w:t>
      </w:r>
      <w:r w:rsidR="00AD3BCF" w:rsidRPr="00EA6C7A">
        <w:rPr>
          <w:rFonts w:ascii="Verdana" w:hAnsi="Verdana"/>
          <w:sz w:val="20"/>
          <w:szCs w:val="20"/>
          <w:lang w:val="en-US"/>
        </w:rPr>
        <w:t>within a reasonable time</w:t>
      </w:r>
      <w:r w:rsidR="00D948A1" w:rsidRPr="00EA6C7A">
        <w:rPr>
          <w:rFonts w:ascii="Verdana" w:hAnsi="Verdana"/>
          <w:sz w:val="20"/>
          <w:szCs w:val="20"/>
          <w:lang w:val="en-US"/>
        </w:rPr>
        <w:t xml:space="preserve"> and </w:t>
      </w:r>
      <w:r w:rsidRPr="00EA6C7A">
        <w:rPr>
          <w:rFonts w:ascii="Verdana" w:hAnsi="Verdana"/>
          <w:sz w:val="20"/>
          <w:szCs w:val="20"/>
          <w:lang w:val="en-US"/>
        </w:rPr>
        <w:t>with the respective allocation of institutional and budgetary resources.</w:t>
      </w:r>
      <w:r w:rsidR="006D228A" w:rsidRPr="00EA6C7A">
        <w:rPr>
          <w:rFonts w:ascii="Verdana" w:hAnsi="Verdana"/>
          <w:iCs/>
          <w:sz w:val="20"/>
          <w:szCs w:val="20"/>
          <w:vertAlign w:val="superscript"/>
          <w:lang w:val="en-US"/>
        </w:rPr>
        <w:footnoteReference w:id="351"/>
      </w:r>
    </w:p>
    <w:p w14:paraId="4E569ADD" w14:textId="77777777" w:rsidR="006D228A" w:rsidRPr="00EA6C7A" w:rsidRDefault="006D228A" w:rsidP="006D228A">
      <w:pPr>
        <w:tabs>
          <w:tab w:val="left" w:pos="567"/>
        </w:tabs>
        <w:spacing w:after="0" w:line="240" w:lineRule="auto"/>
        <w:jc w:val="both"/>
        <w:rPr>
          <w:rFonts w:ascii="Verdana" w:hAnsi="Verdana"/>
          <w:sz w:val="20"/>
          <w:szCs w:val="20"/>
          <w:lang w:val="en-US"/>
        </w:rPr>
      </w:pPr>
    </w:p>
    <w:p w14:paraId="6B7FE879" w14:textId="77777777" w:rsidR="006D228A" w:rsidRPr="00EA6C7A" w:rsidRDefault="006D228A" w:rsidP="006D228A">
      <w:pPr>
        <w:pStyle w:val="Sentencia3"/>
        <w:rPr>
          <w:rFonts w:eastAsia="Calibri"/>
          <w:lang w:val="en-US"/>
        </w:rPr>
      </w:pPr>
      <w:bookmarkStart w:id="118" w:name="_Toc425327594"/>
      <w:bookmarkStart w:id="119" w:name="_Toc431801402"/>
      <w:bookmarkStart w:id="120" w:name="_Toc26002343"/>
      <w:r w:rsidRPr="00EA6C7A">
        <w:rPr>
          <w:rFonts w:eastAsia="Calibri"/>
          <w:lang w:val="en-US"/>
        </w:rPr>
        <w:t xml:space="preserve">C.3.4 </w:t>
      </w:r>
      <w:r w:rsidR="00D42BA8" w:rsidRPr="00EA6C7A">
        <w:rPr>
          <w:rFonts w:eastAsia="Calibri"/>
          <w:lang w:val="en-US"/>
        </w:rPr>
        <w:t>Request for a statistical information system</w:t>
      </w:r>
      <w:bookmarkEnd w:id="118"/>
      <w:bookmarkEnd w:id="119"/>
      <w:bookmarkEnd w:id="120"/>
    </w:p>
    <w:p w14:paraId="25066225" w14:textId="77777777" w:rsidR="006D228A" w:rsidRPr="00EA6C7A" w:rsidRDefault="006D228A" w:rsidP="006D228A">
      <w:pPr>
        <w:autoSpaceDE w:val="0"/>
        <w:autoSpaceDN w:val="0"/>
        <w:adjustRightInd w:val="0"/>
        <w:spacing w:after="0" w:line="240" w:lineRule="auto"/>
        <w:jc w:val="both"/>
        <w:rPr>
          <w:rFonts w:ascii="Verdana" w:eastAsia="Calibri" w:hAnsi="Verdana" w:cs="Arial"/>
          <w:b/>
          <w:sz w:val="20"/>
          <w:szCs w:val="20"/>
          <w:lang w:val="en-US"/>
        </w:rPr>
      </w:pPr>
    </w:p>
    <w:p w14:paraId="00EFE669" w14:textId="77777777" w:rsidR="006D228A" w:rsidRPr="00EA6C7A" w:rsidRDefault="00832660" w:rsidP="00077D21">
      <w:pPr>
        <w:pStyle w:val="PrrafodeSentencia"/>
        <w:rPr>
          <w:rFonts w:eastAsia="Calibri"/>
          <w:lang w:val="en-US" w:eastAsia="en-US"/>
        </w:rPr>
      </w:pPr>
      <w:r w:rsidRPr="00EA6C7A">
        <w:rPr>
          <w:lang w:val="en-US"/>
        </w:rPr>
        <w:lastRenderedPageBreak/>
        <w:t>The</w:t>
      </w:r>
      <w:r w:rsidR="0096418F" w:rsidRPr="00EA6C7A">
        <w:rPr>
          <w:b/>
          <w:bCs/>
          <w:i/>
          <w:iCs/>
          <w:lang w:val="en-US"/>
        </w:rPr>
        <w:t xml:space="preserve"> Commission</w:t>
      </w:r>
      <w:r w:rsidR="006D228A" w:rsidRPr="00EA6C7A">
        <w:rPr>
          <w:b/>
          <w:i/>
          <w:lang w:val="en-US"/>
        </w:rPr>
        <w:t xml:space="preserve"> </w:t>
      </w:r>
      <w:r w:rsidR="00736338" w:rsidRPr="00EA6C7A">
        <w:rPr>
          <w:lang w:val="en-US"/>
        </w:rPr>
        <w:t>asked that</w:t>
      </w:r>
      <w:r w:rsidR="006D228A" w:rsidRPr="00EA6C7A">
        <w:rPr>
          <w:lang w:val="en-US"/>
        </w:rPr>
        <w:t xml:space="preserve"> </w:t>
      </w:r>
      <w:r w:rsidR="002F3848" w:rsidRPr="00EA6C7A">
        <w:rPr>
          <w:lang w:val="en-US"/>
        </w:rPr>
        <w:t>the State</w:t>
      </w:r>
      <w:r w:rsidR="00736338" w:rsidRPr="00EA6C7A">
        <w:rPr>
          <w:lang w:val="en-US"/>
        </w:rPr>
        <w:t xml:space="preserve"> implement a system to produce disaggregated statistics allowing the design and evaluation of public policies on the prevention, punishment and elimination of violence against women. </w:t>
      </w:r>
      <w:r w:rsidR="000254D2" w:rsidRPr="00EA6C7A">
        <w:rPr>
          <w:lang w:val="en-US"/>
        </w:rPr>
        <w:t>The</w:t>
      </w:r>
      <w:r w:rsidR="00E43A75" w:rsidRPr="00EA6C7A">
        <w:rPr>
          <w:b/>
          <w:bCs/>
          <w:i/>
          <w:iCs/>
          <w:lang w:val="en-US"/>
        </w:rPr>
        <w:t xml:space="preserve"> representatives</w:t>
      </w:r>
      <w:r w:rsidR="006D228A" w:rsidRPr="00EA6C7A">
        <w:rPr>
          <w:b/>
          <w:i/>
          <w:lang w:val="en-US"/>
        </w:rPr>
        <w:t xml:space="preserve"> </w:t>
      </w:r>
      <w:r w:rsidR="00736338" w:rsidRPr="00EA6C7A">
        <w:rPr>
          <w:lang w:val="en-US"/>
        </w:rPr>
        <w:t>asked that</w:t>
      </w:r>
      <w:r w:rsidR="006D228A" w:rsidRPr="00EA6C7A">
        <w:rPr>
          <w:lang w:val="en-US"/>
        </w:rPr>
        <w:t xml:space="preserve"> </w:t>
      </w:r>
      <w:r w:rsidR="002F3848" w:rsidRPr="00EA6C7A">
        <w:rPr>
          <w:lang w:val="en-US"/>
        </w:rPr>
        <w:t>the State</w:t>
      </w:r>
      <w:r w:rsidR="006D228A" w:rsidRPr="00EA6C7A">
        <w:rPr>
          <w:lang w:val="en-US"/>
        </w:rPr>
        <w:t xml:space="preserve"> establ</w:t>
      </w:r>
      <w:r w:rsidR="00736338" w:rsidRPr="00EA6C7A">
        <w:rPr>
          <w:lang w:val="en-US"/>
        </w:rPr>
        <w:t>ish a system to produce disaggregated statistics on violence against women that identifie</w:t>
      </w:r>
      <w:r w:rsidR="000254D2" w:rsidRPr="00EA6C7A">
        <w:rPr>
          <w:lang w:val="en-US"/>
        </w:rPr>
        <w:t>d</w:t>
      </w:r>
      <w:r w:rsidR="00736338" w:rsidRPr="00EA6C7A">
        <w:rPr>
          <w:lang w:val="en-US"/>
        </w:rPr>
        <w:t xml:space="preserve"> trends and patterns; to design and implement public policies for the prevention, punishment and eradication of violence against women, and to design programs providing adequate care for women. Also, and together with the production of statistical information, the State should </w:t>
      </w:r>
      <w:r w:rsidR="000254D2" w:rsidRPr="00EA6C7A">
        <w:rPr>
          <w:lang w:val="en-US"/>
        </w:rPr>
        <w:t>publicize</w:t>
      </w:r>
      <w:r w:rsidR="00736338" w:rsidRPr="00EA6C7A">
        <w:rPr>
          <w:lang w:val="en-US"/>
        </w:rPr>
        <w:t xml:space="preserve">, at least on an annual basis, the degree of implementation and compliance with the measures taken to respond to </w:t>
      </w:r>
      <w:r w:rsidR="006203AA" w:rsidRPr="00EA6C7A">
        <w:rPr>
          <w:lang w:val="en-US"/>
        </w:rPr>
        <w:t>femicide and other forms of violence against women</w:t>
      </w:r>
      <w:r w:rsidR="006D228A" w:rsidRPr="00EA6C7A">
        <w:rPr>
          <w:lang w:val="en-US"/>
        </w:rPr>
        <w:t xml:space="preserve">. </w:t>
      </w:r>
      <w:r w:rsidR="00736338" w:rsidRPr="00EA6C7A">
        <w:rPr>
          <w:lang w:val="en-US"/>
        </w:rPr>
        <w:t>These reports should be based on indicators, and in order to establish the</w:t>
      </w:r>
      <w:r w:rsidR="000254D2" w:rsidRPr="00EA6C7A">
        <w:rPr>
          <w:lang w:val="en-US"/>
        </w:rPr>
        <w:t xml:space="preserve"> latter</w:t>
      </w:r>
      <w:r w:rsidR="00736338" w:rsidRPr="00EA6C7A">
        <w:rPr>
          <w:lang w:val="en-US"/>
        </w:rPr>
        <w:t>, the State should consult civil society and experts in women’s rights</w:t>
      </w:r>
      <w:r w:rsidR="006D228A" w:rsidRPr="00EA6C7A">
        <w:rPr>
          <w:lang w:val="en-US"/>
        </w:rPr>
        <w:t xml:space="preserve">, </w:t>
      </w:r>
      <w:r w:rsidR="00951B49" w:rsidRPr="00EA6C7A">
        <w:rPr>
          <w:lang w:val="en-US"/>
        </w:rPr>
        <w:t>sexual violence</w:t>
      </w:r>
      <w:r w:rsidR="00D948A1" w:rsidRPr="00EA6C7A">
        <w:rPr>
          <w:lang w:val="en-US"/>
        </w:rPr>
        <w:t xml:space="preserve"> and </w:t>
      </w:r>
      <w:r w:rsidR="00736338" w:rsidRPr="00EA6C7A">
        <w:rPr>
          <w:lang w:val="en-US"/>
        </w:rPr>
        <w:t>other forms of discrimination against women. The foregoing as a supplement to the system to produce disaggregated statistics on</w:t>
      </w:r>
      <w:r w:rsidR="006D228A" w:rsidRPr="00EA6C7A">
        <w:rPr>
          <w:lang w:val="en-US"/>
        </w:rPr>
        <w:t xml:space="preserve"> </w:t>
      </w:r>
      <w:r w:rsidR="00C12C08" w:rsidRPr="00EA6C7A">
        <w:rPr>
          <w:lang w:val="en-US"/>
        </w:rPr>
        <w:t>violence against women</w:t>
      </w:r>
      <w:r w:rsidR="006D228A" w:rsidRPr="00EA6C7A">
        <w:rPr>
          <w:lang w:val="en-US"/>
        </w:rPr>
        <w:t xml:space="preserve"> </w:t>
      </w:r>
      <w:r w:rsidR="00736338" w:rsidRPr="00EA6C7A">
        <w:rPr>
          <w:lang w:val="en-US"/>
        </w:rPr>
        <w:t>of the National Institute of Statistics.</w:t>
      </w:r>
    </w:p>
    <w:p w14:paraId="0E66E9C5" w14:textId="77777777" w:rsidR="006D228A" w:rsidRPr="00EA6C7A" w:rsidRDefault="006D228A" w:rsidP="006D228A">
      <w:pPr>
        <w:autoSpaceDE w:val="0"/>
        <w:autoSpaceDN w:val="0"/>
        <w:adjustRightInd w:val="0"/>
        <w:spacing w:after="0" w:line="240" w:lineRule="auto"/>
        <w:ind w:left="720"/>
        <w:contextualSpacing/>
        <w:jc w:val="both"/>
        <w:rPr>
          <w:rFonts w:ascii="Verdana" w:eastAsia="Calibri" w:hAnsi="Verdana" w:cs="Arial"/>
          <w:sz w:val="20"/>
          <w:szCs w:val="20"/>
          <w:lang w:val="en-US"/>
        </w:rPr>
      </w:pPr>
    </w:p>
    <w:p w14:paraId="1D22D0B5" w14:textId="77777777" w:rsidR="006D228A" w:rsidRPr="00EA6C7A" w:rsidRDefault="00832660" w:rsidP="00077D21">
      <w:pPr>
        <w:pStyle w:val="PrrafodeSentencia"/>
        <w:rPr>
          <w:lang w:val="en-US"/>
        </w:rPr>
      </w:pPr>
      <w:r w:rsidRPr="00EA6C7A">
        <w:rPr>
          <w:lang w:val="en-US"/>
        </w:rPr>
        <w:t>The</w:t>
      </w:r>
      <w:r w:rsidR="002F3848" w:rsidRPr="00EA6C7A">
        <w:rPr>
          <w:b/>
          <w:bCs/>
          <w:i/>
          <w:iCs/>
          <w:lang w:val="en-US"/>
        </w:rPr>
        <w:t xml:space="preserve"> State</w:t>
      </w:r>
      <w:r w:rsidR="006D228A" w:rsidRPr="00EA6C7A">
        <w:rPr>
          <w:b/>
          <w:i/>
          <w:lang w:val="en-US"/>
        </w:rPr>
        <w:t xml:space="preserve"> </w:t>
      </w:r>
      <w:r w:rsidR="006D228A" w:rsidRPr="00EA6C7A">
        <w:rPr>
          <w:lang w:val="en-US"/>
        </w:rPr>
        <w:t>indic</w:t>
      </w:r>
      <w:r w:rsidR="00736338" w:rsidRPr="00EA6C7A">
        <w:rPr>
          <w:lang w:val="en-US"/>
        </w:rPr>
        <w:t>ated that the system to produce information referred to by the Commission in its recommendations had already been implemented. It explained that the National System of Information on Violence against Women (SNIVCM) was the responsibility of the National Institute of Statistics</w:t>
      </w:r>
      <w:r w:rsidR="006D228A" w:rsidRPr="00EA6C7A">
        <w:rPr>
          <w:lang w:val="en-US"/>
        </w:rPr>
        <w:t xml:space="preserve"> (INE)</w:t>
      </w:r>
      <w:r w:rsidR="00D948A1" w:rsidRPr="00EA6C7A">
        <w:rPr>
          <w:lang w:val="en-US"/>
        </w:rPr>
        <w:t xml:space="preserve"> and </w:t>
      </w:r>
      <w:r w:rsidR="00736338" w:rsidRPr="00EA6C7A">
        <w:rPr>
          <w:lang w:val="en-US"/>
        </w:rPr>
        <w:t>the</w:t>
      </w:r>
      <w:r w:rsidR="006D228A" w:rsidRPr="00EA6C7A">
        <w:rPr>
          <w:lang w:val="en-US"/>
        </w:rPr>
        <w:t xml:space="preserve"> </w:t>
      </w:r>
      <w:r w:rsidR="00C66427" w:rsidRPr="00EA6C7A">
        <w:rPr>
          <w:lang w:val="en-US"/>
        </w:rPr>
        <w:t xml:space="preserve">National </w:t>
      </w:r>
      <w:r w:rsidR="00C66427" w:rsidRPr="00EA6C7A">
        <w:rPr>
          <w:lang w:val="en-US" w:eastAsia="es-CR"/>
        </w:rPr>
        <w:t xml:space="preserve">Coordinating Body for the Prevention, Punishment and </w:t>
      </w:r>
      <w:r w:rsidR="002327A1" w:rsidRPr="00EA6C7A">
        <w:rPr>
          <w:lang w:val="en-US" w:eastAsia="es-CR"/>
        </w:rPr>
        <w:t>Eradication of Domestic Violence</w:t>
      </w:r>
      <w:r w:rsidR="00C66427" w:rsidRPr="00EA6C7A">
        <w:rPr>
          <w:lang w:val="en-US" w:eastAsia="es-CR"/>
        </w:rPr>
        <w:t xml:space="preserve"> and Violence against Women</w:t>
      </w:r>
      <w:r w:rsidR="00C66427" w:rsidRPr="00EA6C7A">
        <w:rPr>
          <w:sz w:val="16"/>
          <w:szCs w:val="16"/>
          <w:lang w:val="en-US" w:eastAsia="es-CR"/>
        </w:rPr>
        <w:t xml:space="preserve"> </w:t>
      </w:r>
      <w:r w:rsidR="006D228A" w:rsidRPr="00EA6C7A">
        <w:rPr>
          <w:lang w:val="en-US"/>
        </w:rPr>
        <w:t xml:space="preserve">(CONAPREVI). </w:t>
      </w:r>
      <w:r w:rsidR="00736338" w:rsidRPr="00EA6C7A">
        <w:rPr>
          <w:lang w:val="en-US"/>
        </w:rPr>
        <w:t xml:space="preserve">This system </w:t>
      </w:r>
      <w:r w:rsidR="000254D2" w:rsidRPr="00EA6C7A">
        <w:rPr>
          <w:lang w:val="en-US"/>
        </w:rPr>
        <w:t>had been</w:t>
      </w:r>
      <w:r w:rsidR="00736338" w:rsidRPr="00EA6C7A">
        <w:rPr>
          <w:lang w:val="en-US"/>
        </w:rPr>
        <w:t xml:space="preserve"> created in compliance with a</w:t>
      </w:r>
      <w:r w:rsidR="001914FC" w:rsidRPr="00EA6C7A">
        <w:rPr>
          <w:lang w:val="en-US"/>
        </w:rPr>
        <w:t>rticle</w:t>
      </w:r>
      <w:r w:rsidR="006D228A" w:rsidRPr="00EA6C7A">
        <w:rPr>
          <w:lang w:val="en-US"/>
        </w:rPr>
        <w:t xml:space="preserve"> 20 </w:t>
      </w:r>
      <w:r w:rsidR="00736338" w:rsidRPr="00EA6C7A">
        <w:rPr>
          <w:lang w:val="en-US"/>
        </w:rPr>
        <w:t>of the Law against Femicide</w:t>
      </w:r>
      <w:r w:rsidR="006203AA" w:rsidRPr="00EA6C7A">
        <w:rPr>
          <w:lang w:val="en-US"/>
        </w:rPr>
        <w:t xml:space="preserve"> and other forms of violence against women</w:t>
      </w:r>
      <w:r w:rsidR="006D228A" w:rsidRPr="00EA6C7A">
        <w:rPr>
          <w:lang w:val="en-US"/>
        </w:rPr>
        <w:t xml:space="preserve">, </w:t>
      </w:r>
      <w:r w:rsidR="00736338" w:rsidRPr="00EA6C7A">
        <w:rPr>
          <w:lang w:val="en-US"/>
        </w:rPr>
        <w:t xml:space="preserve">owing to the national interest and need to have statistics on </w:t>
      </w:r>
      <w:r w:rsidR="00C12C08" w:rsidRPr="00EA6C7A">
        <w:rPr>
          <w:lang w:val="en-US"/>
        </w:rPr>
        <w:t>violence against women</w:t>
      </w:r>
      <w:r w:rsidR="006D228A" w:rsidRPr="00EA6C7A">
        <w:rPr>
          <w:lang w:val="en-US"/>
        </w:rPr>
        <w:t xml:space="preserve"> </w:t>
      </w:r>
      <w:r w:rsidR="000254D2" w:rsidRPr="00EA6C7A">
        <w:rPr>
          <w:lang w:val="en-US"/>
        </w:rPr>
        <w:t>which</w:t>
      </w:r>
      <w:r w:rsidR="00736338" w:rsidRPr="00EA6C7A">
        <w:rPr>
          <w:lang w:val="en-US"/>
        </w:rPr>
        <w:t xml:space="preserve"> responded to the demand for timely and reliable information that permitted the elaboration and evaluation of sustainable public policies.</w:t>
      </w:r>
    </w:p>
    <w:p w14:paraId="5BAD8030" w14:textId="77777777" w:rsidR="006D228A" w:rsidRPr="00EA6C7A" w:rsidRDefault="006D228A" w:rsidP="006D228A">
      <w:pPr>
        <w:autoSpaceDE w:val="0"/>
        <w:autoSpaceDN w:val="0"/>
        <w:adjustRightInd w:val="0"/>
        <w:spacing w:after="0" w:line="240" w:lineRule="auto"/>
        <w:jc w:val="both"/>
        <w:rPr>
          <w:rFonts w:ascii="Verdana" w:eastAsia="Calibri" w:hAnsi="Verdana"/>
          <w:sz w:val="20"/>
          <w:szCs w:val="20"/>
          <w:lang w:val="en-US"/>
        </w:rPr>
      </w:pPr>
    </w:p>
    <w:p w14:paraId="2A1B9E1F" w14:textId="77777777" w:rsidR="006D228A" w:rsidRPr="00EA6C7A" w:rsidRDefault="00736338" w:rsidP="00077D21">
      <w:pPr>
        <w:pStyle w:val="PrrafodeSentencia"/>
        <w:rPr>
          <w:lang w:val="en-US"/>
        </w:rPr>
      </w:pPr>
      <w:r w:rsidRPr="00EA6C7A">
        <w:rPr>
          <w:lang w:val="en-US"/>
        </w:rPr>
        <w:t xml:space="preserve">In </w:t>
      </w:r>
      <w:r w:rsidR="007E6E93" w:rsidRPr="00EA6C7A">
        <w:rPr>
          <w:lang w:val="en-US"/>
        </w:rPr>
        <w:t>the case of</w:t>
      </w:r>
      <w:r w:rsidRPr="00EA6C7A">
        <w:rPr>
          <w:i/>
          <w:lang w:val="en-US"/>
        </w:rPr>
        <w:t xml:space="preserve"> V</w:t>
      </w:r>
      <w:r w:rsidR="007F2B95" w:rsidRPr="00EA6C7A">
        <w:rPr>
          <w:i/>
          <w:lang w:val="en-US"/>
        </w:rPr>
        <w:t>e</w:t>
      </w:r>
      <w:r w:rsidR="006D228A" w:rsidRPr="00EA6C7A">
        <w:rPr>
          <w:i/>
          <w:lang w:val="en-US"/>
        </w:rPr>
        <w:t xml:space="preserve">liz Franco </w:t>
      </w:r>
      <w:r w:rsidR="001914FC" w:rsidRPr="00EA6C7A">
        <w:rPr>
          <w:i/>
          <w:lang w:val="en-US"/>
        </w:rPr>
        <w:t>et al. v.</w:t>
      </w:r>
      <w:r w:rsidR="006D228A" w:rsidRPr="00EA6C7A">
        <w:rPr>
          <w:i/>
          <w:lang w:val="en-US"/>
        </w:rPr>
        <w:t xml:space="preserve"> Guatemala, </w:t>
      </w:r>
      <w:r w:rsidRPr="00EA6C7A">
        <w:rPr>
          <w:lang w:val="en-US"/>
        </w:rPr>
        <w:t>the Court took into consideration that</w:t>
      </w:r>
      <w:r w:rsidR="006D228A" w:rsidRPr="00EA6C7A">
        <w:rPr>
          <w:lang w:val="en-US"/>
        </w:rPr>
        <w:t xml:space="preserve"> </w:t>
      </w:r>
      <w:r w:rsidRPr="00EA6C7A">
        <w:rPr>
          <w:lang w:val="en-US"/>
        </w:rPr>
        <w:t>article 20 of the Law against Femicide established that the National Institute of Statistics was obliged to generate statistical indicators and information, and should create a national system of information on v</w:t>
      </w:r>
      <w:r w:rsidR="00C12C08" w:rsidRPr="00EA6C7A">
        <w:rPr>
          <w:lang w:val="en-US"/>
        </w:rPr>
        <w:t>iolence against women</w:t>
      </w:r>
      <w:r w:rsidR="006D228A" w:rsidRPr="00EA6C7A">
        <w:rPr>
          <w:lang w:val="en-US"/>
        </w:rPr>
        <w:t xml:space="preserve">. </w:t>
      </w:r>
      <w:r w:rsidRPr="00EA6C7A">
        <w:rPr>
          <w:lang w:val="en-US"/>
        </w:rPr>
        <w:t>Furthermore</w:t>
      </w:r>
      <w:r w:rsidR="006D228A" w:rsidRPr="00EA6C7A">
        <w:rPr>
          <w:lang w:val="en-US"/>
        </w:rPr>
        <w:t xml:space="preserve">, </w:t>
      </w:r>
      <w:r w:rsidR="0096418F" w:rsidRPr="00EA6C7A">
        <w:rPr>
          <w:lang w:val="en-US"/>
        </w:rPr>
        <w:t>the Court</w:t>
      </w:r>
      <w:r w:rsidR="006D228A" w:rsidRPr="00EA6C7A">
        <w:rPr>
          <w:lang w:val="en-US"/>
        </w:rPr>
        <w:t xml:space="preserve"> </w:t>
      </w:r>
      <w:r w:rsidR="00A75E49" w:rsidRPr="00EA6C7A">
        <w:rPr>
          <w:lang w:val="en-US"/>
        </w:rPr>
        <w:t>has verified</w:t>
      </w:r>
      <w:r w:rsidRPr="00EA6C7A">
        <w:rPr>
          <w:lang w:val="en-US"/>
        </w:rPr>
        <w:t xml:space="preserve"> that the webpage </w:t>
      </w:r>
      <w:r w:rsidR="00A75E49" w:rsidRPr="00EA6C7A">
        <w:rPr>
          <w:lang w:val="en-US"/>
        </w:rPr>
        <w:t>for consulting this national information system</w:t>
      </w:r>
      <w:r w:rsidR="006D228A" w:rsidRPr="00EA6C7A">
        <w:rPr>
          <w:rFonts w:cs="Verdana"/>
          <w:vertAlign w:val="superscript"/>
        </w:rPr>
        <w:footnoteReference w:id="352"/>
      </w:r>
      <w:r w:rsidR="006D228A" w:rsidRPr="00EA6C7A">
        <w:rPr>
          <w:lang w:val="en-US"/>
        </w:rPr>
        <w:t xml:space="preserve"> cont</w:t>
      </w:r>
      <w:r w:rsidR="00A75E49" w:rsidRPr="00EA6C7A">
        <w:rPr>
          <w:lang w:val="en-US"/>
        </w:rPr>
        <w:t xml:space="preserve">ains data and information on </w:t>
      </w:r>
      <w:r w:rsidR="00C12C08" w:rsidRPr="00EA6C7A">
        <w:rPr>
          <w:lang w:val="en-US"/>
        </w:rPr>
        <w:t>violence against women</w:t>
      </w:r>
      <w:r w:rsidR="00FC7D3B" w:rsidRPr="00EA6C7A">
        <w:rPr>
          <w:lang w:val="en-US"/>
        </w:rPr>
        <w:t xml:space="preserve"> in Guatemala</w:t>
      </w:r>
      <w:r w:rsidR="006D228A" w:rsidRPr="00EA6C7A">
        <w:rPr>
          <w:lang w:val="en-US"/>
        </w:rPr>
        <w:t xml:space="preserve">. </w:t>
      </w:r>
      <w:r w:rsidR="00A75E49" w:rsidRPr="00EA6C7A">
        <w:rPr>
          <w:lang w:val="en-US"/>
        </w:rPr>
        <w:t xml:space="preserve">Accordingly, the Court does not find it necessary to require the creation of </w:t>
      </w:r>
      <w:r w:rsidR="000254D2" w:rsidRPr="00EA6C7A">
        <w:rPr>
          <w:lang w:val="en-US"/>
        </w:rPr>
        <w:t xml:space="preserve">a </w:t>
      </w:r>
      <w:r w:rsidR="00A75E49" w:rsidRPr="00EA6C7A">
        <w:rPr>
          <w:lang w:val="en-US"/>
        </w:rPr>
        <w:t>system to compile and produce statistics.</w:t>
      </w:r>
      <w:r w:rsidR="006D228A" w:rsidRPr="00EA6C7A">
        <w:rPr>
          <w:rFonts w:cs="Verdana"/>
          <w:vertAlign w:val="superscript"/>
        </w:rPr>
        <w:footnoteReference w:id="353"/>
      </w:r>
      <w:r w:rsidR="006D228A" w:rsidRPr="00EA6C7A">
        <w:rPr>
          <w:lang w:val="en-US"/>
        </w:rPr>
        <w:t xml:space="preserve"> </w:t>
      </w:r>
      <w:r w:rsidR="00A75E49" w:rsidRPr="00EA6C7A">
        <w:rPr>
          <w:lang w:val="en-US"/>
        </w:rPr>
        <w:t xml:space="preserve">In the instant case, it has not been proved that this system suffers from problems that render it ineffective or inadequate. </w:t>
      </w:r>
      <w:r w:rsidR="000254D2" w:rsidRPr="00EA6C7A">
        <w:rPr>
          <w:lang w:val="en-US"/>
        </w:rPr>
        <w:t>Consequently</w:t>
      </w:r>
      <w:r w:rsidR="00A75E49" w:rsidRPr="00EA6C7A">
        <w:rPr>
          <w:lang w:val="en-US"/>
        </w:rPr>
        <w:t>, the Court will not require this measure of reparation on this occasion.</w:t>
      </w:r>
    </w:p>
    <w:p w14:paraId="008DE3FB" w14:textId="77777777" w:rsidR="006D228A" w:rsidRPr="00EA6C7A" w:rsidRDefault="006D228A" w:rsidP="00077D21">
      <w:pPr>
        <w:pStyle w:val="PrrafodeSentencia"/>
        <w:numPr>
          <w:ilvl w:val="0"/>
          <w:numId w:val="0"/>
        </w:numPr>
        <w:rPr>
          <w:lang w:val="en-US"/>
        </w:rPr>
      </w:pPr>
    </w:p>
    <w:p w14:paraId="5E6FCA0E" w14:textId="77777777" w:rsidR="006D228A" w:rsidRPr="00EA6C7A" w:rsidRDefault="006D228A" w:rsidP="006D228A">
      <w:pPr>
        <w:pStyle w:val="Sentencia2"/>
        <w:spacing w:line="240" w:lineRule="auto"/>
        <w:rPr>
          <w:rStyle w:val="nfasis"/>
          <w:iCs w:val="0"/>
          <w:lang w:val="en-US"/>
        </w:rPr>
      </w:pPr>
      <w:bookmarkStart w:id="121" w:name="_Toc431801403"/>
      <w:bookmarkStart w:id="122" w:name="_Toc26002344"/>
      <w:r w:rsidRPr="00EA6C7A">
        <w:rPr>
          <w:rFonts w:eastAsia="Calibri"/>
          <w:i/>
          <w:lang w:val="en-US"/>
        </w:rPr>
        <w:t xml:space="preserve">D. </w:t>
      </w:r>
      <w:r w:rsidR="00CD712B" w:rsidRPr="00EA6C7A">
        <w:rPr>
          <w:rStyle w:val="nfasis"/>
          <w:lang w:val="en-US"/>
        </w:rPr>
        <w:t>Compensation</w:t>
      </w:r>
      <w:bookmarkEnd w:id="121"/>
      <w:bookmarkEnd w:id="122"/>
    </w:p>
    <w:p w14:paraId="01A76BEF"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b/>
          <w:lang w:val="en-US"/>
        </w:rPr>
      </w:pPr>
    </w:p>
    <w:p w14:paraId="0EE45D89" w14:textId="77777777" w:rsidR="00D42BA8" w:rsidRPr="00EA6C7A" w:rsidRDefault="000254D2" w:rsidP="00077D21">
      <w:pPr>
        <w:pStyle w:val="PrrafodeSentencia"/>
        <w:rPr>
          <w:lang w:val="en-US"/>
        </w:rPr>
      </w:pPr>
      <w:r w:rsidRPr="00EA6C7A">
        <w:rPr>
          <w:lang w:val="en-US"/>
        </w:rPr>
        <w:t>The</w:t>
      </w:r>
      <w:r w:rsidR="0096418F" w:rsidRPr="00EA6C7A">
        <w:rPr>
          <w:b/>
          <w:bCs/>
          <w:i/>
          <w:iCs/>
          <w:lang w:val="en-US"/>
        </w:rPr>
        <w:t xml:space="preserve"> Commission</w:t>
      </w:r>
      <w:r w:rsidR="006D228A" w:rsidRPr="00EA6C7A">
        <w:rPr>
          <w:b/>
          <w:i/>
          <w:lang w:val="en-US"/>
        </w:rPr>
        <w:t xml:space="preserve"> </w:t>
      </w:r>
      <w:r w:rsidR="00D42BA8" w:rsidRPr="00EA6C7A">
        <w:rPr>
          <w:lang w:val="en-US"/>
        </w:rPr>
        <w:t>did not present any specific arguments on this point</w:t>
      </w:r>
      <w:r w:rsidR="006D228A" w:rsidRPr="00EA6C7A">
        <w:rPr>
          <w:lang w:val="en-US"/>
        </w:rPr>
        <w:t>.</w:t>
      </w:r>
    </w:p>
    <w:p w14:paraId="69E4FC9A" w14:textId="77777777" w:rsidR="006D228A" w:rsidRPr="00EA6C7A" w:rsidRDefault="006D228A" w:rsidP="00077D21">
      <w:pPr>
        <w:pStyle w:val="PrrafodeSentencia"/>
        <w:numPr>
          <w:ilvl w:val="0"/>
          <w:numId w:val="0"/>
        </w:numPr>
        <w:rPr>
          <w:lang w:val="en-US"/>
        </w:rPr>
      </w:pPr>
      <w:r w:rsidRPr="00EA6C7A">
        <w:rPr>
          <w:lang w:val="en-US"/>
        </w:rPr>
        <w:t xml:space="preserve"> </w:t>
      </w:r>
    </w:p>
    <w:p w14:paraId="10BB8F41" w14:textId="77777777" w:rsidR="006D228A" w:rsidRPr="00EA6C7A" w:rsidRDefault="006D228A" w:rsidP="006D228A">
      <w:pPr>
        <w:pStyle w:val="Sentencia3"/>
        <w:spacing w:line="240" w:lineRule="auto"/>
        <w:rPr>
          <w:lang w:val="en-US"/>
        </w:rPr>
      </w:pPr>
      <w:bookmarkStart w:id="123" w:name="_Toc26002345"/>
      <w:r w:rsidRPr="00EA6C7A">
        <w:rPr>
          <w:lang w:val="en-US"/>
        </w:rPr>
        <w:t xml:space="preserve">D.1. </w:t>
      </w:r>
      <w:r w:rsidR="00CD712B" w:rsidRPr="00EA6C7A">
        <w:rPr>
          <w:lang w:val="en-US"/>
        </w:rPr>
        <w:t>Non-pecuniary damage</w:t>
      </w:r>
      <w:bookmarkEnd w:id="123"/>
      <w:r w:rsidRPr="00EA6C7A">
        <w:rPr>
          <w:lang w:val="en-US"/>
        </w:rPr>
        <w:t xml:space="preserve"> </w:t>
      </w:r>
    </w:p>
    <w:p w14:paraId="0673709B"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lang w:val="en-US"/>
        </w:rPr>
      </w:pPr>
    </w:p>
    <w:p w14:paraId="15B3A26F" w14:textId="77777777" w:rsidR="006D228A" w:rsidRPr="00EA6C7A" w:rsidRDefault="000254D2" w:rsidP="00077D21">
      <w:pPr>
        <w:pStyle w:val="PrrafodeSentencia"/>
        <w:rPr>
          <w:lang w:val="en-US"/>
        </w:rPr>
      </w:pPr>
      <w:r w:rsidRPr="00EA6C7A">
        <w:rPr>
          <w:lang w:val="en-US"/>
        </w:rPr>
        <w:t>The</w:t>
      </w:r>
      <w:r w:rsidRPr="00EA6C7A">
        <w:rPr>
          <w:b/>
          <w:bCs/>
          <w:i/>
          <w:iCs/>
          <w:lang w:val="en-US"/>
        </w:rPr>
        <w:t xml:space="preserve"> </w:t>
      </w:r>
      <w:r w:rsidR="00E43A75" w:rsidRPr="00EA6C7A">
        <w:rPr>
          <w:b/>
          <w:bCs/>
          <w:i/>
          <w:iCs/>
          <w:lang w:val="en-US"/>
        </w:rPr>
        <w:t>representatives</w:t>
      </w:r>
      <w:r w:rsidR="006D228A" w:rsidRPr="00EA6C7A">
        <w:rPr>
          <w:b/>
          <w:i/>
          <w:lang w:val="en-US"/>
        </w:rPr>
        <w:t xml:space="preserve"> </w:t>
      </w:r>
      <w:r w:rsidR="00A75E49" w:rsidRPr="00EA6C7A">
        <w:rPr>
          <w:lang w:val="en-US"/>
        </w:rPr>
        <w:t xml:space="preserve">requested the payment of non-pecuniary damage of </w:t>
      </w:r>
      <w:r w:rsidR="006D228A" w:rsidRPr="00EA6C7A">
        <w:rPr>
          <w:lang w:val="en-US"/>
        </w:rPr>
        <w:t xml:space="preserve">US$500,000 </w:t>
      </w:r>
      <w:r w:rsidR="00A75E49" w:rsidRPr="00EA6C7A">
        <w:rPr>
          <w:lang w:val="en-US"/>
        </w:rPr>
        <w:t xml:space="preserve">in favor of </w:t>
      </w:r>
      <w:r w:rsidR="006D228A" w:rsidRPr="00EA6C7A">
        <w:rPr>
          <w:lang w:val="en-US"/>
        </w:rPr>
        <w:t>Claudina Isabel Velásquez Paiz</w:t>
      </w:r>
      <w:r w:rsidR="00A75E49" w:rsidRPr="00EA6C7A">
        <w:rPr>
          <w:lang w:val="en-US"/>
        </w:rPr>
        <w:t xml:space="preserve"> owing to the failure to ensure her rights</w:t>
      </w:r>
      <w:r w:rsidR="006D228A" w:rsidRPr="00EA6C7A">
        <w:rPr>
          <w:lang w:val="en-US"/>
        </w:rPr>
        <w:t xml:space="preserve">. </w:t>
      </w:r>
      <w:r w:rsidR="00A75E49" w:rsidRPr="00EA6C7A">
        <w:rPr>
          <w:lang w:val="en-US"/>
        </w:rPr>
        <w:t xml:space="preserve">This amount should be divided equally and delivered to </w:t>
      </w:r>
      <w:r w:rsidR="006D228A" w:rsidRPr="00EA6C7A">
        <w:rPr>
          <w:lang w:val="en-US"/>
        </w:rPr>
        <w:t>Jorge Rolando Velásquez Durán, Elsa Claudina Paiz Vidal</w:t>
      </w:r>
      <w:r w:rsidR="00D948A1" w:rsidRPr="00EA6C7A">
        <w:rPr>
          <w:lang w:val="en-US"/>
        </w:rPr>
        <w:t xml:space="preserve"> and </w:t>
      </w:r>
      <w:r w:rsidR="006D228A" w:rsidRPr="00EA6C7A">
        <w:rPr>
          <w:lang w:val="en-US"/>
        </w:rPr>
        <w:t xml:space="preserve">Pablo Andrés Velásquez Paiz. </w:t>
      </w:r>
      <w:r w:rsidR="00A75E49" w:rsidRPr="00EA6C7A">
        <w:rPr>
          <w:lang w:val="en-US"/>
        </w:rPr>
        <w:t>They also requested the payment of US</w:t>
      </w:r>
      <w:r w:rsidR="006D228A" w:rsidRPr="00EA6C7A">
        <w:rPr>
          <w:lang w:val="en-US"/>
        </w:rPr>
        <w:t xml:space="preserve">$75,000 </w:t>
      </w:r>
      <w:r w:rsidR="00A75E49" w:rsidRPr="00EA6C7A">
        <w:rPr>
          <w:lang w:val="en-US"/>
        </w:rPr>
        <w:t>in favor of</w:t>
      </w:r>
      <w:r w:rsidR="006D228A" w:rsidRPr="00EA6C7A">
        <w:rPr>
          <w:lang w:val="en-US"/>
        </w:rPr>
        <w:t xml:space="preserve"> </w:t>
      </w:r>
      <w:r w:rsidR="00A75E49" w:rsidRPr="00EA6C7A">
        <w:rPr>
          <w:lang w:val="en-US"/>
        </w:rPr>
        <w:t xml:space="preserve">each of the following: </w:t>
      </w:r>
      <w:r w:rsidR="006D228A" w:rsidRPr="00EA6C7A">
        <w:rPr>
          <w:lang w:val="en-US"/>
        </w:rPr>
        <w:t>Jorge Rolando Velásquez Durán, Elsa Claudina Paiz Vidal</w:t>
      </w:r>
      <w:r w:rsidR="00D948A1" w:rsidRPr="00EA6C7A">
        <w:rPr>
          <w:lang w:val="en-US"/>
        </w:rPr>
        <w:t xml:space="preserve"> and </w:t>
      </w:r>
      <w:r w:rsidR="006D228A" w:rsidRPr="00EA6C7A">
        <w:rPr>
          <w:lang w:val="en-US"/>
        </w:rPr>
        <w:t xml:space="preserve">Pablo Andrés Velásquez Paiz, </w:t>
      </w:r>
      <w:r w:rsidR="00A75E49" w:rsidRPr="00EA6C7A">
        <w:rPr>
          <w:lang w:val="en-US"/>
        </w:rPr>
        <w:t xml:space="preserve">based on the distress caused by losing their daughter and sister, as well as the psychological anguish and suffering </w:t>
      </w:r>
      <w:r w:rsidRPr="00EA6C7A">
        <w:rPr>
          <w:lang w:val="en-US"/>
        </w:rPr>
        <w:t>owing to</w:t>
      </w:r>
      <w:r w:rsidR="00A75E49" w:rsidRPr="00EA6C7A">
        <w:rPr>
          <w:lang w:val="en-US"/>
        </w:rPr>
        <w:t xml:space="preserve"> the lack of justice and lack of knowledge about the murder of </w:t>
      </w:r>
      <w:r w:rsidR="006D228A" w:rsidRPr="00EA6C7A">
        <w:rPr>
          <w:lang w:val="en-US"/>
        </w:rPr>
        <w:t>Claudina Velásquez.</w:t>
      </w:r>
    </w:p>
    <w:p w14:paraId="276B31AD"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eastAsia="Calibri" w:hAnsi="Verdana"/>
          <w:lang w:val="en-US"/>
        </w:rPr>
      </w:pPr>
    </w:p>
    <w:p w14:paraId="565D79E9" w14:textId="77777777" w:rsidR="00A75E49" w:rsidRPr="00EA6C7A" w:rsidRDefault="000254D2" w:rsidP="00077D21">
      <w:pPr>
        <w:pStyle w:val="PrrafodeSentencia"/>
        <w:rPr>
          <w:lang w:val="en-US"/>
        </w:rPr>
      </w:pPr>
      <w:r w:rsidRPr="00EA6C7A">
        <w:rPr>
          <w:lang w:val="en-US"/>
        </w:rPr>
        <w:lastRenderedPageBreak/>
        <w:t>The</w:t>
      </w:r>
      <w:r w:rsidR="002F3848" w:rsidRPr="00EA6C7A">
        <w:rPr>
          <w:b/>
          <w:bCs/>
          <w:i/>
          <w:iCs/>
          <w:lang w:val="en-US"/>
        </w:rPr>
        <w:t xml:space="preserve"> State</w:t>
      </w:r>
      <w:r w:rsidR="006D228A" w:rsidRPr="00EA6C7A">
        <w:rPr>
          <w:b/>
          <w:lang w:val="en-US"/>
        </w:rPr>
        <w:t xml:space="preserve"> </w:t>
      </w:r>
      <w:r w:rsidR="006D228A" w:rsidRPr="00EA6C7A">
        <w:rPr>
          <w:lang w:val="en-US"/>
        </w:rPr>
        <w:t>indic</w:t>
      </w:r>
      <w:r w:rsidR="00A75E49" w:rsidRPr="00EA6C7A">
        <w:rPr>
          <w:lang w:val="en-US"/>
        </w:rPr>
        <w:t>ated that it did not owe any type of monetary reparation for non-pecuniary damage because it had conducted a serious and diligent investigation and had sanctioned the forensic physician whose negligence had led to a delay in the investigation. Also, even though several years had passed since the facts of the case, the family members had not requested any psychological assistance or indicated that there was an impediment to their emotional recovery and it was only now that they had asked for monetary reparation, without mentioning that they had received psychological treatment of any kind. Therefore, it asked the Court “not to allow this to become an action for unjust enrichment.” Lastly, it asked that, if the Court concluded that it should make reparation for non-pecuniary damage to the family, this amount be established in equity, without taking into account the exorbitant amounts requested.</w:t>
      </w:r>
    </w:p>
    <w:p w14:paraId="5B1AC519"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lang w:val="en-US"/>
        </w:rPr>
      </w:pPr>
    </w:p>
    <w:p w14:paraId="2D0827AD" w14:textId="77777777" w:rsidR="006D228A" w:rsidRPr="00EA6C7A" w:rsidRDefault="00A75E49" w:rsidP="00077D21">
      <w:pPr>
        <w:pStyle w:val="PrrafodeSentencia"/>
        <w:rPr>
          <w:lang w:val="en-US"/>
        </w:rPr>
      </w:pPr>
      <w:r w:rsidRPr="00EA6C7A">
        <w:rPr>
          <w:lang w:val="en-US"/>
        </w:rPr>
        <w:t>In its case law, t</w:t>
      </w:r>
      <w:r w:rsidR="0096418F" w:rsidRPr="00EA6C7A">
        <w:rPr>
          <w:lang w:val="en-US"/>
        </w:rPr>
        <w:t>he Court</w:t>
      </w:r>
      <w:r w:rsidR="006D228A" w:rsidRPr="00EA6C7A">
        <w:rPr>
          <w:lang w:val="en-US"/>
        </w:rPr>
        <w:t xml:space="preserve"> ha</w:t>
      </w:r>
      <w:r w:rsidRPr="00EA6C7A">
        <w:rPr>
          <w:lang w:val="en-US"/>
        </w:rPr>
        <w:t>s developed the concept of non-pecuniary damage and has established that this “may include both the suffering and anguish caused by the violation and the impairment of values that are very significant for the individual and any alternation, of a non-pecuniary nature, in the living conditions of victims.</w:t>
      </w:r>
      <w:r w:rsidR="006D228A" w:rsidRPr="00EA6C7A">
        <w:rPr>
          <w:lang w:val="en-US"/>
        </w:rPr>
        <w:t>”</w:t>
      </w:r>
      <w:r w:rsidR="006D228A" w:rsidRPr="00EA6C7A">
        <w:rPr>
          <w:vertAlign w:val="superscript"/>
        </w:rPr>
        <w:footnoteReference w:id="354"/>
      </w:r>
      <w:r w:rsidRPr="00EA6C7A">
        <w:rPr>
          <w:lang w:val="en-US"/>
        </w:rPr>
        <w:t xml:space="preserve"> Since it is not possible to assign a precise monetary equivalent to non-pecuniary damage, it can only be compensated, for the purposes of providing full reparation to the victim, by the payment of a sum of money or the delivery of goods and services having a monetary value, which the Court determines in reasonable applicable of sound judicial criteria and in terms of equity.</w:t>
      </w:r>
      <w:r w:rsidR="006D228A" w:rsidRPr="00EA6C7A">
        <w:rPr>
          <w:rStyle w:val="Refdenotaalpie"/>
          <w:lang w:val="en-US"/>
        </w:rPr>
        <w:footnoteReference w:id="355"/>
      </w:r>
    </w:p>
    <w:p w14:paraId="2CE6D84A" w14:textId="77777777" w:rsidR="006D228A" w:rsidRPr="00EA6C7A" w:rsidRDefault="006D228A" w:rsidP="006D228A">
      <w:pPr>
        <w:spacing w:after="0" w:line="240" w:lineRule="auto"/>
        <w:ind w:right="-174"/>
        <w:jc w:val="both"/>
        <w:rPr>
          <w:rFonts w:ascii="Verdana" w:hAnsi="Verdana"/>
          <w:sz w:val="20"/>
          <w:szCs w:val="20"/>
          <w:lang w:val="en-US"/>
        </w:rPr>
      </w:pPr>
    </w:p>
    <w:p w14:paraId="2F044A74" w14:textId="77777777" w:rsidR="006D228A" w:rsidRPr="00EA6C7A" w:rsidRDefault="007D4A03" w:rsidP="00077D21">
      <w:pPr>
        <w:pStyle w:val="PrrafodeSentencia"/>
        <w:rPr>
          <w:lang w:val="en-US"/>
        </w:rPr>
      </w:pPr>
      <w:r w:rsidRPr="00EA6C7A">
        <w:rPr>
          <w:lang w:val="en-US"/>
        </w:rPr>
        <w:t>In Chapters</w:t>
      </w:r>
      <w:r w:rsidR="006D228A" w:rsidRPr="00EA6C7A">
        <w:rPr>
          <w:lang w:val="en-US"/>
        </w:rPr>
        <w:t xml:space="preserve"> VII.I, VII.II</w:t>
      </w:r>
      <w:r w:rsidR="00D948A1" w:rsidRPr="00EA6C7A">
        <w:rPr>
          <w:lang w:val="en-US"/>
        </w:rPr>
        <w:t xml:space="preserve"> and </w:t>
      </w:r>
      <w:r w:rsidR="006D228A" w:rsidRPr="00EA6C7A">
        <w:rPr>
          <w:lang w:val="en-US"/>
        </w:rPr>
        <w:t xml:space="preserve">VII.III, </w:t>
      </w:r>
      <w:r w:rsidR="0096418F" w:rsidRPr="00EA6C7A">
        <w:rPr>
          <w:lang w:val="en-US"/>
        </w:rPr>
        <w:t>the Court</w:t>
      </w:r>
      <w:r w:rsidR="006D228A" w:rsidRPr="00EA6C7A">
        <w:rPr>
          <w:lang w:val="en-US"/>
        </w:rPr>
        <w:t xml:space="preserve"> </w:t>
      </w:r>
      <w:r w:rsidR="004879CD" w:rsidRPr="00EA6C7A">
        <w:rPr>
          <w:lang w:val="en-US"/>
        </w:rPr>
        <w:t>establ</w:t>
      </w:r>
      <w:r w:rsidRPr="00EA6C7A">
        <w:rPr>
          <w:lang w:val="en-US"/>
        </w:rPr>
        <w:t xml:space="preserve">ished, on the one hand, in relation to </w:t>
      </w:r>
      <w:r w:rsidR="006D228A" w:rsidRPr="00EA6C7A">
        <w:rPr>
          <w:lang w:val="en-US"/>
        </w:rPr>
        <w:t xml:space="preserve">Claudina Isabel Velásquez Paiz, </w:t>
      </w:r>
      <w:r w:rsidRPr="00EA6C7A">
        <w:rPr>
          <w:lang w:val="en-US"/>
        </w:rPr>
        <w:t>the international responsibility of the State for the failure to prevent acts that violated her r</w:t>
      </w:r>
      <w:r w:rsidR="00123BD3" w:rsidRPr="00EA6C7A">
        <w:rPr>
          <w:lang w:val="en-US"/>
        </w:rPr>
        <w:t>ights to life</w:t>
      </w:r>
      <w:r w:rsidR="006D228A" w:rsidRPr="00EA6C7A">
        <w:rPr>
          <w:lang w:val="en-US"/>
        </w:rPr>
        <w:t xml:space="preserve"> </w:t>
      </w:r>
      <w:r w:rsidR="004C1E19" w:rsidRPr="00EA6C7A">
        <w:rPr>
          <w:lang w:val="en-US"/>
        </w:rPr>
        <w:t xml:space="preserve">and </w:t>
      </w:r>
      <w:r w:rsidRPr="00EA6C7A">
        <w:rPr>
          <w:lang w:val="en-US"/>
        </w:rPr>
        <w:t xml:space="preserve">to </w:t>
      </w:r>
      <w:r w:rsidR="004C1E19" w:rsidRPr="00EA6C7A">
        <w:rPr>
          <w:lang w:val="en-US"/>
        </w:rPr>
        <w:t>personal</w:t>
      </w:r>
      <w:r w:rsidR="00515C34" w:rsidRPr="00EA6C7A">
        <w:rPr>
          <w:lang w:val="en-US"/>
        </w:rPr>
        <w:t xml:space="preserve"> integrity</w:t>
      </w:r>
      <w:r w:rsidRPr="00EA6C7A">
        <w:rPr>
          <w:lang w:val="en-US"/>
        </w:rPr>
        <w:t xml:space="preserve">. On the other hand, it has been established that various deficiencies in the investigation of those acts affected access to justice, and the Court declared the violation of the rights to personal integrity and to respect for </w:t>
      </w:r>
      <w:r w:rsidR="000254D2" w:rsidRPr="00EA6C7A">
        <w:rPr>
          <w:lang w:val="en-US"/>
        </w:rPr>
        <w:t xml:space="preserve">the </w:t>
      </w:r>
      <w:r w:rsidRPr="00EA6C7A">
        <w:rPr>
          <w:lang w:val="en-US"/>
        </w:rPr>
        <w:t xml:space="preserve">honor and </w:t>
      </w:r>
      <w:r w:rsidR="000254D2" w:rsidRPr="00EA6C7A">
        <w:rPr>
          <w:lang w:val="en-US"/>
        </w:rPr>
        <w:t xml:space="preserve">recognition of the </w:t>
      </w:r>
      <w:r w:rsidRPr="00EA6C7A">
        <w:rPr>
          <w:lang w:val="en-US"/>
        </w:rPr>
        <w:t xml:space="preserve">dignity of the members of her family. In addition, it was verified that </w:t>
      </w:r>
      <w:r w:rsidR="0020127B" w:rsidRPr="00EA6C7A">
        <w:rPr>
          <w:lang w:val="en-US"/>
        </w:rPr>
        <w:t>Jorge</w:t>
      </w:r>
      <w:r w:rsidR="006D228A" w:rsidRPr="00EA6C7A">
        <w:rPr>
          <w:bCs/>
          <w:lang w:val="en-US"/>
        </w:rPr>
        <w:t xml:space="preserve"> Rolando Velásquez Durán ha</w:t>
      </w:r>
      <w:r w:rsidRPr="00EA6C7A">
        <w:rPr>
          <w:bCs/>
          <w:lang w:val="en-US"/>
        </w:rPr>
        <w:t>d played an active role in the domestic investigation. Based on the foregoing, the Court establishes, in equity, for non-pecuniary damage, the sum of</w:t>
      </w:r>
      <w:r w:rsidR="006D228A" w:rsidRPr="00EA6C7A">
        <w:rPr>
          <w:bCs/>
          <w:lang w:val="en-US"/>
        </w:rPr>
        <w:t xml:space="preserve"> </w:t>
      </w:r>
      <w:r w:rsidR="006D228A" w:rsidRPr="00EA6C7A">
        <w:rPr>
          <w:lang w:val="en-US"/>
        </w:rPr>
        <w:t>US$60</w:t>
      </w:r>
      <w:r w:rsidRPr="00EA6C7A">
        <w:rPr>
          <w:lang w:val="en-US"/>
        </w:rPr>
        <w:t>,000.00</w:t>
      </w:r>
      <w:r w:rsidR="006D228A" w:rsidRPr="00EA6C7A">
        <w:rPr>
          <w:lang w:val="en-US"/>
        </w:rPr>
        <w:t xml:space="preserve"> (s</w:t>
      </w:r>
      <w:r w:rsidRPr="00EA6C7A">
        <w:rPr>
          <w:lang w:val="en-US"/>
        </w:rPr>
        <w:t>ixty</w:t>
      </w:r>
      <w:r w:rsidR="006D228A" w:rsidRPr="00EA6C7A">
        <w:rPr>
          <w:lang w:val="en-US"/>
        </w:rPr>
        <w:t xml:space="preserve"> </w:t>
      </w:r>
      <w:r w:rsidRPr="00EA6C7A">
        <w:rPr>
          <w:lang w:val="en-US"/>
        </w:rPr>
        <w:t>thousand United States dollars</w:t>
      </w:r>
      <w:r w:rsidR="006D228A" w:rsidRPr="00EA6C7A">
        <w:rPr>
          <w:lang w:val="en-US"/>
        </w:rPr>
        <w:t xml:space="preserve">) </w:t>
      </w:r>
      <w:r w:rsidR="00A75E49" w:rsidRPr="00EA6C7A">
        <w:rPr>
          <w:lang w:val="en-US"/>
        </w:rPr>
        <w:t>in favor of</w:t>
      </w:r>
      <w:r w:rsidR="006D228A" w:rsidRPr="00EA6C7A">
        <w:rPr>
          <w:lang w:val="en-US"/>
        </w:rPr>
        <w:t xml:space="preserve"> Claudina Velásquez Paiz</w:t>
      </w:r>
      <w:r w:rsidRPr="00EA6C7A">
        <w:rPr>
          <w:lang w:val="en-US"/>
        </w:rPr>
        <w:t>; the sum of US$</w:t>
      </w:r>
      <w:r w:rsidR="006D228A" w:rsidRPr="00EA6C7A">
        <w:rPr>
          <w:lang w:val="en-US"/>
        </w:rPr>
        <w:t>18</w:t>
      </w:r>
      <w:r w:rsidRPr="00EA6C7A">
        <w:rPr>
          <w:lang w:val="en-US"/>
        </w:rPr>
        <w:t>,000.00</w:t>
      </w:r>
      <w:r w:rsidR="006D228A" w:rsidRPr="00EA6C7A">
        <w:rPr>
          <w:lang w:val="en-US"/>
        </w:rPr>
        <w:t xml:space="preserve"> (</w:t>
      </w:r>
      <w:r w:rsidRPr="00EA6C7A">
        <w:rPr>
          <w:lang w:val="en-US"/>
        </w:rPr>
        <w:t>eighteen</w:t>
      </w:r>
      <w:r w:rsidR="006D228A" w:rsidRPr="00EA6C7A">
        <w:rPr>
          <w:lang w:val="en-US"/>
        </w:rPr>
        <w:t xml:space="preserve"> </w:t>
      </w:r>
      <w:r w:rsidRPr="00EA6C7A">
        <w:rPr>
          <w:lang w:val="en-US"/>
        </w:rPr>
        <w:t>thousand United States dollars</w:t>
      </w:r>
      <w:r w:rsidR="006D228A" w:rsidRPr="00EA6C7A">
        <w:rPr>
          <w:lang w:val="en-US"/>
        </w:rPr>
        <w:t xml:space="preserve">) </w:t>
      </w:r>
      <w:r w:rsidR="00A75E49" w:rsidRPr="00EA6C7A">
        <w:rPr>
          <w:lang w:val="en-US"/>
        </w:rPr>
        <w:t>in favor of</w:t>
      </w:r>
      <w:r w:rsidR="006D228A" w:rsidRPr="00EA6C7A">
        <w:rPr>
          <w:lang w:val="en-US"/>
        </w:rPr>
        <w:t xml:space="preserve"> </w:t>
      </w:r>
      <w:r w:rsidR="006D228A" w:rsidRPr="00EA6C7A">
        <w:rPr>
          <w:bCs/>
          <w:lang w:val="en-US"/>
        </w:rPr>
        <w:t>Jorge Rolando Velásquez Durán</w:t>
      </w:r>
      <w:r w:rsidRPr="00EA6C7A">
        <w:rPr>
          <w:rFonts w:eastAsia="MS Mincho"/>
          <w:lang w:val="en-US"/>
        </w:rPr>
        <w:t xml:space="preserve">; the sum of </w:t>
      </w:r>
      <w:r w:rsidRPr="00EA6C7A">
        <w:rPr>
          <w:lang w:val="en-US"/>
        </w:rPr>
        <w:t>US$</w:t>
      </w:r>
      <w:r w:rsidR="006D228A" w:rsidRPr="00EA6C7A">
        <w:rPr>
          <w:lang w:val="en-US"/>
        </w:rPr>
        <w:t>15</w:t>
      </w:r>
      <w:r w:rsidRPr="00EA6C7A">
        <w:rPr>
          <w:lang w:val="en-US"/>
        </w:rPr>
        <w:t>,000.00</w:t>
      </w:r>
      <w:r w:rsidR="006D228A" w:rsidRPr="00EA6C7A">
        <w:rPr>
          <w:lang w:val="en-US"/>
        </w:rPr>
        <w:t xml:space="preserve"> (</w:t>
      </w:r>
      <w:r w:rsidRPr="00EA6C7A">
        <w:rPr>
          <w:lang w:val="en-US"/>
        </w:rPr>
        <w:t>fifteen</w:t>
      </w:r>
      <w:r w:rsidR="006D228A" w:rsidRPr="00EA6C7A">
        <w:rPr>
          <w:lang w:val="en-US"/>
        </w:rPr>
        <w:t xml:space="preserve"> </w:t>
      </w:r>
      <w:r w:rsidRPr="00EA6C7A">
        <w:rPr>
          <w:lang w:val="en-US"/>
        </w:rPr>
        <w:t>thousand United States dollars</w:t>
      </w:r>
      <w:r w:rsidR="006D228A" w:rsidRPr="00EA6C7A">
        <w:rPr>
          <w:lang w:val="en-US"/>
        </w:rPr>
        <w:t xml:space="preserve">) </w:t>
      </w:r>
      <w:r w:rsidR="00A75E49" w:rsidRPr="00EA6C7A">
        <w:rPr>
          <w:lang w:val="en-US"/>
        </w:rPr>
        <w:t>in favor of</w:t>
      </w:r>
      <w:r w:rsidR="006D228A" w:rsidRPr="00EA6C7A">
        <w:rPr>
          <w:lang w:val="en-US"/>
        </w:rPr>
        <w:t xml:space="preserve"> </w:t>
      </w:r>
      <w:r w:rsidR="006D228A" w:rsidRPr="00EA6C7A">
        <w:rPr>
          <w:bCs/>
          <w:lang w:val="en-US"/>
        </w:rPr>
        <w:t>Elsa Claudina Paiz Vidal,</w:t>
      </w:r>
      <w:r w:rsidR="00D948A1" w:rsidRPr="00EA6C7A">
        <w:rPr>
          <w:bCs/>
          <w:lang w:val="en-US"/>
        </w:rPr>
        <w:t xml:space="preserve"> and </w:t>
      </w:r>
      <w:r w:rsidRPr="00EA6C7A">
        <w:rPr>
          <w:lang w:val="en-US"/>
        </w:rPr>
        <w:t>the sum of</w:t>
      </w:r>
      <w:r w:rsidR="006D228A" w:rsidRPr="00EA6C7A">
        <w:rPr>
          <w:lang w:val="en-US"/>
        </w:rPr>
        <w:t xml:space="preserve"> </w:t>
      </w:r>
      <w:r w:rsidRPr="00EA6C7A">
        <w:rPr>
          <w:lang w:val="en-US"/>
        </w:rPr>
        <w:t>US$</w:t>
      </w:r>
      <w:r w:rsidR="006D228A" w:rsidRPr="00EA6C7A">
        <w:rPr>
          <w:lang w:val="en-US"/>
        </w:rPr>
        <w:t>12</w:t>
      </w:r>
      <w:r w:rsidRPr="00EA6C7A">
        <w:rPr>
          <w:lang w:val="en-US"/>
        </w:rPr>
        <w:t>,000.00</w:t>
      </w:r>
      <w:r w:rsidR="006D228A" w:rsidRPr="00EA6C7A">
        <w:rPr>
          <w:lang w:val="en-US"/>
        </w:rPr>
        <w:t xml:space="preserve"> (</w:t>
      </w:r>
      <w:r w:rsidRPr="00EA6C7A">
        <w:rPr>
          <w:lang w:val="en-US"/>
        </w:rPr>
        <w:t>twelve</w:t>
      </w:r>
      <w:r w:rsidR="006D228A" w:rsidRPr="00EA6C7A">
        <w:rPr>
          <w:lang w:val="en-US"/>
        </w:rPr>
        <w:t xml:space="preserve"> </w:t>
      </w:r>
      <w:r w:rsidRPr="00EA6C7A">
        <w:rPr>
          <w:lang w:val="en-US"/>
        </w:rPr>
        <w:t>thousand United States dollars</w:t>
      </w:r>
      <w:r w:rsidR="006D228A" w:rsidRPr="00EA6C7A">
        <w:rPr>
          <w:lang w:val="en-US"/>
        </w:rPr>
        <w:t xml:space="preserve">) </w:t>
      </w:r>
      <w:r w:rsidR="00A75E49" w:rsidRPr="00EA6C7A">
        <w:rPr>
          <w:lang w:val="en-US"/>
        </w:rPr>
        <w:t>in favor of</w:t>
      </w:r>
      <w:r w:rsidR="006D228A" w:rsidRPr="00EA6C7A">
        <w:rPr>
          <w:bCs/>
          <w:lang w:val="en-US"/>
        </w:rPr>
        <w:t xml:space="preserve"> </w:t>
      </w:r>
      <w:r w:rsidR="006D228A" w:rsidRPr="00EA6C7A">
        <w:rPr>
          <w:lang w:val="en-US"/>
        </w:rPr>
        <w:t xml:space="preserve">Pablo Andrés Velásquez Paiz. </w:t>
      </w:r>
      <w:r w:rsidRPr="00EA6C7A">
        <w:rPr>
          <w:lang w:val="en-US"/>
        </w:rPr>
        <w:t xml:space="preserve">The amount established </w:t>
      </w:r>
      <w:r w:rsidR="00A75E49" w:rsidRPr="00EA6C7A">
        <w:rPr>
          <w:lang w:val="en-US"/>
        </w:rPr>
        <w:t>in favor of</w:t>
      </w:r>
      <w:r w:rsidR="006D228A" w:rsidRPr="00EA6C7A">
        <w:rPr>
          <w:lang w:val="en-US"/>
        </w:rPr>
        <w:t xml:space="preserve"> Claudina Velásquez Paiz </w:t>
      </w:r>
      <w:r w:rsidRPr="00EA6C7A">
        <w:rPr>
          <w:lang w:val="en-US"/>
        </w:rPr>
        <w:t xml:space="preserve">shall be divided equally between, and delivered to, </w:t>
      </w:r>
      <w:r w:rsidR="006D228A" w:rsidRPr="00EA6C7A">
        <w:rPr>
          <w:lang w:val="en-US"/>
        </w:rPr>
        <w:t>Jorge Rolando Velásquez Durán, Elsa Claudina Paiz Vidal</w:t>
      </w:r>
      <w:r w:rsidR="00D948A1" w:rsidRPr="00EA6C7A">
        <w:rPr>
          <w:lang w:val="en-US"/>
        </w:rPr>
        <w:t xml:space="preserve"> and </w:t>
      </w:r>
      <w:r w:rsidR="006D228A" w:rsidRPr="00EA6C7A">
        <w:rPr>
          <w:lang w:val="en-US"/>
        </w:rPr>
        <w:t xml:space="preserve">Pablo Andrés Velásquez Paiz. </w:t>
      </w:r>
    </w:p>
    <w:p w14:paraId="52A90720" w14:textId="77777777" w:rsidR="006D228A" w:rsidRPr="00EA6C7A" w:rsidRDefault="006D228A" w:rsidP="006D228A">
      <w:pPr>
        <w:pStyle w:val="Sentencia3"/>
        <w:spacing w:line="240" w:lineRule="auto"/>
        <w:rPr>
          <w:lang w:val="en-US"/>
        </w:rPr>
      </w:pPr>
    </w:p>
    <w:p w14:paraId="39833F4D" w14:textId="77777777" w:rsidR="006D228A" w:rsidRPr="00EA6C7A" w:rsidRDefault="006D228A" w:rsidP="006D228A">
      <w:pPr>
        <w:pStyle w:val="Sentencia3"/>
        <w:spacing w:line="240" w:lineRule="auto"/>
        <w:rPr>
          <w:lang w:val="en-US"/>
        </w:rPr>
      </w:pPr>
      <w:bookmarkStart w:id="124" w:name="_Toc26002346"/>
      <w:r w:rsidRPr="00EA6C7A">
        <w:rPr>
          <w:lang w:val="en-US"/>
        </w:rPr>
        <w:t xml:space="preserve">D.2. </w:t>
      </w:r>
      <w:r w:rsidR="00CD712B" w:rsidRPr="00EA6C7A">
        <w:rPr>
          <w:lang w:val="en-US"/>
        </w:rPr>
        <w:t>Pecuniary damage</w:t>
      </w:r>
      <w:bookmarkEnd w:id="124"/>
      <w:r w:rsidRPr="00EA6C7A">
        <w:rPr>
          <w:lang w:val="en-US"/>
        </w:rPr>
        <w:t xml:space="preserve"> </w:t>
      </w:r>
    </w:p>
    <w:p w14:paraId="7B203D4B"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lang w:val="en-US"/>
        </w:rPr>
      </w:pPr>
    </w:p>
    <w:p w14:paraId="1EDC5BA9" w14:textId="77777777" w:rsidR="006D228A" w:rsidRPr="00EA6C7A" w:rsidRDefault="00390F18" w:rsidP="00077D21">
      <w:pPr>
        <w:pStyle w:val="PrrafodeSentencia"/>
        <w:rPr>
          <w:lang w:val="en-US"/>
        </w:rPr>
      </w:pPr>
      <w:r w:rsidRPr="00EA6C7A">
        <w:rPr>
          <w:lang w:val="en-US"/>
        </w:rPr>
        <w:t>The</w:t>
      </w:r>
      <w:r w:rsidR="00E43A75" w:rsidRPr="00EA6C7A">
        <w:rPr>
          <w:b/>
          <w:bCs/>
          <w:i/>
          <w:iCs/>
          <w:lang w:val="en-US"/>
        </w:rPr>
        <w:t xml:space="preserve"> representatives</w:t>
      </w:r>
      <w:r w:rsidR="006D228A" w:rsidRPr="00EA6C7A">
        <w:rPr>
          <w:lang w:val="en-US"/>
        </w:rPr>
        <w:t xml:space="preserve"> </w:t>
      </w:r>
      <w:r w:rsidR="007D4A03" w:rsidRPr="00EA6C7A">
        <w:rPr>
          <w:lang w:val="en-US"/>
        </w:rPr>
        <w:t>requested payment of</w:t>
      </w:r>
      <w:r w:rsidR="006D228A" w:rsidRPr="00EA6C7A">
        <w:rPr>
          <w:lang w:val="en-US"/>
        </w:rPr>
        <w:t xml:space="preserve"> </w:t>
      </w:r>
      <w:r w:rsidR="007D4A03" w:rsidRPr="00EA6C7A">
        <w:rPr>
          <w:lang w:val="en-US"/>
        </w:rPr>
        <w:t>US$</w:t>
      </w:r>
      <w:r w:rsidR="006D228A" w:rsidRPr="00EA6C7A">
        <w:rPr>
          <w:lang w:val="en-US"/>
        </w:rPr>
        <w:t xml:space="preserve">692,424.44 </w:t>
      </w:r>
      <w:r w:rsidR="007D4A03" w:rsidRPr="00EA6C7A">
        <w:rPr>
          <w:lang w:val="en-US"/>
        </w:rPr>
        <w:t xml:space="preserve">for loss of earnings </w:t>
      </w:r>
      <w:r w:rsidR="00A75E49" w:rsidRPr="00EA6C7A">
        <w:rPr>
          <w:lang w:val="en-US"/>
        </w:rPr>
        <w:t>in favor of</w:t>
      </w:r>
      <w:r w:rsidR="006D228A" w:rsidRPr="00EA6C7A">
        <w:rPr>
          <w:lang w:val="en-US"/>
        </w:rPr>
        <w:t xml:space="preserve"> Claudina Velásquez</w:t>
      </w:r>
      <w:r w:rsidR="00D948A1" w:rsidRPr="00EA6C7A">
        <w:rPr>
          <w:lang w:val="en-US"/>
        </w:rPr>
        <w:t xml:space="preserve"> and </w:t>
      </w:r>
      <w:r w:rsidR="007D4A03" w:rsidRPr="00EA6C7A">
        <w:rPr>
          <w:lang w:val="en-US"/>
        </w:rPr>
        <w:t>US$</w:t>
      </w:r>
      <w:r w:rsidR="006D228A" w:rsidRPr="00EA6C7A">
        <w:rPr>
          <w:lang w:val="en-US"/>
        </w:rPr>
        <w:t xml:space="preserve">588,031.44 </w:t>
      </w:r>
      <w:r w:rsidR="007D4A03" w:rsidRPr="00EA6C7A">
        <w:rPr>
          <w:lang w:val="en-US"/>
        </w:rPr>
        <w:t>for loss of earnings</w:t>
      </w:r>
      <w:r w:rsidR="006D228A" w:rsidRPr="00EA6C7A">
        <w:rPr>
          <w:lang w:val="en-US"/>
        </w:rPr>
        <w:t xml:space="preserve"> </w:t>
      </w:r>
      <w:r w:rsidR="00A75E49" w:rsidRPr="00EA6C7A">
        <w:rPr>
          <w:lang w:val="en-US"/>
        </w:rPr>
        <w:t>in favor of</w:t>
      </w:r>
      <w:r w:rsidR="006D228A" w:rsidRPr="00EA6C7A">
        <w:rPr>
          <w:lang w:val="en-US"/>
        </w:rPr>
        <w:t xml:space="preserve"> Jorge Rolando Velásquez. </w:t>
      </w:r>
      <w:r w:rsidR="007D4A03" w:rsidRPr="00EA6C7A">
        <w:rPr>
          <w:lang w:val="en-US"/>
        </w:rPr>
        <w:t xml:space="preserve">In this regard, they indicated that, at the time of her death, </w:t>
      </w:r>
      <w:r w:rsidR="006D228A" w:rsidRPr="00EA6C7A">
        <w:rPr>
          <w:lang w:val="en-US"/>
        </w:rPr>
        <w:t xml:space="preserve">Claudina Velásquez </w:t>
      </w:r>
      <w:r w:rsidR="007D4A03" w:rsidRPr="00EA6C7A">
        <w:rPr>
          <w:lang w:val="en-US"/>
        </w:rPr>
        <w:t xml:space="preserve">was in the fourth semester of her law studies </w:t>
      </w:r>
      <w:r w:rsidRPr="00EA6C7A">
        <w:rPr>
          <w:lang w:val="en-US"/>
        </w:rPr>
        <w:t>in</w:t>
      </w:r>
      <w:r w:rsidR="007D4A03" w:rsidRPr="00EA6C7A">
        <w:rPr>
          <w:lang w:val="en-US"/>
        </w:rPr>
        <w:t xml:space="preserve"> the Faculty of Legal and Social Sciences of the </w:t>
      </w:r>
      <w:r w:rsidR="006D228A" w:rsidRPr="00EA6C7A">
        <w:rPr>
          <w:lang w:val="en-US"/>
        </w:rPr>
        <w:t>Universidad de San Carlos, “</w:t>
      </w:r>
      <w:r w:rsidR="007D4A03" w:rsidRPr="00EA6C7A">
        <w:rPr>
          <w:lang w:val="en-US"/>
        </w:rPr>
        <w:t xml:space="preserve">one of the most prestigious in </w:t>
      </w:r>
      <w:r w:rsidR="006D228A" w:rsidRPr="00EA6C7A">
        <w:rPr>
          <w:lang w:val="en-US"/>
        </w:rPr>
        <w:t>Guatemala</w:t>
      </w:r>
      <w:r w:rsidR="007D4A03" w:rsidRPr="00EA6C7A">
        <w:rPr>
          <w:lang w:val="en-US"/>
        </w:rPr>
        <w:t>.</w:t>
      </w:r>
      <w:r w:rsidR="006D228A" w:rsidRPr="00EA6C7A">
        <w:rPr>
          <w:lang w:val="en-US"/>
        </w:rPr>
        <w:t>”</w:t>
      </w:r>
      <w:r w:rsidR="007D4A03" w:rsidRPr="00EA6C7A">
        <w:rPr>
          <w:lang w:val="en-US"/>
        </w:rPr>
        <w:t xml:space="preserve"> She was completely bilingual and had plans to specialize in criminal law in Spain. Added to this, they asked that her age and life expectancy be taken into account. In the case of the victim’s father, Jorge Rolando Velásquez Durán, they argued that he had had to abandon his professional activities with which he maintained his family to devote himself to expediting the judicial investigation into his daughter’s murder, despite the fact that this investigation should have been expedited, </w:t>
      </w:r>
      <w:r w:rsidR="007D4A03" w:rsidRPr="00EA6C7A">
        <w:rPr>
          <w:i/>
          <w:iCs/>
          <w:lang w:val="en-US"/>
        </w:rPr>
        <w:t xml:space="preserve">ex </w:t>
      </w:r>
      <w:r w:rsidR="007D4A03" w:rsidRPr="00EA6C7A">
        <w:rPr>
          <w:i/>
          <w:iCs/>
          <w:lang w:val="en-US"/>
        </w:rPr>
        <w:lastRenderedPageBreak/>
        <w:t xml:space="preserve">officio, </w:t>
      </w:r>
      <w:r w:rsidR="007D4A03" w:rsidRPr="00EA6C7A">
        <w:rPr>
          <w:lang w:val="en-US"/>
        </w:rPr>
        <w:t xml:space="preserve">by the State. They also requested the payment of indirect damage because, from the time of </w:t>
      </w:r>
      <w:r w:rsidR="007D4A03" w:rsidRPr="00EA6C7A">
        <w:rPr>
          <w:rFonts w:eastAsia="Calibri"/>
          <w:lang w:val="en-US" w:eastAsia="en-US"/>
        </w:rPr>
        <w:t>Claudina Velásquez’s</w:t>
      </w:r>
      <w:r w:rsidR="007D4A03" w:rsidRPr="00EA6C7A">
        <w:rPr>
          <w:lang w:val="en-US"/>
        </w:rPr>
        <w:t xml:space="preserve"> death, her family ha</w:t>
      </w:r>
      <w:r w:rsidRPr="00EA6C7A">
        <w:rPr>
          <w:lang w:val="en-US"/>
        </w:rPr>
        <w:t>d</w:t>
      </w:r>
      <w:r w:rsidR="007D4A03" w:rsidRPr="00EA6C7A">
        <w:rPr>
          <w:lang w:val="en-US"/>
        </w:rPr>
        <w:t xml:space="preserve"> </w:t>
      </w:r>
      <w:r w:rsidRPr="00EA6C7A">
        <w:rPr>
          <w:lang w:val="en-US"/>
        </w:rPr>
        <w:t>been forced</w:t>
      </w:r>
      <w:r w:rsidR="007D4A03" w:rsidRPr="00EA6C7A">
        <w:rPr>
          <w:lang w:val="en-US"/>
        </w:rPr>
        <w:t xml:space="preserve"> to incur a series of extra-procedural expenses including: funeral and burial expenses amounting to approximately </w:t>
      </w:r>
      <w:r w:rsidR="007D4A03" w:rsidRPr="00EA6C7A">
        <w:rPr>
          <w:rFonts w:eastAsia="Calibri"/>
          <w:lang w:val="en-US" w:eastAsia="en-US"/>
        </w:rPr>
        <w:t xml:space="preserve">US$1,800; psychiatric treatment from 2007 to date for </w:t>
      </w:r>
      <w:r w:rsidR="007D4A03" w:rsidRPr="00EA6C7A">
        <w:rPr>
          <w:lang w:val="en-US"/>
        </w:rPr>
        <w:t xml:space="preserve">Pablo Andrés Velásquez Paiz owing to the trauma resulting from the murder and prolonged denial of justice amounting </w:t>
      </w:r>
      <w:r w:rsidRPr="00EA6C7A">
        <w:rPr>
          <w:lang w:val="en-US"/>
        </w:rPr>
        <w:t xml:space="preserve">to </w:t>
      </w:r>
      <w:r w:rsidR="007D4A03" w:rsidRPr="00EA6C7A">
        <w:rPr>
          <w:lang w:val="en-US"/>
        </w:rPr>
        <w:t>approximately US$</w:t>
      </w:r>
      <w:r w:rsidR="006D228A" w:rsidRPr="00EA6C7A">
        <w:rPr>
          <w:lang w:val="en-US"/>
        </w:rPr>
        <w:t>515 m</w:t>
      </w:r>
      <w:r w:rsidR="007D4A03" w:rsidRPr="00EA6C7A">
        <w:rPr>
          <w:lang w:val="en-US"/>
        </w:rPr>
        <w:t>onthly,</w:t>
      </w:r>
      <w:r w:rsidR="00D948A1" w:rsidRPr="00EA6C7A">
        <w:rPr>
          <w:lang w:val="en-US"/>
        </w:rPr>
        <w:t xml:space="preserve"> and </w:t>
      </w:r>
      <w:r w:rsidR="007D4A03" w:rsidRPr="00EA6C7A">
        <w:rPr>
          <w:lang w:val="en-US"/>
        </w:rPr>
        <w:t xml:space="preserve">the payment of the fees of experts for the psychological appraisal of </w:t>
      </w:r>
      <w:r w:rsidR="006D228A" w:rsidRPr="00EA6C7A">
        <w:rPr>
          <w:lang w:val="en-US"/>
        </w:rPr>
        <w:t>Elsa Claudina Paiz Vidal</w:t>
      </w:r>
      <w:r w:rsidR="00D948A1" w:rsidRPr="00EA6C7A">
        <w:rPr>
          <w:lang w:val="en-US"/>
        </w:rPr>
        <w:t xml:space="preserve"> and </w:t>
      </w:r>
      <w:r w:rsidR="006D228A" w:rsidRPr="00EA6C7A">
        <w:rPr>
          <w:lang w:val="en-US"/>
        </w:rPr>
        <w:t xml:space="preserve">Jorge Rolando Velásquez Durán. </w:t>
      </w:r>
      <w:r w:rsidR="007D4A03" w:rsidRPr="00EA6C7A">
        <w:rPr>
          <w:lang w:val="en-US"/>
        </w:rPr>
        <w:t>In this regard, they asked the Court to establish the respective amount, in equity, owing to the “difficulty of the family to estimate the exact amounts of the</w:t>
      </w:r>
      <w:r w:rsidRPr="00EA6C7A">
        <w:rPr>
          <w:lang w:val="en-US"/>
        </w:rPr>
        <w:t>se</w:t>
      </w:r>
      <w:r w:rsidR="007D4A03" w:rsidRPr="00EA6C7A">
        <w:rPr>
          <w:lang w:val="en-US"/>
        </w:rPr>
        <w:t xml:space="preserve"> expenses.”</w:t>
      </w:r>
    </w:p>
    <w:p w14:paraId="06B52E27"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lang w:val="en-US"/>
        </w:rPr>
      </w:pPr>
    </w:p>
    <w:p w14:paraId="6FB833C8" w14:textId="77777777" w:rsidR="00B26BF3" w:rsidRPr="00EA6C7A" w:rsidRDefault="002F3848" w:rsidP="00077D21">
      <w:pPr>
        <w:pStyle w:val="PrrafodeSentencia"/>
        <w:rPr>
          <w:lang w:val="en-US"/>
        </w:rPr>
      </w:pPr>
      <w:r w:rsidRPr="00EA6C7A">
        <w:rPr>
          <w:lang w:val="en-US"/>
        </w:rPr>
        <w:t>The</w:t>
      </w:r>
      <w:r w:rsidRPr="00EA6C7A">
        <w:rPr>
          <w:b/>
          <w:bCs/>
          <w:i/>
          <w:iCs/>
          <w:lang w:val="en-US"/>
        </w:rPr>
        <w:t xml:space="preserve"> State</w:t>
      </w:r>
      <w:r w:rsidR="006D228A" w:rsidRPr="00EA6C7A">
        <w:rPr>
          <w:lang w:val="en-US"/>
        </w:rPr>
        <w:t xml:space="preserve"> reiter</w:t>
      </w:r>
      <w:r w:rsidR="007D4A03" w:rsidRPr="00EA6C7A">
        <w:rPr>
          <w:lang w:val="en-US"/>
        </w:rPr>
        <w:t>ated that it had not violated any right in this case, so that it was not responsible for redressing any pecuniary damage. It also argued that the petitioners had not submitted documents proving the indirect damage alleged in relation to funera</w:t>
      </w:r>
      <w:r w:rsidR="00390F18" w:rsidRPr="00EA6C7A">
        <w:rPr>
          <w:lang w:val="en-US"/>
        </w:rPr>
        <w:t>l</w:t>
      </w:r>
      <w:r w:rsidR="007D4A03" w:rsidRPr="00EA6C7A">
        <w:rPr>
          <w:lang w:val="en-US"/>
        </w:rPr>
        <w:t xml:space="preserve"> and medical expenses. </w:t>
      </w:r>
      <w:r w:rsidR="00390F18" w:rsidRPr="00EA6C7A">
        <w:rPr>
          <w:lang w:val="en-US"/>
        </w:rPr>
        <w:t>Regarding</w:t>
      </w:r>
      <w:r w:rsidR="007D4A03" w:rsidRPr="00EA6C7A">
        <w:rPr>
          <w:lang w:val="en-US"/>
        </w:rPr>
        <w:t xml:space="preserve"> loss of earnings, the State argue</w:t>
      </w:r>
      <w:r w:rsidR="00390F18" w:rsidRPr="00EA6C7A">
        <w:rPr>
          <w:lang w:val="en-US"/>
        </w:rPr>
        <w:t>d</w:t>
      </w:r>
      <w:r w:rsidR="007D4A03" w:rsidRPr="00EA6C7A">
        <w:rPr>
          <w:lang w:val="en-US"/>
        </w:rPr>
        <w:t xml:space="preserve"> that the actuarial reports submitted as evidence by the representatives did not reflect the national reality. It explained that, if the Court ordered this, Guatemala could request specific information on what a law</w:t>
      </w:r>
      <w:r w:rsidR="00B26BF3" w:rsidRPr="00EA6C7A">
        <w:rPr>
          <w:lang w:val="en-US"/>
        </w:rPr>
        <w:t xml:space="preserve">-school graduate earned </w:t>
      </w:r>
      <w:r w:rsidR="00390F18" w:rsidRPr="00EA6C7A">
        <w:rPr>
          <w:lang w:val="en-US"/>
        </w:rPr>
        <w:t>based on</w:t>
      </w:r>
      <w:r w:rsidR="00B26BF3" w:rsidRPr="00EA6C7A">
        <w:rPr>
          <w:lang w:val="en-US"/>
        </w:rPr>
        <w:t xml:space="preserve"> the fee scale that exists for this purpose and </w:t>
      </w:r>
      <w:r w:rsidR="00390F18" w:rsidRPr="00EA6C7A">
        <w:rPr>
          <w:lang w:val="en-US"/>
        </w:rPr>
        <w:t>on</w:t>
      </w:r>
      <w:r w:rsidR="00B26BF3" w:rsidRPr="00EA6C7A">
        <w:rPr>
          <w:lang w:val="en-US"/>
        </w:rPr>
        <w:t xml:space="preserve"> the reality reported by this type of professional to the Tax Administration Superintendence (SAT). In the case of </w:t>
      </w:r>
      <w:r w:rsidR="0020127B" w:rsidRPr="00EA6C7A">
        <w:rPr>
          <w:lang w:val="en-US"/>
        </w:rPr>
        <w:t>Jorge</w:t>
      </w:r>
      <w:r w:rsidR="006D228A" w:rsidRPr="00EA6C7A">
        <w:rPr>
          <w:lang w:val="en-US"/>
        </w:rPr>
        <w:t xml:space="preserve"> Rolando Velásquez Durán, </w:t>
      </w:r>
      <w:r w:rsidR="00B26BF3" w:rsidRPr="00EA6C7A">
        <w:rPr>
          <w:lang w:val="en-US"/>
        </w:rPr>
        <w:t>it indicated that the evidence did not reveal that he suffered from any health condition as a result of this case that prevented him from working, but rather that his health was very good. Consequently, the State did not have to compensate him for loss of earnings.</w:t>
      </w:r>
    </w:p>
    <w:p w14:paraId="08A7608B"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b/>
          <w:lang w:val="en-US"/>
        </w:rPr>
      </w:pPr>
    </w:p>
    <w:p w14:paraId="182F62BB" w14:textId="77777777" w:rsidR="006D228A" w:rsidRPr="00EA6C7A" w:rsidRDefault="00B26BF3" w:rsidP="00077D21">
      <w:pPr>
        <w:pStyle w:val="PrrafodeSentencia"/>
        <w:rPr>
          <w:lang w:val="en-US"/>
        </w:rPr>
      </w:pPr>
      <w:r w:rsidRPr="00EA6C7A">
        <w:rPr>
          <w:lang w:val="en-US"/>
        </w:rPr>
        <w:t>In its case law, t</w:t>
      </w:r>
      <w:r w:rsidR="0096418F" w:rsidRPr="00EA6C7A">
        <w:rPr>
          <w:lang w:val="en-US"/>
        </w:rPr>
        <w:t>he Court</w:t>
      </w:r>
      <w:r w:rsidR="006D228A" w:rsidRPr="00EA6C7A">
        <w:rPr>
          <w:lang w:val="en-US"/>
        </w:rPr>
        <w:t xml:space="preserve"> ha</w:t>
      </w:r>
      <w:r w:rsidRPr="00EA6C7A">
        <w:rPr>
          <w:lang w:val="en-US"/>
        </w:rPr>
        <w:t>s developed the concept of pecuniary damage and has established that this supposes “the loss or detriment to the earnings of victims, the expenses incurred as a result of the facts, and the consequences of a pecuniary nature that have a causal nexus to the facts of the case.</w:t>
      </w:r>
      <w:r w:rsidR="006D228A" w:rsidRPr="00EA6C7A">
        <w:rPr>
          <w:lang w:val="en-US"/>
        </w:rPr>
        <w:t>”</w:t>
      </w:r>
      <w:r w:rsidR="006D228A" w:rsidRPr="00EA6C7A">
        <w:rPr>
          <w:rStyle w:val="Refdenotaalpie"/>
          <w:lang w:val="en-US"/>
        </w:rPr>
        <w:footnoteReference w:id="356"/>
      </w:r>
      <w:r w:rsidR="006D228A" w:rsidRPr="00EA6C7A">
        <w:rPr>
          <w:lang w:val="en-US"/>
        </w:rPr>
        <w:t xml:space="preserve">  </w:t>
      </w:r>
    </w:p>
    <w:p w14:paraId="6CEB562E" w14:textId="77777777" w:rsidR="006D228A" w:rsidRPr="00EA6C7A" w:rsidRDefault="006D228A" w:rsidP="006D228A">
      <w:pPr>
        <w:pStyle w:val="Prrafodelista"/>
        <w:spacing w:after="0" w:line="240" w:lineRule="auto"/>
        <w:ind w:right="-174"/>
        <w:jc w:val="both"/>
        <w:rPr>
          <w:rFonts w:ascii="Verdana" w:hAnsi="Verdana"/>
          <w:sz w:val="20"/>
          <w:szCs w:val="20"/>
          <w:lang w:val="en-US"/>
        </w:rPr>
      </w:pPr>
    </w:p>
    <w:p w14:paraId="1B561009" w14:textId="77777777" w:rsidR="006D228A" w:rsidRPr="00EA6C7A" w:rsidRDefault="00B26BF3" w:rsidP="00077D21">
      <w:pPr>
        <w:pStyle w:val="PrrafodeSentencia"/>
        <w:rPr>
          <w:lang w:val="en-US"/>
        </w:rPr>
      </w:pPr>
      <w:r w:rsidRPr="00EA6C7A">
        <w:rPr>
          <w:lang w:val="en-US"/>
        </w:rPr>
        <w:t xml:space="preserve">With regard to the alleged loss of earnings of </w:t>
      </w:r>
      <w:r w:rsidR="006D228A" w:rsidRPr="00EA6C7A">
        <w:rPr>
          <w:bCs/>
          <w:lang w:val="en-US"/>
        </w:rPr>
        <w:t>Jorge Rolando Velásquez Durán,</w:t>
      </w:r>
      <w:r w:rsidR="006D228A" w:rsidRPr="00EA6C7A">
        <w:rPr>
          <w:lang w:val="en-US"/>
        </w:rPr>
        <w:t xml:space="preserve"> </w:t>
      </w:r>
      <w:r w:rsidR="0096418F" w:rsidRPr="00EA6C7A">
        <w:rPr>
          <w:lang w:val="en-US"/>
        </w:rPr>
        <w:t>the Court</w:t>
      </w:r>
      <w:r w:rsidR="006D228A" w:rsidRPr="00EA6C7A">
        <w:rPr>
          <w:lang w:val="en-US"/>
        </w:rPr>
        <w:t xml:space="preserve"> </w:t>
      </w:r>
      <w:r w:rsidRPr="00EA6C7A">
        <w:rPr>
          <w:lang w:val="en-US"/>
        </w:rPr>
        <w:t xml:space="preserve">notes that </w:t>
      </w:r>
      <w:r w:rsidR="00E43A75" w:rsidRPr="00EA6C7A">
        <w:rPr>
          <w:lang w:val="en-US"/>
        </w:rPr>
        <w:t>the representatives</w:t>
      </w:r>
      <w:r w:rsidR="006D228A" w:rsidRPr="00EA6C7A">
        <w:rPr>
          <w:lang w:val="en-US"/>
        </w:rPr>
        <w:t xml:space="preserve"> present</w:t>
      </w:r>
      <w:r w:rsidRPr="00EA6C7A">
        <w:rPr>
          <w:lang w:val="en-US"/>
        </w:rPr>
        <w:t xml:space="preserve">ed as evidence a document drawn up by a public accountant in which “he certifies” that, as a result of the violent death of his daughter, </w:t>
      </w:r>
      <w:r w:rsidR="006D228A" w:rsidRPr="00EA6C7A">
        <w:rPr>
          <w:rFonts w:eastAsia="Calibri" w:cs="Trebuchet MS"/>
          <w:lang w:val="en-US" w:eastAsia="en-US"/>
        </w:rPr>
        <w:t>Claudina Isabel Velásquez Paiz, [</w:t>
      </w:r>
      <w:r w:rsidR="00BB5015" w:rsidRPr="00EA6C7A">
        <w:rPr>
          <w:rFonts w:eastAsia="Calibri" w:cs="Trebuchet MS"/>
          <w:lang w:val="en-US" w:eastAsia="en-US"/>
        </w:rPr>
        <w:t>Mr. Velásquez</w:t>
      </w:r>
      <w:r w:rsidR="006D228A" w:rsidRPr="00EA6C7A">
        <w:rPr>
          <w:bCs/>
          <w:lang w:val="en-US"/>
        </w:rPr>
        <w:t xml:space="preserve"> Durán</w:t>
      </w:r>
      <w:r w:rsidR="006D228A" w:rsidRPr="00EA6C7A">
        <w:rPr>
          <w:lang w:val="en-US"/>
        </w:rPr>
        <w:t xml:space="preserve">] </w:t>
      </w:r>
      <w:r w:rsidRPr="00EA6C7A">
        <w:rPr>
          <w:rFonts w:eastAsia="Calibri" w:cs="Trebuchet MS"/>
          <w:lang w:val="en-US" w:eastAsia="en-US"/>
        </w:rPr>
        <w:t>was obliged to abandon his company from which he obtained an income […] to devote himself to managing [the] investigation in person</w:t>
      </w:r>
      <w:r w:rsidR="006D228A" w:rsidRPr="00EA6C7A">
        <w:rPr>
          <w:rFonts w:eastAsia="Calibri" w:cs="Trebuchet MS"/>
          <w:lang w:val="en-US" w:eastAsia="en-US"/>
        </w:rPr>
        <w:t xml:space="preserve">, […] </w:t>
      </w:r>
      <w:r w:rsidRPr="00EA6C7A">
        <w:rPr>
          <w:rFonts w:eastAsia="Calibri" w:cs="Trebuchet MS"/>
          <w:lang w:val="en-US" w:eastAsia="en-US"/>
        </w:rPr>
        <w:t xml:space="preserve">abandoning his business activities, from which he estimates that he derived an income” of </w:t>
      </w:r>
      <w:r w:rsidRPr="00EA6C7A">
        <w:rPr>
          <w:lang w:val="en-US"/>
        </w:rPr>
        <w:t xml:space="preserve"> </w:t>
      </w:r>
      <w:r w:rsidR="007D4A03" w:rsidRPr="00EA6C7A">
        <w:rPr>
          <w:rFonts w:eastAsia="Calibri" w:cs="Trebuchet MS"/>
          <w:bCs/>
          <w:lang w:val="en-US" w:eastAsia="en-US"/>
        </w:rPr>
        <w:t>US$</w:t>
      </w:r>
      <w:r w:rsidR="006D228A" w:rsidRPr="00EA6C7A">
        <w:rPr>
          <w:rFonts w:eastAsia="Calibri" w:cs="Trebuchet MS"/>
          <w:bCs/>
          <w:lang w:val="en-US" w:eastAsia="en-US"/>
        </w:rPr>
        <w:t xml:space="preserve">588,031.44 </w:t>
      </w:r>
      <w:r w:rsidR="006D228A" w:rsidRPr="00EA6C7A">
        <w:rPr>
          <w:rFonts w:eastAsia="Calibri" w:cs="Trebuchet MS"/>
          <w:lang w:val="en-US" w:eastAsia="en-US"/>
        </w:rPr>
        <w:t>(</w:t>
      </w:r>
      <w:r w:rsidRPr="00EA6C7A">
        <w:rPr>
          <w:rFonts w:eastAsia="Calibri" w:cs="Trebuchet MS"/>
          <w:lang w:val="en-US" w:eastAsia="en-US"/>
        </w:rPr>
        <w:t xml:space="preserve">five </w:t>
      </w:r>
      <w:r w:rsidR="008C4FF3" w:rsidRPr="00EA6C7A">
        <w:rPr>
          <w:rFonts w:eastAsia="Calibri" w:cs="Trebuchet MS"/>
          <w:lang w:val="en-US" w:eastAsia="en-US"/>
        </w:rPr>
        <w:t>hundred</w:t>
      </w:r>
      <w:r w:rsidRPr="00EA6C7A">
        <w:rPr>
          <w:rFonts w:eastAsia="Calibri" w:cs="Trebuchet MS"/>
          <w:lang w:val="en-US" w:eastAsia="en-US"/>
        </w:rPr>
        <w:t xml:space="preserve"> and eighty-eight thousand and thirty-one United States dollars  and forty-four cents).</w:t>
      </w:r>
      <w:r w:rsidR="006D228A" w:rsidRPr="00EA6C7A">
        <w:rPr>
          <w:rStyle w:val="Refdenotaalpie"/>
          <w:lang w:val="en-US"/>
        </w:rPr>
        <w:footnoteReference w:id="357"/>
      </w:r>
      <w:r w:rsidRPr="00EA6C7A">
        <w:rPr>
          <w:rFonts w:eastAsia="Calibri" w:cs="Trebuchet MS"/>
          <w:bCs/>
          <w:lang w:val="en-US" w:eastAsia="en-US"/>
        </w:rPr>
        <w:t xml:space="preserve"> Similarly, regarding the compensation for lo</w:t>
      </w:r>
      <w:r w:rsidR="00390F18" w:rsidRPr="00EA6C7A">
        <w:rPr>
          <w:rFonts w:eastAsia="Calibri" w:cs="Trebuchet MS"/>
          <w:bCs/>
          <w:lang w:val="en-US" w:eastAsia="en-US"/>
        </w:rPr>
        <w:t>s</w:t>
      </w:r>
      <w:r w:rsidRPr="00EA6C7A">
        <w:rPr>
          <w:rFonts w:eastAsia="Calibri" w:cs="Trebuchet MS"/>
          <w:bCs/>
          <w:lang w:val="en-US" w:eastAsia="en-US"/>
        </w:rPr>
        <w:t>s of earnings</w:t>
      </w:r>
      <w:r w:rsidR="006D228A" w:rsidRPr="00EA6C7A">
        <w:rPr>
          <w:lang w:val="en-US"/>
        </w:rPr>
        <w:t xml:space="preserve"> </w:t>
      </w:r>
      <w:r w:rsidR="00A75E49" w:rsidRPr="00EA6C7A">
        <w:rPr>
          <w:lang w:val="en-US"/>
        </w:rPr>
        <w:t>in favor of</w:t>
      </w:r>
      <w:r w:rsidR="006D228A" w:rsidRPr="00EA6C7A">
        <w:rPr>
          <w:lang w:val="en-US"/>
        </w:rPr>
        <w:t xml:space="preserve"> Claudina Isabel Velásquez Paiz, </w:t>
      </w:r>
      <w:r w:rsidR="0096418F" w:rsidRPr="00EA6C7A">
        <w:rPr>
          <w:rFonts w:eastAsia="Calibri"/>
          <w:lang w:val="en-US" w:eastAsia="en-US"/>
        </w:rPr>
        <w:t>the Court</w:t>
      </w:r>
      <w:r w:rsidR="006D228A" w:rsidRPr="00EA6C7A">
        <w:rPr>
          <w:rFonts w:eastAsia="Calibri"/>
          <w:lang w:val="en-US" w:eastAsia="en-US"/>
        </w:rPr>
        <w:t xml:space="preserve"> </w:t>
      </w:r>
      <w:r w:rsidRPr="00EA6C7A">
        <w:rPr>
          <w:rFonts w:eastAsia="Calibri"/>
          <w:lang w:val="en-US" w:eastAsia="en-US"/>
        </w:rPr>
        <w:t xml:space="preserve">notes that </w:t>
      </w:r>
      <w:r w:rsidR="00E43A75" w:rsidRPr="00EA6C7A">
        <w:rPr>
          <w:rFonts w:eastAsia="Calibri"/>
          <w:lang w:val="en-US" w:eastAsia="en-US"/>
        </w:rPr>
        <w:t>the representatives</w:t>
      </w:r>
      <w:r w:rsidR="00390F18" w:rsidRPr="00EA6C7A">
        <w:rPr>
          <w:rFonts w:eastAsia="Calibri"/>
          <w:lang w:val="en-US" w:eastAsia="en-US"/>
        </w:rPr>
        <w:t xml:space="preserve"> presented</w:t>
      </w:r>
      <w:r w:rsidR="006D228A" w:rsidRPr="00EA6C7A">
        <w:rPr>
          <w:rFonts w:eastAsia="Calibri"/>
          <w:lang w:val="en-US" w:eastAsia="en-US"/>
        </w:rPr>
        <w:t xml:space="preserve"> </w:t>
      </w:r>
      <w:r w:rsidRPr="00EA6C7A">
        <w:rPr>
          <w:lang w:val="en-US"/>
        </w:rPr>
        <w:t xml:space="preserve">a document drawn up by a public accountant in which “he certifies” that “according to a declaration by </w:t>
      </w:r>
      <w:r w:rsidR="009532CF" w:rsidRPr="00EA6C7A">
        <w:rPr>
          <w:rFonts w:eastAsia="Calibri" w:cs="Trebuchet MS"/>
          <w:lang w:val="en-US" w:eastAsia="en-US"/>
        </w:rPr>
        <w:t xml:space="preserve">the </w:t>
      </w:r>
      <w:r w:rsidR="00123BD3" w:rsidRPr="00EA6C7A">
        <w:rPr>
          <w:rFonts w:eastAsia="Calibri" w:cs="Trebuchet MS"/>
          <w:lang w:val="en-US" w:eastAsia="en-US"/>
        </w:rPr>
        <w:t>next of kin of</w:t>
      </w:r>
      <w:r w:rsidR="006D228A" w:rsidRPr="00EA6C7A">
        <w:rPr>
          <w:rFonts w:eastAsia="Calibri" w:cs="Trebuchet MS"/>
          <w:lang w:val="en-US" w:eastAsia="en-US"/>
        </w:rPr>
        <w:t xml:space="preserve"> […]</w:t>
      </w:r>
      <w:r w:rsidR="006D228A" w:rsidRPr="00EA6C7A">
        <w:rPr>
          <w:rFonts w:eastAsia="Calibri" w:cs="Trebuchet MS"/>
          <w:bCs/>
          <w:lang w:val="en-US" w:eastAsia="en-US"/>
        </w:rPr>
        <w:t xml:space="preserve"> Claudina Isabel Velásquez Paiz</w:t>
      </w:r>
      <w:r w:rsidRPr="00EA6C7A">
        <w:rPr>
          <w:rFonts w:eastAsia="Calibri" w:cs="Trebuchet MS"/>
          <w:bCs/>
          <w:lang w:val="en-US" w:eastAsia="en-US"/>
        </w:rPr>
        <w:t>,</w:t>
      </w:r>
      <w:r w:rsidR="006D228A" w:rsidRPr="00EA6C7A">
        <w:rPr>
          <w:rFonts w:eastAsia="Calibri" w:cs="Trebuchet MS"/>
          <w:bCs/>
          <w:lang w:val="en-US" w:eastAsia="en-US"/>
        </w:rPr>
        <w:t>”</w:t>
      </w:r>
      <w:r w:rsidR="006D228A" w:rsidRPr="00EA6C7A">
        <w:rPr>
          <w:rFonts w:eastAsia="Calibri" w:cs="Trebuchet MS"/>
          <w:lang w:val="en-US" w:eastAsia="en-US"/>
        </w:rPr>
        <w:t xml:space="preserve"> </w:t>
      </w:r>
      <w:r w:rsidRPr="00EA6C7A">
        <w:rPr>
          <w:rFonts w:eastAsia="Calibri" w:cs="Trebuchet MS"/>
          <w:lang w:val="en-US" w:eastAsia="en-US"/>
        </w:rPr>
        <w:t xml:space="preserve">the global sum </w:t>
      </w:r>
      <w:r w:rsidR="00D42FE7" w:rsidRPr="00EA6C7A">
        <w:rPr>
          <w:rFonts w:eastAsia="Calibri" w:cs="Trebuchet MS"/>
          <w:lang w:val="en-US" w:eastAsia="en-US"/>
        </w:rPr>
        <w:t xml:space="preserve">determined </w:t>
      </w:r>
      <w:r w:rsidRPr="00EA6C7A">
        <w:rPr>
          <w:rFonts w:eastAsia="Calibri" w:cs="Trebuchet MS"/>
          <w:lang w:val="en-US" w:eastAsia="en-US"/>
        </w:rPr>
        <w:t xml:space="preserve">amounted to </w:t>
      </w:r>
      <w:r w:rsidR="007D4A03" w:rsidRPr="00EA6C7A">
        <w:rPr>
          <w:rFonts w:eastAsia="Calibri" w:cs="Trebuchet MS"/>
          <w:bCs/>
          <w:lang w:val="en-US" w:eastAsia="en-US"/>
        </w:rPr>
        <w:t>US$</w:t>
      </w:r>
      <w:r w:rsidR="006D228A" w:rsidRPr="00EA6C7A">
        <w:rPr>
          <w:rFonts w:eastAsia="Calibri" w:cs="Trebuchet MS"/>
          <w:bCs/>
          <w:lang w:val="en-US" w:eastAsia="en-US"/>
        </w:rPr>
        <w:t xml:space="preserve">692,424.44 </w:t>
      </w:r>
      <w:r w:rsidR="006D228A" w:rsidRPr="00EA6C7A">
        <w:rPr>
          <w:rFonts w:eastAsia="Calibri" w:cs="Trebuchet MS"/>
          <w:lang w:val="en-US" w:eastAsia="en-US"/>
        </w:rPr>
        <w:t>(</w:t>
      </w:r>
      <w:r w:rsidRPr="00EA6C7A">
        <w:rPr>
          <w:rFonts w:eastAsia="Calibri" w:cs="Trebuchet MS"/>
          <w:lang w:val="en-US" w:eastAsia="en-US"/>
        </w:rPr>
        <w:t>six hundred and ninety-two thousand four hundred and twenty-four United States dollars and forty-four cents</w:t>
      </w:r>
      <w:r w:rsidR="006D228A" w:rsidRPr="00EA6C7A">
        <w:rPr>
          <w:rFonts w:eastAsia="Calibri" w:cs="Trebuchet MS"/>
          <w:lang w:val="en-US" w:eastAsia="en-US"/>
        </w:rPr>
        <w:t xml:space="preserve">), </w:t>
      </w:r>
      <w:r w:rsidRPr="00EA6C7A">
        <w:rPr>
          <w:rFonts w:eastAsia="Calibri" w:cs="Trebuchet MS"/>
          <w:lang w:val="en-US" w:eastAsia="en-US"/>
        </w:rPr>
        <w:t>for the “total annually</w:t>
      </w:r>
      <w:r w:rsidR="00D42FE7" w:rsidRPr="00EA6C7A">
        <w:rPr>
          <w:rFonts w:eastAsia="Calibri" w:cs="Trebuchet MS"/>
          <w:lang w:val="en-US" w:eastAsia="en-US"/>
        </w:rPr>
        <w:t>-</w:t>
      </w:r>
      <w:r w:rsidRPr="00EA6C7A">
        <w:rPr>
          <w:rFonts w:eastAsia="Calibri" w:cs="Trebuchet MS"/>
          <w:lang w:val="en-US" w:eastAsia="en-US"/>
        </w:rPr>
        <w:t>increasing income expected over the period that Claudina Isabel Velásquez Paiz would have been economically active</w:t>
      </w:r>
      <w:r w:rsidR="006D228A" w:rsidRPr="00EA6C7A">
        <w:rPr>
          <w:rFonts w:eastAsia="Calibri" w:cs="Trebuchet MS"/>
          <w:lang w:val="en-US" w:eastAsia="en-US"/>
        </w:rPr>
        <w:t xml:space="preserve">, </w:t>
      </w:r>
      <w:r w:rsidRPr="00EA6C7A">
        <w:rPr>
          <w:rFonts w:eastAsia="Calibri" w:cs="Trebuchet MS"/>
          <w:lang w:val="en-US" w:eastAsia="en-US"/>
        </w:rPr>
        <w:t>starting at 25 years of age (the date that her economically active professional life would have started), and ending at 75 years of age (the generally accepted age of retirement for an independent professional</w:t>
      </w:r>
      <w:r w:rsidR="006D228A" w:rsidRPr="00EA6C7A">
        <w:rPr>
          <w:rFonts w:eastAsia="Calibri" w:cs="Trebuchet MS"/>
          <w:lang w:val="en-US" w:eastAsia="en-US"/>
        </w:rPr>
        <w:t>)</w:t>
      </w:r>
      <w:r w:rsidRPr="00EA6C7A">
        <w:rPr>
          <w:rFonts w:eastAsia="Calibri" w:cs="Trebuchet MS"/>
          <w:lang w:val="en-US" w:eastAsia="en-US"/>
        </w:rPr>
        <w:t>.</w:t>
      </w:r>
      <w:r w:rsidR="006D228A" w:rsidRPr="00EA6C7A">
        <w:rPr>
          <w:rFonts w:eastAsia="Calibri" w:cs="Trebuchet MS"/>
          <w:lang w:val="en-US" w:eastAsia="en-US"/>
        </w:rPr>
        <w:t>”</w:t>
      </w:r>
      <w:r w:rsidR="006D228A" w:rsidRPr="00EA6C7A">
        <w:rPr>
          <w:rStyle w:val="Refdenotaalpie"/>
          <w:lang w:val="en-US"/>
        </w:rPr>
        <w:footnoteReference w:id="358"/>
      </w:r>
      <w:r w:rsidRPr="00EA6C7A">
        <w:rPr>
          <w:rFonts w:eastAsia="Calibri" w:cs="Trebuchet MS"/>
          <w:lang w:val="en-US" w:eastAsia="en-US"/>
        </w:rPr>
        <w:t xml:space="preserve"> In this regard, the Court notes that the amounts established by the public accountant who prepared these documents on loss of earnings </w:t>
      </w:r>
      <w:r w:rsidRPr="00EA6C7A">
        <w:rPr>
          <w:lang w:val="en-US"/>
        </w:rPr>
        <w:t>in favor of Claudina Velásquez and her father were apparently based on declarations and calculations of Claudina Velásquez’s family</w:t>
      </w:r>
      <w:r w:rsidR="00D42FE7" w:rsidRPr="00EA6C7A">
        <w:rPr>
          <w:lang w:val="en-US"/>
        </w:rPr>
        <w:t xml:space="preserve"> and the accountant himself</w:t>
      </w:r>
      <w:r w:rsidRPr="00EA6C7A">
        <w:rPr>
          <w:lang w:val="en-US"/>
        </w:rPr>
        <w:t xml:space="preserve">. In other words, there is no record that, to arrive at these </w:t>
      </w:r>
      <w:r w:rsidRPr="00EA6C7A">
        <w:rPr>
          <w:lang w:val="en-US"/>
        </w:rPr>
        <w:lastRenderedPageBreak/>
        <w:t>amounts, the accountant based himself on documents that prove</w:t>
      </w:r>
      <w:r w:rsidR="00D42FE7" w:rsidRPr="00EA6C7A">
        <w:rPr>
          <w:lang w:val="en-US"/>
        </w:rPr>
        <w:t>d</w:t>
      </w:r>
      <w:r w:rsidRPr="00EA6C7A">
        <w:rPr>
          <w:lang w:val="en-US"/>
        </w:rPr>
        <w:t xml:space="preserve"> the income derived from Mr. Velásquez Durán’s commercial activities in the past or, in the case of Claudina Velásquez, on any document that indicate</w:t>
      </w:r>
      <w:r w:rsidR="00D42FE7" w:rsidRPr="00EA6C7A">
        <w:rPr>
          <w:lang w:val="en-US"/>
        </w:rPr>
        <w:t>d</w:t>
      </w:r>
      <w:r w:rsidRPr="00EA6C7A">
        <w:rPr>
          <w:lang w:val="en-US"/>
        </w:rPr>
        <w:t xml:space="preserve"> the probable earnings of a lawyer in Guatemala. Nevertheless, from the statements made by </w:t>
      </w:r>
      <w:r w:rsidR="006D228A" w:rsidRPr="00EA6C7A">
        <w:rPr>
          <w:lang w:val="en-US"/>
        </w:rPr>
        <w:t>Jorge Velásquez Durán,</w:t>
      </w:r>
      <w:r w:rsidR="006D228A" w:rsidRPr="00EA6C7A">
        <w:rPr>
          <w:bCs/>
          <w:lang w:val="en-US"/>
        </w:rPr>
        <w:t xml:space="preserve"> Elsa Claudina Paiz Vidal</w:t>
      </w:r>
      <w:r w:rsidR="00D948A1" w:rsidRPr="00EA6C7A">
        <w:rPr>
          <w:bCs/>
          <w:lang w:val="en-US"/>
        </w:rPr>
        <w:t xml:space="preserve"> and </w:t>
      </w:r>
      <w:r w:rsidR="006D228A" w:rsidRPr="00EA6C7A">
        <w:rPr>
          <w:lang w:val="en-US"/>
        </w:rPr>
        <w:t>Pablo Andrés Velásquez Paiz</w:t>
      </w:r>
      <w:r w:rsidRPr="00EA6C7A">
        <w:rPr>
          <w:lang w:val="en-US"/>
        </w:rPr>
        <w:t>,</w:t>
      </w:r>
      <w:r w:rsidR="006D228A" w:rsidRPr="00EA6C7A">
        <w:rPr>
          <w:rStyle w:val="Refdenotaalpie"/>
          <w:lang w:val="en-US"/>
        </w:rPr>
        <w:footnoteReference w:id="359"/>
      </w:r>
      <w:r w:rsidRPr="00EA6C7A">
        <w:rPr>
          <w:lang w:val="en-US"/>
        </w:rPr>
        <w:t xml:space="preserve"> it can be concluded that, for an indeterminate time,</w:t>
      </w:r>
      <w:r w:rsidR="006D228A" w:rsidRPr="00EA6C7A">
        <w:rPr>
          <w:lang w:val="en-US"/>
        </w:rPr>
        <w:t xml:space="preserve"> </w:t>
      </w:r>
      <w:r w:rsidR="00BB5015" w:rsidRPr="00EA6C7A">
        <w:rPr>
          <w:lang w:val="en-US"/>
        </w:rPr>
        <w:t>Mr. Velásquez</w:t>
      </w:r>
      <w:r w:rsidR="006D228A" w:rsidRPr="00EA6C7A">
        <w:rPr>
          <w:rFonts w:eastAsia="Calibri" w:cs="Trebuchet MS"/>
          <w:bCs/>
          <w:lang w:val="en-US" w:eastAsia="en-US"/>
        </w:rPr>
        <w:t xml:space="preserve"> Durán</w:t>
      </w:r>
      <w:r w:rsidR="006D228A" w:rsidRPr="00EA6C7A">
        <w:rPr>
          <w:lang w:val="en-US"/>
        </w:rPr>
        <w:t xml:space="preserve"> </w:t>
      </w:r>
      <w:r w:rsidRPr="00EA6C7A">
        <w:rPr>
          <w:lang w:val="en-US"/>
        </w:rPr>
        <w:t xml:space="preserve">devoted himself to expediting the investigation into his daughter’s death. In the case of Claudina Isabel Velásquez Paiz, it is uncontested that she was a young law student at the Universidad de San Carlos de Guatemala. Consequently, the Court establishes, in equity, </w:t>
      </w:r>
      <w:r w:rsidR="00D42FE7" w:rsidRPr="00EA6C7A">
        <w:rPr>
          <w:lang w:val="en-US"/>
        </w:rPr>
        <w:t xml:space="preserve">the sums </w:t>
      </w:r>
      <w:r w:rsidRPr="00EA6C7A">
        <w:rPr>
          <w:lang w:val="en-US"/>
        </w:rPr>
        <w:t xml:space="preserve">of </w:t>
      </w:r>
      <w:r w:rsidR="007D4A03" w:rsidRPr="00EA6C7A">
        <w:rPr>
          <w:bCs/>
          <w:lang w:val="en-US"/>
        </w:rPr>
        <w:t>US$</w:t>
      </w:r>
      <w:r w:rsidR="006D228A" w:rsidRPr="00EA6C7A">
        <w:rPr>
          <w:bCs/>
          <w:lang w:val="en-US"/>
        </w:rPr>
        <w:t>10</w:t>
      </w:r>
      <w:r w:rsidR="007D4A03" w:rsidRPr="00EA6C7A">
        <w:rPr>
          <w:bCs/>
          <w:lang w:val="en-US"/>
        </w:rPr>
        <w:t>,000.00</w:t>
      </w:r>
      <w:r w:rsidR="006D228A" w:rsidRPr="00EA6C7A">
        <w:rPr>
          <w:lang w:val="en-US"/>
        </w:rPr>
        <w:t xml:space="preserve"> (</w:t>
      </w:r>
      <w:r w:rsidRPr="00EA6C7A">
        <w:rPr>
          <w:lang w:val="en-US"/>
        </w:rPr>
        <w:t>ten</w:t>
      </w:r>
      <w:r w:rsidR="006D228A" w:rsidRPr="00EA6C7A">
        <w:rPr>
          <w:lang w:val="en-US"/>
        </w:rPr>
        <w:t xml:space="preserve"> </w:t>
      </w:r>
      <w:r w:rsidR="007D4A03" w:rsidRPr="00EA6C7A">
        <w:rPr>
          <w:lang w:val="en-US"/>
        </w:rPr>
        <w:t>thousand United States dollars</w:t>
      </w:r>
      <w:r w:rsidR="006D228A" w:rsidRPr="00EA6C7A">
        <w:rPr>
          <w:lang w:val="en-US"/>
        </w:rPr>
        <w:t xml:space="preserve">) </w:t>
      </w:r>
      <w:r w:rsidRPr="00EA6C7A">
        <w:rPr>
          <w:lang w:val="en-US"/>
        </w:rPr>
        <w:t xml:space="preserve">for loss of earnings </w:t>
      </w:r>
      <w:r w:rsidR="00A75E49" w:rsidRPr="00EA6C7A">
        <w:rPr>
          <w:lang w:val="en-US"/>
        </w:rPr>
        <w:t>in favor of</w:t>
      </w:r>
      <w:r w:rsidR="006D228A" w:rsidRPr="00EA6C7A">
        <w:rPr>
          <w:lang w:val="en-US"/>
        </w:rPr>
        <w:t xml:space="preserve"> </w:t>
      </w:r>
      <w:r w:rsidR="006D228A" w:rsidRPr="00EA6C7A">
        <w:rPr>
          <w:bCs/>
          <w:lang w:val="en-US"/>
        </w:rPr>
        <w:t>Jorge Rolando Velásquez Durán</w:t>
      </w:r>
      <w:r w:rsidR="00D948A1" w:rsidRPr="00EA6C7A">
        <w:rPr>
          <w:lang w:val="en-US"/>
        </w:rPr>
        <w:t xml:space="preserve"> and </w:t>
      </w:r>
      <w:r w:rsidR="007D4A03" w:rsidRPr="00EA6C7A">
        <w:rPr>
          <w:bCs/>
          <w:lang w:val="en-US"/>
        </w:rPr>
        <w:t>US$</w:t>
      </w:r>
      <w:r w:rsidR="006D228A" w:rsidRPr="00EA6C7A">
        <w:rPr>
          <w:bCs/>
          <w:lang w:val="en-US"/>
        </w:rPr>
        <w:t>145</w:t>
      </w:r>
      <w:r w:rsidRPr="00EA6C7A">
        <w:rPr>
          <w:bCs/>
          <w:lang w:val="en-US"/>
        </w:rPr>
        <w:t>,</w:t>
      </w:r>
      <w:r w:rsidR="006D228A" w:rsidRPr="00EA6C7A">
        <w:rPr>
          <w:bCs/>
          <w:lang w:val="en-US"/>
        </w:rPr>
        <w:t>500</w:t>
      </w:r>
      <w:r w:rsidRPr="00EA6C7A">
        <w:rPr>
          <w:bCs/>
          <w:lang w:val="en-US"/>
        </w:rPr>
        <w:t>.</w:t>
      </w:r>
      <w:r w:rsidR="006D228A" w:rsidRPr="00EA6C7A">
        <w:rPr>
          <w:bCs/>
          <w:lang w:val="en-US"/>
        </w:rPr>
        <w:t>00</w:t>
      </w:r>
      <w:r w:rsidR="006D228A" w:rsidRPr="00EA6C7A">
        <w:rPr>
          <w:lang w:val="en-US"/>
        </w:rPr>
        <w:t xml:space="preserve"> (</w:t>
      </w:r>
      <w:r w:rsidRPr="00EA6C7A">
        <w:rPr>
          <w:lang w:val="en-US"/>
        </w:rPr>
        <w:t xml:space="preserve">one hundred and forty-five thousand five hundred </w:t>
      </w:r>
      <w:r w:rsidR="007D4A03" w:rsidRPr="00EA6C7A">
        <w:rPr>
          <w:lang w:val="en-US"/>
        </w:rPr>
        <w:t>United States dollars</w:t>
      </w:r>
      <w:r w:rsidR="006D228A" w:rsidRPr="00EA6C7A">
        <w:rPr>
          <w:lang w:val="en-US"/>
        </w:rPr>
        <w:t xml:space="preserve">) </w:t>
      </w:r>
      <w:r w:rsidR="00A75E49" w:rsidRPr="00EA6C7A">
        <w:rPr>
          <w:lang w:val="en-US"/>
        </w:rPr>
        <w:t>in favor of</w:t>
      </w:r>
      <w:r w:rsidR="006D228A" w:rsidRPr="00EA6C7A">
        <w:rPr>
          <w:lang w:val="en-US"/>
        </w:rPr>
        <w:t xml:space="preserve"> Claudina Isabel Velásquez Paiz </w:t>
      </w:r>
      <w:r w:rsidRPr="00EA6C7A">
        <w:rPr>
          <w:lang w:val="en-US"/>
        </w:rPr>
        <w:t>for the same concept</w:t>
      </w:r>
      <w:r w:rsidR="006D228A" w:rsidRPr="00EA6C7A">
        <w:rPr>
          <w:lang w:val="en-US"/>
        </w:rPr>
        <w:t xml:space="preserve">. </w:t>
      </w:r>
      <w:r w:rsidRPr="00EA6C7A">
        <w:rPr>
          <w:lang w:val="en-US"/>
        </w:rPr>
        <w:t xml:space="preserve">The amount established </w:t>
      </w:r>
      <w:r w:rsidR="00A75E49" w:rsidRPr="00EA6C7A">
        <w:rPr>
          <w:lang w:val="en-US"/>
        </w:rPr>
        <w:t>in favor of</w:t>
      </w:r>
      <w:r w:rsidR="006D228A" w:rsidRPr="00EA6C7A">
        <w:rPr>
          <w:lang w:val="en-US"/>
        </w:rPr>
        <w:t xml:space="preserve"> Claudina Velásquez Paiz </w:t>
      </w:r>
      <w:r w:rsidRPr="00EA6C7A">
        <w:rPr>
          <w:lang w:val="en-US"/>
        </w:rPr>
        <w:t xml:space="preserve">shall be divided equally </w:t>
      </w:r>
      <w:r w:rsidR="00C60C0F" w:rsidRPr="00EA6C7A">
        <w:rPr>
          <w:lang w:val="en-US"/>
        </w:rPr>
        <w:t>between</w:t>
      </w:r>
      <w:r w:rsidRPr="00EA6C7A">
        <w:rPr>
          <w:lang w:val="en-US"/>
        </w:rPr>
        <w:t xml:space="preserve">, and delivered to, </w:t>
      </w:r>
      <w:r w:rsidR="006D228A" w:rsidRPr="00EA6C7A">
        <w:rPr>
          <w:lang w:val="en-US"/>
        </w:rPr>
        <w:t>Jorge Rolando Velásquez Durán, Elsa Claudina Paiz Vidal</w:t>
      </w:r>
      <w:r w:rsidR="00D948A1" w:rsidRPr="00EA6C7A">
        <w:rPr>
          <w:lang w:val="en-US"/>
        </w:rPr>
        <w:t xml:space="preserve"> and </w:t>
      </w:r>
      <w:r w:rsidR="006D228A" w:rsidRPr="00EA6C7A">
        <w:rPr>
          <w:lang w:val="en-US"/>
        </w:rPr>
        <w:t>Pablo Andrés Velásquez Paiz.</w:t>
      </w:r>
    </w:p>
    <w:p w14:paraId="4FB1DD58" w14:textId="77777777" w:rsidR="006D228A" w:rsidRPr="00EA6C7A" w:rsidRDefault="006D228A" w:rsidP="006D228A">
      <w:pPr>
        <w:autoSpaceDE w:val="0"/>
        <w:autoSpaceDN w:val="0"/>
        <w:adjustRightInd w:val="0"/>
        <w:spacing w:after="0" w:line="240" w:lineRule="auto"/>
        <w:jc w:val="both"/>
        <w:rPr>
          <w:rFonts w:ascii="Verdana" w:eastAsia="Calibri" w:hAnsi="Verdana" w:cs="Trebuchet MS"/>
          <w:sz w:val="20"/>
          <w:szCs w:val="20"/>
          <w:lang w:val="en-US"/>
        </w:rPr>
      </w:pPr>
    </w:p>
    <w:p w14:paraId="75855C05" w14:textId="77777777" w:rsidR="006D228A" w:rsidRPr="00EA6C7A" w:rsidRDefault="00C60C0F" w:rsidP="00077D21">
      <w:pPr>
        <w:pStyle w:val="PrrafodeSentencia"/>
        <w:rPr>
          <w:lang w:val="en-US"/>
        </w:rPr>
      </w:pPr>
      <w:r w:rsidRPr="00EA6C7A">
        <w:rPr>
          <w:lang w:val="en-US"/>
        </w:rPr>
        <w:t>With regard to the amounts for indirect damage</w:t>
      </w:r>
      <w:r w:rsidR="006D228A" w:rsidRPr="00EA6C7A">
        <w:rPr>
          <w:lang w:val="en-US"/>
        </w:rPr>
        <w:t xml:space="preserve">, </w:t>
      </w:r>
      <w:r w:rsidR="00E43A75" w:rsidRPr="00EA6C7A">
        <w:rPr>
          <w:lang w:val="en-US"/>
        </w:rPr>
        <w:t>the representatives</w:t>
      </w:r>
      <w:r w:rsidR="006D228A" w:rsidRPr="00EA6C7A">
        <w:rPr>
          <w:lang w:val="en-US"/>
        </w:rPr>
        <w:t xml:space="preserve"> men</w:t>
      </w:r>
      <w:r w:rsidRPr="00EA6C7A">
        <w:rPr>
          <w:lang w:val="en-US"/>
        </w:rPr>
        <w:t xml:space="preserve">tioned the following </w:t>
      </w:r>
      <w:r w:rsidR="008C4FF3" w:rsidRPr="00EA6C7A">
        <w:rPr>
          <w:lang w:val="en-US"/>
        </w:rPr>
        <w:t>items</w:t>
      </w:r>
      <w:r w:rsidRPr="00EA6C7A">
        <w:rPr>
          <w:lang w:val="en-US"/>
        </w:rPr>
        <w:t xml:space="preserve">: (a) the funeral and burial expenses of Claudina Velásquez; (b) the payment of services for psychiatric treatment, from 2007 to date, for Pablo Andrés Velásquez owing to the trauma resulting from the murder and prolonged denial of justice, and (c) the payment of the fees of experts for the psychological appraisal of Elsa Claudina Paiz Vidal and Jorge Rolando Velásquez Durán, among other expenditure. However, “owing to the </w:t>
      </w:r>
      <w:r w:rsidR="00D42FE7" w:rsidRPr="00EA6C7A">
        <w:rPr>
          <w:lang w:val="en-US"/>
        </w:rPr>
        <w:t xml:space="preserve">family’s </w:t>
      </w:r>
      <w:r w:rsidRPr="00EA6C7A">
        <w:rPr>
          <w:lang w:val="en-US"/>
        </w:rPr>
        <w:t xml:space="preserve">difficulty to provide an estimate of the exact amounts of the expenses incurred by the Velásquez Paiz family that fall within the concept of indirect damage,” the representatives asked that an amount be established based on the principle of equity. In this regard, the Court notes that the representatives did not submit any evidence of the disbursements made for the payment of the said expenses. Nevertheless, it is evident that the Velásquez Paiz family had to incur funeral expenses. Also, the case file shows that </w:t>
      </w:r>
      <w:r w:rsidR="006D228A" w:rsidRPr="00EA6C7A">
        <w:rPr>
          <w:lang w:val="en-US"/>
        </w:rPr>
        <w:t>Jorge Velásquez</w:t>
      </w:r>
      <w:r w:rsidR="00D948A1" w:rsidRPr="00EA6C7A">
        <w:rPr>
          <w:lang w:val="en-US"/>
        </w:rPr>
        <w:t xml:space="preserve"> and </w:t>
      </w:r>
      <w:r w:rsidR="006D228A" w:rsidRPr="00EA6C7A">
        <w:rPr>
          <w:lang w:val="en-US"/>
        </w:rPr>
        <w:t xml:space="preserve">Elsa Paiz </w:t>
      </w:r>
      <w:r w:rsidRPr="00EA6C7A">
        <w:rPr>
          <w:lang w:val="en-US"/>
        </w:rPr>
        <w:t>underwent psychological appraisals,</w:t>
      </w:r>
      <w:r w:rsidR="006D228A" w:rsidRPr="00EA6C7A">
        <w:rPr>
          <w:rStyle w:val="Refdenotaalpie"/>
          <w:rFonts w:eastAsia="Calibri"/>
          <w:lang w:val="en-US" w:eastAsia="en-US"/>
        </w:rPr>
        <w:footnoteReference w:id="360"/>
      </w:r>
      <w:r w:rsidR="00D948A1" w:rsidRPr="00EA6C7A">
        <w:rPr>
          <w:lang w:val="en-US"/>
        </w:rPr>
        <w:t xml:space="preserve"> and </w:t>
      </w:r>
      <w:r w:rsidRPr="00EA6C7A">
        <w:rPr>
          <w:lang w:val="en-US"/>
        </w:rPr>
        <w:t>that their son received psychiatric treatment</w:t>
      </w:r>
      <w:r w:rsidR="006D228A" w:rsidRPr="00EA6C7A">
        <w:rPr>
          <w:rStyle w:val="Refdenotaalpie"/>
          <w:rFonts w:eastAsia="Calibri"/>
          <w:lang w:val="en-US" w:eastAsia="en-US"/>
        </w:rPr>
        <w:footnoteReference w:id="361"/>
      </w:r>
      <w:r w:rsidRPr="00EA6C7A">
        <w:rPr>
          <w:lang w:val="en-US"/>
        </w:rPr>
        <w:t xml:space="preserve"> in relation to the facts of this case. Consequently, the Court establishes, in equity, the sum of</w:t>
      </w:r>
      <w:r w:rsidR="006D228A" w:rsidRPr="00EA6C7A">
        <w:rPr>
          <w:lang w:val="en-US"/>
        </w:rPr>
        <w:t xml:space="preserve"> </w:t>
      </w:r>
      <w:r w:rsidR="007D4A03" w:rsidRPr="00EA6C7A">
        <w:rPr>
          <w:lang w:val="en-US"/>
        </w:rPr>
        <w:t>US$</w:t>
      </w:r>
      <w:r w:rsidR="006D228A" w:rsidRPr="00EA6C7A">
        <w:rPr>
          <w:bCs/>
          <w:lang w:val="en-US"/>
        </w:rPr>
        <w:t>9</w:t>
      </w:r>
      <w:r w:rsidR="007D4A03" w:rsidRPr="00EA6C7A">
        <w:rPr>
          <w:bCs/>
          <w:lang w:val="en-US"/>
        </w:rPr>
        <w:t>,000.00</w:t>
      </w:r>
      <w:r w:rsidR="006D228A" w:rsidRPr="00EA6C7A">
        <w:rPr>
          <w:lang w:val="en-US"/>
        </w:rPr>
        <w:t xml:space="preserve"> (</w:t>
      </w:r>
      <w:r w:rsidRPr="00EA6C7A">
        <w:rPr>
          <w:lang w:val="en-US"/>
        </w:rPr>
        <w:t>nine</w:t>
      </w:r>
      <w:r w:rsidR="006D228A" w:rsidRPr="00EA6C7A">
        <w:rPr>
          <w:lang w:val="en-US"/>
        </w:rPr>
        <w:t xml:space="preserve"> </w:t>
      </w:r>
      <w:r w:rsidR="007D4A03" w:rsidRPr="00EA6C7A">
        <w:rPr>
          <w:lang w:val="en-US"/>
        </w:rPr>
        <w:t>thousand United States dollars</w:t>
      </w:r>
      <w:r w:rsidR="006D228A" w:rsidRPr="00EA6C7A">
        <w:rPr>
          <w:lang w:val="en-US"/>
        </w:rPr>
        <w:t xml:space="preserve">) </w:t>
      </w:r>
      <w:r w:rsidRPr="00EA6C7A">
        <w:rPr>
          <w:lang w:val="en-US"/>
        </w:rPr>
        <w:t xml:space="preserve">for the concept of compensation for indirect damage </w:t>
      </w:r>
      <w:r w:rsidR="00A75E49" w:rsidRPr="00EA6C7A">
        <w:rPr>
          <w:lang w:val="en-US"/>
        </w:rPr>
        <w:t>in favor of</w:t>
      </w:r>
      <w:r w:rsidR="006D228A" w:rsidRPr="00EA6C7A">
        <w:rPr>
          <w:lang w:val="en-US"/>
        </w:rPr>
        <w:t xml:space="preserve"> Jorge Rolando Velásquez Durán, Elsa Claudina Paiz Vidal</w:t>
      </w:r>
      <w:r w:rsidR="00D948A1" w:rsidRPr="00EA6C7A">
        <w:rPr>
          <w:lang w:val="en-US"/>
        </w:rPr>
        <w:t xml:space="preserve"> and </w:t>
      </w:r>
      <w:r w:rsidR="006D228A" w:rsidRPr="00EA6C7A">
        <w:rPr>
          <w:lang w:val="en-US"/>
        </w:rPr>
        <w:t>Pablo Andrés Velásquez Paiz.</w:t>
      </w:r>
    </w:p>
    <w:p w14:paraId="182830F7" w14:textId="77777777" w:rsidR="006D228A" w:rsidRPr="00EA6C7A" w:rsidRDefault="006D228A" w:rsidP="006D228A">
      <w:pPr>
        <w:pStyle w:val="Sentencia2"/>
        <w:spacing w:line="240" w:lineRule="auto"/>
        <w:rPr>
          <w:lang w:val="en-US"/>
        </w:rPr>
      </w:pPr>
    </w:p>
    <w:p w14:paraId="58EB4507" w14:textId="77777777" w:rsidR="006D228A" w:rsidRPr="00EA6C7A" w:rsidRDefault="006D228A" w:rsidP="006D228A">
      <w:pPr>
        <w:pStyle w:val="Sentencia2"/>
        <w:spacing w:line="240" w:lineRule="auto"/>
        <w:rPr>
          <w:rStyle w:val="nfasis"/>
          <w:szCs w:val="20"/>
          <w:lang w:val="en-US"/>
        </w:rPr>
      </w:pPr>
      <w:bookmarkStart w:id="125" w:name="_Toc431801404"/>
      <w:bookmarkStart w:id="126" w:name="_Toc26002347"/>
      <w:r w:rsidRPr="00EA6C7A">
        <w:rPr>
          <w:rFonts w:eastAsia="Calibri"/>
          <w:i/>
          <w:lang w:val="en-US"/>
        </w:rPr>
        <w:t xml:space="preserve">E. </w:t>
      </w:r>
      <w:r w:rsidR="00CD712B" w:rsidRPr="00EA6C7A">
        <w:rPr>
          <w:rStyle w:val="nfasis"/>
          <w:szCs w:val="20"/>
          <w:lang w:val="en-US"/>
        </w:rPr>
        <w:t>Costs and expenses</w:t>
      </w:r>
      <w:bookmarkEnd w:id="125"/>
      <w:bookmarkEnd w:id="126"/>
    </w:p>
    <w:p w14:paraId="54C3FA74"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b/>
          <w:lang w:val="en-US"/>
        </w:rPr>
      </w:pPr>
    </w:p>
    <w:p w14:paraId="7D6C16F8" w14:textId="77777777" w:rsidR="006D228A" w:rsidRPr="00EA6C7A" w:rsidRDefault="00D42FE7" w:rsidP="00077D21">
      <w:pPr>
        <w:pStyle w:val="PrrafodeSentencia"/>
        <w:rPr>
          <w:rFonts w:cs="Arial"/>
          <w:lang w:val="en-US"/>
        </w:rPr>
      </w:pPr>
      <w:r w:rsidRPr="00EA6C7A">
        <w:rPr>
          <w:lang w:val="en-US"/>
        </w:rPr>
        <w:t xml:space="preserve">The </w:t>
      </w:r>
      <w:r w:rsidR="0096418F" w:rsidRPr="00EA6C7A">
        <w:rPr>
          <w:b/>
          <w:bCs/>
          <w:i/>
          <w:iCs/>
          <w:lang w:val="en-US"/>
        </w:rPr>
        <w:t>Commission</w:t>
      </w:r>
      <w:r w:rsidR="006D228A" w:rsidRPr="00EA6C7A">
        <w:rPr>
          <w:lang w:val="en-US"/>
        </w:rPr>
        <w:t xml:space="preserve"> </w:t>
      </w:r>
      <w:r w:rsidR="004F7917" w:rsidRPr="00EA6C7A">
        <w:rPr>
          <w:lang w:val="en-US"/>
        </w:rPr>
        <w:t xml:space="preserve">did not present specific arguments in this regard. </w:t>
      </w:r>
      <w:r w:rsidRPr="00EA6C7A">
        <w:rPr>
          <w:lang w:val="en-US"/>
        </w:rPr>
        <w:t>The</w:t>
      </w:r>
      <w:r w:rsidRPr="00EA6C7A">
        <w:rPr>
          <w:b/>
          <w:bCs/>
          <w:i/>
          <w:iCs/>
          <w:lang w:val="en-US"/>
        </w:rPr>
        <w:t xml:space="preserve"> </w:t>
      </w:r>
      <w:r w:rsidR="00E43A75" w:rsidRPr="00EA6C7A">
        <w:rPr>
          <w:b/>
          <w:bCs/>
          <w:i/>
          <w:iCs/>
          <w:lang w:val="en-US"/>
        </w:rPr>
        <w:t>representatives</w:t>
      </w:r>
      <w:r w:rsidR="006D228A" w:rsidRPr="00EA6C7A">
        <w:rPr>
          <w:i/>
          <w:lang w:val="en-US"/>
        </w:rPr>
        <w:t xml:space="preserve"> </w:t>
      </w:r>
      <w:r w:rsidR="004F7917" w:rsidRPr="00EA6C7A">
        <w:rPr>
          <w:lang w:val="en-US"/>
        </w:rPr>
        <w:t xml:space="preserve">requested the payment of </w:t>
      </w:r>
      <w:r w:rsidR="007D4A03" w:rsidRPr="00EA6C7A">
        <w:rPr>
          <w:lang w:val="en-US"/>
        </w:rPr>
        <w:t>US$</w:t>
      </w:r>
      <w:r w:rsidR="006D228A" w:rsidRPr="00EA6C7A">
        <w:rPr>
          <w:lang w:val="en-US"/>
        </w:rPr>
        <w:t xml:space="preserve">60,000 </w:t>
      </w:r>
      <w:r w:rsidR="004F7917" w:rsidRPr="00EA6C7A">
        <w:rPr>
          <w:lang w:val="en-US"/>
        </w:rPr>
        <w:t xml:space="preserve">in favor of </w:t>
      </w:r>
      <w:r w:rsidR="0020127B" w:rsidRPr="00EA6C7A">
        <w:rPr>
          <w:lang w:val="en-US"/>
        </w:rPr>
        <w:t>Jorge</w:t>
      </w:r>
      <w:r w:rsidR="006D228A" w:rsidRPr="00EA6C7A">
        <w:rPr>
          <w:lang w:val="en-US"/>
        </w:rPr>
        <w:t xml:space="preserve"> Rolando Velásquez Durán </w:t>
      </w:r>
      <w:r w:rsidR="004F7917" w:rsidRPr="00EA6C7A">
        <w:rPr>
          <w:lang w:val="en-US"/>
        </w:rPr>
        <w:t xml:space="preserve">for the costs and expenses he had incurred </w:t>
      </w:r>
      <w:r w:rsidR="00C5460A" w:rsidRPr="00EA6C7A">
        <w:rPr>
          <w:lang w:val="en-US"/>
        </w:rPr>
        <w:t xml:space="preserve">to obtain justice at both the national and the international level. </w:t>
      </w:r>
    </w:p>
    <w:p w14:paraId="36BA1856"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eastAsia="Calibri" w:hAnsi="Verdana" w:cs="Arial"/>
          <w:b/>
          <w:lang w:val="en-US"/>
        </w:rPr>
      </w:pPr>
    </w:p>
    <w:p w14:paraId="1C4478FB" w14:textId="77777777" w:rsidR="006D228A" w:rsidRPr="00EA6C7A" w:rsidRDefault="00D42FE7" w:rsidP="00077D21">
      <w:pPr>
        <w:pStyle w:val="PrrafodeSentencia"/>
        <w:rPr>
          <w:lang w:val="en-US"/>
        </w:rPr>
      </w:pPr>
      <w:r w:rsidRPr="00EA6C7A">
        <w:rPr>
          <w:lang w:val="en-US"/>
        </w:rPr>
        <w:t>The</w:t>
      </w:r>
      <w:r w:rsidR="002F3848" w:rsidRPr="00EA6C7A">
        <w:rPr>
          <w:b/>
          <w:bCs/>
          <w:i/>
          <w:iCs/>
          <w:lang w:val="en-US"/>
        </w:rPr>
        <w:t xml:space="preserve"> State</w:t>
      </w:r>
      <w:r w:rsidR="006D228A" w:rsidRPr="00EA6C7A">
        <w:rPr>
          <w:lang w:val="en-US"/>
        </w:rPr>
        <w:t xml:space="preserve"> </w:t>
      </w:r>
      <w:r w:rsidR="00C5460A" w:rsidRPr="00EA6C7A">
        <w:rPr>
          <w:lang w:val="en-US"/>
        </w:rPr>
        <w:t>indicated that not a single document had been submitted that proved the supposed expenses incurred in the processing of this case, which was suspicious because it related to a situation to which the petitioner</w:t>
      </w:r>
      <w:r w:rsidRPr="00EA6C7A">
        <w:rPr>
          <w:lang w:val="en-US"/>
        </w:rPr>
        <w:t>s</w:t>
      </w:r>
      <w:r w:rsidR="00C5460A" w:rsidRPr="00EA6C7A">
        <w:rPr>
          <w:lang w:val="en-US"/>
        </w:rPr>
        <w:t xml:space="preserve"> had devoted practically their whole lives. Consequently, it opposed the Court taking into account the request for costs and expenses presented by </w:t>
      </w:r>
      <w:r w:rsidR="00E43A75" w:rsidRPr="00EA6C7A">
        <w:rPr>
          <w:lang w:val="en-US"/>
        </w:rPr>
        <w:t>the representatives</w:t>
      </w:r>
      <w:r w:rsidR="006D228A" w:rsidRPr="00EA6C7A">
        <w:rPr>
          <w:lang w:val="en-US"/>
        </w:rPr>
        <w:t>.</w:t>
      </w:r>
    </w:p>
    <w:p w14:paraId="09E1F194" w14:textId="77777777" w:rsidR="006D228A" w:rsidRPr="00EA6C7A" w:rsidRDefault="006D228A" w:rsidP="006D228A">
      <w:pPr>
        <w:pStyle w:val="ColorfulList-Accent11"/>
        <w:autoSpaceDE w:val="0"/>
        <w:autoSpaceDN w:val="0"/>
        <w:adjustRightInd w:val="0"/>
        <w:spacing w:after="0" w:line="240" w:lineRule="auto"/>
        <w:ind w:left="0"/>
        <w:contextualSpacing w:val="0"/>
        <w:jc w:val="both"/>
        <w:rPr>
          <w:rFonts w:ascii="Verdana" w:hAnsi="Verdana"/>
          <w:b/>
          <w:lang w:val="en-US"/>
        </w:rPr>
      </w:pPr>
    </w:p>
    <w:p w14:paraId="3BFD7DAD" w14:textId="77777777" w:rsidR="006D228A" w:rsidRPr="00EA6C7A" w:rsidRDefault="0096418F" w:rsidP="00077D21">
      <w:pPr>
        <w:pStyle w:val="PrrafodeSentencia"/>
        <w:rPr>
          <w:lang w:val="en-US"/>
        </w:rPr>
      </w:pPr>
      <w:r w:rsidRPr="00EA6C7A">
        <w:rPr>
          <w:lang w:val="en-US"/>
        </w:rPr>
        <w:t>The Court</w:t>
      </w:r>
      <w:r w:rsidR="006D228A" w:rsidRPr="00EA6C7A">
        <w:rPr>
          <w:lang w:val="en-US"/>
        </w:rPr>
        <w:t xml:space="preserve"> reitera</w:t>
      </w:r>
      <w:r w:rsidR="00C5460A" w:rsidRPr="00EA6C7A">
        <w:rPr>
          <w:lang w:val="en-US"/>
        </w:rPr>
        <w:t xml:space="preserve">tes that, based on its case law, costs and expenses form part of the concept of reparation, because the actions taken by the victims to obtain justice at both the </w:t>
      </w:r>
      <w:r w:rsidR="00C5460A" w:rsidRPr="00EA6C7A">
        <w:rPr>
          <w:lang w:val="en-US"/>
        </w:rPr>
        <w:lastRenderedPageBreak/>
        <w:t xml:space="preserve">national and the international level entail disbursements that must be compensated when the international responsibility of the State has been declared in a judgment against it. In the case of reimbursement of expenses, it is for the Court to assess their scope prudently and this includes the expenses arising before the authorities of the domestic jurisdiction, and also those arising in the course of the proceedings before the inter-American system, taking into account the circumstances of the specific case and the nature of the international jurisdiction for the protection of human rights. This assessment may be made based on the equity principle and taking into account the expenses indicated by the parties, provided that the </w:t>
      </w:r>
      <w:r w:rsidR="00C5460A" w:rsidRPr="00EA6C7A">
        <w:rPr>
          <w:i/>
          <w:iCs/>
          <w:lang w:val="en-US"/>
        </w:rPr>
        <w:t>quantum</w:t>
      </w:r>
      <w:r w:rsidR="00C5460A" w:rsidRPr="00EA6C7A">
        <w:rPr>
          <w:lang w:val="en-US"/>
        </w:rPr>
        <w:t xml:space="preserve"> is reasonable.</w:t>
      </w:r>
      <w:r w:rsidR="006D228A" w:rsidRPr="00EA6C7A">
        <w:rPr>
          <w:vertAlign w:val="superscript"/>
        </w:rPr>
        <w:footnoteReference w:id="362"/>
      </w:r>
      <w:r w:rsidR="00C5460A" w:rsidRPr="00EA6C7A">
        <w:rPr>
          <w:lang w:val="en-US"/>
        </w:rPr>
        <w:t xml:space="preserve"> As it has indicated on other occasions, the Court recalls that it is not sufficient to forward probative documents; rather the parties must present arguments that relate the evidence to the fact that it is considered to represent and, in the case of alleged financial disbursements, the items and their justification </w:t>
      </w:r>
      <w:r w:rsidR="00D42FE7" w:rsidRPr="00EA6C7A">
        <w:rPr>
          <w:lang w:val="en-US"/>
        </w:rPr>
        <w:t>must be</w:t>
      </w:r>
      <w:r w:rsidR="00C5460A" w:rsidRPr="00EA6C7A">
        <w:rPr>
          <w:lang w:val="en-US"/>
        </w:rPr>
        <w:t xml:space="preserve"> clearly established.</w:t>
      </w:r>
      <w:r w:rsidR="006D228A" w:rsidRPr="00EA6C7A">
        <w:rPr>
          <w:vertAlign w:val="superscript"/>
        </w:rPr>
        <w:footnoteReference w:id="363"/>
      </w:r>
    </w:p>
    <w:p w14:paraId="06CB378F" w14:textId="77777777" w:rsidR="006D228A" w:rsidRPr="00EA6C7A" w:rsidRDefault="006D228A" w:rsidP="006D228A">
      <w:pPr>
        <w:spacing w:after="0" w:line="240" w:lineRule="auto"/>
        <w:ind w:right="-174"/>
        <w:jc w:val="both"/>
        <w:rPr>
          <w:rFonts w:ascii="Verdana" w:hAnsi="Verdana"/>
          <w:b/>
          <w:sz w:val="20"/>
          <w:szCs w:val="20"/>
          <w:lang w:val="en-US"/>
        </w:rPr>
      </w:pPr>
    </w:p>
    <w:p w14:paraId="3D1F1708" w14:textId="77777777" w:rsidR="006D228A" w:rsidRPr="00EA6C7A" w:rsidRDefault="00C5460A" w:rsidP="00077D21">
      <w:pPr>
        <w:pStyle w:val="PrrafodeSentencia"/>
        <w:rPr>
          <w:b/>
          <w:lang w:val="en-US"/>
        </w:rPr>
      </w:pPr>
      <w:r w:rsidRPr="00EA6C7A">
        <w:rPr>
          <w:lang w:val="en-US"/>
        </w:rPr>
        <w:t>In this case</w:t>
      </w:r>
      <w:r w:rsidR="006D228A" w:rsidRPr="00EA6C7A">
        <w:rPr>
          <w:lang w:val="en-US"/>
        </w:rPr>
        <w:t xml:space="preserve">, </w:t>
      </w:r>
      <w:r w:rsidR="00E43A75" w:rsidRPr="00EA6C7A">
        <w:rPr>
          <w:lang w:val="en-US"/>
        </w:rPr>
        <w:t>the</w:t>
      </w:r>
      <w:r w:rsidRPr="00EA6C7A">
        <w:rPr>
          <w:lang w:val="en-US"/>
        </w:rPr>
        <w:t xml:space="preserve"> victims’</w:t>
      </w:r>
      <w:r w:rsidR="00E43A75" w:rsidRPr="00EA6C7A">
        <w:rPr>
          <w:lang w:val="en-US"/>
        </w:rPr>
        <w:t xml:space="preserve"> representatives</w:t>
      </w:r>
      <w:r w:rsidR="006D228A" w:rsidRPr="00EA6C7A">
        <w:rPr>
          <w:lang w:val="en-US"/>
        </w:rPr>
        <w:t xml:space="preserve"> </w:t>
      </w:r>
      <w:r w:rsidRPr="00EA6C7A">
        <w:rPr>
          <w:lang w:val="en-US"/>
        </w:rPr>
        <w:t xml:space="preserve">did not provide any evidence that would prove the expenses that were alleged. Nevertheless, the Court finds it reasonable to presume that Mr. Velásquez Durán </w:t>
      </w:r>
      <w:r w:rsidR="00FC7FA9" w:rsidRPr="00EA6C7A">
        <w:rPr>
          <w:lang w:val="en-US"/>
        </w:rPr>
        <w:t xml:space="preserve">made disbursements starting in November 2005, the year in which he became a joint complainant in the investigation. The Court also notes that the victims’ representatives incurred expenses to attend the public hearing of the case held in Cartagena, Colombia, as well as </w:t>
      </w:r>
      <w:r w:rsidR="00D42FE7" w:rsidRPr="00EA6C7A">
        <w:rPr>
          <w:lang w:val="en-US"/>
        </w:rPr>
        <w:t>in relation</w:t>
      </w:r>
      <w:r w:rsidR="00FC7FA9" w:rsidRPr="00EA6C7A">
        <w:rPr>
          <w:lang w:val="en-US"/>
        </w:rPr>
        <w:t xml:space="preserve"> to the exercise of their legal representation, such as mailing and communications expenditure during the proceedings before this Court. On this basis, and in view of the lack of vouchers for this expenditure, the Court determines, in equity, that the State must deliver the sum of </w:t>
      </w:r>
      <w:r w:rsidR="007D4A03" w:rsidRPr="00EA6C7A">
        <w:rPr>
          <w:bCs/>
          <w:lang w:val="en-US"/>
        </w:rPr>
        <w:t>US$</w:t>
      </w:r>
      <w:r w:rsidR="006D228A" w:rsidRPr="00EA6C7A">
        <w:rPr>
          <w:bCs/>
          <w:lang w:val="en-US"/>
        </w:rPr>
        <w:t>5</w:t>
      </w:r>
      <w:r w:rsidR="007D4A03" w:rsidRPr="00EA6C7A">
        <w:rPr>
          <w:bCs/>
          <w:lang w:val="en-US"/>
        </w:rPr>
        <w:t>,000.00</w:t>
      </w:r>
      <w:r w:rsidR="006D228A" w:rsidRPr="00EA6C7A">
        <w:rPr>
          <w:lang w:val="en-US"/>
        </w:rPr>
        <w:t xml:space="preserve"> (</w:t>
      </w:r>
      <w:r w:rsidR="00FC7FA9" w:rsidRPr="00EA6C7A">
        <w:rPr>
          <w:lang w:val="en-US"/>
        </w:rPr>
        <w:t>five</w:t>
      </w:r>
      <w:r w:rsidR="006D228A" w:rsidRPr="00EA6C7A">
        <w:rPr>
          <w:lang w:val="en-US"/>
        </w:rPr>
        <w:t xml:space="preserve"> </w:t>
      </w:r>
      <w:r w:rsidR="007D4A03" w:rsidRPr="00EA6C7A">
        <w:rPr>
          <w:lang w:val="en-US"/>
        </w:rPr>
        <w:t>thousand United States dollars</w:t>
      </w:r>
      <w:r w:rsidR="006D228A" w:rsidRPr="00EA6C7A">
        <w:rPr>
          <w:lang w:val="en-US"/>
        </w:rPr>
        <w:t xml:space="preserve">) </w:t>
      </w:r>
      <w:r w:rsidR="00FC7FA9" w:rsidRPr="00EA6C7A">
        <w:rPr>
          <w:lang w:val="en-US"/>
        </w:rPr>
        <w:t>to</w:t>
      </w:r>
      <w:r w:rsidR="006D228A" w:rsidRPr="00EA6C7A">
        <w:rPr>
          <w:lang w:val="en-US"/>
        </w:rPr>
        <w:t xml:space="preserve"> Jorge Rolando Velásquez Durán</w:t>
      </w:r>
      <w:r w:rsidR="004074AB" w:rsidRPr="00EA6C7A">
        <w:rPr>
          <w:lang w:val="en-US"/>
        </w:rPr>
        <w:t>;</w:t>
      </w:r>
      <w:r w:rsidR="006D228A" w:rsidRPr="00EA6C7A">
        <w:rPr>
          <w:lang w:val="en-US"/>
        </w:rPr>
        <w:t xml:space="preserve"> </w:t>
      </w:r>
      <w:r w:rsidR="007D4A03" w:rsidRPr="00EA6C7A">
        <w:rPr>
          <w:bCs/>
          <w:lang w:val="en-US"/>
        </w:rPr>
        <w:t>US$</w:t>
      </w:r>
      <w:r w:rsidR="006D228A" w:rsidRPr="00EA6C7A">
        <w:rPr>
          <w:bCs/>
          <w:lang w:val="en-US"/>
        </w:rPr>
        <w:t>10</w:t>
      </w:r>
      <w:r w:rsidR="007D4A03" w:rsidRPr="00EA6C7A">
        <w:rPr>
          <w:bCs/>
          <w:lang w:val="en-US"/>
        </w:rPr>
        <w:t>,000.00</w:t>
      </w:r>
      <w:r w:rsidR="006D228A" w:rsidRPr="00EA6C7A">
        <w:rPr>
          <w:bCs/>
          <w:lang w:val="en-US"/>
        </w:rPr>
        <w:t xml:space="preserve"> </w:t>
      </w:r>
      <w:r w:rsidR="006D228A" w:rsidRPr="00EA6C7A">
        <w:rPr>
          <w:lang w:val="en-US"/>
        </w:rPr>
        <w:t>(</w:t>
      </w:r>
      <w:r w:rsidR="00FC7FA9" w:rsidRPr="00EA6C7A">
        <w:rPr>
          <w:lang w:val="en-US"/>
        </w:rPr>
        <w:t>ten</w:t>
      </w:r>
      <w:r w:rsidR="006D228A" w:rsidRPr="00EA6C7A">
        <w:rPr>
          <w:lang w:val="en-US"/>
        </w:rPr>
        <w:t xml:space="preserve"> </w:t>
      </w:r>
      <w:r w:rsidR="007D4A03" w:rsidRPr="00EA6C7A">
        <w:rPr>
          <w:lang w:val="en-US"/>
        </w:rPr>
        <w:t>thousand United States dollars</w:t>
      </w:r>
      <w:r w:rsidR="006D228A" w:rsidRPr="00EA6C7A">
        <w:rPr>
          <w:lang w:val="en-US"/>
        </w:rPr>
        <w:t xml:space="preserve">) </w:t>
      </w:r>
      <w:r w:rsidR="00FC7FA9" w:rsidRPr="00EA6C7A">
        <w:rPr>
          <w:lang w:val="en-US"/>
        </w:rPr>
        <w:t xml:space="preserve">to representative </w:t>
      </w:r>
      <w:r w:rsidR="006D228A" w:rsidRPr="00EA6C7A">
        <w:rPr>
          <w:lang w:val="en-US"/>
        </w:rPr>
        <w:t>Carlos Pop</w:t>
      </w:r>
      <w:r w:rsidR="004074AB" w:rsidRPr="00EA6C7A">
        <w:rPr>
          <w:lang w:val="en-US"/>
        </w:rPr>
        <w:t>;</w:t>
      </w:r>
      <w:r w:rsidR="006D228A" w:rsidRPr="00EA6C7A">
        <w:rPr>
          <w:lang w:val="en-US"/>
        </w:rPr>
        <w:t xml:space="preserve"> </w:t>
      </w:r>
      <w:r w:rsidR="007D4A03" w:rsidRPr="00EA6C7A">
        <w:rPr>
          <w:lang w:val="en-US"/>
        </w:rPr>
        <w:t>US$</w:t>
      </w:r>
      <w:r w:rsidR="006D228A" w:rsidRPr="00EA6C7A">
        <w:rPr>
          <w:lang w:val="en-US"/>
        </w:rPr>
        <w:t>5</w:t>
      </w:r>
      <w:r w:rsidR="007D4A03" w:rsidRPr="00EA6C7A">
        <w:rPr>
          <w:lang w:val="en-US"/>
        </w:rPr>
        <w:t>,000.00</w:t>
      </w:r>
      <w:r w:rsidR="006D228A" w:rsidRPr="00EA6C7A">
        <w:rPr>
          <w:lang w:val="en-US"/>
        </w:rPr>
        <w:t xml:space="preserve"> (</w:t>
      </w:r>
      <w:r w:rsidR="00FC7FA9" w:rsidRPr="00EA6C7A">
        <w:rPr>
          <w:lang w:val="en-US"/>
        </w:rPr>
        <w:t>five</w:t>
      </w:r>
      <w:r w:rsidR="006D228A" w:rsidRPr="00EA6C7A">
        <w:rPr>
          <w:lang w:val="en-US"/>
        </w:rPr>
        <w:t xml:space="preserve"> </w:t>
      </w:r>
      <w:r w:rsidR="007D4A03" w:rsidRPr="00EA6C7A">
        <w:rPr>
          <w:lang w:val="en-US"/>
        </w:rPr>
        <w:t>thousand United States dollars</w:t>
      </w:r>
      <w:r w:rsidR="006D228A" w:rsidRPr="00EA6C7A">
        <w:rPr>
          <w:lang w:val="en-US"/>
        </w:rPr>
        <w:t xml:space="preserve">) </w:t>
      </w:r>
      <w:r w:rsidR="00FC7FA9" w:rsidRPr="00EA6C7A">
        <w:rPr>
          <w:lang w:val="en-US"/>
        </w:rPr>
        <w:t>to the</w:t>
      </w:r>
      <w:r w:rsidR="006D228A" w:rsidRPr="00EA6C7A">
        <w:rPr>
          <w:lang w:val="en-US"/>
        </w:rPr>
        <w:t xml:space="preserve"> </w:t>
      </w:r>
      <w:proofErr w:type="spellStart"/>
      <w:r w:rsidR="006D228A" w:rsidRPr="00EA6C7A">
        <w:rPr>
          <w:i/>
          <w:iCs/>
          <w:lang w:val="en-US"/>
        </w:rPr>
        <w:t>Asociación</w:t>
      </w:r>
      <w:proofErr w:type="spellEnd"/>
      <w:r w:rsidR="006D228A" w:rsidRPr="00EA6C7A">
        <w:rPr>
          <w:i/>
          <w:iCs/>
          <w:lang w:val="en-US"/>
        </w:rPr>
        <w:t xml:space="preserve"> de Abogados</w:t>
      </w:r>
      <w:r w:rsidR="00D948A1" w:rsidRPr="00EA6C7A">
        <w:rPr>
          <w:i/>
          <w:iCs/>
          <w:lang w:val="en-US"/>
        </w:rPr>
        <w:t xml:space="preserve"> </w:t>
      </w:r>
      <w:r w:rsidR="00FC7FA9" w:rsidRPr="00EA6C7A">
        <w:rPr>
          <w:i/>
          <w:iCs/>
          <w:lang w:val="en-US"/>
        </w:rPr>
        <w:t>y</w:t>
      </w:r>
      <w:r w:rsidR="00D948A1" w:rsidRPr="00EA6C7A">
        <w:rPr>
          <w:i/>
          <w:iCs/>
          <w:lang w:val="en-US"/>
        </w:rPr>
        <w:t xml:space="preserve"> </w:t>
      </w:r>
      <w:proofErr w:type="spellStart"/>
      <w:r w:rsidR="006D228A" w:rsidRPr="00EA6C7A">
        <w:rPr>
          <w:i/>
          <w:iCs/>
          <w:lang w:val="en-US"/>
        </w:rPr>
        <w:t>Notarios</w:t>
      </w:r>
      <w:proofErr w:type="spellEnd"/>
      <w:r w:rsidR="006D228A" w:rsidRPr="00EA6C7A">
        <w:rPr>
          <w:i/>
          <w:iCs/>
          <w:lang w:val="en-US"/>
        </w:rPr>
        <w:t xml:space="preserve"> Mayas</w:t>
      </w:r>
      <w:r w:rsidR="004074AB" w:rsidRPr="00EA6C7A">
        <w:rPr>
          <w:lang w:val="en-US"/>
        </w:rPr>
        <w:t>,</w:t>
      </w:r>
      <w:r w:rsidR="00D948A1" w:rsidRPr="00EA6C7A">
        <w:rPr>
          <w:lang w:val="en-US"/>
        </w:rPr>
        <w:t xml:space="preserve"> and </w:t>
      </w:r>
      <w:r w:rsidR="007D4A03" w:rsidRPr="00EA6C7A">
        <w:rPr>
          <w:lang w:val="en-US"/>
        </w:rPr>
        <w:t>US$</w:t>
      </w:r>
      <w:r w:rsidR="004074AB" w:rsidRPr="00EA6C7A">
        <w:rPr>
          <w:lang w:val="en-US"/>
        </w:rPr>
        <w:t>5</w:t>
      </w:r>
      <w:r w:rsidR="007D4A03" w:rsidRPr="00EA6C7A">
        <w:rPr>
          <w:lang w:val="en-US"/>
        </w:rPr>
        <w:t>,000.00</w:t>
      </w:r>
      <w:r w:rsidR="004074AB" w:rsidRPr="00EA6C7A">
        <w:rPr>
          <w:lang w:val="en-US"/>
        </w:rPr>
        <w:t xml:space="preserve"> (</w:t>
      </w:r>
      <w:r w:rsidR="00FC7FA9" w:rsidRPr="00EA6C7A">
        <w:rPr>
          <w:lang w:val="en-US"/>
        </w:rPr>
        <w:t>five</w:t>
      </w:r>
      <w:r w:rsidR="004074AB" w:rsidRPr="00EA6C7A">
        <w:rPr>
          <w:lang w:val="en-US"/>
        </w:rPr>
        <w:t xml:space="preserve"> </w:t>
      </w:r>
      <w:r w:rsidR="007D4A03" w:rsidRPr="00EA6C7A">
        <w:rPr>
          <w:lang w:val="en-US"/>
        </w:rPr>
        <w:t>thousand United States dollars</w:t>
      </w:r>
      <w:r w:rsidR="004074AB" w:rsidRPr="00EA6C7A">
        <w:rPr>
          <w:lang w:val="en-US"/>
        </w:rPr>
        <w:t xml:space="preserve">) </w:t>
      </w:r>
      <w:r w:rsidR="00FC7FA9" w:rsidRPr="00EA6C7A">
        <w:rPr>
          <w:lang w:val="en-US"/>
        </w:rPr>
        <w:t>to the</w:t>
      </w:r>
      <w:r w:rsidR="006D228A" w:rsidRPr="00EA6C7A">
        <w:rPr>
          <w:lang w:val="en-US"/>
        </w:rPr>
        <w:t xml:space="preserve"> Robert F. Kennedy Center for Justice and Human Rights.</w:t>
      </w:r>
    </w:p>
    <w:p w14:paraId="6CC35C94" w14:textId="77777777" w:rsidR="006D228A" w:rsidRPr="00EA6C7A" w:rsidRDefault="006D228A" w:rsidP="006D228A">
      <w:pPr>
        <w:spacing w:after="0" w:line="240" w:lineRule="auto"/>
        <w:jc w:val="both"/>
        <w:rPr>
          <w:rFonts w:ascii="Verdana" w:hAnsi="Verdana"/>
          <w:sz w:val="20"/>
          <w:szCs w:val="20"/>
          <w:lang w:val="en-US"/>
        </w:rPr>
      </w:pPr>
    </w:p>
    <w:p w14:paraId="1DC38F55" w14:textId="77777777" w:rsidR="006D228A" w:rsidRPr="00EA6C7A" w:rsidRDefault="006D228A" w:rsidP="006D228A">
      <w:pPr>
        <w:pStyle w:val="Sentencia2"/>
        <w:rPr>
          <w:i/>
          <w:lang w:val="en-US"/>
        </w:rPr>
      </w:pPr>
      <w:bookmarkStart w:id="127" w:name="_Toc394313720"/>
      <w:bookmarkStart w:id="128" w:name="_Toc431801405"/>
      <w:bookmarkStart w:id="129" w:name="_Toc26002348"/>
      <w:r w:rsidRPr="00EA6C7A">
        <w:rPr>
          <w:i/>
          <w:lang w:val="en-US"/>
        </w:rPr>
        <w:t xml:space="preserve">F. </w:t>
      </w:r>
      <w:r w:rsidR="00CD712B" w:rsidRPr="00EA6C7A">
        <w:rPr>
          <w:i/>
          <w:lang w:val="en-US"/>
        </w:rPr>
        <w:t>Method of complying with the payments ordered</w:t>
      </w:r>
      <w:bookmarkEnd w:id="127"/>
      <w:bookmarkEnd w:id="128"/>
      <w:bookmarkEnd w:id="129"/>
    </w:p>
    <w:p w14:paraId="725E6334" w14:textId="77777777" w:rsidR="006D228A" w:rsidRPr="00EA6C7A" w:rsidRDefault="006D228A" w:rsidP="006D228A">
      <w:pPr>
        <w:pStyle w:val="Prrafodelista"/>
        <w:spacing w:after="0" w:line="216" w:lineRule="auto"/>
        <w:ind w:right="-174"/>
        <w:rPr>
          <w:rFonts w:ascii="Verdana" w:hAnsi="Verdana"/>
          <w:lang w:val="en-US"/>
        </w:rPr>
      </w:pPr>
    </w:p>
    <w:p w14:paraId="2A10ABFE" w14:textId="77777777" w:rsidR="006D228A" w:rsidRPr="00EA6C7A" w:rsidRDefault="002F3848" w:rsidP="00077D21">
      <w:pPr>
        <w:pStyle w:val="PrrafodeSentencia"/>
        <w:rPr>
          <w:b/>
          <w:lang w:val="en-US"/>
        </w:rPr>
      </w:pPr>
      <w:r w:rsidRPr="00EA6C7A">
        <w:rPr>
          <w:lang w:val="en-US"/>
        </w:rPr>
        <w:t xml:space="preserve">The </w:t>
      </w:r>
      <w:r w:rsidR="0005349C" w:rsidRPr="00EA6C7A">
        <w:rPr>
          <w:lang w:val="en-US"/>
        </w:rPr>
        <w:t xml:space="preserve">State </w:t>
      </w:r>
      <w:r w:rsidR="00DD4FD8" w:rsidRPr="00EA6C7A">
        <w:rPr>
          <w:lang w:val="en-US"/>
        </w:rPr>
        <w:t xml:space="preserve">shall make the payment of the compensation for pecuniary and non-pecuniary damage and to reimburse costs and expenses established in this judgment directly to the persons indicated herein, within one year of notification of this judgment, in </w:t>
      </w:r>
      <w:r w:rsidR="00724E96" w:rsidRPr="00EA6C7A">
        <w:rPr>
          <w:lang w:val="en-US"/>
        </w:rPr>
        <w:t>accordance</w:t>
      </w:r>
      <w:r w:rsidR="00DD4FD8" w:rsidRPr="00EA6C7A">
        <w:rPr>
          <w:lang w:val="en-US"/>
        </w:rPr>
        <w:t xml:space="preserve"> with the following paragraphs.</w:t>
      </w:r>
    </w:p>
    <w:p w14:paraId="5CA2EA8A" w14:textId="77777777" w:rsidR="006D228A" w:rsidRPr="00EA6C7A" w:rsidRDefault="006D228A" w:rsidP="006D228A">
      <w:pPr>
        <w:spacing w:after="0" w:line="216" w:lineRule="auto"/>
        <w:ind w:left="-142" w:right="-174"/>
        <w:jc w:val="both"/>
        <w:rPr>
          <w:rFonts w:ascii="Verdana" w:hAnsi="Verdana"/>
          <w:b/>
          <w:sz w:val="20"/>
          <w:szCs w:val="20"/>
          <w:lang w:val="en-US"/>
        </w:rPr>
      </w:pPr>
    </w:p>
    <w:p w14:paraId="710CA3F8" w14:textId="77777777" w:rsidR="006D228A" w:rsidRPr="00EA6C7A" w:rsidRDefault="00DD4FD8" w:rsidP="00077D21">
      <w:pPr>
        <w:pStyle w:val="PrrafodeSentencia"/>
        <w:rPr>
          <w:b/>
          <w:lang w:val="en-US"/>
        </w:rPr>
      </w:pPr>
      <w:r w:rsidRPr="00EA6C7A">
        <w:rPr>
          <w:lang w:val="en-US"/>
        </w:rPr>
        <w:t>If the beneficiaries should be deceased before they receive the respective compensation, this shall be made directly to their heirs, pursuant to the applicable domestic law.</w:t>
      </w:r>
    </w:p>
    <w:p w14:paraId="0CFB5A42" w14:textId="77777777" w:rsidR="006D228A" w:rsidRPr="00EA6C7A" w:rsidRDefault="006D228A" w:rsidP="006D228A">
      <w:pPr>
        <w:spacing w:after="0" w:line="216" w:lineRule="auto"/>
        <w:ind w:left="-142" w:right="-174" w:hanging="11"/>
        <w:jc w:val="both"/>
        <w:rPr>
          <w:rFonts w:ascii="Verdana" w:hAnsi="Verdana"/>
          <w:b/>
          <w:sz w:val="20"/>
          <w:szCs w:val="20"/>
          <w:lang w:val="en-US"/>
        </w:rPr>
      </w:pPr>
    </w:p>
    <w:p w14:paraId="21C23E84" w14:textId="77777777" w:rsidR="00DD4FD8" w:rsidRPr="00EA6C7A" w:rsidRDefault="002F3848" w:rsidP="00077D21">
      <w:pPr>
        <w:pStyle w:val="PrrafodeSentencia"/>
        <w:rPr>
          <w:b/>
          <w:lang w:val="en-US"/>
        </w:rPr>
      </w:pPr>
      <w:r w:rsidRPr="00EA6C7A">
        <w:rPr>
          <w:lang w:val="en-US"/>
        </w:rPr>
        <w:t xml:space="preserve">The </w:t>
      </w:r>
      <w:r w:rsidR="0005349C" w:rsidRPr="00EA6C7A">
        <w:rPr>
          <w:lang w:val="en-US"/>
        </w:rPr>
        <w:t xml:space="preserve">State </w:t>
      </w:r>
      <w:r w:rsidR="00DD4FD8" w:rsidRPr="00EA6C7A">
        <w:rPr>
          <w:lang w:val="en-US"/>
        </w:rPr>
        <w:t xml:space="preserve">shall comply with its pecuniary obligations by payment in quetzals or the equivalent in United States dollars, using the exchange rate in force on the New York Stock Exchange (United States of America) the day before the payment to make the calculation. If, for reasons that can be attributed to the beneficiaries of the compensation or their heirs, it was not possible to pay the established amounts within the time frame indicated, the State shall deposit those amounts in their favor in a deposit account or certificate in a solvent Guatemalan financial institution, in United States dollars, and in the most favorable financial conditions allowed by banking practice and law. If the corresponding compensation is not claimed </w:t>
      </w:r>
      <w:r w:rsidR="00DD048F" w:rsidRPr="00EA6C7A">
        <w:rPr>
          <w:lang w:val="en-US"/>
        </w:rPr>
        <w:t>after 10 years, the amounts shall be returned to the State with the interest accrued.</w:t>
      </w:r>
    </w:p>
    <w:p w14:paraId="33E50BB2" w14:textId="77777777" w:rsidR="006D228A" w:rsidRPr="00EA6C7A" w:rsidRDefault="006D228A" w:rsidP="006D228A">
      <w:pPr>
        <w:pStyle w:val="Prrafodelista"/>
        <w:spacing w:after="0" w:line="216" w:lineRule="auto"/>
        <w:ind w:left="-142" w:right="-174" w:hanging="11"/>
        <w:jc w:val="both"/>
        <w:rPr>
          <w:rFonts w:ascii="Verdana" w:hAnsi="Verdana"/>
          <w:sz w:val="20"/>
          <w:szCs w:val="20"/>
          <w:lang w:val="en-US"/>
        </w:rPr>
      </w:pPr>
    </w:p>
    <w:p w14:paraId="74FE78EA" w14:textId="77777777" w:rsidR="006D228A" w:rsidRPr="00EA6C7A" w:rsidRDefault="00DD048F" w:rsidP="00077D21">
      <w:pPr>
        <w:pStyle w:val="PrrafodeSentencia"/>
        <w:rPr>
          <w:b/>
          <w:lang w:val="en-US"/>
        </w:rPr>
      </w:pPr>
      <w:r w:rsidRPr="00EA6C7A">
        <w:rPr>
          <w:lang w:val="en-US"/>
        </w:rPr>
        <w:t xml:space="preserve">The sums allocated in this judgment as compensation and to reimburse costs and expenses shall be delivered to the persons indicated in full, as established in this judgment, without any deductions resulting from possible taxes or charges. </w:t>
      </w:r>
    </w:p>
    <w:p w14:paraId="61718D43" w14:textId="77777777" w:rsidR="006D228A" w:rsidRPr="00EA6C7A" w:rsidRDefault="006D228A" w:rsidP="006D228A">
      <w:pPr>
        <w:pStyle w:val="Prrafodelista"/>
        <w:spacing w:after="0" w:line="216" w:lineRule="auto"/>
        <w:ind w:left="-142" w:right="-174" w:hanging="11"/>
        <w:jc w:val="both"/>
        <w:rPr>
          <w:rFonts w:ascii="Verdana" w:hAnsi="Verdana"/>
          <w:sz w:val="20"/>
          <w:szCs w:val="20"/>
          <w:lang w:val="en-US"/>
        </w:rPr>
      </w:pPr>
    </w:p>
    <w:p w14:paraId="5C451EAD" w14:textId="77777777" w:rsidR="006D228A" w:rsidRPr="00EA6C7A" w:rsidRDefault="00DD048F" w:rsidP="00077D21">
      <w:pPr>
        <w:pStyle w:val="PrrafodeSentencia"/>
        <w:rPr>
          <w:lang w:val="en-US"/>
        </w:rPr>
      </w:pPr>
      <w:r w:rsidRPr="00EA6C7A">
        <w:rPr>
          <w:lang w:val="en-US"/>
        </w:rPr>
        <w:t>If</w:t>
      </w:r>
      <w:r w:rsidR="006D228A" w:rsidRPr="00EA6C7A">
        <w:rPr>
          <w:lang w:val="en-US"/>
        </w:rPr>
        <w:t xml:space="preserve"> </w:t>
      </w:r>
      <w:r w:rsidR="002F3848" w:rsidRPr="00EA6C7A">
        <w:rPr>
          <w:lang w:val="en-US"/>
        </w:rPr>
        <w:t>the State</w:t>
      </w:r>
      <w:r w:rsidR="006D228A" w:rsidRPr="00EA6C7A">
        <w:rPr>
          <w:lang w:val="en-US"/>
        </w:rPr>
        <w:t xml:space="preserve"> incur</w:t>
      </w:r>
      <w:r w:rsidRPr="00EA6C7A">
        <w:rPr>
          <w:lang w:val="en-US"/>
        </w:rPr>
        <w:t xml:space="preserve">s a delay, it shall pay interest on the amount owed corresponding to banking interest on arrears in </w:t>
      </w:r>
      <w:r w:rsidR="003C14C1" w:rsidRPr="00EA6C7A">
        <w:rPr>
          <w:lang w:val="en-US"/>
        </w:rPr>
        <w:t>the Republic of</w:t>
      </w:r>
      <w:r w:rsidR="006D228A" w:rsidRPr="00EA6C7A">
        <w:rPr>
          <w:lang w:val="en-US"/>
        </w:rPr>
        <w:t xml:space="preserve"> Guatemala.</w:t>
      </w:r>
    </w:p>
    <w:p w14:paraId="62B6BCCB" w14:textId="77777777" w:rsidR="006D228A" w:rsidRPr="00EA6C7A" w:rsidRDefault="006D228A" w:rsidP="00077D21">
      <w:pPr>
        <w:pStyle w:val="PrrafodeSentencia"/>
        <w:numPr>
          <w:ilvl w:val="0"/>
          <w:numId w:val="0"/>
        </w:numPr>
        <w:rPr>
          <w:lang w:val="en-US"/>
        </w:rPr>
      </w:pPr>
    </w:p>
    <w:p w14:paraId="1775B1CF" w14:textId="77777777" w:rsidR="006D228A" w:rsidRPr="00EA6C7A" w:rsidRDefault="00DD048F" w:rsidP="00077D21">
      <w:pPr>
        <w:pStyle w:val="PrrafodeSentencia"/>
        <w:rPr>
          <w:lang w:val="en-US"/>
        </w:rPr>
      </w:pPr>
      <w:r w:rsidRPr="00EA6C7A">
        <w:rPr>
          <w:lang w:val="en-US"/>
        </w:rPr>
        <w:t>In accordance with its consistent practice, the Court reserves the authority inherent in its attribute</w:t>
      </w:r>
      <w:r w:rsidR="00724E96" w:rsidRPr="00EA6C7A">
        <w:rPr>
          <w:lang w:val="en-US"/>
        </w:rPr>
        <w:t>s</w:t>
      </w:r>
      <w:r w:rsidRPr="00EA6C7A">
        <w:rPr>
          <w:lang w:val="en-US"/>
        </w:rPr>
        <w:t xml:space="preserve"> and derived, also, from </w:t>
      </w:r>
      <w:r w:rsidR="001914FC" w:rsidRPr="00EA6C7A">
        <w:rPr>
          <w:lang w:val="en-US"/>
        </w:rPr>
        <w:t>Article</w:t>
      </w:r>
      <w:r w:rsidR="006D228A" w:rsidRPr="00EA6C7A">
        <w:rPr>
          <w:lang w:val="en-US"/>
        </w:rPr>
        <w:t xml:space="preserve"> 65</w:t>
      </w:r>
      <w:r w:rsidR="0096418F" w:rsidRPr="00EA6C7A">
        <w:rPr>
          <w:lang w:val="en-US"/>
        </w:rPr>
        <w:t xml:space="preserve"> of the American Convention</w:t>
      </w:r>
      <w:r w:rsidR="006D228A" w:rsidRPr="00EA6C7A">
        <w:rPr>
          <w:lang w:val="en-US"/>
        </w:rPr>
        <w:t xml:space="preserve">, </w:t>
      </w:r>
      <w:r w:rsidRPr="00EA6C7A">
        <w:rPr>
          <w:lang w:val="en-US"/>
        </w:rPr>
        <w:t>to monitor full compliance with this judgment. The case will be closed when the State has complied fully with the provisions of this judgment.</w:t>
      </w:r>
    </w:p>
    <w:p w14:paraId="1933018E" w14:textId="77777777" w:rsidR="006D228A" w:rsidRPr="00EA6C7A" w:rsidRDefault="006D228A" w:rsidP="006D228A">
      <w:pPr>
        <w:pStyle w:val="Estilo2"/>
        <w:tabs>
          <w:tab w:val="clear" w:pos="567"/>
          <w:tab w:val="clear" w:pos="1134"/>
        </w:tabs>
        <w:spacing w:after="0"/>
        <w:ind w:left="-180" w:right="-142" w:firstLine="0"/>
        <w:rPr>
          <w:lang w:val="en-US"/>
        </w:rPr>
      </w:pPr>
    </w:p>
    <w:p w14:paraId="54CF76A2" w14:textId="77777777" w:rsidR="006D228A" w:rsidRPr="00EA6C7A" w:rsidRDefault="00DD048F" w:rsidP="00077D21">
      <w:pPr>
        <w:pStyle w:val="PrrafodeSentencia"/>
        <w:rPr>
          <w:lang w:val="en-US"/>
        </w:rPr>
      </w:pPr>
      <w:r w:rsidRPr="00EA6C7A">
        <w:rPr>
          <w:lang w:val="en-US"/>
        </w:rPr>
        <w:t xml:space="preserve">Within one year </w:t>
      </w:r>
      <w:r w:rsidR="00940342" w:rsidRPr="00EA6C7A">
        <w:rPr>
          <w:lang w:val="en-US"/>
        </w:rPr>
        <w:t>of notification of this judgment</w:t>
      </w:r>
      <w:r w:rsidR="006D228A" w:rsidRPr="00EA6C7A">
        <w:rPr>
          <w:lang w:val="en-US"/>
        </w:rPr>
        <w:t xml:space="preserve">, </w:t>
      </w:r>
      <w:r w:rsidR="002F3848" w:rsidRPr="00EA6C7A">
        <w:rPr>
          <w:lang w:val="en-US"/>
        </w:rPr>
        <w:t xml:space="preserve">the </w:t>
      </w:r>
      <w:r w:rsidR="0005349C" w:rsidRPr="00EA6C7A">
        <w:rPr>
          <w:lang w:val="en-US"/>
        </w:rPr>
        <w:t xml:space="preserve">State </w:t>
      </w:r>
      <w:r w:rsidRPr="00EA6C7A">
        <w:rPr>
          <w:lang w:val="en-US"/>
        </w:rPr>
        <w:t>shall provide the Court with a report on the measures taken to comply with it</w:t>
      </w:r>
      <w:r w:rsidR="006D228A" w:rsidRPr="00EA6C7A">
        <w:rPr>
          <w:lang w:val="en-US"/>
        </w:rPr>
        <w:t>.</w:t>
      </w:r>
    </w:p>
    <w:p w14:paraId="3606FAB8" w14:textId="77777777" w:rsidR="006D228A" w:rsidRPr="00EA6C7A" w:rsidRDefault="006D228A" w:rsidP="006D228A">
      <w:pPr>
        <w:spacing w:after="0" w:line="240" w:lineRule="auto"/>
        <w:jc w:val="both"/>
        <w:rPr>
          <w:rFonts w:ascii="Verdana" w:hAnsi="Verdana"/>
          <w:sz w:val="20"/>
          <w:szCs w:val="20"/>
          <w:lang w:val="en-US"/>
        </w:rPr>
      </w:pPr>
    </w:p>
    <w:p w14:paraId="44CD44D4" w14:textId="77777777" w:rsidR="006D228A" w:rsidRPr="00EA6C7A" w:rsidRDefault="006D228A" w:rsidP="006D228A">
      <w:pPr>
        <w:pStyle w:val="Default"/>
        <w:spacing w:after="0" w:line="240" w:lineRule="auto"/>
        <w:jc w:val="center"/>
        <w:outlineLvl w:val="0"/>
        <w:rPr>
          <w:b/>
          <w:bCs/>
          <w:sz w:val="20"/>
          <w:szCs w:val="20"/>
          <w:lang w:val="en-US"/>
        </w:rPr>
      </w:pPr>
    </w:p>
    <w:p w14:paraId="11D646A5" w14:textId="77777777" w:rsidR="006D228A" w:rsidRPr="00EA6C7A" w:rsidRDefault="006D228A" w:rsidP="006D228A">
      <w:pPr>
        <w:pStyle w:val="Default"/>
        <w:spacing w:after="0" w:line="240" w:lineRule="auto"/>
        <w:jc w:val="center"/>
        <w:outlineLvl w:val="0"/>
        <w:rPr>
          <w:b/>
          <w:bCs/>
          <w:sz w:val="20"/>
          <w:szCs w:val="20"/>
          <w:lang w:val="en-US"/>
        </w:rPr>
      </w:pPr>
      <w:bookmarkStart w:id="130" w:name="_Toc437425705"/>
      <w:bookmarkStart w:id="131" w:name="_Toc26002349"/>
      <w:r w:rsidRPr="00EA6C7A">
        <w:rPr>
          <w:b/>
          <w:bCs/>
          <w:sz w:val="20"/>
          <w:szCs w:val="20"/>
          <w:lang w:val="en-US"/>
        </w:rPr>
        <w:t>IX</w:t>
      </w:r>
      <w:bookmarkEnd w:id="130"/>
      <w:bookmarkEnd w:id="131"/>
    </w:p>
    <w:p w14:paraId="6460E24F" w14:textId="77777777" w:rsidR="006D228A" w:rsidRPr="00EA6C7A" w:rsidRDefault="000F781C" w:rsidP="006D228A">
      <w:pPr>
        <w:pStyle w:val="Default"/>
        <w:spacing w:after="0" w:line="240" w:lineRule="auto"/>
        <w:jc w:val="center"/>
        <w:outlineLvl w:val="0"/>
        <w:rPr>
          <w:sz w:val="20"/>
          <w:szCs w:val="20"/>
          <w:lang w:val="en-US"/>
        </w:rPr>
      </w:pPr>
      <w:bookmarkStart w:id="132" w:name="_Toc26002350"/>
      <w:r w:rsidRPr="00EA6C7A">
        <w:rPr>
          <w:b/>
          <w:bCs/>
          <w:sz w:val="20"/>
          <w:szCs w:val="20"/>
          <w:lang w:val="en-US"/>
        </w:rPr>
        <w:t>OPERATIVE PARAGRAPHS</w:t>
      </w:r>
      <w:bookmarkEnd w:id="132"/>
    </w:p>
    <w:p w14:paraId="73D6DDA4" w14:textId="77777777" w:rsidR="006D228A" w:rsidRPr="00EA6C7A" w:rsidRDefault="0005349C" w:rsidP="006D228A">
      <w:pPr>
        <w:pStyle w:val="Default"/>
        <w:jc w:val="both"/>
        <w:rPr>
          <w:sz w:val="20"/>
          <w:szCs w:val="20"/>
          <w:lang w:val="en-US"/>
        </w:rPr>
      </w:pPr>
      <w:r w:rsidRPr="00EA6C7A">
        <w:rPr>
          <w:sz w:val="20"/>
          <w:szCs w:val="20"/>
          <w:lang w:val="en-US"/>
        </w:rPr>
        <w:t>Therefore</w:t>
      </w:r>
      <w:r w:rsidR="006D228A" w:rsidRPr="00EA6C7A">
        <w:rPr>
          <w:sz w:val="20"/>
          <w:szCs w:val="20"/>
          <w:lang w:val="en-US"/>
        </w:rPr>
        <w:t xml:space="preserve">, </w:t>
      </w:r>
    </w:p>
    <w:p w14:paraId="1501E0D4" w14:textId="77777777" w:rsidR="006D228A" w:rsidRPr="00EA6C7A" w:rsidRDefault="0096418F" w:rsidP="006D228A">
      <w:pPr>
        <w:pStyle w:val="Default"/>
        <w:jc w:val="both"/>
        <w:rPr>
          <w:sz w:val="20"/>
          <w:szCs w:val="20"/>
          <w:lang w:val="en-US"/>
        </w:rPr>
      </w:pPr>
      <w:r w:rsidRPr="00EA6C7A">
        <w:rPr>
          <w:b/>
          <w:bCs/>
          <w:sz w:val="20"/>
          <w:szCs w:val="20"/>
          <w:lang w:val="en-US"/>
        </w:rPr>
        <w:t>THE COURT</w:t>
      </w:r>
      <w:r w:rsidR="006D228A" w:rsidRPr="00EA6C7A">
        <w:rPr>
          <w:b/>
          <w:bCs/>
          <w:sz w:val="20"/>
          <w:szCs w:val="20"/>
          <w:lang w:val="en-US"/>
        </w:rPr>
        <w:t xml:space="preserve"> </w:t>
      </w:r>
    </w:p>
    <w:p w14:paraId="041AEF6C" w14:textId="77777777" w:rsidR="006D228A" w:rsidRPr="00EA6C7A" w:rsidRDefault="006D228A" w:rsidP="006D228A">
      <w:pPr>
        <w:pStyle w:val="Default"/>
        <w:jc w:val="both"/>
        <w:rPr>
          <w:sz w:val="20"/>
          <w:szCs w:val="20"/>
          <w:lang w:val="en-US"/>
        </w:rPr>
      </w:pPr>
      <w:r w:rsidRPr="00EA6C7A">
        <w:rPr>
          <w:b/>
          <w:bCs/>
          <w:sz w:val="20"/>
          <w:szCs w:val="20"/>
          <w:lang w:val="en-US"/>
        </w:rPr>
        <w:t>DECIDE</w:t>
      </w:r>
      <w:r w:rsidR="0005349C" w:rsidRPr="00EA6C7A">
        <w:rPr>
          <w:b/>
          <w:bCs/>
          <w:sz w:val="20"/>
          <w:szCs w:val="20"/>
          <w:lang w:val="en-US"/>
        </w:rPr>
        <w:t>S</w:t>
      </w:r>
      <w:r w:rsidRPr="00EA6C7A">
        <w:rPr>
          <w:b/>
          <w:bCs/>
          <w:sz w:val="20"/>
          <w:szCs w:val="20"/>
          <w:lang w:val="en-US"/>
        </w:rPr>
        <w:t xml:space="preserve">, </w:t>
      </w:r>
    </w:p>
    <w:p w14:paraId="185FC3E0" w14:textId="77777777" w:rsidR="006D228A" w:rsidRPr="00EA6C7A" w:rsidRDefault="0005349C" w:rsidP="006D228A">
      <w:pPr>
        <w:pStyle w:val="Default"/>
        <w:jc w:val="both"/>
        <w:rPr>
          <w:sz w:val="20"/>
          <w:szCs w:val="20"/>
          <w:lang w:val="en-US"/>
        </w:rPr>
      </w:pPr>
      <w:r w:rsidRPr="00EA6C7A">
        <w:rPr>
          <w:sz w:val="20"/>
          <w:szCs w:val="20"/>
          <w:lang w:val="en-US"/>
        </w:rPr>
        <w:t>Unanimously,</w:t>
      </w:r>
      <w:r w:rsidR="006D228A" w:rsidRPr="00EA6C7A">
        <w:rPr>
          <w:sz w:val="20"/>
          <w:szCs w:val="20"/>
          <w:lang w:val="en-US"/>
        </w:rPr>
        <w:t xml:space="preserve"> </w:t>
      </w:r>
    </w:p>
    <w:p w14:paraId="2CEA2059" w14:textId="77777777" w:rsidR="006D228A" w:rsidRPr="00EA6C7A" w:rsidRDefault="0005349C"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To reject the</w:t>
      </w:r>
      <w:r w:rsidR="006D228A" w:rsidRPr="00EA6C7A">
        <w:rPr>
          <w:sz w:val="20"/>
          <w:szCs w:val="20"/>
          <w:lang w:val="en-US"/>
        </w:rPr>
        <w:t xml:space="preserve"> </w:t>
      </w:r>
      <w:r w:rsidRPr="00EA6C7A">
        <w:rPr>
          <w:sz w:val="20"/>
          <w:szCs w:val="20"/>
          <w:lang w:val="en-US"/>
        </w:rPr>
        <w:t>p</w:t>
      </w:r>
      <w:r w:rsidR="004554C7" w:rsidRPr="00EA6C7A">
        <w:rPr>
          <w:sz w:val="20"/>
          <w:szCs w:val="20"/>
          <w:lang w:val="en-US"/>
        </w:rPr>
        <w:t>reliminary objection</w:t>
      </w:r>
      <w:r w:rsidR="006D228A" w:rsidRPr="00EA6C7A">
        <w:rPr>
          <w:sz w:val="20"/>
          <w:szCs w:val="20"/>
          <w:lang w:val="en-US"/>
        </w:rPr>
        <w:t xml:space="preserve"> </w:t>
      </w:r>
      <w:r w:rsidRPr="00EA6C7A">
        <w:rPr>
          <w:sz w:val="20"/>
          <w:szCs w:val="20"/>
          <w:lang w:val="en-US"/>
        </w:rPr>
        <w:t xml:space="preserve">concerning the alleged </w:t>
      </w:r>
      <w:r w:rsidR="00806927" w:rsidRPr="00EA6C7A">
        <w:rPr>
          <w:sz w:val="20"/>
          <w:szCs w:val="20"/>
          <w:lang w:val="en-US"/>
        </w:rPr>
        <w:t>lack of jurisdiction</w:t>
      </w:r>
      <w:r w:rsidRPr="00EA6C7A">
        <w:rPr>
          <w:sz w:val="20"/>
          <w:szCs w:val="20"/>
          <w:lang w:val="en-US"/>
        </w:rPr>
        <w:t xml:space="preserve"> </w:t>
      </w:r>
      <w:r w:rsidR="006D228A" w:rsidRPr="00EA6C7A">
        <w:rPr>
          <w:i/>
          <w:iCs/>
          <w:sz w:val="20"/>
          <w:szCs w:val="20"/>
          <w:lang w:val="en-US"/>
        </w:rPr>
        <w:t>ratione materiae</w:t>
      </w:r>
      <w:r w:rsidR="006D228A" w:rsidRPr="00EA6C7A">
        <w:rPr>
          <w:sz w:val="20"/>
          <w:szCs w:val="20"/>
          <w:lang w:val="en-US"/>
        </w:rPr>
        <w:t xml:space="preserve"> </w:t>
      </w:r>
      <w:r w:rsidRPr="00EA6C7A">
        <w:rPr>
          <w:sz w:val="20"/>
          <w:szCs w:val="20"/>
          <w:lang w:val="en-US"/>
        </w:rPr>
        <w:t>filed by</w:t>
      </w:r>
      <w:r w:rsidR="006D228A" w:rsidRPr="00EA6C7A">
        <w:rPr>
          <w:sz w:val="20"/>
          <w:szCs w:val="20"/>
          <w:lang w:val="en-US"/>
        </w:rPr>
        <w:t xml:space="preserve"> </w:t>
      </w:r>
      <w:r w:rsidR="002F3848" w:rsidRPr="00EA6C7A">
        <w:rPr>
          <w:sz w:val="20"/>
          <w:szCs w:val="20"/>
          <w:lang w:val="en-US"/>
        </w:rPr>
        <w:t>the State</w:t>
      </w:r>
      <w:r w:rsidR="006D228A" w:rsidRPr="00EA6C7A">
        <w:rPr>
          <w:sz w:val="20"/>
          <w:szCs w:val="20"/>
          <w:lang w:val="en-US"/>
        </w:rPr>
        <w:t xml:space="preserve">, </w:t>
      </w:r>
      <w:r w:rsidRPr="00EA6C7A">
        <w:rPr>
          <w:sz w:val="20"/>
          <w:szCs w:val="20"/>
          <w:lang w:val="en-US"/>
        </w:rPr>
        <w:t>in accordance with paragraph</w:t>
      </w:r>
      <w:r w:rsidR="006D228A" w:rsidRPr="00EA6C7A">
        <w:rPr>
          <w:sz w:val="20"/>
          <w:szCs w:val="20"/>
          <w:lang w:val="en-US"/>
        </w:rPr>
        <w:t xml:space="preserve"> 19 </w:t>
      </w:r>
      <w:r w:rsidRPr="00EA6C7A">
        <w:rPr>
          <w:sz w:val="20"/>
          <w:szCs w:val="20"/>
          <w:lang w:val="en-US"/>
        </w:rPr>
        <w:t>of this judgment</w:t>
      </w:r>
      <w:r w:rsidR="006D228A" w:rsidRPr="00EA6C7A">
        <w:rPr>
          <w:sz w:val="20"/>
          <w:szCs w:val="20"/>
          <w:lang w:val="en-US"/>
        </w:rPr>
        <w:t xml:space="preserve">. </w:t>
      </w:r>
    </w:p>
    <w:p w14:paraId="2CE7C41C" w14:textId="77777777" w:rsidR="006D228A" w:rsidRPr="00EA6C7A" w:rsidRDefault="006D228A" w:rsidP="006D228A">
      <w:pPr>
        <w:pStyle w:val="Default"/>
        <w:spacing w:after="0" w:line="240" w:lineRule="auto"/>
        <w:jc w:val="both"/>
        <w:rPr>
          <w:sz w:val="20"/>
          <w:szCs w:val="20"/>
          <w:lang w:val="en-US"/>
        </w:rPr>
      </w:pPr>
    </w:p>
    <w:p w14:paraId="525B2E7A" w14:textId="77777777" w:rsidR="006D228A" w:rsidRPr="00EA6C7A" w:rsidRDefault="0005349C"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To reject the preliminary </w:t>
      </w:r>
      <w:r w:rsidR="004554C7" w:rsidRPr="00EA6C7A">
        <w:rPr>
          <w:sz w:val="20"/>
          <w:szCs w:val="20"/>
          <w:lang w:val="en-US"/>
        </w:rPr>
        <w:t>objection</w:t>
      </w:r>
      <w:r w:rsidR="006D228A" w:rsidRPr="00EA6C7A">
        <w:rPr>
          <w:sz w:val="20"/>
          <w:szCs w:val="20"/>
          <w:lang w:val="en-US"/>
        </w:rPr>
        <w:t xml:space="preserve"> </w:t>
      </w:r>
      <w:r w:rsidRPr="00EA6C7A">
        <w:rPr>
          <w:sz w:val="20"/>
          <w:szCs w:val="20"/>
          <w:lang w:val="en-US"/>
        </w:rPr>
        <w:t xml:space="preserve">concerning the alleged failure to exhaust domestic remedies filed by </w:t>
      </w:r>
      <w:r w:rsidR="002F3848" w:rsidRPr="00EA6C7A">
        <w:rPr>
          <w:sz w:val="20"/>
          <w:szCs w:val="20"/>
          <w:lang w:val="en-US"/>
        </w:rPr>
        <w:t>the State</w:t>
      </w:r>
      <w:r w:rsidR="006D228A" w:rsidRPr="00EA6C7A">
        <w:rPr>
          <w:sz w:val="20"/>
          <w:szCs w:val="20"/>
          <w:lang w:val="en-US"/>
        </w:rPr>
        <w:t xml:space="preserve">, </w:t>
      </w:r>
      <w:r w:rsidRPr="00EA6C7A">
        <w:rPr>
          <w:sz w:val="20"/>
          <w:szCs w:val="20"/>
          <w:lang w:val="en-US"/>
        </w:rPr>
        <w:t>in accordance with paragraphs</w:t>
      </w:r>
      <w:r w:rsidR="006D228A" w:rsidRPr="00EA6C7A">
        <w:rPr>
          <w:sz w:val="20"/>
          <w:szCs w:val="20"/>
          <w:lang w:val="en-US"/>
        </w:rPr>
        <w:t xml:space="preserve"> 23 </w:t>
      </w:r>
      <w:r w:rsidRPr="00EA6C7A">
        <w:rPr>
          <w:sz w:val="20"/>
          <w:szCs w:val="20"/>
          <w:lang w:val="en-US"/>
        </w:rPr>
        <w:t>to</w:t>
      </w:r>
      <w:r w:rsidR="006D228A" w:rsidRPr="00EA6C7A">
        <w:rPr>
          <w:sz w:val="20"/>
          <w:szCs w:val="20"/>
          <w:lang w:val="en-US"/>
        </w:rPr>
        <w:t xml:space="preserve"> 28 </w:t>
      </w:r>
      <w:r w:rsidRPr="00EA6C7A">
        <w:rPr>
          <w:sz w:val="20"/>
          <w:szCs w:val="20"/>
          <w:lang w:val="en-US"/>
        </w:rPr>
        <w:t>of this judgment</w:t>
      </w:r>
      <w:r w:rsidR="006D228A" w:rsidRPr="00EA6C7A">
        <w:rPr>
          <w:sz w:val="20"/>
          <w:szCs w:val="20"/>
          <w:lang w:val="en-US"/>
        </w:rPr>
        <w:t>.</w:t>
      </w:r>
    </w:p>
    <w:p w14:paraId="0F12E307" w14:textId="77777777" w:rsidR="006D228A" w:rsidRPr="00EA6C7A" w:rsidRDefault="006D228A" w:rsidP="006D228A">
      <w:pPr>
        <w:tabs>
          <w:tab w:val="num" w:pos="630"/>
          <w:tab w:val="left" w:pos="720"/>
        </w:tabs>
        <w:spacing w:after="0" w:line="240" w:lineRule="auto"/>
        <w:jc w:val="both"/>
        <w:rPr>
          <w:rFonts w:ascii="Verdana" w:hAnsi="Verdana" w:cs="Verdana"/>
          <w:b/>
          <w:color w:val="000000"/>
          <w:sz w:val="20"/>
          <w:szCs w:val="20"/>
          <w:lang w:val="en-US"/>
        </w:rPr>
      </w:pPr>
    </w:p>
    <w:p w14:paraId="629C3BD0" w14:textId="77777777" w:rsidR="006D228A" w:rsidRPr="00EA6C7A" w:rsidRDefault="006D228A" w:rsidP="006D228A">
      <w:pPr>
        <w:tabs>
          <w:tab w:val="num" w:pos="630"/>
          <w:tab w:val="left" w:pos="720"/>
        </w:tabs>
        <w:spacing w:after="0" w:line="240" w:lineRule="auto"/>
        <w:jc w:val="both"/>
        <w:rPr>
          <w:rFonts w:ascii="Verdana" w:hAnsi="Verdana" w:cs="Verdana"/>
          <w:b/>
          <w:color w:val="000000"/>
          <w:sz w:val="20"/>
          <w:szCs w:val="20"/>
          <w:lang w:val="en-US"/>
        </w:rPr>
      </w:pPr>
      <w:r w:rsidRPr="00EA6C7A">
        <w:rPr>
          <w:rFonts w:ascii="Verdana" w:hAnsi="Verdana" w:cs="Verdana"/>
          <w:b/>
          <w:color w:val="000000"/>
          <w:sz w:val="20"/>
          <w:szCs w:val="20"/>
          <w:lang w:val="en-US"/>
        </w:rPr>
        <w:t>DECLAR</w:t>
      </w:r>
      <w:r w:rsidR="0005349C" w:rsidRPr="00EA6C7A">
        <w:rPr>
          <w:rFonts w:ascii="Verdana" w:hAnsi="Verdana" w:cs="Verdana"/>
          <w:b/>
          <w:color w:val="000000"/>
          <w:sz w:val="20"/>
          <w:szCs w:val="20"/>
          <w:lang w:val="en-US"/>
        </w:rPr>
        <w:t>ES</w:t>
      </w:r>
      <w:r w:rsidRPr="00EA6C7A">
        <w:rPr>
          <w:rFonts w:ascii="Verdana" w:hAnsi="Verdana" w:cs="Verdana"/>
          <w:b/>
          <w:color w:val="000000"/>
          <w:sz w:val="20"/>
          <w:szCs w:val="20"/>
          <w:lang w:val="en-US"/>
        </w:rPr>
        <w:t>,</w:t>
      </w:r>
    </w:p>
    <w:p w14:paraId="1EAF8437" w14:textId="77777777" w:rsidR="006D228A" w:rsidRPr="00EA6C7A" w:rsidRDefault="006D228A" w:rsidP="006D228A">
      <w:pPr>
        <w:tabs>
          <w:tab w:val="num" w:pos="630"/>
          <w:tab w:val="left" w:pos="720"/>
        </w:tabs>
        <w:spacing w:after="0" w:line="240" w:lineRule="auto"/>
        <w:jc w:val="both"/>
        <w:rPr>
          <w:rFonts w:ascii="Verdana" w:hAnsi="Verdana" w:cs="Verdana"/>
          <w:b/>
          <w:color w:val="000000"/>
          <w:sz w:val="20"/>
          <w:szCs w:val="20"/>
          <w:lang w:val="en-US"/>
        </w:rPr>
      </w:pPr>
    </w:p>
    <w:p w14:paraId="4E6FE9CD" w14:textId="77777777" w:rsidR="006D228A" w:rsidRPr="00EA6C7A" w:rsidRDefault="00AA65AB" w:rsidP="006D228A">
      <w:pPr>
        <w:pStyle w:val="Default"/>
        <w:jc w:val="both"/>
        <w:rPr>
          <w:sz w:val="20"/>
          <w:szCs w:val="20"/>
          <w:lang w:val="en-US"/>
        </w:rPr>
      </w:pPr>
      <w:r w:rsidRPr="00EA6C7A">
        <w:rPr>
          <w:sz w:val="20"/>
          <w:szCs w:val="20"/>
          <w:lang w:val="en-US"/>
        </w:rPr>
        <w:t>Unanimously, that:</w:t>
      </w:r>
    </w:p>
    <w:p w14:paraId="366943AD" w14:textId="77777777" w:rsidR="006D228A" w:rsidRPr="00EA6C7A" w:rsidRDefault="002F3848" w:rsidP="00E11A7C">
      <w:pPr>
        <w:pStyle w:val="Default"/>
        <w:numPr>
          <w:ilvl w:val="0"/>
          <w:numId w:val="9"/>
        </w:numPr>
        <w:spacing w:line="240" w:lineRule="auto"/>
        <w:ind w:left="0" w:firstLine="0"/>
        <w:jc w:val="both"/>
        <w:rPr>
          <w:sz w:val="20"/>
          <w:szCs w:val="20"/>
          <w:lang w:val="en-US"/>
        </w:rPr>
      </w:pPr>
      <w:r w:rsidRPr="00EA6C7A">
        <w:rPr>
          <w:sz w:val="20"/>
          <w:szCs w:val="20"/>
          <w:lang w:val="en-US"/>
        </w:rPr>
        <w:t xml:space="preserve">The </w:t>
      </w:r>
      <w:r w:rsidR="0005349C" w:rsidRPr="00EA6C7A">
        <w:rPr>
          <w:sz w:val="20"/>
          <w:szCs w:val="20"/>
          <w:lang w:val="en-US"/>
        </w:rPr>
        <w:t>State violated</w:t>
      </w:r>
      <w:r w:rsidR="006D228A" w:rsidRPr="00EA6C7A">
        <w:rPr>
          <w:sz w:val="20"/>
          <w:szCs w:val="20"/>
          <w:lang w:val="en-US"/>
        </w:rPr>
        <w:t xml:space="preserve"> </w:t>
      </w:r>
      <w:r w:rsidR="0005349C" w:rsidRPr="00EA6C7A">
        <w:rPr>
          <w:sz w:val="20"/>
          <w:szCs w:val="20"/>
          <w:lang w:val="en-US"/>
        </w:rPr>
        <w:t xml:space="preserve">its obligation to ensure the free and full exercise </w:t>
      </w:r>
      <w:r w:rsidR="00123BD3" w:rsidRPr="00EA6C7A">
        <w:rPr>
          <w:sz w:val="20"/>
          <w:szCs w:val="20"/>
          <w:lang w:val="en-US"/>
        </w:rPr>
        <w:t xml:space="preserve">of the </w:t>
      </w:r>
      <w:r w:rsidR="00F53A64" w:rsidRPr="00EA6C7A">
        <w:rPr>
          <w:sz w:val="20"/>
          <w:szCs w:val="20"/>
          <w:lang w:val="en-US"/>
        </w:rPr>
        <w:t>rights to life</w:t>
      </w:r>
      <w:r w:rsidR="006D228A" w:rsidRPr="00EA6C7A">
        <w:rPr>
          <w:sz w:val="20"/>
          <w:szCs w:val="20"/>
          <w:lang w:val="en-US"/>
        </w:rPr>
        <w:t xml:space="preserve"> </w:t>
      </w:r>
      <w:r w:rsidR="004C1E19" w:rsidRPr="00EA6C7A">
        <w:rPr>
          <w:sz w:val="20"/>
          <w:szCs w:val="20"/>
          <w:lang w:val="en-US"/>
        </w:rPr>
        <w:t>and personal</w:t>
      </w:r>
      <w:r w:rsidR="00515C34" w:rsidRPr="00EA6C7A">
        <w:rPr>
          <w:sz w:val="20"/>
          <w:szCs w:val="20"/>
          <w:lang w:val="en-US"/>
        </w:rPr>
        <w:t xml:space="preserve"> integrity</w:t>
      </w:r>
      <w:r w:rsidR="006D228A" w:rsidRPr="00EA6C7A">
        <w:rPr>
          <w:sz w:val="20"/>
          <w:szCs w:val="20"/>
          <w:lang w:val="en-US"/>
        </w:rPr>
        <w:t xml:space="preserve"> </w:t>
      </w:r>
      <w:r w:rsidR="0005349C" w:rsidRPr="00EA6C7A">
        <w:rPr>
          <w:sz w:val="20"/>
          <w:szCs w:val="20"/>
          <w:lang w:val="en-US"/>
        </w:rPr>
        <w:t>recognized in</w:t>
      </w:r>
      <w:r w:rsidR="006D228A" w:rsidRPr="00EA6C7A">
        <w:rPr>
          <w:sz w:val="20"/>
          <w:szCs w:val="20"/>
          <w:lang w:val="en-US"/>
        </w:rPr>
        <w:t xml:space="preserve"> </w:t>
      </w:r>
      <w:r w:rsidR="0096418F" w:rsidRPr="00EA6C7A">
        <w:rPr>
          <w:sz w:val="20"/>
          <w:szCs w:val="20"/>
          <w:lang w:val="en-US"/>
        </w:rPr>
        <w:t>Articles</w:t>
      </w:r>
      <w:r w:rsidR="0092568A" w:rsidRPr="00EA6C7A">
        <w:rPr>
          <w:sz w:val="20"/>
          <w:szCs w:val="20"/>
          <w:lang w:val="en-US"/>
        </w:rPr>
        <w:t xml:space="preserve"> 4(1)</w:t>
      </w:r>
      <w:r w:rsidR="00D948A1" w:rsidRPr="00EA6C7A">
        <w:rPr>
          <w:sz w:val="20"/>
          <w:szCs w:val="20"/>
          <w:lang w:val="en-US"/>
        </w:rPr>
        <w:t xml:space="preserve"> and</w:t>
      </w:r>
      <w:r w:rsidR="00F53A64" w:rsidRPr="00EA6C7A">
        <w:rPr>
          <w:sz w:val="20"/>
          <w:szCs w:val="20"/>
          <w:lang w:val="en-US"/>
        </w:rPr>
        <w:t xml:space="preserve"> 5(1) </w:t>
      </w:r>
      <w:r w:rsidR="0096418F" w:rsidRPr="00EA6C7A">
        <w:rPr>
          <w:sz w:val="20"/>
          <w:szCs w:val="20"/>
          <w:lang w:val="en-US"/>
        </w:rPr>
        <w:t>of the American Convention on Human Rights</w:t>
      </w:r>
      <w:r w:rsidR="006D228A" w:rsidRPr="00EA6C7A">
        <w:rPr>
          <w:sz w:val="20"/>
          <w:szCs w:val="20"/>
          <w:lang w:val="en-US"/>
        </w:rPr>
        <w:t xml:space="preserve">, </w:t>
      </w:r>
      <w:r w:rsidR="0005349C" w:rsidRPr="00EA6C7A">
        <w:rPr>
          <w:sz w:val="20"/>
          <w:szCs w:val="20"/>
          <w:lang w:val="en-US"/>
        </w:rPr>
        <w:t>in relation to the general obligation to ensure rights established in</w:t>
      </w:r>
      <w:r w:rsidR="006D228A" w:rsidRPr="00EA6C7A">
        <w:rPr>
          <w:sz w:val="20"/>
          <w:szCs w:val="20"/>
          <w:lang w:val="en-US"/>
        </w:rPr>
        <w:t xml:space="preserve"> </w:t>
      </w:r>
      <w:r w:rsidR="00515C34" w:rsidRPr="00EA6C7A">
        <w:rPr>
          <w:sz w:val="20"/>
          <w:szCs w:val="20"/>
          <w:lang w:val="en-US"/>
        </w:rPr>
        <w:t>Article 1(1)</w:t>
      </w:r>
      <w:r w:rsidR="00D948A1" w:rsidRPr="00EA6C7A">
        <w:rPr>
          <w:sz w:val="20"/>
          <w:szCs w:val="20"/>
          <w:lang w:val="en-US"/>
        </w:rPr>
        <w:t xml:space="preserve"> and </w:t>
      </w:r>
      <w:r w:rsidR="0005349C" w:rsidRPr="00EA6C7A">
        <w:rPr>
          <w:sz w:val="20"/>
          <w:szCs w:val="20"/>
          <w:lang w:val="en-US"/>
        </w:rPr>
        <w:t xml:space="preserve">in relation to the obligation to adopt domestic </w:t>
      </w:r>
      <w:r w:rsidR="00724E96" w:rsidRPr="00EA6C7A">
        <w:rPr>
          <w:sz w:val="20"/>
          <w:szCs w:val="20"/>
          <w:lang w:val="en-US"/>
        </w:rPr>
        <w:t xml:space="preserve">legal </w:t>
      </w:r>
      <w:r w:rsidR="0005349C" w:rsidRPr="00EA6C7A">
        <w:rPr>
          <w:sz w:val="20"/>
          <w:szCs w:val="20"/>
          <w:lang w:val="en-US"/>
        </w:rPr>
        <w:t>provisions established in</w:t>
      </w:r>
      <w:r w:rsidR="006D228A" w:rsidRPr="00EA6C7A">
        <w:rPr>
          <w:sz w:val="20"/>
          <w:szCs w:val="20"/>
          <w:lang w:val="en-US"/>
        </w:rPr>
        <w:t xml:space="preserve"> </w:t>
      </w:r>
      <w:r w:rsidR="0096418F" w:rsidRPr="00EA6C7A">
        <w:rPr>
          <w:sz w:val="20"/>
          <w:szCs w:val="20"/>
          <w:lang w:val="en-US"/>
        </w:rPr>
        <w:t>Article</w:t>
      </w:r>
      <w:r w:rsidR="006D228A" w:rsidRPr="00EA6C7A">
        <w:rPr>
          <w:sz w:val="20"/>
          <w:szCs w:val="20"/>
          <w:lang w:val="en-US"/>
        </w:rPr>
        <w:t xml:space="preserve"> 2 </w:t>
      </w:r>
      <w:r w:rsidR="0005349C" w:rsidRPr="00EA6C7A">
        <w:rPr>
          <w:sz w:val="20"/>
          <w:szCs w:val="20"/>
          <w:lang w:val="en-US"/>
        </w:rPr>
        <w:t xml:space="preserve">of this instrument, as well as to the obligations established in </w:t>
      </w:r>
      <w:r w:rsidR="0096418F" w:rsidRPr="00EA6C7A">
        <w:rPr>
          <w:sz w:val="20"/>
          <w:szCs w:val="20"/>
          <w:lang w:val="en-US"/>
        </w:rPr>
        <w:t>Article</w:t>
      </w:r>
      <w:r w:rsidR="006D228A" w:rsidRPr="00EA6C7A">
        <w:rPr>
          <w:sz w:val="20"/>
          <w:szCs w:val="20"/>
          <w:lang w:val="en-US"/>
        </w:rPr>
        <w:t xml:space="preserve"> 7</w:t>
      </w:r>
      <w:r w:rsidR="0096418F" w:rsidRPr="00EA6C7A">
        <w:rPr>
          <w:sz w:val="20"/>
          <w:szCs w:val="20"/>
          <w:lang w:val="en-US"/>
        </w:rPr>
        <w:t xml:space="preserve"> of the </w:t>
      </w:r>
      <w:r w:rsidR="008B402D" w:rsidRPr="00EA6C7A">
        <w:rPr>
          <w:sz w:val="20"/>
          <w:szCs w:val="20"/>
          <w:lang w:val="en-US"/>
        </w:rPr>
        <w:t>Inter-American Convention on the Prevention, Punishment and Eradication of Violence against Women</w:t>
      </w:r>
      <w:r w:rsidR="006D228A" w:rsidRPr="00EA6C7A">
        <w:rPr>
          <w:sz w:val="20"/>
          <w:szCs w:val="20"/>
          <w:lang w:val="en-US"/>
        </w:rPr>
        <w:t xml:space="preserve">, </w:t>
      </w:r>
      <w:r w:rsidR="00123BD3" w:rsidRPr="00EA6C7A">
        <w:rPr>
          <w:sz w:val="20"/>
          <w:szCs w:val="20"/>
          <w:lang w:val="en-US"/>
        </w:rPr>
        <w:t>to the detriment of</w:t>
      </w:r>
      <w:r w:rsidR="006D228A" w:rsidRPr="00EA6C7A">
        <w:rPr>
          <w:sz w:val="20"/>
          <w:szCs w:val="20"/>
          <w:lang w:val="en-US"/>
        </w:rPr>
        <w:t xml:space="preserve"> Claudina </w:t>
      </w:r>
      <w:r w:rsidR="006D228A" w:rsidRPr="00EA6C7A">
        <w:rPr>
          <w:rFonts w:eastAsia="Calibri" w:cs="Arial"/>
          <w:sz w:val="20"/>
          <w:szCs w:val="20"/>
          <w:lang w:val="en-US"/>
        </w:rPr>
        <w:t xml:space="preserve">Isabel </w:t>
      </w:r>
      <w:r w:rsidR="006D228A" w:rsidRPr="00EA6C7A">
        <w:rPr>
          <w:sz w:val="20"/>
          <w:szCs w:val="20"/>
          <w:lang w:val="en-US"/>
        </w:rPr>
        <w:t xml:space="preserve">Velásquez Paiz, </w:t>
      </w:r>
      <w:r w:rsidR="0005349C" w:rsidRPr="00EA6C7A">
        <w:rPr>
          <w:sz w:val="20"/>
          <w:szCs w:val="20"/>
          <w:lang w:val="en-US"/>
        </w:rPr>
        <w:t>in accordance with paragraphs</w:t>
      </w:r>
      <w:r w:rsidR="006D228A" w:rsidRPr="00EA6C7A">
        <w:rPr>
          <w:sz w:val="20"/>
          <w:szCs w:val="20"/>
          <w:lang w:val="en-US" w:eastAsia="es-CR"/>
        </w:rPr>
        <w:t xml:space="preserve"> 105 </w:t>
      </w:r>
      <w:r w:rsidR="0005349C" w:rsidRPr="00EA6C7A">
        <w:rPr>
          <w:sz w:val="20"/>
          <w:szCs w:val="20"/>
          <w:lang w:val="en-US" w:eastAsia="es-CR"/>
        </w:rPr>
        <w:t xml:space="preserve">to </w:t>
      </w:r>
      <w:r w:rsidR="006D228A" w:rsidRPr="00EA6C7A">
        <w:rPr>
          <w:sz w:val="20"/>
          <w:szCs w:val="20"/>
          <w:lang w:val="en-US" w:eastAsia="es-CR"/>
        </w:rPr>
        <w:t>134</w:t>
      </w:r>
      <w:r w:rsidR="006D228A" w:rsidRPr="00EA6C7A">
        <w:rPr>
          <w:sz w:val="20"/>
          <w:szCs w:val="20"/>
          <w:lang w:val="en-US"/>
        </w:rPr>
        <w:t xml:space="preserve"> </w:t>
      </w:r>
      <w:r w:rsidR="0005349C" w:rsidRPr="00EA6C7A">
        <w:rPr>
          <w:sz w:val="20"/>
          <w:szCs w:val="20"/>
          <w:lang w:val="en-US"/>
        </w:rPr>
        <w:t>of this judgment</w:t>
      </w:r>
      <w:r w:rsidR="006D228A" w:rsidRPr="00EA6C7A">
        <w:rPr>
          <w:sz w:val="20"/>
          <w:szCs w:val="20"/>
          <w:lang w:val="en-US"/>
        </w:rPr>
        <w:t>.</w:t>
      </w:r>
    </w:p>
    <w:p w14:paraId="7F561464" w14:textId="77777777" w:rsidR="006D228A" w:rsidRPr="00EA6C7A" w:rsidRDefault="00AA65AB" w:rsidP="006D228A">
      <w:pPr>
        <w:pStyle w:val="Default"/>
        <w:jc w:val="both"/>
        <w:rPr>
          <w:sz w:val="20"/>
          <w:szCs w:val="20"/>
          <w:lang w:val="en-US"/>
        </w:rPr>
      </w:pPr>
      <w:r w:rsidRPr="00EA6C7A">
        <w:rPr>
          <w:sz w:val="20"/>
          <w:szCs w:val="20"/>
          <w:lang w:val="en-US"/>
        </w:rPr>
        <w:t>Unanimously, that:</w:t>
      </w:r>
    </w:p>
    <w:p w14:paraId="24594AA6" w14:textId="77777777" w:rsidR="006D228A" w:rsidRPr="00EA6C7A" w:rsidRDefault="002F3848" w:rsidP="00E11A7C">
      <w:pPr>
        <w:pStyle w:val="Default"/>
        <w:numPr>
          <w:ilvl w:val="0"/>
          <w:numId w:val="9"/>
        </w:numPr>
        <w:spacing w:after="0" w:line="240" w:lineRule="auto"/>
        <w:ind w:left="0" w:firstLine="0"/>
        <w:jc w:val="both"/>
        <w:rPr>
          <w:rFonts w:eastAsia="Batang" w:cs="Times"/>
          <w:sz w:val="20"/>
          <w:szCs w:val="20"/>
          <w:lang w:val="en-US"/>
        </w:rPr>
      </w:pPr>
      <w:r w:rsidRPr="00EA6C7A">
        <w:rPr>
          <w:rFonts w:eastAsia="Batang" w:cs="Times"/>
          <w:sz w:val="20"/>
          <w:szCs w:val="20"/>
          <w:lang w:val="en-US"/>
        </w:rPr>
        <w:t xml:space="preserve">The </w:t>
      </w:r>
      <w:r w:rsidR="0005349C" w:rsidRPr="00EA6C7A">
        <w:rPr>
          <w:rFonts w:eastAsia="Batang" w:cs="Times"/>
          <w:sz w:val="20"/>
          <w:szCs w:val="20"/>
          <w:lang w:val="en-US"/>
        </w:rPr>
        <w:t>State violated</w:t>
      </w:r>
      <w:r w:rsidR="006D228A" w:rsidRPr="00EA6C7A">
        <w:rPr>
          <w:rFonts w:eastAsia="Batang" w:cs="Times"/>
          <w:sz w:val="20"/>
          <w:szCs w:val="20"/>
          <w:lang w:val="en-US"/>
        </w:rPr>
        <w:t xml:space="preserve"> </w:t>
      </w:r>
      <w:r w:rsidR="0005349C" w:rsidRPr="00EA6C7A">
        <w:rPr>
          <w:rFonts w:eastAsia="Batang" w:cs="Times"/>
          <w:sz w:val="20"/>
          <w:szCs w:val="20"/>
          <w:lang w:val="en-US"/>
        </w:rPr>
        <w:t>the r</w:t>
      </w:r>
      <w:r w:rsidR="00F4629D" w:rsidRPr="00EA6C7A">
        <w:rPr>
          <w:rFonts w:eastAsia="Batang" w:cs="Times"/>
          <w:sz w:val="20"/>
          <w:szCs w:val="20"/>
          <w:lang w:val="en-US"/>
        </w:rPr>
        <w:t>ights to judicial guarantees</w:t>
      </w:r>
      <w:r w:rsidR="00D948A1" w:rsidRPr="00EA6C7A">
        <w:rPr>
          <w:rFonts w:eastAsia="Batang" w:cs="Times"/>
          <w:sz w:val="20"/>
          <w:szCs w:val="20"/>
          <w:lang w:val="en-US"/>
        </w:rPr>
        <w:t xml:space="preserve"> and </w:t>
      </w:r>
      <w:r w:rsidR="00F4629D" w:rsidRPr="00EA6C7A">
        <w:rPr>
          <w:rFonts w:eastAsia="Batang" w:cs="Times"/>
          <w:sz w:val="20"/>
          <w:szCs w:val="20"/>
          <w:lang w:val="en-US"/>
        </w:rPr>
        <w:t>judicial protection</w:t>
      </w:r>
      <w:r w:rsidR="006D228A" w:rsidRPr="00EA6C7A">
        <w:rPr>
          <w:rFonts w:eastAsia="Batang" w:cs="Times"/>
          <w:sz w:val="20"/>
          <w:szCs w:val="20"/>
          <w:lang w:val="en-US"/>
        </w:rPr>
        <w:t xml:space="preserve">, </w:t>
      </w:r>
      <w:r w:rsidR="0005349C" w:rsidRPr="00EA6C7A">
        <w:rPr>
          <w:rFonts w:eastAsia="Batang" w:cs="Times"/>
          <w:sz w:val="20"/>
          <w:szCs w:val="20"/>
          <w:lang w:val="en-US"/>
        </w:rPr>
        <w:t>recognized in</w:t>
      </w:r>
      <w:r w:rsidR="006D228A" w:rsidRPr="00EA6C7A">
        <w:rPr>
          <w:rFonts w:eastAsia="Batang" w:cs="Times"/>
          <w:sz w:val="20"/>
          <w:szCs w:val="20"/>
          <w:lang w:val="en-US"/>
        </w:rPr>
        <w:t xml:space="preserve"> </w:t>
      </w:r>
      <w:r w:rsidR="00515C34" w:rsidRPr="00EA6C7A">
        <w:rPr>
          <w:rFonts w:eastAsia="Batang" w:cs="Times"/>
          <w:sz w:val="20"/>
          <w:szCs w:val="20"/>
          <w:lang w:val="en-US"/>
        </w:rPr>
        <w:t>Articles 8(1)</w:t>
      </w:r>
      <w:r w:rsidR="00D948A1" w:rsidRPr="00EA6C7A">
        <w:rPr>
          <w:rFonts w:eastAsia="Batang" w:cs="Times"/>
          <w:sz w:val="20"/>
          <w:szCs w:val="20"/>
          <w:lang w:val="en-US"/>
        </w:rPr>
        <w:t xml:space="preserve"> and </w:t>
      </w:r>
      <w:r w:rsidR="00715B6F" w:rsidRPr="00EA6C7A">
        <w:rPr>
          <w:rFonts w:eastAsia="Batang" w:cs="Times"/>
          <w:sz w:val="20"/>
          <w:szCs w:val="20"/>
          <w:lang w:val="en-US"/>
        </w:rPr>
        <w:t>25(1)</w:t>
      </w:r>
      <w:r w:rsidR="0096418F" w:rsidRPr="00EA6C7A">
        <w:rPr>
          <w:rFonts w:eastAsia="Batang" w:cs="Times"/>
          <w:sz w:val="20"/>
          <w:szCs w:val="20"/>
          <w:lang w:val="en-US"/>
        </w:rPr>
        <w:t xml:space="preserve"> of the American Convention on Human Rights</w:t>
      </w:r>
      <w:r w:rsidR="006D228A" w:rsidRPr="00EA6C7A">
        <w:rPr>
          <w:rFonts w:eastAsia="Batang" w:cs="Times"/>
          <w:sz w:val="20"/>
          <w:szCs w:val="20"/>
          <w:lang w:val="en-US"/>
        </w:rPr>
        <w:t>,</w:t>
      </w:r>
      <w:r w:rsidR="00D948A1" w:rsidRPr="00EA6C7A">
        <w:rPr>
          <w:rFonts w:eastAsia="Batang" w:cs="Times"/>
          <w:sz w:val="20"/>
          <w:szCs w:val="20"/>
          <w:lang w:val="en-US"/>
        </w:rPr>
        <w:t xml:space="preserve"> and </w:t>
      </w:r>
      <w:r w:rsidR="00515C34" w:rsidRPr="00EA6C7A">
        <w:rPr>
          <w:rFonts w:eastAsia="Batang" w:cs="Times"/>
          <w:sz w:val="20"/>
          <w:szCs w:val="20"/>
          <w:lang w:val="en-US"/>
        </w:rPr>
        <w:t>the right to</w:t>
      </w:r>
      <w:r w:rsidR="006D228A" w:rsidRPr="00EA6C7A">
        <w:rPr>
          <w:rFonts w:eastAsia="Batang" w:cs="Times"/>
          <w:sz w:val="20"/>
          <w:szCs w:val="20"/>
          <w:lang w:val="en-US"/>
        </w:rPr>
        <w:t xml:space="preserve"> </w:t>
      </w:r>
      <w:r w:rsidR="002D218C" w:rsidRPr="00EA6C7A">
        <w:rPr>
          <w:rFonts w:eastAsia="Batang" w:cs="Times"/>
          <w:sz w:val="20"/>
          <w:szCs w:val="20"/>
          <w:lang w:val="en-US"/>
        </w:rPr>
        <w:t>equality before the law</w:t>
      </w:r>
      <w:r w:rsidR="006D228A" w:rsidRPr="00EA6C7A">
        <w:rPr>
          <w:rFonts w:eastAsia="Batang" w:cs="Times"/>
          <w:sz w:val="20"/>
          <w:szCs w:val="20"/>
          <w:lang w:val="en-US"/>
        </w:rPr>
        <w:t xml:space="preserve"> </w:t>
      </w:r>
      <w:r w:rsidR="00444A4F" w:rsidRPr="00EA6C7A">
        <w:rPr>
          <w:rFonts w:eastAsia="Batang" w:cs="Times"/>
          <w:sz w:val="20"/>
          <w:szCs w:val="20"/>
          <w:lang w:val="en-US"/>
        </w:rPr>
        <w:t>recognized in</w:t>
      </w:r>
      <w:r w:rsidR="006D228A" w:rsidRPr="00EA6C7A">
        <w:rPr>
          <w:rFonts w:eastAsia="Batang" w:cs="Times"/>
          <w:sz w:val="20"/>
          <w:szCs w:val="20"/>
          <w:lang w:val="en-US"/>
        </w:rPr>
        <w:t xml:space="preserve"> </w:t>
      </w:r>
      <w:r w:rsidR="0096418F" w:rsidRPr="00EA6C7A">
        <w:rPr>
          <w:rFonts w:eastAsia="Batang" w:cs="Times"/>
          <w:sz w:val="20"/>
          <w:szCs w:val="20"/>
          <w:lang w:val="en-US"/>
        </w:rPr>
        <w:t>Article</w:t>
      </w:r>
      <w:r w:rsidR="006D228A" w:rsidRPr="00EA6C7A">
        <w:rPr>
          <w:rFonts w:eastAsia="Batang" w:cs="Times"/>
          <w:sz w:val="20"/>
          <w:szCs w:val="20"/>
          <w:lang w:val="en-US"/>
        </w:rPr>
        <w:t xml:space="preserve"> 24 </w:t>
      </w:r>
      <w:r w:rsidR="0005349C" w:rsidRPr="00EA6C7A">
        <w:rPr>
          <w:rFonts w:eastAsia="Batang" w:cs="Times"/>
          <w:sz w:val="20"/>
          <w:szCs w:val="20"/>
          <w:lang w:val="en-US"/>
        </w:rPr>
        <w:t>of the Convention</w:t>
      </w:r>
      <w:r w:rsidR="006D228A" w:rsidRPr="00EA6C7A">
        <w:rPr>
          <w:rFonts w:eastAsia="Batang" w:cs="Times"/>
          <w:sz w:val="20"/>
          <w:szCs w:val="20"/>
          <w:lang w:val="en-US"/>
        </w:rPr>
        <w:t xml:space="preserve">, </w:t>
      </w:r>
      <w:r w:rsidR="0005349C" w:rsidRPr="00EA6C7A">
        <w:rPr>
          <w:rFonts w:eastAsia="Batang" w:cs="Times"/>
          <w:sz w:val="20"/>
          <w:szCs w:val="20"/>
          <w:lang w:val="en-US"/>
        </w:rPr>
        <w:t>in relation to the general obligations established in</w:t>
      </w:r>
      <w:r w:rsidR="006D228A" w:rsidRPr="00EA6C7A">
        <w:rPr>
          <w:rFonts w:eastAsia="Batang" w:cs="Times"/>
          <w:sz w:val="20"/>
          <w:szCs w:val="20"/>
          <w:lang w:val="en-US"/>
        </w:rPr>
        <w:t xml:space="preserve"> </w:t>
      </w:r>
      <w:r w:rsidR="0096418F" w:rsidRPr="00EA6C7A">
        <w:rPr>
          <w:rFonts w:eastAsia="Batang" w:cs="Times"/>
          <w:sz w:val="20"/>
          <w:szCs w:val="20"/>
          <w:lang w:val="en-US"/>
        </w:rPr>
        <w:t>Articles</w:t>
      </w:r>
      <w:r w:rsidR="00715B6F" w:rsidRPr="00EA6C7A">
        <w:rPr>
          <w:rFonts w:eastAsia="Batang" w:cs="Times"/>
          <w:sz w:val="20"/>
          <w:szCs w:val="20"/>
          <w:lang w:val="en-US"/>
        </w:rPr>
        <w:t xml:space="preserve"> 1(1) </w:t>
      </w:r>
      <w:r w:rsidR="00D948A1" w:rsidRPr="00EA6C7A">
        <w:rPr>
          <w:rFonts w:eastAsia="Batang" w:cs="Times"/>
          <w:sz w:val="20"/>
          <w:szCs w:val="20"/>
          <w:lang w:val="en-US"/>
        </w:rPr>
        <w:t xml:space="preserve">and </w:t>
      </w:r>
      <w:r w:rsidR="006D228A" w:rsidRPr="00EA6C7A">
        <w:rPr>
          <w:rFonts w:eastAsia="Batang" w:cs="Times"/>
          <w:sz w:val="20"/>
          <w:szCs w:val="20"/>
          <w:lang w:val="en-US"/>
        </w:rPr>
        <w:t xml:space="preserve">2 </w:t>
      </w:r>
      <w:r w:rsidR="0005349C" w:rsidRPr="00EA6C7A">
        <w:rPr>
          <w:rFonts w:eastAsia="Batang" w:cs="Times"/>
          <w:sz w:val="20"/>
          <w:szCs w:val="20"/>
          <w:lang w:val="en-US"/>
        </w:rPr>
        <w:t>of this instrument</w:t>
      </w:r>
      <w:r w:rsidR="006D228A" w:rsidRPr="00EA6C7A">
        <w:rPr>
          <w:rFonts w:eastAsia="Batang" w:cs="Times"/>
          <w:sz w:val="20"/>
          <w:szCs w:val="20"/>
          <w:lang w:val="en-US"/>
        </w:rPr>
        <w:t>,</w:t>
      </w:r>
      <w:r w:rsidR="00D948A1" w:rsidRPr="00EA6C7A">
        <w:rPr>
          <w:rFonts w:eastAsia="Batang" w:cs="Times"/>
          <w:sz w:val="20"/>
          <w:szCs w:val="20"/>
          <w:lang w:val="en-US"/>
        </w:rPr>
        <w:t xml:space="preserve"> and</w:t>
      </w:r>
      <w:r w:rsidR="006D228A" w:rsidRPr="00EA6C7A">
        <w:rPr>
          <w:rFonts w:eastAsia="Batang" w:cs="Times"/>
          <w:sz w:val="20"/>
          <w:szCs w:val="20"/>
          <w:lang w:val="en-US"/>
        </w:rPr>
        <w:t xml:space="preserve"> </w:t>
      </w:r>
      <w:r w:rsidR="0096418F" w:rsidRPr="00EA6C7A">
        <w:rPr>
          <w:rFonts w:eastAsia="Batang" w:cs="Times"/>
          <w:sz w:val="20"/>
          <w:szCs w:val="20"/>
          <w:lang w:val="en-US"/>
        </w:rPr>
        <w:t>Article</w:t>
      </w:r>
      <w:r w:rsidR="006D228A" w:rsidRPr="00EA6C7A">
        <w:rPr>
          <w:rFonts w:eastAsia="Batang" w:cs="Times"/>
          <w:sz w:val="20"/>
          <w:szCs w:val="20"/>
          <w:lang w:val="en-US"/>
        </w:rPr>
        <w:t xml:space="preserve"> 7</w:t>
      </w:r>
      <w:r w:rsidR="0096418F" w:rsidRPr="00EA6C7A">
        <w:rPr>
          <w:rFonts w:eastAsia="Batang" w:cs="Times"/>
          <w:sz w:val="20"/>
          <w:szCs w:val="20"/>
          <w:lang w:val="en-US"/>
        </w:rPr>
        <w:t xml:space="preserve"> of the </w:t>
      </w:r>
      <w:r w:rsidR="008B402D" w:rsidRPr="00EA6C7A">
        <w:rPr>
          <w:rFonts w:eastAsia="Batang" w:cs="Times"/>
          <w:sz w:val="20"/>
          <w:szCs w:val="20"/>
          <w:lang w:val="en-US"/>
        </w:rPr>
        <w:t>Inter-American Convention on the Prevention, Punishment and Eradication of Violence against Women</w:t>
      </w:r>
      <w:r w:rsidR="006D228A" w:rsidRPr="00EA6C7A">
        <w:rPr>
          <w:rFonts w:eastAsia="Batang" w:cs="Times"/>
          <w:sz w:val="20"/>
          <w:szCs w:val="20"/>
          <w:lang w:val="en-US"/>
        </w:rPr>
        <w:t xml:space="preserve">, </w:t>
      </w:r>
      <w:r w:rsidR="00123BD3" w:rsidRPr="00EA6C7A">
        <w:rPr>
          <w:rFonts w:eastAsia="Calibri"/>
          <w:sz w:val="20"/>
          <w:szCs w:val="20"/>
          <w:lang w:val="en-US"/>
        </w:rPr>
        <w:t>to the detriment of</w:t>
      </w:r>
      <w:r w:rsidR="006D228A" w:rsidRPr="00EA6C7A">
        <w:rPr>
          <w:rFonts w:eastAsia="Calibri"/>
          <w:sz w:val="20"/>
          <w:szCs w:val="20"/>
          <w:lang w:val="en-US"/>
        </w:rPr>
        <w:t xml:space="preserve"> </w:t>
      </w:r>
      <w:r w:rsidR="006D228A" w:rsidRPr="00EA6C7A">
        <w:rPr>
          <w:rFonts w:eastAsia="Batang"/>
          <w:sz w:val="20"/>
          <w:szCs w:val="20"/>
          <w:lang w:val="en-US"/>
        </w:rPr>
        <w:t xml:space="preserve">Elsa Claudina Paiz Vidal, </w:t>
      </w:r>
      <w:r w:rsidR="006D228A" w:rsidRPr="00EA6C7A">
        <w:rPr>
          <w:rFonts w:eastAsia="Verdana"/>
          <w:sz w:val="20"/>
          <w:szCs w:val="20"/>
          <w:lang w:val="en-US"/>
        </w:rPr>
        <w:t>Jorge</w:t>
      </w:r>
      <w:r w:rsidR="006D228A" w:rsidRPr="00EA6C7A">
        <w:rPr>
          <w:rFonts w:eastAsia="Batang"/>
          <w:sz w:val="20"/>
          <w:szCs w:val="20"/>
          <w:lang w:val="en-US"/>
        </w:rPr>
        <w:t xml:space="preserve"> Rolando Velásquez Durán</w:t>
      </w:r>
      <w:r w:rsidR="00D948A1" w:rsidRPr="00EA6C7A">
        <w:rPr>
          <w:rFonts w:eastAsia="Batang"/>
          <w:sz w:val="20"/>
          <w:szCs w:val="20"/>
          <w:lang w:val="en-US"/>
        </w:rPr>
        <w:t xml:space="preserve"> and </w:t>
      </w:r>
      <w:r w:rsidR="006D228A" w:rsidRPr="00EA6C7A">
        <w:rPr>
          <w:rFonts w:eastAsia="Batang"/>
          <w:sz w:val="20"/>
          <w:szCs w:val="20"/>
          <w:lang w:val="en-US"/>
        </w:rPr>
        <w:t xml:space="preserve">Pablo Andrés </w:t>
      </w:r>
      <w:r w:rsidR="006D228A" w:rsidRPr="00EA6C7A">
        <w:rPr>
          <w:rFonts w:eastAsia="Batang"/>
          <w:sz w:val="20"/>
          <w:szCs w:val="20"/>
          <w:lang w:val="en-US"/>
        </w:rPr>
        <w:lastRenderedPageBreak/>
        <w:t>Velásquez Paiz,</w:t>
      </w:r>
      <w:r w:rsidR="006D228A" w:rsidRPr="00EA6C7A">
        <w:rPr>
          <w:rFonts w:eastAsia="Calibri"/>
          <w:sz w:val="20"/>
          <w:szCs w:val="20"/>
          <w:lang w:val="en-US"/>
        </w:rPr>
        <w:t xml:space="preserve"> </w:t>
      </w:r>
      <w:r w:rsidR="0005349C" w:rsidRPr="00EA6C7A">
        <w:rPr>
          <w:rFonts w:eastAsia="Calibri"/>
          <w:sz w:val="20"/>
          <w:szCs w:val="20"/>
          <w:lang w:val="en-US"/>
        </w:rPr>
        <w:t>all next of kin of</w:t>
      </w:r>
      <w:r w:rsidR="006D228A" w:rsidRPr="00EA6C7A">
        <w:rPr>
          <w:rFonts w:eastAsia="Calibri"/>
          <w:sz w:val="20"/>
          <w:szCs w:val="20"/>
          <w:lang w:val="en-US"/>
        </w:rPr>
        <w:t xml:space="preserve"> Claudina </w:t>
      </w:r>
      <w:r w:rsidR="006D228A" w:rsidRPr="00EA6C7A">
        <w:rPr>
          <w:rFonts w:eastAsia="Calibri" w:cs="Arial"/>
          <w:sz w:val="20"/>
          <w:szCs w:val="20"/>
          <w:lang w:val="en-US"/>
        </w:rPr>
        <w:t>Isabel</w:t>
      </w:r>
      <w:r w:rsidR="006D228A" w:rsidRPr="00EA6C7A">
        <w:rPr>
          <w:rFonts w:eastAsia="Calibri"/>
          <w:sz w:val="20"/>
          <w:szCs w:val="20"/>
          <w:lang w:val="en-US"/>
        </w:rPr>
        <w:t xml:space="preserve"> Velásquez Paiz</w:t>
      </w:r>
      <w:r w:rsidR="006D228A" w:rsidRPr="00EA6C7A">
        <w:rPr>
          <w:sz w:val="20"/>
          <w:szCs w:val="20"/>
          <w:lang w:val="en-US"/>
        </w:rPr>
        <w:t xml:space="preserve">, </w:t>
      </w:r>
      <w:r w:rsidR="0005349C" w:rsidRPr="00EA6C7A">
        <w:rPr>
          <w:sz w:val="20"/>
          <w:szCs w:val="20"/>
          <w:lang w:val="en-US"/>
        </w:rPr>
        <w:t>in accordance with paragraphs</w:t>
      </w:r>
      <w:r w:rsidR="006D228A" w:rsidRPr="00EA6C7A">
        <w:rPr>
          <w:sz w:val="20"/>
          <w:szCs w:val="20"/>
          <w:lang w:val="en-US" w:eastAsia="es-CR"/>
        </w:rPr>
        <w:t xml:space="preserve"> 142 </w:t>
      </w:r>
      <w:r w:rsidR="0005349C" w:rsidRPr="00EA6C7A">
        <w:rPr>
          <w:sz w:val="20"/>
          <w:szCs w:val="20"/>
          <w:lang w:val="en-US" w:eastAsia="es-CR"/>
        </w:rPr>
        <w:t>to</w:t>
      </w:r>
      <w:r w:rsidR="006D228A" w:rsidRPr="00EA6C7A">
        <w:rPr>
          <w:sz w:val="20"/>
          <w:szCs w:val="20"/>
          <w:lang w:val="en-US" w:eastAsia="es-CR"/>
        </w:rPr>
        <w:t xml:space="preserve"> 202</w:t>
      </w:r>
      <w:r w:rsidR="006D228A" w:rsidRPr="00EA6C7A">
        <w:rPr>
          <w:sz w:val="20"/>
          <w:szCs w:val="20"/>
          <w:lang w:val="en-US"/>
        </w:rPr>
        <w:t xml:space="preserve"> </w:t>
      </w:r>
      <w:r w:rsidR="0005349C" w:rsidRPr="00EA6C7A">
        <w:rPr>
          <w:sz w:val="20"/>
          <w:szCs w:val="20"/>
          <w:lang w:val="en-US"/>
        </w:rPr>
        <w:t>of this judgment</w:t>
      </w:r>
      <w:r w:rsidR="006D228A" w:rsidRPr="00EA6C7A">
        <w:rPr>
          <w:sz w:val="20"/>
          <w:szCs w:val="20"/>
          <w:lang w:val="en-US"/>
        </w:rPr>
        <w:t>.</w:t>
      </w:r>
    </w:p>
    <w:p w14:paraId="109181C6" w14:textId="77777777" w:rsidR="006D228A" w:rsidRPr="00EA6C7A" w:rsidRDefault="006D228A" w:rsidP="006D228A">
      <w:pPr>
        <w:pStyle w:val="Default"/>
        <w:spacing w:after="0" w:line="240" w:lineRule="auto"/>
        <w:jc w:val="both"/>
        <w:rPr>
          <w:rFonts w:eastAsia="Batang" w:cs="Times"/>
          <w:sz w:val="20"/>
          <w:szCs w:val="20"/>
          <w:lang w:val="en-US"/>
        </w:rPr>
      </w:pPr>
    </w:p>
    <w:p w14:paraId="392C36A3" w14:textId="77777777" w:rsidR="006D228A" w:rsidRPr="00EA6C7A" w:rsidRDefault="00AA65AB" w:rsidP="006D228A">
      <w:pPr>
        <w:pStyle w:val="Default"/>
        <w:jc w:val="both"/>
        <w:rPr>
          <w:sz w:val="20"/>
          <w:szCs w:val="20"/>
          <w:lang w:val="en-US"/>
        </w:rPr>
      </w:pPr>
      <w:r w:rsidRPr="00EA6C7A">
        <w:rPr>
          <w:sz w:val="20"/>
          <w:szCs w:val="20"/>
          <w:lang w:val="en-US"/>
        </w:rPr>
        <w:t>Unanimously, that:</w:t>
      </w:r>
    </w:p>
    <w:p w14:paraId="7038DD69" w14:textId="77777777" w:rsidR="006D228A" w:rsidRPr="00EA6C7A" w:rsidRDefault="002F3848" w:rsidP="00E11A7C">
      <w:pPr>
        <w:pStyle w:val="Default"/>
        <w:numPr>
          <w:ilvl w:val="0"/>
          <w:numId w:val="9"/>
        </w:numPr>
        <w:spacing w:line="240" w:lineRule="auto"/>
        <w:ind w:left="0" w:firstLine="0"/>
        <w:jc w:val="both"/>
        <w:rPr>
          <w:b/>
          <w:sz w:val="20"/>
          <w:szCs w:val="20"/>
          <w:lang w:val="en-US"/>
        </w:rPr>
      </w:pPr>
      <w:r w:rsidRPr="00EA6C7A">
        <w:rPr>
          <w:sz w:val="20"/>
          <w:szCs w:val="20"/>
          <w:lang w:val="en-US" w:eastAsia="es-ES"/>
        </w:rPr>
        <w:t xml:space="preserve">The </w:t>
      </w:r>
      <w:r w:rsidR="0005349C" w:rsidRPr="00EA6C7A">
        <w:rPr>
          <w:sz w:val="20"/>
          <w:szCs w:val="20"/>
          <w:lang w:val="en-US" w:eastAsia="es-ES"/>
        </w:rPr>
        <w:t>State violated</w:t>
      </w:r>
      <w:r w:rsidR="006D228A" w:rsidRPr="00EA6C7A">
        <w:rPr>
          <w:sz w:val="20"/>
          <w:szCs w:val="20"/>
          <w:lang w:val="en-US"/>
        </w:rPr>
        <w:t xml:space="preserve"> </w:t>
      </w:r>
      <w:r w:rsidR="0005349C" w:rsidRPr="00EA6C7A">
        <w:rPr>
          <w:sz w:val="20"/>
          <w:szCs w:val="20"/>
          <w:lang w:val="en-US"/>
        </w:rPr>
        <w:t>the rights to</w:t>
      </w:r>
      <w:r w:rsidR="006D228A" w:rsidRPr="00EA6C7A">
        <w:rPr>
          <w:sz w:val="20"/>
          <w:szCs w:val="20"/>
          <w:lang w:val="en-US"/>
        </w:rPr>
        <w:t xml:space="preserve"> </w:t>
      </w:r>
      <w:r w:rsidR="00515C34" w:rsidRPr="00EA6C7A">
        <w:rPr>
          <w:sz w:val="20"/>
          <w:szCs w:val="20"/>
          <w:lang w:val="en-US"/>
        </w:rPr>
        <w:t>personal integrity</w:t>
      </w:r>
      <w:r w:rsidR="00D948A1" w:rsidRPr="00EA6C7A">
        <w:rPr>
          <w:sz w:val="20"/>
          <w:szCs w:val="20"/>
          <w:lang w:val="en-US"/>
        </w:rPr>
        <w:t xml:space="preserve"> and </w:t>
      </w:r>
      <w:r w:rsidR="0005349C" w:rsidRPr="00EA6C7A">
        <w:rPr>
          <w:sz w:val="20"/>
          <w:szCs w:val="20"/>
          <w:lang w:val="en-US"/>
        </w:rPr>
        <w:t xml:space="preserve">to respect for honor and </w:t>
      </w:r>
      <w:r w:rsidR="00724E96" w:rsidRPr="00EA6C7A">
        <w:rPr>
          <w:sz w:val="20"/>
          <w:szCs w:val="20"/>
          <w:lang w:val="en-US"/>
        </w:rPr>
        <w:t xml:space="preserve">recognition of </w:t>
      </w:r>
      <w:r w:rsidR="0005349C" w:rsidRPr="00EA6C7A">
        <w:rPr>
          <w:sz w:val="20"/>
          <w:szCs w:val="20"/>
          <w:lang w:val="en-US"/>
        </w:rPr>
        <w:t>dignity, recognized in</w:t>
      </w:r>
      <w:r w:rsidR="006D228A" w:rsidRPr="00EA6C7A">
        <w:rPr>
          <w:sz w:val="20"/>
          <w:szCs w:val="20"/>
          <w:lang w:val="en-US"/>
        </w:rPr>
        <w:t xml:space="preserve"> </w:t>
      </w:r>
      <w:r w:rsidR="00515C34" w:rsidRPr="00EA6C7A">
        <w:rPr>
          <w:sz w:val="20"/>
          <w:szCs w:val="20"/>
          <w:lang w:val="en-US"/>
        </w:rPr>
        <w:t>Article</w:t>
      </w:r>
      <w:r w:rsidR="0005349C" w:rsidRPr="00EA6C7A">
        <w:rPr>
          <w:sz w:val="20"/>
          <w:szCs w:val="20"/>
          <w:lang w:val="en-US"/>
        </w:rPr>
        <w:t>s</w:t>
      </w:r>
      <w:r w:rsidR="00515C34" w:rsidRPr="00EA6C7A">
        <w:rPr>
          <w:sz w:val="20"/>
          <w:szCs w:val="20"/>
          <w:lang w:val="en-US"/>
        </w:rPr>
        <w:t xml:space="preserve"> 5(1)</w:t>
      </w:r>
      <w:r w:rsidR="00D948A1" w:rsidRPr="00EA6C7A">
        <w:rPr>
          <w:sz w:val="20"/>
          <w:szCs w:val="20"/>
          <w:lang w:val="en-US"/>
        </w:rPr>
        <w:t xml:space="preserve"> and </w:t>
      </w:r>
      <w:r w:rsidR="006D228A" w:rsidRPr="00EA6C7A">
        <w:rPr>
          <w:sz w:val="20"/>
          <w:szCs w:val="20"/>
          <w:lang w:val="en-US"/>
        </w:rPr>
        <w:t>11</w:t>
      </w:r>
      <w:r w:rsidR="0096418F" w:rsidRPr="00EA6C7A">
        <w:rPr>
          <w:sz w:val="20"/>
          <w:szCs w:val="20"/>
          <w:lang w:val="en-US"/>
        </w:rPr>
        <w:t xml:space="preserve"> of the American Convention on Human Rights</w:t>
      </w:r>
      <w:r w:rsidR="006D228A" w:rsidRPr="00EA6C7A">
        <w:rPr>
          <w:sz w:val="20"/>
          <w:szCs w:val="20"/>
          <w:lang w:val="en-US"/>
        </w:rPr>
        <w:t xml:space="preserve">, </w:t>
      </w:r>
      <w:r w:rsidR="002B325A" w:rsidRPr="00EA6C7A">
        <w:rPr>
          <w:sz w:val="20"/>
          <w:szCs w:val="20"/>
          <w:lang w:val="en-US"/>
        </w:rPr>
        <w:t>in relation to Article</w:t>
      </w:r>
      <w:r w:rsidR="00515C34" w:rsidRPr="00EA6C7A">
        <w:rPr>
          <w:sz w:val="20"/>
          <w:szCs w:val="20"/>
          <w:lang w:val="en-US"/>
        </w:rPr>
        <w:t xml:space="preserve"> 1(1)</w:t>
      </w:r>
      <w:r w:rsidR="006D228A" w:rsidRPr="00EA6C7A">
        <w:rPr>
          <w:sz w:val="20"/>
          <w:szCs w:val="20"/>
          <w:lang w:val="en-US"/>
        </w:rPr>
        <w:t xml:space="preserve"> </w:t>
      </w:r>
      <w:r w:rsidR="0005349C" w:rsidRPr="00EA6C7A">
        <w:rPr>
          <w:sz w:val="20"/>
          <w:szCs w:val="20"/>
          <w:lang w:val="en-US"/>
        </w:rPr>
        <w:t>of this instrument</w:t>
      </w:r>
      <w:r w:rsidR="006D228A" w:rsidRPr="00EA6C7A">
        <w:rPr>
          <w:sz w:val="20"/>
          <w:szCs w:val="20"/>
          <w:lang w:val="en-US"/>
        </w:rPr>
        <w:t xml:space="preserve">, </w:t>
      </w:r>
      <w:r w:rsidR="00123BD3" w:rsidRPr="00EA6C7A">
        <w:rPr>
          <w:sz w:val="20"/>
          <w:szCs w:val="20"/>
          <w:lang w:val="en-US"/>
        </w:rPr>
        <w:t>to the detriment of</w:t>
      </w:r>
      <w:r w:rsidR="006D228A" w:rsidRPr="00EA6C7A">
        <w:rPr>
          <w:sz w:val="20"/>
          <w:szCs w:val="20"/>
          <w:lang w:val="en-US"/>
        </w:rPr>
        <w:t xml:space="preserve"> </w:t>
      </w:r>
      <w:r w:rsidR="006D228A" w:rsidRPr="00EA6C7A">
        <w:rPr>
          <w:rFonts w:eastAsia="Calibri"/>
          <w:sz w:val="20"/>
          <w:szCs w:val="20"/>
          <w:lang w:val="en-US"/>
        </w:rPr>
        <w:t>Jorge Rolando Velásquez Durán, Elsa Claudina Paiz Vidal</w:t>
      </w:r>
      <w:r w:rsidR="00D948A1" w:rsidRPr="00EA6C7A">
        <w:rPr>
          <w:rFonts w:eastAsia="Calibri"/>
          <w:sz w:val="20"/>
          <w:szCs w:val="20"/>
          <w:lang w:val="en-US"/>
        </w:rPr>
        <w:t xml:space="preserve"> and </w:t>
      </w:r>
      <w:r w:rsidR="006D228A" w:rsidRPr="00EA6C7A">
        <w:rPr>
          <w:rFonts w:eastAsia="Calibri"/>
          <w:sz w:val="20"/>
          <w:szCs w:val="20"/>
          <w:lang w:val="en-US"/>
        </w:rPr>
        <w:t>Pablo Andrés Velásquez Paiz</w:t>
      </w:r>
      <w:r w:rsidR="006D228A" w:rsidRPr="00EA6C7A">
        <w:rPr>
          <w:sz w:val="20"/>
          <w:szCs w:val="20"/>
          <w:lang w:val="en-US"/>
        </w:rPr>
        <w:t xml:space="preserve">, </w:t>
      </w:r>
      <w:r w:rsidR="0005349C" w:rsidRPr="00EA6C7A">
        <w:rPr>
          <w:sz w:val="20"/>
          <w:szCs w:val="20"/>
          <w:lang w:val="en-US"/>
        </w:rPr>
        <w:t>in accordance with paragraphs</w:t>
      </w:r>
      <w:r w:rsidR="006D228A" w:rsidRPr="00EA6C7A">
        <w:rPr>
          <w:sz w:val="20"/>
          <w:szCs w:val="20"/>
          <w:lang w:val="en-US" w:eastAsia="es-CR"/>
        </w:rPr>
        <w:t xml:space="preserve"> 2</w:t>
      </w:r>
      <w:r w:rsidR="00D154D9" w:rsidRPr="00EA6C7A">
        <w:rPr>
          <w:sz w:val="20"/>
          <w:szCs w:val="20"/>
          <w:lang w:val="en-US" w:eastAsia="es-CR"/>
        </w:rPr>
        <w:t>09</w:t>
      </w:r>
      <w:r w:rsidR="006D228A" w:rsidRPr="00EA6C7A">
        <w:rPr>
          <w:sz w:val="20"/>
          <w:szCs w:val="20"/>
          <w:lang w:val="en-US" w:eastAsia="es-CR"/>
        </w:rPr>
        <w:t xml:space="preserve"> </w:t>
      </w:r>
      <w:r w:rsidR="0005349C" w:rsidRPr="00EA6C7A">
        <w:rPr>
          <w:sz w:val="20"/>
          <w:szCs w:val="20"/>
          <w:lang w:val="en-US" w:eastAsia="es-CR"/>
        </w:rPr>
        <w:t>to</w:t>
      </w:r>
      <w:r w:rsidR="006D228A" w:rsidRPr="00EA6C7A">
        <w:rPr>
          <w:sz w:val="20"/>
          <w:szCs w:val="20"/>
          <w:lang w:val="en-US" w:eastAsia="es-CR"/>
        </w:rPr>
        <w:t xml:space="preserve"> 22</w:t>
      </w:r>
      <w:r w:rsidR="00D154D9" w:rsidRPr="00EA6C7A">
        <w:rPr>
          <w:sz w:val="20"/>
          <w:szCs w:val="20"/>
          <w:lang w:val="en-US" w:eastAsia="es-CR"/>
        </w:rPr>
        <w:t>0</w:t>
      </w:r>
      <w:r w:rsidR="006D228A" w:rsidRPr="00EA6C7A">
        <w:rPr>
          <w:sz w:val="20"/>
          <w:szCs w:val="20"/>
          <w:lang w:val="en-US"/>
        </w:rPr>
        <w:t xml:space="preserve"> </w:t>
      </w:r>
      <w:r w:rsidR="0005349C" w:rsidRPr="00EA6C7A">
        <w:rPr>
          <w:sz w:val="20"/>
          <w:szCs w:val="20"/>
          <w:lang w:val="en-US"/>
        </w:rPr>
        <w:t>of this judgment</w:t>
      </w:r>
      <w:r w:rsidR="006D228A" w:rsidRPr="00EA6C7A">
        <w:rPr>
          <w:sz w:val="20"/>
          <w:szCs w:val="20"/>
          <w:lang w:val="en-US"/>
        </w:rPr>
        <w:t>.</w:t>
      </w:r>
    </w:p>
    <w:p w14:paraId="5092E8F3" w14:textId="77777777" w:rsidR="006D228A" w:rsidRPr="00EA6C7A" w:rsidRDefault="0005349C" w:rsidP="006D228A">
      <w:pPr>
        <w:pStyle w:val="Default"/>
        <w:spacing w:line="240" w:lineRule="auto"/>
        <w:jc w:val="both"/>
        <w:rPr>
          <w:b/>
          <w:sz w:val="20"/>
          <w:szCs w:val="20"/>
          <w:lang w:val="en-US"/>
        </w:rPr>
      </w:pPr>
      <w:r w:rsidRPr="00EA6C7A">
        <w:rPr>
          <w:sz w:val="20"/>
          <w:szCs w:val="20"/>
          <w:lang w:val="en-US"/>
        </w:rPr>
        <w:t>By six votes to one, that:</w:t>
      </w:r>
    </w:p>
    <w:p w14:paraId="2EFF8A05" w14:textId="77777777" w:rsidR="006D228A" w:rsidRPr="00EA6C7A" w:rsidRDefault="0005349C" w:rsidP="000A7476">
      <w:pPr>
        <w:pStyle w:val="Default"/>
        <w:numPr>
          <w:ilvl w:val="0"/>
          <w:numId w:val="9"/>
        </w:numPr>
        <w:spacing w:after="0" w:line="240" w:lineRule="auto"/>
        <w:ind w:left="0" w:firstLine="0"/>
        <w:jc w:val="both"/>
        <w:rPr>
          <w:rFonts w:eastAsia="Batang" w:cs="Times"/>
          <w:sz w:val="20"/>
          <w:szCs w:val="20"/>
          <w:lang w:val="en-US"/>
        </w:rPr>
      </w:pPr>
      <w:r w:rsidRPr="00EA6C7A">
        <w:rPr>
          <w:rFonts w:eastAsia="Batang" w:cs="Times"/>
          <w:sz w:val="20"/>
          <w:szCs w:val="20"/>
          <w:lang w:val="en-US"/>
        </w:rPr>
        <w:t>It was not necessary to rule on the alleged violations of</w:t>
      </w:r>
      <w:r w:rsidR="006D228A" w:rsidRPr="00EA6C7A">
        <w:rPr>
          <w:rFonts w:eastAsia="Batang"/>
          <w:sz w:val="20"/>
          <w:szCs w:val="20"/>
          <w:lang w:val="en-US"/>
        </w:rPr>
        <w:t xml:space="preserve"> </w:t>
      </w:r>
      <w:r w:rsidR="0096418F" w:rsidRPr="00EA6C7A">
        <w:rPr>
          <w:rFonts w:eastAsia="Batang"/>
          <w:sz w:val="20"/>
          <w:szCs w:val="20"/>
          <w:lang w:val="en-US"/>
        </w:rPr>
        <w:t>Articles</w:t>
      </w:r>
      <w:r w:rsidR="006D228A" w:rsidRPr="00EA6C7A">
        <w:rPr>
          <w:rFonts w:eastAsia="Batang"/>
          <w:sz w:val="20"/>
          <w:szCs w:val="20"/>
          <w:lang w:val="en-US"/>
        </w:rPr>
        <w:t xml:space="preserve"> 13</w:t>
      </w:r>
      <w:r w:rsidR="00D948A1" w:rsidRPr="00EA6C7A">
        <w:rPr>
          <w:rFonts w:eastAsia="Batang"/>
          <w:sz w:val="20"/>
          <w:szCs w:val="20"/>
          <w:lang w:val="en-US"/>
        </w:rPr>
        <w:t xml:space="preserve"> and </w:t>
      </w:r>
      <w:r w:rsidR="006D228A" w:rsidRPr="00EA6C7A">
        <w:rPr>
          <w:rFonts w:eastAsia="Batang"/>
          <w:sz w:val="20"/>
          <w:szCs w:val="20"/>
          <w:lang w:val="en-US"/>
        </w:rPr>
        <w:t>22</w:t>
      </w:r>
      <w:r w:rsidR="0096418F" w:rsidRPr="00EA6C7A">
        <w:rPr>
          <w:rFonts w:eastAsia="Batang"/>
          <w:sz w:val="20"/>
          <w:szCs w:val="20"/>
          <w:lang w:val="en-US"/>
        </w:rPr>
        <w:t xml:space="preserve"> of the American Convention on Human Rights</w:t>
      </w:r>
      <w:r w:rsidR="006D228A" w:rsidRPr="00EA6C7A">
        <w:rPr>
          <w:rFonts w:eastAsia="Batang"/>
          <w:sz w:val="20"/>
          <w:szCs w:val="20"/>
          <w:lang w:val="en-US"/>
        </w:rPr>
        <w:t xml:space="preserve">, </w:t>
      </w:r>
      <w:r w:rsidR="00123BD3" w:rsidRPr="00EA6C7A">
        <w:rPr>
          <w:rFonts w:eastAsia="Batang" w:cs="Times"/>
          <w:sz w:val="20"/>
          <w:szCs w:val="20"/>
          <w:lang w:val="en-US"/>
        </w:rPr>
        <w:t>to the detriment of</w:t>
      </w:r>
      <w:r w:rsidR="006D228A" w:rsidRPr="00EA6C7A">
        <w:rPr>
          <w:rFonts w:eastAsia="Batang" w:cs="Times"/>
          <w:sz w:val="20"/>
          <w:szCs w:val="20"/>
          <w:lang w:val="en-US"/>
        </w:rPr>
        <w:t xml:space="preserve"> Claudina </w:t>
      </w:r>
      <w:r w:rsidR="006D228A" w:rsidRPr="00EA6C7A">
        <w:rPr>
          <w:rFonts w:eastAsia="Calibri" w:cs="Arial"/>
          <w:sz w:val="20"/>
          <w:szCs w:val="20"/>
          <w:lang w:val="en-US"/>
        </w:rPr>
        <w:t>Isabel</w:t>
      </w:r>
      <w:r w:rsidR="006D228A" w:rsidRPr="00EA6C7A">
        <w:rPr>
          <w:rFonts w:eastAsia="Batang" w:cs="Times"/>
          <w:sz w:val="20"/>
          <w:szCs w:val="20"/>
          <w:lang w:val="en-US"/>
        </w:rPr>
        <w:t xml:space="preserve"> Velásquez Paiz,</w:t>
      </w:r>
      <w:r w:rsidR="006D228A" w:rsidRPr="00EA6C7A">
        <w:rPr>
          <w:sz w:val="20"/>
          <w:szCs w:val="20"/>
          <w:lang w:val="en-US"/>
        </w:rPr>
        <w:t xml:space="preserve"> </w:t>
      </w:r>
      <w:r w:rsidRPr="00EA6C7A">
        <w:rPr>
          <w:sz w:val="20"/>
          <w:szCs w:val="20"/>
          <w:lang w:val="en-US"/>
        </w:rPr>
        <w:t>in accordance with paragraph</w:t>
      </w:r>
      <w:r w:rsidR="006D228A" w:rsidRPr="00EA6C7A">
        <w:rPr>
          <w:sz w:val="20"/>
          <w:szCs w:val="20"/>
          <w:lang w:val="en-US" w:eastAsia="es-CR"/>
        </w:rPr>
        <w:t xml:space="preserve"> 203</w:t>
      </w:r>
      <w:r w:rsidR="006D228A" w:rsidRPr="00EA6C7A">
        <w:rPr>
          <w:sz w:val="20"/>
          <w:szCs w:val="20"/>
          <w:lang w:val="en-US"/>
        </w:rPr>
        <w:t xml:space="preserve"> </w:t>
      </w:r>
      <w:r w:rsidRPr="00EA6C7A">
        <w:rPr>
          <w:sz w:val="20"/>
          <w:szCs w:val="20"/>
          <w:lang w:val="en-US"/>
        </w:rPr>
        <w:t>of this judgment</w:t>
      </w:r>
      <w:r w:rsidR="006D228A" w:rsidRPr="00EA6C7A">
        <w:rPr>
          <w:sz w:val="20"/>
          <w:szCs w:val="20"/>
          <w:lang w:val="en-US"/>
        </w:rPr>
        <w:t>.</w:t>
      </w:r>
    </w:p>
    <w:p w14:paraId="1C5EB032" w14:textId="77777777" w:rsidR="006D228A" w:rsidRPr="00EA6C7A" w:rsidRDefault="006D228A" w:rsidP="006D228A">
      <w:pPr>
        <w:pStyle w:val="Default"/>
        <w:spacing w:after="0" w:line="240" w:lineRule="auto"/>
        <w:jc w:val="both"/>
        <w:rPr>
          <w:rFonts w:eastAsia="Batang" w:cs="Times"/>
          <w:sz w:val="20"/>
          <w:szCs w:val="20"/>
          <w:lang w:val="en-US"/>
        </w:rPr>
      </w:pPr>
    </w:p>
    <w:p w14:paraId="779A217D" w14:textId="77777777" w:rsidR="006D228A" w:rsidRPr="00EA6C7A" w:rsidRDefault="0005349C" w:rsidP="006D228A">
      <w:pPr>
        <w:pStyle w:val="Default"/>
        <w:spacing w:after="0" w:line="240" w:lineRule="auto"/>
        <w:jc w:val="both"/>
        <w:rPr>
          <w:rFonts w:eastAsia="Batang" w:cs="Times"/>
          <w:sz w:val="20"/>
          <w:szCs w:val="20"/>
          <w:lang w:val="en-US"/>
        </w:rPr>
      </w:pPr>
      <w:r w:rsidRPr="00EA6C7A">
        <w:rPr>
          <w:rFonts w:eastAsia="Batang" w:cs="Times"/>
          <w:spacing w:val="-2"/>
          <w:sz w:val="20"/>
          <w:szCs w:val="20"/>
          <w:lang w:val="en-US"/>
        </w:rPr>
        <w:t>Dissenting</w:t>
      </w:r>
      <w:r w:rsidR="00990D9D" w:rsidRPr="00EA6C7A">
        <w:rPr>
          <w:rFonts w:eastAsia="Batang" w:cs="Times"/>
          <w:spacing w:val="-2"/>
          <w:sz w:val="20"/>
          <w:szCs w:val="20"/>
          <w:lang w:val="en-US"/>
        </w:rPr>
        <w:t xml:space="preserve"> </w:t>
      </w:r>
      <w:r w:rsidR="0096418F" w:rsidRPr="00EA6C7A">
        <w:rPr>
          <w:rFonts w:eastAsia="Batang" w:cs="Times"/>
          <w:spacing w:val="-2"/>
          <w:sz w:val="20"/>
          <w:szCs w:val="20"/>
          <w:lang w:val="en-US"/>
        </w:rPr>
        <w:t>Judge</w:t>
      </w:r>
      <w:r w:rsidR="00990D9D" w:rsidRPr="00EA6C7A">
        <w:rPr>
          <w:rFonts w:eastAsia="Batang" w:cs="Times"/>
          <w:spacing w:val="-2"/>
          <w:sz w:val="20"/>
          <w:szCs w:val="20"/>
          <w:lang w:val="en-US"/>
        </w:rPr>
        <w:t xml:space="preserve"> Roberto F. Caldas.</w:t>
      </w:r>
      <w:r w:rsidR="006D228A" w:rsidRPr="00EA6C7A">
        <w:rPr>
          <w:rFonts w:eastAsia="Batang" w:cs="Times"/>
          <w:sz w:val="20"/>
          <w:szCs w:val="20"/>
          <w:lang w:val="en-US"/>
        </w:rPr>
        <w:t xml:space="preserve"> </w:t>
      </w:r>
    </w:p>
    <w:p w14:paraId="6F03A282" w14:textId="77777777" w:rsidR="006D228A" w:rsidRPr="00EA6C7A" w:rsidRDefault="006D228A" w:rsidP="006D228A">
      <w:pPr>
        <w:pStyle w:val="Default"/>
        <w:spacing w:after="0" w:line="240" w:lineRule="auto"/>
        <w:jc w:val="both"/>
        <w:rPr>
          <w:rFonts w:eastAsia="Batang" w:cs="Times"/>
          <w:sz w:val="20"/>
          <w:szCs w:val="20"/>
          <w:lang w:val="en-US"/>
        </w:rPr>
      </w:pPr>
    </w:p>
    <w:p w14:paraId="797E36DB" w14:textId="77777777" w:rsidR="006D228A" w:rsidRPr="00EA6C7A" w:rsidRDefault="00AA65AB" w:rsidP="006D228A">
      <w:pPr>
        <w:pStyle w:val="Default"/>
        <w:jc w:val="both"/>
        <w:rPr>
          <w:sz w:val="20"/>
          <w:szCs w:val="20"/>
          <w:lang w:val="en-US"/>
        </w:rPr>
      </w:pPr>
      <w:r w:rsidRPr="00EA6C7A">
        <w:rPr>
          <w:sz w:val="20"/>
          <w:szCs w:val="20"/>
          <w:lang w:val="en-US"/>
        </w:rPr>
        <w:t>Unanimously, that:</w:t>
      </w:r>
    </w:p>
    <w:p w14:paraId="7A0B6378" w14:textId="77777777" w:rsidR="006D228A" w:rsidRPr="00EA6C7A" w:rsidRDefault="0005349C" w:rsidP="00E11A7C">
      <w:pPr>
        <w:pStyle w:val="Default"/>
        <w:numPr>
          <w:ilvl w:val="0"/>
          <w:numId w:val="9"/>
        </w:numPr>
        <w:spacing w:after="0" w:line="240" w:lineRule="auto"/>
        <w:ind w:left="0" w:firstLine="0"/>
        <w:jc w:val="both"/>
        <w:rPr>
          <w:rFonts w:eastAsia="Batang" w:cs="Times"/>
          <w:sz w:val="20"/>
          <w:szCs w:val="20"/>
          <w:lang w:val="en-US"/>
        </w:rPr>
      </w:pPr>
      <w:r w:rsidRPr="00EA6C7A">
        <w:rPr>
          <w:rFonts w:eastAsia="Batang" w:cs="Times"/>
          <w:sz w:val="20"/>
          <w:szCs w:val="20"/>
          <w:lang w:val="en-US"/>
        </w:rPr>
        <w:t xml:space="preserve">It was not necessary to rule on </w:t>
      </w:r>
      <w:r w:rsidR="009532CF" w:rsidRPr="00EA6C7A">
        <w:rPr>
          <w:rFonts w:eastAsia="Batang" w:cs="Times"/>
          <w:sz w:val="20"/>
          <w:szCs w:val="20"/>
          <w:lang w:val="en-US"/>
        </w:rPr>
        <w:t xml:space="preserve">the </w:t>
      </w:r>
      <w:r w:rsidR="00123BD3" w:rsidRPr="00EA6C7A">
        <w:rPr>
          <w:rFonts w:eastAsia="Batang" w:cs="Times"/>
          <w:sz w:val="20"/>
          <w:szCs w:val="20"/>
          <w:lang w:val="en-US"/>
        </w:rPr>
        <w:t>alleged violation</w:t>
      </w:r>
      <w:r w:rsidR="000F72CD" w:rsidRPr="00EA6C7A">
        <w:rPr>
          <w:rFonts w:eastAsia="Batang" w:cs="Times"/>
          <w:sz w:val="20"/>
          <w:szCs w:val="20"/>
          <w:lang w:val="en-US"/>
        </w:rPr>
        <w:t xml:space="preserve"> </w:t>
      </w:r>
      <w:r w:rsidR="001914FC" w:rsidRPr="00EA6C7A">
        <w:rPr>
          <w:rFonts w:eastAsia="Batang" w:cs="Times"/>
          <w:sz w:val="20"/>
          <w:szCs w:val="20"/>
          <w:lang w:val="en-US"/>
        </w:rPr>
        <w:t>of Article</w:t>
      </w:r>
      <w:r w:rsidR="006D228A" w:rsidRPr="00EA6C7A">
        <w:rPr>
          <w:rFonts w:eastAsia="Batang" w:cs="Times"/>
          <w:sz w:val="20"/>
          <w:szCs w:val="20"/>
          <w:lang w:val="en-US"/>
        </w:rPr>
        <w:t xml:space="preserve"> 11</w:t>
      </w:r>
      <w:r w:rsidR="0096418F" w:rsidRPr="00EA6C7A">
        <w:rPr>
          <w:rFonts w:eastAsia="Batang" w:cs="Times"/>
          <w:sz w:val="20"/>
          <w:szCs w:val="20"/>
          <w:lang w:val="en-US"/>
        </w:rPr>
        <w:t xml:space="preserve"> of the </w:t>
      </w:r>
      <w:r w:rsidR="0096418F" w:rsidRPr="00EA6C7A">
        <w:rPr>
          <w:sz w:val="20"/>
          <w:szCs w:val="20"/>
          <w:lang w:val="en-US"/>
        </w:rPr>
        <w:t>American Convention on Human Rights</w:t>
      </w:r>
      <w:r w:rsidR="006D228A" w:rsidRPr="00EA6C7A">
        <w:rPr>
          <w:sz w:val="20"/>
          <w:szCs w:val="20"/>
          <w:lang w:val="en-US"/>
        </w:rPr>
        <w:t>,</w:t>
      </w:r>
      <w:r w:rsidR="006D228A" w:rsidRPr="00EA6C7A">
        <w:rPr>
          <w:rFonts w:eastAsia="Batang" w:cs="Times"/>
          <w:sz w:val="20"/>
          <w:szCs w:val="20"/>
          <w:lang w:val="en-US"/>
        </w:rPr>
        <w:t xml:space="preserve"> </w:t>
      </w:r>
      <w:r w:rsidR="00123BD3" w:rsidRPr="00EA6C7A">
        <w:rPr>
          <w:rFonts w:eastAsia="Batang" w:cs="Times"/>
          <w:sz w:val="20"/>
          <w:szCs w:val="20"/>
          <w:lang w:val="en-US"/>
        </w:rPr>
        <w:t>to the detriment of</w:t>
      </w:r>
      <w:r w:rsidR="006D228A" w:rsidRPr="00EA6C7A">
        <w:rPr>
          <w:rFonts w:eastAsia="Batang" w:cs="Times"/>
          <w:sz w:val="20"/>
          <w:szCs w:val="20"/>
          <w:lang w:val="en-US"/>
        </w:rPr>
        <w:t xml:space="preserve"> Claudina </w:t>
      </w:r>
      <w:r w:rsidR="006D228A" w:rsidRPr="00EA6C7A">
        <w:rPr>
          <w:rFonts w:eastAsia="Calibri" w:cs="Arial"/>
          <w:sz w:val="20"/>
          <w:szCs w:val="20"/>
          <w:lang w:val="en-US"/>
        </w:rPr>
        <w:t>Isabel</w:t>
      </w:r>
      <w:r w:rsidR="006D228A" w:rsidRPr="00EA6C7A">
        <w:rPr>
          <w:rFonts w:eastAsia="Batang" w:cs="Times"/>
          <w:sz w:val="20"/>
          <w:szCs w:val="20"/>
          <w:lang w:val="en-US"/>
        </w:rPr>
        <w:t xml:space="preserve"> Velásquez Paiz, </w:t>
      </w:r>
      <w:r w:rsidRPr="00EA6C7A">
        <w:rPr>
          <w:sz w:val="20"/>
          <w:szCs w:val="20"/>
          <w:lang w:val="en-US"/>
        </w:rPr>
        <w:t>in accordance with paragraph</w:t>
      </w:r>
      <w:r w:rsidR="006D228A" w:rsidRPr="00EA6C7A">
        <w:rPr>
          <w:sz w:val="20"/>
          <w:szCs w:val="20"/>
          <w:lang w:val="en-US" w:eastAsia="es-CR"/>
        </w:rPr>
        <w:t xml:space="preserve"> 135</w:t>
      </w:r>
      <w:r w:rsidR="006D228A" w:rsidRPr="00EA6C7A">
        <w:rPr>
          <w:sz w:val="20"/>
          <w:szCs w:val="20"/>
          <w:lang w:val="en-US"/>
        </w:rPr>
        <w:t xml:space="preserve"> </w:t>
      </w:r>
      <w:r w:rsidRPr="00EA6C7A">
        <w:rPr>
          <w:sz w:val="20"/>
          <w:szCs w:val="20"/>
          <w:lang w:val="en-US"/>
        </w:rPr>
        <w:t>of this judgment</w:t>
      </w:r>
      <w:r w:rsidR="006D228A" w:rsidRPr="00EA6C7A">
        <w:rPr>
          <w:sz w:val="20"/>
          <w:szCs w:val="20"/>
          <w:lang w:val="en-US"/>
        </w:rPr>
        <w:t>.</w:t>
      </w:r>
    </w:p>
    <w:p w14:paraId="21F3F2CC" w14:textId="77777777" w:rsidR="006D228A" w:rsidRPr="00EA6C7A" w:rsidRDefault="006D228A" w:rsidP="006D228A">
      <w:pPr>
        <w:pStyle w:val="Default"/>
        <w:spacing w:after="0" w:line="240" w:lineRule="auto"/>
        <w:jc w:val="both"/>
        <w:rPr>
          <w:rFonts w:eastAsia="Batang" w:cs="Times"/>
          <w:sz w:val="20"/>
          <w:szCs w:val="20"/>
          <w:lang w:val="en-US"/>
        </w:rPr>
      </w:pPr>
    </w:p>
    <w:p w14:paraId="26B64DDC" w14:textId="77777777" w:rsidR="006D228A" w:rsidRPr="00EA6C7A" w:rsidRDefault="0005349C" w:rsidP="006D228A">
      <w:pPr>
        <w:tabs>
          <w:tab w:val="left" w:pos="567"/>
          <w:tab w:val="left" w:pos="720"/>
        </w:tabs>
        <w:spacing w:after="0" w:line="240" w:lineRule="auto"/>
        <w:jc w:val="both"/>
        <w:rPr>
          <w:rFonts w:ascii="Verdana" w:hAnsi="Verdana" w:cs="Verdana"/>
          <w:b/>
          <w:color w:val="000000"/>
          <w:sz w:val="20"/>
          <w:szCs w:val="20"/>
          <w:lang w:val="en-US"/>
        </w:rPr>
      </w:pPr>
      <w:r w:rsidRPr="00EA6C7A">
        <w:rPr>
          <w:rFonts w:ascii="Verdana" w:hAnsi="Verdana" w:cs="Verdana"/>
          <w:b/>
          <w:color w:val="000000"/>
          <w:sz w:val="20"/>
          <w:szCs w:val="20"/>
          <w:lang w:val="en-US"/>
        </w:rPr>
        <w:t xml:space="preserve">AND ESTABLISHES, </w:t>
      </w:r>
    </w:p>
    <w:p w14:paraId="3AD5AAEB" w14:textId="77777777" w:rsidR="006D228A" w:rsidRPr="00EA6C7A" w:rsidRDefault="006D228A" w:rsidP="006D228A">
      <w:pPr>
        <w:tabs>
          <w:tab w:val="left" w:pos="567"/>
          <w:tab w:val="left" w:pos="720"/>
        </w:tabs>
        <w:spacing w:after="0" w:line="240" w:lineRule="auto"/>
        <w:jc w:val="both"/>
        <w:rPr>
          <w:rFonts w:ascii="Verdana" w:hAnsi="Verdana" w:cs="Verdana"/>
          <w:b/>
          <w:color w:val="000000"/>
          <w:sz w:val="20"/>
          <w:szCs w:val="20"/>
          <w:lang w:val="en-US"/>
        </w:rPr>
      </w:pPr>
    </w:p>
    <w:p w14:paraId="320AC37A" w14:textId="77777777" w:rsidR="006D228A" w:rsidRPr="00EA6C7A" w:rsidRDefault="00AA65AB" w:rsidP="006D228A">
      <w:pPr>
        <w:tabs>
          <w:tab w:val="left" w:pos="720"/>
        </w:tabs>
        <w:spacing w:after="0" w:line="240" w:lineRule="auto"/>
        <w:jc w:val="both"/>
        <w:rPr>
          <w:rFonts w:ascii="Verdana" w:hAnsi="Verdana" w:cs="Verdana"/>
          <w:color w:val="000000"/>
          <w:sz w:val="20"/>
          <w:szCs w:val="20"/>
          <w:lang w:val="en-US"/>
        </w:rPr>
      </w:pPr>
      <w:r w:rsidRPr="00EA6C7A">
        <w:rPr>
          <w:rFonts w:ascii="Verdana" w:hAnsi="Verdana" w:cs="Verdana"/>
          <w:color w:val="000000"/>
          <w:sz w:val="20"/>
          <w:szCs w:val="20"/>
          <w:lang w:val="en-US"/>
        </w:rPr>
        <w:t>Unanimously, that:</w:t>
      </w:r>
    </w:p>
    <w:p w14:paraId="61F9EB72" w14:textId="77777777" w:rsidR="006D228A" w:rsidRPr="00EA6C7A" w:rsidRDefault="006D228A" w:rsidP="006D228A">
      <w:pPr>
        <w:tabs>
          <w:tab w:val="left" w:pos="567"/>
          <w:tab w:val="left" w:pos="720"/>
        </w:tabs>
        <w:spacing w:after="0" w:line="240" w:lineRule="auto"/>
        <w:jc w:val="both"/>
        <w:rPr>
          <w:rFonts w:ascii="Verdana" w:hAnsi="Verdana" w:cs="Verdana"/>
          <w:color w:val="000000"/>
          <w:sz w:val="20"/>
          <w:szCs w:val="20"/>
          <w:lang w:val="en-US"/>
        </w:rPr>
      </w:pPr>
    </w:p>
    <w:p w14:paraId="4BCA633C" w14:textId="77777777" w:rsidR="006D228A" w:rsidRPr="00EA6C7A" w:rsidRDefault="0005349C"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This judgment constitutes, </w:t>
      </w:r>
      <w:r w:rsidRPr="00EA6C7A">
        <w:rPr>
          <w:i/>
          <w:iCs/>
          <w:sz w:val="20"/>
          <w:szCs w:val="20"/>
          <w:lang w:val="en-US"/>
        </w:rPr>
        <w:t>per se</w:t>
      </w:r>
      <w:r w:rsidRPr="00EA6C7A">
        <w:rPr>
          <w:sz w:val="20"/>
          <w:szCs w:val="20"/>
          <w:lang w:val="en-US"/>
        </w:rPr>
        <w:t>, a form of reparation.</w:t>
      </w:r>
    </w:p>
    <w:p w14:paraId="2E4DC113" w14:textId="77777777" w:rsidR="006D228A" w:rsidRPr="00EA6C7A" w:rsidRDefault="006D228A" w:rsidP="006D228A">
      <w:pPr>
        <w:pStyle w:val="Default"/>
        <w:spacing w:after="0" w:line="240" w:lineRule="auto"/>
        <w:jc w:val="both"/>
        <w:rPr>
          <w:sz w:val="20"/>
          <w:szCs w:val="20"/>
          <w:lang w:val="en-US"/>
        </w:rPr>
      </w:pPr>
    </w:p>
    <w:p w14:paraId="77F4CC4B" w14:textId="77777777" w:rsidR="006D228A" w:rsidRPr="00EA6C7A" w:rsidRDefault="002F3848" w:rsidP="0005349C">
      <w:pPr>
        <w:pStyle w:val="Default"/>
        <w:numPr>
          <w:ilvl w:val="0"/>
          <w:numId w:val="9"/>
        </w:numPr>
        <w:spacing w:after="0" w:line="240" w:lineRule="auto"/>
        <w:ind w:left="0" w:firstLine="0"/>
        <w:jc w:val="both"/>
        <w:rPr>
          <w:sz w:val="20"/>
          <w:szCs w:val="20"/>
          <w:lang w:val="en-US"/>
        </w:rPr>
      </w:pPr>
      <w:r w:rsidRPr="00EA6C7A">
        <w:rPr>
          <w:sz w:val="20"/>
          <w:szCs w:val="20"/>
          <w:lang w:val="en-US"/>
        </w:rPr>
        <w:t>The State</w:t>
      </w:r>
      <w:r w:rsidR="006D228A" w:rsidRPr="00EA6C7A">
        <w:rPr>
          <w:sz w:val="20"/>
          <w:szCs w:val="20"/>
          <w:lang w:val="en-US"/>
        </w:rPr>
        <w:t xml:space="preserve"> </w:t>
      </w:r>
      <w:r w:rsidR="00724E96" w:rsidRPr="00EA6C7A">
        <w:rPr>
          <w:sz w:val="20"/>
          <w:szCs w:val="20"/>
          <w:lang w:val="en-US"/>
        </w:rPr>
        <w:t>shall</w:t>
      </w:r>
      <w:r w:rsidR="00B408CF" w:rsidRPr="00EA6C7A">
        <w:rPr>
          <w:sz w:val="20"/>
          <w:szCs w:val="20"/>
          <w:lang w:val="en-US" w:eastAsia="es-CR"/>
        </w:rPr>
        <w:t xml:space="preserve">, </w:t>
      </w:r>
      <w:r w:rsidR="00AD3BCF" w:rsidRPr="00EA6C7A">
        <w:rPr>
          <w:sz w:val="20"/>
          <w:szCs w:val="20"/>
          <w:lang w:val="en-US" w:eastAsia="es-CR"/>
        </w:rPr>
        <w:t>within a reasonable time</w:t>
      </w:r>
      <w:r w:rsidR="00B408CF" w:rsidRPr="00EA6C7A">
        <w:rPr>
          <w:sz w:val="20"/>
          <w:szCs w:val="20"/>
          <w:lang w:val="en-US" w:eastAsia="es-CR"/>
        </w:rPr>
        <w:t>,</w:t>
      </w:r>
      <w:r w:rsidR="006D228A" w:rsidRPr="00EA6C7A">
        <w:rPr>
          <w:sz w:val="20"/>
          <w:szCs w:val="20"/>
          <w:lang w:val="en-US" w:eastAsia="es-CR"/>
        </w:rPr>
        <w:t xml:space="preserve"> </w:t>
      </w:r>
      <w:r w:rsidR="0005349C" w:rsidRPr="00EA6C7A">
        <w:rPr>
          <w:sz w:val="20"/>
          <w:szCs w:val="20"/>
          <w:lang w:val="en-US" w:eastAsia="es-CR"/>
        </w:rPr>
        <w:t>conduct the investigation effectively and, as app</w:t>
      </w:r>
      <w:r w:rsidR="00724E96" w:rsidRPr="00EA6C7A">
        <w:rPr>
          <w:sz w:val="20"/>
          <w:szCs w:val="20"/>
          <w:lang w:val="en-US" w:eastAsia="es-CR"/>
        </w:rPr>
        <w:t>licable,</w:t>
      </w:r>
      <w:r w:rsidR="0005349C" w:rsidRPr="00EA6C7A">
        <w:rPr>
          <w:sz w:val="20"/>
          <w:szCs w:val="20"/>
          <w:lang w:val="en-US" w:eastAsia="es-CR"/>
        </w:rPr>
        <w:t xml:space="preserve"> open the corresponding criminal proceedings to identify, prosecute and punish, </w:t>
      </w:r>
      <w:r w:rsidR="0005349C" w:rsidRPr="00EA6C7A">
        <w:rPr>
          <w:sz w:val="20"/>
          <w:szCs w:val="20"/>
          <w:lang w:val="en-US"/>
        </w:rPr>
        <w:t xml:space="preserve">as appropriate, those responsible for the abuse and murder of Claudina Isabel Velásquez Paiz, in keeping with the guidelines in this judgment, in order to avoid </w:t>
      </w:r>
      <w:r w:rsidR="00724E96" w:rsidRPr="00EA6C7A">
        <w:rPr>
          <w:sz w:val="20"/>
          <w:szCs w:val="20"/>
          <w:lang w:val="en-US"/>
        </w:rPr>
        <w:t>a</w:t>
      </w:r>
      <w:r w:rsidR="0005349C" w:rsidRPr="00EA6C7A">
        <w:rPr>
          <w:sz w:val="20"/>
          <w:szCs w:val="20"/>
          <w:lang w:val="en-US"/>
        </w:rPr>
        <w:t xml:space="preserve"> repetition of the same or similar acts as those of this case. Also, based on the pertinent disciplinary norms, the State </w:t>
      </w:r>
      <w:r w:rsidR="00724E96" w:rsidRPr="00EA6C7A">
        <w:rPr>
          <w:sz w:val="20"/>
          <w:szCs w:val="20"/>
          <w:lang w:val="en-US"/>
        </w:rPr>
        <w:t>shall</w:t>
      </w:r>
      <w:r w:rsidR="0005349C" w:rsidRPr="00EA6C7A">
        <w:rPr>
          <w:sz w:val="20"/>
          <w:szCs w:val="20"/>
          <w:lang w:val="en-US"/>
        </w:rPr>
        <w:t xml:space="preserve"> examine the possible investigative and procedural irregularities related to this case and, as appropriate, sanction the conduct of the corresponding public servants. The foregoing</w:t>
      </w:r>
      <w:r w:rsidR="006D228A" w:rsidRPr="00EA6C7A">
        <w:rPr>
          <w:sz w:val="20"/>
          <w:szCs w:val="20"/>
          <w:lang w:val="en-US"/>
        </w:rPr>
        <w:t xml:space="preserve">, </w:t>
      </w:r>
      <w:r w:rsidR="0005349C" w:rsidRPr="00EA6C7A">
        <w:rPr>
          <w:sz w:val="20"/>
          <w:szCs w:val="20"/>
          <w:lang w:val="en-US"/>
        </w:rPr>
        <w:t>in accordance with paragraphs</w:t>
      </w:r>
      <w:r w:rsidR="006D228A" w:rsidRPr="00EA6C7A">
        <w:rPr>
          <w:sz w:val="20"/>
          <w:szCs w:val="20"/>
          <w:lang w:val="en-US"/>
        </w:rPr>
        <w:t xml:space="preserve"> 229</w:t>
      </w:r>
      <w:r w:rsidR="00D948A1" w:rsidRPr="00EA6C7A">
        <w:rPr>
          <w:sz w:val="20"/>
          <w:szCs w:val="20"/>
          <w:lang w:val="en-US"/>
        </w:rPr>
        <w:t xml:space="preserve"> and </w:t>
      </w:r>
      <w:r w:rsidR="006D228A" w:rsidRPr="00EA6C7A">
        <w:rPr>
          <w:sz w:val="20"/>
          <w:szCs w:val="20"/>
          <w:lang w:val="en-US"/>
        </w:rPr>
        <w:t xml:space="preserve">230 </w:t>
      </w:r>
      <w:r w:rsidR="0005349C" w:rsidRPr="00EA6C7A">
        <w:rPr>
          <w:sz w:val="20"/>
          <w:szCs w:val="20"/>
          <w:lang w:val="en-US"/>
        </w:rPr>
        <w:t>of this judgment</w:t>
      </w:r>
      <w:r w:rsidR="006D228A" w:rsidRPr="00EA6C7A">
        <w:rPr>
          <w:sz w:val="20"/>
          <w:szCs w:val="20"/>
          <w:lang w:val="en-US"/>
        </w:rPr>
        <w:t>.</w:t>
      </w:r>
      <w:r w:rsidR="006D228A" w:rsidRPr="00EA6C7A">
        <w:rPr>
          <w:sz w:val="20"/>
          <w:szCs w:val="20"/>
          <w:lang w:val="en-US" w:eastAsia="es-CR"/>
        </w:rPr>
        <w:t xml:space="preserve"> </w:t>
      </w:r>
    </w:p>
    <w:p w14:paraId="054E43A6" w14:textId="77777777" w:rsidR="006D228A" w:rsidRPr="00EA6C7A" w:rsidRDefault="006D228A" w:rsidP="006D228A">
      <w:pPr>
        <w:pStyle w:val="Default"/>
        <w:spacing w:after="0" w:line="240" w:lineRule="auto"/>
        <w:jc w:val="both"/>
        <w:rPr>
          <w:sz w:val="20"/>
          <w:szCs w:val="20"/>
          <w:lang w:val="en-US"/>
        </w:rPr>
      </w:pPr>
    </w:p>
    <w:p w14:paraId="2685E816" w14:textId="77777777" w:rsidR="006D228A" w:rsidRPr="00EA6C7A" w:rsidRDefault="002F3848" w:rsidP="0005349C">
      <w:pPr>
        <w:pStyle w:val="Default"/>
        <w:numPr>
          <w:ilvl w:val="0"/>
          <w:numId w:val="9"/>
        </w:numPr>
        <w:spacing w:after="0" w:line="240" w:lineRule="auto"/>
        <w:ind w:left="0" w:firstLine="0"/>
        <w:jc w:val="both"/>
        <w:rPr>
          <w:sz w:val="20"/>
          <w:szCs w:val="20"/>
          <w:lang w:val="en-US"/>
        </w:rPr>
      </w:pPr>
      <w:r w:rsidRPr="00EA6C7A">
        <w:rPr>
          <w:sz w:val="20"/>
          <w:szCs w:val="20"/>
          <w:lang w:val="en-US"/>
        </w:rPr>
        <w:t>The Stat</w:t>
      </w:r>
      <w:r w:rsidR="0005349C" w:rsidRPr="00EA6C7A">
        <w:rPr>
          <w:sz w:val="20"/>
          <w:szCs w:val="20"/>
          <w:lang w:val="en-US"/>
        </w:rPr>
        <w:t xml:space="preserve">e </w:t>
      </w:r>
      <w:r w:rsidR="00724E96" w:rsidRPr="00EA6C7A">
        <w:rPr>
          <w:sz w:val="20"/>
          <w:szCs w:val="20"/>
          <w:lang w:val="en-US"/>
        </w:rPr>
        <w:t>shall</w:t>
      </w:r>
      <w:r w:rsidR="0005349C" w:rsidRPr="00EA6C7A">
        <w:rPr>
          <w:sz w:val="20"/>
          <w:szCs w:val="20"/>
          <w:lang w:val="en-US"/>
        </w:rPr>
        <w:t xml:space="preserve"> provide, free of charge and immediately, through its specialized health care institutions, adequate, comprehensive and effective medical and psychological or psychiatric treatment to victims who request this, following informed consent, including the supply, free of charge, of any medication they may require, taking into consideration the ailment of each of them, as established in paragraph </w:t>
      </w:r>
      <w:r w:rsidR="006D228A" w:rsidRPr="00EA6C7A">
        <w:rPr>
          <w:sz w:val="20"/>
          <w:szCs w:val="20"/>
          <w:lang w:val="en-US"/>
        </w:rPr>
        <w:t xml:space="preserve">234 </w:t>
      </w:r>
      <w:r w:rsidR="0005349C" w:rsidRPr="00EA6C7A">
        <w:rPr>
          <w:sz w:val="20"/>
          <w:szCs w:val="20"/>
          <w:lang w:val="en-US"/>
        </w:rPr>
        <w:t>of this judgment</w:t>
      </w:r>
      <w:r w:rsidR="006D228A" w:rsidRPr="00EA6C7A">
        <w:rPr>
          <w:sz w:val="20"/>
          <w:szCs w:val="20"/>
          <w:lang w:val="en-US"/>
        </w:rPr>
        <w:t>.</w:t>
      </w:r>
    </w:p>
    <w:p w14:paraId="7A2550FB" w14:textId="77777777" w:rsidR="006D228A" w:rsidRPr="00EA6C7A" w:rsidRDefault="006D228A" w:rsidP="006D228A">
      <w:pPr>
        <w:pStyle w:val="Default"/>
        <w:spacing w:after="0" w:line="240" w:lineRule="auto"/>
        <w:jc w:val="both"/>
        <w:rPr>
          <w:sz w:val="20"/>
          <w:szCs w:val="20"/>
          <w:lang w:val="en-US" w:eastAsia="es-CR"/>
        </w:rPr>
      </w:pPr>
    </w:p>
    <w:p w14:paraId="04A0A7D8" w14:textId="77777777" w:rsidR="006D228A" w:rsidRPr="00EA6C7A" w:rsidRDefault="002F3848" w:rsidP="00E11A7C">
      <w:pPr>
        <w:pStyle w:val="Default"/>
        <w:numPr>
          <w:ilvl w:val="0"/>
          <w:numId w:val="9"/>
        </w:numPr>
        <w:spacing w:after="0" w:line="240" w:lineRule="auto"/>
        <w:ind w:left="0" w:firstLine="0"/>
        <w:jc w:val="both"/>
        <w:rPr>
          <w:sz w:val="20"/>
          <w:szCs w:val="20"/>
          <w:lang w:val="en-US" w:eastAsia="es-CR"/>
        </w:rPr>
      </w:pPr>
      <w:r w:rsidRPr="00EA6C7A">
        <w:rPr>
          <w:sz w:val="20"/>
          <w:szCs w:val="20"/>
          <w:lang w:val="en-US"/>
        </w:rPr>
        <w:t>The State</w:t>
      </w:r>
      <w:r w:rsidR="006D228A" w:rsidRPr="00EA6C7A">
        <w:rPr>
          <w:sz w:val="20"/>
          <w:szCs w:val="20"/>
          <w:lang w:val="en-US"/>
        </w:rPr>
        <w:t xml:space="preserve"> </w:t>
      </w:r>
      <w:r w:rsidR="00724E96" w:rsidRPr="00EA6C7A">
        <w:rPr>
          <w:sz w:val="20"/>
          <w:szCs w:val="20"/>
          <w:lang w:val="en-US"/>
        </w:rPr>
        <w:t>shall</w:t>
      </w:r>
      <w:r w:rsidR="0005349C" w:rsidRPr="00EA6C7A">
        <w:rPr>
          <w:sz w:val="20"/>
          <w:szCs w:val="20"/>
          <w:lang w:val="en-US"/>
        </w:rPr>
        <w:t>,</w:t>
      </w:r>
      <w:r w:rsidR="006D228A" w:rsidRPr="00EA6C7A">
        <w:rPr>
          <w:sz w:val="20"/>
          <w:szCs w:val="20"/>
          <w:lang w:val="en-US"/>
        </w:rPr>
        <w:t xml:space="preserve"> </w:t>
      </w:r>
      <w:r w:rsidR="0005349C" w:rsidRPr="00EA6C7A">
        <w:rPr>
          <w:sz w:val="20"/>
          <w:szCs w:val="20"/>
          <w:lang w:val="en-US" w:eastAsia="es-CR"/>
        </w:rPr>
        <w:t>within six months</w:t>
      </w:r>
      <w:r w:rsidR="006D228A" w:rsidRPr="00EA6C7A">
        <w:rPr>
          <w:sz w:val="20"/>
          <w:szCs w:val="20"/>
          <w:lang w:val="en-US" w:eastAsia="es-CR"/>
        </w:rPr>
        <w:t xml:space="preserve"> </w:t>
      </w:r>
      <w:r w:rsidR="00940342" w:rsidRPr="00EA6C7A">
        <w:rPr>
          <w:sz w:val="20"/>
          <w:szCs w:val="20"/>
          <w:lang w:val="en-US" w:eastAsia="es-CR"/>
        </w:rPr>
        <w:t>of notification of this judgment</w:t>
      </w:r>
      <w:r w:rsidR="006D228A" w:rsidRPr="00EA6C7A">
        <w:rPr>
          <w:sz w:val="20"/>
          <w:szCs w:val="20"/>
          <w:lang w:val="en-US" w:eastAsia="es-CR"/>
        </w:rPr>
        <w:t>,</w:t>
      </w:r>
      <w:r w:rsidR="0005349C" w:rsidRPr="00EA6C7A">
        <w:rPr>
          <w:sz w:val="20"/>
          <w:szCs w:val="20"/>
          <w:lang w:val="en-US" w:eastAsia="es-CR"/>
        </w:rPr>
        <w:t xml:space="preserve"> make the publications indicated</w:t>
      </w:r>
      <w:r w:rsidR="006D228A" w:rsidRPr="00EA6C7A">
        <w:rPr>
          <w:sz w:val="20"/>
          <w:szCs w:val="20"/>
          <w:lang w:val="en-US" w:eastAsia="es-CR"/>
        </w:rPr>
        <w:t xml:space="preserve"> </w:t>
      </w:r>
      <w:r w:rsidR="0005349C" w:rsidRPr="00EA6C7A">
        <w:rPr>
          <w:sz w:val="20"/>
          <w:szCs w:val="20"/>
          <w:lang w:val="en-US" w:eastAsia="es-CR"/>
        </w:rPr>
        <w:t>in paragraph</w:t>
      </w:r>
      <w:r w:rsidR="006D228A" w:rsidRPr="00EA6C7A">
        <w:rPr>
          <w:sz w:val="20"/>
          <w:szCs w:val="20"/>
          <w:lang w:val="en-US" w:eastAsia="es-CR"/>
        </w:rPr>
        <w:t xml:space="preserve"> 237 </w:t>
      </w:r>
      <w:r w:rsidR="0005349C" w:rsidRPr="00EA6C7A">
        <w:rPr>
          <w:sz w:val="20"/>
          <w:szCs w:val="20"/>
          <w:lang w:val="en-US" w:eastAsia="es-CR"/>
        </w:rPr>
        <w:t>hereof</w:t>
      </w:r>
      <w:r w:rsidR="006D228A" w:rsidRPr="00EA6C7A">
        <w:rPr>
          <w:sz w:val="20"/>
          <w:szCs w:val="20"/>
          <w:lang w:val="en-US" w:eastAsia="es-CR"/>
        </w:rPr>
        <w:t xml:space="preserve">, </w:t>
      </w:r>
      <w:r w:rsidR="0005349C" w:rsidRPr="00EA6C7A">
        <w:rPr>
          <w:sz w:val="20"/>
          <w:szCs w:val="20"/>
          <w:lang w:val="en-US" w:eastAsia="es-CR"/>
        </w:rPr>
        <w:t>as indicated in that paragraph</w:t>
      </w:r>
      <w:r w:rsidR="006D228A" w:rsidRPr="00EA6C7A">
        <w:rPr>
          <w:sz w:val="20"/>
          <w:szCs w:val="20"/>
          <w:lang w:val="en-US" w:eastAsia="es-CR"/>
        </w:rPr>
        <w:t xml:space="preserve">. </w:t>
      </w:r>
    </w:p>
    <w:p w14:paraId="2253CA49" w14:textId="77777777" w:rsidR="006D228A" w:rsidRPr="00EA6C7A" w:rsidRDefault="006D228A" w:rsidP="006D228A">
      <w:pPr>
        <w:pStyle w:val="Default"/>
        <w:spacing w:after="0" w:line="240" w:lineRule="auto"/>
        <w:jc w:val="both"/>
        <w:rPr>
          <w:sz w:val="20"/>
          <w:szCs w:val="20"/>
          <w:lang w:val="en-US" w:eastAsia="es-CR"/>
        </w:rPr>
      </w:pPr>
    </w:p>
    <w:p w14:paraId="03840A92" w14:textId="77777777" w:rsidR="006D228A" w:rsidRPr="00EA6C7A" w:rsidRDefault="002F3848" w:rsidP="00E11A7C">
      <w:pPr>
        <w:pStyle w:val="Default"/>
        <w:numPr>
          <w:ilvl w:val="0"/>
          <w:numId w:val="9"/>
        </w:numPr>
        <w:spacing w:after="0" w:line="240" w:lineRule="auto"/>
        <w:ind w:left="0" w:firstLine="0"/>
        <w:jc w:val="both"/>
        <w:rPr>
          <w:sz w:val="20"/>
          <w:szCs w:val="20"/>
          <w:lang w:val="en-US" w:eastAsia="es-CR"/>
        </w:rPr>
      </w:pPr>
      <w:r w:rsidRPr="00EA6C7A">
        <w:rPr>
          <w:sz w:val="20"/>
          <w:szCs w:val="20"/>
          <w:lang w:val="en-US"/>
        </w:rPr>
        <w:t>The State</w:t>
      </w:r>
      <w:r w:rsidR="006D228A" w:rsidRPr="00EA6C7A">
        <w:rPr>
          <w:sz w:val="20"/>
          <w:szCs w:val="20"/>
          <w:lang w:val="en-US"/>
        </w:rPr>
        <w:t xml:space="preserve"> </w:t>
      </w:r>
      <w:r w:rsidR="00724E96" w:rsidRPr="00EA6C7A">
        <w:rPr>
          <w:sz w:val="20"/>
          <w:szCs w:val="20"/>
          <w:lang w:val="en-US"/>
        </w:rPr>
        <w:t>shall</w:t>
      </w:r>
      <w:r w:rsidR="00634D60" w:rsidRPr="00EA6C7A">
        <w:rPr>
          <w:sz w:val="20"/>
          <w:szCs w:val="20"/>
          <w:lang w:val="en-US"/>
        </w:rPr>
        <w:t>,</w:t>
      </w:r>
      <w:r w:rsidR="006D228A" w:rsidRPr="00EA6C7A">
        <w:rPr>
          <w:sz w:val="20"/>
          <w:szCs w:val="20"/>
          <w:lang w:val="en-US"/>
        </w:rPr>
        <w:t xml:space="preserve"> </w:t>
      </w:r>
      <w:r w:rsidR="0005349C" w:rsidRPr="00EA6C7A">
        <w:rPr>
          <w:sz w:val="20"/>
          <w:szCs w:val="20"/>
          <w:lang w:val="en-US" w:eastAsia="es-CR"/>
        </w:rPr>
        <w:t xml:space="preserve">within one year </w:t>
      </w:r>
      <w:r w:rsidR="00940342" w:rsidRPr="00EA6C7A">
        <w:rPr>
          <w:sz w:val="20"/>
          <w:szCs w:val="20"/>
          <w:lang w:val="en-US" w:eastAsia="es-CR"/>
        </w:rPr>
        <w:t>of notification of this judgment</w:t>
      </w:r>
      <w:r w:rsidR="006D228A" w:rsidRPr="00EA6C7A">
        <w:rPr>
          <w:sz w:val="20"/>
          <w:szCs w:val="20"/>
          <w:lang w:val="en-US" w:eastAsia="es-CR"/>
        </w:rPr>
        <w:t xml:space="preserve">, </w:t>
      </w:r>
      <w:r w:rsidR="0005349C" w:rsidRPr="00EA6C7A">
        <w:rPr>
          <w:sz w:val="20"/>
          <w:szCs w:val="20"/>
          <w:lang w:val="en-US" w:eastAsia="es-CR"/>
        </w:rPr>
        <w:t>organize an act of public apology in relation to the facts of this case and their subsequent investigation,</w:t>
      </w:r>
      <w:r w:rsidR="0005349C" w:rsidRPr="00EA6C7A">
        <w:rPr>
          <w:sz w:val="20"/>
          <w:szCs w:val="20"/>
          <w:lang w:val="en-US"/>
        </w:rPr>
        <w:t xml:space="preserve"> in accordance with paragraph</w:t>
      </w:r>
      <w:r w:rsidR="006D228A" w:rsidRPr="00EA6C7A">
        <w:rPr>
          <w:sz w:val="20"/>
          <w:szCs w:val="20"/>
          <w:lang w:val="en-US"/>
        </w:rPr>
        <w:t xml:space="preserve"> 240 </w:t>
      </w:r>
      <w:r w:rsidR="0005349C" w:rsidRPr="00EA6C7A">
        <w:rPr>
          <w:sz w:val="20"/>
          <w:szCs w:val="20"/>
          <w:lang w:val="en-US"/>
        </w:rPr>
        <w:t>of this judgment</w:t>
      </w:r>
      <w:r w:rsidR="006D228A" w:rsidRPr="00EA6C7A">
        <w:rPr>
          <w:sz w:val="20"/>
          <w:szCs w:val="20"/>
          <w:lang w:val="en-US"/>
        </w:rPr>
        <w:t>.</w:t>
      </w:r>
    </w:p>
    <w:p w14:paraId="7B96316B" w14:textId="77777777" w:rsidR="006D228A" w:rsidRPr="00EA6C7A" w:rsidRDefault="006D228A" w:rsidP="006D228A">
      <w:pPr>
        <w:pStyle w:val="Default"/>
        <w:spacing w:after="0" w:line="240" w:lineRule="auto"/>
        <w:jc w:val="both"/>
        <w:rPr>
          <w:sz w:val="20"/>
          <w:szCs w:val="20"/>
          <w:lang w:val="en-US"/>
        </w:rPr>
      </w:pPr>
    </w:p>
    <w:p w14:paraId="4BF2C06B" w14:textId="77777777" w:rsidR="006D228A" w:rsidRPr="00EA6C7A" w:rsidRDefault="002F3848"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lastRenderedPageBreak/>
        <w:t xml:space="preserve">The </w:t>
      </w:r>
      <w:r w:rsidR="0005349C" w:rsidRPr="00EA6C7A">
        <w:rPr>
          <w:sz w:val="20"/>
          <w:szCs w:val="20"/>
          <w:lang w:val="en-US"/>
        </w:rPr>
        <w:t xml:space="preserve">State </w:t>
      </w:r>
      <w:r w:rsidR="00724E96" w:rsidRPr="00EA6C7A">
        <w:rPr>
          <w:sz w:val="20"/>
          <w:szCs w:val="20"/>
          <w:lang w:val="en-US"/>
        </w:rPr>
        <w:t>shall</w:t>
      </w:r>
      <w:r w:rsidR="006D228A" w:rsidRPr="00EA6C7A">
        <w:rPr>
          <w:sz w:val="20"/>
          <w:szCs w:val="20"/>
          <w:lang w:val="en-US"/>
        </w:rPr>
        <w:t xml:space="preserve">, </w:t>
      </w:r>
      <w:r w:rsidR="00AD3BCF" w:rsidRPr="00EA6C7A">
        <w:rPr>
          <w:sz w:val="20"/>
          <w:szCs w:val="20"/>
          <w:lang w:val="en-US"/>
        </w:rPr>
        <w:t>within a reasonable time</w:t>
      </w:r>
      <w:r w:rsidR="006D228A" w:rsidRPr="00EA6C7A">
        <w:rPr>
          <w:sz w:val="20"/>
          <w:szCs w:val="20"/>
          <w:lang w:val="en-US"/>
        </w:rPr>
        <w:t xml:space="preserve">, </w:t>
      </w:r>
      <w:r w:rsidR="0005349C" w:rsidRPr="00EA6C7A">
        <w:rPr>
          <w:sz w:val="20"/>
          <w:szCs w:val="20"/>
          <w:lang w:val="en-US"/>
        </w:rPr>
        <w:t xml:space="preserve">incorporate into the curriculum of the national education system, at all educational levels, a program of permanent education on the need to eradicate gender discrimination, gender stereotyping, and </w:t>
      </w:r>
      <w:r w:rsidR="00C12C08" w:rsidRPr="00EA6C7A">
        <w:rPr>
          <w:sz w:val="20"/>
          <w:szCs w:val="20"/>
          <w:lang w:val="en-US"/>
        </w:rPr>
        <w:t>violence against women</w:t>
      </w:r>
      <w:r w:rsidR="00FC7D3B" w:rsidRPr="00EA6C7A">
        <w:rPr>
          <w:sz w:val="20"/>
          <w:szCs w:val="20"/>
          <w:lang w:val="en-US"/>
        </w:rPr>
        <w:t xml:space="preserve"> in Guatemala</w:t>
      </w:r>
      <w:r w:rsidR="006D228A" w:rsidRPr="00EA6C7A">
        <w:rPr>
          <w:sz w:val="20"/>
          <w:szCs w:val="20"/>
          <w:lang w:val="en-US"/>
        </w:rPr>
        <w:t xml:space="preserve">, </w:t>
      </w:r>
      <w:r w:rsidR="0005349C" w:rsidRPr="00EA6C7A">
        <w:rPr>
          <w:sz w:val="20"/>
          <w:szCs w:val="20"/>
          <w:lang w:val="en-US"/>
        </w:rPr>
        <w:t>in light of the</w:t>
      </w:r>
      <w:r w:rsidR="00974EFB" w:rsidRPr="00EA6C7A">
        <w:rPr>
          <w:sz w:val="20"/>
          <w:szCs w:val="20"/>
          <w:lang w:val="en-US"/>
        </w:rPr>
        <w:t xml:space="preserve"> respective</w:t>
      </w:r>
      <w:r w:rsidR="0005349C" w:rsidRPr="00EA6C7A">
        <w:rPr>
          <w:sz w:val="20"/>
          <w:szCs w:val="20"/>
          <w:lang w:val="en-US"/>
        </w:rPr>
        <w:t xml:space="preserve"> international standards and the case law of this Court, as </w:t>
      </w:r>
      <w:r w:rsidR="00974EFB" w:rsidRPr="00EA6C7A">
        <w:rPr>
          <w:sz w:val="20"/>
          <w:szCs w:val="20"/>
          <w:lang w:val="en-US"/>
        </w:rPr>
        <w:t>established</w:t>
      </w:r>
      <w:r w:rsidR="0005349C" w:rsidRPr="00EA6C7A">
        <w:rPr>
          <w:sz w:val="20"/>
          <w:szCs w:val="20"/>
          <w:lang w:val="en-US"/>
        </w:rPr>
        <w:t xml:space="preserve"> in paragraphs </w:t>
      </w:r>
      <w:r w:rsidR="00634D60" w:rsidRPr="00EA6C7A">
        <w:rPr>
          <w:sz w:val="20"/>
          <w:szCs w:val="20"/>
          <w:lang w:val="en-US" w:eastAsia="es-CR"/>
        </w:rPr>
        <w:t>247</w:t>
      </w:r>
      <w:r w:rsidR="00D948A1" w:rsidRPr="00EA6C7A">
        <w:rPr>
          <w:sz w:val="20"/>
          <w:szCs w:val="20"/>
          <w:lang w:val="en-US" w:eastAsia="es-CR"/>
        </w:rPr>
        <w:t xml:space="preserve"> and </w:t>
      </w:r>
      <w:r w:rsidR="006D228A" w:rsidRPr="00EA6C7A">
        <w:rPr>
          <w:sz w:val="20"/>
          <w:szCs w:val="20"/>
          <w:lang w:val="en-US" w:eastAsia="es-CR"/>
        </w:rPr>
        <w:t xml:space="preserve">248 </w:t>
      </w:r>
      <w:r w:rsidR="0005349C" w:rsidRPr="00EA6C7A">
        <w:rPr>
          <w:sz w:val="20"/>
          <w:szCs w:val="20"/>
          <w:lang w:val="en-US" w:eastAsia="es-CR"/>
        </w:rPr>
        <w:t>of this judgment</w:t>
      </w:r>
      <w:r w:rsidR="006D228A" w:rsidRPr="00EA6C7A">
        <w:rPr>
          <w:sz w:val="20"/>
          <w:szCs w:val="20"/>
          <w:lang w:val="en-US"/>
        </w:rPr>
        <w:t>.</w:t>
      </w:r>
    </w:p>
    <w:p w14:paraId="3ACCAE1A" w14:textId="77777777" w:rsidR="006D228A" w:rsidRPr="00EA6C7A" w:rsidRDefault="006D228A" w:rsidP="006D228A">
      <w:pPr>
        <w:pStyle w:val="Default"/>
        <w:spacing w:after="0" w:line="240" w:lineRule="auto"/>
        <w:jc w:val="both"/>
        <w:rPr>
          <w:sz w:val="20"/>
          <w:szCs w:val="20"/>
          <w:lang w:val="en-US"/>
        </w:rPr>
      </w:pPr>
    </w:p>
    <w:p w14:paraId="593FDE21" w14:textId="77777777" w:rsidR="006D228A" w:rsidRPr="00EA6C7A" w:rsidRDefault="002F3848"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The </w:t>
      </w:r>
      <w:r w:rsidR="0005349C" w:rsidRPr="00EA6C7A">
        <w:rPr>
          <w:sz w:val="20"/>
          <w:szCs w:val="20"/>
          <w:lang w:val="en-US"/>
        </w:rPr>
        <w:t xml:space="preserve">State </w:t>
      </w:r>
      <w:r w:rsidR="00724E96" w:rsidRPr="00EA6C7A">
        <w:rPr>
          <w:sz w:val="20"/>
          <w:szCs w:val="20"/>
          <w:lang w:val="en-US"/>
        </w:rPr>
        <w:t>shall</w:t>
      </w:r>
      <w:r w:rsidR="006D228A" w:rsidRPr="00EA6C7A">
        <w:rPr>
          <w:sz w:val="20"/>
          <w:szCs w:val="20"/>
          <w:lang w:val="en-US"/>
        </w:rPr>
        <w:t xml:space="preserve">, </w:t>
      </w:r>
      <w:r w:rsidR="00AD3BCF" w:rsidRPr="00EA6C7A">
        <w:rPr>
          <w:sz w:val="20"/>
          <w:szCs w:val="20"/>
          <w:lang w:val="en-US"/>
        </w:rPr>
        <w:t>within a reasonable time</w:t>
      </w:r>
      <w:r w:rsidR="006D228A" w:rsidRPr="00EA6C7A">
        <w:rPr>
          <w:sz w:val="20"/>
          <w:szCs w:val="20"/>
          <w:lang w:val="en-US"/>
        </w:rPr>
        <w:t>, elabora</w:t>
      </w:r>
      <w:r w:rsidR="00974EFB" w:rsidRPr="00EA6C7A">
        <w:rPr>
          <w:sz w:val="20"/>
          <w:szCs w:val="20"/>
          <w:lang w:val="en-US"/>
        </w:rPr>
        <w:t xml:space="preserve">te a scheduled </w:t>
      </w:r>
      <w:r w:rsidR="00724E96" w:rsidRPr="00EA6C7A">
        <w:rPr>
          <w:sz w:val="20"/>
          <w:szCs w:val="20"/>
          <w:lang w:val="en-US"/>
        </w:rPr>
        <w:t>plan</w:t>
      </w:r>
      <w:r w:rsidR="00974EFB" w:rsidRPr="00EA6C7A">
        <w:rPr>
          <w:sz w:val="20"/>
          <w:szCs w:val="20"/>
          <w:lang w:val="en-US"/>
        </w:rPr>
        <w:t xml:space="preserve"> to reinforce the </w:t>
      </w:r>
      <w:r w:rsidR="00CA4197" w:rsidRPr="00EA6C7A">
        <w:rPr>
          <w:sz w:val="20"/>
          <w:szCs w:val="20"/>
          <w:lang w:val="en-US"/>
        </w:rPr>
        <w:t>National Institute of Forensic Science</w:t>
      </w:r>
      <w:r w:rsidR="006D228A" w:rsidRPr="00EA6C7A">
        <w:rPr>
          <w:sz w:val="20"/>
          <w:szCs w:val="20"/>
          <w:lang w:val="en-US"/>
        </w:rPr>
        <w:t xml:space="preserve"> (INACIF), </w:t>
      </w:r>
      <w:r w:rsidR="00974EFB" w:rsidRPr="00EA6C7A">
        <w:rPr>
          <w:sz w:val="20"/>
          <w:szCs w:val="20"/>
          <w:lang w:val="en-US"/>
        </w:rPr>
        <w:t xml:space="preserve">which includes an adequate allocation of resources to expand its activities over national territory and fulfill its </w:t>
      </w:r>
      <w:r w:rsidR="000A7476" w:rsidRPr="00EA6C7A">
        <w:rPr>
          <w:sz w:val="20"/>
          <w:szCs w:val="20"/>
          <w:lang w:val="en-US"/>
        </w:rPr>
        <w:t>mandate</w:t>
      </w:r>
      <w:r w:rsidR="00974EFB" w:rsidRPr="00EA6C7A">
        <w:rPr>
          <w:sz w:val="20"/>
          <w:szCs w:val="20"/>
          <w:lang w:val="en-US"/>
        </w:rPr>
        <w:t xml:space="preserve">, as established </w:t>
      </w:r>
      <w:r w:rsidR="0005349C" w:rsidRPr="00EA6C7A">
        <w:rPr>
          <w:sz w:val="20"/>
          <w:szCs w:val="20"/>
          <w:lang w:val="en-US" w:eastAsia="es-CR"/>
        </w:rPr>
        <w:t>in paragraph</w:t>
      </w:r>
      <w:r w:rsidR="006D228A" w:rsidRPr="00EA6C7A">
        <w:rPr>
          <w:sz w:val="20"/>
          <w:szCs w:val="20"/>
          <w:lang w:val="en-US" w:eastAsia="es-CR"/>
        </w:rPr>
        <w:t xml:space="preserve"> 254 </w:t>
      </w:r>
      <w:r w:rsidR="0005349C" w:rsidRPr="00EA6C7A">
        <w:rPr>
          <w:sz w:val="20"/>
          <w:szCs w:val="20"/>
          <w:lang w:val="en-US" w:eastAsia="es-CR"/>
        </w:rPr>
        <w:t>of this judgment</w:t>
      </w:r>
      <w:r w:rsidR="006D228A" w:rsidRPr="00EA6C7A">
        <w:rPr>
          <w:sz w:val="20"/>
          <w:szCs w:val="20"/>
          <w:lang w:val="en-US"/>
        </w:rPr>
        <w:t>.</w:t>
      </w:r>
    </w:p>
    <w:p w14:paraId="02398B28" w14:textId="77777777" w:rsidR="006D228A" w:rsidRPr="00EA6C7A" w:rsidRDefault="006D228A" w:rsidP="006D228A">
      <w:pPr>
        <w:pStyle w:val="Default"/>
        <w:spacing w:after="0" w:line="240" w:lineRule="auto"/>
        <w:jc w:val="both"/>
        <w:rPr>
          <w:sz w:val="20"/>
          <w:szCs w:val="20"/>
          <w:lang w:val="en-US"/>
        </w:rPr>
      </w:pPr>
    </w:p>
    <w:p w14:paraId="749C37F9" w14:textId="77777777" w:rsidR="006D228A" w:rsidRPr="00EA6C7A" w:rsidRDefault="002F3848"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The </w:t>
      </w:r>
      <w:r w:rsidR="0005349C" w:rsidRPr="00EA6C7A">
        <w:rPr>
          <w:sz w:val="20"/>
          <w:szCs w:val="20"/>
          <w:lang w:val="en-US"/>
        </w:rPr>
        <w:t xml:space="preserve">State </w:t>
      </w:r>
      <w:r w:rsidR="00724E96" w:rsidRPr="00EA6C7A">
        <w:rPr>
          <w:sz w:val="20"/>
          <w:szCs w:val="20"/>
          <w:lang w:val="en-US"/>
        </w:rPr>
        <w:t>shall</w:t>
      </w:r>
      <w:r w:rsidR="006D228A" w:rsidRPr="00EA6C7A">
        <w:rPr>
          <w:sz w:val="20"/>
          <w:szCs w:val="20"/>
          <w:lang w:val="en-US"/>
        </w:rPr>
        <w:t xml:space="preserve">, </w:t>
      </w:r>
      <w:r w:rsidR="00AD3BCF" w:rsidRPr="00EA6C7A">
        <w:rPr>
          <w:sz w:val="20"/>
          <w:szCs w:val="20"/>
          <w:lang w:val="en-US"/>
        </w:rPr>
        <w:t>within a reasonable time</w:t>
      </w:r>
      <w:r w:rsidR="006D228A" w:rsidRPr="00EA6C7A">
        <w:rPr>
          <w:sz w:val="20"/>
          <w:szCs w:val="20"/>
          <w:lang w:val="en-US"/>
        </w:rPr>
        <w:t>, implement</w:t>
      </w:r>
      <w:r w:rsidR="00974EFB" w:rsidRPr="00EA6C7A">
        <w:rPr>
          <w:sz w:val="20"/>
          <w:szCs w:val="20"/>
          <w:lang w:val="en-US"/>
        </w:rPr>
        <w:t xml:space="preserve"> full operation of the “special jurisdictional organs” throughout</w:t>
      </w:r>
      <w:r w:rsidR="006D228A" w:rsidRPr="00EA6C7A">
        <w:rPr>
          <w:sz w:val="20"/>
          <w:szCs w:val="20"/>
          <w:lang w:val="en-US"/>
        </w:rPr>
        <w:t xml:space="preserve"> </w:t>
      </w:r>
      <w:r w:rsidR="003C14C1" w:rsidRPr="00EA6C7A">
        <w:rPr>
          <w:sz w:val="20"/>
          <w:szCs w:val="20"/>
          <w:lang w:val="en-US"/>
        </w:rPr>
        <w:t>the Republic of</w:t>
      </w:r>
      <w:r w:rsidR="006D228A" w:rsidRPr="00EA6C7A">
        <w:rPr>
          <w:sz w:val="20"/>
          <w:szCs w:val="20"/>
          <w:lang w:val="en-US"/>
        </w:rPr>
        <w:t xml:space="preserve"> Guatemala, </w:t>
      </w:r>
      <w:r w:rsidR="00974EFB" w:rsidRPr="00EA6C7A">
        <w:rPr>
          <w:sz w:val="20"/>
          <w:szCs w:val="20"/>
          <w:lang w:val="en-US"/>
        </w:rPr>
        <w:t>together with the special prosecutor’s office</w:t>
      </w:r>
      <w:r w:rsidR="000A7476" w:rsidRPr="00EA6C7A">
        <w:rPr>
          <w:sz w:val="20"/>
          <w:szCs w:val="20"/>
          <w:lang w:val="en-US"/>
        </w:rPr>
        <w:t>s</w:t>
      </w:r>
      <w:r w:rsidR="00974EFB" w:rsidRPr="00EA6C7A">
        <w:rPr>
          <w:sz w:val="20"/>
          <w:szCs w:val="20"/>
          <w:lang w:val="en-US"/>
        </w:rPr>
        <w:t xml:space="preserve">, as established </w:t>
      </w:r>
      <w:r w:rsidR="00974EFB" w:rsidRPr="00EA6C7A">
        <w:rPr>
          <w:sz w:val="20"/>
          <w:szCs w:val="20"/>
          <w:lang w:val="en-US" w:eastAsia="es-CR"/>
        </w:rPr>
        <w:t xml:space="preserve">in </w:t>
      </w:r>
      <w:r w:rsidR="0005349C" w:rsidRPr="00EA6C7A">
        <w:rPr>
          <w:sz w:val="20"/>
          <w:szCs w:val="20"/>
          <w:lang w:val="en-US" w:eastAsia="es-CR"/>
        </w:rPr>
        <w:t>paragraph</w:t>
      </w:r>
      <w:r w:rsidR="006D228A" w:rsidRPr="00EA6C7A">
        <w:rPr>
          <w:sz w:val="20"/>
          <w:szCs w:val="20"/>
          <w:lang w:val="en-US" w:eastAsia="es-CR"/>
        </w:rPr>
        <w:t xml:space="preserve"> 257 </w:t>
      </w:r>
      <w:r w:rsidR="0005349C" w:rsidRPr="00EA6C7A">
        <w:rPr>
          <w:sz w:val="20"/>
          <w:szCs w:val="20"/>
          <w:lang w:val="en-US" w:eastAsia="es-CR"/>
        </w:rPr>
        <w:t>of this judgment</w:t>
      </w:r>
      <w:r w:rsidR="006D228A" w:rsidRPr="00EA6C7A">
        <w:rPr>
          <w:sz w:val="20"/>
          <w:szCs w:val="20"/>
          <w:lang w:val="en-US"/>
        </w:rPr>
        <w:t>.</w:t>
      </w:r>
    </w:p>
    <w:p w14:paraId="281C3F60" w14:textId="77777777" w:rsidR="006D228A" w:rsidRPr="00EA6C7A" w:rsidRDefault="006D228A" w:rsidP="006D228A">
      <w:pPr>
        <w:pStyle w:val="Default"/>
        <w:spacing w:after="0" w:line="240" w:lineRule="auto"/>
        <w:jc w:val="both"/>
        <w:rPr>
          <w:sz w:val="20"/>
          <w:szCs w:val="20"/>
          <w:lang w:val="en-US"/>
        </w:rPr>
      </w:pPr>
    </w:p>
    <w:p w14:paraId="5EB81047" w14:textId="77777777" w:rsidR="006D228A" w:rsidRPr="00EA6C7A" w:rsidRDefault="002F3848"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The </w:t>
      </w:r>
      <w:r w:rsidR="0005349C" w:rsidRPr="00EA6C7A">
        <w:rPr>
          <w:sz w:val="20"/>
          <w:szCs w:val="20"/>
          <w:lang w:val="en-US"/>
        </w:rPr>
        <w:t xml:space="preserve">State </w:t>
      </w:r>
      <w:r w:rsidR="00724E96" w:rsidRPr="00EA6C7A">
        <w:rPr>
          <w:sz w:val="20"/>
          <w:szCs w:val="20"/>
          <w:lang w:val="en-US"/>
        </w:rPr>
        <w:t>shall</w:t>
      </w:r>
      <w:r w:rsidR="006D228A" w:rsidRPr="00EA6C7A">
        <w:rPr>
          <w:sz w:val="20"/>
          <w:szCs w:val="20"/>
          <w:lang w:val="en-US"/>
        </w:rPr>
        <w:t xml:space="preserve">, </w:t>
      </w:r>
      <w:r w:rsidR="00AD3BCF" w:rsidRPr="00EA6C7A">
        <w:rPr>
          <w:sz w:val="20"/>
          <w:szCs w:val="20"/>
          <w:lang w:val="en-US"/>
        </w:rPr>
        <w:t>within a reasonable time</w:t>
      </w:r>
      <w:r w:rsidR="006D228A" w:rsidRPr="00EA6C7A">
        <w:rPr>
          <w:sz w:val="20"/>
          <w:szCs w:val="20"/>
          <w:lang w:val="en-US"/>
        </w:rPr>
        <w:t>, implement</w:t>
      </w:r>
      <w:r w:rsidR="00974EFB" w:rsidRPr="00EA6C7A">
        <w:rPr>
          <w:sz w:val="20"/>
          <w:szCs w:val="20"/>
          <w:lang w:val="en-US"/>
        </w:rPr>
        <w:t xml:space="preserve"> permanent</w:t>
      </w:r>
      <w:r w:rsidR="006D228A" w:rsidRPr="00EA6C7A">
        <w:rPr>
          <w:sz w:val="20"/>
          <w:szCs w:val="20"/>
          <w:lang w:val="en-US"/>
        </w:rPr>
        <w:t xml:space="preserve"> programs</w:t>
      </w:r>
      <w:r w:rsidR="00D948A1" w:rsidRPr="00EA6C7A">
        <w:rPr>
          <w:sz w:val="20"/>
          <w:szCs w:val="20"/>
          <w:lang w:val="en-US"/>
        </w:rPr>
        <w:t xml:space="preserve"> and </w:t>
      </w:r>
      <w:r w:rsidR="006D228A" w:rsidRPr="00EA6C7A">
        <w:rPr>
          <w:sz w:val="20"/>
          <w:szCs w:val="20"/>
          <w:lang w:val="en-US"/>
        </w:rPr>
        <w:t>c</w:t>
      </w:r>
      <w:r w:rsidR="00974EFB" w:rsidRPr="00EA6C7A">
        <w:rPr>
          <w:sz w:val="20"/>
          <w:szCs w:val="20"/>
          <w:lang w:val="en-US"/>
        </w:rPr>
        <w:t>ou</w:t>
      </w:r>
      <w:r w:rsidR="006D228A" w:rsidRPr="00EA6C7A">
        <w:rPr>
          <w:sz w:val="20"/>
          <w:szCs w:val="20"/>
          <w:lang w:val="en-US"/>
        </w:rPr>
        <w:t>rs</w:t>
      </w:r>
      <w:r w:rsidR="00974EFB" w:rsidRPr="00EA6C7A">
        <w:rPr>
          <w:sz w:val="20"/>
          <w:szCs w:val="20"/>
          <w:lang w:val="en-US"/>
        </w:rPr>
        <w:t>e</w:t>
      </w:r>
      <w:r w:rsidR="006D228A" w:rsidRPr="00EA6C7A">
        <w:rPr>
          <w:sz w:val="20"/>
          <w:szCs w:val="20"/>
          <w:lang w:val="en-US"/>
        </w:rPr>
        <w:t xml:space="preserve">s </w:t>
      </w:r>
      <w:r w:rsidR="00974EFB" w:rsidRPr="00EA6C7A">
        <w:rPr>
          <w:sz w:val="20"/>
          <w:szCs w:val="20"/>
          <w:lang w:val="en-US"/>
        </w:rPr>
        <w:t xml:space="preserve">for public officials of the Judiciary, the </w:t>
      </w:r>
      <w:r w:rsidR="00B3248B" w:rsidRPr="00EA6C7A">
        <w:rPr>
          <w:sz w:val="20"/>
          <w:szCs w:val="20"/>
          <w:lang w:val="en-US"/>
        </w:rPr>
        <w:t>Public Prosecution Service</w:t>
      </w:r>
      <w:r w:rsidR="00D948A1" w:rsidRPr="00EA6C7A">
        <w:rPr>
          <w:sz w:val="20"/>
          <w:szCs w:val="20"/>
          <w:lang w:val="en-US"/>
        </w:rPr>
        <w:t xml:space="preserve"> and </w:t>
      </w:r>
      <w:r w:rsidR="00974EFB" w:rsidRPr="00EA6C7A">
        <w:rPr>
          <w:sz w:val="20"/>
          <w:szCs w:val="20"/>
          <w:lang w:val="en-US"/>
        </w:rPr>
        <w:t xml:space="preserve">the </w:t>
      </w:r>
      <w:r w:rsidR="000B3E6E" w:rsidRPr="00EA6C7A">
        <w:rPr>
          <w:sz w:val="20"/>
          <w:szCs w:val="20"/>
          <w:lang w:val="en-US"/>
        </w:rPr>
        <w:t>National Civil Police</w:t>
      </w:r>
      <w:r w:rsidR="006D228A" w:rsidRPr="00EA6C7A">
        <w:rPr>
          <w:sz w:val="20"/>
          <w:szCs w:val="20"/>
          <w:lang w:val="en-US"/>
        </w:rPr>
        <w:t xml:space="preserve">, </w:t>
      </w:r>
      <w:r w:rsidR="00974EFB" w:rsidRPr="00EA6C7A">
        <w:rPr>
          <w:sz w:val="20"/>
          <w:szCs w:val="20"/>
          <w:lang w:val="en-US"/>
        </w:rPr>
        <w:t>whose functions include the investigation of the murder of women, and train them in the proper application of the respective international law and this Court’s case law</w:t>
      </w:r>
      <w:r w:rsidR="006D228A" w:rsidRPr="00EA6C7A">
        <w:rPr>
          <w:sz w:val="20"/>
          <w:szCs w:val="20"/>
          <w:lang w:val="en-US"/>
        </w:rPr>
        <w:t xml:space="preserve">, </w:t>
      </w:r>
      <w:r w:rsidR="00974EFB" w:rsidRPr="00EA6C7A">
        <w:rPr>
          <w:sz w:val="20"/>
          <w:szCs w:val="20"/>
          <w:lang w:val="en-US"/>
        </w:rPr>
        <w:t xml:space="preserve">as established </w:t>
      </w:r>
      <w:r w:rsidR="00974EFB" w:rsidRPr="00EA6C7A">
        <w:rPr>
          <w:sz w:val="20"/>
          <w:szCs w:val="20"/>
          <w:lang w:val="en-US" w:eastAsia="es-CR"/>
        </w:rPr>
        <w:t xml:space="preserve">in </w:t>
      </w:r>
      <w:r w:rsidR="0005349C" w:rsidRPr="00EA6C7A">
        <w:rPr>
          <w:sz w:val="20"/>
          <w:szCs w:val="20"/>
          <w:lang w:val="en-US" w:eastAsia="es-CR"/>
        </w:rPr>
        <w:t>paragraph</w:t>
      </w:r>
      <w:r w:rsidR="006D228A" w:rsidRPr="00EA6C7A">
        <w:rPr>
          <w:sz w:val="20"/>
          <w:szCs w:val="20"/>
          <w:lang w:val="en-US" w:eastAsia="es-CR"/>
        </w:rPr>
        <w:t xml:space="preserve"> 258 </w:t>
      </w:r>
      <w:r w:rsidR="0005349C" w:rsidRPr="00EA6C7A">
        <w:rPr>
          <w:sz w:val="20"/>
          <w:szCs w:val="20"/>
          <w:lang w:val="en-US" w:eastAsia="es-CR"/>
        </w:rPr>
        <w:t>of this judgment</w:t>
      </w:r>
      <w:r w:rsidR="006D228A" w:rsidRPr="00EA6C7A">
        <w:rPr>
          <w:sz w:val="20"/>
          <w:szCs w:val="20"/>
          <w:lang w:val="en-US"/>
        </w:rPr>
        <w:t>.</w:t>
      </w:r>
    </w:p>
    <w:p w14:paraId="56555BCB" w14:textId="77777777" w:rsidR="006D228A" w:rsidRPr="00EA6C7A" w:rsidRDefault="006D228A" w:rsidP="006D228A">
      <w:pPr>
        <w:pStyle w:val="Default"/>
        <w:spacing w:after="0" w:line="240" w:lineRule="auto"/>
        <w:jc w:val="both"/>
        <w:rPr>
          <w:sz w:val="20"/>
          <w:szCs w:val="20"/>
          <w:lang w:val="en-US"/>
        </w:rPr>
      </w:pPr>
    </w:p>
    <w:p w14:paraId="23AF5915" w14:textId="77777777" w:rsidR="006D228A" w:rsidRPr="00EA6C7A" w:rsidRDefault="002F3848"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The </w:t>
      </w:r>
      <w:r w:rsidR="0005349C" w:rsidRPr="00EA6C7A">
        <w:rPr>
          <w:sz w:val="20"/>
          <w:szCs w:val="20"/>
          <w:lang w:val="en-US"/>
        </w:rPr>
        <w:t xml:space="preserve">State </w:t>
      </w:r>
      <w:r w:rsidR="00724E96" w:rsidRPr="00EA6C7A">
        <w:rPr>
          <w:sz w:val="20"/>
          <w:szCs w:val="20"/>
          <w:lang w:val="en-US"/>
        </w:rPr>
        <w:t>shall</w:t>
      </w:r>
      <w:r w:rsidR="006D228A" w:rsidRPr="00EA6C7A">
        <w:rPr>
          <w:sz w:val="20"/>
          <w:szCs w:val="20"/>
          <w:lang w:val="en-US"/>
        </w:rPr>
        <w:t xml:space="preserve">, </w:t>
      </w:r>
      <w:r w:rsidR="00AD3BCF" w:rsidRPr="00EA6C7A">
        <w:rPr>
          <w:sz w:val="20"/>
          <w:szCs w:val="20"/>
          <w:lang w:val="en-US"/>
        </w:rPr>
        <w:t>within a reasonable time</w:t>
      </w:r>
      <w:r w:rsidR="006D228A" w:rsidRPr="00EA6C7A">
        <w:rPr>
          <w:sz w:val="20"/>
          <w:szCs w:val="20"/>
          <w:lang w:val="en-US"/>
        </w:rPr>
        <w:t>, adopt</w:t>
      </w:r>
      <w:r w:rsidR="00974EFB" w:rsidRPr="00EA6C7A">
        <w:rPr>
          <w:sz w:val="20"/>
          <w:szCs w:val="20"/>
          <w:lang w:val="en-US"/>
        </w:rPr>
        <w:t xml:space="preserve"> a national strategy, system, mechanism or program, by legislative or other means, to institute the immediate and effective search for missing women,</w:t>
      </w:r>
      <w:r w:rsidR="006D228A" w:rsidRPr="00EA6C7A">
        <w:rPr>
          <w:sz w:val="20"/>
          <w:szCs w:val="20"/>
          <w:lang w:val="en-US" w:eastAsia="es-CR"/>
        </w:rPr>
        <w:t xml:space="preserve"> </w:t>
      </w:r>
      <w:r w:rsidR="00974EFB" w:rsidRPr="00EA6C7A">
        <w:rPr>
          <w:sz w:val="20"/>
          <w:szCs w:val="20"/>
          <w:lang w:val="en-US"/>
        </w:rPr>
        <w:t xml:space="preserve">as established </w:t>
      </w:r>
      <w:r w:rsidR="00974EFB" w:rsidRPr="00EA6C7A">
        <w:rPr>
          <w:sz w:val="20"/>
          <w:szCs w:val="20"/>
          <w:lang w:val="en-US" w:eastAsia="es-CR"/>
        </w:rPr>
        <w:t>in paragraphs</w:t>
      </w:r>
      <w:r w:rsidR="00EC5332" w:rsidRPr="00EA6C7A">
        <w:rPr>
          <w:sz w:val="20"/>
          <w:szCs w:val="20"/>
          <w:lang w:val="en-US" w:eastAsia="es-CR"/>
        </w:rPr>
        <w:t xml:space="preserve"> 263 </w:t>
      </w:r>
      <w:r w:rsidR="00974EFB" w:rsidRPr="00EA6C7A">
        <w:rPr>
          <w:sz w:val="20"/>
          <w:szCs w:val="20"/>
          <w:lang w:val="en-US" w:eastAsia="es-CR"/>
        </w:rPr>
        <w:t>to</w:t>
      </w:r>
      <w:r w:rsidR="006D228A" w:rsidRPr="00EA6C7A">
        <w:rPr>
          <w:sz w:val="20"/>
          <w:szCs w:val="20"/>
          <w:lang w:val="en-US" w:eastAsia="es-CR"/>
        </w:rPr>
        <w:t xml:space="preserve"> 266 </w:t>
      </w:r>
      <w:r w:rsidR="0005349C" w:rsidRPr="00EA6C7A">
        <w:rPr>
          <w:sz w:val="20"/>
          <w:szCs w:val="20"/>
          <w:lang w:val="en-US" w:eastAsia="es-CR"/>
        </w:rPr>
        <w:t>of this judgment</w:t>
      </w:r>
      <w:r w:rsidR="006D228A" w:rsidRPr="00EA6C7A">
        <w:rPr>
          <w:sz w:val="20"/>
          <w:szCs w:val="20"/>
          <w:lang w:val="en-US"/>
        </w:rPr>
        <w:t>.</w:t>
      </w:r>
    </w:p>
    <w:p w14:paraId="18F94868" w14:textId="77777777" w:rsidR="006D228A" w:rsidRPr="00EA6C7A" w:rsidRDefault="006D228A" w:rsidP="006D228A">
      <w:pPr>
        <w:pStyle w:val="Default"/>
        <w:spacing w:after="0" w:line="240" w:lineRule="auto"/>
        <w:jc w:val="both"/>
        <w:rPr>
          <w:sz w:val="20"/>
          <w:szCs w:val="20"/>
          <w:lang w:val="en-US"/>
        </w:rPr>
      </w:pPr>
    </w:p>
    <w:p w14:paraId="2E5B8617" w14:textId="77777777" w:rsidR="006D228A" w:rsidRPr="00EA6C7A" w:rsidRDefault="002F3848" w:rsidP="00E11A7C">
      <w:pPr>
        <w:pStyle w:val="Default"/>
        <w:numPr>
          <w:ilvl w:val="0"/>
          <w:numId w:val="9"/>
        </w:numPr>
        <w:spacing w:after="0" w:line="240" w:lineRule="auto"/>
        <w:ind w:left="0" w:firstLine="0"/>
        <w:jc w:val="both"/>
        <w:rPr>
          <w:sz w:val="20"/>
          <w:szCs w:val="20"/>
          <w:lang w:val="en-US"/>
        </w:rPr>
      </w:pPr>
      <w:r w:rsidRPr="00EA6C7A">
        <w:rPr>
          <w:sz w:val="20"/>
          <w:szCs w:val="20"/>
          <w:lang w:val="en-US"/>
        </w:rPr>
        <w:t xml:space="preserve">The </w:t>
      </w:r>
      <w:r w:rsidR="0005349C" w:rsidRPr="00EA6C7A">
        <w:rPr>
          <w:sz w:val="20"/>
          <w:szCs w:val="20"/>
          <w:lang w:val="en-US"/>
        </w:rPr>
        <w:t xml:space="preserve">State </w:t>
      </w:r>
      <w:r w:rsidR="000A7476" w:rsidRPr="00EA6C7A">
        <w:rPr>
          <w:sz w:val="20"/>
          <w:szCs w:val="20"/>
          <w:lang w:val="en-US"/>
        </w:rPr>
        <w:t>shall</w:t>
      </w:r>
      <w:r w:rsidR="006D228A" w:rsidRPr="00EA6C7A">
        <w:rPr>
          <w:sz w:val="20"/>
          <w:szCs w:val="20"/>
          <w:lang w:val="en-US"/>
        </w:rPr>
        <w:t xml:space="preserve">, </w:t>
      </w:r>
      <w:r w:rsidR="000044BF" w:rsidRPr="00EA6C7A">
        <w:rPr>
          <w:sz w:val="20"/>
          <w:szCs w:val="20"/>
          <w:lang w:val="en-US" w:eastAsia="es-CR"/>
        </w:rPr>
        <w:t>within one year of notification of this judgment</w:t>
      </w:r>
      <w:r w:rsidR="000044BF" w:rsidRPr="00EA6C7A">
        <w:rPr>
          <w:sz w:val="20"/>
          <w:szCs w:val="20"/>
          <w:lang w:val="en-US"/>
        </w:rPr>
        <w:t xml:space="preserve">, pay the sums established in paragraphs </w:t>
      </w:r>
      <w:r w:rsidR="006D228A" w:rsidRPr="00EA6C7A">
        <w:rPr>
          <w:sz w:val="20"/>
          <w:szCs w:val="20"/>
          <w:lang w:val="en-US"/>
        </w:rPr>
        <w:t>274, 278, 279</w:t>
      </w:r>
      <w:r w:rsidR="00D948A1" w:rsidRPr="00EA6C7A">
        <w:rPr>
          <w:sz w:val="20"/>
          <w:szCs w:val="20"/>
          <w:lang w:val="en-US"/>
        </w:rPr>
        <w:t xml:space="preserve"> and </w:t>
      </w:r>
      <w:r w:rsidR="006D228A" w:rsidRPr="00EA6C7A">
        <w:rPr>
          <w:sz w:val="20"/>
          <w:szCs w:val="20"/>
          <w:lang w:val="en-US"/>
        </w:rPr>
        <w:t xml:space="preserve">283 </w:t>
      </w:r>
      <w:r w:rsidR="000044BF" w:rsidRPr="00EA6C7A">
        <w:rPr>
          <w:sz w:val="20"/>
          <w:szCs w:val="20"/>
          <w:lang w:val="en-US"/>
        </w:rPr>
        <w:t xml:space="preserve">as compensation for pecuniary and non-pecuniary damage, and to reimburse costs and expenses, </w:t>
      </w:r>
      <w:r w:rsidR="0005349C" w:rsidRPr="00EA6C7A">
        <w:rPr>
          <w:sz w:val="20"/>
          <w:szCs w:val="20"/>
          <w:lang w:val="en-US"/>
        </w:rPr>
        <w:t>in accordance with paragraphs</w:t>
      </w:r>
      <w:r w:rsidR="006D228A" w:rsidRPr="00EA6C7A">
        <w:rPr>
          <w:sz w:val="20"/>
          <w:szCs w:val="20"/>
          <w:lang w:val="en-US"/>
        </w:rPr>
        <w:t xml:space="preserve"> 284 </w:t>
      </w:r>
      <w:r w:rsidR="00974EFB" w:rsidRPr="00EA6C7A">
        <w:rPr>
          <w:sz w:val="20"/>
          <w:szCs w:val="20"/>
          <w:lang w:val="en-US"/>
        </w:rPr>
        <w:t>to</w:t>
      </w:r>
      <w:r w:rsidR="006D228A" w:rsidRPr="00EA6C7A">
        <w:rPr>
          <w:sz w:val="20"/>
          <w:szCs w:val="20"/>
          <w:lang w:val="en-US"/>
        </w:rPr>
        <w:t xml:space="preserve"> 290 </w:t>
      </w:r>
      <w:r w:rsidR="0005349C" w:rsidRPr="00EA6C7A">
        <w:rPr>
          <w:sz w:val="20"/>
          <w:szCs w:val="20"/>
          <w:lang w:val="en-US"/>
        </w:rPr>
        <w:t>of this judgment</w:t>
      </w:r>
      <w:r w:rsidR="006D228A" w:rsidRPr="00EA6C7A">
        <w:rPr>
          <w:sz w:val="20"/>
          <w:szCs w:val="20"/>
          <w:lang w:val="en-US"/>
        </w:rPr>
        <w:t xml:space="preserve">. </w:t>
      </w:r>
    </w:p>
    <w:p w14:paraId="0833DEB3" w14:textId="77777777" w:rsidR="006D228A" w:rsidRPr="00EA6C7A" w:rsidRDefault="006D228A" w:rsidP="006D228A">
      <w:pPr>
        <w:tabs>
          <w:tab w:val="left" w:pos="567"/>
        </w:tabs>
        <w:spacing w:after="0" w:line="240" w:lineRule="auto"/>
        <w:jc w:val="both"/>
        <w:rPr>
          <w:rFonts w:ascii="Verdana" w:hAnsi="Verdana" w:cs="Verdana"/>
          <w:color w:val="000000"/>
          <w:sz w:val="20"/>
          <w:szCs w:val="20"/>
          <w:lang w:val="en-US" w:eastAsia="es-CR"/>
        </w:rPr>
      </w:pPr>
    </w:p>
    <w:p w14:paraId="48F3314C" w14:textId="77777777" w:rsidR="006D228A" w:rsidRPr="00EA6C7A" w:rsidRDefault="002F3848" w:rsidP="00E11A7C">
      <w:pPr>
        <w:pStyle w:val="Default"/>
        <w:numPr>
          <w:ilvl w:val="0"/>
          <w:numId w:val="9"/>
        </w:numPr>
        <w:spacing w:after="0" w:line="240" w:lineRule="auto"/>
        <w:ind w:left="0" w:firstLine="0"/>
        <w:jc w:val="both"/>
        <w:rPr>
          <w:sz w:val="20"/>
          <w:szCs w:val="20"/>
          <w:lang w:val="en-US" w:eastAsia="es-CR"/>
        </w:rPr>
      </w:pPr>
      <w:r w:rsidRPr="00EA6C7A">
        <w:rPr>
          <w:sz w:val="20"/>
          <w:szCs w:val="20"/>
          <w:lang w:val="en-US" w:eastAsia="es-CR"/>
        </w:rPr>
        <w:t xml:space="preserve">The </w:t>
      </w:r>
      <w:r w:rsidR="0005349C" w:rsidRPr="00EA6C7A">
        <w:rPr>
          <w:sz w:val="20"/>
          <w:szCs w:val="20"/>
          <w:lang w:val="en-US" w:eastAsia="es-CR"/>
        </w:rPr>
        <w:t xml:space="preserve">State </w:t>
      </w:r>
      <w:r w:rsidR="000A7476" w:rsidRPr="00EA6C7A">
        <w:rPr>
          <w:sz w:val="20"/>
          <w:szCs w:val="20"/>
          <w:lang w:val="en-US"/>
        </w:rPr>
        <w:t>shall</w:t>
      </w:r>
      <w:r w:rsidR="000044BF" w:rsidRPr="00EA6C7A">
        <w:rPr>
          <w:sz w:val="20"/>
          <w:szCs w:val="20"/>
          <w:lang w:val="en-US" w:eastAsia="es-CR"/>
        </w:rPr>
        <w:t>, within one year of notification of this judgment</w:t>
      </w:r>
      <w:r w:rsidR="000044BF" w:rsidRPr="00EA6C7A">
        <w:rPr>
          <w:sz w:val="20"/>
          <w:szCs w:val="20"/>
          <w:lang w:val="en-US"/>
        </w:rPr>
        <w:t xml:space="preserve">, </w:t>
      </w:r>
      <w:r w:rsidR="000044BF" w:rsidRPr="00EA6C7A">
        <w:rPr>
          <w:sz w:val="20"/>
          <w:szCs w:val="20"/>
          <w:lang w:val="en-US" w:eastAsia="es-CR"/>
        </w:rPr>
        <w:t>provide the Court with a report on the measures taken to comply with it.</w:t>
      </w:r>
    </w:p>
    <w:p w14:paraId="34B71A42" w14:textId="77777777" w:rsidR="006D228A" w:rsidRPr="00EA6C7A" w:rsidRDefault="006D228A" w:rsidP="006D228A">
      <w:pPr>
        <w:tabs>
          <w:tab w:val="left" w:pos="567"/>
        </w:tabs>
        <w:spacing w:after="0" w:line="240" w:lineRule="auto"/>
        <w:jc w:val="both"/>
        <w:rPr>
          <w:rFonts w:ascii="Verdana" w:hAnsi="Verdana" w:cs="Verdana"/>
          <w:color w:val="000000"/>
          <w:sz w:val="20"/>
          <w:szCs w:val="20"/>
          <w:lang w:val="en-US" w:eastAsia="es-CR"/>
        </w:rPr>
      </w:pPr>
    </w:p>
    <w:p w14:paraId="6F773429" w14:textId="77777777" w:rsidR="006D228A" w:rsidRPr="00EA6C7A" w:rsidRDefault="0096418F" w:rsidP="00E11A7C">
      <w:pPr>
        <w:pStyle w:val="Default"/>
        <w:numPr>
          <w:ilvl w:val="0"/>
          <w:numId w:val="9"/>
        </w:numPr>
        <w:spacing w:after="0" w:line="240" w:lineRule="auto"/>
        <w:ind w:left="0" w:firstLine="0"/>
        <w:jc w:val="both"/>
        <w:rPr>
          <w:sz w:val="20"/>
          <w:szCs w:val="20"/>
          <w:lang w:val="en-US" w:eastAsia="es-CR"/>
        </w:rPr>
      </w:pPr>
      <w:r w:rsidRPr="00EA6C7A">
        <w:rPr>
          <w:sz w:val="20"/>
          <w:szCs w:val="20"/>
          <w:lang w:val="en-US" w:eastAsia="es-CR"/>
        </w:rPr>
        <w:t>The Court</w:t>
      </w:r>
      <w:r w:rsidR="006D228A" w:rsidRPr="00EA6C7A">
        <w:rPr>
          <w:sz w:val="20"/>
          <w:szCs w:val="20"/>
          <w:lang w:val="en-US" w:eastAsia="es-CR"/>
        </w:rPr>
        <w:t xml:space="preserve"> </w:t>
      </w:r>
      <w:r w:rsidR="000044BF" w:rsidRPr="00EA6C7A">
        <w:rPr>
          <w:sz w:val="20"/>
          <w:szCs w:val="20"/>
          <w:lang w:val="en-US" w:eastAsia="es-CR"/>
        </w:rPr>
        <w:t xml:space="preserve">will monitor full compliance with this judgment in exercise of its attributed and in compliance with its obligations under </w:t>
      </w:r>
      <w:r w:rsidRPr="00EA6C7A">
        <w:rPr>
          <w:sz w:val="20"/>
          <w:szCs w:val="20"/>
          <w:lang w:val="en-US" w:eastAsia="es-CR"/>
        </w:rPr>
        <w:t>the American Convention on Human Rights</w:t>
      </w:r>
      <w:r w:rsidR="006D228A" w:rsidRPr="00EA6C7A">
        <w:rPr>
          <w:sz w:val="20"/>
          <w:szCs w:val="20"/>
          <w:lang w:val="en-US" w:eastAsia="es-CR"/>
        </w:rPr>
        <w:t>,</w:t>
      </w:r>
      <w:r w:rsidR="00D948A1" w:rsidRPr="00EA6C7A">
        <w:rPr>
          <w:sz w:val="20"/>
          <w:szCs w:val="20"/>
          <w:lang w:val="en-US" w:eastAsia="es-CR"/>
        </w:rPr>
        <w:t xml:space="preserve"> and </w:t>
      </w:r>
      <w:r w:rsidR="000044BF" w:rsidRPr="00EA6C7A">
        <w:rPr>
          <w:sz w:val="20"/>
          <w:szCs w:val="20"/>
          <w:lang w:val="en-US" w:eastAsia="es-CR"/>
        </w:rPr>
        <w:t>will consider this case concluded when the State has complied fully with all its provisions.</w:t>
      </w:r>
    </w:p>
    <w:p w14:paraId="4B18EF19" w14:textId="77777777" w:rsidR="006D228A" w:rsidRPr="00EA6C7A" w:rsidRDefault="006D228A" w:rsidP="006D228A">
      <w:pPr>
        <w:pStyle w:val="Default"/>
        <w:spacing w:after="0" w:line="240" w:lineRule="auto"/>
        <w:jc w:val="both"/>
        <w:rPr>
          <w:sz w:val="20"/>
          <w:szCs w:val="20"/>
          <w:lang w:val="en-US" w:eastAsia="es-CR"/>
        </w:rPr>
      </w:pPr>
    </w:p>
    <w:p w14:paraId="169962A2" w14:textId="77777777" w:rsidR="006D228A" w:rsidRPr="00EA6C7A" w:rsidRDefault="0096418F" w:rsidP="006D228A">
      <w:pPr>
        <w:pStyle w:val="Default"/>
        <w:spacing w:after="0" w:line="240" w:lineRule="auto"/>
        <w:jc w:val="both"/>
        <w:rPr>
          <w:sz w:val="20"/>
          <w:szCs w:val="20"/>
          <w:lang w:val="en-US" w:eastAsia="es-CR"/>
        </w:rPr>
      </w:pPr>
      <w:r w:rsidRPr="00EA6C7A">
        <w:rPr>
          <w:sz w:val="20"/>
          <w:szCs w:val="20"/>
          <w:lang w:val="en-US"/>
        </w:rPr>
        <w:t>Judge</w:t>
      </w:r>
      <w:r w:rsidR="006D228A" w:rsidRPr="00EA6C7A">
        <w:rPr>
          <w:sz w:val="20"/>
          <w:szCs w:val="20"/>
          <w:lang w:val="en-US"/>
        </w:rPr>
        <w:t xml:space="preserve"> Roberto F. Caldas</w:t>
      </w:r>
      <w:r w:rsidR="006D228A" w:rsidRPr="00EA6C7A">
        <w:rPr>
          <w:rFonts w:eastAsia="Calibri"/>
          <w:sz w:val="20"/>
          <w:szCs w:val="20"/>
          <w:lang w:val="en-US"/>
        </w:rPr>
        <w:t xml:space="preserve"> </w:t>
      </w:r>
      <w:r w:rsidR="000044BF" w:rsidRPr="00EA6C7A">
        <w:rPr>
          <w:sz w:val="20"/>
          <w:szCs w:val="20"/>
          <w:lang w:val="en-US"/>
        </w:rPr>
        <w:t>advised</w:t>
      </w:r>
      <w:r w:rsidR="006D228A" w:rsidRPr="00EA6C7A">
        <w:rPr>
          <w:sz w:val="20"/>
          <w:szCs w:val="20"/>
          <w:lang w:val="en-US"/>
        </w:rPr>
        <w:t xml:space="preserve"> </w:t>
      </w:r>
      <w:r w:rsidRPr="00EA6C7A">
        <w:rPr>
          <w:sz w:val="20"/>
          <w:szCs w:val="20"/>
          <w:lang w:val="en-US"/>
        </w:rPr>
        <w:t>the Court</w:t>
      </w:r>
      <w:r w:rsidR="006D228A" w:rsidRPr="00EA6C7A">
        <w:rPr>
          <w:sz w:val="20"/>
          <w:szCs w:val="20"/>
          <w:lang w:val="en-US"/>
        </w:rPr>
        <w:t xml:space="preserve"> </w:t>
      </w:r>
      <w:r w:rsidR="000044BF" w:rsidRPr="00EA6C7A">
        <w:rPr>
          <w:sz w:val="20"/>
          <w:szCs w:val="20"/>
          <w:lang w:val="en-US"/>
        </w:rPr>
        <w:t xml:space="preserve">of his Partially dissenting opinion, which is attached to this judgment. Judges </w:t>
      </w:r>
      <w:r w:rsidR="006D228A" w:rsidRPr="00EA6C7A">
        <w:rPr>
          <w:sz w:val="20"/>
          <w:szCs w:val="20"/>
          <w:lang w:val="en-US"/>
        </w:rPr>
        <w:t>Eduardo Vio Grossi</w:t>
      </w:r>
      <w:r w:rsidR="00D948A1" w:rsidRPr="00EA6C7A">
        <w:rPr>
          <w:sz w:val="20"/>
          <w:szCs w:val="20"/>
          <w:lang w:val="en-US"/>
        </w:rPr>
        <w:t xml:space="preserve"> and </w:t>
      </w:r>
      <w:r w:rsidR="00175CE2" w:rsidRPr="00EA6C7A">
        <w:rPr>
          <w:sz w:val="20"/>
          <w:szCs w:val="20"/>
          <w:lang w:val="en-US"/>
        </w:rPr>
        <w:t xml:space="preserve">Eduardo Ferrer Mac-Gregor Poisot </w:t>
      </w:r>
      <w:r w:rsidR="000044BF" w:rsidRPr="00EA6C7A">
        <w:rPr>
          <w:sz w:val="20"/>
          <w:szCs w:val="20"/>
          <w:lang w:val="en-US"/>
        </w:rPr>
        <w:t>advised the Court of their respective Concurring opinions, which are also attached to this judgment</w:t>
      </w:r>
      <w:r w:rsidR="006D228A" w:rsidRPr="00EA6C7A">
        <w:rPr>
          <w:sz w:val="20"/>
          <w:szCs w:val="20"/>
          <w:lang w:val="en-US"/>
        </w:rPr>
        <w:t>.</w:t>
      </w:r>
    </w:p>
    <w:p w14:paraId="15699E72" w14:textId="77777777" w:rsidR="00C75BB6" w:rsidRPr="00EA6C7A" w:rsidRDefault="00C75BB6" w:rsidP="000044BF">
      <w:pPr>
        <w:spacing w:line="240" w:lineRule="auto"/>
        <w:jc w:val="both"/>
        <w:rPr>
          <w:rFonts w:ascii="Verdana" w:hAnsi="Verdana"/>
          <w:sz w:val="20"/>
          <w:lang w:val="en-US"/>
        </w:rPr>
      </w:pPr>
      <w:r w:rsidRPr="00EA6C7A">
        <w:rPr>
          <w:rFonts w:ascii="Verdana" w:eastAsia="Calibri" w:hAnsi="Verdana" w:cs="Arial"/>
          <w:sz w:val="20"/>
          <w:szCs w:val="20"/>
          <w:lang w:val="en-US"/>
        </w:rPr>
        <w:br w:type="page"/>
      </w:r>
      <w:r w:rsidR="00DD5AE1" w:rsidRPr="00EA6C7A">
        <w:rPr>
          <w:rFonts w:ascii="Verdana" w:hAnsi="Verdana"/>
          <w:sz w:val="20"/>
          <w:lang w:val="en-US"/>
        </w:rPr>
        <w:lastRenderedPageBreak/>
        <w:t>Judgment on</w:t>
      </w:r>
      <w:r w:rsidRPr="00EA6C7A">
        <w:rPr>
          <w:rFonts w:ascii="Verdana" w:hAnsi="Verdana"/>
          <w:sz w:val="20"/>
          <w:lang w:val="en-US"/>
        </w:rPr>
        <w:t xml:space="preserve"> </w:t>
      </w:r>
      <w:r w:rsidR="0096418F" w:rsidRPr="00EA6C7A">
        <w:rPr>
          <w:rFonts w:ascii="Verdana" w:hAnsi="Verdana"/>
          <w:sz w:val="20"/>
          <w:lang w:val="en-US"/>
        </w:rPr>
        <w:t>Preliminary objections, merits, reparations and costs</w:t>
      </w:r>
      <w:r w:rsidRPr="00EA6C7A">
        <w:rPr>
          <w:rFonts w:ascii="Verdana" w:hAnsi="Verdana"/>
          <w:sz w:val="20"/>
          <w:lang w:val="en-US"/>
        </w:rPr>
        <w:t xml:space="preserve"> </w:t>
      </w:r>
      <w:r w:rsidR="00DD5AE1" w:rsidRPr="00EA6C7A">
        <w:rPr>
          <w:rFonts w:ascii="Verdana" w:hAnsi="Verdana"/>
          <w:sz w:val="20"/>
          <w:lang w:val="en-US"/>
        </w:rPr>
        <w:t xml:space="preserve">in </w:t>
      </w:r>
      <w:r w:rsidR="007E6E93" w:rsidRPr="00EA6C7A">
        <w:rPr>
          <w:rFonts w:ascii="Verdana" w:hAnsi="Verdana"/>
          <w:sz w:val="20"/>
          <w:lang w:val="en-US"/>
        </w:rPr>
        <w:t>the case of</w:t>
      </w:r>
      <w:r w:rsidR="001914FC" w:rsidRPr="00EA6C7A">
        <w:rPr>
          <w:rFonts w:ascii="Verdana" w:hAnsi="Verdana"/>
          <w:sz w:val="20"/>
          <w:lang w:val="en-US"/>
        </w:rPr>
        <w:t xml:space="preserve"> </w:t>
      </w:r>
      <w:r w:rsidRPr="00EA6C7A">
        <w:rPr>
          <w:rFonts w:ascii="Verdana" w:hAnsi="Verdana"/>
          <w:sz w:val="20"/>
          <w:lang w:val="en-US"/>
        </w:rPr>
        <w:t xml:space="preserve">Velásquez Paiz </w:t>
      </w:r>
      <w:r w:rsidR="001914FC" w:rsidRPr="00EA6C7A">
        <w:rPr>
          <w:rFonts w:ascii="Verdana" w:hAnsi="Verdana"/>
          <w:i/>
          <w:iCs/>
          <w:sz w:val="20"/>
          <w:lang w:val="en-US"/>
        </w:rPr>
        <w:t>et al. v.</w:t>
      </w:r>
      <w:r w:rsidRPr="00EA6C7A">
        <w:rPr>
          <w:rFonts w:ascii="Verdana" w:hAnsi="Verdana"/>
          <w:sz w:val="20"/>
          <w:lang w:val="en-US"/>
        </w:rPr>
        <w:t xml:space="preserve"> Guatemala.</w:t>
      </w:r>
    </w:p>
    <w:p w14:paraId="0FF03ABB" w14:textId="77777777" w:rsidR="00C75BB6" w:rsidRPr="00EA6C7A" w:rsidRDefault="00C75BB6" w:rsidP="00C75BB6">
      <w:pPr>
        <w:jc w:val="both"/>
        <w:rPr>
          <w:rFonts w:ascii="Verdana" w:hAnsi="Verdana"/>
          <w:sz w:val="20"/>
          <w:lang w:val="en-US"/>
        </w:rPr>
      </w:pPr>
    </w:p>
    <w:p w14:paraId="0E09DE12" w14:textId="77777777" w:rsidR="00C75BB6" w:rsidRPr="00EA6C7A" w:rsidRDefault="00C75BB6" w:rsidP="00C75BB6">
      <w:pPr>
        <w:jc w:val="both"/>
        <w:rPr>
          <w:rFonts w:ascii="Verdana" w:hAnsi="Verdana"/>
          <w:sz w:val="20"/>
          <w:lang w:val="en-US"/>
        </w:rPr>
      </w:pPr>
    </w:p>
    <w:p w14:paraId="2B990C9E" w14:textId="77777777" w:rsidR="00C75BB6" w:rsidRPr="00EA6C7A" w:rsidRDefault="00C75BB6" w:rsidP="00DD5AE1">
      <w:pPr>
        <w:spacing w:after="0" w:line="240" w:lineRule="auto"/>
        <w:jc w:val="center"/>
        <w:rPr>
          <w:rFonts w:ascii="Verdana" w:hAnsi="Verdana"/>
          <w:sz w:val="20"/>
        </w:rPr>
      </w:pPr>
      <w:r w:rsidRPr="00EA6C7A">
        <w:rPr>
          <w:rFonts w:ascii="Verdana" w:hAnsi="Verdana"/>
          <w:sz w:val="20"/>
        </w:rPr>
        <w:t>Humberto Antonio Sierra Porto</w:t>
      </w:r>
    </w:p>
    <w:p w14:paraId="2985C618" w14:textId="77777777" w:rsidR="00C75BB6" w:rsidRPr="00EA6C7A" w:rsidRDefault="0096418F" w:rsidP="00DD5AE1">
      <w:pPr>
        <w:spacing w:after="0" w:line="240" w:lineRule="auto"/>
        <w:jc w:val="center"/>
        <w:rPr>
          <w:rFonts w:ascii="Verdana" w:hAnsi="Verdana"/>
          <w:sz w:val="20"/>
        </w:rPr>
      </w:pPr>
      <w:proofErr w:type="spellStart"/>
      <w:r w:rsidRPr="00EA6C7A">
        <w:rPr>
          <w:rFonts w:ascii="Verdana" w:hAnsi="Verdana"/>
          <w:sz w:val="20"/>
        </w:rPr>
        <w:t>President</w:t>
      </w:r>
      <w:proofErr w:type="spellEnd"/>
      <w:r w:rsidR="00C75BB6" w:rsidRPr="00EA6C7A">
        <w:rPr>
          <w:rFonts w:ascii="Verdana" w:hAnsi="Verdana"/>
          <w:sz w:val="20"/>
        </w:rPr>
        <w:t xml:space="preserve"> </w:t>
      </w:r>
    </w:p>
    <w:p w14:paraId="0C0D3F25" w14:textId="77777777" w:rsidR="00C75BB6" w:rsidRPr="00EA6C7A" w:rsidRDefault="00C75BB6" w:rsidP="00C75BB6">
      <w:pPr>
        <w:jc w:val="both"/>
        <w:rPr>
          <w:rFonts w:ascii="Verdana" w:hAnsi="Verdana"/>
          <w:sz w:val="20"/>
        </w:rPr>
      </w:pPr>
    </w:p>
    <w:p w14:paraId="733C194C" w14:textId="77777777" w:rsidR="00C75BB6" w:rsidRPr="00EA6C7A" w:rsidRDefault="00C75BB6" w:rsidP="00C75BB6">
      <w:pPr>
        <w:jc w:val="both"/>
        <w:rPr>
          <w:rFonts w:ascii="Verdana" w:hAnsi="Verdana"/>
          <w:sz w:val="20"/>
        </w:rPr>
      </w:pPr>
    </w:p>
    <w:p w14:paraId="63A374EA" w14:textId="77777777" w:rsidR="00C75BB6" w:rsidRPr="00EA6C7A" w:rsidRDefault="00C75BB6" w:rsidP="00C75BB6">
      <w:pPr>
        <w:jc w:val="both"/>
        <w:rPr>
          <w:rFonts w:ascii="Verdana" w:hAnsi="Verdana"/>
          <w:sz w:val="20"/>
        </w:rPr>
      </w:pPr>
      <w:r w:rsidRPr="00EA6C7A">
        <w:rPr>
          <w:rFonts w:ascii="Verdana" w:hAnsi="Verdana"/>
          <w:sz w:val="20"/>
        </w:rPr>
        <w:t>Roberto F. Caldas</w:t>
      </w:r>
      <w:r w:rsidRPr="00EA6C7A">
        <w:rPr>
          <w:rFonts w:ascii="Verdana" w:hAnsi="Verdana"/>
          <w:sz w:val="20"/>
        </w:rPr>
        <w:tab/>
      </w:r>
      <w:r w:rsidRPr="00EA6C7A">
        <w:rPr>
          <w:rFonts w:ascii="Verdana" w:hAnsi="Verdana"/>
          <w:sz w:val="20"/>
        </w:rPr>
        <w:tab/>
      </w:r>
      <w:r w:rsidRPr="00EA6C7A">
        <w:rPr>
          <w:rFonts w:ascii="Verdana" w:hAnsi="Verdana"/>
          <w:sz w:val="20"/>
        </w:rPr>
        <w:tab/>
      </w:r>
      <w:r w:rsidRPr="00EA6C7A">
        <w:rPr>
          <w:rFonts w:ascii="Verdana" w:hAnsi="Verdana"/>
          <w:sz w:val="20"/>
        </w:rPr>
        <w:tab/>
      </w:r>
      <w:r w:rsidRPr="00EA6C7A">
        <w:rPr>
          <w:rFonts w:ascii="Verdana" w:hAnsi="Verdana"/>
          <w:sz w:val="20"/>
        </w:rPr>
        <w:tab/>
      </w:r>
      <w:r w:rsidRPr="00EA6C7A">
        <w:rPr>
          <w:rFonts w:ascii="Verdana" w:hAnsi="Verdana"/>
          <w:sz w:val="20"/>
        </w:rPr>
        <w:tab/>
        <w:t xml:space="preserve">    Manuel E. Ventura Robles</w:t>
      </w:r>
    </w:p>
    <w:p w14:paraId="10C91C0A" w14:textId="77777777" w:rsidR="00C75BB6" w:rsidRPr="00EA6C7A" w:rsidRDefault="00C75BB6" w:rsidP="00C75BB6">
      <w:pPr>
        <w:jc w:val="both"/>
        <w:rPr>
          <w:rFonts w:ascii="Verdana" w:hAnsi="Verdana"/>
          <w:sz w:val="20"/>
        </w:rPr>
      </w:pPr>
    </w:p>
    <w:p w14:paraId="0E4555BF" w14:textId="77777777" w:rsidR="00C75BB6" w:rsidRPr="00EA6C7A" w:rsidRDefault="00C75BB6" w:rsidP="00C75BB6">
      <w:pPr>
        <w:jc w:val="both"/>
        <w:rPr>
          <w:rFonts w:ascii="Verdana" w:hAnsi="Verdana"/>
          <w:sz w:val="20"/>
        </w:rPr>
      </w:pPr>
      <w:r w:rsidRPr="00EA6C7A">
        <w:rPr>
          <w:rFonts w:ascii="Verdana" w:hAnsi="Verdana"/>
          <w:sz w:val="20"/>
        </w:rPr>
        <w:t>Diego García-Sayán</w:t>
      </w:r>
      <w:r w:rsidRPr="00EA6C7A">
        <w:rPr>
          <w:rFonts w:ascii="Verdana" w:hAnsi="Verdana"/>
          <w:sz w:val="20"/>
        </w:rPr>
        <w:tab/>
      </w:r>
      <w:r w:rsidRPr="00EA6C7A">
        <w:rPr>
          <w:rFonts w:ascii="Verdana" w:hAnsi="Verdana"/>
          <w:sz w:val="20"/>
        </w:rPr>
        <w:tab/>
      </w:r>
      <w:r w:rsidRPr="00EA6C7A">
        <w:rPr>
          <w:rFonts w:ascii="Verdana" w:hAnsi="Verdana"/>
          <w:sz w:val="20"/>
        </w:rPr>
        <w:tab/>
      </w:r>
      <w:r w:rsidRPr="00EA6C7A">
        <w:rPr>
          <w:rFonts w:ascii="Verdana" w:hAnsi="Verdana"/>
          <w:sz w:val="20"/>
        </w:rPr>
        <w:tab/>
      </w:r>
      <w:r w:rsidRPr="00EA6C7A">
        <w:rPr>
          <w:rFonts w:ascii="Verdana" w:hAnsi="Verdana"/>
          <w:sz w:val="20"/>
        </w:rPr>
        <w:tab/>
        <w:t xml:space="preserve">                       Alberto Pérez </w:t>
      </w:r>
      <w:proofErr w:type="spellStart"/>
      <w:r w:rsidRPr="00EA6C7A">
        <w:rPr>
          <w:rFonts w:ascii="Verdana" w:hAnsi="Verdana"/>
          <w:sz w:val="20"/>
        </w:rPr>
        <w:t>Pérez</w:t>
      </w:r>
      <w:proofErr w:type="spellEnd"/>
    </w:p>
    <w:p w14:paraId="14F73703" w14:textId="77777777" w:rsidR="00C75BB6" w:rsidRPr="00EA6C7A" w:rsidRDefault="00C75BB6" w:rsidP="00C75BB6">
      <w:pPr>
        <w:jc w:val="both"/>
        <w:rPr>
          <w:rFonts w:ascii="Verdana" w:hAnsi="Verdana"/>
          <w:sz w:val="20"/>
        </w:rPr>
      </w:pPr>
    </w:p>
    <w:p w14:paraId="6B063186" w14:textId="77777777" w:rsidR="00C75BB6" w:rsidRPr="00EA6C7A" w:rsidRDefault="00C75BB6" w:rsidP="00C75BB6">
      <w:pPr>
        <w:rPr>
          <w:rFonts w:ascii="Verdana" w:hAnsi="Verdana"/>
          <w:sz w:val="20"/>
        </w:rPr>
      </w:pPr>
      <w:r w:rsidRPr="00EA6C7A">
        <w:rPr>
          <w:rFonts w:ascii="Verdana" w:hAnsi="Verdana"/>
          <w:sz w:val="20"/>
        </w:rPr>
        <w:t>Eduardo Vio Grossi                                               Eduardo Ferrer Mac-</w:t>
      </w:r>
      <w:proofErr w:type="spellStart"/>
      <w:r w:rsidRPr="00EA6C7A">
        <w:rPr>
          <w:rFonts w:ascii="Verdana" w:hAnsi="Verdana"/>
          <w:sz w:val="20"/>
        </w:rPr>
        <w:t>Gregor</w:t>
      </w:r>
      <w:proofErr w:type="spellEnd"/>
      <w:r w:rsidRPr="00EA6C7A">
        <w:rPr>
          <w:rFonts w:ascii="Verdana" w:hAnsi="Verdana"/>
          <w:sz w:val="20"/>
        </w:rPr>
        <w:t xml:space="preserve"> Poisot</w:t>
      </w:r>
    </w:p>
    <w:p w14:paraId="67A6CDCD" w14:textId="77777777" w:rsidR="00C75BB6" w:rsidRPr="00EA6C7A" w:rsidRDefault="00C75BB6" w:rsidP="00C75BB6">
      <w:pPr>
        <w:jc w:val="both"/>
        <w:rPr>
          <w:rFonts w:ascii="Verdana" w:hAnsi="Verdana"/>
          <w:sz w:val="20"/>
        </w:rPr>
      </w:pPr>
    </w:p>
    <w:p w14:paraId="05320F83" w14:textId="77777777" w:rsidR="00C75BB6" w:rsidRPr="00EA6C7A" w:rsidRDefault="00C75BB6" w:rsidP="006A3E01">
      <w:pPr>
        <w:spacing w:line="240" w:lineRule="auto"/>
        <w:jc w:val="both"/>
        <w:rPr>
          <w:rFonts w:ascii="Verdana" w:hAnsi="Verdana"/>
          <w:sz w:val="20"/>
        </w:rPr>
      </w:pPr>
    </w:p>
    <w:p w14:paraId="6C89C67D" w14:textId="77777777" w:rsidR="00C75BB6" w:rsidRPr="00EA6C7A" w:rsidRDefault="00C75BB6" w:rsidP="006A3E01">
      <w:pPr>
        <w:spacing w:after="0" w:line="240" w:lineRule="auto"/>
        <w:jc w:val="center"/>
        <w:rPr>
          <w:rFonts w:ascii="Verdana" w:hAnsi="Verdana"/>
          <w:sz w:val="20"/>
        </w:rPr>
      </w:pPr>
      <w:r w:rsidRPr="00EA6C7A">
        <w:rPr>
          <w:rFonts w:ascii="Verdana" w:hAnsi="Verdana"/>
          <w:sz w:val="20"/>
        </w:rPr>
        <w:t>Pablo Saavedra Alessandri</w:t>
      </w:r>
    </w:p>
    <w:p w14:paraId="7C90A88F" w14:textId="77777777" w:rsidR="00C75BB6" w:rsidRPr="00EA6C7A" w:rsidRDefault="0096418F" w:rsidP="006A3E01">
      <w:pPr>
        <w:spacing w:after="0" w:line="240" w:lineRule="auto"/>
        <w:jc w:val="center"/>
        <w:rPr>
          <w:rFonts w:ascii="Verdana" w:hAnsi="Verdana"/>
          <w:sz w:val="20"/>
        </w:rPr>
      </w:pPr>
      <w:proofErr w:type="spellStart"/>
      <w:r w:rsidRPr="00EA6C7A">
        <w:rPr>
          <w:rFonts w:ascii="Verdana" w:hAnsi="Verdana"/>
          <w:sz w:val="20"/>
        </w:rPr>
        <w:t>Secretary</w:t>
      </w:r>
      <w:proofErr w:type="spellEnd"/>
    </w:p>
    <w:p w14:paraId="549F7F97" w14:textId="77777777" w:rsidR="00C75BB6" w:rsidRPr="00EA6C7A" w:rsidRDefault="00C75BB6" w:rsidP="00C75BB6">
      <w:pPr>
        <w:rPr>
          <w:rFonts w:ascii="Verdana" w:hAnsi="Verdana"/>
          <w:sz w:val="20"/>
        </w:rPr>
      </w:pPr>
    </w:p>
    <w:p w14:paraId="05EEB7A0" w14:textId="77777777" w:rsidR="00C75BB6" w:rsidRPr="00EA6C7A" w:rsidRDefault="00C75BB6" w:rsidP="00C75BB6">
      <w:pPr>
        <w:pStyle w:val="Textonotapie"/>
        <w:rPr>
          <w:rFonts w:ascii="Verdana" w:hAnsi="Verdana"/>
          <w:lang w:val="es-CR"/>
        </w:rPr>
      </w:pPr>
    </w:p>
    <w:p w14:paraId="32071A97" w14:textId="77777777" w:rsidR="00C75BB6" w:rsidRPr="00EA6C7A" w:rsidRDefault="00DD5AE1" w:rsidP="00C75BB6">
      <w:pPr>
        <w:jc w:val="both"/>
        <w:rPr>
          <w:rFonts w:ascii="Verdana" w:hAnsi="Verdana"/>
          <w:sz w:val="20"/>
        </w:rPr>
      </w:pPr>
      <w:r w:rsidRPr="00EA6C7A">
        <w:rPr>
          <w:rFonts w:ascii="Verdana" w:hAnsi="Verdana"/>
          <w:sz w:val="20"/>
        </w:rPr>
        <w:t xml:space="preserve">So </w:t>
      </w:r>
      <w:proofErr w:type="spellStart"/>
      <w:r w:rsidRPr="00EA6C7A">
        <w:rPr>
          <w:rFonts w:ascii="Verdana" w:hAnsi="Verdana"/>
          <w:sz w:val="20"/>
        </w:rPr>
        <w:t>ordered</w:t>
      </w:r>
      <w:proofErr w:type="spellEnd"/>
      <w:r w:rsidRPr="00EA6C7A">
        <w:rPr>
          <w:rFonts w:ascii="Verdana" w:hAnsi="Verdana"/>
          <w:sz w:val="20"/>
        </w:rPr>
        <w:t xml:space="preserve">, </w:t>
      </w:r>
    </w:p>
    <w:p w14:paraId="5593E5CD" w14:textId="77777777" w:rsidR="00DD5AE1" w:rsidRPr="00EA6C7A" w:rsidRDefault="00DD5AE1" w:rsidP="006A3E01">
      <w:pPr>
        <w:spacing w:line="240" w:lineRule="auto"/>
        <w:jc w:val="both"/>
        <w:rPr>
          <w:rFonts w:ascii="Verdana" w:hAnsi="Verdana"/>
          <w:sz w:val="20"/>
        </w:rPr>
      </w:pPr>
    </w:p>
    <w:p w14:paraId="25E3C63C" w14:textId="77777777" w:rsidR="00C75BB6" w:rsidRPr="00EA6C7A" w:rsidRDefault="00C75BB6" w:rsidP="006A3E01">
      <w:pPr>
        <w:spacing w:after="0" w:line="240" w:lineRule="auto"/>
        <w:ind w:left="5040"/>
        <w:rPr>
          <w:rFonts w:ascii="Verdana" w:hAnsi="Verdana"/>
          <w:sz w:val="20"/>
        </w:rPr>
      </w:pPr>
      <w:r w:rsidRPr="00EA6C7A">
        <w:rPr>
          <w:rFonts w:ascii="Verdana" w:hAnsi="Verdana"/>
          <w:sz w:val="20"/>
        </w:rPr>
        <w:t xml:space="preserve">                 Humberto Antonio Sierra Porto</w:t>
      </w:r>
      <w:r w:rsidRPr="00EA6C7A">
        <w:rPr>
          <w:rFonts w:ascii="Verdana" w:hAnsi="Verdana"/>
          <w:sz w:val="20"/>
        </w:rPr>
        <w:tab/>
      </w:r>
    </w:p>
    <w:p w14:paraId="2E38C0B1" w14:textId="77777777" w:rsidR="00C75BB6" w:rsidRPr="00EA6C7A" w:rsidRDefault="0096418F" w:rsidP="006A3E01">
      <w:pPr>
        <w:spacing w:after="0" w:line="240" w:lineRule="auto"/>
        <w:ind w:left="5760"/>
        <w:jc w:val="center"/>
        <w:rPr>
          <w:rFonts w:ascii="Verdana" w:hAnsi="Verdana"/>
          <w:sz w:val="20"/>
          <w:lang w:val="en-US"/>
        </w:rPr>
      </w:pPr>
      <w:r w:rsidRPr="00EA6C7A">
        <w:rPr>
          <w:rFonts w:ascii="Verdana" w:hAnsi="Verdana"/>
          <w:sz w:val="20"/>
          <w:lang w:val="en-US"/>
        </w:rPr>
        <w:t>President</w:t>
      </w:r>
    </w:p>
    <w:p w14:paraId="5245186C" w14:textId="77777777" w:rsidR="00C75BB6" w:rsidRPr="00EA6C7A" w:rsidRDefault="00C75BB6" w:rsidP="006A3E01">
      <w:pPr>
        <w:spacing w:after="0" w:line="240" w:lineRule="auto"/>
        <w:jc w:val="both"/>
        <w:rPr>
          <w:rFonts w:ascii="Verdana" w:hAnsi="Verdana"/>
          <w:sz w:val="20"/>
          <w:lang w:val="en-US"/>
        </w:rPr>
      </w:pPr>
    </w:p>
    <w:p w14:paraId="3FC6C412" w14:textId="77777777" w:rsidR="00DD5AE1" w:rsidRPr="00EA6C7A" w:rsidRDefault="00DD5AE1" w:rsidP="006A3E01">
      <w:pPr>
        <w:spacing w:after="0" w:line="240" w:lineRule="auto"/>
        <w:jc w:val="both"/>
        <w:rPr>
          <w:rFonts w:ascii="Verdana" w:hAnsi="Verdana"/>
          <w:sz w:val="20"/>
          <w:lang w:val="en-US"/>
        </w:rPr>
      </w:pPr>
    </w:p>
    <w:p w14:paraId="475CC267" w14:textId="77777777" w:rsidR="00DD5AE1" w:rsidRPr="00EA6C7A" w:rsidRDefault="00DD5AE1" w:rsidP="006A3E01">
      <w:pPr>
        <w:spacing w:after="0" w:line="240" w:lineRule="auto"/>
        <w:jc w:val="both"/>
        <w:rPr>
          <w:rFonts w:ascii="Verdana" w:hAnsi="Verdana"/>
          <w:sz w:val="20"/>
          <w:lang w:val="en-US"/>
        </w:rPr>
      </w:pPr>
    </w:p>
    <w:p w14:paraId="4C9AB76B" w14:textId="77777777" w:rsidR="00C75BB6" w:rsidRPr="00EA6C7A" w:rsidRDefault="00C75BB6" w:rsidP="006A3E01">
      <w:pPr>
        <w:spacing w:after="0" w:line="240" w:lineRule="auto"/>
        <w:jc w:val="both"/>
        <w:rPr>
          <w:rFonts w:ascii="Verdana" w:hAnsi="Verdana"/>
          <w:sz w:val="20"/>
          <w:lang w:val="en-US"/>
        </w:rPr>
      </w:pPr>
      <w:r w:rsidRPr="00EA6C7A">
        <w:rPr>
          <w:rFonts w:ascii="Verdana" w:hAnsi="Verdana"/>
          <w:sz w:val="20"/>
          <w:lang w:val="en-US"/>
        </w:rPr>
        <w:t>Pablo Saavedra Alessandri</w:t>
      </w:r>
    </w:p>
    <w:p w14:paraId="667B6114" w14:textId="77777777" w:rsidR="00C75BB6" w:rsidRPr="00EA6C7A" w:rsidRDefault="00C75BB6" w:rsidP="006A3E01">
      <w:pPr>
        <w:spacing w:after="0" w:line="240" w:lineRule="auto"/>
        <w:rPr>
          <w:rFonts w:ascii="Verdana" w:hAnsi="Verdana"/>
          <w:sz w:val="20"/>
          <w:lang w:val="en-US"/>
        </w:rPr>
      </w:pPr>
      <w:r w:rsidRPr="00EA6C7A">
        <w:rPr>
          <w:rFonts w:ascii="Verdana" w:hAnsi="Verdana"/>
          <w:sz w:val="20"/>
          <w:lang w:val="en-US"/>
        </w:rPr>
        <w:tab/>
      </w:r>
      <w:r w:rsidR="0096418F" w:rsidRPr="00EA6C7A">
        <w:rPr>
          <w:rFonts w:ascii="Verdana" w:hAnsi="Verdana"/>
          <w:sz w:val="20"/>
          <w:lang w:val="en-US"/>
        </w:rPr>
        <w:t>Secretary</w:t>
      </w:r>
    </w:p>
    <w:p w14:paraId="26483AF9" w14:textId="77777777" w:rsidR="00C533CE" w:rsidRPr="00EA6C7A" w:rsidRDefault="00C533CE" w:rsidP="006A3E01">
      <w:pPr>
        <w:tabs>
          <w:tab w:val="left" w:pos="567"/>
        </w:tabs>
        <w:spacing w:after="0" w:line="240" w:lineRule="auto"/>
        <w:jc w:val="both"/>
        <w:rPr>
          <w:rFonts w:ascii="Verdana" w:eastAsia="Calibri" w:hAnsi="Verdana" w:cs="Arial"/>
          <w:sz w:val="20"/>
          <w:szCs w:val="20"/>
          <w:lang w:val="en-US"/>
        </w:rPr>
        <w:sectPr w:rsidR="00C533CE" w:rsidRPr="00EA6C7A" w:rsidSect="0006605D">
          <w:footerReference w:type="default" r:id="rId12"/>
          <w:pgSz w:w="12240" w:h="15840"/>
          <w:pgMar w:top="1296" w:right="1224" w:bottom="1282" w:left="1224" w:header="720" w:footer="720" w:gutter="0"/>
          <w:cols w:space="720"/>
          <w:titlePg/>
          <w:docGrid w:linePitch="360"/>
        </w:sectPr>
      </w:pPr>
    </w:p>
    <w:p w14:paraId="3C0B1BDA" w14:textId="77777777" w:rsidR="00E247AA" w:rsidRPr="00EA6C7A" w:rsidRDefault="00E247AA" w:rsidP="00E247AA">
      <w:pPr>
        <w:jc w:val="center"/>
        <w:rPr>
          <w:rFonts w:ascii="Verdana" w:eastAsia="Verdana" w:hAnsi="Verdana" w:cs="Verdana"/>
          <w:b/>
          <w:bCs/>
          <w:sz w:val="20"/>
          <w:szCs w:val="20"/>
          <w:lang w:val="en-US"/>
        </w:rPr>
      </w:pPr>
    </w:p>
    <w:p w14:paraId="11385948" w14:textId="77777777" w:rsidR="00E247AA" w:rsidRPr="00EA6C7A" w:rsidRDefault="00192B59" w:rsidP="00E247AA">
      <w:pPr>
        <w:jc w:val="center"/>
        <w:rPr>
          <w:rFonts w:ascii="Verdana" w:hAnsi="Verdana"/>
          <w:sz w:val="20"/>
          <w:szCs w:val="20"/>
          <w:lang w:val="en-US"/>
        </w:rPr>
      </w:pPr>
      <w:r w:rsidRPr="00EA6C7A">
        <w:rPr>
          <w:rFonts w:ascii="Verdana" w:eastAsia="Verdana" w:hAnsi="Verdana" w:cs="Verdana"/>
          <w:b/>
          <w:bCs/>
          <w:sz w:val="20"/>
          <w:szCs w:val="20"/>
          <w:lang w:val="en-US"/>
        </w:rPr>
        <w:t xml:space="preserve">PARTIALLY DISSENTING OPINION OF JUDGE </w:t>
      </w:r>
      <w:r w:rsidR="00E247AA" w:rsidRPr="00EA6C7A">
        <w:rPr>
          <w:rFonts w:ascii="Verdana" w:eastAsia="Verdana" w:hAnsi="Verdana" w:cs="Verdana"/>
          <w:b/>
          <w:bCs/>
          <w:sz w:val="20"/>
          <w:szCs w:val="20"/>
          <w:lang w:val="en-US"/>
        </w:rPr>
        <w:t>ROBERTO F. CALDAS</w:t>
      </w:r>
    </w:p>
    <w:p w14:paraId="39C5E5E4" w14:textId="77777777" w:rsidR="00E247AA" w:rsidRPr="00EA6C7A" w:rsidRDefault="00192B59" w:rsidP="00E247AA">
      <w:pPr>
        <w:jc w:val="center"/>
        <w:rPr>
          <w:rFonts w:ascii="Verdana" w:hAnsi="Verdana"/>
          <w:sz w:val="20"/>
          <w:szCs w:val="20"/>
          <w:lang w:val="en-US"/>
        </w:rPr>
      </w:pPr>
      <w:r w:rsidRPr="00EA6C7A">
        <w:rPr>
          <w:rFonts w:ascii="Verdana" w:eastAsia="Verdana" w:hAnsi="Verdana" w:cs="Verdana"/>
          <w:b/>
          <w:bCs/>
          <w:sz w:val="20"/>
          <w:szCs w:val="20"/>
          <w:lang w:val="en-US"/>
        </w:rPr>
        <w:t>INTER-AMERICAN COURT OF HUMAN RIGHTS</w:t>
      </w:r>
    </w:p>
    <w:p w14:paraId="78112149" w14:textId="77777777" w:rsidR="00192B59" w:rsidRPr="00EA6C7A" w:rsidRDefault="00192B59" w:rsidP="00192B59">
      <w:pPr>
        <w:tabs>
          <w:tab w:val="left" w:pos="2960"/>
          <w:tab w:val="center" w:pos="4680"/>
        </w:tabs>
        <w:spacing w:after="0" w:line="240" w:lineRule="auto"/>
        <w:jc w:val="center"/>
        <w:rPr>
          <w:rFonts w:ascii="Verdana" w:hAnsi="Verdana"/>
          <w:b/>
          <w:sz w:val="20"/>
          <w:szCs w:val="20"/>
        </w:rPr>
      </w:pPr>
      <w:r w:rsidRPr="00EA6C7A">
        <w:rPr>
          <w:rFonts w:ascii="Verdana" w:hAnsi="Verdana"/>
          <w:b/>
          <w:sz w:val="20"/>
          <w:szCs w:val="20"/>
        </w:rPr>
        <w:t xml:space="preserve">CASE OF VELÁSQUEZ PAIZ </w:t>
      </w:r>
      <w:r w:rsidRPr="00EA6C7A">
        <w:rPr>
          <w:rFonts w:ascii="Verdana" w:hAnsi="Verdana"/>
          <w:b/>
          <w:i/>
          <w:iCs/>
          <w:sz w:val="20"/>
          <w:szCs w:val="20"/>
        </w:rPr>
        <w:t>EL AL.</w:t>
      </w:r>
      <w:r w:rsidRPr="00EA6C7A">
        <w:rPr>
          <w:rFonts w:ascii="Verdana" w:hAnsi="Verdana"/>
          <w:b/>
          <w:sz w:val="20"/>
          <w:szCs w:val="20"/>
        </w:rPr>
        <w:t xml:space="preserve"> </w:t>
      </w:r>
      <w:r w:rsidRPr="00EA6C7A">
        <w:rPr>
          <w:rFonts w:ascii="Verdana" w:hAnsi="Verdana"/>
          <w:b/>
          <w:i/>
          <w:sz w:val="20"/>
          <w:szCs w:val="20"/>
        </w:rPr>
        <w:t>V.</w:t>
      </w:r>
      <w:r w:rsidRPr="00EA6C7A">
        <w:rPr>
          <w:rFonts w:ascii="Verdana" w:hAnsi="Verdana"/>
          <w:b/>
          <w:sz w:val="20"/>
          <w:szCs w:val="20"/>
        </w:rPr>
        <w:t xml:space="preserve"> GUATEMALA</w:t>
      </w:r>
    </w:p>
    <w:p w14:paraId="4436D5F8" w14:textId="77777777" w:rsidR="00192B59" w:rsidRPr="00EA6C7A" w:rsidRDefault="00192B59" w:rsidP="00192B59">
      <w:pPr>
        <w:spacing w:after="0" w:line="240" w:lineRule="auto"/>
        <w:jc w:val="center"/>
        <w:outlineLvl w:val="0"/>
        <w:rPr>
          <w:rFonts w:ascii="Verdana" w:hAnsi="Verdana"/>
          <w:b/>
          <w:sz w:val="20"/>
          <w:szCs w:val="20"/>
        </w:rPr>
      </w:pPr>
    </w:p>
    <w:p w14:paraId="06BB6D07" w14:textId="77777777" w:rsidR="00192B59" w:rsidRPr="00EA6C7A" w:rsidRDefault="00192B59" w:rsidP="00192B59">
      <w:pPr>
        <w:spacing w:after="0" w:line="240" w:lineRule="auto"/>
        <w:jc w:val="center"/>
        <w:rPr>
          <w:rFonts w:ascii="Verdana" w:hAnsi="Verdana"/>
          <w:b/>
          <w:sz w:val="20"/>
          <w:szCs w:val="20"/>
          <w:lang w:val="en-US"/>
        </w:rPr>
      </w:pPr>
      <w:r w:rsidRPr="00EA6C7A">
        <w:rPr>
          <w:rFonts w:ascii="Verdana" w:hAnsi="Verdana"/>
          <w:b/>
          <w:sz w:val="20"/>
          <w:szCs w:val="20"/>
          <w:lang w:val="en-US"/>
        </w:rPr>
        <w:t>JUDGMENT OF NOVEMBER 19, 2015</w:t>
      </w:r>
    </w:p>
    <w:p w14:paraId="5F526887" w14:textId="77777777" w:rsidR="00192B59" w:rsidRPr="00EA6C7A" w:rsidRDefault="00192B59" w:rsidP="00E247AA">
      <w:pPr>
        <w:jc w:val="center"/>
        <w:rPr>
          <w:rFonts w:ascii="Verdana" w:eastAsia="Verdana" w:hAnsi="Verdana" w:cs="Verdana"/>
          <w:b/>
          <w:bCs/>
          <w:sz w:val="20"/>
          <w:szCs w:val="20"/>
          <w:lang w:val="en-US"/>
        </w:rPr>
      </w:pPr>
    </w:p>
    <w:p w14:paraId="7780EBB7" w14:textId="77777777" w:rsidR="00E247AA" w:rsidRPr="00EA6C7A" w:rsidRDefault="00192B59" w:rsidP="00E247AA">
      <w:pPr>
        <w:jc w:val="center"/>
        <w:rPr>
          <w:rFonts w:ascii="Verdana" w:eastAsia="Verdana" w:hAnsi="Verdana" w:cs="Verdana"/>
          <w:b/>
          <w:bCs/>
          <w:sz w:val="20"/>
          <w:szCs w:val="20"/>
          <w:lang w:val="en-US"/>
        </w:rPr>
      </w:pPr>
      <w:r w:rsidRPr="00EA6C7A">
        <w:rPr>
          <w:rFonts w:ascii="Verdana" w:eastAsia="Verdana" w:hAnsi="Verdana" w:cs="Verdana"/>
          <w:b/>
          <w:bCs/>
          <w:sz w:val="20"/>
          <w:szCs w:val="20"/>
          <w:lang w:val="en-US"/>
        </w:rPr>
        <w:t xml:space="preserve"> </w:t>
      </w:r>
      <w:r w:rsidR="00E247AA" w:rsidRPr="00EA6C7A">
        <w:rPr>
          <w:rFonts w:ascii="Verdana" w:eastAsia="Verdana" w:hAnsi="Verdana" w:cs="Verdana"/>
          <w:b/>
          <w:bCs/>
          <w:sz w:val="20"/>
          <w:szCs w:val="20"/>
          <w:lang w:val="en-US"/>
        </w:rPr>
        <w:t>(</w:t>
      </w:r>
      <w:r w:rsidRPr="00EA6C7A">
        <w:rPr>
          <w:rFonts w:ascii="Verdana" w:eastAsia="Verdana" w:hAnsi="Verdana" w:cs="Verdana"/>
          <w:b/>
          <w:bCs/>
          <w:i/>
          <w:iCs/>
          <w:sz w:val="20"/>
          <w:szCs w:val="20"/>
          <w:lang w:val="en-US"/>
        </w:rPr>
        <w:t>Preliminary Objections, Merits, Reparations And Costs</w:t>
      </w:r>
      <w:r w:rsidR="00E247AA" w:rsidRPr="00EA6C7A">
        <w:rPr>
          <w:rFonts w:ascii="Verdana" w:eastAsia="Verdana" w:hAnsi="Verdana" w:cs="Verdana"/>
          <w:b/>
          <w:bCs/>
          <w:sz w:val="20"/>
          <w:szCs w:val="20"/>
          <w:lang w:val="en-US"/>
        </w:rPr>
        <w:t>)</w:t>
      </w:r>
    </w:p>
    <w:p w14:paraId="27DFC22B" w14:textId="77777777" w:rsidR="00C167D0" w:rsidRPr="00EA6C7A" w:rsidRDefault="00C167D0" w:rsidP="00D323D7">
      <w:pPr>
        <w:tabs>
          <w:tab w:val="left" w:pos="540"/>
        </w:tabs>
        <w:jc w:val="center"/>
        <w:rPr>
          <w:rFonts w:ascii="Verdana" w:eastAsia="Verdana" w:hAnsi="Verdana" w:cs="Verdana"/>
          <w:b/>
          <w:bCs/>
          <w:sz w:val="20"/>
          <w:szCs w:val="20"/>
          <w:lang w:val="en-US"/>
        </w:rPr>
      </w:pPr>
    </w:p>
    <w:p w14:paraId="4E28BAAB" w14:textId="77777777" w:rsidR="00C167D0" w:rsidRPr="00EA6C7A" w:rsidRDefault="00C167D0" w:rsidP="00C167D0">
      <w:pPr>
        <w:pStyle w:val="Prrafodelista"/>
        <w:numPr>
          <w:ilvl w:val="0"/>
          <w:numId w:val="12"/>
        </w:numPr>
        <w:spacing w:after="160" w:line="259" w:lineRule="auto"/>
        <w:ind w:left="720" w:hanging="360"/>
        <w:jc w:val="both"/>
        <w:rPr>
          <w:rFonts w:ascii="Verdana" w:hAnsi="Verdana"/>
          <w:b/>
          <w:sz w:val="20"/>
          <w:szCs w:val="20"/>
          <w:lang w:val="en-US"/>
        </w:rPr>
      </w:pPr>
      <w:r w:rsidRPr="00EA6C7A">
        <w:rPr>
          <w:rFonts w:ascii="Verdana" w:hAnsi="Verdana"/>
          <w:b/>
          <w:sz w:val="20"/>
          <w:szCs w:val="20"/>
          <w:lang w:val="en-US"/>
        </w:rPr>
        <w:t>Introduction</w:t>
      </w:r>
    </w:p>
    <w:p w14:paraId="0B8E242A" w14:textId="77777777" w:rsidR="00C167D0" w:rsidRPr="00EA6C7A" w:rsidRDefault="00C167D0" w:rsidP="00077D21">
      <w:pPr>
        <w:pStyle w:val="PrrafodeSentencia"/>
        <w:numPr>
          <w:ilvl w:val="0"/>
          <w:numId w:val="13"/>
        </w:numPr>
        <w:rPr>
          <w:lang w:val="en-US"/>
        </w:rPr>
      </w:pPr>
      <w:r w:rsidRPr="00EA6C7A">
        <w:rPr>
          <w:lang w:val="en-US"/>
        </w:rPr>
        <w:t xml:space="preserve">The purpose of this opinion, precisely and partially dissenting </w:t>
      </w:r>
      <w:r w:rsidR="00727BE8" w:rsidRPr="00EA6C7A">
        <w:rPr>
          <w:lang w:val="en-US"/>
        </w:rPr>
        <w:t>from</w:t>
      </w:r>
      <w:r w:rsidRPr="00EA6C7A">
        <w:rPr>
          <w:lang w:val="en-US"/>
        </w:rPr>
        <w:t xml:space="preserve"> the grounds and conclusions indicated by the majority of the honorable judges of th</w:t>
      </w:r>
      <w:r w:rsidR="00727BE8" w:rsidRPr="00EA6C7A">
        <w:rPr>
          <w:lang w:val="en-US"/>
        </w:rPr>
        <w:t>e</w:t>
      </w:r>
      <w:r w:rsidRPr="00EA6C7A">
        <w:rPr>
          <w:lang w:val="en-US"/>
        </w:rPr>
        <w:t xml:space="preserve"> Inter-American Court with regard to </w:t>
      </w:r>
      <w:r w:rsidR="00727BE8" w:rsidRPr="00EA6C7A">
        <w:rPr>
          <w:lang w:val="en-US"/>
        </w:rPr>
        <w:t xml:space="preserve">operative </w:t>
      </w:r>
      <w:r w:rsidRPr="00EA6C7A">
        <w:rPr>
          <w:lang w:val="en-US"/>
        </w:rPr>
        <w:t>paragraph 6 of the judgment, is to declar</w:t>
      </w:r>
      <w:r w:rsidR="00C0533B" w:rsidRPr="00EA6C7A">
        <w:rPr>
          <w:lang w:val="en-US"/>
        </w:rPr>
        <w:t>e - in addition to all the violations indicated in the ruling to which I adhere – the</w:t>
      </w:r>
      <w:r w:rsidRPr="00EA6C7A">
        <w:rPr>
          <w:lang w:val="en-US"/>
        </w:rPr>
        <w:t xml:space="preserve"> violation </w:t>
      </w:r>
      <w:r w:rsidR="00C0533B" w:rsidRPr="00EA6C7A">
        <w:rPr>
          <w:lang w:val="en-US"/>
        </w:rPr>
        <w:t xml:space="preserve">also </w:t>
      </w:r>
      <w:r w:rsidRPr="00EA6C7A">
        <w:rPr>
          <w:lang w:val="en-US"/>
        </w:rPr>
        <w:t>of freedom of expression through clothing, particularly women’s clothing, in situations such as those of this case in which the use of clothes becomes an element that identified the victim with a social class that is especially vulnerable and continually stigmatized</w:t>
      </w:r>
    </w:p>
    <w:p w14:paraId="670E2444" w14:textId="77777777" w:rsidR="00E247AA" w:rsidRPr="00EA6C7A" w:rsidRDefault="00E247AA" w:rsidP="00077D21">
      <w:pPr>
        <w:pStyle w:val="PrrafodeSentencia"/>
        <w:numPr>
          <w:ilvl w:val="0"/>
          <w:numId w:val="0"/>
        </w:numPr>
        <w:rPr>
          <w:lang w:val="en-US"/>
        </w:rPr>
      </w:pPr>
    </w:p>
    <w:p w14:paraId="249229B5" w14:textId="77777777" w:rsidR="00E247AA" w:rsidRPr="00EA6C7A" w:rsidRDefault="00E247AA" w:rsidP="00077D21">
      <w:pPr>
        <w:pStyle w:val="PrrafodeSentencia"/>
        <w:rPr>
          <w:lang w:val="en-US"/>
        </w:rPr>
      </w:pPr>
      <w:r w:rsidRPr="00EA6C7A">
        <w:rPr>
          <w:lang w:val="en-US"/>
        </w:rPr>
        <w:t>In</w:t>
      </w:r>
      <w:r w:rsidR="00192B59" w:rsidRPr="00EA6C7A">
        <w:rPr>
          <w:lang w:val="en-US"/>
        </w:rPr>
        <w:t xml:space="preserve">itially, I would like to emphasize my </w:t>
      </w:r>
      <w:r w:rsidR="00844267" w:rsidRPr="00EA6C7A">
        <w:rPr>
          <w:lang w:val="en-US"/>
        </w:rPr>
        <w:t>agreement with</w:t>
      </w:r>
      <w:r w:rsidR="00192B59" w:rsidRPr="00EA6C7A">
        <w:rPr>
          <w:lang w:val="en-US"/>
        </w:rPr>
        <w:t xml:space="preserve"> the judgment and the conclusions reached by the Court</w:t>
      </w:r>
      <w:r w:rsidR="00844267" w:rsidRPr="00EA6C7A">
        <w:rPr>
          <w:lang w:val="en-US"/>
        </w:rPr>
        <w:t>,</w:t>
      </w:r>
      <w:r w:rsidR="00192B59" w:rsidRPr="00EA6C7A">
        <w:rPr>
          <w:lang w:val="en-US"/>
        </w:rPr>
        <w:t xml:space="preserve"> and</w:t>
      </w:r>
      <w:r w:rsidR="00844267" w:rsidRPr="00EA6C7A">
        <w:rPr>
          <w:lang w:val="en-US"/>
        </w:rPr>
        <w:t xml:space="preserve"> also</w:t>
      </w:r>
      <w:r w:rsidR="00192B59" w:rsidRPr="00EA6C7A">
        <w:rPr>
          <w:lang w:val="en-US"/>
        </w:rPr>
        <w:t xml:space="preserve"> the resulting reparations. I only differ, because I would add the violation of </w:t>
      </w:r>
      <w:r w:rsidR="0096418F" w:rsidRPr="00EA6C7A">
        <w:rPr>
          <w:lang w:val="en-US"/>
        </w:rPr>
        <w:t>Articles</w:t>
      </w:r>
      <w:r w:rsidRPr="00EA6C7A">
        <w:rPr>
          <w:lang w:val="en-US"/>
        </w:rPr>
        <w:t xml:space="preserve"> 13</w:t>
      </w:r>
      <w:r w:rsidR="00192B59" w:rsidRPr="00EA6C7A">
        <w:rPr>
          <w:lang w:val="en-US"/>
        </w:rPr>
        <w:t>(</w:t>
      </w:r>
      <w:r w:rsidRPr="00EA6C7A">
        <w:rPr>
          <w:lang w:val="en-US"/>
        </w:rPr>
        <w:t>1</w:t>
      </w:r>
      <w:r w:rsidR="00192B59" w:rsidRPr="00EA6C7A">
        <w:rPr>
          <w:lang w:val="en-US"/>
        </w:rPr>
        <w:t>)</w:t>
      </w:r>
      <w:r w:rsidRPr="00EA6C7A">
        <w:rPr>
          <w:lang w:val="en-US"/>
        </w:rPr>
        <w:t xml:space="preserve"> (</w:t>
      </w:r>
      <w:r w:rsidR="00192B59" w:rsidRPr="00EA6C7A">
        <w:rPr>
          <w:lang w:val="en-US"/>
        </w:rPr>
        <w:t>freedom of expression</w:t>
      </w:r>
      <w:r w:rsidRPr="00EA6C7A">
        <w:rPr>
          <w:lang w:val="en-US"/>
        </w:rPr>
        <w:t>)</w:t>
      </w:r>
      <w:r w:rsidR="00D948A1" w:rsidRPr="00EA6C7A">
        <w:rPr>
          <w:lang w:val="en-US"/>
        </w:rPr>
        <w:t xml:space="preserve"> and </w:t>
      </w:r>
      <w:r w:rsidRPr="00EA6C7A">
        <w:rPr>
          <w:lang w:val="en-US"/>
        </w:rPr>
        <w:t>22</w:t>
      </w:r>
      <w:r w:rsidR="00192B59" w:rsidRPr="00EA6C7A">
        <w:rPr>
          <w:lang w:val="en-US"/>
        </w:rPr>
        <w:t>(1)</w:t>
      </w:r>
      <w:r w:rsidRPr="00EA6C7A">
        <w:rPr>
          <w:lang w:val="en-US"/>
        </w:rPr>
        <w:t xml:space="preserve"> (</w:t>
      </w:r>
      <w:r w:rsidR="00192B59" w:rsidRPr="00EA6C7A">
        <w:rPr>
          <w:lang w:val="en-US"/>
        </w:rPr>
        <w:t>freedom of movement or freedom to come and go</w:t>
      </w:r>
      <w:r w:rsidRPr="00EA6C7A">
        <w:rPr>
          <w:lang w:val="en-US"/>
        </w:rPr>
        <w:t xml:space="preserve">), </w:t>
      </w:r>
      <w:r w:rsidR="002B325A" w:rsidRPr="00EA6C7A">
        <w:rPr>
          <w:lang w:val="en-US"/>
        </w:rPr>
        <w:t>in relation to Article</w:t>
      </w:r>
      <w:r w:rsidR="00515C34" w:rsidRPr="00EA6C7A">
        <w:rPr>
          <w:lang w:val="en-US"/>
        </w:rPr>
        <w:t xml:space="preserve"> 1(1)</w:t>
      </w:r>
      <w:r w:rsidRPr="00EA6C7A">
        <w:rPr>
          <w:lang w:val="en-US"/>
        </w:rPr>
        <w:t xml:space="preserve">, </w:t>
      </w:r>
      <w:r w:rsidR="00192B59" w:rsidRPr="00EA6C7A">
        <w:rPr>
          <w:lang w:val="en-US"/>
        </w:rPr>
        <w:t>all</w:t>
      </w:r>
      <w:r w:rsidR="0096418F" w:rsidRPr="00EA6C7A">
        <w:rPr>
          <w:lang w:val="en-US"/>
        </w:rPr>
        <w:t xml:space="preserve"> of the American Convention on Human Rights</w:t>
      </w:r>
      <w:r w:rsidRPr="00EA6C7A">
        <w:rPr>
          <w:lang w:val="en-US"/>
        </w:rPr>
        <w:t xml:space="preserve"> (</w:t>
      </w:r>
      <w:r w:rsidR="0096418F" w:rsidRPr="00EA6C7A">
        <w:rPr>
          <w:lang w:val="en-US"/>
        </w:rPr>
        <w:t>hereinafter</w:t>
      </w:r>
      <w:r w:rsidRPr="00EA6C7A">
        <w:rPr>
          <w:lang w:val="en-US"/>
        </w:rPr>
        <w:t xml:space="preserve"> “</w:t>
      </w:r>
      <w:r w:rsidR="00192B59" w:rsidRPr="00EA6C7A">
        <w:rPr>
          <w:lang w:val="en-US"/>
        </w:rPr>
        <w:t xml:space="preserve">the </w:t>
      </w:r>
      <w:r w:rsidRPr="00EA6C7A">
        <w:rPr>
          <w:lang w:val="en-US"/>
        </w:rPr>
        <w:t>Conven</w:t>
      </w:r>
      <w:r w:rsidR="00192B59" w:rsidRPr="00EA6C7A">
        <w:rPr>
          <w:lang w:val="en-US"/>
        </w:rPr>
        <w:t>tio</w:t>
      </w:r>
      <w:r w:rsidRPr="00EA6C7A">
        <w:rPr>
          <w:lang w:val="en-US"/>
        </w:rPr>
        <w:t xml:space="preserve">n”). </w:t>
      </w:r>
    </w:p>
    <w:p w14:paraId="1656D8E7" w14:textId="77777777" w:rsidR="00E247AA" w:rsidRPr="00EA6C7A" w:rsidRDefault="00E247AA" w:rsidP="00C167D0">
      <w:pPr>
        <w:rPr>
          <w:rFonts w:ascii="Verdana" w:hAnsi="Verdana"/>
          <w:sz w:val="20"/>
          <w:szCs w:val="20"/>
          <w:lang w:val="en-US"/>
        </w:rPr>
      </w:pPr>
    </w:p>
    <w:p w14:paraId="1CCBC8B9" w14:textId="77777777" w:rsidR="00E247AA" w:rsidRPr="00EA6C7A" w:rsidRDefault="00E247AA" w:rsidP="00C167D0">
      <w:pPr>
        <w:pStyle w:val="Prrafodelista"/>
        <w:numPr>
          <w:ilvl w:val="0"/>
          <w:numId w:val="12"/>
        </w:numPr>
        <w:tabs>
          <w:tab w:val="left" w:pos="990"/>
        </w:tabs>
        <w:spacing w:after="160" w:line="259" w:lineRule="auto"/>
        <w:ind w:left="0" w:firstLine="450"/>
        <w:rPr>
          <w:rFonts w:ascii="Verdana" w:hAnsi="Verdana"/>
          <w:b/>
          <w:bCs/>
          <w:sz w:val="20"/>
          <w:szCs w:val="20"/>
          <w:lang w:val="en-US"/>
        </w:rPr>
      </w:pPr>
      <w:r w:rsidRPr="00EA6C7A">
        <w:rPr>
          <w:rFonts w:ascii="Verdana" w:hAnsi="Verdana"/>
          <w:b/>
          <w:sz w:val="20"/>
          <w:szCs w:val="20"/>
          <w:lang w:val="en-US"/>
        </w:rPr>
        <w:t>Viola</w:t>
      </w:r>
      <w:r w:rsidR="00DB7189" w:rsidRPr="00EA6C7A">
        <w:rPr>
          <w:rFonts w:ascii="Verdana" w:hAnsi="Verdana"/>
          <w:b/>
          <w:sz w:val="20"/>
          <w:szCs w:val="20"/>
          <w:lang w:val="en-US"/>
        </w:rPr>
        <w:t>tion of</w:t>
      </w:r>
      <w:r w:rsidRPr="00EA6C7A">
        <w:rPr>
          <w:rFonts w:ascii="Verdana" w:hAnsi="Verdana"/>
          <w:b/>
          <w:sz w:val="20"/>
          <w:szCs w:val="20"/>
          <w:lang w:val="en-US"/>
        </w:rPr>
        <w:t xml:space="preserve"> </w:t>
      </w:r>
      <w:r w:rsidR="00DB7189" w:rsidRPr="00EA6C7A">
        <w:rPr>
          <w:rFonts w:ascii="Verdana" w:hAnsi="Verdana"/>
          <w:b/>
          <w:sz w:val="20"/>
          <w:szCs w:val="20"/>
          <w:lang w:val="en-US"/>
        </w:rPr>
        <w:t>freedom of expression</w:t>
      </w:r>
      <w:r w:rsidRPr="00EA6C7A">
        <w:rPr>
          <w:rFonts w:ascii="Verdana" w:hAnsi="Verdana"/>
          <w:b/>
          <w:sz w:val="20"/>
          <w:szCs w:val="20"/>
          <w:lang w:val="en-US"/>
        </w:rPr>
        <w:t xml:space="preserve"> </w:t>
      </w:r>
      <w:r w:rsidR="00DB7189" w:rsidRPr="00EA6C7A">
        <w:rPr>
          <w:rFonts w:ascii="Verdana" w:hAnsi="Verdana"/>
          <w:b/>
          <w:sz w:val="20"/>
          <w:szCs w:val="20"/>
          <w:lang w:val="en-US"/>
        </w:rPr>
        <w:t>through clothing and freedom of movement</w:t>
      </w:r>
    </w:p>
    <w:p w14:paraId="50E01A87" w14:textId="77777777" w:rsidR="00E247AA" w:rsidRPr="00EA6C7A" w:rsidRDefault="00DB7189" w:rsidP="00077D21">
      <w:pPr>
        <w:pStyle w:val="PrrafodeSentencia"/>
        <w:rPr>
          <w:lang w:val="en-US"/>
        </w:rPr>
      </w:pPr>
      <w:r w:rsidRPr="00EA6C7A">
        <w:rPr>
          <w:lang w:val="en-US"/>
        </w:rPr>
        <w:t xml:space="preserve">It has been fully proved that “the police made erroneous suppositions” about the victim, the value of her life and the importance of investigating her case, based merely on her appearance and her clothes, in violation of her right to </w:t>
      </w:r>
      <w:r w:rsidRPr="00EA6C7A">
        <w:rPr>
          <w:rFonts w:eastAsia="Calibri"/>
          <w:lang w:val="en-US"/>
        </w:rPr>
        <w:t>freedom of expression</w:t>
      </w:r>
      <w:r w:rsidR="00E247AA" w:rsidRPr="00EA6C7A">
        <w:rPr>
          <w:rFonts w:eastAsia="Calibri"/>
          <w:lang w:val="en-US"/>
        </w:rPr>
        <w:t xml:space="preserve"> </w:t>
      </w:r>
      <w:r w:rsidRPr="00EA6C7A">
        <w:rPr>
          <w:rFonts w:eastAsia="Calibri"/>
          <w:lang w:val="en-US"/>
        </w:rPr>
        <w:t>through clothing, contained in</w:t>
      </w:r>
      <w:r w:rsidR="00E247AA" w:rsidRPr="00EA6C7A">
        <w:rPr>
          <w:rFonts w:eastAsia="Calibri"/>
          <w:lang w:val="en-US"/>
        </w:rPr>
        <w:t xml:space="preserve"> </w:t>
      </w:r>
      <w:r w:rsidR="0096418F" w:rsidRPr="00EA6C7A">
        <w:rPr>
          <w:rFonts w:eastAsia="Calibri"/>
          <w:lang w:val="en-US"/>
        </w:rPr>
        <w:t>Article</w:t>
      </w:r>
      <w:r w:rsidR="00E247AA" w:rsidRPr="00EA6C7A">
        <w:rPr>
          <w:rFonts w:eastAsia="Calibri"/>
          <w:lang w:val="en-US"/>
        </w:rPr>
        <w:t xml:space="preserve"> 13</w:t>
      </w:r>
      <w:r w:rsidRPr="00EA6C7A">
        <w:rPr>
          <w:rFonts w:eastAsia="Calibri"/>
          <w:lang w:val="en-US"/>
        </w:rPr>
        <w:t>(</w:t>
      </w:r>
      <w:r w:rsidR="00E247AA" w:rsidRPr="00EA6C7A">
        <w:rPr>
          <w:rFonts w:eastAsia="Calibri"/>
          <w:lang w:val="en-US"/>
        </w:rPr>
        <w:t>1</w:t>
      </w:r>
      <w:r w:rsidRPr="00EA6C7A">
        <w:rPr>
          <w:rFonts w:eastAsia="Calibri"/>
          <w:lang w:val="en-US"/>
        </w:rPr>
        <w:t>)</w:t>
      </w:r>
      <w:r w:rsidR="0096418F" w:rsidRPr="00EA6C7A">
        <w:rPr>
          <w:rFonts w:eastAsia="Calibri"/>
          <w:lang w:val="en-US"/>
        </w:rPr>
        <w:t xml:space="preserve"> of the Convention</w:t>
      </w:r>
      <w:r w:rsidRPr="00EA6C7A">
        <w:rPr>
          <w:rFonts w:eastAsia="Calibri"/>
          <w:lang w:val="en-US"/>
        </w:rPr>
        <w:t>.</w:t>
      </w:r>
      <w:r w:rsidR="00D948A1" w:rsidRPr="00EA6C7A">
        <w:rPr>
          <w:rFonts w:eastAsia="Calibri"/>
          <w:lang w:val="en-US"/>
        </w:rPr>
        <w:t xml:space="preserve"> </w:t>
      </w:r>
      <w:r w:rsidRPr="00EA6C7A">
        <w:rPr>
          <w:rFonts w:eastAsia="Calibri"/>
          <w:lang w:val="en-US"/>
        </w:rPr>
        <w:t>Moreover,</w:t>
      </w:r>
      <w:r w:rsidR="00D948A1" w:rsidRPr="00EA6C7A">
        <w:rPr>
          <w:rFonts w:eastAsia="Calibri"/>
          <w:lang w:val="en-US"/>
        </w:rPr>
        <w:t xml:space="preserve"> </w:t>
      </w:r>
      <w:r w:rsidRPr="00EA6C7A">
        <w:rPr>
          <w:rFonts w:eastAsia="Calibri"/>
          <w:lang w:val="en-US"/>
        </w:rPr>
        <w:t xml:space="preserve">owing to the prejudices associated with the place where the body was found, a “lower middle-class district,” the investigation of the crime scene was conducted carelessly, which also violated </w:t>
      </w:r>
      <w:r w:rsidR="0096418F" w:rsidRPr="00EA6C7A">
        <w:rPr>
          <w:lang w:val="en-US"/>
        </w:rPr>
        <w:t>Article</w:t>
      </w:r>
      <w:r w:rsidR="00E247AA" w:rsidRPr="00EA6C7A">
        <w:rPr>
          <w:lang w:val="en-US"/>
        </w:rPr>
        <w:t xml:space="preserve"> 22</w:t>
      </w:r>
      <w:r w:rsidR="0096418F" w:rsidRPr="00EA6C7A">
        <w:rPr>
          <w:lang w:val="en-US"/>
        </w:rPr>
        <w:t xml:space="preserve"> of the Convention</w:t>
      </w:r>
      <w:r w:rsidR="00E247AA" w:rsidRPr="00EA6C7A">
        <w:rPr>
          <w:rFonts w:eastAsia="Calibri"/>
          <w:lang w:val="en-US"/>
        </w:rPr>
        <w:t xml:space="preserve">. </w:t>
      </w:r>
    </w:p>
    <w:p w14:paraId="40668529" w14:textId="77777777" w:rsidR="00E247AA" w:rsidRPr="00EA6C7A" w:rsidRDefault="00E247AA" w:rsidP="00077D21">
      <w:pPr>
        <w:pStyle w:val="PrrafodeSentencia"/>
        <w:numPr>
          <w:ilvl w:val="0"/>
          <w:numId w:val="0"/>
        </w:numPr>
        <w:rPr>
          <w:lang w:val="en-US"/>
        </w:rPr>
      </w:pPr>
    </w:p>
    <w:p w14:paraId="380F40C0" w14:textId="77777777" w:rsidR="00E247AA" w:rsidRPr="00EA6C7A" w:rsidRDefault="00DB7189" w:rsidP="00077D21">
      <w:pPr>
        <w:pStyle w:val="PrrafodeSentencia"/>
        <w:rPr>
          <w:lang w:val="en-US"/>
        </w:rPr>
      </w:pPr>
      <w:r w:rsidRPr="00EA6C7A">
        <w:rPr>
          <w:lang w:val="en-US"/>
        </w:rPr>
        <w:t xml:space="preserve">The victim’s clothing was </w:t>
      </w:r>
      <w:r w:rsidR="00E045CE" w:rsidRPr="00EA6C7A">
        <w:rPr>
          <w:lang w:val="en-US"/>
        </w:rPr>
        <w:t xml:space="preserve">the </w:t>
      </w:r>
      <w:r w:rsidRPr="00EA6C7A">
        <w:rPr>
          <w:lang w:val="en-US"/>
        </w:rPr>
        <w:t xml:space="preserve">subject </w:t>
      </w:r>
      <w:r w:rsidR="00E045CE" w:rsidRPr="00EA6C7A">
        <w:rPr>
          <w:lang w:val="en-US"/>
        </w:rPr>
        <w:t>of</w:t>
      </w:r>
      <w:r w:rsidRPr="00EA6C7A">
        <w:rPr>
          <w:lang w:val="en-US"/>
        </w:rPr>
        <w:t xml:space="preserve"> discriminatory comments by the authorities</w:t>
      </w:r>
      <w:r w:rsidR="00E045CE" w:rsidRPr="00EA6C7A">
        <w:rPr>
          <w:lang w:val="en-US"/>
        </w:rPr>
        <w:t>, as frequently occurs to many women</w:t>
      </w:r>
      <w:r w:rsidRPr="00EA6C7A">
        <w:rPr>
          <w:lang w:val="en-US"/>
        </w:rPr>
        <w:t xml:space="preserve">. In the investigations, it was said that she was dressed as a </w:t>
      </w:r>
      <w:r w:rsidR="00484E24" w:rsidRPr="00EA6C7A">
        <w:rPr>
          <w:lang w:val="en-US"/>
        </w:rPr>
        <w:t>“</w:t>
      </w:r>
      <w:r w:rsidRPr="00EA6C7A">
        <w:rPr>
          <w:lang w:val="en-US"/>
        </w:rPr>
        <w:t>gang member</w:t>
      </w:r>
      <w:r w:rsidR="00484E24" w:rsidRPr="00EA6C7A">
        <w:rPr>
          <w:lang w:val="en-US"/>
        </w:rPr>
        <w:t>”</w:t>
      </w:r>
      <w:r w:rsidR="00E247AA" w:rsidRPr="00EA6C7A">
        <w:rPr>
          <w:lang w:val="en-US"/>
        </w:rPr>
        <w:t xml:space="preserve"> o</w:t>
      </w:r>
      <w:r w:rsidRPr="00EA6C7A">
        <w:rPr>
          <w:lang w:val="en-US"/>
        </w:rPr>
        <w:t>r</w:t>
      </w:r>
      <w:r w:rsidR="00E247AA" w:rsidRPr="00EA6C7A">
        <w:rPr>
          <w:lang w:val="en-US"/>
        </w:rPr>
        <w:t xml:space="preserve"> “a</w:t>
      </w:r>
      <w:r w:rsidR="00622E09" w:rsidRPr="00EA6C7A">
        <w:rPr>
          <w:lang w:val="en-US"/>
        </w:rPr>
        <w:t xml:space="preserve"> loose woman,</w:t>
      </w:r>
      <w:r w:rsidR="00E247AA" w:rsidRPr="00EA6C7A">
        <w:rPr>
          <w:lang w:val="en-US"/>
        </w:rPr>
        <w:t xml:space="preserve">” </w:t>
      </w:r>
      <w:r w:rsidRPr="00EA6C7A">
        <w:rPr>
          <w:lang w:val="en-US"/>
        </w:rPr>
        <w:t xml:space="preserve">the latter term signifying “prostitute.” This was how the authorities considered her and that stereotype affected the way in which the subsequent investigation was conducted. In that situation, it should be </w:t>
      </w:r>
      <w:r w:rsidR="00E045CE" w:rsidRPr="00EA6C7A">
        <w:rPr>
          <w:lang w:val="en-US"/>
        </w:rPr>
        <w:t>established</w:t>
      </w:r>
      <w:r w:rsidRPr="00EA6C7A">
        <w:rPr>
          <w:lang w:val="en-US"/>
        </w:rPr>
        <w:t xml:space="preserve"> that the State’s actions also denied the right to freedom of expression, which can only be exercised in an environment free of coercion. It will be seen that this denial of freedom of expression</w:t>
      </w:r>
      <w:r w:rsidR="00E247AA" w:rsidRPr="00EA6C7A">
        <w:rPr>
          <w:lang w:val="en-US"/>
        </w:rPr>
        <w:t xml:space="preserve"> exist</w:t>
      </w:r>
      <w:r w:rsidRPr="00EA6C7A">
        <w:rPr>
          <w:lang w:val="en-US"/>
        </w:rPr>
        <w:t>ed and was perpetrated by the State’s actions, which reveal that a woman</w:t>
      </w:r>
      <w:r w:rsidR="00E045CE" w:rsidRPr="00EA6C7A">
        <w:rPr>
          <w:lang w:val="en-US"/>
        </w:rPr>
        <w:t>’s safety</w:t>
      </w:r>
      <w:r w:rsidRPr="00EA6C7A">
        <w:rPr>
          <w:lang w:val="en-US"/>
        </w:rPr>
        <w:t xml:space="preserve"> will not be guarantees if she </w:t>
      </w:r>
      <w:r w:rsidR="00E045CE" w:rsidRPr="00EA6C7A">
        <w:rPr>
          <w:lang w:val="en-US"/>
        </w:rPr>
        <w:t>merely</w:t>
      </w:r>
      <w:r w:rsidRPr="00EA6C7A">
        <w:rPr>
          <w:lang w:val="en-US"/>
        </w:rPr>
        <w:t xml:space="preserve"> appears to exteriorize, through her clothing, a certain sexual or cultural identity, or her membership of certain feminine groups. Therefore, I would add to the analysis that has been made unanimously by the full Court, the evident violation of </w:t>
      </w:r>
      <w:r w:rsidR="0096418F" w:rsidRPr="00EA6C7A">
        <w:rPr>
          <w:lang w:val="en-US"/>
        </w:rPr>
        <w:t>Article</w:t>
      </w:r>
      <w:r w:rsidR="00E247AA" w:rsidRPr="00EA6C7A">
        <w:rPr>
          <w:lang w:val="en-US"/>
        </w:rPr>
        <w:t xml:space="preserve"> 13</w:t>
      </w:r>
      <w:r w:rsidRPr="00EA6C7A">
        <w:rPr>
          <w:lang w:val="en-US"/>
        </w:rPr>
        <w:t>(</w:t>
      </w:r>
      <w:r w:rsidR="00E247AA" w:rsidRPr="00EA6C7A">
        <w:rPr>
          <w:lang w:val="en-US"/>
        </w:rPr>
        <w:t>1</w:t>
      </w:r>
      <w:r w:rsidRPr="00EA6C7A">
        <w:rPr>
          <w:lang w:val="en-US"/>
        </w:rPr>
        <w:t>)</w:t>
      </w:r>
      <w:r w:rsidR="00E247AA" w:rsidRPr="00EA6C7A">
        <w:rPr>
          <w:lang w:val="en-US"/>
        </w:rPr>
        <w:t xml:space="preserve">, </w:t>
      </w:r>
      <w:r w:rsidR="002B325A" w:rsidRPr="00EA6C7A">
        <w:rPr>
          <w:lang w:val="en-US"/>
        </w:rPr>
        <w:t>in relation to Article</w:t>
      </w:r>
      <w:r w:rsidR="00515C34" w:rsidRPr="00EA6C7A">
        <w:rPr>
          <w:lang w:val="en-US"/>
        </w:rPr>
        <w:t xml:space="preserve"> 1(1)</w:t>
      </w:r>
      <w:r w:rsidR="00E247AA" w:rsidRPr="00EA6C7A">
        <w:rPr>
          <w:lang w:val="en-US"/>
        </w:rPr>
        <w:t xml:space="preserve">, </w:t>
      </w:r>
      <w:r w:rsidRPr="00EA6C7A">
        <w:rPr>
          <w:lang w:val="en-US"/>
        </w:rPr>
        <w:t>both</w:t>
      </w:r>
      <w:r w:rsidR="0096418F" w:rsidRPr="00EA6C7A">
        <w:rPr>
          <w:lang w:val="en-US"/>
        </w:rPr>
        <w:t xml:space="preserve"> of the American Convention on Human Rights</w:t>
      </w:r>
      <w:r w:rsidR="00E247AA" w:rsidRPr="00EA6C7A">
        <w:rPr>
          <w:lang w:val="en-US"/>
        </w:rPr>
        <w:t xml:space="preserve">, </w:t>
      </w:r>
      <w:r w:rsidRPr="00EA6C7A">
        <w:rPr>
          <w:lang w:val="en-US"/>
        </w:rPr>
        <w:t xml:space="preserve">considering that the way a </w:t>
      </w:r>
      <w:r w:rsidRPr="00EA6C7A">
        <w:rPr>
          <w:lang w:val="en-US"/>
        </w:rPr>
        <w:lastRenderedPageBreak/>
        <w:t>woman dresses is an integral part of the expression of the human personality, particularly a woman’s personality.</w:t>
      </w:r>
    </w:p>
    <w:p w14:paraId="3C33CAD6" w14:textId="77777777" w:rsidR="00E247AA" w:rsidRPr="00EA6C7A" w:rsidRDefault="00E247AA" w:rsidP="00077D21">
      <w:pPr>
        <w:pStyle w:val="PrrafodeSentencia"/>
        <w:numPr>
          <w:ilvl w:val="0"/>
          <w:numId w:val="0"/>
        </w:numPr>
        <w:ind w:left="360"/>
        <w:rPr>
          <w:lang w:val="en-US"/>
        </w:rPr>
      </w:pPr>
    </w:p>
    <w:p w14:paraId="29F9395A" w14:textId="77777777" w:rsidR="00E247AA" w:rsidRPr="00EA6C7A" w:rsidRDefault="00DB7189" w:rsidP="00077D21">
      <w:pPr>
        <w:pStyle w:val="PrrafodeSentencia"/>
        <w:rPr>
          <w:lang w:val="en-US"/>
        </w:rPr>
      </w:pPr>
      <w:r w:rsidRPr="00EA6C7A">
        <w:rPr>
          <w:lang w:val="en-US"/>
        </w:rPr>
        <w:t>In this regard</w:t>
      </w:r>
      <w:r w:rsidR="00E247AA" w:rsidRPr="00EA6C7A">
        <w:rPr>
          <w:lang w:val="en-US"/>
        </w:rPr>
        <w:t xml:space="preserve">, </w:t>
      </w:r>
      <w:r w:rsidRPr="00EA6C7A">
        <w:rPr>
          <w:lang w:val="en-US"/>
        </w:rPr>
        <w:t xml:space="preserve">Article 13 of </w:t>
      </w:r>
      <w:r w:rsidR="0096418F" w:rsidRPr="00EA6C7A">
        <w:rPr>
          <w:lang w:val="en-US"/>
        </w:rPr>
        <w:t>the American Convention on Human Rights</w:t>
      </w:r>
      <w:r w:rsidR="00E247AA" w:rsidRPr="00EA6C7A">
        <w:rPr>
          <w:lang w:val="en-US"/>
        </w:rPr>
        <w:t xml:space="preserve"> </w:t>
      </w:r>
      <w:r w:rsidR="0092568A" w:rsidRPr="00EA6C7A">
        <w:rPr>
          <w:lang w:val="en-US"/>
        </w:rPr>
        <w:t>establishes</w:t>
      </w:r>
      <w:r w:rsidR="00E247AA" w:rsidRPr="00EA6C7A">
        <w:rPr>
          <w:lang w:val="en-US"/>
        </w:rPr>
        <w:t>:</w:t>
      </w:r>
    </w:p>
    <w:p w14:paraId="591A01B8" w14:textId="77777777" w:rsidR="00E247AA" w:rsidRPr="00EA6C7A" w:rsidRDefault="00E247AA" w:rsidP="00077D21">
      <w:pPr>
        <w:pStyle w:val="PrrafodeSentencia"/>
        <w:numPr>
          <w:ilvl w:val="0"/>
          <w:numId w:val="0"/>
        </w:numPr>
        <w:ind w:left="720"/>
        <w:rPr>
          <w:lang w:val="en-US"/>
        </w:rPr>
      </w:pPr>
    </w:p>
    <w:p w14:paraId="55C0C962" w14:textId="77777777" w:rsidR="00E247AA" w:rsidRPr="00EA6C7A" w:rsidRDefault="0096418F" w:rsidP="00077D21">
      <w:pPr>
        <w:pStyle w:val="PrrafodeSentencia"/>
        <w:numPr>
          <w:ilvl w:val="0"/>
          <w:numId w:val="0"/>
        </w:numPr>
        <w:ind w:left="720"/>
        <w:rPr>
          <w:lang w:val="en-US"/>
        </w:rPr>
      </w:pPr>
      <w:r w:rsidRPr="00EA6C7A">
        <w:rPr>
          <w:lang w:val="en-US"/>
        </w:rPr>
        <w:t>Article</w:t>
      </w:r>
      <w:r w:rsidR="00E247AA" w:rsidRPr="00EA6C7A">
        <w:rPr>
          <w:lang w:val="en-US"/>
        </w:rPr>
        <w:t xml:space="preserve"> 13 </w:t>
      </w:r>
      <w:r w:rsidR="00DB7189" w:rsidRPr="00EA6C7A">
        <w:rPr>
          <w:lang w:val="en-US"/>
        </w:rPr>
        <w:t>–</w:t>
      </w:r>
      <w:r w:rsidR="00E247AA" w:rsidRPr="00EA6C7A">
        <w:rPr>
          <w:lang w:val="en-US"/>
        </w:rPr>
        <w:t xml:space="preserve"> </w:t>
      </w:r>
      <w:r w:rsidR="00DB7189" w:rsidRPr="00EA6C7A">
        <w:rPr>
          <w:lang w:val="en-US"/>
        </w:rPr>
        <w:t>Freedom of Thought and Expression</w:t>
      </w:r>
    </w:p>
    <w:p w14:paraId="5FFA90C3" w14:textId="77777777" w:rsidR="00E247AA" w:rsidRPr="00EA6C7A" w:rsidRDefault="00E247AA" w:rsidP="00077D21">
      <w:pPr>
        <w:pStyle w:val="PrrafodeSentencia"/>
        <w:numPr>
          <w:ilvl w:val="0"/>
          <w:numId w:val="0"/>
        </w:numPr>
        <w:ind w:left="720"/>
        <w:rPr>
          <w:b/>
          <w:lang w:val="en-US"/>
        </w:rPr>
      </w:pPr>
      <w:r w:rsidRPr="00EA6C7A">
        <w:rPr>
          <w:lang w:val="en-US"/>
        </w:rPr>
        <w:t xml:space="preserve">1. </w:t>
      </w:r>
      <w:r w:rsidR="00484E24" w:rsidRPr="00EA6C7A">
        <w:rPr>
          <w:lang w:val="en-US"/>
        </w:rPr>
        <w:t xml:space="preserve">Everyone has the right to </w:t>
      </w:r>
      <w:r w:rsidR="00484E24" w:rsidRPr="00EA6C7A">
        <w:rPr>
          <w:b/>
          <w:bCs/>
          <w:lang w:val="en-US"/>
        </w:rPr>
        <w:t>freedom</w:t>
      </w:r>
      <w:r w:rsidR="00484E24" w:rsidRPr="00EA6C7A">
        <w:rPr>
          <w:lang w:val="en-US"/>
        </w:rPr>
        <w:t xml:space="preserve"> of thought and </w:t>
      </w:r>
      <w:r w:rsidR="00484E24" w:rsidRPr="00EA6C7A">
        <w:rPr>
          <w:b/>
          <w:bCs/>
          <w:lang w:val="en-US"/>
        </w:rPr>
        <w:t>expression</w:t>
      </w:r>
      <w:r w:rsidR="00484E24" w:rsidRPr="00EA6C7A">
        <w:rPr>
          <w:lang w:val="en-US"/>
        </w:rPr>
        <w:t xml:space="preserve">. This right includes freedom to seek, receive, and impart information and ideas of all kinds, regardless of frontiers, either orally, in writing, in print, in the form of art, or through </w:t>
      </w:r>
      <w:r w:rsidR="00484E24" w:rsidRPr="00EA6C7A">
        <w:rPr>
          <w:b/>
          <w:bCs/>
          <w:lang w:val="en-US"/>
        </w:rPr>
        <w:t>any other medium of one's choice</w:t>
      </w:r>
      <w:r w:rsidRPr="00EA6C7A">
        <w:rPr>
          <w:lang w:val="en-US"/>
        </w:rPr>
        <w:t xml:space="preserve"> (</w:t>
      </w:r>
      <w:r w:rsidR="00E045CE" w:rsidRPr="00EA6C7A">
        <w:rPr>
          <w:lang w:val="en-US"/>
        </w:rPr>
        <w:t>b</w:t>
      </w:r>
      <w:r w:rsidR="00DB7189" w:rsidRPr="00EA6C7A">
        <w:rPr>
          <w:lang w:val="en-US"/>
        </w:rPr>
        <w:t>old added</w:t>
      </w:r>
      <w:r w:rsidRPr="00EA6C7A">
        <w:rPr>
          <w:lang w:val="en-US"/>
        </w:rPr>
        <w:t>)</w:t>
      </w:r>
      <w:r w:rsidR="00E045CE" w:rsidRPr="00EA6C7A">
        <w:rPr>
          <w:lang w:val="en-US"/>
        </w:rPr>
        <w:t>.</w:t>
      </w:r>
    </w:p>
    <w:p w14:paraId="2A9072B7" w14:textId="77777777" w:rsidR="00E247AA" w:rsidRPr="00EA6C7A" w:rsidRDefault="00E247AA" w:rsidP="00077D21">
      <w:pPr>
        <w:pStyle w:val="PrrafodeSentencia"/>
        <w:numPr>
          <w:ilvl w:val="0"/>
          <w:numId w:val="0"/>
        </w:numPr>
        <w:ind w:left="360"/>
        <w:rPr>
          <w:lang w:val="en-US"/>
        </w:rPr>
      </w:pPr>
    </w:p>
    <w:p w14:paraId="028DA336" w14:textId="77777777" w:rsidR="00E247AA" w:rsidRPr="00EA6C7A" w:rsidRDefault="0075750C" w:rsidP="00077D21">
      <w:pPr>
        <w:pStyle w:val="PrrafodeSentencia"/>
        <w:rPr>
          <w:lang w:val="en-US"/>
        </w:rPr>
      </w:pPr>
      <w:r w:rsidRPr="00EA6C7A">
        <w:rPr>
          <w:lang w:val="en-US"/>
        </w:rPr>
        <w:t>The above a</w:t>
      </w:r>
      <w:r w:rsidR="0092568A" w:rsidRPr="00EA6C7A">
        <w:rPr>
          <w:lang w:val="en-US"/>
        </w:rPr>
        <w:t>rticle</w:t>
      </w:r>
      <w:r w:rsidR="00E247AA" w:rsidRPr="00EA6C7A">
        <w:rPr>
          <w:lang w:val="en-US"/>
        </w:rPr>
        <w:t xml:space="preserve"> </w:t>
      </w:r>
      <w:r w:rsidRPr="00EA6C7A">
        <w:rPr>
          <w:lang w:val="en-US"/>
        </w:rPr>
        <w:t>establishes that everyone has the right to freedom of though</w:t>
      </w:r>
      <w:r w:rsidR="00E045CE" w:rsidRPr="00EA6C7A">
        <w:rPr>
          <w:lang w:val="en-US"/>
        </w:rPr>
        <w:t>t</w:t>
      </w:r>
      <w:r w:rsidRPr="00EA6C7A">
        <w:rPr>
          <w:lang w:val="en-US"/>
        </w:rPr>
        <w:t xml:space="preserve"> and expression, a right that may be exercised by any means chosen by the individual. The expression of his or her socio-cultural identity through the use of certain types of clothing is protected by the provision cited, by means of an interpretive development that integrates implicit rights</w:t>
      </w:r>
      <w:r w:rsidR="00E045CE" w:rsidRPr="00EA6C7A">
        <w:rPr>
          <w:lang w:val="en-US"/>
        </w:rPr>
        <w:t xml:space="preserve">, </w:t>
      </w:r>
      <w:r w:rsidRPr="00EA6C7A">
        <w:rPr>
          <w:lang w:val="en-US"/>
        </w:rPr>
        <w:t xml:space="preserve">or those that are not explicitly included, as is inherent in abstract texts such as national constitutions or international treaties, acts that are designed to </w:t>
      </w:r>
      <w:r w:rsidR="00E045CE" w:rsidRPr="00EA6C7A">
        <w:rPr>
          <w:lang w:val="en-US"/>
        </w:rPr>
        <w:t>endure</w:t>
      </w:r>
      <w:r w:rsidRPr="00EA6C7A">
        <w:rPr>
          <w:lang w:val="en-US"/>
        </w:rPr>
        <w:t xml:space="preserve">. In other words, it is not necessary to state expressly that clothing is part of </w:t>
      </w:r>
      <w:r w:rsidR="00DB7189" w:rsidRPr="00EA6C7A">
        <w:rPr>
          <w:lang w:val="en-US"/>
        </w:rPr>
        <w:t>freedom of expression</w:t>
      </w:r>
      <w:r w:rsidR="00E247AA" w:rsidRPr="00EA6C7A">
        <w:rPr>
          <w:lang w:val="en-US"/>
        </w:rPr>
        <w:t xml:space="preserve"> </w:t>
      </w:r>
      <w:r w:rsidRPr="00EA6C7A">
        <w:rPr>
          <w:lang w:val="en-US"/>
        </w:rPr>
        <w:t xml:space="preserve">for this to be protected by </w:t>
      </w:r>
      <w:r w:rsidR="002F3848" w:rsidRPr="00EA6C7A">
        <w:rPr>
          <w:lang w:val="en-US"/>
        </w:rPr>
        <w:t>the State</w:t>
      </w:r>
      <w:r w:rsidR="00D948A1" w:rsidRPr="00EA6C7A">
        <w:rPr>
          <w:lang w:val="en-US"/>
        </w:rPr>
        <w:t xml:space="preserve"> and </w:t>
      </w:r>
      <w:r w:rsidRPr="00EA6C7A">
        <w:rPr>
          <w:lang w:val="en-US"/>
        </w:rPr>
        <w:t>by</w:t>
      </w:r>
      <w:r w:rsidR="00E247AA" w:rsidRPr="00EA6C7A">
        <w:rPr>
          <w:lang w:val="en-US"/>
        </w:rPr>
        <w:t xml:space="preserve"> </w:t>
      </w:r>
      <w:r w:rsidR="0096418F" w:rsidRPr="00EA6C7A">
        <w:rPr>
          <w:lang w:val="en-US"/>
        </w:rPr>
        <w:t>the Inter-American Court</w:t>
      </w:r>
      <w:r w:rsidR="00E247AA" w:rsidRPr="00EA6C7A">
        <w:rPr>
          <w:lang w:val="en-US"/>
        </w:rPr>
        <w:t xml:space="preserve">, </w:t>
      </w:r>
      <w:r w:rsidRPr="00EA6C7A">
        <w:rPr>
          <w:lang w:val="en-US"/>
        </w:rPr>
        <w:t>when the text was explicitly left open by using the expression emphasized:</w:t>
      </w:r>
      <w:r w:rsidR="00E247AA" w:rsidRPr="00EA6C7A">
        <w:rPr>
          <w:lang w:val="en-US"/>
        </w:rPr>
        <w:t xml:space="preserve"> “</w:t>
      </w:r>
      <w:r w:rsidR="00484E24" w:rsidRPr="00EA6C7A">
        <w:rPr>
          <w:lang w:val="en-US"/>
        </w:rPr>
        <w:t>any other medium of one’s choice.”</w:t>
      </w:r>
    </w:p>
    <w:p w14:paraId="0EBB0219" w14:textId="77777777" w:rsidR="00E247AA" w:rsidRPr="00EA6C7A" w:rsidRDefault="00E247AA" w:rsidP="00077D21">
      <w:pPr>
        <w:pStyle w:val="PrrafodeSentencia"/>
        <w:numPr>
          <w:ilvl w:val="0"/>
          <w:numId w:val="0"/>
        </w:numPr>
        <w:ind w:left="360"/>
        <w:rPr>
          <w:lang w:val="en-US"/>
        </w:rPr>
      </w:pPr>
    </w:p>
    <w:p w14:paraId="374C2465" w14:textId="77777777" w:rsidR="00E247AA" w:rsidRPr="00EA6C7A" w:rsidRDefault="0075750C" w:rsidP="00077D21">
      <w:pPr>
        <w:pStyle w:val="PrrafodeSentencia"/>
        <w:rPr>
          <w:lang w:val="en-US"/>
        </w:rPr>
      </w:pPr>
      <w:r w:rsidRPr="00EA6C7A">
        <w:rPr>
          <w:lang w:val="en-US"/>
        </w:rPr>
        <w:t xml:space="preserve">And this guarantee is entirely similar to the one established </w:t>
      </w:r>
      <w:r w:rsidR="0096418F" w:rsidRPr="00EA6C7A">
        <w:rPr>
          <w:lang w:val="en-US"/>
        </w:rPr>
        <w:t>Article</w:t>
      </w:r>
      <w:r w:rsidR="00E247AA" w:rsidRPr="00EA6C7A">
        <w:rPr>
          <w:lang w:val="en-US"/>
        </w:rPr>
        <w:t xml:space="preserve"> 19</w:t>
      </w:r>
      <w:r w:rsidRPr="00EA6C7A">
        <w:rPr>
          <w:lang w:val="en-US"/>
        </w:rPr>
        <w:t xml:space="preserve">(2) of the International Covenant on Civil and Political Rights of the </w:t>
      </w:r>
      <w:r w:rsidR="00E045CE" w:rsidRPr="00EA6C7A">
        <w:rPr>
          <w:lang w:val="en-US"/>
        </w:rPr>
        <w:t>universal system of human rights</w:t>
      </w:r>
      <w:r w:rsidRPr="00EA6C7A">
        <w:rPr>
          <w:lang w:val="en-US"/>
        </w:rPr>
        <w:t>, which reads:</w:t>
      </w:r>
    </w:p>
    <w:p w14:paraId="7F1D00B8" w14:textId="77777777" w:rsidR="00E247AA" w:rsidRPr="00EA6C7A" w:rsidRDefault="00E247AA" w:rsidP="00077D21">
      <w:pPr>
        <w:pStyle w:val="PrrafodeSentencia"/>
        <w:numPr>
          <w:ilvl w:val="0"/>
          <w:numId w:val="0"/>
        </w:numPr>
        <w:rPr>
          <w:lang w:val="en-US"/>
        </w:rPr>
      </w:pPr>
    </w:p>
    <w:p w14:paraId="16B17E5E" w14:textId="77777777" w:rsidR="00E247AA" w:rsidRPr="00EA6C7A" w:rsidRDefault="0096418F" w:rsidP="00E247AA">
      <w:pPr>
        <w:tabs>
          <w:tab w:val="left" w:pos="567"/>
        </w:tabs>
        <w:spacing w:after="0" w:line="240" w:lineRule="auto"/>
        <w:ind w:left="720"/>
        <w:rPr>
          <w:rFonts w:ascii="Verdana" w:hAnsi="Verdana"/>
          <w:sz w:val="20"/>
          <w:szCs w:val="20"/>
          <w:lang w:val="en-US"/>
        </w:rPr>
      </w:pPr>
      <w:r w:rsidRPr="00EA6C7A">
        <w:rPr>
          <w:rFonts w:ascii="Verdana" w:hAnsi="Verdana"/>
          <w:sz w:val="20"/>
          <w:szCs w:val="20"/>
          <w:lang w:val="en-US"/>
        </w:rPr>
        <w:t>Article</w:t>
      </w:r>
      <w:r w:rsidR="00E247AA" w:rsidRPr="00EA6C7A">
        <w:rPr>
          <w:rFonts w:ascii="Verdana" w:hAnsi="Verdana"/>
          <w:sz w:val="20"/>
          <w:szCs w:val="20"/>
          <w:lang w:val="en-US"/>
        </w:rPr>
        <w:t xml:space="preserve"> 19</w:t>
      </w:r>
    </w:p>
    <w:p w14:paraId="3249A8CD" w14:textId="77777777" w:rsidR="00E247AA" w:rsidRPr="00EA6C7A" w:rsidRDefault="00E247AA" w:rsidP="00484E24">
      <w:pPr>
        <w:spacing w:line="240" w:lineRule="auto"/>
        <w:ind w:left="720"/>
        <w:jc w:val="both"/>
        <w:rPr>
          <w:rFonts w:ascii="Verdana" w:hAnsi="Verdana"/>
          <w:b/>
          <w:bCs/>
          <w:sz w:val="20"/>
          <w:szCs w:val="20"/>
          <w:lang w:val="en-US"/>
        </w:rPr>
      </w:pPr>
      <w:r w:rsidRPr="00EA6C7A">
        <w:rPr>
          <w:rFonts w:ascii="Verdana" w:hAnsi="Verdana"/>
          <w:sz w:val="20"/>
          <w:szCs w:val="20"/>
          <w:lang w:val="en-US"/>
        </w:rPr>
        <w:t xml:space="preserve">2. </w:t>
      </w:r>
      <w:r w:rsidR="00484E24" w:rsidRPr="00EA6C7A">
        <w:rPr>
          <w:rFonts w:ascii="Verdana" w:hAnsi="Verdana" w:cs="Arial"/>
          <w:sz w:val="20"/>
          <w:szCs w:val="20"/>
          <w:lang w:val="en-US"/>
        </w:rPr>
        <w:t xml:space="preserve">Everyone shall have the right to freedom of expression; this right shall include freedom to seek, receive and impart information and ideas of all kinds, regardless of frontiers, either orally, in writing or in print, in the form of art, or </w:t>
      </w:r>
      <w:r w:rsidR="00484E24" w:rsidRPr="00EA6C7A">
        <w:rPr>
          <w:rFonts w:ascii="Verdana" w:hAnsi="Verdana" w:cs="Arial"/>
          <w:b/>
          <w:bCs/>
          <w:sz w:val="20"/>
          <w:szCs w:val="20"/>
          <w:lang w:val="en-US"/>
        </w:rPr>
        <w:t>through any other media of his choice</w:t>
      </w:r>
      <w:r w:rsidRPr="00EA6C7A">
        <w:rPr>
          <w:rFonts w:ascii="Verdana" w:hAnsi="Verdana"/>
          <w:sz w:val="20"/>
          <w:szCs w:val="20"/>
          <w:lang w:val="en-US"/>
        </w:rPr>
        <w:t>. (</w:t>
      </w:r>
      <w:r w:rsidR="00DB7189" w:rsidRPr="00EA6C7A">
        <w:rPr>
          <w:rFonts w:ascii="Verdana" w:hAnsi="Verdana"/>
          <w:sz w:val="20"/>
          <w:szCs w:val="20"/>
          <w:lang w:val="en-US"/>
        </w:rPr>
        <w:t>Bold added</w:t>
      </w:r>
      <w:r w:rsidRPr="00EA6C7A">
        <w:rPr>
          <w:rFonts w:ascii="Verdana" w:hAnsi="Verdana"/>
          <w:sz w:val="20"/>
          <w:szCs w:val="20"/>
          <w:lang w:val="en-US"/>
        </w:rPr>
        <w:t xml:space="preserve">) </w:t>
      </w:r>
    </w:p>
    <w:p w14:paraId="4EDD9358" w14:textId="77777777" w:rsidR="00E247AA" w:rsidRPr="00EA6C7A" w:rsidRDefault="0075750C" w:rsidP="00077D21">
      <w:pPr>
        <w:pStyle w:val="PrrafodeSentencia"/>
        <w:rPr>
          <w:lang w:val="en-US"/>
        </w:rPr>
      </w:pPr>
      <w:r w:rsidRPr="00EA6C7A">
        <w:rPr>
          <w:lang w:val="en-US"/>
        </w:rPr>
        <w:t xml:space="preserve">The above articles should be interpreted in the sense that an individual’s way of dressing is a legitimate means of exercising </w:t>
      </w:r>
      <w:r w:rsidR="00515C34" w:rsidRPr="00EA6C7A">
        <w:rPr>
          <w:lang w:val="en-US"/>
        </w:rPr>
        <w:t>the right to</w:t>
      </w:r>
      <w:r w:rsidR="00E247AA" w:rsidRPr="00EA6C7A">
        <w:rPr>
          <w:lang w:val="en-US"/>
        </w:rPr>
        <w:t xml:space="preserve"> </w:t>
      </w:r>
      <w:r w:rsidR="00DB7189" w:rsidRPr="00EA6C7A">
        <w:rPr>
          <w:lang w:val="en-US"/>
        </w:rPr>
        <w:t>freedom of expression</w:t>
      </w:r>
      <w:r w:rsidR="00E247AA" w:rsidRPr="00EA6C7A">
        <w:rPr>
          <w:lang w:val="en-US"/>
        </w:rPr>
        <w:t xml:space="preserve">. </w:t>
      </w:r>
      <w:r w:rsidR="00A7474C" w:rsidRPr="00EA6C7A">
        <w:rPr>
          <w:lang w:val="en-US"/>
        </w:rPr>
        <w:t xml:space="preserve">The link with </w:t>
      </w:r>
      <w:r w:rsidR="00DB7189" w:rsidRPr="00EA6C7A">
        <w:rPr>
          <w:lang w:val="en-US"/>
        </w:rPr>
        <w:t>freedom of expression</w:t>
      </w:r>
      <w:r w:rsidR="00E247AA" w:rsidRPr="00EA6C7A">
        <w:rPr>
          <w:lang w:val="en-US"/>
        </w:rPr>
        <w:t xml:space="preserve"> result</w:t>
      </w:r>
      <w:r w:rsidR="00A7474C" w:rsidRPr="00EA6C7A">
        <w:rPr>
          <w:lang w:val="en-US"/>
        </w:rPr>
        <w:t xml:space="preserve">s from the fact that the individual choice of clothes and accessories </w:t>
      </w:r>
      <w:r w:rsidR="002907A5" w:rsidRPr="00EA6C7A">
        <w:rPr>
          <w:lang w:val="en-US"/>
        </w:rPr>
        <w:t xml:space="preserve">that </w:t>
      </w:r>
      <w:r w:rsidR="00A7474C" w:rsidRPr="00EA6C7A">
        <w:rPr>
          <w:lang w:val="en-US"/>
        </w:rPr>
        <w:t>modify a person’s physical appearance serves to externalize the connection to a particular group or culture, an expression that, in itself, has relevant political content</w:t>
      </w:r>
      <w:r w:rsidR="00E247AA" w:rsidRPr="00EA6C7A">
        <w:rPr>
          <w:lang w:val="en-US"/>
        </w:rPr>
        <w:t>.</w:t>
      </w:r>
    </w:p>
    <w:p w14:paraId="256A6CC3" w14:textId="77777777" w:rsidR="00E247AA" w:rsidRPr="00EA6C7A" w:rsidRDefault="00E247AA" w:rsidP="00077D21">
      <w:pPr>
        <w:pStyle w:val="PrrafodeSentencia"/>
        <w:numPr>
          <w:ilvl w:val="0"/>
          <w:numId w:val="0"/>
        </w:numPr>
        <w:ind w:left="360"/>
        <w:rPr>
          <w:lang w:val="en-US"/>
        </w:rPr>
      </w:pPr>
    </w:p>
    <w:p w14:paraId="7EDB4DDA" w14:textId="77777777" w:rsidR="00A7474C" w:rsidRPr="00EA6C7A" w:rsidRDefault="00A7474C" w:rsidP="00077D21">
      <w:pPr>
        <w:pStyle w:val="PrrafodeSentencia"/>
        <w:rPr>
          <w:lang w:val="en-US"/>
        </w:rPr>
      </w:pPr>
      <w:r w:rsidRPr="00EA6C7A">
        <w:rPr>
          <w:lang w:val="en-US"/>
        </w:rPr>
        <w:t xml:space="preserve">It can thus be inferred that the State has the obligation to protect the individual right of those who express their identity, regardless of the means they use, so that the right to freedom of expression can be exercised fully and without coercion. Thus, it is the State’s obligation to ensure a safe environment so </w:t>
      </w:r>
      <w:r w:rsidR="002907A5" w:rsidRPr="00EA6C7A">
        <w:rPr>
          <w:lang w:val="en-US"/>
        </w:rPr>
        <w:t xml:space="preserve">that </w:t>
      </w:r>
      <w:r w:rsidRPr="00EA6C7A">
        <w:rPr>
          <w:lang w:val="en-US"/>
        </w:rPr>
        <w:t>every woman who decides to express her control of her own body by using clothes that differ from those favored by society can do so.</w:t>
      </w:r>
    </w:p>
    <w:p w14:paraId="3E469C4E" w14:textId="77777777" w:rsidR="00E247AA" w:rsidRPr="00EA6C7A" w:rsidRDefault="00E247AA" w:rsidP="00077D21">
      <w:pPr>
        <w:pStyle w:val="PrrafodeSentencia"/>
        <w:numPr>
          <w:ilvl w:val="0"/>
          <w:numId w:val="0"/>
        </w:numPr>
        <w:rPr>
          <w:lang w:val="en-US"/>
        </w:rPr>
      </w:pPr>
    </w:p>
    <w:p w14:paraId="35E73CC5" w14:textId="77777777" w:rsidR="00A7474C" w:rsidRPr="00EA6C7A" w:rsidRDefault="004B531B" w:rsidP="00077D21">
      <w:pPr>
        <w:pStyle w:val="PrrafodeSentencia"/>
        <w:rPr>
          <w:lang w:val="en-US"/>
        </w:rPr>
      </w:pPr>
      <w:r w:rsidRPr="00EA6C7A">
        <w:rPr>
          <w:lang w:val="en-US"/>
        </w:rPr>
        <w:t>O</w:t>
      </w:r>
      <w:r w:rsidR="00A7474C" w:rsidRPr="00EA6C7A">
        <w:rPr>
          <w:lang w:val="en-US"/>
        </w:rPr>
        <w:t xml:space="preserve">wing to the </w:t>
      </w:r>
      <w:r w:rsidR="002907A5" w:rsidRPr="00EA6C7A">
        <w:rPr>
          <w:lang w:val="en-US"/>
        </w:rPr>
        <w:t xml:space="preserve">existence of a </w:t>
      </w:r>
      <w:r w:rsidR="00A7474C" w:rsidRPr="00EA6C7A">
        <w:rPr>
          <w:lang w:val="en-US"/>
        </w:rPr>
        <w:t xml:space="preserve">known context of violence against women, </w:t>
      </w:r>
      <w:r w:rsidRPr="00EA6C7A">
        <w:rPr>
          <w:lang w:val="en-US"/>
        </w:rPr>
        <w:t>the choices that women make as regards their clothing deserve special protection, because the external appearance – mainly the clothing – can be used to unfairly categorize women, often to their detriment.</w:t>
      </w:r>
    </w:p>
    <w:p w14:paraId="031322A5" w14:textId="77777777" w:rsidR="00E247AA" w:rsidRPr="00EA6C7A" w:rsidRDefault="00E247AA" w:rsidP="00077D21">
      <w:pPr>
        <w:pStyle w:val="PrrafodeSentencia"/>
        <w:numPr>
          <w:ilvl w:val="0"/>
          <w:numId w:val="0"/>
        </w:numPr>
        <w:ind w:left="360"/>
        <w:rPr>
          <w:lang w:val="en-US"/>
        </w:rPr>
      </w:pPr>
    </w:p>
    <w:p w14:paraId="1024B596" w14:textId="77777777" w:rsidR="00E247AA" w:rsidRPr="00EA6C7A" w:rsidRDefault="004B531B" w:rsidP="00077D21">
      <w:pPr>
        <w:pStyle w:val="PrrafodeSentencia"/>
        <w:rPr>
          <w:lang w:val="en-US"/>
        </w:rPr>
      </w:pPr>
      <w:r w:rsidRPr="00EA6C7A">
        <w:rPr>
          <w:lang w:val="en-US"/>
        </w:rPr>
        <w:t xml:space="preserve">The selective thoroughness of the investigation based on the victim’s clothing reveals the existence of an informal dress code, reinforced by the actions of the authorities </w:t>
      </w:r>
      <w:r w:rsidR="002907A5" w:rsidRPr="00EA6C7A">
        <w:rPr>
          <w:lang w:val="en-US"/>
        </w:rPr>
        <w:t>who</w:t>
      </w:r>
      <w:r w:rsidRPr="00EA6C7A">
        <w:rPr>
          <w:lang w:val="en-US"/>
        </w:rPr>
        <w:t xml:space="preserve"> exacerbate the vulnerability of the victim when they consider that her clothes reflect her membership of a particularly marginalized female group, as is the case of women who dress as they choose, who express their identity through their outfits, which are often not considered appropriate from a patriarchal, chauvinistic and sexist standpoint. </w:t>
      </w:r>
    </w:p>
    <w:p w14:paraId="6B570453" w14:textId="77777777" w:rsidR="004B531B" w:rsidRPr="00EA6C7A" w:rsidRDefault="004B531B" w:rsidP="004B531B">
      <w:pPr>
        <w:pStyle w:val="Prrafodelista"/>
        <w:rPr>
          <w:rFonts w:ascii="Verdana" w:hAnsi="Verdana"/>
          <w:lang w:val="en-US"/>
        </w:rPr>
      </w:pPr>
    </w:p>
    <w:p w14:paraId="044DC3EA" w14:textId="77777777" w:rsidR="004B531B" w:rsidRPr="00EA6C7A" w:rsidRDefault="004B531B" w:rsidP="00077D21">
      <w:pPr>
        <w:pStyle w:val="PrrafodeSentencia"/>
        <w:rPr>
          <w:lang w:val="en-US"/>
        </w:rPr>
      </w:pPr>
      <w:r w:rsidRPr="00EA6C7A">
        <w:rPr>
          <w:lang w:val="en-US"/>
        </w:rPr>
        <w:t xml:space="preserve">In general, this case is similar to </w:t>
      </w:r>
      <w:r w:rsidR="002907A5" w:rsidRPr="00EA6C7A">
        <w:rPr>
          <w:lang w:val="en-US"/>
        </w:rPr>
        <w:t>a 2011 case</w:t>
      </w:r>
      <w:r w:rsidRPr="00EA6C7A">
        <w:rPr>
          <w:lang w:val="en-US"/>
        </w:rPr>
        <w:t xml:space="preserve"> in Canada</w:t>
      </w:r>
      <w:r w:rsidR="002907A5" w:rsidRPr="00EA6C7A">
        <w:rPr>
          <w:lang w:val="en-US"/>
        </w:rPr>
        <w:t>, which</w:t>
      </w:r>
      <w:r w:rsidRPr="00EA6C7A">
        <w:rPr>
          <w:lang w:val="en-US"/>
        </w:rPr>
        <w:t xml:space="preserve"> had major repercussions in the international media and in social and feminist movements in several countries, when the Toronto police force, when referring to a series of rapes on a university campus, suggested that women should avoid dressing like prostitutes, blaming the victims themselves for contributing to the rape they had suffered. The reaction in the feminist and human rights media was immediate, resulting in the creation of </w:t>
      </w:r>
      <w:r w:rsidR="005A7715" w:rsidRPr="00EA6C7A">
        <w:rPr>
          <w:lang w:val="en-US"/>
        </w:rPr>
        <w:t>the</w:t>
      </w:r>
      <w:r w:rsidRPr="00EA6C7A">
        <w:rPr>
          <w:lang w:val="en-US"/>
        </w:rPr>
        <w:t xml:space="preserve"> transnational non-governmental organization </w:t>
      </w:r>
      <w:r w:rsidR="005A7715" w:rsidRPr="00EA6C7A">
        <w:rPr>
          <w:lang w:val="en-US"/>
        </w:rPr>
        <w:t>“</w:t>
      </w:r>
      <w:proofErr w:type="spellStart"/>
      <w:r w:rsidR="005A7715" w:rsidRPr="00EA6C7A">
        <w:rPr>
          <w:lang w:val="en-US"/>
        </w:rPr>
        <w:t>SlutWalk</w:t>
      </w:r>
      <w:proofErr w:type="spellEnd"/>
      <w:r w:rsidR="005A7715" w:rsidRPr="00EA6C7A">
        <w:rPr>
          <w:lang w:val="en-US"/>
        </w:rPr>
        <w:t>,” which defended a woman’s right to dress as she wishe</w:t>
      </w:r>
      <w:r w:rsidR="002907A5" w:rsidRPr="00EA6C7A">
        <w:rPr>
          <w:lang w:val="en-US"/>
        </w:rPr>
        <w:t>s</w:t>
      </w:r>
      <w:r w:rsidR="005A7715" w:rsidRPr="00EA6C7A">
        <w:rPr>
          <w:lang w:val="en-US"/>
        </w:rPr>
        <w:t>, and the right to go wherever she want</w:t>
      </w:r>
      <w:r w:rsidR="002907A5" w:rsidRPr="00EA6C7A">
        <w:rPr>
          <w:lang w:val="en-US"/>
        </w:rPr>
        <w:t>s</w:t>
      </w:r>
      <w:r w:rsidR="005A7715" w:rsidRPr="00EA6C7A">
        <w:rPr>
          <w:lang w:val="en-US"/>
        </w:rPr>
        <w:t xml:space="preserve">, without the risk of being harassed, assaulted or raped. The name of the movement was purposely </w:t>
      </w:r>
      <w:r w:rsidR="00EA1C6D" w:rsidRPr="00EA6C7A">
        <w:rPr>
          <w:lang w:val="en-US"/>
        </w:rPr>
        <w:t>strident</w:t>
      </w:r>
      <w:r w:rsidR="005A7715" w:rsidRPr="00EA6C7A">
        <w:rPr>
          <w:lang w:val="en-US"/>
        </w:rPr>
        <w:t xml:space="preserve"> because many women, especially young ones, identified with the victims in that they preferred to use short, sensual clothes, but in no way wanted to assume risks for this reason. Thus, they considered that, if the victims appeared to be prostitutes, this is what they would call themselves in solidarity</w:t>
      </w:r>
      <w:r w:rsidR="00EA1C6D" w:rsidRPr="00EA6C7A">
        <w:rPr>
          <w:lang w:val="en-US"/>
        </w:rPr>
        <w:t>,</w:t>
      </w:r>
      <w:r w:rsidR="005A7715" w:rsidRPr="00EA6C7A">
        <w:rPr>
          <w:lang w:val="en-US"/>
        </w:rPr>
        <w:t xml:space="preserve"> to protest </w:t>
      </w:r>
      <w:r w:rsidR="00EA1C6D" w:rsidRPr="00EA6C7A">
        <w:rPr>
          <w:lang w:val="en-US"/>
        </w:rPr>
        <w:t>in favor of</w:t>
      </w:r>
      <w:r w:rsidR="005A7715" w:rsidRPr="00EA6C7A">
        <w:rPr>
          <w:lang w:val="en-US"/>
        </w:rPr>
        <w:t xml:space="preserve"> their right</w:t>
      </w:r>
      <w:r w:rsidR="00EA1C6D" w:rsidRPr="00EA6C7A">
        <w:rPr>
          <w:lang w:val="en-US"/>
        </w:rPr>
        <w:t xml:space="preserve"> to freedom</w:t>
      </w:r>
      <w:r w:rsidR="005A7715" w:rsidRPr="00EA6C7A">
        <w:rPr>
          <w:lang w:val="en-US"/>
        </w:rPr>
        <w:t xml:space="preserve"> of movement and freedom of dress (expression). And, they expected that men should behave correctly and l</w:t>
      </w:r>
      <w:r w:rsidR="00EA1C6D" w:rsidRPr="00EA6C7A">
        <w:rPr>
          <w:lang w:val="en-US"/>
        </w:rPr>
        <w:t>awful</w:t>
      </w:r>
      <w:r w:rsidR="005A7715" w:rsidRPr="00EA6C7A">
        <w:rPr>
          <w:lang w:val="en-US"/>
        </w:rPr>
        <w:t xml:space="preserve">ly, without committing any criminal violence, and the State should provide protection from the </w:t>
      </w:r>
      <w:r w:rsidR="00EA1C6D" w:rsidRPr="00EA6C7A">
        <w:rPr>
          <w:lang w:val="en-US"/>
        </w:rPr>
        <w:t>perspective</w:t>
      </w:r>
      <w:r w:rsidR="005A7715" w:rsidRPr="00EA6C7A">
        <w:rPr>
          <w:lang w:val="en-US"/>
        </w:rPr>
        <w:t xml:space="preserve"> of respect for women.</w:t>
      </w:r>
    </w:p>
    <w:p w14:paraId="3661A0E1" w14:textId="77777777" w:rsidR="00E247AA" w:rsidRPr="00EA6C7A" w:rsidRDefault="00E247AA" w:rsidP="00077D21">
      <w:pPr>
        <w:pStyle w:val="PrrafodeSentencia"/>
        <w:numPr>
          <w:ilvl w:val="0"/>
          <w:numId w:val="0"/>
        </w:numPr>
        <w:ind w:left="360"/>
        <w:rPr>
          <w:lang w:val="en-US"/>
        </w:rPr>
      </w:pPr>
    </w:p>
    <w:p w14:paraId="5A65AC68" w14:textId="77777777" w:rsidR="005A7715" w:rsidRPr="00EA6C7A" w:rsidRDefault="005A7715" w:rsidP="00077D21">
      <w:pPr>
        <w:pStyle w:val="PrrafodeSentencia"/>
        <w:rPr>
          <w:lang w:val="en-US"/>
        </w:rPr>
      </w:pPr>
      <w:r w:rsidRPr="00EA6C7A">
        <w:rPr>
          <w:lang w:val="en-US"/>
        </w:rPr>
        <w:t>When such dress codes perpetuate sexist gender stereotyping, and render violence against women invisible or allow it to go unpunished</w:t>
      </w:r>
      <w:r w:rsidR="00EA1C6D" w:rsidRPr="00EA6C7A">
        <w:rPr>
          <w:lang w:val="en-US"/>
        </w:rPr>
        <w:t xml:space="preserve"> – fre</w:t>
      </w:r>
      <w:r w:rsidRPr="00EA6C7A">
        <w:rPr>
          <w:lang w:val="en-US"/>
        </w:rPr>
        <w:t>quently with a</w:t>
      </w:r>
      <w:r w:rsidR="00A61434" w:rsidRPr="00EA6C7A">
        <w:rPr>
          <w:lang w:val="en-US"/>
        </w:rPr>
        <w:t>n</w:t>
      </w:r>
      <w:r w:rsidRPr="00EA6C7A">
        <w:rPr>
          <w:lang w:val="en-US"/>
        </w:rPr>
        <w:t xml:space="preserve"> </w:t>
      </w:r>
      <w:r w:rsidR="00A61434" w:rsidRPr="00EA6C7A">
        <w:rPr>
          <w:lang w:val="en-US"/>
        </w:rPr>
        <w:t>e</w:t>
      </w:r>
      <w:r w:rsidRPr="00EA6C7A">
        <w:rPr>
          <w:lang w:val="en-US"/>
        </w:rPr>
        <w:t>specially perverse impact on women</w:t>
      </w:r>
      <w:r w:rsidR="00EA1C6D" w:rsidRPr="00EA6C7A">
        <w:rPr>
          <w:lang w:val="en-US"/>
        </w:rPr>
        <w:t xml:space="preserve"> – </w:t>
      </w:r>
      <w:r w:rsidR="00A61434" w:rsidRPr="00EA6C7A">
        <w:rPr>
          <w:lang w:val="en-US"/>
        </w:rPr>
        <w:t xml:space="preserve">the State’s opinion of a victim’s clothing becomes a tool by which the State appropriates the right to control a woman’s body, finding justification based on </w:t>
      </w:r>
      <w:r w:rsidR="00EA1C6D" w:rsidRPr="00EA6C7A">
        <w:rPr>
          <w:lang w:val="en-US"/>
        </w:rPr>
        <w:t xml:space="preserve">the </w:t>
      </w:r>
      <w:r w:rsidR="00A61434" w:rsidRPr="00EA6C7A">
        <w:rPr>
          <w:lang w:val="en-US"/>
        </w:rPr>
        <w:t>supposed moral values of the community. Requirements as regards clothing are even used to justify underlying discriminatory attitudes and to permit the external control of female sexuality, objectivizing women by denying them their autonomy.</w:t>
      </w:r>
    </w:p>
    <w:p w14:paraId="0993F55D" w14:textId="77777777" w:rsidR="00E247AA" w:rsidRPr="00EA6C7A" w:rsidRDefault="00E247AA" w:rsidP="00077D21">
      <w:pPr>
        <w:pStyle w:val="PrrafodeSentencia"/>
        <w:numPr>
          <w:ilvl w:val="0"/>
          <w:numId w:val="0"/>
        </w:numPr>
        <w:rPr>
          <w:lang w:val="en-US"/>
        </w:rPr>
      </w:pPr>
    </w:p>
    <w:p w14:paraId="0C38B3A0" w14:textId="77777777" w:rsidR="00E247AA" w:rsidRPr="00EA6C7A" w:rsidRDefault="00A61434" w:rsidP="00077D21">
      <w:pPr>
        <w:pStyle w:val="PrrafodeSentencia"/>
        <w:rPr>
          <w:lang w:val="en-US"/>
        </w:rPr>
      </w:pPr>
      <w:r w:rsidRPr="00EA6C7A">
        <w:rPr>
          <w:lang w:val="en-US"/>
        </w:rPr>
        <w:t>By deliberately being negligent</w:t>
      </w:r>
      <w:r w:rsidR="00EA1C6D" w:rsidRPr="00EA6C7A">
        <w:rPr>
          <w:lang w:val="en-US"/>
        </w:rPr>
        <w:t xml:space="preserve"> and</w:t>
      </w:r>
      <w:r w:rsidRPr="00EA6C7A">
        <w:rPr>
          <w:lang w:val="en-US"/>
        </w:rPr>
        <w:t xml:space="preserve"> failing to act with due diligence in the respective criminal investigation, the State ends up by penalizing the woman who has already been victimized once. </w:t>
      </w:r>
      <w:r w:rsidR="00EA1C6D" w:rsidRPr="00EA6C7A">
        <w:rPr>
          <w:lang w:val="en-US"/>
        </w:rPr>
        <w:t>According to</w:t>
      </w:r>
      <w:r w:rsidRPr="00EA6C7A">
        <w:rPr>
          <w:lang w:val="en-US"/>
        </w:rPr>
        <w:t xml:space="preserve"> the</w:t>
      </w:r>
      <w:r w:rsidR="00EA1C6D" w:rsidRPr="00EA6C7A">
        <w:rPr>
          <w:lang w:val="en-US"/>
        </w:rPr>
        <w:t xml:space="preserve"> State’s</w:t>
      </w:r>
      <w:r w:rsidRPr="00EA6C7A">
        <w:rPr>
          <w:lang w:val="en-US"/>
        </w:rPr>
        <w:t xml:space="preserve"> </w:t>
      </w:r>
      <w:r w:rsidR="00EA1C6D" w:rsidRPr="00EA6C7A">
        <w:rPr>
          <w:lang w:val="en-US"/>
        </w:rPr>
        <w:t xml:space="preserve">perspective that is revealed </w:t>
      </w:r>
      <w:r w:rsidRPr="00EA6C7A">
        <w:rPr>
          <w:lang w:val="en-US"/>
        </w:rPr>
        <w:t>in this case, the woman who chooses to dress in a certain way loses, even though informally, the right to judicial guarantees, because she is not considered worthy of them while she supposedly belongs to a socially marginalized group of women</w:t>
      </w:r>
      <w:r w:rsidR="00EA1C6D" w:rsidRPr="00EA6C7A">
        <w:rPr>
          <w:lang w:val="en-US"/>
        </w:rPr>
        <w:t xml:space="preserve"> who are</w:t>
      </w:r>
      <w:r w:rsidRPr="00EA6C7A">
        <w:rPr>
          <w:lang w:val="en-US"/>
        </w:rPr>
        <w:t xml:space="preserve"> prostitutes or from a low-income class. By expressing her socio-economic position through her </w:t>
      </w:r>
      <w:r w:rsidR="00901AC8" w:rsidRPr="00EA6C7A">
        <w:rPr>
          <w:lang w:val="en-US"/>
        </w:rPr>
        <w:t>clothing</w:t>
      </w:r>
      <w:r w:rsidRPr="00EA6C7A">
        <w:rPr>
          <w:lang w:val="en-US"/>
        </w:rPr>
        <w:t xml:space="preserve">, she exposed herself to the State’s indifference to an eventual violation of any of her rights. Thus, it becomes dangerous to express oneself through ones clothes and accessories, and that danger ends up by closely constituting </w:t>
      </w:r>
      <w:r w:rsidR="001914FC" w:rsidRPr="00EA6C7A">
        <w:rPr>
          <w:lang w:val="en-US"/>
        </w:rPr>
        <w:t xml:space="preserve">the </w:t>
      </w:r>
      <w:r w:rsidR="00EA1C6D" w:rsidRPr="00EA6C7A">
        <w:rPr>
          <w:lang w:val="en-US"/>
        </w:rPr>
        <w:t xml:space="preserve">curtailment of the </w:t>
      </w:r>
      <w:r w:rsidR="00515C34" w:rsidRPr="00EA6C7A">
        <w:rPr>
          <w:lang w:val="en-US"/>
        </w:rPr>
        <w:t>right to</w:t>
      </w:r>
      <w:r w:rsidR="00E247AA" w:rsidRPr="00EA6C7A">
        <w:rPr>
          <w:lang w:val="en-US"/>
        </w:rPr>
        <w:t xml:space="preserve"> </w:t>
      </w:r>
      <w:r w:rsidR="00DB7189" w:rsidRPr="00EA6C7A">
        <w:rPr>
          <w:lang w:val="en-US"/>
        </w:rPr>
        <w:t>freedom of expression</w:t>
      </w:r>
      <w:r w:rsidR="00E247AA" w:rsidRPr="00EA6C7A">
        <w:rPr>
          <w:lang w:val="en-US"/>
        </w:rPr>
        <w:t xml:space="preserve">. </w:t>
      </w:r>
      <w:r w:rsidRPr="00EA6C7A">
        <w:rPr>
          <w:lang w:val="en-US"/>
        </w:rPr>
        <w:t>It is not po</w:t>
      </w:r>
      <w:r w:rsidR="00343CF1" w:rsidRPr="00EA6C7A">
        <w:rPr>
          <w:lang w:val="en-US"/>
        </w:rPr>
        <w:t>s</w:t>
      </w:r>
      <w:r w:rsidRPr="00EA6C7A">
        <w:rPr>
          <w:lang w:val="en-US"/>
        </w:rPr>
        <w:t>sible to full</w:t>
      </w:r>
      <w:r w:rsidR="00471AEF" w:rsidRPr="00EA6C7A">
        <w:rPr>
          <w:lang w:val="en-US"/>
        </w:rPr>
        <w:t>y</w:t>
      </w:r>
      <w:r w:rsidRPr="00EA6C7A">
        <w:rPr>
          <w:lang w:val="en-US"/>
        </w:rPr>
        <w:t xml:space="preserve"> exercise </w:t>
      </w:r>
      <w:r w:rsidR="00DB7189" w:rsidRPr="00EA6C7A">
        <w:rPr>
          <w:lang w:val="en-US"/>
        </w:rPr>
        <w:t>freedom of expression</w:t>
      </w:r>
      <w:r w:rsidR="00E247AA" w:rsidRPr="00EA6C7A">
        <w:rPr>
          <w:lang w:val="en-US"/>
        </w:rPr>
        <w:t xml:space="preserve"> </w:t>
      </w:r>
      <w:r w:rsidRPr="00EA6C7A">
        <w:rPr>
          <w:lang w:val="en-US"/>
        </w:rPr>
        <w:t xml:space="preserve">if some </w:t>
      </w:r>
      <w:r w:rsidR="00343CF1" w:rsidRPr="00EA6C7A">
        <w:rPr>
          <w:lang w:val="en-US"/>
        </w:rPr>
        <w:t>expressions are punished</w:t>
      </w:r>
      <w:r w:rsidR="003512D0" w:rsidRPr="00EA6C7A">
        <w:rPr>
          <w:lang w:val="en-US"/>
        </w:rPr>
        <w:t>, even habitually,</w:t>
      </w:r>
      <w:r w:rsidR="00343CF1" w:rsidRPr="00EA6C7A">
        <w:rPr>
          <w:lang w:val="en-US"/>
        </w:rPr>
        <w:t xml:space="preserve"> by the State</w:t>
      </w:r>
      <w:r w:rsidR="003512D0" w:rsidRPr="00EA6C7A">
        <w:rPr>
          <w:lang w:val="en-US"/>
        </w:rPr>
        <w:t>.</w:t>
      </w:r>
    </w:p>
    <w:p w14:paraId="764FB57F" w14:textId="77777777" w:rsidR="00E247AA" w:rsidRPr="00EA6C7A" w:rsidRDefault="00E247AA" w:rsidP="00077D21">
      <w:pPr>
        <w:pStyle w:val="PrrafodeSentencia"/>
        <w:numPr>
          <w:ilvl w:val="0"/>
          <w:numId w:val="0"/>
        </w:numPr>
        <w:rPr>
          <w:lang w:val="en-US"/>
        </w:rPr>
      </w:pPr>
    </w:p>
    <w:p w14:paraId="6AF2C810" w14:textId="77777777" w:rsidR="00E247AA" w:rsidRPr="00EA6C7A" w:rsidRDefault="00343CF1" w:rsidP="00077D21">
      <w:pPr>
        <w:pStyle w:val="PrrafodeSentencia"/>
      </w:pPr>
      <w:r w:rsidRPr="00EA6C7A">
        <w:rPr>
          <w:lang w:val="en-US"/>
        </w:rPr>
        <w:t xml:space="preserve">In keeping with this interpretation, the United Nations Human Rights Committee, in its General Comment </w:t>
      </w:r>
      <w:r w:rsidR="00E247AA" w:rsidRPr="00EA6C7A">
        <w:rPr>
          <w:lang w:val="en-US"/>
        </w:rPr>
        <w:t xml:space="preserve">No. 34, </w:t>
      </w:r>
      <w:r w:rsidRPr="00EA6C7A">
        <w:rPr>
          <w:lang w:val="en-US"/>
        </w:rPr>
        <w:t>of</w:t>
      </w:r>
      <w:r w:rsidR="00E247AA" w:rsidRPr="00EA6C7A">
        <w:rPr>
          <w:lang w:val="en-US"/>
        </w:rPr>
        <w:t xml:space="preserve"> </w:t>
      </w:r>
      <w:r w:rsidR="007B566E" w:rsidRPr="00EA6C7A">
        <w:rPr>
          <w:lang w:val="en-US"/>
        </w:rPr>
        <w:t>July</w:t>
      </w:r>
      <w:r w:rsidR="00E247AA" w:rsidRPr="00EA6C7A">
        <w:rPr>
          <w:lang w:val="en-US"/>
        </w:rPr>
        <w:t xml:space="preserve"> </w:t>
      </w:r>
      <w:r w:rsidRPr="00EA6C7A">
        <w:rPr>
          <w:lang w:val="en-US"/>
        </w:rPr>
        <w:t>29,</w:t>
      </w:r>
      <w:r w:rsidR="00E247AA" w:rsidRPr="00EA6C7A">
        <w:rPr>
          <w:lang w:val="en-US"/>
        </w:rPr>
        <w:t xml:space="preserve"> 2011, </w:t>
      </w:r>
      <w:r w:rsidR="0092568A" w:rsidRPr="00EA6C7A">
        <w:rPr>
          <w:lang w:val="en-US"/>
        </w:rPr>
        <w:t>establishe</w:t>
      </w:r>
      <w:r w:rsidRPr="00EA6C7A">
        <w:rPr>
          <w:lang w:val="en-US"/>
        </w:rPr>
        <w:t>d</w:t>
      </w:r>
      <w:r w:rsidR="00E247AA" w:rsidRPr="00EA6C7A">
        <w:rPr>
          <w:lang w:val="en-US"/>
        </w:rPr>
        <w:t xml:space="preserve"> </w:t>
      </w:r>
      <w:r w:rsidRPr="00EA6C7A">
        <w:rPr>
          <w:lang w:val="en-US"/>
        </w:rPr>
        <w:t>that the</w:t>
      </w:r>
      <w:r w:rsidR="00E247AA" w:rsidRPr="00EA6C7A">
        <w:rPr>
          <w:lang w:val="en-US"/>
        </w:rPr>
        <w:t xml:space="preserve"> </w:t>
      </w:r>
      <w:r w:rsidR="00DB7189" w:rsidRPr="00EA6C7A">
        <w:rPr>
          <w:lang w:val="en-US"/>
        </w:rPr>
        <w:t>freedom of expression</w:t>
      </w:r>
      <w:r w:rsidR="00E247AA" w:rsidRPr="00EA6C7A">
        <w:rPr>
          <w:lang w:val="en-US"/>
        </w:rPr>
        <w:t xml:space="preserve"> </w:t>
      </w:r>
      <w:r w:rsidRPr="00EA6C7A">
        <w:rPr>
          <w:lang w:val="en-US"/>
        </w:rPr>
        <w:t xml:space="preserve">established in </w:t>
      </w:r>
      <w:r w:rsidR="0096418F" w:rsidRPr="00EA6C7A">
        <w:rPr>
          <w:lang w:val="en-US"/>
        </w:rPr>
        <w:t>Article</w:t>
      </w:r>
      <w:r w:rsidR="00E247AA" w:rsidRPr="00EA6C7A">
        <w:rPr>
          <w:lang w:val="en-US"/>
        </w:rPr>
        <w:t xml:space="preserve"> 19</w:t>
      </w:r>
      <w:r w:rsidRPr="00EA6C7A">
        <w:rPr>
          <w:lang w:val="en-US"/>
        </w:rPr>
        <w:t>(</w:t>
      </w:r>
      <w:r w:rsidR="00E247AA" w:rsidRPr="00EA6C7A">
        <w:rPr>
          <w:lang w:val="en-US"/>
        </w:rPr>
        <w:t>2</w:t>
      </w:r>
      <w:r w:rsidRPr="00EA6C7A">
        <w:rPr>
          <w:lang w:val="en-US"/>
        </w:rPr>
        <w:t>) of the International Covenant on Civil and Political Rights (ICCPR)</w:t>
      </w:r>
      <w:r w:rsidR="00E247AA" w:rsidRPr="00EA6C7A">
        <w:rPr>
          <w:lang w:val="en-US"/>
        </w:rPr>
        <w:t xml:space="preserve"> </w:t>
      </w:r>
      <w:r w:rsidRPr="00EA6C7A">
        <w:rPr>
          <w:lang w:val="en-US"/>
        </w:rPr>
        <w:t xml:space="preserve">should be interpreted to include the right </w:t>
      </w:r>
      <w:bookmarkStart w:id="133" w:name="_Hlk25411381"/>
      <w:r w:rsidRPr="00EA6C7A">
        <w:rPr>
          <w:lang w:val="en-US"/>
        </w:rPr>
        <w:t>to choose what clothes</w:t>
      </w:r>
      <w:bookmarkEnd w:id="133"/>
      <w:r w:rsidRPr="00EA6C7A">
        <w:rPr>
          <w:lang w:val="en-US"/>
        </w:rPr>
        <w:t xml:space="preserve"> to wear and that this choice should be made free of State pressure. </w:t>
      </w:r>
      <w:proofErr w:type="spellStart"/>
      <w:r w:rsidRPr="00EA6C7A">
        <w:t>The</w:t>
      </w:r>
      <w:proofErr w:type="spellEnd"/>
      <w:r w:rsidRPr="00EA6C7A">
        <w:t xml:space="preserve"> </w:t>
      </w:r>
      <w:proofErr w:type="spellStart"/>
      <w:r w:rsidRPr="00EA6C7A">
        <w:t>relevant</w:t>
      </w:r>
      <w:proofErr w:type="spellEnd"/>
      <w:r w:rsidRPr="00EA6C7A">
        <w:t xml:space="preserve"> </w:t>
      </w:r>
      <w:proofErr w:type="spellStart"/>
      <w:r w:rsidRPr="00EA6C7A">
        <w:t>part</w:t>
      </w:r>
      <w:proofErr w:type="spellEnd"/>
      <w:r w:rsidRPr="00EA6C7A">
        <w:t xml:space="preserve"> </w:t>
      </w:r>
      <w:proofErr w:type="spellStart"/>
      <w:r w:rsidRPr="00EA6C7A">
        <w:t>reads</w:t>
      </w:r>
      <w:proofErr w:type="spellEnd"/>
      <w:r w:rsidRPr="00EA6C7A">
        <w:t xml:space="preserve"> as </w:t>
      </w:r>
      <w:proofErr w:type="spellStart"/>
      <w:r w:rsidRPr="00EA6C7A">
        <w:t>follows</w:t>
      </w:r>
      <w:proofErr w:type="spellEnd"/>
      <w:r w:rsidR="00E247AA" w:rsidRPr="00EA6C7A">
        <w:t>:</w:t>
      </w:r>
    </w:p>
    <w:p w14:paraId="7EF2029F" w14:textId="77777777" w:rsidR="00E247AA" w:rsidRPr="00EA6C7A" w:rsidRDefault="00E247AA" w:rsidP="00077D21">
      <w:pPr>
        <w:pStyle w:val="PrrafodeSentencia"/>
        <w:numPr>
          <w:ilvl w:val="0"/>
          <w:numId w:val="0"/>
        </w:numPr>
        <w:ind w:left="360"/>
      </w:pPr>
    </w:p>
    <w:p w14:paraId="255B94DC" w14:textId="77777777" w:rsidR="00E247AA" w:rsidRPr="00EA6C7A" w:rsidRDefault="00E247AA" w:rsidP="00343CF1">
      <w:pPr>
        <w:autoSpaceDE w:val="0"/>
        <w:autoSpaceDN w:val="0"/>
        <w:adjustRightInd w:val="0"/>
        <w:spacing w:line="240" w:lineRule="auto"/>
        <w:ind w:left="720" w:right="630"/>
        <w:jc w:val="both"/>
        <w:rPr>
          <w:rFonts w:ascii="Verdana" w:hAnsi="Verdana" w:cs="Arial"/>
          <w:iCs/>
          <w:sz w:val="20"/>
          <w:szCs w:val="20"/>
          <w:lang w:val="en-US"/>
        </w:rPr>
      </w:pPr>
      <w:r w:rsidRPr="00EA6C7A">
        <w:rPr>
          <w:rFonts w:ascii="Verdana" w:hAnsi="Verdana"/>
          <w:iCs/>
          <w:sz w:val="20"/>
          <w:szCs w:val="20"/>
          <w:lang w:val="en-US" w:eastAsia="pt-BR"/>
        </w:rPr>
        <w:t xml:space="preserve">11. </w:t>
      </w:r>
      <w:r w:rsidR="00343CF1" w:rsidRPr="00EA6C7A">
        <w:rPr>
          <w:rFonts w:ascii="Verdana" w:hAnsi="Verdana" w:cs="Arial"/>
          <w:iCs/>
          <w:sz w:val="20"/>
          <w:szCs w:val="20"/>
          <w:lang w:val="en-US"/>
        </w:rPr>
        <w:t xml:space="preserve">Paragraph 2 requires States parties to guarantee the right to freedom of expression, including the right to seek, receive and impart information and ideas of all kinds regardless of frontiers. This right includes the expression and receipt of communications of every form of idea and opinion capable of transmission to others, subject to the provisions in article 19, paragraph 3, and article 20. It includes political discourse, commentary on one’s own and on public affairs, canvassing, discussion of human rights, journalism, cultural and artistic expression, teaching, and religious discourse. It may also include commercial advertising. The scope of paragraph 2 embraces even expression that may be </w:t>
      </w:r>
      <w:r w:rsidR="00343CF1" w:rsidRPr="00EA6C7A">
        <w:rPr>
          <w:rFonts w:ascii="Verdana" w:hAnsi="Verdana" w:cs="Arial"/>
          <w:iCs/>
          <w:sz w:val="20"/>
          <w:szCs w:val="20"/>
          <w:lang w:val="en-US"/>
        </w:rPr>
        <w:lastRenderedPageBreak/>
        <w:t>regarded as deeply offensive, although such expression may be restricted in accordance with the provisions of article 19, paragraph 3 and article 20.</w:t>
      </w:r>
    </w:p>
    <w:p w14:paraId="456A8294" w14:textId="77777777" w:rsidR="00343CF1" w:rsidRPr="00EA6C7A" w:rsidRDefault="00E247AA" w:rsidP="00343CF1">
      <w:pPr>
        <w:spacing w:line="240" w:lineRule="auto"/>
        <w:ind w:left="720" w:right="630"/>
        <w:jc w:val="both"/>
        <w:rPr>
          <w:rFonts w:ascii="Verdana" w:hAnsi="Verdana"/>
          <w:i/>
          <w:iCs/>
          <w:sz w:val="20"/>
          <w:szCs w:val="20"/>
          <w:lang w:val="en-US"/>
        </w:rPr>
      </w:pPr>
      <w:r w:rsidRPr="00EA6C7A">
        <w:rPr>
          <w:rFonts w:ascii="Verdana" w:hAnsi="Verdana"/>
          <w:iCs/>
          <w:sz w:val="20"/>
          <w:szCs w:val="20"/>
          <w:lang w:val="en-US" w:eastAsia="pt-BR"/>
        </w:rPr>
        <w:t xml:space="preserve">12. </w:t>
      </w:r>
      <w:r w:rsidR="00343CF1" w:rsidRPr="00EA6C7A">
        <w:rPr>
          <w:rFonts w:ascii="Verdana" w:hAnsi="Verdana" w:cs="Arial"/>
          <w:iCs/>
          <w:sz w:val="20"/>
          <w:szCs w:val="20"/>
          <w:lang w:val="en-US"/>
        </w:rPr>
        <w:t xml:space="preserve">Paragraph 2 protects all forms of expression and the means of their dissemination. Such forms includes spoken, written and sign language and such non-verbal expression as images and objects of art. Means of expression include books, newspapers, pamphlets, posters, banners, </w:t>
      </w:r>
      <w:r w:rsidR="00343CF1" w:rsidRPr="00EA6C7A">
        <w:rPr>
          <w:rFonts w:ascii="Verdana" w:hAnsi="Verdana" w:cs="Arial"/>
          <w:b/>
          <w:bCs/>
          <w:iCs/>
          <w:sz w:val="20"/>
          <w:szCs w:val="20"/>
          <w:lang w:val="en-US"/>
        </w:rPr>
        <w:t>dress</w:t>
      </w:r>
      <w:r w:rsidR="00343CF1" w:rsidRPr="00EA6C7A">
        <w:rPr>
          <w:rFonts w:ascii="Verdana" w:hAnsi="Verdana" w:cs="Arial"/>
          <w:iCs/>
          <w:sz w:val="20"/>
          <w:szCs w:val="20"/>
          <w:lang w:val="en-US"/>
        </w:rPr>
        <w:t xml:space="preserve"> and legal submissions. They include all forms of audio-visual as well as electronic and internet-based modes of expression</w:t>
      </w:r>
      <w:r w:rsidR="00343CF1" w:rsidRPr="00EA6C7A">
        <w:rPr>
          <w:rFonts w:ascii="Verdana" w:hAnsi="Verdana" w:cs="Arial"/>
          <w:i/>
          <w:iCs/>
          <w:sz w:val="20"/>
          <w:szCs w:val="20"/>
          <w:lang w:val="en-US"/>
        </w:rPr>
        <w:t xml:space="preserve"> </w:t>
      </w:r>
      <w:r w:rsidR="00343CF1" w:rsidRPr="00EA6C7A">
        <w:rPr>
          <w:rFonts w:ascii="Verdana" w:hAnsi="Verdana" w:cs="Arial"/>
          <w:sz w:val="20"/>
          <w:szCs w:val="20"/>
          <w:lang w:val="en-US"/>
        </w:rPr>
        <w:t>(bold added</w:t>
      </w:r>
      <w:r w:rsidR="00343CF1" w:rsidRPr="00EA6C7A">
        <w:rPr>
          <w:rFonts w:ascii="Verdana" w:hAnsi="Verdana" w:cs="Arial"/>
          <w:i/>
          <w:iCs/>
          <w:sz w:val="20"/>
          <w:szCs w:val="20"/>
          <w:lang w:val="en-US"/>
        </w:rPr>
        <w:t>).</w:t>
      </w:r>
    </w:p>
    <w:p w14:paraId="22204C9F" w14:textId="77777777" w:rsidR="00E247AA" w:rsidRPr="00EA6C7A" w:rsidRDefault="00012B3C" w:rsidP="00077D21">
      <w:pPr>
        <w:pStyle w:val="PrrafodeSentencia"/>
        <w:rPr>
          <w:lang w:val="en-US"/>
        </w:rPr>
      </w:pPr>
      <w:r w:rsidRPr="00EA6C7A">
        <w:rPr>
          <w:lang w:val="en-US"/>
        </w:rPr>
        <w:t>The problem of coerci</w:t>
      </w:r>
      <w:r w:rsidR="003512D0" w:rsidRPr="00EA6C7A">
        <w:rPr>
          <w:lang w:val="en-US"/>
        </w:rPr>
        <w:t>on</w:t>
      </w:r>
      <w:r w:rsidRPr="00EA6C7A">
        <w:rPr>
          <w:lang w:val="en-US"/>
        </w:rPr>
        <w:t xml:space="preserve">, either by </w:t>
      </w:r>
      <w:r w:rsidR="003512D0" w:rsidRPr="00EA6C7A">
        <w:rPr>
          <w:lang w:val="en-US"/>
        </w:rPr>
        <w:t xml:space="preserve">the use of </w:t>
      </w:r>
      <w:r w:rsidRPr="00EA6C7A">
        <w:rPr>
          <w:lang w:val="en-US"/>
        </w:rPr>
        <w:t>violence such as, for example, in Uganda where women were attacked merely because they used short skirts,</w:t>
      </w:r>
      <w:r w:rsidR="00E247AA" w:rsidRPr="00EA6C7A">
        <w:rPr>
          <w:rStyle w:val="Refdenotaalpie"/>
          <w:lang w:val="en-US"/>
        </w:rPr>
        <w:footnoteReference w:id="364"/>
      </w:r>
      <w:r w:rsidRPr="00EA6C7A">
        <w:rPr>
          <w:lang w:val="en-US"/>
        </w:rPr>
        <w:t xml:space="preserve"> or more subtly, </w:t>
      </w:r>
      <w:r w:rsidR="003512D0" w:rsidRPr="00EA6C7A">
        <w:rPr>
          <w:lang w:val="en-US"/>
        </w:rPr>
        <w:t>by</w:t>
      </w:r>
      <w:r w:rsidRPr="00EA6C7A">
        <w:rPr>
          <w:lang w:val="en-US"/>
        </w:rPr>
        <w:t xml:space="preserve"> the certainty that their safety will not be guaranteed by the State</w:t>
      </w:r>
      <w:r w:rsidR="003512D0" w:rsidRPr="00EA6C7A">
        <w:rPr>
          <w:lang w:val="en-US"/>
        </w:rPr>
        <w:t>,</w:t>
      </w:r>
      <w:r w:rsidRPr="00EA6C7A">
        <w:rPr>
          <w:lang w:val="en-US"/>
        </w:rPr>
        <w:t xml:space="preserve"> has the effect of real prior censorship, felt even before a women chooses or buys the clothes she will use</w:t>
      </w:r>
      <w:r w:rsidR="003512D0" w:rsidRPr="00EA6C7A">
        <w:rPr>
          <w:lang w:val="en-US"/>
        </w:rPr>
        <w:t xml:space="preserve"> revealing </w:t>
      </w:r>
      <w:r w:rsidRPr="00EA6C7A">
        <w:rPr>
          <w:lang w:val="en-US"/>
        </w:rPr>
        <w:t>how she present</w:t>
      </w:r>
      <w:r w:rsidR="003512D0" w:rsidRPr="00EA6C7A">
        <w:rPr>
          <w:lang w:val="en-US"/>
        </w:rPr>
        <w:t>s</w:t>
      </w:r>
      <w:r w:rsidRPr="00EA6C7A">
        <w:rPr>
          <w:lang w:val="en-US"/>
        </w:rPr>
        <w:t xml:space="preserve"> herself physically to the world. </w:t>
      </w:r>
    </w:p>
    <w:p w14:paraId="4C2835F8" w14:textId="77777777" w:rsidR="00E247AA" w:rsidRPr="00EA6C7A" w:rsidRDefault="00E247AA" w:rsidP="00077D21">
      <w:pPr>
        <w:pStyle w:val="PrrafodeSentencia"/>
        <w:numPr>
          <w:ilvl w:val="0"/>
          <w:numId w:val="0"/>
        </w:numPr>
        <w:ind w:left="360"/>
        <w:rPr>
          <w:lang w:val="en-US"/>
        </w:rPr>
      </w:pPr>
    </w:p>
    <w:p w14:paraId="3DAB4C80" w14:textId="77777777" w:rsidR="00012B3C" w:rsidRPr="00EA6C7A" w:rsidRDefault="00012B3C" w:rsidP="00077D21">
      <w:pPr>
        <w:pStyle w:val="PrrafodeSentencia"/>
        <w:rPr>
          <w:lang w:val="en-US"/>
        </w:rPr>
      </w:pPr>
      <w:r w:rsidRPr="00EA6C7A">
        <w:rPr>
          <w:lang w:val="en-US"/>
        </w:rPr>
        <w:t xml:space="preserve">Just </w:t>
      </w:r>
      <w:r w:rsidR="003512D0" w:rsidRPr="00EA6C7A">
        <w:rPr>
          <w:lang w:val="en-US"/>
        </w:rPr>
        <w:t>as an illustration – since</w:t>
      </w:r>
      <w:r w:rsidRPr="00EA6C7A">
        <w:rPr>
          <w:lang w:val="en-US"/>
        </w:rPr>
        <w:t xml:space="preserve"> no record of a specific </w:t>
      </w:r>
      <w:r w:rsidR="003512D0" w:rsidRPr="00EA6C7A">
        <w:rPr>
          <w:lang w:val="en-US"/>
        </w:rPr>
        <w:t>study</w:t>
      </w:r>
      <w:r w:rsidRPr="00EA6C7A">
        <w:rPr>
          <w:lang w:val="en-US"/>
        </w:rPr>
        <w:t xml:space="preserve"> on Guatemala could be found</w:t>
      </w:r>
      <w:r w:rsidR="003512D0" w:rsidRPr="00EA6C7A">
        <w:rPr>
          <w:lang w:val="en-US"/>
        </w:rPr>
        <w:t xml:space="preserve"> – this</w:t>
      </w:r>
      <w:r w:rsidRPr="00EA6C7A">
        <w:rPr>
          <w:lang w:val="en-US"/>
        </w:rPr>
        <w:t xml:space="preserve"> perception that women who express some degree of autonomy or sexual freedom </w:t>
      </w:r>
      <w:r w:rsidR="003512D0" w:rsidRPr="00EA6C7A">
        <w:rPr>
          <w:lang w:val="en-US"/>
        </w:rPr>
        <w:t>through their cloth</w:t>
      </w:r>
      <w:r w:rsidR="00901AC8" w:rsidRPr="00EA6C7A">
        <w:rPr>
          <w:lang w:val="en-US"/>
        </w:rPr>
        <w:t>ing</w:t>
      </w:r>
      <w:r w:rsidR="003512D0" w:rsidRPr="00EA6C7A">
        <w:rPr>
          <w:lang w:val="en-US"/>
        </w:rPr>
        <w:t xml:space="preserve"> </w:t>
      </w:r>
      <w:r w:rsidRPr="00EA6C7A">
        <w:rPr>
          <w:lang w:val="en-US"/>
        </w:rPr>
        <w:t xml:space="preserve">may </w:t>
      </w:r>
      <w:r w:rsidR="003512D0" w:rsidRPr="00EA6C7A">
        <w:rPr>
          <w:lang w:val="en-US"/>
        </w:rPr>
        <w:t>be subject to</w:t>
      </w:r>
      <w:r w:rsidRPr="00EA6C7A">
        <w:rPr>
          <w:lang w:val="en-US"/>
        </w:rPr>
        <w:t xml:space="preserve"> violence is reflected, for example, in a 2014 </w:t>
      </w:r>
      <w:r w:rsidR="00AA5AE0" w:rsidRPr="00EA6C7A">
        <w:rPr>
          <w:lang w:val="en-US"/>
        </w:rPr>
        <w:t xml:space="preserve">study </w:t>
      </w:r>
      <w:r w:rsidR="003512D0" w:rsidRPr="00EA6C7A">
        <w:rPr>
          <w:lang w:val="en-US"/>
        </w:rPr>
        <w:t>conducted</w:t>
      </w:r>
      <w:r w:rsidR="00AA5AE0" w:rsidRPr="00EA6C7A">
        <w:rPr>
          <w:lang w:val="en-US"/>
        </w:rPr>
        <w:t xml:space="preserve"> i</w:t>
      </w:r>
      <w:r w:rsidRPr="00EA6C7A">
        <w:rPr>
          <w:lang w:val="en-US"/>
        </w:rPr>
        <w:t>n Brazil</w:t>
      </w:r>
      <w:r w:rsidR="00AA5AE0" w:rsidRPr="00EA6C7A">
        <w:rPr>
          <w:lang w:val="en-US"/>
        </w:rPr>
        <w:t xml:space="preserve"> by the Instituted for Applied Economic Research (IPEA),</w:t>
      </w:r>
      <w:r w:rsidR="00AA5AE0" w:rsidRPr="00EA6C7A">
        <w:rPr>
          <w:rStyle w:val="Refdenotaalpie"/>
          <w:lang w:val="en-US"/>
        </w:rPr>
        <w:footnoteReference w:id="365"/>
      </w:r>
      <w:r w:rsidR="00AA5AE0" w:rsidRPr="00EA6C7A">
        <w:rPr>
          <w:lang w:val="en-US"/>
        </w:rPr>
        <w:t xml:space="preserve"> which noted that 26% of those interviewed agreed, partially, with the statement that “women who use clothes that show off their body deserve </w:t>
      </w:r>
      <w:r w:rsidR="003512D0" w:rsidRPr="00EA6C7A">
        <w:rPr>
          <w:lang w:val="en-US"/>
        </w:rPr>
        <w:t>to be</w:t>
      </w:r>
      <w:r w:rsidR="00AA5AE0" w:rsidRPr="00EA6C7A">
        <w:rPr>
          <w:lang w:val="en-US"/>
        </w:rPr>
        <w:t xml:space="preserve"> attacked.” Similarly, research conducted by the United Nations Commission on the Status of Women (CSW) indicated that 95% of women in Delhi do not feel safe in public spaces, while 75% of the men interviewed agreed with the statement that “women provoke men by the way they dress.”</w:t>
      </w:r>
      <w:r w:rsidR="00AA5AE0" w:rsidRPr="00EA6C7A">
        <w:rPr>
          <w:rStyle w:val="Refdenotaalpie"/>
          <w:lang w:val="en-US"/>
        </w:rPr>
        <w:footnoteReference w:id="366"/>
      </w:r>
    </w:p>
    <w:p w14:paraId="6FA2A96E" w14:textId="77777777" w:rsidR="00E247AA" w:rsidRPr="00EA6C7A" w:rsidRDefault="00E247AA" w:rsidP="00077D21">
      <w:pPr>
        <w:pStyle w:val="PrrafodeSentencia"/>
        <w:numPr>
          <w:ilvl w:val="0"/>
          <w:numId w:val="0"/>
        </w:numPr>
        <w:rPr>
          <w:lang w:val="en-US"/>
        </w:rPr>
      </w:pPr>
    </w:p>
    <w:p w14:paraId="4E4AE67C" w14:textId="77777777" w:rsidR="00E247AA" w:rsidRPr="00EA6C7A" w:rsidRDefault="00AA5AE0" w:rsidP="00077D21">
      <w:pPr>
        <w:pStyle w:val="PrrafodeSentencia"/>
        <w:rPr>
          <w:lang w:val="en-US"/>
        </w:rPr>
      </w:pPr>
      <w:r w:rsidRPr="00EA6C7A">
        <w:rPr>
          <w:lang w:val="en-US"/>
        </w:rPr>
        <w:t xml:space="preserve">With particular relevance for the case examined, it should be underscored that this scenario of insecurity is equally serious in </w:t>
      </w:r>
      <w:r w:rsidR="00FC7D3B" w:rsidRPr="00EA6C7A">
        <w:rPr>
          <w:lang w:val="en-US"/>
        </w:rPr>
        <w:t>Guatemala</w:t>
      </w:r>
      <w:r w:rsidR="00E247AA" w:rsidRPr="00EA6C7A">
        <w:rPr>
          <w:lang w:val="en-US"/>
        </w:rPr>
        <w:t xml:space="preserve">. </w:t>
      </w:r>
      <w:r w:rsidRPr="00EA6C7A">
        <w:rPr>
          <w:lang w:val="en-US"/>
        </w:rPr>
        <w:t>The report</w:t>
      </w:r>
      <w:r w:rsidR="00E247AA" w:rsidRPr="00EA6C7A">
        <w:rPr>
          <w:lang w:val="en-US"/>
        </w:rPr>
        <w:t xml:space="preserve"> “</w:t>
      </w:r>
      <w:r w:rsidR="00E247AA" w:rsidRPr="00EA6C7A">
        <w:rPr>
          <w:i/>
          <w:iCs/>
          <w:lang w:val="en-US"/>
        </w:rPr>
        <w:t>Guatemala: Memoria del Silencio</w:t>
      </w:r>
      <w:r w:rsidR="00E247AA" w:rsidRPr="00EA6C7A">
        <w:rPr>
          <w:lang w:val="en-US"/>
        </w:rPr>
        <w:t>”</w:t>
      </w:r>
      <w:r w:rsidR="0096418F" w:rsidRPr="00EA6C7A">
        <w:rPr>
          <w:lang w:val="en-US"/>
        </w:rPr>
        <w:t xml:space="preserve"> of the Commission</w:t>
      </w:r>
      <w:r w:rsidR="00E247AA" w:rsidRPr="00EA6C7A">
        <w:rPr>
          <w:lang w:val="en-US"/>
        </w:rPr>
        <w:t xml:space="preserve"> </w:t>
      </w:r>
      <w:r w:rsidRPr="00EA6C7A">
        <w:rPr>
          <w:lang w:val="en-US"/>
        </w:rPr>
        <w:t xml:space="preserve">for Historical Clarification </w:t>
      </w:r>
      <w:r w:rsidR="00E247AA" w:rsidRPr="00EA6C7A">
        <w:rPr>
          <w:lang w:val="en-US"/>
        </w:rPr>
        <w:t xml:space="preserve">(CEH) </w:t>
      </w:r>
      <w:r w:rsidR="003512D0" w:rsidRPr="00EA6C7A">
        <w:rPr>
          <w:lang w:val="en-US"/>
        </w:rPr>
        <w:t>indicated</w:t>
      </w:r>
      <w:r w:rsidRPr="00EA6C7A">
        <w:rPr>
          <w:lang w:val="en-US"/>
        </w:rPr>
        <w:t xml:space="preserve"> that, during the armed conf</w:t>
      </w:r>
      <w:r w:rsidR="00AF4737" w:rsidRPr="00EA6C7A">
        <w:rPr>
          <w:lang w:val="en-US"/>
        </w:rPr>
        <w:t>l</w:t>
      </w:r>
      <w:r w:rsidRPr="00EA6C7A">
        <w:rPr>
          <w:lang w:val="en-US"/>
        </w:rPr>
        <w:t>ict, women were victims of all forms of human rights violations, including specific gender-b</w:t>
      </w:r>
      <w:r w:rsidR="00AF4737" w:rsidRPr="00EA6C7A">
        <w:rPr>
          <w:lang w:val="en-US"/>
        </w:rPr>
        <w:t>a</w:t>
      </w:r>
      <w:r w:rsidRPr="00EA6C7A">
        <w:rPr>
          <w:lang w:val="en-US"/>
        </w:rPr>
        <w:t xml:space="preserve">sed violence. The CEH concluded that the debasement of women was absolute, and this allowed members of the Army to perpetrate this violence with total impunity, a process that did not </w:t>
      </w:r>
      <w:r w:rsidR="00AF4737" w:rsidRPr="00EA6C7A">
        <w:rPr>
          <w:lang w:val="en-US"/>
        </w:rPr>
        <w:t>stop with the end of the conflict</w:t>
      </w:r>
      <w:r w:rsidR="003512D0" w:rsidRPr="00EA6C7A">
        <w:rPr>
          <w:lang w:val="en-US"/>
        </w:rPr>
        <w:t>;</w:t>
      </w:r>
      <w:r w:rsidR="00E247AA" w:rsidRPr="00EA6C7A">
        <w:rPr>
          <w:vertAlign w:val="superscript"/>
        </w:rPr>
        <w:footnoteReference w:id="367"/>
      </w:r>
      <w:r w:rsidR="00AF4737" w:rsidRPr="00EA6C7A">
        <w:rPr>
          <w:lang w:val="en-US"/>
        </w:rPr>
        <w:t xml:space="preserve"> a situation already verified by the Court in the context of </w:t>
      </w:r>
      <w:r w:rsidR="007E6E93" w:rsidRPr="00EA6C7A">
        <w:rPr>
          <w:lang w:val="en-US"/>
        </w:rPr>
        <w:t>the case of</w:t>
      </w:r>
      <w:r w:rsidR="001914FC" w:rsidRPr="00EA6C7A">
        <w:rPr>
          <w:lang w:val="en-US"/>
        </w:rPr>
        <w:t xml:space="preserve"> </w:t>
      </w:r>
      <w:r w:rsidR="00E247AA" w:rsidRPr="00EA6C7A">
        <w:rPr>
          <w:i/>
          <w:lang w:val="en-US"/>
        </w:rPr>
        <w:t xml:space="preserve">Veliz </w:t>
      </w:r>
      <w:r w:rsidR="006A51FD" w:rsidRPr="00EA6C7A">
        <w:rPr>
          <w:i/>
          <w:lang w:val="en-US"/>
        </w:rPr>
        <w:t>Franco et al.</w:t>
      </w:r>
    </w:p>
    <w:p w14:paraId="2A78F0E6" w14:textId="77777777" w:rsidR="00E247AA" w:rsidRPr="00EA6C7A" w:rsidRDefault="00E247AA" w:rsidP="00077D21">
      <w:pPr>
        <w:pStyle w:val="PrrafodeSentencia"/>
        <w:numPr>
          <w:ilvl w:val="0"/>
          <w:numId w:val="0"/>
        </w:numPr>
        <w:ind w:left="360"/>
        <w:rPr>
          <w:lang w:val="en-US"/>
        </w:rPr>
      </w:pPr>
    </w:p>
    <w:p w14:paraId="7CBE76D3" w14:textId="77777777" w:rsidR="00E247AA" w:rsidRPr="00EA6C7A" w:rsidRDefault="00AF4737" w:rsidP="00077D21">
      <w:pPr>
        <w:pStyle w:val="PrrafodeSentencia"/>
        <w:rPr>
          <w:lang w:val="en-US"/>
        </w:rPr>
      </w:pPr>
      <w:r w:rsidRPr="00EA6C7A">
        <w:rPr>
          <w:lang w:val="en-US"/>
        </w:rPr>
        <w:t xml:space="preserve">It is important to </w:t>
      </w:r>
      <w:r w:rsidR="0084286E" w:rsidRPr="00EA6C7A">
        <w:rPr>
          <w:lang w:val="en-US"/>
        </w:rPr>
        <w:t>clarify</w:t>
      </w:r>
      <w:r w:rsidRPr="00EA6C7A">
        <w:rPr>
          <w:lang w:val="en-US"/>
        </w:rPr>
        <w:t xml:space="preserve"> that this opinion does not affirm or argue that gender-based violence has an umbilical link to clothing. There is an abundance of data that reveal that women are routinely victims of violence and assault </w:t>
      </w:r>
      <w:r w:rsidR="0084286E" w:rsidRPr="00EA6C7A">
        <w:rPr>
          <w:lang w:val="en-US"/>
        </w:rPr>
        <w:t>regardless</w:t>
      </w:r>
      <w:r w:rsidRPr="00EA6C7A">
        <w:rPr>
          <w:lang w:val="en-US"/>
        </w:rPr>
        <w:t xml:space="preserve"> of the modesty of their clothes. </w:t>
      </w:r>
      <w:r w:rsidR="003109C5" w:rsidRPr="00EA6C7A">
        <w:rPr>
          <w:lang w:val="en-US"/>
        </w:rPr>
        <w:t>United Nations d</w:t>
      </w:r>
      <w:r w:rsidRPr="00EA6C7A">
        <w:rPr>
          <w:lang w:val="en-US"/>
        </w:rPr>
        <w:t xml:space="preserve">ata </w:t>
      </w:r>
      <w:r w:rsidR="003109C5" w:rsidRPr="00EA6C7A">
        <w:rPr>
          <w:lang w:val="en-US"/>
        </w:rPr>
        <w:t>indicate that one in three women have experienced physical or sexual violence,</w:t>
      </w:r>
      <w:r w:rsidR="00E247AA" w:rsidRPr="00EA6C7A">
        <w:rPr>
          <w:rStyle w:val="Refdenotaalpie"/>
          <w:lang w:val="en-US"/>
        </w:rPr>
        <w:footnoteReference w:id="368"/>
      </w:r>
      <w:r w:rsidRPr="00EA6C7A">
        <w:rPr>
          <w:lang w:val="en-US"/>
        </w:rPr>
        <w:t xml:space="preserve"> which the </w:t>
      </w:r>
      <w:r w:rsidR="00E247AA" w:rsidRPr="00EA6C7A">
        <w:rPr>
          <w:iCs/>
          <w:lang w:val="en-US"/>
        </w:rPr>
        <w:t>Co</w:t>
      </w:r>
      <w:r w:rsidRPr="00EA6C7A">
        <w:rPr>
          <w:iCs/>
          <w:lang w:val="en-US"/>
        </w:rPr>
        <w:t>m</w:t>
      </w:r>
      <w:r w:rsidR="00E247AA" w:rsidRPr="00EA6C7A">
        <w:rPr>
          <w:iCs/>
          <w:lang w:val="en-US"/>
        </w:rPr>
        <w:t>mission on the Status of Women</w:t>
      </w:r>
      <w:r w:rsidRPr="00EA6C7A">
        <w:rPr>
          <w:iCs/>
          <w:lang w:val="en-US"/>
        </w:rPr>
        <w:t xml:space="preserve"> (CSW)</w:t>
      </w:r>
      <w:r w:rsidR="00E247AA" w:rsidRPr="00EA6C7A">
        <w:rPr>
          <w:iCs/>
          <w:lang w:val="en-US"/>
        </w:rPr>
        <w:t xml:space="preserve"> </w:t>
      </w:r>
      <w:r w:rsidR="003109C5" w:rsidRPr="00EA6C7A">
        <w:rPr>
          <w:lang w:val="en-US"/>
        </w:rPr>
        <w:t>referred to as</w:t>
      </w:r>
      <w:r w:rsidRPr="00EA6C7A">
        <w:rPr>
          <w:lang w:val="en-US"/>
        </w:rPr>
        <w:t xml:space="preserve"> a </w:t>
      </w:r>
      <w:r w:rsidR="003109C5" w:rsidRPr="00EA6C7A">
        <w:rPr>
          <w:lang w:val="en-US"/>
        </w:rPr>
        <w:t xml:space="preserve">global </w:t>
      </w:r>
      <w:r w:rsidRPr="00EA6C7A">
        <w:rPr>
          <w:lang w:val="en-US"/>
        </w:rPr>
        <w:t>pandemic</w:t>
      </w:r>
      <w:r w:rsidR="0084286E" w:rsidRPr="00EA6C7A">
        <w:rPr>
          <w:lang w:val="en-US"/>
        </w:rPr>
        <w:t>; although it</w:t>
      </w:r>
      <w:r w:rsidRPr="00EA6C7A">
        <w:rPr>
          <w:lang w:val="en-US"/>
        </w:rPr>
        <w:t xml:space="preserve"> did not propose – in this or </w:t>
      </w:r>
      <w:r w:rsidR="0084286E" w:rsidRPr="00EA6C7A">
        <w:rPr>
          <w:lang w:val="en-US"/>
        </w:rPr>
        <w:t xml:space="preserve">any </w:t>
      </w:r>
      <w:r w:rsidRPr="00EA6C7A">
        <w:rPr>
          <w:lang w:val="en-US"/>
        </w:rPr>
        <w:t>other global forums – that a change in clothing could have any impact on th</w:t>
      </w:r>
      <w:r w:rsidR="003109C5" w:rsidRPr="00EA6C7A">
        <w:rPr>
          <w:lang w:val="en-US"/>
        </w:rPr>
        <w:t>is</w:t>
      </w:r>
      <w:r w:rsidRPr="00EA6C7A">
        <w:rPr>
          <w:lang w:val="en-US"/>
        </w:rPr>
        <w:t xml:space="preserve"> number. </w:t>
      </w:r>
      <w:r w:rsidR="003109C5" w:rsidRPr="00EA6C7A">
        <w:rPr>
          <w:lang w:val="en-US"/>
        </w:rPr>
        <w:t>The</w:t>
      </w:r>
      <w:r w:rsidRPr="00EA6C7A">
        <w:rPr>
          <w:lang w:val="en-US"/>
        </w:rPr>
        <w:t xml:space="preserve"> alarming data gathered by the UN</w:t>
      </w:r>
      <w:r w:rsidR="003109C5" w:rsidRPr="00EA6C7A">
        <w:rPr>
          <w:lang w:val="en-US"/>
        </w:rPr>
        <w:t xml:space="preserve"> underscores </w:t>
      </w:r>
      <w:r w:rsidRPr="00EA6C7A">
        <w:rPr>
          <w:lang w:val="en-US"/>
        </w:rPr>
        <w:t>that</w:t>
      </w:r>
      <w:r w:rsidR="00E247AA" w:rsidRPr="00EA6C7A">
        <w:rPr>
          <w:lang w:val="en-US"/>
        </w:rPr>
        <w:t xml:space="preserve"> 2</w:t>
      </w:r>
      <w:r w:rsidRPr="00EA6C7A">
        <w:rPr>
          <w:lang w:val="en-US"/>
        </w:rPr>
        <w:t>.</w:t>
      </w:r>
      <w:r w:rsidR="00E247AA" w:rsidRPr="00EA6C7A">
        <w:rPr>
          <w:lang w:val="en-US"/>
        </w:rPr>
        <w:t>6 bill</w:t>
      </w:r>
      <w:r w:rsidRPr="00EA6C7A">
        <w:rPr>
          <w:lang w:val="en-US"/>
        </w:rPr>
        <w:t>i</w:t>
      </w:r>
      <w:r w:rsidR="00E247AA" w:rsidRPr="00EA6C7A">
        <w:rPr>
          <w:lang w:val="en-US"/>
        </w:rPr>
        <w:t>on</w:t>
      </w:r>
      <w:r w:rsidRPr="00EA6C7A">
        <w:rPr>
          <w:lang w:val="en-US"/>
        </w:rPr>
        <w:t xml:space="preserve"> women live in countries where rape committed by the</w:t>
      </w:r>
      <w:r w:rsidR="0084286E" w:rsidRPr="00EA6C7A">
        <w:rPr>
          <w:lang w:val="en-US"/>
        </w:rPr>
        <w:t>ir</w:t>
      </w:r>
      <w:r w:rsidRPr="00EA6C7A">
        <w:rPr>
          <w:lang w:val="en-US"/>
        </w:rPr>
        <w:t xml:space="preserve"> husband is not criminalized, so that not even institutions traditionally linked to </w:t>
      </w:r>
      <w:r w:rsidR="003109C5" w:rsidRPr="00EA6C7A">
        <w:rPr>
          <w:lang w:val="en-US"/>
        </w:rPr>
        <w:t>decorum</w:t>
      </w:r>
      <w:r w:rsidRPr="00EA6C7A">
        <w:rPr>
          <w:lang w:val="en-US"/>
        </w:rPr>
        <w:t xml:space="preserve"> – such as marriage – offer effective protection against violence. </w:t>
      </w:r>
      <w:r w:rsidR="003109C5" w:rsidRPr="00EA6C7A">
        <w:rPr>
          <w:lang w:val="en-US"/>
        </w:rPr>
        <w:t xml:space="preserve">According to European Union data, between </w:t>
      </w:r>
      <w:r w:rsidR="00E247AA" w:rsidRPr="00EA6C7A">
        <w:rPr>
          <w:lang w:val="en-US"/>
        </w:rPr>
        <w:t>45%</w:t>
      </w:r>
      <w:r w:rsidR="00D948A1" w:rsidRPr="00EA6C7A">
        <w:rPr>
          <w:lang w:val="en-US"/>
        </w:rPr>
        <w:t xml:space="preserve"> and </w:t>
      </w:r>
      <w:r w:rsidR="00E247AA" w:rsidRPr="00EA6C7A">
        <w:rPr>
          <w:lang w:val="en-US"/>
        </w:rPr>
        <w:t xml:space="preserve">55% </w:t>
      </w:r>
      <w:r w:rsidR="003109C5" w:rsidRPr="00EA6C7A">
        <w:rPr>
          <w:lang w:val="en-US"/>
        </w:rPr>
        <w:t xml:space="preserve">of women suffer sexual harassment </w:t>
      </w:r>
      <w:r w:rsidR="0084286E" w:rsidRPr="00EA6C7A">
        <w:rPr>
          <w:lang w:val="en-US"/>
        </w:rPr>
        <w:t>starting when they</w:t>
      </w:r>
      <w:r w:rsidR="003109C5" w:rsidRPr="00EA6C7A">
        <w:rPr>
          <w:lang w:val="en-US"/>
        </w:rPr>
        <w:t xml:space="preserve"> </w:t>
      </w:r>
      <w:r w:rsidR="005248C1" w:rsidRPr="00EA6C7A">
        <w:rPr>
          <w:lang w:val="en-US"/>
        </w:rPr>
        <w:t>are</w:t>
      </w:r>
      <w:r w:rsidR="003109C5" w:rsidRPr="00EA6C7A">
        <w:rPr>
          <w:lang w:val="en-US"/>
        </w:rPr>
        <w:t xml:space="preserve"> 15 years</w:t>
      </w:r>
      <w:r w:rsidR="005248C1" w:rsidRPr="00EA6C7A">
        <w:rPr>
          <w:lang w:val="en-US"/>
        </w:rPr>
        <w:t xml:space="preserve"> of age</w:t>
      </w:r>
      <w:r w:rsidR="00E247AA" w:rsidRPr="00EA6C7A">
        <w:rPr>
          <w:lang w:val="en-US"/>
        </w:rPr>
        <w:t>.</w:t>
      </w:r>
    </w:p>
    <w:p w14:paraId="31E18399" w14:textId="77777777" w:rsidR="00E247AA" w:rsidRPr="00EA6C7A" w:rsidRDefault="00E247AA" w:rsidP="00077D21">
      <w:pPr>
        <w:pStyle w:val="PrrafodeSentencia"/>
        <w:numPr>
          <w:ilvl w:val="0"/>
          <w:numId w:val="0"/>
        </w:numPr>
        <w:ind w:left="360"/>
        <w:rPr>
          <w:lang w:val="en-US"/>
        </w:rPr>
      </w:pPr>
    </w:p>
    <w:p w14:paraId="338263AB" w14:textId="77777777" w:rsidR="003109C5" w:rsidRPr="00EA6C7A" w:rsidRDefault="005248C1" w:rsidP="00077D21">
      <w:pPr>
        <w:pStyle w:val="PrrafodeSentencia"/>
        <w:rPr>
          <w:lang w:val="en-US"/>
        </w:rPr>
      </w:pPr>
      <w:r w:rsidRPr="00EA6C7A">
        <w:rPr>
          <w:lang w:val="en-US"/>
        </w:rPr>
        <w:lastRenderedPageBreak/>
        <w:t>That said</w:t>
      </w:r>
      <w:r w:rsidR="003109C5" w:rsidRPr="00EA6C7A">
        <w:rPr>
          <w:lang w:val="en-US"/>
        </w:rPr>
        <w:t xml:space="preserve">, it has been shown that gender preconceptions have an undue impact on investigations, revealing that the punishment of </w:t>
      </w:r>
      <w:r w:rsidR="008C4FF3" w:rsidRPr="00EA6C7A">
        <w:rPr>
          <w:lang w:val="en-US"/>
        </w:rPr>
        <w:t>aggressors</w:t>
      </w:r>
      <w:r w:rsidR="003109C5" w:rsidRPr="00EA6C7A">
        <w:rPr>
          <w:lang w:val="en-US"/>
        </w:rPr>
        <w:t xml:space="preserve"> may depend on an opinion founded on the victim’s physical appearance, her cloth</w:t>
      </w:r>
      <w:r w:rsidR="00901AC8" w:rsidRPr="00EA6C7A">
        <w:rPr>
          <w:lang w:val="en-US"/>
        </w:rPr>
        <w:t>ing</w:t>
      </w:r>
      <w:r w:rsidR="003109C5" w:rsidRPr="00EA6C7A">
        <w:rPr>
          <w:lang w:val="en-US"/>
        </w:rPr>
        <w:t xml:space="preserve">. </w:t>
      </w:r>
      <w:r w:rsidRPr="00EA6C7A">
        <w:rPr>
          <w:lang w:val="en-US"/>
        </w:rPr>
        <w:t>We</w:t>
      </w:r>
      <w:r w:rsidR="003109C5" w:rsidRPr="00EA6C7A">
        <w:rPr>
          <w:lang w:val="en-US"/>
        </w:rPr>
        <w:t xml:space="preserve"> are fac</w:t>
      </w:r>
      <w:r w:rsidRPr="00EA6C7A">
        <w:rPr>
          <w:lang w:val="en-US"/>
        </w:rPr>
        <w:t xml:space="preserve">ed with </w:t>
      </w:r>
      <w:r w:rsidR="003109C5" w:rsidRPr="00EA6C7A">
        <w:rPr>
          <w:lang w:val="en-US"/>
        </w:rPr>
        <w:t xml:space="preserve">a scenario in which women </w:t>
      </w:r>
      <w:r w:rsidR="00425D19" w:rsidRPr="00EA6C7A">
        <w:rPr>
          <w:lang w:val="en-US"/>
        </w:rPr>
        <w:t>are unable to express their culture, individuality, ideas and religious beliefs without suffering coercion.</w:t>
      </w:r>
    </w:p>
    <w:p w14:paraId="2C365DDB" w14:textId="77777777" w:rsidR="00E247AA" w:rsidRPr="00EA6C7A" w:rsidRDefault="00E247AA" w:rsidP="00077D21">
      <w:pPr>
        <w:pStyle w:val="PrrafodeSentencia"/>
        <w:numPr>
          <w:ilvl w:val="0"/>
          <w:numId w:val="0"/>
        </w:numPr>
        <w:rPr>
          <w:lang w:val="en-US"/>
        </w:rPr>
      </w:pPr>
    </w:p>
    <w:p w14:paraId="3CBB6005" w14:textId="77777777" w:rsidR="00425D19" w:rsidRPr="00EA6C7A" w:rsidRDefault="00425D19" w:rsidP="00077D21">
      <w:pPr>
        <w:pStyle w:val="PrrafodeSentencia"/>
        <w:rPr>
          <w:lang w:val="en-US"/>
        </w:rPr>
      </w:pPr>
      <w:r w:rsidRPr="00EA6C7A">
        <w:rPr>
          <w:lang w:val="en-US"/>
        </w:rPr>
        <w:t>The normalization and frequent impunity of the violence specifically experienced by women whose clothes differ from those norma</w:t>
      </w:r>
      <w:r w:rsidR="005248C1" w:rsidRPr="00EA6C7A">
        <w:rPr>
          <w:lang w:val="en-US"/>
        </w:rPr>
        <w:t>l</w:t>
      </w:r>
      <w:r w:rsidRPr="00EA6C7A">
        <w:rPr>
          <w:lang w:val="en-US"/>
        </w:rPr>
        <w:t>l</w:t>
      </w:r>
      <w:r w:rsidR="005248C1" w:rsidRPr="00EA6C7A">
        <w:rPr>
          <w:lang w:val="en-US"/>
        </w:rPr>
        <w:t>y</w:t>
      </w:r>
      <w:r w:rsidRPr="00EA6C7A">
        <w:rPr>
          <w:lang w:val="en-US"/>
        </w:rPr>
        <w:t xml:space="preserve"> worn by members of society prevents clothing being used as a form of freely expressing the individuality, identity, social or political position of women. The implicit message of the ineffect</w:t>
      </w:r>
      <w:r w:rsidR="00901AC8" w:rsidRPr="00EA6C7A">
        <w:rPr>
          <w:lang w:val="en-US"/>
        </w:rPr>
        <w:t>ual</w:t>
      </w:r>
      <w:r w:rsidRPr="00EA6C7A">
        <w:rPr>
          <w:lang w:val="en-US"/>
        </w:rPr>
        <w:t xml:space="preserve"> investigation in these cases is that expressing control of one’s own body by the free choice of clothes may place a woman in a situation of special vulnerability.</w:t>
      </w:r>
    </w:p>
    <w:p w14:paraId="7B5F61E6" w14:textId="77777777" w:rsidR="00E247AA" w:rsidRPr="00EA6C7A" w:rsidRDefault="00E247AA" w:rsidP="00077D21">
      <w:pPr>
        <w:pStyle w:val="PrrafodeSentencia"/>
        <w:numPr>
          <w:ilvl w:val="0"/>
          <w:numId w:val="0"/>
        </w:numPr>
        <w:ind w:left="360"/>
        <w:rPr>
          <w:lang w:val="en-US"/>
        </w:rPr>
      </w:pPr>
    </w:p>
    <w:p w14:paraId="153BBCB4" w14:textId="77777777" w:rsidR="00425D19" w:rsidRPr="00EA6C7A" w:rsidRDefault="00425D19" w:rsidP="00077D21">
      <w:pPr>
        <w:pStyle w:val="PrrafodeSentencia"/>
        <w:rPr>
          <w:lang w:val="en-US"/>
        </w:rPr>
      </w:pPr>
      <w:r w:rsidRPr="00EA6C7A">
        <w:rPr>
          <w:lang w:val="en-US"/>
        </w:rPr>
        <w:t xml:space="preserve">The choice of clothes may be considered not only as </w:t>
      </w:r>
      <w:r w:rsidR="00901AC8" w:rsidRPr="00EA6C7A">
        <w:rPr>
          <w:lang w:val="en-US"/>
        </w:rPr>
        <w:t>the</w:t>
      </w:r>
      <w:r w:rsidRPr="00EA6C7A">
        <w:rPr>
          <w:lang w:val="en-US"/>
        </w:rPr>
        <w:t xml:space="preserve"> exercise of a general personal right, but also as a right to freedom of expression. Thus, a judgment made on the clothes </w:t>
      </w:r>
      <w:r w:rsidR="00901AC8" w:rsidRPr="00EA6C7A">
        <w:rPr>
          <w:lang w:val="en-US"/>
        </w:rPr>
        <w:t xml:space="preserve">chosen </w:t>
      </w:r>
      <w:r w:rsidRPr="00EA6C7A">
        <w:rPr>
          <w:lang w:val="en-US"/>
        </w:rPr>
        <w:t>has an impact on respect for a woman’s identity</w:t>
      </w:r>
      <w:r w:rsidR="00901AC8" w:rsidRPr="00EA6C7A">
        <w:rPr>
          <w:lang w:val="en-US"/>
        </w:rPr>
        <w:t>;</w:t>
      </w:r>
      <w:r w:rsidRPr="00EA6C7A">
        <w:rPr>
          <w:lang w:val="en-US"/>
        </w:rPr>
        <w:t xml:space="preserve"> </w:t>
      </w:r>
      <w:r w:rsidR="00901AC8" w:rsidRPr="00EA6C7A">
        <w:rPr>
          <w:lang w:val="en-US"/>
        </w:rPr>
        <w:t>and this</w:t>
      </w:r>
      <w:r w:rsidRPr="00EA6C7A">
        <w:rPr>
          <w:lang w:val="en-US"/>
        </w:rPr>
        <w:t xml:space="preserve">, in turn, is connected </w:t>
      </w:r>
      <w:r w:rsidR="00901AC8" w:rsidRPr="00EA6C7A">
        <w:rPr>
          <w:lang w:val="en-US"/>
        </w:rPr>
        <w:t>to</w:t>
      </w:r>
      <w:r w:rsidRPr="00EA6C7A">
        <w:rPr>
          <w:lang w:val="en-US"/>
        </w:rPr>
        <w:t xml:space="preserve"> her conception of the world, </w:t>
      </w:r>
      <w:r w:rsidR="00901AC8" w:rsidRPr="00EA6C7A">
        <w:rPr>
          <w:lang w:val="en-US"/>
        </w:rPr>
        <w:t xml:space="preserve">her </w:t>
      </w:r>
      <w:r w:rsidRPr="00EA6C7A">
        <w:rPr>
          <w:lang w:val="en-US"/>
        </w:rPr>
        <w:t>lifestyle and</w:t>
      </w:r>
      <w:r w:rsidR="00901AC8" w:rsidRPr="00EA6C7A">
        <w:rPr>
          <w:lang w:val="en-US"/>
        </w:rPr>
        <w:t xml:space="preserve"> her</w:t>
      </w:r>
      <w:r w:rsidRPr="00EA6C7A">
        <w:rPr>
          <w:lang w:val="en-US"/>
        </w:rPr>
        <w:t xml:space="preserve"> identification with a specific social group.</w:t>
      </w:r>
    </w:p>
    <w:p w14:paraId="2FC2FA84" w14:textId="77777777" w:rsidR="00E247AA" w:rsidRPr="00EA6C7A" w:rsidRDefault="00E247AA" w:rsidP="00077D21">
      <w:pPr>
        <w:pStyle w:val="PrrafodeSentencia"/>
        <w:numPr>
          <w:ilvl w:val="0"/>
          <w:numId w:val="0"/>
        </w:numPr>
        <w:ind w:left="360"/>
        <w:rPr>
          <w:lang w:val="en-US"/>
        </w:rPr>
      </w:pPr>
    </w:p>
    <w:p w14:paraId="66116B79" w14:textId="77777777" w:rsidR="00E247AA" w:rsidRPr="00EA6C7A" w:rsidRDefault="00901AC8" w:rsidP="00077D21">
      <w:pPr>
        <w:pStyle w:val="PrrafodeSentencia"/>
        <w:rPr>
          <w:lang w:val="en-US"/>
        </w:rPr>
      </w:pPr>
      <w:r w:rsidRPr="00EA6C7A">
        <w:rPr>
          <w:lang w:val="en-US"/>
        </w:rPr>
        <w:t>In this case</w:t>
      </w:r>
      <w:r w:rsidR="00E247AA" w:rsidRPr="00EA6C7A">
        <w:rPr>
          <w:lang w:val="en-US"/>
        </w:rPr>
        <w:t xml:space="preserve">, </w:t>
      </w:r>
      <w:r w:rsidR="000B24A4" w:rsidRPr="00EA6C7A">
        <w:rPr>
          <w:lang w:val="en-US"/>
        </w:rPr>
        <w:t>the conduct of the State authorities determining the diligence in the investigation in keeping with directives based on the way the victim chose to express her identity, ha</w:t>
      </w:r>
      <w:r w:rsidR="00C60684" w:rsidRPr="00EA6C7A">
        <w:rPr>
          <w:lang w:val="en-US"/>
        </w:rPr>
        <w:t>s</w:t>
      </w:r>
      <w:r w:rsidR="000B24A4" w:rsidRPr="00EA6C7A">
        <w:rPr>
          <w:lang w:val="en-US"/>
        </w:rPr>
        <w:t xml:space="preserve"> the impact of </w:t>
      </w:r>
      <w:r w:rsidR="00C60684" w:rsidRPr="00EA6C7A">
        <w:rPr>
          <w:lang w:val="en-US"/>
        </w:rPr>
        <w:t>pressuring</w:t>
      </w:r>
      <w:r w:rsidR="000B24A4" w:rsidRPr="00EA6C7A">
        <w:rPr>
          <w:lang w:val="en-US"/>
        </w:rPr>
        <w:t xml:space="preserve"> other women to conform to standards of clothing considered appropriate, at the risk of experiencing maximum discrimination. Indeed, associating clothes not only with a woman’s status, but also with her membership of a socially and economically marginalized sector because she had a </w:t>
      </w:r>
      <w:r w:rsidR="00C60684" w:rsidRPr="00EA6C7A">
        <w:rPr>
          <w:lang w:val="en-US"/>
        </w:rPr>
        <w:t xml:space="preserve">navel </w:t>
      </w:r>
      <w:r w:rsidR="000B24A4" w:rsidRPr="00EA6C7A">
        <w:rPr>
          <w:lang w:val="en-US"/>
        </w:rPr>
        <w:t>piercing and wore sandals, resulted in exposing the victim to multiple discrimination</w:t>
      </w:r>
      <w:r w:rsidR="00C60684" w:rsidRPr="00EA6C7A">
        <w:rPr>
          <w:lang w:val="en-US"/>
        </w:rPr>
        <w:t>s</w:t>
      </w:r>
      <w:r w:rsidR="000B24A4" w:rsidRPr="00EA6C7A">
        <w:rPr>
          <w:lang w:val="en-US"/>
        </w:rPr>
        <w:t xml:space="preserve"> based on gender, social condition, age and economic status. Establishing a relationship between the protection of judicial guarantees and the way in which a woman decides to present herself to the world is a way of preventing the full exercise of </w:t>
      </w:r>
      <w:r w:rsidR="00DB7189" w:rsidRPr="00EA6C7A">
        <w:rPr>
          <w:lang w:val="en-US"/>
        </w:rPr>
        <w:t>freedom of expression</w:t>
      </w:r>
      <w:r w:rsidR="00D948A1" w:rsidRPr="00EA6C7A">
        <w:rPr>
          <w:lang w:val="en-US"/>
        </w:rPr>
        <w:t xml:space="preserve"> and</w:t>
      </w:r>
      <w:r w:rsidR="000B24A4" w:rsidRPr="00EA6C7A">
        <w:rPr>
          <w:lang w:val="en-US"/>
        </w:rPr>
        <w:t xml:space="preserve"> ideas </w:t>
      </w:r>
      <w:r w:rsidR="00C60684" w:rsidRPr="00EA6C7A">
        <w:rPr>
          <w:lang w:val="en-US"/>
        </w:rPr>
        <w:t>owing to</w:t>
      </w:r>
      <w:r w:rsidR="000B24A4" w:rsidRPr="00EA6C7A">
        <w:rPr>
          <w:lang w:val="en-US"/>
        </w:rPr>
        <w:t xml:space="preserve"> the evident punishment imposed.</w:t>
      </w:r>
    </w:p>
    <w:p w14:paraId="4554F2C6" w14:textId="77777777" w:rsidR="00425D19" w:rsidRPr="00EA6C7A" w:rsidRDefault="00425D19" w:rsidP="00077D21">
      <w:pPr>
        <w:pStyle w:val="PrrafodeSentencia"/>
        <w:numPr>
          <w:ilvl w:val="0"/>
          <w:numId w:val="0"/>
        </w:numPr>
        <w:rPr>
          <w:lang w:val="en-US"/>
        </w:rPr>
      </w:pPr>
    </w:p>
    <w:p w14:paraId="66F26C65" w14:textId="77777777" w:rsidR="00E247AA" w:rsidRPr="00EA6C7A" w:rsidRDefault="000B24A4" w:rsidP="00077D21">
      <w:pPr>
        <w:pStyle w:val="PrrafodeSentencia"/>
        <w:rPr>
          <w:lang w:val="en-US"/>
        </w:rPr>
      </w:pPr>
      <w:r w:rsidRPr="00EA6C7A">
        <w:rPr>
          <w:lang w:val="en-US"/>
        </w:rPr>
        <w:t xml:space="preserve">Lastly, </w:t>
      </w:r>
      <w:r w:rsidR="00DF2B17" w:rsidRPr="00EA6C7A">
        <w:rPr>
          <w:lang w:val="en-US"/>
        </w:rPr>
        <w:t xml:space="preserve">it is worth pointing out </w:t>
      </w:r>
      <w:r w:rsidRPr="00EA6C7A">
        <w:rPr>
          <w:lang w:val="en-US"/>
        </w:rPr>
        <w:t xml:space="preserve">that the attitude of the State authorities </w:t>
      </w:r>
      <w:r w:rsidR="00C60684" w:rsidRPr="00EA6C7A">
        <w:rPr>
          <w:lang w:val="en-US"/>
        </w:rPr>
        <w:t>revealed</w:t>
      </w:r>
      <w:r w:rsidR="00DF2B17" w:rsidRPr="00EA6C7A">
        <w:rPr>
          <w:lang w:val="en-US"/>
        </w:rPr>
        <w:t xml:space="preserve"> another serious error, because it d</w:t>
      </w:r>
      <w:r w:rsidR="00C60684" w:rsidRPr="00EA6C7A">
        <w:rPr>
          <w:lang w:val="en-US"/>
        </w:rPr>
        <w:t>id</w:t>
      </w:r>
      <w:r w:rsidR="00DF2B17" w:rsidRPr="00EA6C7A">
        <w:rPr>
          <w:lang w:val="en-US"/>
        </w:rPr>
        <w:t xml:space="preserve"> not relate to the reality of this case</w:t>
      </w:r>
      <w:r w:rsidR="00C60684" w:rsidRPr="00EA6C7A">
        <w:rPr>
          <w:lang w:val="en-US"/>
        </w:rPr>
        <w:t>.</w:t>
      </w:r>
      <w:r w:rsidR="00DF2B17" w:rsidRPr="00EA6C7A">
        <w:rPr>
          <w:lang w:val="en-US"/>
        </w:rPr>
        <w:t xml:space="preserve"> </w:t>
      </w:r>
      <w:r w:rsidR="00C60684" w:rsidRPr="00EA6C7A">
        <w:rPr>
          <w:lang w:val="en-US"/>
        </w:rPr>
        <w:t>I</w:t>
      </w:r>
      <w:r w:rsidR="00DF2B17" w:rsidRPr="00EA6C7A">
        <w:rPr>
          <w:lang w:val="en-US"/>
        </w:rPr>
        <w:t>t ma</w:t>
      </w:r>
      <w:r w:rsidR="00C60684" w:rsidRPr="00EA6C7A">
        <w:rPr>
          <w:lang w:val="en-US"/>
        </w:rPr>
        <w:t>de</w:t>
      </w:r>
      <w:r w:rsidR="00DF2B17" w:rsidRPr="00EA6C7A">
        <w:rPr>
          <w:lang w:val="en-US"/>
        </w:rPr>
        <w:t xml:space="preserve"> clear that, if the victim had been a prostitute or gang member, she would not have deserved the same State protection against abuse and rape. It should be placed on record that</w:t>
      </w:r>
      <w:r w:rsidR="00C60684" w:rsidRPr="00EA6C7A">
        <w:rPr>
          <w:lang w:val="en-US"/>
        </w:rPr>
        <w:t xml:space="preserve"> it is evident that</w:t>
      </w:r>
      <w:r w:rsidR="00DF2B17" w:rsidRPr="00EA6C7A">
        <w:rPr>
          <w:lang w:val="en-US"/>
        </w:rPr>
        <w:t xml:space="preserve"> everyone</w:t>
      </w:r>
      <w:r w:rsidR="00C60684" w:rsidRPr="00EA6C7A">
        <w:rPr>
          <w:lang w:val="en-US"/>
        </w:rPr>
        <w:t xml:space="preserve"> </w:t>
      </w:r>
      <w:r w:rsidR="00DF2B17" w:rsidRPr="00EA6C7A">
        <w:rPr>
          <w:lang w:val="en-US"/>
        </w:rPr>
        <w:t>has the right to equal protection of the State</w:t>
      </w:r>
      <w:r w:rsidR="00E247AA" w:rsidRPr="00EA6C7A">
        <w:rPr>
          <w:lang w:val="en-US"/>
        </w:rPr>
        <w:t>.</w:t>
      </w:r>
    </w:p>
    <w:p w14:paraId="7D35500E" w14:textId="77777777" w:rsidR="00E247AA" w:rsidRPr="00EA6C7A" w:rsidRDefault="00E247AA" w:rsidP="00077D21">
      <w:pPr>
        <w:pStyle w:val="PrrafodeSentencia"/>
        <w:numPr>
          <w:ilvl w:val="0"/>
          <w:numId w:val="0"/>
        </w:numPr>
        <w:rPr>
          <w:lang w:val="en-US"/>
        </w:rPr>
      </w:pPr>
    </w:p>
    <w:p w14:paraId="014D2279" w14:textId="77777777" w:rsidR="00E247AA" w:rsidRPr="00EA6C7A" w:rsidRDefault="00DF2B17" w:rsidP="00077D21">
      <w:pPr>
        <w:pStyle w:val="PrrafodeSentencia"/>
        <w:rPr>
          <w:lang w:val="en-US"/>
        </w:rPr>
      </w:pPr>
      <w:r w:rsidRPr="00EA6C7A">
        <w:rPr>
          <w:lang w:val="en-US"/>
        </w:rPr>
        <w:t xml:space="preserve">Thus, in addition to the considerations and conclusions of the judgment, with which I agree, I would add that there was also a violation of </w:t>
      </w:r>
      <w:r w:rsidR="0096418F" w:rsidRPr="00EA6C7A">
        <w:rPr>
          <w:lang w:val="en-US"/>
        </w:rPr>
        <w:t>Articles</w:t>
      </w:r>
      <w:r w:rsidR="00E247AA" w:rsidRPr="00EA6C7A">
        <w:rPr>
          <w:lang w:val="en-US"/>
        </w:rPr>
        <w:t xml:space="preserve"> 13</w:t>
      </w:r>
      <w:r w:rsidRPr="00EA6C7A">
        <w:rPr>
          <w:lang w:val="en-US"/>
        </w:rPr>
        <w:t>(1)</w:t>
      </w:r>
      <w:r w:rsidR="00D948A1" w:rsidRPr="00EA6C7A">
        <w:rPr>
          <w:lang w:val="en-US"/>
        </w:rPr>
        <w:t xml:space="preserve"> and </w:t>
      </w:r>
      <w:r w:rsidR="00E247AA" w:rsidRPr="00EA6C7A">
        <w:rPr>
          <w:lang w:val="en-US"/>
        </w:rPr>
        <w:t>22</w:t>
      </w:r>
      <w:r w:rsidRPr="00EA6C7A">
        <w:rPr>
          <w:lang w:val="en-US"/>
        </w:rPr>
        <w:t>(</w:t>
      </w:r>
      <w:r w:rsidR="00E247AA" w:rsidRPr="00EA6C7A">
        <w:rPr>
          <w:lang w:val="en-US"/>
        </w:rPr>
        <w:t>1</w:t>
      </w:r>
      <w:r w:rsidRPr="00EA6C7A">
        <w:rPr>
          <w:lang w:val="en-US"/>
        </w:rPr>
        <w:t>)</w:t>
      </w:r>
      <w:r w:rsidR="00E247AA" w:rsidRPr="00EA6C7A">
        <w:rPr>
          <w:lang w:val="en-US"/>
        </w:rPr>
        <w:t xml:space="preserve">, </w:t>
      </w:r>
      <w:r w:rsidR="002B325A" w:rsidRPr="00EA6C7A">
        <w:rPr>
          <w:lang w:val="en-US"/>
        </w:rPr>
        <w:t>in relation to Article</w:t>
      </w:r>
      <w:r w:rsidR="00515C34" w:rsidRPr="00EA6C7A">
        <w:rPr>
          <w:lang w:val="en-US"/>
        </w:rPr>
        <w:t xml:space="preserve"> 1(1)</w:t>
      </w:r>
      <w:r w:rsidR="00E247AA" w:rsidRPr="00EA6C7A">
        <w:rPr>
          <w:lang w:val="en-US"/>
        </w:rPr>
        <w:t>,</w:t>
      </w:r>
      <w:r w:rsidR="0096418F" w:rsidRPr="00EA6C7A">
        <w:rPr>
          <w:lang w:val="en-US"/>
        </w:rPr>
        <w:t xml:space="preserve"> of the American Convention on Human Rights</w:t>
      </w:r>
      <w:r w:rsidR="00E247AA" w:rsidRPr="00EA6C7A">
        <w:rPr>
          <w:lang w:val="en-US"/>
        </w:rPr>
        <w:t>.</w:t>
      </w:r>
    </w:p>
    <w:p w14:paraId="07303954" w14:textId="77777777" w:rsidR="00E247AA" w:rsidRPr="00EA6C7A" w:rsidRDefault="00E247AA" w:rsidP="00E247AA">
      <w:pPr>
        <w:pStyle w:val="Prrafodelista"/>
        <w:rPr>
          <w:rFonts w:ascii="Verdana" w:hAnsi="Verdana"/>
          <w:sz w:val="20"/>
          <w:szCs w:val="20"/>
          <w:lang w:val="en-US"/>
        </w:rPr>
      </w:pPr>
    </w:p>
    <w:p w14:paraId="6013F5ED" w14:textId="77777777" w:rsidR="00E247AA" w:rsidRPr="00EA6C7A" w:rsidRDefault="00DB7189" w:rsidP="00E247AA">
      <w:pPr>
        <w:pStyle w:val="Prrafodelista"/>
        <w:numPr>
          <w:ilvl w:val="0"/>
          <w:numId w:val="12"/>
        </w:numPr>
        <w:spacing w:after="160" w:line="259" w:lineRule="auto"/>
        <w:jc w:val="both"/>
        <w:rPr>
          <w:rFonts w:ascii="Verdana" w:hAnsi="Verdana"/>
          <w:b/>
          <w:sz w:val="20"/>
          <w:szCs w:val="20"/>
          <w:lang w:val="en-US"/>
        </w:rPr>
      </w:pPr>
      <w:r w:rsidRPr="00EA6C7A">
        <w:rPr>
          <w:rFonts w:ascii="Verdana" w:hAnsi="Verdana"/>
          <w:b/>
          <w:sz w:val="20"/>
          <w:szCs w:val="20"/>
          <w:lang w:val="en-US"/>
        </w:rPr>
        <w:t>Concluding considerations</w:t>
      </w:r>
      <w:r w:rsidR="00E247AA" w:rsidRPr="00EA6C7A">
        <w:rPr>
          <w:rFonts w:ascii="Verdana" w:hAnsi="Verdana"/>
          <w:b/>
          <w:sz w:val="20"/>
          <w:szCs w:val="20"/>
          <w:lang w:val="en-US"/>
        </w:rPr>
        <w:t xml:space="preserve"> </w:t>
      </w:r>
    </w:p>
    <w:p w14:paraId="78CE6318" w14:textId="77777777" w:rsidR="00DF2B17" w:rsidRPr="00EA6C7A" w:rsidRDefault="00DF2B17" w:rsidP="00077D21">
      <w:pPr>
        <w:pStyle w:val="PrrafodeSentencia"/>
        <w:rPr>
          <w:lang w:val="en-US"/>
        </w:rPr>
      </w:pPr>
      <w:r w:rsidRPr="00EA6C7A">
        <w:rPr>
          <w:lang w:val="en-US"/>
        </w:rPr>
        <w:t>Based on the foregoing, it is undeniable that clothing is an important, even essential, dimension of human expression, whether cultural, national, regional, group, generational, gender, racial, spiritual or individual. In the latter sphere, it may be a component of a person’s identity, of personality, of individuality, of diversity and even</w:t>
      </w:r>
      <w:r w:rsidR="00C225DB" w:rsidRPr="00EA6C7A">
        <w:rPr>
          <w:lang w:val="en-US"/>
        </w:rPr>
        <w:t xml:space="preserve"> of their</w:t>
      </w:r>
      <w:r w:rsidRPr="00EA6C7A">
        <w:rPr>
          <w:lang w:val="en-US"/>
        </w:rPr>
        <w:t xml:space="preserve"> sensuality.</w:t>
      </w:r>
      <w:r w:rsidR="00C225DB" w:rsidRPr="00EA6C7A">
        <w:rPr>
          <w:lang w:val="en-US"/>
        </w:rPr>
        <w:t xml:space="preserve"> In </w:t>
      </w:r>
      <w:r w:rsidR="00671A06" w:rsidRPr="00EA6C7A">
        <w:rPr>
          <w:lang w:val="en-US"/>
        </w:rPr>
        <w:t>the</w:t>
      </w:r>
      <w:r w:rsidR="00C225DB" w:rsidRPr="00EA6C7A">
        <w:rPr>
          <w:lang w:val="en-US"/>
        </w:rPr>
        <w:t xml:space="preserve"> specific case of women, these characteristic traits may be accentuated and should not only be tolerated, but also accepted; and not just accepted, but respected; and not just respected, but protected and even promoted as a distinctive trait, provide this is what the woman decides. </w:t>
      </w:r>
      <w:r w:rsidR="003457EF" w:rsidRPr="00EA6C7A">
        <w:rPr>
          <w:lang w:val="en-US"/>
        </w:rPr>
        <w:t>Any restriction, discrimination</w:t>
      </w:r>
      <w:r w:rsidR="00C60684" w:rsidRPr="00EA6C7A">
        <w:rPr>
          <w:lang w:val="en-US"/>
        </w:rPr>
        <w:t xml:space="preserve"> or</w:t>
      </w:r>
      <w:r w:rsidR="003457EF" w:rsidRPr="00EA6C7A">
        <w:rPr>
          <w:lang w:val="en-US"/>
        </w:rPr>
        <w:t xml:space="preserve"> stigmatization becomes abusive and to be condemned, especially if it is perpetrated by State agents, who have the obligation to educate, respect and protect the </w:t>
      </w:r>
      <w:r w:rsidR="00C60684" w:rsidRPr="00EA6C7A">
        <w:rPr>
          <w:lang w:val="en-US"/>
        </w:rPr>
        <w:t>way women express themselves</w:t>
      </w:r>
      <w:r w:rsidR="003457EF" w:rsidRPr="00EA6C7A">
        <w:rPr>
          <w:lang w:val="en-US"/>
        </w:rPr>
        <w:t xml:space="preserve"> in society, and are definitively prohibited from denying assistance</w:t>
      </w:r>
      <w:r w:rsidR="00C60684" w:rsidRPr="00EA6C7A">
        <w:rPr>
          <w:lang w:val="en-US"/>
        </w:rPr>
        <w:t>,</w:t>
      </w:r>
      <w:r w:rsidR="003457EF" w:rsidRPr="00EA6C7A">
        <w:rPr>
          <w:lang w:val="en-US"/>
        </w:rPr>
        <w:t xml:space="preserve"> or </w:t>
      </w:r>
      <w:r w:rsidR="00C60684" w:rsidRPr="00EA6C7A">
        <w:rPr>
          <w:lang w:val="en-US"/>
        </w:rPr>
        <w:t>lessen</w:t>
      </w:r>
      <w:r w:rsidR="003457EF" w:rsidRPr="00EA6C7A">
        <w:rPr>
          <w:lang w:val="en-US"/>
        </w:rPr>
        <w:t xml:space="preserve">ing the quality of </w:t>
      </w:r>
      <w:r w:rsidR="00C60684" w:rsidRPr="00EA6C7A">
        <w:rPr>
          <w:lang w:val="en-US"/>
        </w:rPr>
        <w:t xml:space="preserve">the </w:t>
      </w:r>
      <w:r w:rsidR="003457EF" w:rsidRPr="00EA6C7A">
        <w:rPr>
          <w:lang w:val="en-US"/>
        </w:rPr>
        <w:t>assistance</w:t>
      </w:r>
      <w:r w:rsidR="00C60684" w:rsidRPr="00EA6C7A">
        <w:rPr>
          <w:lang w:val="en-US"/>
        </w:rPr>
        <w:t>,</w:t>
      </w:r>
      <w:r w:rsidR="003457EF" w:rsidRPr="00EA6C7A">
        <w:rPr>
          <w:lang w:val="en-US"/>
        </w:rPr>
        <w:t xml:space="preserve"> based on the clothing worn by a woman, revealing a sexist or unequal attitude. In different societies, women use </w:t>
      </w:r>
      <w:proofErr w:type="spellStart"/>
      <w:r w:rsidR="003457EF" w:rsidRPr="00EA6C7A">
        <w:rPr>
          <w:lang w:val="en-US"/>
        </w:rPr>
        <w:t>cloth</w:t>
      </w:r>
      <w:r w:rsidR="00C60684" w:rsidRPr="00EA6C7A">
        <w:rPr>
          <w:lang w:val="en-US"/>
        </w:rPr>
        <w:t>img</w:t>
      </w:r>
      <w:proofErr w:type="spellEnd"/>
      <w:r w:rsidR="003457EF" w:rsidRPr="00EA6C7A">
        <w:rPr>
          <w:lang w:val="en-US"/>
        </w:rPr>
        <w:t xml:space="preserve"> with colors, </w:t>
      </w:r>
      <w:r w:rsidR="003457EF" w:rsidRPr="00EA6C7A">
        <w:rPr>
          <w:lang w:val="en-US"/>
        </w:rPr>
        <w:lastRenderedPageBreak/>
        <w:t xml:space="preserve">sizes, lengths, openings, styles, trimmings, necklines, decorations, jewelry, accessories, cosmetics, to express themselves aesthetically, and this merits special respect. </w:t>
      </w:r>
    </w:p>
    <w:p w14:paraId="20BC77B9" w14:textId="77777777" w:rsidR="00E247AA" w:rsidRPr="00EA6C7A" w:rsidRDefault="00E247AA" w:rsidP="00077D21">
      <w:pPr>
        <w:pStyle w:val="PrrafodeSentencia"/>
        <w:numPr>
          <w:ilvl w:val="0"/>
          <w:numId w:val="0"/>
        </w:numPr>
        <w:rPr>
          <w:lang w:val="en-US"/>
        </w:rPr>
      </w:pPr>
    </w:p>
    <w:p w14:paraId="7949AC2D" w14:textId="77777777" w:rsidR="003457EF" w:rsidRPr="00EA6C7A" w:rsidRDefault="003457EF" w:rsidP="00077D21">
      <w:pPr>
        <w:pStyle w:val="PrrafodeSentencia"/>
        <w:rPr>
          <w:lang w:val="en-US"/>
        </w:rPr>
      </w:pPr>
      <w:r w:rsidRPr="00EA6C7A">
        <w:rPr>
          <w:lang w:val="en-US"/>
        </w:rPr>
        <w:t>Despite my position that fully concurs with the judgment, with the exception of the two points described above, and my personal conviction that, when possible, differences that are merely conceptual should be avoided – which has not happened in this case – I was unable to remain silen</w:t>
      </w:r>
      <w:r w:rsidR="00C60684" w:rsidRPr="00EA6C7A">
        <w:rPr>
          <w:lang w:val="en-US"/>
        </w:rPr>
        <w:t>t concerning</w:t>
      </w:r>
      <w:r w:rsidRPr="00EA6C7A">
        <w:rPr>
          <w:lang w:val="en-US"/>
        </w:rPr>
        <w:t xml:space="preserve"> the majority decision express</w:t>
      </w:r>
      <w:r w:rsidR="00C60684" w:rsidRPr="00EA6C7A">
        <w:rPr>
          <w:lang w:val="en-US"/>
        </w:rPr>
        <w:t>ed</w:t>
      </w:r>
      <w:r w:rsidRPr="00EA6C7A">
        <w:rPr>
          <w:lang w:val="en-US"/>
        </w:rPr>
        <w:t xml:space="preserve"> in the sixth operative paragraph that “it </w:t>
      </w:r>
      <w:r w:rsidR="00806839" w:rsidRPr="00EA6C7A">
        <w:rPr>
          <w:rFonts w:cs="Times"/>
          <w:lang w:val="en-US"/>
        </w:rPr>
        <w:t>was not necessary to rule on the alleged violations of</w:t>
      </w:r>
      <w:r w:rsidR="00806839" w:rsidRPr="00EA6C7A">
        <w:rPr>
          <w:lang w:val="en-US"/>
        </w:rPr>
        <w:t xml:space="preserve"> Articles 13 and 22 of the American Convention.” I have set out these additional considerations in the belief that it is essential to recognize that the said two articles were violated, to strengthen the effectiveness of freedom of expression through clothing and of freedom of movement, matters that the Court has not examined previously. Undoubtedly, th</w:t>
      </w:r>
      <w:r w:rsidR="00C60684" w:rsidRPr="00EA6C7A">
        <w:rPr>
          <w:lang w:val="en-US"/>
        </w:rPr>
        <w:t>e</w:t>
      </w:r>
      <w:r w:rsidR="00806839" w:rsidRPr="00EA6C7A">
        <w:rPr>
          <w:lang w:val="en-US"/>
        </w:rPr>
        <w:t xml:space="preserve"> Court’s case law is the appropriate medium to undertaking the mission to declare and expand the content of the human rights contained in the American Convention. I attach this opinion in the hope that the national jurisdiction</w:t>
      </w:r>
      <w:r w:rsidR="00011841" w:rsidRPr="00EA6C7A">
        <w:rPr>
          <w:lang w:val="en-US"/>
        </w:rPr>
        <w:t>s</w:t>
      </w:r>
      <w:r w:rsidR="00806839" w:rsidRPr="00EA6C7A">
        <w:rPr>
          <w:lang w:val="en-US"/>
        </w:rPr>
        <w:t xml:space="preserve"> and the case law of the Court may soon evolve to recognize these rights that are so fundamental, promotors of real gender equality between women and men.</w:t>
      </w:r>
    </w:p>
    <w:p w14:paraId="1A5F2E7D" w14:textId="77777777" w:rsidR="00E247AA" w:rsidRPr="00EA6C7A" w:rsidRDefault="00E247AA" w:rsidP="00E247AA">
      <w:pPr>
        <w:pStyle w:val="NormalWeb"/>
        <w:spacing w:after="0"/>
        <w:ind w:right="96"/>
        <w:rPr>
          <w:rFonts w:ascii="Verdana" w:hAnsi="Verdana"/>
          <w:sz w:val="20"/>
          <w:szCs w:val="20"/>
        </w:rPr>
      </w:pPr>
    </w:p>
    <w:p w14:paraId="508739DD" w14:textId="77777777" w:rsidR="00E247AA" w:rsidRPr="00EA6C7A" w:rsidRDefault="00E247AA" w:rsidP="00E247AA">
      <w:pPr>
        <w:pStyle w:val="NormalWeb"/>
        <w:spacing w:after="0"/>
        <w:ind w:right="96"/>
        <w:rPr>
          <w:rFonts w:ascii="Verdana" w:hAnsi="Verdana"/>
          <w:sz w:val="20"/>
          <w:szCs w:val="20"/>
        </w:rPr>
      </w:pPr>
    </w:p>
    <w:p w14:paraId="6EC3C5EC" w14:textId="77777777" w:rsidR="00E247AA" w:rsidRPr="00EA6C7A" w:rsidRDefault="00E247AA" w:rsidP="00E247AA">
      <w:pPr>
        <w:pStyle w:val="NormalWeb"/>
        <w:spacing w:after="0"/>
        <w:ind w:right="96"/>
        <w:rPr>
          <w:rFonts w:ascii="Verdana" w:hAnsi="Verdana"/>
          <w:sz w:val="20"/>
          <w:szCs w:val="20"/>
        </w:rPr>
      </w:pPr>
    </w:p>
    <w:p w14:paraId="678CEB7D" w14:textId="77777777" w:rsidR="00E247AA" w:rsidRPr="00EA6C7A" w:rsidRDefault="00E247AA" w:rsidP="00E247AA">
      <w:pPr>
        <w:pStyle w:val="NormalWeb"/>
        <w:spacing w:after="0"/>
        <w:ind w:right="96"/>
        <w:rPr>
          <w:rFonts w:ascii="Verdana" w:hAnsi="Verdana"/>
          <w:sz w:val="20"/>
          <w:szCs w:val="20"/>
        </w:rPr>
      </w:pPr>
    </w:p>
    <w:p w14:paraId="243304E3" w14:textId="77777777" w:rsidR="00E247AA" w:rsidRPr="00EA6C7A" w:rsidRDefault="00E247AA" w:rsidP="00E247AA">
      <w:pPr>
        <w:pStyle w:val="NormalWeb"/>
        <w:spacing w:after="0"/>
        <w:ind w:left="3600" w:right="96" w:firstLine="720"/>
        <w:jc w:val="center"/>
        <w:rPr>
          <w:rFonts w:ascii="Verdana" w:hAnsi="Verdana"/>
          <w:sz w:val="20"/>
          <w:szCs w:val="20"/>
          <w:lang w:val="es-CR"/>
        </w:rPr>
      </w:pPr>
      <w:r w:rsidRPr="00EA6C7A">
        <w:rPr>
          <w:rFonts w:ascii="Verdana" w:hAnsi="Verdana"/>
          <w:sz w:val="20"/>
          <w:szCs w:val="20"/>
          <w:lang w:val="es-CR"/>
        </w:rPr>
        <w:t>Roberto F. Caldas</w:t>
      </w:r>
    </w:p>
    <w:p w14:paraId="544F3036" w14:textId="77777777" w:rsidR="00E247AA" w:rsidRPr="00EA6C7A" w:rsidRDefault="0096418F" w:rsidP="00E247AA">
      <w:pPr>
        <w:pStyle w:val="NormalWeb"/>
        <w:spacing w:after="0"/>
        <w:ind w:left="3960" w:right="96" w:firstLine="360"/>
        <w:jc w:val="center"/>
        <w:rPr>
          <w:rFonts w:ascii="Verdana" w:hAnsi="Verdana"/>
          <w:sz w:val="20"/>
          <w:szCs w:val="20"/>
          <w:lang w:val="es-CR"/>
        </w:rPr>
      </w:pPr>
      <w:proofErr w:type="spellStart"/>
      <w:r w:rsidRPr="00EA6C7A">
        <w:rPr>
          <w:rFonts w:ascii="Verdana" w:hAnsi="Verdana"/>
          <w:sz w:val="20"/>
          <w:szCs w:val="20"/>
          <w:lang w:val="es-CR"/>
        </w:rPr>
        <w:t>Judge</w:t>
      </w:r>
      <w:proofErr w:type="spellEnd"/>
    </w:p>
    <w:p w14:paraId="7CF966D9" w14:textId="77777777" w:rsidR="00E247AA" w:rsidRPr="00EA6C7A" w:rsidRDefault="00E247AA" w:rsidP="00E247AA">
      <w:pPr>
        <w:spacing w:after="0" w:line="240" w:lineRule="auto"/>
        <w:ind w:left="720"/>
        <w:rPr>
          <w:rFonts w:ascii="Verdana" w:hAnsi="Verdana"/>
          <w:sz w:val="20"/>
          <w:szCs w:val="20"/>
        </w:rPr>
      </w:pPr>
      <w:r w:rsidRPr="00EA6C7A">
        <w:rPr>
          <w:rFonts w:ascii="Verdana" w:hAnsi="Verdana"/>
          <w:sz w:val="20"/>
          <w:szCs w:val="20"/>
        </w:rPr>
        <w:t>Pablo Saavedra Alessandri</w:t>
      </w:r>
    </w:p>
    <w:p w14:paraId="06EB8DDE" w14:textId="77777777" w:rsidR="00E247AA" w:rsidRPr="00EA6C7A" w:rsidRDefault="00E247AA" w:rsidP="00E247AA">
      <w:pPr>
        <w:spacing w:after="0" w:line="240" w:lineRule="auto"/>
        <w:rPr>
          <w:rFonts w:ascii="Verdana" w:hAnsi="Verdana"/>
          <w:sz w:val="20"/>
          <w:szCs w:val="20"/>
          <w:lang w:val="en-US"/>
        </w:rPr>
      </w:pPr>
      <w:r w:rsidRPr="00EA6C7A">
        <w:rPr>
          <w:rFonts w:ascii="Verdana" w:hAnsi="Verdana"/>
          <w:sz w:val="20"/>
          <w:szCs w:val="20"/>
        </w:rPr>
        <w:tab/>
      </w:r>
      <w:r w:rsidRPr="00EA6C7A">
        <w:rPr>
          <w:rFonts w:ascii="Verdana" w:hAnsi="Verdana"/>
          <w:sz w:val="20"/>
          <w:szCs w:val="20"/>
        </w:rPr>
        <w:tab/>
      </w:r>
      <w:r w:rsidR="0096418F" w:rsidRPr="00EA6C7A">
        <w:rPr>
          <w:rFonts w:ascii="Verdana" w:hAnsi="Verdana"/>
          <w:sz w:val="20"/>
          <w:szCs w:val="20"/>
          <w:lang w:val="en-US"/>
        </w:rPr>
        <w:t>Secretary</w:t>
      </w:r>
    </w:p>
    <w:p w14:paraId="15AE3B05" w14:textId="77777777" w:rsidR="00175ABB" w:rsidRPr="00EA6C7A" w:rsidRDefault="00175ABB" w:rsidP="00175ABB">
      <w:pPr>
        <w:spacing w:after="0" w:line="240" w:lineRule="auto"/>
        <w:rPr>
          <w:rFonts w:ascii="Verdana" w:hAnsi="Verdana"/>
          <w:sz w:val="20"/>
          <w:szCs w:val="20"/>
          <w:lang w:val="en-US"/>
        </w:rPr>
        <w:sectPr w:rsidR="00175ABB" w:rsidRPr="00EA6C7A" w:rsidSect="00175ABB">
          <w:headerReference w:type="default" r:id="rId13"/>
          <w:footerReference w:type="default" r:id="rId14"/>
          <w:footnotePr>
            <w:numRestart w:val="eachSect"/>
          </w:footnotePr>
          <w:pgSz w:w="12240" w:h="15840"/>
          <w:pgMar w:top="1296" w:right="1224" w:bottom="1282" w:left="1224" w:header="720" w:footer="720" w:gutter="0"/>
          <w:pgNumType w:start="1"/>
          <w:cols w:space="720"/>
          <w:titlePg/>
          <w:docGrid w:linePitch="360"/>
        </w:sectPr>
      </w:pPr>
    </w:p>
    <w:p w14:paraId="581AD93A" w14:textId="77777777" w:rsidR="001E3E1E" w:rsidRPr="00EA6C7A" w:rsidRDefault="001E3E1E" w:rsidP="00175ABB">
      <w:pPr>
        <w:spacing w:after="0" w:line="360" w:lineRule="auto"/>
        <w:jc w:val="center"/>
        <w:rPr>
          <w:rFonts w:ascii="Verdana" w:hAnsi="Verdana"/>
          <w:b/>
          <w:sz w:val="20"/>
          <w:szCs w:val="20"/>
          <w:lang w:val="en-US"/>
        </w:rPr>
      </w:pPr>
    </w:p>
    <w:p w14:paraId="190C5892" w14:textId="77777777" w:rsidR="001E3E1E" w:rsidRPr="00EA6C7A" w:rsidRDefault="001E3E1E" w:rsidP="00175ABB">
      <w:pPr>
        <w:spacing w:after="0" w:line="360" w:lineRule="auto"/>
        <w:jc w:val="center"/>
        <w:rPr>
          <w:rFonts w:ascii="Verdana" w:hAnsi="Verdana"/>
          <w:b/>
          <w:sz w:val="20"/>
          <w:szCs w:val="20"/>
          <w:lang w:val="en-US"/>
        </w:rPr>
      </w:pPr>
    </w:p>
    <w:p w14:paraId="09AE8BFE" w14:textId="77777777" w:rsidR="001E3E1E" w:rsidRPr="00EA6C7A" w:rsidRDefault="001E3E1E" w:rsidP="00175ABB">
      <w:pPr>
        <w:spacing w:after="0" w:line="360" w:lineRule="auto"/>
        <w:jc w:val="center"/>
        <w:rPr>
          <w:rFonts w:ascii="Verdana" w:hAnsi="Verdana"/>
          <w:b/>
          <w:sz w:val="20"/>
          <w:szCs w:val="20"/>
          <w:lang w:val="en-US"/>
        </w:rPr>
      </w:pPr>
    </w:p>
    <w:p w14:paraId="083D5689" w14:textId="77777777" w:rsidR="00175ABB" w:rsidRPr="00EA6C7A" w:rsidRDefault="008017B7" w:rsidP="00175ABB">
      <w:pPr>
        <w:spacing w:after="0" w:line="360" w:lineRule="auto"/>
        <w:jc w:val="center"/>
        <w:rPr>
          <w:rFonts w:ascii="Verdana" w:hAnsi="Verdana"/>
          <w:b/>
          <w:sz w:val="20"/>
          <w:szCs w:val="20"/>
          <w:lang w:val="en-US"/>
        </w:rPr>
      </w:pPr>
      <w:r w:rsidRPr="00EA6C7A">
        <w:rPr>
          <w:rFonts w:ascii="Verdana" w:hAnsi="Verdana"/>
          <w:b/>
          <w:sz w:val="20"/>
          <w:szCs w:val="20"/>
          <w:lang w:val="en-US"/>
        </w:rPr>
        <w:t>CONCURRING OPINION OF</w:t>
      </w:r>
      <w:r w:rsidR="00175ABB" w:rsidRPr="00EA6C7A">
        <w:rPr>
          <w:rFonts w:ascii="Verdana" w:hAnsi="Verdana"/>
          <w:b/>
          <w:sz w:val="20"/>
          <w:szCs w:val="20"/>
          <w:lang w:val="en-US"/>
        </w:rPr>
        <w:t xml:space="preserve"> JU</w:t>
      </w:r>
      <w:r w:rsidRPr="00EA6C7A">
        <w:rPr>
          <w:rFonts w:ascii="Verdana" w:hAnsi="Verdana"/>
          <w:b/>
          <w:sz w:val="20"/>
          <w:szCs w:val="20"/>
          <w:lang w:val="en-US"/>
        </w:rPr>
        <w:t>DGE</w:t>
      </w:r>
      <w:r w:rsidR="00175ABB" w:rsidRPr="00EA6C7A">
        <w:rPr>
          <w:rFonts w:ascii="Verdana" w:hAnsi="Verdana"/>
          <w:b/>
          <w:sz w:val="20"/>
          <w:szCs w:val="20"/>
          <w:lang w:val="en-US"/>
        </w:rPr>
        <w:t xml:space="preserve"> EDUARDO VIO GROSSI</w:t>
      </w:r>
    </w:p>
    <w:p w14:paraId="342D6F48" w14:textId="77777777" w:rsidR="007229B5" w:rsidRPr="00EA6C7A" w:rsidRDefault="007229B5" w:rsidP="00175ABB">
      <w:pPr>
        <w:spacing w:after="0" w:line="360" w:lineRule="auto"/>
        <w:jc w:val="center"/>
        <w:rPr>
          <w:rFonts w:ascii="Verdana" w:hAnsi="Verdana"/>
          <w:b/>
          <w:sz w:val="20"/>
          <w:szCs w:val="20"/>
          <w:lang w:val="en-US"/>
        </w:rPr>
      </w:pPr>
    </w:p>
    <w:p w14:paraId="4E12E8C2" w14:textId="77777777" w:rsidR="00175ABB" w:rsidRPr="00EA6C7A" w:rsidRDefault="00192B59" w:rsidP="00175ABB">
      <w:pPr>
        <w:spacing w:after="0" w:line="360" w:lineRule="auto"/>
        <w:jc w:val="center"/>
        <w:rPr>
          <w:rFonts w:ascii="Verdana" w:hAnsi="Verdana"/>
          <w:sz w:val="20"/>
          <w:szCs w:val="20"/>
          <w:lang w:val="en-US"/>
        </w:rPr>
      </w:pPr>
      <w:r w:rsidRPr="00EA6C7A">
        <w:rPr>
          <w:rFonts w:ascii="Verdana" w:hAnsi="Verdana"/>
          <w:b/>
          <w:sz w:val="20"/>
          <w:szCs w:val="20"/>
          <w:lang w:val="en-US"/>
        </w:rPr>
        <w:t>INTER-AMERICAN COURT OF HUMAN RIGHTS</w:t>
      </w:r>
    </w:p>
    <w:p w14:paraId="46783EE1" w14:textId="77777777" w:rsidR="00175ABB" w:rsidRPr="00EA6C7A" w:rsidRDefault="00175ABB" w:rsidP="00175ABB">
      <w:pPr>
        <w:tabs>
          <w:tab w:val="left" w:pos="2960"/>
          <w:tab w:val="center" w:pos="4680"/>
        </w:tabs>
        <w:spacing w:after="0" w:line="360" w:lineRule="auto"/>
        <w:jc w:val="center"/>
        <w:rPr>
          <w:rFonts w:ascii="Verdana" w:hAnsi="Verdana"/>
          <w:b/>
          <w:sz w:val="20"/>
          <w:szCs w:val="20"/>
        </w:rPr>
      </w:pPr>
      <w:r w:rsidRPr="00EA6C7A">
        <w:rPr>
          <w:rFonts w:ascii="Verdana" w:hAnsi="Verdana"/>
          <w:b/>
          <w:sz w:val="20"/>
          <w:szCs w:val="20"/>
        </w:rPr>
        <w:t>CASO VELÁSQUEZ PAIZ</w:t>
      </w:r>
      <w:r w:rsidR="00D948A1" w:rsidRPr="00EA6C7A">
        <w:rPr>
          <w:rFonts w:ascii="Verdana" w:hAnsi="Verdana"/>
          <w:b/>
          <w:sz w:val="20"/>
          <w:szCs w:val="20"/>
        </w:rPr>
        <w:t xml:space="preserve"> </w:t>
      </w:r>
      <w:r w:rsidR="008017B7" w:rsidRPr="00EA6C7A">
        <w:rPr>
          <w:rFonts w:ascii="Verdana" w:hAnsi="Verdana"/>
          <w:b/>
          <w:i/>
          <w:iCs/>
          <w:sz w:val="20"/>
          <w:szCs w:val="20"/>
        </w:rPr>
        <w:t>ET AL. V</w:t>
      </w:r>
      <w:r w:rsidRPr="00EA6C7A">
        <w:rPr>
          <w:rFonts w:ascii="Verdana" w:hAnsi="Verdana"/>
          <w:b/>
          <w:i/>
          <w:iCs/>
          <w:sz w:val="20"/>
          <w:szCs w:val="20"/>
        </w:rPr>
        <w:t>.</w:t>
      </w:r>
      <w:r w:rsidRPr="00EA6C7A">
        <w:rPr>
          <w:rFonts w:ascii="Verdana" w:hAnsi="Verdana"/>
          <w:b/>
          <w:sz w:val="20"/>
          <w:szCs w:val="20"/>
        </w:rPr>
        <w:t xml:space="preserve"> GUATEMALA,</w:t>
      </w:r>
    </w:p>
    <w:p w14:paraId="0E1126DE" w14:textId="77777777" w:rsidR="00175ABB" w:rsidRPr="00EA6C7A" w:rsidRDefault="008017B7" w:rsidP="00175ABB">
      <w:pPr>
        <w:spacing w:after="0" w:line="360" w:lineRule="auto"/>
        <w:jc w:val="center"/>
        <w:rPr>
          <w:rFonts w:ascii="Verdana" w:hAnsi="Verdana"/>
          <w:b/>
          <w:sz w:val="20"/>
          <w:szCs w:val="20"/>
          <w:lang w:val="en-US"/>
        </w:rPr>
      </w:pPr>
      <w:r w:rsidRPr="00EA6C7A">
        <w:rPr>
          <w:rFonts w:ascii="Verdana" w:hAnsi="Verdana"/>
          <w:b/>
          <w:sz w:val="20"/>
          <w:szCs w:val="20"/>
          <w:lang w:val="en-US"/>
        </w:rPr>
        <w:t>JUDGMENT OF</w:t>
      </w:r>
      <w:r w:rsidR="00175ABB" w:rsidRPr="00EA6C7A">
        <w:rPr>
          <w:rFonts w:ascii="Verdana" w:hAnsi="Verdana"/>
          <w:b/>
          <w:sz w:val="20"/>
          <w:szCs w:val="20"/>
          <w:lang w:val="en-US"/>
        </w:rPr>
        <w:t xml:space="preserve"> </w:t>
      </w:r>
      <w:r w:rsidRPr="00EA6C7A">
        <w:rPr>
          <w:rFonts w:ascii="Verdana" w:hAnsi="Verdana"/>
          <w:b/>
          <w:sz w:val="20"/>
          <w:szCs w:val="20"/>
          <w:lang w:val="en-US"/>
        </w:rPr>
        <w:t>NOVEMBER 1</w:t>
      </w:r>
      <w:r w:rsidR="00D948A1" w:rsidRPr="00EA6C7A">
        <w:rPr>
          <w:rFonts w:ascii="Verdana" w:hAnsi="Verdana"/>
          <w:b/>
          <w:sz w:val="20"/>
          <w:szCs w:val="20"/>
          <w:lang w:val="en-US"/>
        </w:rPr>
        <w:t>9,</w:t>
      </w:r>
      <w:r w:rsidR="00175ABB" w:rsidRPr="00EA6C7A">
        <w:rPr>
          <w:rFonts w:ascii="Verdana" w:hAnsi="Verdana"/>
          <w:b/>
          <w:sz w:val="20"/>
          <w:szCs w:val="20"/>
          <w:lang w:val="en-US"/>
        </w:rPr>
        <w:t xml:space="preserve"> 2015</w:t>
      </w:r>
    </w:p>
    <w:p w14:paraId="430CC00E" w14:textId="77777777" w:rsidR="00175ABB" w:rsidRPr="00EA6C7A" w:rsidRDefault="00175ABB" w:rsidP="00175ABB">
      <w:pPr>
        <w:spacing w:after="0" w:line="360" w:lineRule="auto"/>
        <w:jc w:val="center"/>
        <w:rPr>
          <w:rFonts w:ascii="Verdana" w:hAnsi="Verdana"/>
          <w:b/>
          <w:sz w:val="20"/>
          <w:szCs w:val="20"/>
          <w:lang w:val="en-US"/>
        </w:rPr>
      </w:pPr>
      <w:r w:rsidRPr="00EA6C7A">
        <w:rPr>
          <w:rFonts w:ascii="Verdana" w:hAnsi="Verdana"/>
          <w:b/>
          <w:i/>
          <w:sz w:val="20"/>
          <w:szCs w:val="20"/>
          <w:lang w:val="en-US"/>
        </w:rPr>
        <w:t>(</w:t>
      </w:r>
      <w:r w:rsidR="0096418F" w:rsidRPr="00EA6C7A">
        <w:rPr>
          <w:rFonts w:ascii="Verdana" w:hAnsi="Verdana"/>
          <w:b/>
          <w:i/>
          <w:sz w:val="20"/>
          <w:szCs w:val="20"/>
          <w:lang w:val="en-US"/>
        </w:rPr>
        <w:t>Preliminary objections, merits, reparations and costs</w:t>
      </w:r>
      <w:r w:rsidRPr="00EA6C7A">
        <w:rPr>
          <w:rFonts w:ascii="Verdana" w:hAnsi="Verdana"/>
          <w:b/>
          <w:sz w:val="20"/>
          <w:szCs w:val="20"/>
          <w:lang w:val="en-US"/>
        </w:rPr>
        <w:t>)</w:t>
      </w:r>
    </w:p>
    <w:p w14:paraId="5B30B5C5" w14:textId="77777777" w:rsidR="00175ABB" w:rsidRPr="00EA6C7A" w:rsidRDefault="00175ABB" w:rsidP="00175ABB">
      <w:pPr>
        <w:jc w:val="both"/>
        <w:rPr>
          <w:rFonts w:ascii="Verdana" w:hAnsi="Verdana"/>
          <w:sz w:val="20"/>
          <w:szCs w:val="20"/>
          <w:lang w:val="en-US"/>
        </w:rPr>
      </w:pPr>
    </w:p>
    <w:p w14:paraId="76BA3ADA" w14:textId="77777777" w:rsidR="001E3E1E" w:rsidRPr="00EA6C7A" w:rsidRDefault="001E3E1E" w:rsidP="00175ABB">
      <w:pPr>
        <w:jc w:val="both"/>
        <w:rPr>
          <w:rFonts w:ascii="Verdana" w:hAnsi="Verdana"/>
          <w:sz w:val="20"/>
          <w:szCs w:val="20"/>
          <w:lang w:val="en-US"/>
        </w:rPr>
      </w:pPr>
    </w:p>
    <w:p w14:paraId="6170B9CD" w14:textId="77777777" w:rsidR="001E3E1E" w:rsidRPr="00EA6C7A" w:rsidRDefault="001E3E1E" w:rsidP="00175ABB">
      <w:pPr>
        <w:jc w:val="both"/>
        <w:rPr>
          <w:rFonts w:ascii="Verdana" w:hAnsi="Verdana"/>
          <w:sz w:val="20"/>
          <w:szCs w:val="20"/>
          <w:lang w:val="en-US"/>
        </w:rPr>
      </w:pPr>
    </w:p>
    <w:p w14:paraId="3C94CA02" w14:textId="77777777" w:rsidR="00175ABB" w:rsidRPr="00EA6C7A" w:rsidRDefault="00854E32" w:rsidP="00175ABB">
      <w:pPr>
        <w:jc w:val="both"/>
        <w:rPr>
          <w:rFonts w:ascii="Verdana" w:hAnsi="Verdana"/>
          <w:sz w:val="20"/>
          <w:szCs w:val="20"/>
          <w:lang w:val="en-US"/>
        </w:rPr>
      </w:pPr>
      <w:r w:rsidRPr="00EA6C7A">
        <w:rPr>
          <w:rFonts w:ascii="Verdana" w:hAnsi="Verdana"/>
          <w:sz w:val="20"/>
          <w:szCs w:val="20"/>
          <w:lang w:val="en-US"/>
        </w:rPr>
        <w:t xml:space="preserve">This concurring opinion to the judgment in reference is issued to leave express record that the undersigned </w:t>
      </w:r>
      <w:r w:rsidR="007229B5" w:rsidRPr="00EA6C7A">
        <w:rPr>
          <w:rFonts w:ascii="Verdana" w:hAnsi="Verdana"/>
          <w:sz w:val="20"/>
          <w:szCs w:val="20"/>
          <w:lang w:val="en-US"/>
        </w:rPr>
        <w:t>supports</w:t>
      </w:r>
      <w:r w:rsidRPr="00EA6C7A">
        <w:rPr>
          <w:rFonts w:ascii="Verdana" w:hAnsi="Verdana"/>
          <w:sz w:val="20"/>
          <w:szCs w:val="20"/>
          <w:lang w:val="en-US"/>
        </w:rPr>
        <w:t xml:space="preserve"> the decision indicated therein to reject the preliminary objection </w:t>
      </w:r>
      <w:r w:rsidR="007229B5" w:rsidRPr="00EA6C7A">
        <w:rPr>
          <w:rFonts w:ascii="Verdana" w:hAnsi="Verdana"/>
          <w:sz w:val="20"/>
          <w:szCs w:val="20"/>
          <w:lang w:val="en-US"/>
        </w:rPr>
        <w:t>filed by the State concerning</w:t>
      </w:r>
      <w:r w:rsidRPr="00EA6C7A">
        <w:rPr>
          <w:rFonts w:ascii="Verdana" w:hAnsi="Verdana"/>
          <w:sz w:val="20"/>
          <w:szCs w:val="20"/>
          <w:lang w:val="en-US"/>
        </w:rPr>
        <w:t xml:space="preserve"> the alleged failure to exhaust domestic remedies</w:t>
      </w:r>
      <w:r w:rsidR="007229B5" w:rsidRPr="00EA6C7A">
        <w:rPr>
          <w:rFonts w:ascii="Verdana" w:hAnsi="Verdana"/>
          <w:sz w:val="20"/>
          <w:szCs w:val="20"/>
          <w:lang w:val="en-US"/>
        </w:rPr>
        <w:t>,</w:t>
      </w:r>
      <w:r w:rsidRPr="00EA6C7A">
        <w:rPr>
          <w:rFonts w:ascii="Verdana" w:hAnsi="Verdana"/>
          <w:sz w:val="20"/>
          <w:szCs w:val="20"/>
          <w:lang w:val="en-US"/>
        </w:rPr>
        <w:t xml:space="preserve"> basically because, on the one hand, the initial petition lodged in this case </w:t>
      </w:r>
      <w:r w:rsidR="007229B5" w:rsidRPr="00EA6C7A">
        <w:rPr>
          <w:rFonts w:ascii="Verdana" w:hAnsi="Verdana"/>
          <w:sz w:val="20"/>
          <w:szCs w:val="20"/>
          <w:lang w:val="en-US"/>
        </w:rPr>
        <w:t>had already asserted</w:t>
      </w:r>
      <w:r w:rsidRPr="00EA6C7A">
        <w:rPr>
          <w:rFonts w:ascii="Verdana" w:hAnsi="Verdana"/>
          <w:sz w:val="20"/>
          <w:szCs w:val="20"/>
          <w:lang w:val="en-US"/>
        </w:rPr>
        <w:t xml:space="preserve"> the non-applicability of the requirement to file and exhaust such remedies before </w:t>
      </w:r>
      <w:r w:rsidR="007229B5" w:rsidRPr="00EA6C7A">
        <w:rPr>
          <w:rFonts w:ascii="Verdana" w:hAnsi="Verdana"/>
          <w:sz w:val="20"/>
          <w:szCs w:val="20"/>
          <w:lang w:val="en-US"/>
        </w:rPr>
        <w:t>lodging the petition</w:t>
      </w:r>
      <w:r w:rsidRPr="00EA6C7A">
        <w:rPr>
          <w:rFonts w:ascii="Verdana" w:hAnsi="Verdana"/>
          <w:sz w:val="20"/>
          <w:szCs w:val="20"/>
          <w:lang w:val="en-US"/>
        </w:rPr>
        <w:t xml:space="preserve"> and, on the other hand, the State’s answer to the petition, when arguing that this requirement had not been complied with, </w:t>
      </w:r>
      <w:r w:rsidR="007229B5" w:rsidRPr="00EA6C7A">
        <w:rPr>
          <w:rFonts w:ascii="Verdana" w:hAnsi="Verdana"/>
          <w:sz w:val="20"/>
          <w:szCs w:val="20"/>
          <w:lang w:val="en-US"/>
        </w:rPr>
        <w:t xml:space="preserve">made </w:t>
      </w:r>
      <w:r w:rsidRPr="00EA6C7A">
        <w:rPr>
          <w:rFonts w:ascii="Verdana" w:hAnsi="Verdana"/>
          <w:sz w:val="20"/>
          <w:szCs w:val="20"/>
          <w:lang w:val="en-US"/>
        </w:rPr>
        <w:t>no mention of which remedies had not been exhausted, nor demonstrated whether they were available and adequate, appropriate and effective.</w:t>
      </w:r>
    </w:p>
    <w:p w14:paraId="33169514" w14:textId="77777777" w:rsidR="004C0B46" w:rsidRPr="00EA6C7A" w:rsidRDefault="00854E32" w:rsidP="00175ABB">
      <w:pPr>
        <w:jc w:val="both"/>
        <w:rPr>
          <w:rFonts w:ascii="Verdana" w:hAnsi="Verdana"/>
          <w:sz w:val="20"/>
          <w:szCs w:val="20"/>
          <w:lang w:val="en-US"/>
        </w:rPr>
      </w:pPr>
      <w:r w:rsidRPr="00EA6C7A">
        <w:rPr>
          <w:rFonts w:ascii="Verdana" w:hAnsi="Verdana"/>
          <w:sz w:val="20"/>
          <w:szCs w:val="20"/>
          <w:lang w:val="en-US"/>
        </w:rPr>
        <w:t>Thus, in the opinion of the undersigned, these facts were sufficient to reject the objection filed by the State</w:t>
      </w:r>
      <w:r w:rsidR="007229B5" w:rsidRPr="00EA6C7A">
        <w:rPr>
          <w:rFonts w:ascii="Verdana" w:hAnsi="Verdana"/>
          <w:sz w:val="20"/>
          <w:szCs w:val="20"/>
          <w:lang w:val="en-US"/>
        </w:rPr>
        <w:t>. Moreover,</w:t>
      </w:r>
      <w:r w:rsidRPr="00EA6C7A">
        <w:rPr>
          <w:rFonts w:ascii="Verdana" w:hAnsi="Verdana"/>
          <w:sz w:val="20"/>
          <w:szCs w:val="20"/>
          <w:lang w:val="en-US"/>
        </w:rPr>
        <w:t xml:space="preserve"> as I have affirmed in other separate opinions on the same issue,</w:t>
      </w:r>
      <w:r w:rsidR="00175ABB" w:rsidRPr="00EA6C7A">
        <w:rPr>
          <w:rStyle w:val="Refdenotaalpie"/>
          <w:rFonts w:ascii="Verdana" w:hAnsi="Verdana"/>
          <w:sz w:val="20"/>
          <w:szCs w:val="20"/>
          <w:lang w:val="en-US"/>
        </w:rPr>
        <w:footnoteReference w:id="369"/>
      </w:r>
      <w:r w:rsidRPr="00EA6C7A">
        <w:rPr>
          <w:rFonts w:ascii="Verdana" w:hAnsi="Verdana"/>
          <w:sz w:val="20"/>
          <w:szCs w:val="20"/>
          <w:lang w:val="en-US"/>
        </w:rPr>
        <w:t xml:space="preserve"> </w:t>
      </w:r>
      <w:r w:rsidR="007229B5" w:rsidRPr="00EA6C7A">
        <w:rPr>
          <w:rFonts w:ascii="Verdana" w:hAnsi="Verdana"/>
          <w:sz w:val="20"/>
          <w:szCs w:val="20"/>
          <w:lang w:val="en-US"/>
        </w:rPr>
        <w:t>this is based on the fact that</w:t>
      </w:r>
      <w:r w:rsidRPr="00EA6C7A">
        <w:rPr>
          <w:rFonts w:ascii="Verdana" w:hAnsi="Verdana"/>
          <w:sz w:val="20"/>
          <w:szCs w:val="20"/>
          <w:lang w:val="en-US"/>
        </w:rPr>
        <w:t xml:space="preserve"> the ruling </w:t>
      </w:r>
      <w:r w:rsidR="0096418F" w:rsidRPr="00EA6C7A">
        <w:rPr>
          <w:rFonts w:ascii="Verdana" w:hAnsi="Verdana"/>
          <w:sz w:val="20"/>
          <w:szCs w:val="20"/>
          <w:lang w:val="en-US"/>
        </w:rPr>
        <w:t>of the Inter-American Commission on Human Rights</w:t>
      </w:r>
      <w:r w:rsidR="00175ABB" w:rsidRPr="00EA6C7A">
        <w:rPr>
          <w:rFonts w:ascii="Verdana" w:hAnsi="Verdana"/>
          <w:sz w:val="20"/>
          <w:szCs w:val="20"/>
          <w:lang w:val="en-US"/>
        </w:rPr>
        <w:t xml:space="preserve"> </w:t>
      </w:r>
      <w:r w:rsidRPr="00EA6C7A">
        <w:rPr>
          <w:rFonts w:ascii="Verdana" w:hAnsi="Verdana"/>
          <w:sz w:val="20"/>
          <w:szCs w:val="20"/>
          <w:lang w:val="en-US"/>
        </w:rPr>
        <w:t>concerning the</w:t>
      </w:r>
      <w:r w:rsidR="007229B5" w:rsidRPr="00EA6C7A">
        <w:rPr>
          <w:rFonts w:ascii="Verdana" w:hAnsi="Verdana"/>
          <w:sz w:val="20"/>
          <w:szCs w:val="20"/>
          <w:lang w:val="en-US"/>
        </w:rPr>
        <w:t xml:space="preserve"> petition’s</w:t>
      </w:r>
      <w:r w:rsidRPr="00EA6C7A">
        <w:rPr>
          <w:rFonts w:ascii="Verdana" w:hAnsi="Verdana"/>
          <w:sz w:val="20"/>
          <w:szCs w:val="20"/>
          <w:lang w:val="en-US"/>
        </w:rPr>
        <w:t xml:space="preserve"> admissibility should be made</w:t>
      </w:r>
      <w:r w:rsidR="00C10A7B" w:rsidRPr="00EA6C7A">
        <w:rPr>
          <w:rFonts w:ascii="Verdana" w:hAnsi="Verdana"/>
          <w:sz w:val="20"/>
          <w:szCs w:val="20"/>
          <w:lang w:val="en-US"/>
        </w:rPr>
        <w:t>,</w:t>
      </w:r>
      <w:r w:rsidRPr="00EA6C7A">
        <w:rPr>
          <w:rFonts w:ascii="Verdana" w:hAnsi="Verdana"/>
          <w:sz w:val="20"/>
          <w:szCs w:val="20"/>
          <w:lang w:val="en-US"/>
        </w:rPr>
        <w:t xml:space="preserve"> in accordance with the provisions of </w:t>
      </w:r>
      <w:r w:rsidR="0096418F" w:rsidRPr="00EA6C7A">
        <w:rPr>
          <w:rFonts w:ascii="Verdana" w:hAnsi="Verdana"/>
          <w:sz w:val="20"/>
          <w:szCs w:val="20"/>
          <w:lang w:val="en-US"/>
        </w:rPr>
        <w:t>Article</w:t>
      </w:r>
      <w:r w:rsidR="00175ABB" w:rsidRPr="00EA6C7A">
        <w:rPr>
          <w:rFonts w:ascii="Verdana" w:hAnsi="Verdana"/>
          <w:sz w:val="20"/>
          <w:szCs w:val="20"/>
          <w:lang w:val="en-US"/>
        </w:rPr>
        <w:t xml:space="preserve"> 46</w:t>
      </w:r>
      <w:r w:rsidR="004C0B46" w:rsidRPr="00EA6C7A">
        <w:rPr>
          <w:rFonts w:ascii="Verdana" w:hAnsi="Verdana"/>
          <w:sz w:val="20"/>
          <w:szCs w:val="20"/>
          <w:lang w:val="en-US"/>
        </w:rPr>
        <w:t>(</w:t>
      </w:r>
      <w:r w:rsidR="00175ABB" w:rsidRPr="00EA6C7A">
        <w:rPr>
          <w:rFonts w:ascii="Verdana" w:hAnsi="Verdana"/>
          <w:sz w:val="20"/>
          <w:szCs w:val="20"/>
          <w:lang w:val="en-US"/>
        </w:rPr>
        <w:t>1</w:t>
      </w:r>
      <w:r w:rsidR="004C0B46" w:rsidRPr="00EA6C7A">
        <w:rPr>
          <w:rFonts w:ascii="Verdana" w:hAnsi="Verdana"/>
          <w:sz w:val="20"/>
          <w:szCs w:val="20"/>
          <w:lang w:val="en-US"/>
        </w:rPr>
        <w:t>)</w:t>
      </w:r>
      <w:r w:rsidR="0096418F" w:rsidRPr="00EA6C7A">
        <w:rPr>
          <w:rFonts w:ascii="Verdana" w:hAnsi="Verdana"/>
          <w:sz w:val="20"/>
          <w:szCs w:val="20"/>
          <w:lang w:val="en-US"/>
        </w:rPr>
        <w:t xml:space="preserve"> of the American Convention on Human Rights</w:t>
      </w:r>
      <w:r w:rsidR="00D948A1" w:rsidRPr="00EA6C7A">
        <w:rPr>
          <w:rFonts w:ascii="Verdana" w:hAnsi="Verdana"/>
          <w:sz w:val="20"/>
          <w:szCs w:val="20"/>
          <w:lang w:val="en-US"/>
        </w:rPr>
        <w:t xml:space="preserve"> and </w:t>
      </w:r>
      <w:r w:rsidR="004C0B46" w:rsidRPr="00EA6C7A">
        <w:rPr>
          <w:rFonts w:ascii="Verdana" w:hAnsi="Verdana"/>
          <w:sz w:val="20"/>
          <w:szCs w:val="20"/>
          <w:lang w:val="en-US"/>
        </w:rPr>
        <w:t>its own Rules of Procedure</w:t>
      </w:r>
      <w:r w:rsidR="00C10A7B" w:rsidRPr="00EA6C7A">
        <w:rPr>
          <w:rFonts w:ascii="Verdana" w:hAnsi="Verdana"/>
          <w:sz w:val="20"/>
          <w:szCs w:val="20"/>
          <w:lang w:val="en-US"/>
        </w:rPr>
        <w:t>, on the basis of the petition “</w:t>
      </w:r>
      <w:r w:rsidR="00C10A7B" w:rsidRPr="00EA6C7A">
        <w:rPr>
          <w:rFonts w:ascii="Verdana" w:hAnsi="Verdana"/>
          <w:i/>
          <w:iCs/>
          <w:sz w:val="20"/>
          <w:szCs w:val="20"/>
          <w:lang w:val="en-US"/>
        </w:rPr>
        <w:t>lodged</w:t>
      </w:r>
      <w:r w:rsidR="00C10A7B" w:rsidRPr="00EA6C7A">
        <w:rPr>
          <w:rFonts w:ascii="Verdana" w:hAnsi="Verdana"/>
          <w:sz w:val="20"/>
          <w:szCs w:val="20"/>
          <w:lang w:val="en-US"/>
        </w:rPr>
        <w:t>”;</w:t>
      </w:r>
      <w:r w:rsidR="004C0B46" w:rsidRPr="00EA6C7A">
        <w:rPr>
          <w:rFonts w:ascii="Verdana" w:hAnsi="Verdana"/>
          <w:sz w:val="20"/>
          <w:szCs w:val="20"/>
          <w:lang w:val="en-US"/>
        </w:rPr>
        <w:t xml:space="preserve"> in other words, just as it was and not </w:t>
      </w:r>
      <w:r w:rsidR="007229B5" w:rsidRPr="00EA6C7A">
        <w:rPr>
          <w:rFonts w:ascii="Verdana" w:hAnsi="Verdana"/>
          <w:sz w:val="20"/>
          <w:szCs w:val="20"/>
          <w:lang w:val="en-US"/>
        </w:rPr>
        <w:t xml:space="preserve">based on </w:t>
      </w:r>
      <w:r w:rsidR="004C0B46" w:rsidRPr="00EA6C7A">
        <w:rPr>
          <w:rFonts w:ascii="Verdana" w:hAnsi="Verdana"/>
          <w:sz w:val="20"/>
          <w:szCs w:val="20"/>
          <w:lang w:val="en-US"/>
        </w:rPr>
        <w:t xml:space="preserve">what may have happened subsequently. </w:t>
      </w:r>
    </w:p>
    <w:p w14:paraId="0461FEC1" w14:textId="77777777" w:rsidR="00175ABB" w:rsidRPr="00EA6C7A" w:rsidRDefault="001E3E1E" w:rsidP="00175ABB">
      <w:pPr>
        <w:jc w:val="both"/>
        <w:rPr>
          <w:rFonts w:ascii="Verdana" w:hAnsi="Verdana"/>
          <w:sz w:val="20"/>
          <w:szCs w:val="20"/>
          <w:lang w:val="en-US"/>
        </w:rPr>
      </w:pPr>
      <w:r w:rsidRPr="00EA6C7A">
        <w:rPr>
          <w:rFonts w:ascii="Verdana" w:hAnsi="Verdana"/>
          <w:sz w:val="20"/>
          <w:szCs w:val="20"/>
          <w:lang w:val="en-US"/>
        </w:rPr>
        <w:t>And this is so because, if it w</w:t>
      </w:r>
      <w:r w:rsidR="00C10A7B" w:rsidRPr="00EA6C7A">
        <w:rPr>
          <w:rFonts w:ascii="Verdana" w:hAnsi="Verdana"/>
          <w:sz w:val="20"/>
          <w:szCs w:val="20"/>
          <w:lang w:val="en-US"/>
        </w:rPr>
        <w:t>ere</w:t>
      </w:r>
      <w:r w:rsidRPr="00EA6C7A">
        <w:rPr>
          <w:rFonts w:ascii="Verdana" w:hAnsi="Verdana"/>
          <w:sz w:val="20"/>
          <w:szCs w:val="20"/>
          <w:lang w:val="en-US"/>
        </w:rPr>
        <w:t xml:space="preserve"> </w:t>
      </w:r>
      <w:r w:rsidR="00816820" w:rsidRPr="00EA6C7A">
        <w:rPr>
          <w:rFonts w:ascii="Verdana" w:hAnsi="Verdana"/>
          <w:sz w:val="20"/>
          <w:szCs w:val="20"/>
          <w:lang w:val="en-US"/>
        </w:rPr>
        <w:t xml:space="preserve">to be </w:t>
      </w:r>
      <w:r w:rsidRPr="00EA6C7A">
        <w:rPr>
          <w:rFonts w:ascii="Verdana" w:hAnsi="Verdana"/>
          <w:sz w:val="20"/>
          <w:szCs w:val="20"/>
          <w:lang w:val="en-US"/>
        </w:rPr>
        <w:t xml:space="preserve">accepted that the ruling on the petition’s admissibility was made in relation to what </w:t>
      </w:r>
      <w:r w:rsidR="00816820" w:rsidRPr="00EA6C7A">
        <w:rPr>
          <w:rFonts w:ascii="Verdana" w:hAnsi="Verdana"/>
          <w:sz w:val="20"/>
          <w:szCs w:val="20"/>
          <w:lang w:val="en-US"/>
        </w:rPr>
        <w:t xml:space="preserve">had </w:t>
      </w:r>
      <w:r w:rsidRPr="00EA6C7A">
        <w:rPr>
          <w:rFonts w:ascii="Verdana" w:hAnsi="Verdana"/>
          <w:sz w:val="20"/>
          <w:szCs w:val="20"/>
          <w:lang w:val="en-US"/>
        </w:rPr>
        <w:t xml:space="preserve">happened after it </w:t>
      </w:r>
      <w:r w:rsidR="00C10A7B" w:rsidRPr="00EA6C7A">
        <w:rPr>
          <w:rFonts w:ascii="Verdana" w:hAnsi="Verdana"/>
          <w:sz w:val="20"/>
          <w:szCs w:val="20"/>
          <w:lang w:val="en-US"/>
        </w:rPr>
        <w:t>was</w:t>
      </w:r>
      <w:r w:rsidRPr="00EA6C7A">
        <w:rPr>
          <w:rFonts w:ascii="Verdana" w:hAnsi="Verdana"/>
          <w:sz w:val="20"/>
          <w:szCs w:val="20"/>
          <w:lang w:val="en-US"/>
        </w:rPr>
        <w:t xml:space="preserve"> lodged </w:t>
      </w:r>
      <w:r w:rsidR="00C10A7B" w:rsidRPr="00EA6C7A">
        <w:rPr>
          <w:rFonts w:ascii="Verdana" w:hAnsi="Verdana"/>
          <w:sz w:val="20"/>
          <w:szCs w:val="20"/>
          <w:lang w:val="en-US"/>
        </w:rPr>
        <w:t>and after</w:t>
      </w:r>
      <w:r w:rsidRPr="00EA6C7A">
        <w:rPr>
          <w:rFonts w:ascii="Verdana" w:hAnsi="Verdana"/>
          <w:sz w:val="20"/>
          <w:szCs w:val="20"/>
          <w:lang w:val="en-US"/>
        </w:rPr>
        <w:t xml:space="preserve"> the corresponding answer by the State, this could constitute an incentive – that could </w:t>
      </w:r>
      <w:r w:rsidRPr="00EA6C7A">
        <w:rPr>
          <w:rFonts w:ascii="Verdana" w:hAnsi="Verdana"/>
          <w:sz w:val="20"/>
          <w:szCs w:val="20"/>
          <w:lang w:val="en-US"/>
        </w:rPr>
        <w:lastRenderedPageBreak/>
        <w:t xml:space="preserve">be perverse – for submissions to be made to the </w:t>
      </w:r>
      <w:r w:rsidR="00C10A7B" w:rsidRPr="00EA6C7A">
        <w:rPr>
          <w:rFonts w:ascii="Verdana" w:hAnsi="Verdana"/>
          <w:sz w:val="20"/>
          <w:szCs w:val="20"/>
          <w:lang w:val="en-US"/>
        </w:rPr>
        <w:t>Inter-American</w:t>
      </w:r>
      <w:r w:rsidRPr="00EA6C7A">
        <w:rPr>
          <w:rFonts w:ascii="Verdana" w:hAnsi="Verdana"/>
          <w:sz w:val="20"/>
          <w:szCs w:val="20"/>
          <w:lang w:val="en-US"/>
        </w:rPr>
        <w:t xml:space="preserve"> Commission even when the said requirement had not been met as mandated by the </w:t>
      </w:r>
      <w:r w:rsidR="00C10A7B" w:rsidRPr="00EA6C7A">
        <w:rPr>
          <w:rFonts w:ascii="Verdana" w:hAnsi="Verdana"/>
          <w:sz w:val="20"/>
          <w:szCs w:val="20"/>
          <w:lang w:val="en-US"/>
        </w:rPr>
        <w:t>aforementioned</w:t>
      </w:r>
      <w:r w:rsidRPr="00EA6C7A">
        <w:rPr>
          <w:rFonts w:ascii="Verdana" w:hAnsi="Verdana"/>
          <w:sz w:val="20"/>
          <w:szCs w:val="20"/>
          <w:lang w:val="en-US"/>
        </w:rPr>
        <w:t xml:space="preserve"> article of the Convention, in the hope that </w:t>
      </w:r>
      <w:r w:rsidR="00C10A7B" w:rsidRPr="00EA6C7A">
        <w:rPr>
          <w:rFonts w:ascii="Verdana" w:hAnsi="Verdana"/>
          <w:sz w:val="20"/>
          <w:szCs w:val="20"/>
          <w:lang w:val="en-US"/>
        </w:rPr>
        <w:t>it</w:t>
      </w:r>
      <w:r w:rsidRPr="00EA6C7A">
        <w:rPr>
          <w:rFonts w:ascii="Verdana" w:hAnsi="Verdana"/>
          <w:sz w:val="20"/>
          <w:szCs w:val="20"/>
          <w:lang w:val="en-US"/>
        </w:rPr>
        <w:t xml:space="preserve"> could be met subsequently; in other words, prior to the Commission’s ruling on admissibility. In addition, situations of </w:t>
      </w:r>
      <w:r w:rsidR="00C10A7B" w:rsidRPr="00EA6C7A">
        <w:rPr>
          <w:rFonts w:ascii="Verdana" w:hAnsi="Verdana"/>
          <w:sz w:val="20"/>
          <w:szCs w:val="20"/>
          <w:lang w:val="en-US"/>
        </w:rPr>
        <w:t>evident</w:t>
      </w:r>
      <w:r w:rsidRPr="00EA6C7A">
        <w:rPr>
          <w:rFonts w:ascii="Verdana" w:hAnsi="Verdana"/>
          <w:sz w:val="20"/>
          <w:szCs w:val="20"/>
          <w:lang w:val="en-US"/>
        </w:rPr>
        <w:t xml:space="preserve"> injustice or arbitrariness would arise insofar as the </w:t>
      </w:r>
      <w:r w:rsidR="00C10A7B" w:rsidRPr="00EA6C7A">
        <w:rPr>
          <w:rFonts w:ascii="Verdana" w:hAnsi="Verdana"/>
          <w:sz w:val="20"/>
          <w:szCs w:val="20"/>
          <w:lang w:val="en-US"/>
        </w:rPr>
        <w:t>proper moment</w:t>
      </w:r>
      <w:r w:rsidRPr="00EA6C7A">
        <w:rPr>
          <w:rFonts w:ascii="Verdana" w:hAnsi="Verdana"/>
          <w:sz w:val="20"/>
          <w:szCs w:val="20"/>
          <w:lang w:val="en-US"/>
        </w:rPr>
        <w:t xml:space="preserve"> to comply with the said requirement would depend not on the victim or the petition</w:t>
      </w:r>
      <w:r w:rsidR="00C10A7B" w:rsidRPr="00EA6C7A">
        <w:rPr>
          <w:rFonts w:ascii="Verdana" w:hAnsi="Verdana"/>
          <w:sz w:val="20"/>
          <w:szCs w:val="20"/>
          <w:lang w:val="en-US"/>
        </w:rPr>
        <w:t>er</w:t>
      </w:r>
      <w:r w:rsidRPr="00EA6C7A">
        <w:rPr>
          <w:rFonts w:ascii="Verdana" w:hAnsi="Verdana"/>
          <w:sz w:val="20"/>
          <w:szCs w:val="20"/>
          <w:lang w:val="en-US"/>
        </w:rPr>
        <w:t xml:space="preserve">, as provided for in </w:t>
      </w:r>
      <w:r w:rsidR="0096418F" w:rsidRPr="00EA6C7A">
        <w:rPr>
          <w:rFonts w:ascii="Verdana" w:hAnsi="Verdana" w:cs="Calibri"/>
          <w:sz w:val="20"/>
          <w:szCs w:val="20"/>
          <w:lang w:val="en-US"/>
        </w:rPr>
        <w:t>Article</w:t>
      </w:r>
      <w:r w:rsidR="00175ABB" w:rsidRPr="00EA6C7A">
        <w:rPr>
          <w:rFonts w:ascii="Verdana" w:hAnsi="Verdana" w:cs="Calibri"/>
          <w:sz w:val="20"/>
          <w:szCs w:val="20"/>
          <w:lang w:val="en-US"/>
        </w:rPr>
        <w:t xml:space="preserve"> 46</w:t>
      </w:r>
      <w:r w:rsidR="004C0B46" w:rsidRPr="00EA6C7A">
        <w:rPr>
          <w:rFonts w:ascii="Verdana" w:hAnsi="Verdana" w:cs="Calibri"/>
          <w:sz w:val="20"/>
          <w:szCs w:val="20"/>
          <w:lang w:val="en-US"/>
        </w:rPr>
        <w:t>(</w:t>
      </w:r>
      <w:r w:rsidR="00175ABB" w:rsidRPr="00EA6C7A">
        <w:rPr>
          <w:rFonts w:ascii="Verdana" w:hAnsi="Verdana" w:cs="Calibri"/>
          <w:sz w:val="20"/>
          <w:szCs w:val="20"/>
          <w:lang w:val="en-US"/>
        </w:rPr>
        <w:t>1</w:t>
      </w:r>
      <w:r w:rsidR="004C0B46" w:rsidRPr="00EA6C7A">
        <w:rPr>
          <w:rFonts w:ascii="Verdana" w:hAnsi="Verdana" w:cs="Calibri"/>
          <w:sz w:val="20"/>
          <w:szCs w:val="20"/>
          <w:lang w:val="en-US"/>
        </w:rPr>
        <w:t>)(</w:t>
      </w:r>
      <w:r w:rsidR="00175ABB" w:rsidRPr="00EA6C7A">
        <w:rPr>
          <w:rFonts w:ascii="Verdana" w:hAnsi="Verdana" w:cs="Calibri"/>
          <w:sz w:val="20"/>
          <w:szCs w:val="20"/>
          <w:lang w:val="en-US"/>
        </w:rPr>
        <w:t xml:space="preserve">a) </w:t>
      </w:r>
      <w:r w:rsidRPr="00EA6C7A">
        <w:rPr>
          <w:rFonts w:ascii="Verdana" w:hAnsi="Verdana" w:cs="Calibri"/>
          <w:sz w:val="20"/>
          <w:szCs w:val="20"/>
          <w:lang w:val="en-US"/>
        </w:rPr>
        <w:t xml:space="preserve">of the American Convention, but rather on the decision of the Commission when </w:t>
      </w:r>
      <w:r w:rsidR="00A5452E" w:rsidRPr="00EA6C7A">
        <w:rPr>
          <w:rFonts w:ascii="Verdana" w:hAnsi="Verdana" w:cs="Calibri"/>
          <w:sz w:val="20"/>
          <w:szCs w:val="20"/>
          <w:lang w:val="en-US"/>
        </w:rPr>
        <w:t>determining</w:t>
      </w:r>
      <w:r w:rsidRPr="00EA6C7A">
        <w:rPr>
          <w:rFonts w:ascii="Verdana" w:hAnsi="Verdana" w:cs="Calibri"/>
          <w:sz w:val="20"/>
          <w:szCs w:val="20"/>
          <w:lang w:val="en-US"/>
        </w:rPr>
        <w:t xml:space="preserve"> the admissibility or inadmissibility of the petition.</w:t>
      </w:r>
    </w:p>
    <w:p w14:paraId="3E76E776" w14:textId="77777777" w:rsidR="00175ABB" w:rsidRPr="00EA6C7A" w:rsidRDefault="00175ABB" w:rsidP="00175ABB">
      <w:pPr>
        <w:jc w:val="both"/>
        <w:rPr>
          <w:rFonts w:ascii="Verdana" w:hAnsi="Verdana" w:cs="Calibri"/>
          <w:sz w:val="20"/>
          <w:szCs w:val="20"/>
          <w:lang w:val="en-US"/>
        </w:rPr>
      </w:pPr>
    </w:p>
    <w:p w14:paraId="729A804B" w14:textId="77777777" w:rsidR="00175ABB" w:rsidRPr="00EA6C7A" w:rsidRDefault="00175ABB" w:rsidP="00175ABB">
      <w:pPr>
        <w:spacing w:after="0"/>
        <w:jc w:val="right"/>
        <w:rPr>
          <w:rFonts w:ascii="Verdana" w:hAnsi="Verdana" w:cs="Calibri"/>
          <w:sz w:val="20"/>
          <w:szCs w:val="20"/>
          <w:lang w:val="en-US"/>
        </w:rPr>
      </w:pPr>
    </w:p>
    <w:p w14:paraId="2C38A2B3" w14:textId="77777777" w:rsidR="00175ABB" w:rsidRPr="00EA6C7A" w:rsidRDefault="00175ABB" w:rsidP="00175ABB">
      <w:pPr>
        <w:spacing w:after="0"/>
        <w:jc w:val="right"/>
        <w:rPr>
          <w:rFonts w:ascii="Verdana" w:hAnsi="Verdana" w:cs="Calibri"/>
          <w:sz w:val="20"/>
          <w:szCs w:val="20"/>
          <w:lang w:val="en-US"/>
        </w:rPr>
      </w:pPr>
    </w:p>
    <w:p w14:paraId="13C684C5" w14:textId="77777777" w:rsidR="00175ABB" w:rsidRPr="00EA6C7A" w:rsidRDefault="00175ABB" w:rsidP="00175ABB">
      <w:pPr>
        <w:spacing w:after="0"/>
        <w:jc w:val="right"/>
        <w:rPr>
          <w:rFonts w:ascii="Verdana" w:hAnsi="Verdana" w:cs="Calibri"/>
          <w:sz w:val="20"/>
          <w:szCs w:val="20"/>
        </w:rPr>
      </w:pPr>
      <w:r w:rsidRPr="00EA6C7A">
        <w:rPr>
          <w:rFonts w:ascii="Verdana" w:hAnsi="Verdana" w:cs="Calibri"/>
          <w:sz w:val="20"/>
          <w:szCs w:val="20"/>
        </w:rPr>
        <w:t>Eduardo Vio Grossi</w:t>
      </w:r>
    </w:p>
    <w:p w14:paraId="41E047F1" w14:textId="77777777" w:rsidR="00175ABB" w:rsidRPr="00EA6C7A" w:rsidRDefault="0096418F" w:rsidP="00175ABB">
      <w:pPr>
        <w:spacing w:after="0"/>
        <w:ind w:left="7080" w:firstLine="708"/>
        <w:rPr>
          <w:rFonts w:ascii="Verdana" w:hAnsi="Verdana" w:cs="Calibri"/>
          <w:sz w:val="20"/>
          <w:szCs w:val="20"/>
        </w:rPr>
      </w:pPr>
      <w:proofErr w:type="spellStart"/>
      <w:r w:rsidRPr="00EA6C7A">
        <w:rPr>
          <w:rFonts w:ascii="Verdana" w:hAnsi="Verdana" w:cs="Calibri"/>
          <w:sz w:val="20"/>
          <w:szCs w:val="20"/>
        </w:rPr>
        <w:t>Judge</w:t>
      </w:r>
      <w:proofErr w:type="spellEnd"/>
    </w:p>
    <w:p w14:paraId="5434C23D" w14:textId="77777777" w:rsidR="00175ABB" w:rsidRPr="00EA6C7A" w:rsidRDefault="00175ABB" w:rsidP="00175ABB">
      <w:pPr>
        <w:spacing w:after="0"/>
        <w:ind w:left="7080" w:firstLine="708"/>
        <w:rPr>
          <w:rFonts w:ascii="Verdana" w:hAnsi="Verdana" w:cs="Tahoma"/>
          <w:sz w:val="20"/>
          <w:szCs w:val="20"/>
        </w:rPr>
      </w:pPr>
    </w:p>
    <w:p w14:paraId="070C8843" w14:textId="77777777" w:rsidR="00175ABB" w:rsidRPr="00EA6C7A" w:rsidRDefault="00175ABB" w:rsidP="00175ABB">
      <w:pPr>
        <w:spacing w:after="0" w:line="240" w:lineRule="auto"/>
        <w:rPr>
          <w:rFonts w:ascii="Verdana" w:hAnsi="Verdana"/>
          <w:sz w:val="20"/>
          <w:szCs w:val="20"/>
        </w:rPr>
      </w:pPr>
      <w:r w:rsidRPr="00EA6C7A">
        <w:rPr>
          <w:rFonts w:ascii="Verdana" w:hAnsi="Verdana"/>
          <w:sz w:val="20"/>
          <w:szCs w:val="20"/>
        </w:rPr>
        <w:t>Pablo Saavedra Alessandri</w:t>
      </w:r>
    </w:p>
    <w:p w14:paraId="06D42D9D" w14:textId="77777777" w:rsidR="00175ABB" w:rsidRPr="00EA6C7A" w:rsidRDefault="00175ABB" w:rsidP="00175ABB">
      <w:pPr>
        <w:spacing w:after="0" w:line="240" w:lineRule="auto"/>
        <w:rPr>
          <w:rFonts w:ascii="Verdana" w:hAnsi="Verdana"/>
          <w:sz w:val="20"/>
          <w:szCs w:val="20"/>
          <w:lang w:val="en-US"/>
        </w:rPr>
      </w:pPr>
      <w:r w:rsidRPr="00EA6C7A">
        <w:rPr>
          <w:rFonts w:ascii="Verdana" w:hAnsi="Verdana"/>
          <w:sz w:val="20"/>
          <w:szCs w:val="20"/>
        </w:rPr>
        <w:tab/>
      </w:r>
      <w:r w:rsidR="0096418F" w:rsidRPr="00EA6C7A">
        <w:rPr>
          <w:rFonts w:ascii="Verdana" w:hAnsi="Verdana"/>
          <w:sz w:val="20"/>
          <w:szCs w:val="20"/>
          <w:lang w:val="en-US"/>
        </w:rPr>
        <w:t>Secretary</w:t>
      </w:r>
    </w:p>
    <w:p w14:paraId="14E68727" w14:textId="77777777" w:rsidR="00175ABB" w:rsidRPr="00EA6C7A" w:rsidRDefault="00175ABB" w:rsidP="00175ABB">
      <w:pPr>
        <w:spacing w:after="0" w:line="240" w:lineRule="auto"/>
        <w:rPr>
          <w:rFonts w:ascii="Verdana" w:hAnsi="Verdana"/>
          <w:spacing w:val="-2"/>
          <w:sz w:val="20"/>
          <w:szCs w:val="20"/>
          <w:lang w:val="en-US"/>
        </w:rPr>
      </w:pPr>
    </w:p>
    <w:p w14:paraId="6ADB8F99" w14:textId="77777777" w:rsidR="00F40F45" w:rsidRPr="00EA6C7A" w:rsidRDefault="00F40F45" w:rsidP="00175ABB">
      <w:pPr>
        <w:spacing w:after="0" w:line="240" w:lineRule="auto"/>
        <w:rPr>
          <w:rFonts w:ascii="Verdana" w:hAnsi="Verdana"/>
          <w:sz w:val="20"/>
          <w:szCs w:val="20"/>
          <w:lang w:val="en-US"/>
        </w:rPr>
        <w:sectPr w:rsidR="00F40F45" w:rsidRPr="00EA6C7A" w:rsidSect="00175ABB">
          <w:footerReference w:type="default" r:id="rId15"/>
          <w:footnotePr>
            <w:numRestart w:val="eachSect"/>
          </w:footnotePr>
          <w:pgSz w:w="12240" w:h="15840"/>
          <w:pgMar w:top="1417" w:right="1701" w:bottom="1417" w:left="1701" w:header="708" w:footer="708" w:gutter="0"/>
          <w:pgNumType w:start="1"/>
          <w:cols w:space="708"/>
          <w:titlePg/>
          <w:docGrid w:linePitch="360"/>
        </w:sectPr>
      </w:pPr>
    </w:p>
    <w:p w14:paraId="0420D5C6" w14:textId="77777777" w:rsidR="00175ABB" w:rsidRPr="00EA6C7A" w:rsidRDefault="00175ABB" w:rsidP="00F912BD">
      <w:pPr>
        <w:spacing w:after="0" w:line="240" w:lineRule="auto"/>
        <w:rPr>
          <w:rFonts w:ascii="Verdana" w:eastAsia="Calibri" w:hAnsi="Verdana"/>
          <w:b/>
          <w:sz w:val="20"/>
          <w:szCs w:val="20"/>
          <w:lang w:val="en-US"/>
        </w:rPr>
      </w:pPr>
    </w:p>
    <w:p w14:paraId="7AB5C3B3" w14:textId="77777777" w:rsidR="00F40F45" w:rsidRPr="00EA6C7A" w:rsidRDefault="00F40F45" w:rsidP="00F912BD">
      <w:pPr>
        <w:spacing w:after="0" w:line="240" w:lineRule="auto"/>
        <w:rPr>
          <w:rFonts w:ascii="Verdana" w:eastAsia="Calibri" w:hAnsi="Verdana"/>
          <w:b/>
          <w:sz w:val="20"/>
          <w:szCs w:val="20"/>
          <w:lang w:val="en-US"/>
        </w:rPr>
      </w:pPr>
    </w:p>
    <w:p w14:paraId="2A21A1C4" w14:textId="77777777" w:rsidR="00175ABB" w:rsidRPr="00EA6C7A" w:rsidRDefault="00175ABB" w:rsidP="00175ABB">
      <w:pPr>
        <w:spacing w:after="0" w:line="240" w:lineRule="auto"/>
        <w:jc w:val="center"/>
        <w:rPr>
          <w:rFonts w:ascii="Verdana" w:eastAsia="Calibri" w:hAnsi="Verdana"/>
          <w:b/>
          <w:sz w:val="20"/>
          <w:szCs w:val="20"/>
          <w:lang w:val="en-US"/>
        </w:rPr>
      </w:pPr>
    </w:p>
    <w:p w14:paraId="674799DE" w14:textId="77777777" w:rsidR="00175ABB" w:rsidRPr="00EA6C7A" w:rsidRDefault="00C20BDF" w:rsidP="00F912BD">
      <w:pPr>
        <w:spacing w:after="0" w:line="240" w:lineRule="auto"/>
        <w:jc w:val="center"/>
        <w:rPr>
          <w:rFonts w:ascii="Verdana" w:eastAsia="Calibri" w:hAnsi="Verdana"/>
          <w:b/>
          <w:sz w:val="20"/>
          <w:szCs w:val="20"/>
          <w:lang w:val="en-US"/>
        </w:rPr>
      </w:pPr>
      <w:r w:rsidRPr="00EA6C7A">
        <w:rPr>
          <w:rFonts w:ascii="Verdana" w:eastAsia="Calibri" w:hAnsi="Verdana"/>
          <w:b/>
          <w:sz w:val="20"/>
          <w:szCs w:val="20"/>
          <w:lang w:val="en-US"/>
        </w:rPr>
        <w:t>SEPARATE OPINION OF</w:t>
      </w:r>
    </w:p>
    <w:p w14:paraId="40E6C64B" w14:textId="77777777" w:rsidR="00175ABB" w:rsidRPr="00EA6C7A" w:rsidRDefault="00175ABB" w:rsidP="00F912BD">
      <w:pPr>
        <w:spacing w:after="0" w:line="240" w:lineRule="auto"/>
        <w:jc w:val="center"/>
        <w:rPr>
          <w:rFonts w:ascii="Verdana" w:eastAsia="Calibri" w:hAnsi="Verdana"/>
          <w:b/>
          <w:sz w:val="20"/>
          <w:szCs w:val="20"/>
          <w:lang w:val="en-US"/>
        </w:rPr>
      </w:pPr>
      <w:r w:rsidRPr="00EA6C7A">
        <w:rPr>
          <w:rFonts w:ascii="Verdana" w:eastAsia="Calibri" w:hAnsi="Verdana"/>
          <w:b/>
          <w:sz w:val="20"/>
          <w:szCs w:val="20"/>
          <w:lang w:val="en-US"/>
        </w:rPr>
        <w:t>JUEZ EDUARDO FERRER MAC-GREGOR POISOT</w:t>
      </w:r>
    </w:p>
    <w:p w14:paraId="7052139E" w14:textId="77777777" w:rsidR="00175ABB" w:rsidRPr="00EA6C7A" w:rsidRDefault="00175ABB" w:rsidP="00175ABB">
      <w:pPr>
        <w:spacing w:after="0" w:line="240" w:lineRule="auto"/>
        <w:jc w:val="center"/>
        <w:rPr>
          <w:rFonts w:ascii="Verdana" w:eastAsia="Calibri" w:hAnsi="Verdana"/>
          <w:b/>
          <w:sz w:val="20"/>
          <w:szCs w:val="20"/>
          <w:lang w:val="en-US"/>
        </w:rPr>
      </w:pPr>
    </w:p>
    <w:p w14:paraId="17C79594" w14:textId="77777777" w:rsidR="00175ABB" w:rsidRPr="00EA6C7A" w:rsidRDefault="00175ABB" w:rsidP="00175ABB">
      <w:pPr>
        <w:spacing w:after="0" w:line="240" w:lineRule="auto"/>
        <w:jc w:val="center"/>
        <w:rPr>
          <w:rFonts w:ascii="Verdana" w:eastAsia="Calibri" w:hAnsi="Verdana"/>
          <w:b/>
          <w:i/>
          <w:sz w:val="20"/>
          <w:szCs w:val="20"/>
          <w:u w:val="single"/>
          <w:lang w:val="en-US"/>
        </w:rPr>
      </w:pPr>
      <w:r w:rsidRPr="00EA6C7A">
        <w:rPr>
          <w:rFonts w:ascii="Verdana" w:eastAsia="Calibri" w:hAnsi="Verdana"/>
          <w:b/>
          <w:i/>
          <w:sz w:val="20"/>
          <w:szCs w:val="20"/>
          <w:u w:val="single"/>
          <w:lang w:val="en-US"/>
        </w:rPr>
        <w:t>CAS</w:t>
      </w:r>
      <w:r w:rsidR="00C20BDF" w:rsidRPr="00EA6C7A">
        <w:rPr>
          <w:rFonts w:ascii="Verdana" w:eastAsia="Calibri" w:hAnsi="Verdana"/>
          <w:b/>
          <w:i/>
          <w:sz w:val="20"/>
          <w:szCs w:val="20"/>
          <w:u w:val="single"/>
          <w:lang w:val="en-US"/>
        </w:rPr>
        <w:t>E OF</w:t>
      </w:r>
      <w:r w:rsidRPr="00EA6C7A">
        <w:rPr>
          <w:rFonts w:ascii="Verdana" w:eastAsia="Calibri" w:hAnsi="Verdana"/>
          <w:b/>
          <w:i/>
          <w:sz w:val="20"/>
          <w:szCs w:val="20"/>
          <w:u w:val="single"/>
          <w:lang w:val="en-US"/>
        </w:rPr>
        <w:t xml:space="preserve"> VELÁSQUEZ PAIZ </w:t>
      </w:r>
      <w:r w:rsidR="00C20BDF" w:rsidRPr="00EA6C7A">
        <w:rPr>
          <w:rFonts w:ascii="Verdana" w:eastAsia="Calibri" w:hAnsi="Verdana"/>
          <w:b/>
          <w:i/>
          <w:sz w:val="20"/>
          <w:szCs w:val="20"/>
          <w:u w:val="single"/>
          <w:lang w:val="en-US"/>
        </w:rPr>
        <w:t>ET AL.</w:t>
      </w:r>
      <w:r w:rsidRPr="00EA6C7A">
        <w:rPr>
          <w:rFonts w:ascii="Verdana" w:eastAsia="Calibri" w:hAnsi="Verdana"/>
          <w:b/>
          <w:i/>
          <w:sz w:val="20"/>
          <w:szCs w:val="20"/>
          <w:u w:val="single"/>
          <w:lang w:val="en-US"/>
        </w:rPr>
        <w:t xml:space="preserve"> V. GUATEMALA</w:t>
      </w:r>
    </w:p>
    <w:p w14:paraId="5EC207EF" w14:textId="77777777" w:rsidR="00175ABB" w:rsidRPr="00EA6C7A" w:rsidRDefault="00175ABB" w:rsidP="00175ABB">
      <w:pPr>
        <w:spacing w:after="0" w:line="240" w:lineRule="auto"/>
        <w:jc w:val="center"/>
        <w:rPr>
          <w:rFonts w:ascii="Verdana" w:eastAsia="Calibri" w:hAnsi="Verdana"/>
          <w:b/>
          <w:sz w:val="20"/>
          <w:szCs w:val="20"/>
          <w:u w:val="single"/>
          <w:lang w:val="en-US"/>
        </w:rPr>
      </w:pPr>
    </w:p>
    <w:p w14:paraId="54B74C5E" w14:textId="77777777" w:rsidR="00175ABB" w:rsidRPr="00EA6C7A" w:rsidRDefault="00C20BDF" w:rsidP="00175ABB">
      <w:pPr>
        <w:spacing w:after="0" w:line="240" w:lineRule="auto"/>
        <w:jc w:val="center"/>
        <w:rPr>
          <w:rFonts w:ascii="Verdana" w:eastAsia="Calibri" w:hAnsi="Verdana"/>
          <w:b/>
          <w:sz w:val="18"/>
          <w:szCs w:val="18"/>
          <w:lang w:val="en-US"/>
        </w:rPr>
      </w:pPr>
      <w:r w:rsidRPr="00EA6C7A">
        <w:rPr>
          <w:rFonts w:ascii="Verdana" w:eastAsia="Calibri" w:hAnsi="Verdana"/>
          <w:b/>
          <w:sz w:val="18"/>
          <w:szCs w:val="18"/>
          <w:lang w:val="en-US"/>
        </w:rPr>
        <w:t>JUDGME</w:t>
      </w:r>
      <w:r w:rsidR="00C91C95" w:rsidRPr="00EA6C7A">
        <w:rPr>
          <w:rFonts w:ascii="Verdana" w:eastAsia="Calibri" w:hAnsi="Verdana"/>
          <w:b/>
          <w:sz w:val="18"/>
          <w:szCs w:val="18"/>
          <w:lang w:val="en-US"/>
        </w:rPr>
        <w:t>N</w:t>
      </w:r>
      <w:r w:rsidRPr="00EA6C7A">
        <w:rPr>
          <w:rFonts w:ascii="Verdana" w:eastAsia="Calibri" w:hAnsi="Verdana"/>
          <w:b/>
          <w:sz w:val="18"/>
          <w:szCs w:val="18"/>
          <w:lang w:val="en-US"/>
        </w:rPr>
        <w:t>T OF NOVEMBER</w:t>
      </w:r>
      <w:r w:rsidR="00175ABB" w:rsidRPr="00EA6C7A">
        <w:rPr>
          <w:rFonts w:ascii="Verdana" w:eastAsia="Calibri" w:hAnsi="Verdana"/>
          <w:b/>
          <w:sz w:val="18"/>
          <w:szCs w:val="18"/>
          <w:lang w:val="en-US"/>
        </w:rPr>
        <w:t xml:space="preserve"> 19</w:t>
      </w:r>
      <w:r w:rsidRPr="00EA6C7A">
        <w:rPr>
          <w:rFonts w:ascii="Verdana" w:eastAsia="Calibri" w:hAnsi="Verdana"/>
          <w:b/>
          <w:sz w:val="18"/>
          <w:szCs w:val="18"/>
          <w:lang w:val="en-US"/>
        </w:rPr>
        <w:t xml:space="preserve">, </w:t>
      </w:r>
      <w:r w:rsidR="00175ABB" w:rsidRPr="00EA6C7A">
        <w:rPr>
          <w:rFonts w:ascii="Verdana" w:eastAsia="Calibri" w:hAnsi="Verdana"/>
          <w:b/>
          <w:sz w:val="18"/>
          <w:szCs w:val="18"/>
          <w:lang w:val="en-US"/>
        </w:rPr>
        <w:t>2015</w:t>
      </w:r>
    </w:p>
    <w:p w14:paraId="16F9853F" w14:textId="77777777" w:rsidR="00175ABB" w:rsidRPr="00EA6C7A" w:rsidRDefault="00175ABB" w:rsidP="00175ABB">
      <w:pPr>
        <w:spacing w:after="0" w:line="240" w:lineRule="auto"/>
        <w:jc w:val="center"/>
        <w:rPr>
          <w:rFonts w:ascii="Verdana" w:eastAsia="Calibri" w:hAnsi="Verdana"/>
          <w:b/>
          <w:i/>
          <w:iCs/>
          <w:sz w:val="18"/>
          <w:szCs w:val="18"/>
          <w:lang w:val="en-US"/>
        </w:rPr>
      </w:pPr>
      <w:r w:rsidRPr="00EA6C7A">
        <w:rPr>
          <w:rFonts w:ascii="Verdana" w:eastAsia="Calibri" w:hAnsi="Verdana"/>
          <w:b/>
          <w:i/>
          <w:iCs/>
          <w:sz w:val="18"/>
          <w:szCs w:val="18"/>
          <w:lang w:val="en-US"/>
        </w:rPr>
        <w:t>(</w:t>
      </w:r>
      <w:r w:rsidR="0096418F" w:rsidRPr="00EA6C7A">
        <w:rPr>
          <w:rFonts w:ascii="Verdana" w:eastAsia="Calibri" w:hAnsi="Verdana"/>
          <w:b/>
          <w:i/>
          <w:iCs/>
          <w:sz w:val="18"/>
          <w:szCs w:val="18"/>
          <w:lang w:val="en-US"/>
        </w:rPr>
        <w:t>Preliminary objections, merits, reparations and costs</w:t>
      </w:r>
      <w:r w:rsidRPr="00EA6C7A">
        <w:rPr>
          <w:rFonts w:ascii="Verdana" w:eastAsia="Calibri" w:hAnsi="Verdana"/>
          <w:b/>
          <w:i/>
          <w:iCs/>
          <w:sz w:val="18"/>
          <w:szCs w:val="18"/>
          <w:lang w:val="en-US"/>
        </w:rPr>
        <w:t>)</w:t>
      </w:r>
    </w:p>
    <w:p w14:paraId="7D798638" w14:textId="77777777" w:rsidR="00175ABB" w:rsidRPr="00EA6C7A" w:rsidRDefault="00175ABB" w:rsidP="00175ABB">
      <w:pPr>
        <w:rPr>
          <w:rFonts w:ascii="Verdana" w:eastAsia="Calibri" w:hAnsi="Verdana" w:cs="Tahoma"/>
          <w:sz w:val="20"/>
          <w:szCs w:val="20"/>
          <w:lang w:val="en-US"/>
        </w:rPr>
      </w:pPr>
    </w:p>
    <w:p w14:paraId="3A1F055C" w14:textId="77777777" w:rsidR="00175ABB" w:rsidRPr="00EA6C7A" w:rsidRDefault="00175ABB" w:rsidP="004A3921">
      <w:pPr>
        <w:spacing w:after="0"/>
        <w:jc w:val="center"/>
        <w:rPr>
          <w:rFonts w:ascii="Verdana" w:eastAsia="Calibri" w:hAnsi="Verdana" w:cs="Tahoma"/>
          <w:sz w:val="20"/>
          <w:szCs w:val="20"/>
          <w:lang w:val="en-US"/>
        </w:rPr>
      </w:pPr>
      <w:r w:rsidRPr="00EA6C7A">
        <w:rPr>
          <w:rFonts w:ascii="Verdana" w:eastAsia="Calibri" w:hAnsi="Verdana" w:cs="Tahoma"/>
          <w:sz w:val="20"/>
          <w:szCs w:val="20"/>
          <w:lang w:val="en-US"/>
        </w:rPr>
        <w:t>INTRODUC</w:t>
      </w:r>
      <w:r w:rsidR="00C91C95" w:rsidRPr="00EA6C7A">
        <w:rPr>
          <w:rFonts w:ascii="Verdana" w:eastAsia="Calibri" w:hAnsi="Verdana" w:cs="Tahoma"/>
          <w:sz w:val="20"/>
          <w:szCs w:val="20"/>
          <w:lang w:val="en-US"/>
        </w:rPr>
        <w:t>TIO</w:t>
      </w:r>
      <w:r w:rsidRPr="00EA6C7A">
        <w:rPr>
          <w:rFonts w:ascii="Verdana" w:eastAsia="Calibri" w:hAnsi="Verdana" w:cs="Tahoma"/>
          <w:sz w:val="20"/>
          <w:szCs w:val="20"/>
          <w:lang w:val="en-US"/>
        </w:rPr>
        <w:t xml:space="preserve">N: </w:t>
      </w:r>
    </w:p>
    <w:p w14:paraId="531D6D5E" w14:textId="77777777" w:rsidR="00175ABB" w:rsidRPr="00EA6C7A" w:rsidRDefault="00175ABB" w:rsidP="00175ABB">
      <w:pPr>
        <w:jc w:val="center"/>
        <w:rPr>
          <w:rFonts w:ascii="Verdana" w:eastAsia="Calibri" w:hAnsi="Verdana" w:cs="Tahoma"/>
          <w:sz w:val="20"/>
          <w:szCs w:val="20"/>
          <w:lang w:val="en-US"/>
        </w:rPr>
      </w:pPr>
      <w:r w:rsidRPr="00EA6C7A">
        <w:rPr>
          <w:rFonts w:ascii="Verdana" w:eastAsia="Calibri" w:hAnsi="Verdana" w:cs="Tahoma"/>
          <w:sz w:val="20"/>
          <w:szCs w:val="20"/>
          <w:lang w:val="en-US"/>
        </w:rPr>
        <w:t xml:space="preserve"> “</w:t>
      </w:r>
      <w:r w:rsidR="00F912BD" w:rsidRPr="00EA6C7A">
        <w:rPr>
          <w:rFonts w:ascii="Verdana" w:eastAsia="Calibri" w:hAnsi="Verdana" w:cs="Tahoma"/>
          <w:sz w:val="20"/>
          <w:szCs w:val="20"/>
          <w:lang w:val="en-US"/>
        </w:rPr>
        <w:t>OBLIGATION OF PR</w:t>
      </w:r>
      <w:r w:rsidR="004A3921" w:rsidRPr="00EA6C7A">
        <w:rPr>
          <w:rFonts w:ascii="Verdana" w:eastAsia="Calibri" w:hAnsi="Verdana" w:cs="Tahoma"/>
          <w:sz w:val="20"/>
          <w:szCs w:val="20"/>
          <w:lang w:val="en-US"/>
        </w:rPr>
        <w:t>E</w:t>
      </w:r>
      <w:r w:rsidR="00F912BD" w:rsidRPr="00EA6C7A">
        <w:rPr>
          <w:rFonts w:ascii="Verdana" w:eastAsia="Calibri" w:hAnsi="Verdana" w:cs="Tahoma"/>
          <w:sz w:val="20"/>
          <w:szCs w:val="20"/>
          <w:lang w:val="en-US"/>
        </w:rPr>
        <w:t>VENTION” IN GENDER-BASED VIOLENCE</w:t>
      </w:r>
      <w:r w:rsidRPr="00EA6C7A">
        <w:rPr>
          <w:rFonts w:ascii="Verdana" w:eastAsia="Calibri" w:hAnsi="Verdana" w:cs="Tahoma"/>
          <w:sz w:val="20"/>
          <w:szCs w:val="20"/>
          <w:lang w:val="en-US"/>
        </w:rPr>
        <w:t xml:space="preserve"> </w:t>
      </w:r>
    </w:p>
    <w:p w14:paraId="2AF98BE9" w14:textId="77777777" w:rsidR="00175ABB" w:rsidRPr="00EA6C7A" w:rsidRDefault="0096418F" w:rsidP="00E11A7C">
      <w:pPr>
        <w:numPr>
          <w:ilvl w:val="0"/>
          <w:numId w:val="14"/>
        </w:numPr>
        <w:spacing w:line="240" w:lineRule="auto"/>
        <w:ind w:left="0" w:firstLine="0"/>
        <w:contextualSpacing/>
        <w:jc w:val="both"/>
        <w:rPr>
          <w:rFonts w:ascii="Verdana" w:eastAsia="Calibri" w:hAnsi="Verdana"/>
          <w:sz w:val="20"/>
          <w:szCs w:val="20"/>
          <w:lang w:val="en-US"/>
        </w:rPr>
      </w:pPr>
      <w:r w:rsidRPr="00EA6C7A">
        <w:rPr>
          <w:rFonts w:ascii="Verdana" w:eastAsia="Calibri" w:hAnsi="Verdana"/>
          <w:sz w:val="20"/>
          <w:szCs w:val="20"/>
          <w:lang w:val="en-US" w:eastAsia="es-PA"/>
        </w:rPr>
        <w:t xml:space="preserve">The </w:t>
      </w:r>
      <w:r w:rsidR="008B402D" w:rsidRPr="00EA6C7A">
        <w:rPr>
          <w:rFonts w:ascii="Verdana" w:eastAsia="Calibri" w:hAnsi="Verdana"/>
          <w:sz w:val="20"/>
          <w:szCs w:val="20"/>
          <w:lang w:val="en-US" w:eastAsia="es-PA"/>
        </w:rPr>
        <w:t>Inter-American Convention on the Prevention, Punishment and Eradication of Violence against Women</w:t>
      </w:r>
      <w:r w:rsidR="00175ABB" w:rsidRPr="00EA6C7A">
        <w:rPr>
          <w:rFonts w:ascii="Verdana" w:eastAsia="Calibri" w:hAnsi="Verdana"/>
          <w:sz w:val="20"/>
          <w:szCs w:val="20"/>
          <w:lang w:val="en-US"/>
        </w:rPr>
        <w:t xml:space="preserve"> (“</w:t>
      </w:r>
      <w:r w:rsidR="00F912BD" w:rsidRPr="00EA6C7A">
        <w:rPr>
          <w:rFonts w:ascii="Verdana" w:eastAsia="Calibri" w:hAnsi="Verdana"/>
          <w:sz w:val="20"/>
          <w:szCs w:val="20"/>
          <w:lang w:val="en-US"/>
        </w:rPr>
        <w:t>Convention of</w:t>
      </w:r>
      <w:r w:rsidR="00175ABB" w:rsidRPr="00EA6C7A">
        <w:rPr>
          <w:rFonts w:ascii="Verdana" w:eastAsia="Calibri" w:hAnsi="Verdana"/>
          <w:sz w:val="20"/>
          <w:szCs w:val="20"/>
          <w:lang w:val="en-US"/>
        </w:rPr>
        <w:t xml:space="preserve"> Belém do Pará”)</w:t>
      </w:r>
      <w:r w:rsidR="00175ABB" w:rsidRPr="00EA6C7A">
        <w:rPr>
          <w:rFonts w:ascii="Verdana" w:eastAsia="Calibri" w:hAnsi="Verdana"/>
          <w:sz w:val="20"/>
          <w:szCs w:val="20"/>
          <w:lang w:val="en-US" w:eastAsia="es-PA"/>
        </w:rPr>
        <w:t xml:space="preserve"> </w:t>
      </w:r>
      <w:r w:rsidR="004A3921" w:rsidRPr="00EA6C7A">
        <w:rPr>
          <w:rFonts w:ascii="Verdana" w:eastAsia="Calibri" w:hAnsi="Verdana"/>
          <w:sz w:val="20"/>
          <w:szCs w:val="20"/>
          <w:lang w:val="en-US" w:eastAsia="es-PA"/>
        </w:rPr>
        <w:t xml:space="preserve">is the regional instrument that has elicited the greatest consensus among the countries of the Americas, </w:t>
      </w:r>
      <w:r w:rsidR="00437AAC" w:rsidRPr="00EA6C7A">
        <w:rPr>
          <w:rFonts w:ascii="Verdana" w:eastAsia="Calibri" w:hAnsi="Verdana"/>
          <w:sz w:val="20"/>
          <w:szCs w:val="20"/>
          <w:lang w:val="en-US" w:eastAsia="es-PA"/>
        </w:rPr>
        <w:t>and</w:t>
      </w:r>
      <w:r w:rsidR="004A3921" w:rsidRPr="00EA6C7A">
        <w:rPr>
          <w:rFonts w:ascii="Verdana" w:eastAsia="Calibri" w:hAnsi="Verdana"/>
          <w:sz w:val="20"/>
          <w:szCs w:val="20"/>
          <w:lang w:val="en-US" w:eastAsia="es-PA"/>
        </w:rPr>
        <w:t xml:space="preserve"> has been signed</w:t>
      </w:r>
      <w:r w:rsidR="00437AAC" w:rsidRPr="00EA6C7A">
        <w:rPr>
          <w:rFonts w:ascii="Verdana" w:eastAsia="Calibri" w:hAnsi="Verdana"/>
          <w:sz w:val="20"/>
          <w:szCs w:val="20"/>
          <w:lang w:val="en-US" w:eastAsia="es-PA"/>
        </w:rPr>
        <w:t>,</w:t>
      </w:r>
      <w:r w:rsidR="004A3921" w:rsidRPr="00EA6C7A">
        <w:rPr>
          <w:rFonts w:ascii="Verdana" w:eastAsia="Calibri" w:hAnsi="Verdana"/>
          <w:sz w:val="20"/>
          <w:szCs w:val="20"/>
          <w:lang w:val="en-US" w:eastAsia="es-PA"/>
        </w:rPr>
        <w:t xml:space="preserve"> and ratified or adhered to by 32 of the 35 </w:t>
      </w:r>
      <w:r w:rsidR="00F912BD" w:rsidRPr="00EA6C7A">
        <w:rPr>
          <w:rFonts w:ascii="Verdana" w:eastAsia="Calibri" w:hAnsi="Verdana"/>
          <w:sz w:val="20"/>
          <w:szCs w:val="20"/>
          <w:lang w:val="en-US" w:eastAsia="es-PA"/>
        </w:rPr>
        <w:t>OAS</w:t>
      </w:r>
      <w:r w:rsidR="00437AAC" w:rsidRPr="00EA6C7A">
        <w:rPr>
          <w:rFonts w:ascii="Verdana" w:eastAsia="Calibri" w:hAnsi="Verdana"/>
          <w:sz w:val="20"/>
          <w:szCs w:val="20"/>
          <w:lang w:val="en-US" w:eastAsia="es-PA"/>
        </w:rPr>
        <w:t xml:space="preserve"> Member States</w:t>
      </w:r>
      <w:r w:rsidR="00175ABB" w:rsidRPr="00EA6C7A">
        <w:rPr>
          <w:rFonts w:ascii="Verdana" w:eastAsia="Calibri" w:hAnsi="Verdana"/>
          <w:sz w:val="20"/>
          <w:szCs w:val="20"/>
          <w:lang w:val="en-US" w:eastAsia="es-PA"/>
        </w:rPr>
        <w:t xml:space="preserve">. </w:t>
      </w:r>
      <w:r w:rsidR="004A3921" w:rsidRPr="00EA6C7A">
        <w:rPr>
          <w:rFonts w:ascii="Verdana" w:eastAsia="Calibri" w:hAnsi="Verdana"/>
          <w:sz w:val="20"/>
          <w:szCs w:val="20"/>
          <w:lang w:val="en-US" w:eastAsia="es-PA"/>
        </w:rPr>
        <w:t>Since its entry into force in 1995, it has reflected the concern of the States parties</w:t>
      </w:r>
      <w:r w:rsidR="00437AAC" w:rsidRPr="00EA6C7A">
        <w:rPr>
          <w:rFonts w:ascii="Verdana" w:eastAsia="Calibri" w:hAnsi="Verdana"/>
          <w:sz w:val="20"/>
          <w:szCs w:val="20"/>
          <w:lang w:val="en-US" w:eastAsia="es-PA"/>
        </w:rPr>
        <w:t xml:space="preserve"> </w:t>
      </w:r>
      <w:r w:rsidR="004A3921" w:rsidRPr="00EA6C7A">
        <w:rPr>
          <w:rFonts w:ascii="Verdana" w:eastAsia="Calibri" w:hAnsi="Verdana"/>
          <w:sz w:val="20"/>
          <w:szCs w:val="20"/>
          <w:lang w:val="en-US"/>
        </w:rPr>
        <w:t>that</w:t>
      </w:r>
      <w:r w:rsidR="00175ABB" w:rsidRPr="00EA6C7A">
        <w:rPr>
          <w:rFonts w:ascii="Verdana" w:eastAsia="Calibri" w:hAnsi="Verdana"/>
          <w:sz w:val="20"/>
          <w:szCs w:val="20"/>
          <w:lang w:val="en-US"/>
        </w:rPr>
        <w:t xml:space="preserve"> “</w:t>
      </w:r>
      <w:r w:rsidR="004A3921" w:rsidRPr="00EA6C7A">
        <w:rPr>
          <w:rFonts w:ascii="Verdana" w:hAnsi="Verdana" w:cs="Arial"/>
          <w:sz w:val="20"/>
          <w:szCs w:val="20"/>
          <w:lang w:val="en-US"/>
        </w:rPr>
        <w:t>violence against women is an offense against human dignity and a manifestation of the historically unequal power relations between women and men”;</w:t>
      </w:r>
      <w:r w:rsidR="004A3921" w:rsidRPr="00EA6C7A">
        <w:rPr>
          <w:rFonts w:ascii="Verdana" w:eastAsia="Calibri" w:hAnsi="Verdana"/>
          <w:sz w:val="20"/>
          <w:szCs w:val="20"/>
          <w:lang w:val="en-US"/>
        </w:rPr>
        <w:t xml:space="preserve"> </w:t>
      </w:r>
      <w:r w:rsidR="00FE55F3" w:rsidRPr="00EA6C7A">
        <w:rPr>
          <w:rFonts w:ascii="Verdana" w:eastAsia="Calibri" w:hAnsi="Verdana"/>
          <w:sz w:val="20"/>
          <w:szCs w:val="20"/>
          <w:lang w:val="en-US"/>
        </w:rPr>
        <w:t>while affirming</w:t>
      </w:r>
      <w:r w:rsidR="004A3921" w:rsidRPr="00EA6C7A">
        <w:rPr>
          <w:rFonts w:ascii="Verdana" w:eastAsia="Calibri" w:hAnsi="Verdana"/>
          <w:sz w:val="20"/>
          <w:szCs w:val="20"/>
          <w:lang w:val="en-US"/>
        </w:rPr>
        <w:t xml:space="preserve"> that “</w:t>
      </w:r>
      <w:r w:rsidR="00C12C08" w:rsidRPr="00EA6C7A">
        <w:rPr>
          <w:rFonts w:ascii="Verdana" w:eastAsia="Calibri" w:hAnsi="Verdana"/>
          <w:sz w:val="20"/>
          <w:szCs w:val="20"/>
          <w:lang w:val="en-US"/>
        </w:rPr>
        <w:t>violence against women</w:t>
      </w:r>
      <w:r w:rsidR="00175ABB" w:rsidRPr="00EA6C7A">
        <w:rPr>
          <w:rFonts w:ascii="Verdana" w:eastAsia="Calibri" w:hAnsi="Verdana"/>
          <w:sz w:val="20"/>
          <w:szCs w:val="20"/>
          <w:lang w:val="en-US"/>
        </w:rPr>
        <w:t xml:space="preserve"> constitu</w:t>
      </w:r>
      <w:r w:rsidR="004A3921" w:rsidRPr="00EA6C7A">
        <w:rPr>
          <w:rFonts w:ascii="Verdana" w:eastAsia="Calibri" w:hAnsi="Verdana"/>
          <w:sz w:val="20"/>
          <w:szCs w:val="20"/>
          <w:lang w:val="en-US"/>
        </w:rPr>
        <w:t>tes</w:t>
      </w:r>
      <w:r w:rsidR="00175ABB" w:rsidRPr="00EA6C7A">
        <w:rPr>
          <w:rFonts w:ascii="Verdana" w:eastAsia="Calibri" w:hAnsi="Verdana"/>
          <w:sz w:val="20"/>
          <w:szCs w:val="20"/>
          <w:lang w:val="en-US"/>
        </w:rPr>
        <w:t xml:space="preserve"> </w:t>
      </w:r>
      <w:r w:rsidR="004A3921" w:rsidRPr="00EA6C7A">
        <w:rPr>
          <w:rFonts w:ascii="Verdana" w:hAnsi="Verdana" w:cs="Arial"/>
          <w:sz w:val="20"/>
          <w:szCs w:val="20"/>
          <w:lang w:val="en-US"/>
        </w:rPr>
        <w:t>a violation of their human rights and fundamental freedoms, and impairs or nullifies the observance, enjoyment and exercise of such rights and freedom</w:t>
      </w:r>
      <w:r w:rsidR="004A3921" w:rsidRPr="00EA6C7A">
        <w:rPr>
          <w:rFonts w:ascii="Verdana" w:eastAsia="Calibri" w:hAnsi="Verdana"/>
          <w:sz w:val="20"/>
          <w:szCs w:val="20"/>
          <w:lang w:val="en-US"/>
        </w:rPr>
        <w:t>s.</w:t>
      </w:r>
      <w:r w:rsidR="00175ABB" w:rsidRPr="00EA6C7A">
        <w:rPr>
          <w:rFonts w:ascii="Verdana" w:eastAsia="Calibri" w:hAnsi="Verdana"/>
          <w:sz w:val="20"/>
          <w:szCs w:val="20"/>
          <w:lang w:val="en-US"/>
        </w:rPr>
        <w:t>”</w:t>
      </w:r>
      <w:r w:rsidR="00175ABB" w:rsidRPr="00EA6C7A">
        <w:rPr>
          <w:rFonts w:ascii="Verdana" w:eastAsia="Calibri" w:hAnsi="Verdana"/>
          <w:sz w:val="20"/>
          <w:szCs w:val="20"/>
          <w:vertAlign w:val="superscript"/>
          <w:lang w:val="en-US"/>
        </w:rPr>
        <w:footnoteReference w:id="370"/>
      </w:r>
    </w:p>
    <w:p w14:paraId="42793E8A" w14:textId="77777777" w:rsidR="00F912BD" w:rsidRPr="00EA6C7A" w:rsidRDefault="00F912BD" w:rsidP="00F912BD">
      <w:pPr>
        <w:spacing w:line="240" w:lineRule="auto"/>
        <w:contextualSpacing/>
        <w:jc w:val="both"/>
        <w:rPr>
          <w:rFonts w:ascii="Verdana" w:eastAsia="Calibri" w:hAnsi="Verdana"/>
          <w:sz w:val="20"/>
          <w:szCs w:val="20"/>
          <w:lang w:val="en-US"/>
        </w:rPr>
      </w:pPr>
    </w:p>
    <w:p w14:paraId="40610641" w14:textId="77777777" w:rsidR="00175ABB" w:rsidRPr="00EA6C7A" w:rsidRDefault="00437AAC" w:rsidP="00E11A7C">
      <w:pPr>
        <w:numPr>
          <w:ilvl w:val="0"/>
          <w:numId w:val="14"/>
        </w:numPr>
        <w:spacing w:after="0" w:line="240" w:lineRule="auto"/>
        <w:ind w:left="0" w:firstLine="0"/>
        <w:jc w:val="both"/>
        <w:rPr>
          <w:rFonts w:ascii="Verdana" w:eastAsia="Calibri" w:hAnsi="Verdana"/>
          <w:sz w:val="20"/>
          <w:szCs w:val="20"/>
          <w:lang w:val="en-US"/>
        </w:rPr>
      </w:pPr>
      <w:r w:rsidRPr="00EA6C7A">
        <w:rPr>
          <w:rFonts w:ascii="Verdana" w:eastAsia="Calibri" w:hAnsi="Verdana"/>
          <w:sz w:val="20"/>
          <w:szCs w:val="20"/>
          <w:lang w:val="en-US" w:eastAsia="es-PA"/>
        </w:rPr>
        <w:t xml:space="preserve">More than 20 years after it entered into force, it is a cause for concern that the culture of discrimination </w:t>
      </w:r>
      <w:r w:rsidR="00D948A1" w:rsidRPr="00EA6C7A">
        <w:rPr>
          <w:rFonts w:ascii="Verdana" w:eastAsia="Calibri" w:hAnsi="Verdana"/>
          <w:sz w:val="20"/>
          <w:szCs w:val="20"/>
          <w:lang w:val="en-US" w:eastAsia="es-PA"/>
        </w:rPr>
        <w:t xml:space="preserve">and </w:t>
      </w:r>
      <w:r w:rsidR="00C12C08" w:rsidRPr="00EA6C7A">
        <w:rPr>
          <w:rFonts w:ascii="Verdana" w:eastAsia="Calibri" w:hAnsi="Verdana"/>
          <w:sz w:val="20"/>
          <w:szCs w:val="20"/>
          <w:lang w:val="en-US" w:eastAsia="es-PA"/>
        </w:rPr>
        <w:t>violence against women</w:t>
      </w:r>
      <w:r w:rsidRPr="00EA6C7A">
        <w:rPr>
          <w:rFonts w:ascii="Verdana" w:eastAsia="Calibri" w:hAnsi="Verdana"/>
          <w:sz w:val="20"/>
          <w:szCs w:val="20"/>
          <w:lang w:val="en-US" w:eastAsia="es-PA"/>
        </w:rPr>
        <w:t>,</w:t>
      </w:r>
      <w:r w:rsidR="00175ABB" w:rsidRPr="00EA6C7A">
        <w:rPr>
          <w:rFonts w:ascii="Verdana" w:eastAsia="Calibri" w:hAnsi="Verdana"/>
          <w:sz w:val="20"/>
          <w:szCs w:val="20"/>
          <w:vertAlign w:val="superscript"/>
          <w:lang w:val="en-US"/>
        </w:rPr>
        <w:footnoteReference w:id="371"/>
      </w:r>
      <w:r w:rsidR="00175ABB" w:rsidRPr="00EA6C7A">
        <w:rPr>
          <w:rFonts w:ascii="Verdana" w:eastAsia="Calibri" w:hAnsi="Verdana"/>
          <w:sz w:val="20"/>
          <w:szCs w:val="20"/>
          <w:lang w:val="en-US" w:eastAsia="es-PA"/>
        </w:rPr>
        <w:t xml:space="preserve"> </w:t>
      </w:r>
      <w:r w:rsidR="00175ABB" w:rsidRPr="00EA6C7A">
        <w:rPr>
          <w:rFonts w:ascii="Verdana" w:eastAsia="Calibri" w:hAnsi="Verdana"/>
          <w:sz w:val="20"/>
          <w:szCs w:val="20"/>
          <w:lang w:val="en-US"/>
        </w:rPr>
        <w:t>continu</w:t>
      </w:r>
      <w:r w:rsidRPr="00EA6C7A">
        <w:rPr>
          <w:rFonts w:ascii="Verdana" w:eastAsia="Calibri" w:hAnsi="Verdana"/>
          <w:sz w:val="20"/>
          <w:szCs w:val="20"/>
          <w:lang w:val="en-US"/>
        </w:rPr>
        <w:t>es to be present in the region, achieving its maximum expression in “feminicide” or “femicide”; that is, the “gender-based murder of women,</w:t>
      </w:r>
      <w:r w:rsidR="00175ABB" w:rsidRPr="00EA6C7A">
        <w:rPr>
          <w:rFonts w:ascii="Verdana" w:eastAsia="Calibri" w:hAnsi="Verdana"/>
          <w:sz w:val="20"/>
          <w:szCs w:val="20"/>
          <w:lang w:val="en-US"/>
        </w:rPr>
        <w:t>”</w:t>
      </w:r>
      <w:r w:rsidRPr="00EA6C7A">
        <w:rPr>
          <w:rFonts w:ascii="Verdana" w:eastAsia="Calibri" w:hAnsi="Verdana"/>
          <w:sz w:val="20"/>
          <w:szCs w:val="20"/>
          <w:lang w:val="en-US"/>
        </w:rPr>
        <w:t xml:space="preserve"> as </w:t>
      </w:r>
      <w:r w:rsidR="0096418F" w:rsidRPr="00EA6C7A">
        <w:rPr>
          <w:rFonts w:ascii="Verdana" w:eastAsia="Calibri" w:hAnsi="Verdana"/>
          <w:sz w:val="20"/>
          <w:szCs w:val="20"/>
          <w:lang w:val="en-US"/>
        </w:rPr>
        <w:t>the Inter-American Court of Human Rights</w:t>
      </w:r>
      <w:r w:rsidR="00175ABB"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hereinafter</w:t>
      </w:r>
      <w:r w:rsidR="00175ABB" w:rsidRPr="00EA6C7A">
        <w:rPr>
          <w:rFonts w:ascii="Verdana" w:eastAsia="Calibri" w:hAnsi="Verdana"/>
          <w:sz w:val="20"/>
          <w:szCs w:val="20"/>
          <w:lang w:val="en-US"/>
        </w:rPr>
        <w:t xml:space="preserve"> </w:t>
      </w:r>
      <w:r w:rsidRPr="00EA6C7A">
        <w:rPr>
          <w:rFonts w:ascii="Verdana" w:eastAsia="Calibri" w:hAnsi="Verdana"/>
          <w:sz w:val="20"/>
          <w:szCs w:val="20"/>
          <w:lang w:val="en-US"/>
        </w:rPr>
        <w:t>“the Inter-American Court” or “the Court”)</w:t>
      </w:r>
      <w:r w:rsidR="00FE55F3" w:rsidRPr="00EA6C7A">
        <w:rPr>
          <w:rFonts w:ascii="Verdana" w:eastAsia="Calibri" w:hAnsi="Verdana"/>
          <w:sz w:val="20"/>
          <w:szCs w:val="20"/>
          <w:lang w:val="en-US"/>
        </w:rPr>
        <w:t xml:space="preserve"> first</w:t>
      </w:r>
      <w:r w:rsidRPr="00EA6C7A">
        <w:rPr>
          <w:rFonts w:ascii="Verdana" w:eastAsia="Calibri" w:hAnsi="Verdana"/>
          <w:sz w:val="20"/>
          <w:szCs w:val="20"/>
          <w:lang w:val="en-US"/>
        </w:rPr>
        <w:t xml:space="preserve"> underlined in the case of </w:t>
      </w:r>
      <w:r w:rsidR="008B402D" w:rsidRPr="00EA6C7A">
        <w:rPr>
          <w:rFonts w:ascii="Verdana" w:eastAsia="Calibri" w:hAnsi="Verdana" w:cs="Tahoma"/>
          <w:bCs/>
          <w:i/>
          <w:color w:val="000000"/>
          <w:sz w:val="20"/>
          <w:szCs w:val="20"/>
          <w:shd w:val="clear" w:color="auto" w:fill="FFFFFF"/>
          <w:lang w:val="en-US"/>
        </w:rPr>
        <w:t>González et al.</w:t>
      </w:r>
      <w:r w:rsidR="00175ABB"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00175ABB"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00175ABB"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00175ABB" w:rsidRPr="00EA6C7A">
        <w:rPr>
          <w:rFonts w:ascii="Verdana" w:eastAsia="Calibri" w:hAnsi="Verdana" w:cs="Tahoma"/>
          <w:bCs/>
          <w:i/>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i</w:t>
      </w:r>
      <w:r w:rsidR="00175ABB" w:rsidRPr="00EA6C7A">
        <w:rPr>
          <w:rFonts w:ascii="Verdana" w:eastAsia="Calibri" w:hAnsi="Verdana" w:cs="Tahoma"/>
          <w:bCs/>
          <w:color w:val="000000"/>
          <w:sz w:val="20"/>
          <w:szCs w:val="20"/>
          <w:shd w:val="clear" w:color="auto" w:fill="FFFFFF"/>
          <w:lang w:val="en-US"/>
        </w:rPr>
        <w:t>n 2009</w:t>
      </w:r>
      <w:r w:rsidRPr="00EA6C7A">
        <w:rPr>
          <w:rFonts w:ascii="Verdana" w:eastAsia="Calibri" w:hAnsi="Verdana" w:cs="Tahoma"/>
          <w:bCs/>
          <w:color w:val="000000"/>
          <w:sz w:val="20"/>
          <w:szCs w:val="20"/>
          <w:shd w:val="clear" w:color="auto" w:fill="FFFFFF"/>
          <w:lang w:val="en-US"/>
        </w:rPr>
        <w:t>,</w:t>
      </w:r>
      <w:r w:rsidR="00175ABB" w:rsidRPr="00EA6C7A">
        <w:rPr>
          <w:rFonts w:ascii="Verdana" w:eastAsia="Calibri" w:hAnsi="Verdana" w:cs="Tahoma"/>
          <w:bCs/>
          <w:color w:val="000000"/>
          <w:sz w:val="20"/>
          <w:szCs w:val="20"/>
          <w:shd w:val="clear" w:color="auto" w:fill="FFFFFF"/>
          <w:vertAlign w:val="superscript"/>
          <w:lang w:val="en-US"/>
        </w:rPr>
        <w:footnoteReference w:id="372"/>
      </w:r>
      <w:r w:rsidR="00D948A1" w:rsidRPr="00EA6C7A">
        <w:rPr>
          <w:rFonts w:ascii="Verdana" w:eastAsia="Calibri" w:hAnsi="Verdana" w:cs="Tahoma"/>
          <w:bCs/>
          <w:color w:val="000000"/>
          <w:sz w:val="20"/>
          <w:szCs w:val="20"/>
          <w:shd w:val="clear" w:color="auto" w:fill="FFFFFF"/>
          <w:lang w:val="en-US"/>
        </w:rPr>
        <w:t xml:space="preserve"> and</w:t>
      </w:r>
      <w:r w:rsidRPr="00EA6C7A">
        <w:rPr>
          <w:rFonts w:ascii="Verdana" w:eastAsia="Calibri" w:hAnsi="Verdana" w:cs="Tahoma"/>
          <w:bCs/>
          <w:color w:val="000000"/>
          <w:sz w:val="20"/>
          <w:szCs w:val="20"/>
          <w:shd w:val="clear" w:color="auto" w:fill="FFFFFF"/>
          <w:lang w:val="en-US"/>
        </w:rPr>
        <w:t xml:space="preserve"> reiterated in the case of </w:t>
      </w:r>
      <w:r w:rsidR="00175ABB" w:rsidRPr="00EA6C7A">
        <w:rPr>
          <w:rFonts w:ascii="Verdana" w:eastAsia="Calibri" w:hAnsi="Verdana" w:cs="Tahoma"/>
          <w:bCs/>
          <w:i/>
          <w:color w:val="000000"/>
          <w:sz w:val="20"/>
          <w:szCs w:val="20"/>
          <w:shd w:val="clear" w:color="auto" w:fill="FFFFFF"/>
          <w:lang w:val="en-US"/>
        </w:rPr>
        <w:t xml:space="preserve">Veliz </w:t>
      </w:r>
      <w:r w:rsidR="006A51FD" w:rsidRPr="00EA6C7A">
        <w:rPr>
          <w:rFonts w:ascii="Verdana" w:eastAsia="Calibri" w:hAnsi="Verdana" w:cs="Tahoma"/>
          <w:bCs/>
          <w:i/>
          <w:color w:val="000000"/>
          <w:sz w:val="20"/>
          <w:szCs w:val="20"/>
          <w:shd w:val="clear" w:color="auto" w:fill="FFFFFF"/>
          <w:lang w:val="en-US"/>
        </w:rPr>
        <w:t>Franco et al.</w:t>
      </w:r>
      <w:r w:rsidR="00175ABB" w:rsidRPr="00EA6C7A">
        <w:rPr>
          <w:rFonts w:ascii="Verdana" w:eastAsia="Calibri" w:hAnsi="Verdana" w:cs="Tahoma"/>
          <w:bCs/>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and </w:t>
      </w:r>
      <w:r w:rsidRPr="00EA6C7A">
        <w:rPr>
          <w:rFonts w:ascii="Verdana" w:eastAsia="Calibri" w:hAnsi="Verdana" w:cs="Tahoma"/>
          <w:bCs/>
          <w:color w:val="000000"/>
          <w:sz w:val="20"/>
          <w:szCs w:val="20"/>
          <w:shd w:val="clear" w:color="auto" w:fill="FFFFFF"/>
          <w:lang w:val="en-US"/>
        </w:rPr>
        <w:t xml:space="preserve">in the present case of </w:t>
      </w:r>
      <w:r w:rsidR="008C4FF3" w:rsidRPr="00EA6C7A">
        <w:rPr>
          <w:rFonts w:ascii="Verdana" w:eastAsia="Calibri" w:hAnsi="Verdana" w:cs="Tahoma"/>
          <w:bCs/>
          <w:i/>
          <w:color w:val="000000"/>
          <w:sz w:val="20"/>
          <w:szCs w:val="20"/>
          <w:shd w:val="clear" w:color="auto" w:fill="FFFFFF"/>
          <w:lang w:val="en-US"/>
        </w:rPr>
        <w:t>Velázquez</w:t>
      </w:r>
      <w:r w:rsidR="00175ABB" w:rsidRPr="00EA6C7A">
        <w:rPr>
          <w:rFonts w:ascii="Verdana" w:eastAsia="Calibri" w:hAnsi="Verdana" w:cs="Tahoma"/>
          <w:bCs/>
          <w:i/>
          <w:color w:val="000000"/>
          <w:sz w:val="20"/>
          <w:szCs w:val="20"/>
          <w:shd w:val="clear" w:color="auto" w:fill="FFFFFF"/>
          <w:lang w:val="en-US"/>
        </w:rPr>
        <w:t xml:space="preserve"> </w:t>
      </w:r>
      <w:r w:rsidR="00F912BD" w:rsidRPr="00EA6C7A">
        <w:rPr>
          <w:rFonts w:ascii="Verdana" w:eastAsia="Calibri" w:hAnsi="Verdana" w:cs="Tahoma"/>
          <w:bCs/>
          <w:i/>
          <w:color w:val="000000"/>
          <w:sz w:val="20"/>
          <w:szCs w:val="20"/>
          <w:shd w:val="clear" w:color="auto" w:fill="FFFFFF"/>
          <w:lang w:val="en-US"/>
        </w:rPr>
        <w:t>Paiz et al.</w:t>
      </w:r>
      <w:r w:rsidR="00175ABB" w:rsidRPr="00EA6C7A">
        <w:rPr>
          <w:rFonts w:ascii="Verdana" w:eastAsia="Calibri" w:hAnsi="Verdana" w:cs="Tahoma"/>
          <w:bCs/>
          <w:i/>
          <w:color w:val="000000"/>
          <w:sz w:val="20"/>
          <w:szCs w:val="20"/>
          <w:shd w:val="clear" w:color="auto" w:fill="FFFFFF"/>
          <w:lang w:val="en-US"/>
        </w:rPr>
        <w:t xml:space="preserve">, </w:t>
      </w:r>
      <w:r w:rsidR="00F912BD" w:rsidRPr="00EA6C7A">
        <w:rPr>
          <w:rFonts w:ascii="Verdana" w:eastAsia="Calibri" w:hAnsi="Verdana" w:cs="Tahoma"/>
          <w:bCs/>
          <w:color w:val="000000"/>
          <w:sz w:val="20"/>
          <w:szCs w:val="20"/>
          <w:shd w:val="clear" w:color="auto" w:fill="FFFFFF"/>
          <w:lang w:val="en-US"/>
        </w:rPr>
        <w:t>both</w:t>
      </w:r>
      <w:r w:rsidR="00175ABB" w:rsidRPr="00EA6C7A">
        <w:rPr>
          <w:rFonts w:ascii="Verdana" w:eastAsia="Calibri" w:hAnsi="Verdana" w:cs="Tahoma"/>
          <w:bCs/>
          <w:color w:val="000000"/>
          <w:sz w:val="20"/>
          <w:szCs w:val="20"/>
          <w:shd w:val="clear" w:color="auto" w:fill="FFFFFF"/>
          <w:lang w:val="en-US"/>
        </w:rPr>
        <w:t xml:space="preserve"> </w:t>
      </w:r>
      <w:r w:rsidR="00F912BD" w:rsidRPr="00EA6C7A">
        <w:rPr>
          <w:rFonts w:ascii="Verdana" w:eastAsia="Calibri" w:hAnsi="Verdana" w:cs="Tahoma"/>
          <w:bCs/>
          <w:color w:val="000000"/>
          <w:sz w:val="20"/>
          <w:szCs w:val="20"/>
          <w:shd w:val="clear" w:color="auto" w:fill="FFFFFF"/>
          <w:lang w:val="en-US"/>
        </w:rPr>
        <w:t>against</w:t>
      </w:r>
      <w:r w:rsidR="00175ABB" w:rsidRPr="00EA6C7A">
        <w:rPr>
          <w:rFonts w:ascii="Verdana" w:eastAsia="Calibri" w:hAnsi="Verdana" w:cs="Tahoma"/>
          <w:bCs/>
          <w:color w:val="000000"/>
          <w:sz w:val="20"/>
          <w:szCs w:val="20"/>
          <w:shd w:val="clear" w:color="auto" w:fill="FFFFFF"/>
          <w:lang w:val="en-US"/>
        </w:rPr>
        <w:t xml:space="preserve"> Guatemala</w:t>
      </w:r>
      <w:r w:rsidRPr="00EA6C7A">
        <w:rPr>
          <w:rFonts w:ascii="Verdana" w:eastAsia="Calibri" w:hAnsi="Verdana" w:cs="Tahoma"/>
          <w:bCs/>
          <w:color w:val="000000"/>
          <w:sz w:val="20"/>
          <w:szCs w:val="20"/>
          <w:shd w:val="clear" w:color="auto" w:fill="FFFFFF"/>
          <w:lang w:val="en-US"/>
        </w:rPr>
        <w:t>.</w:t>
      </w:r>
      <w:r w:rsidR="00175ABB" w:rsidRPr="00EA6C7A">
        <w:rPr>
          <w:rFonts w:ascii="Verdana" w:eastAsia="Calibri" w:hAnsi="Verdana" w:cs="Tahoma"/>
          <w:bCs/>
          <w:color w:val="000000"/>
          <w:sz w:val="20"/>
          <w:szCs w:val="20"/>
          <w:shd w:val="clear" w:color="auto" w:fill="FFFFFF"/>
          <w:vertAlign w:val="superscript"/>
          <w:lang w:val="en-US"/>
        </w:rPr>
        <w:footnoteReference w:id="373"/>
      </w:r>
      <w:r w:rsidR="00175ABB" w:rsidRPr="00EA6C7A">
        <w:rPr>
          <w:rFonts w:ascii="Verdana" w:eastAsia="Calibri" w:hAnsi="Verdana" w:cs="Tahoma"/>
          <w:bCs/>
          <w:i/>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The term “</w:t>
      </w:r>
      <w:r w:rsidR="00175ABB" w:rsidRPr="00EA6C7A">
        <w:rPr>
          <w:rFonts w:ascii="Verdana" w:eastAsia="Calibri" w:hAnsi="Verdana" w:cs="Tahoma"/>
          <w:bCs/>
          <w:i/>
          <w:iCs/>
          <w:color w:val="000000"/>
          <w:sz w:val="20"/>
          <w:szCs w:val="20"/>
          <w:shd w:val="clear" w:color="auto" w:fill="FFFFFF"/>
          <w:lang w:val="en-US"/>
        </w:rPr>
        <w:t>feminicidio</w:t>
      </w:r>
      <w:r w:rsidR="00175ABB"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was incorporated into the latest edition of the</w:t>
      </w:r>
      <w:r w:rsidR="00175ABB" w:rsidRPr="00EA6C7A">
        <w:rPr>
          <w:rFonts w:ascii="Verdana" w:eastAsia="Calibri" w:hAnsi="Verdana" w:cs="Tahoma"/>
          <w:bCs/>
          <w:color w:val="000000"/>
          <w:sz w:val="20"/>
          <w:szCs w:val="20"/>
          <w:shd w:val="clear" w:color="auto" w:fill="FFFFFF"/>
          <w:lang w:val="en-US"/>
        </w:rPr>
        <w:t xml:space="preserve"> </w:t>
      </w:r>
      <w:r w:rsidR="00175ABB" w:rsidRPr="00EA6C7A">
        <w:rPr>
          <w:rFonts w:ascii="Verdana" w:eastAsia="Calibri" w:hAnsi="Verdana" w:cs="Tahoma"/>
          <w:bCs/>
          <w:i/>
          <w:color w:val="000000"/>
          <w:sz w:val="20"/>
          <w:szCs w:val="20"/>
          <w:shd w:val="clear" w:color="auto" w:fill="FFFFFF"/>
          <w:lang w:val="en-US"/>
        </w:rPr>
        <w:t>Diccionario</w:t>
      </w:r>
      <w:r w:rsidR="00D5307F" w:rsidRPr="00EA6C7A">
        <w:rPr>
          <w:rFonts w:ascii="Verdana" w:eastAsia="Calibri" w:hAnsi="Verdana" w:cs="Tahoma"/>
          <w:bCs/>
          <w:i/>
          <w:color w:val="000000"/>
          <w:sz w:val="20"/>
          <w:szCs w:val="20"/>
          <w:shd w:val="clear" w:color="auto" w:fill="FFFFFF"/>
          <w:lang w:val="en-US"/>
        </w:rPr>
        <w:t xml:space="preserve"> </w:t>
      </w:r>
      <w:r w:rsidR="00FE55F3" w:rsidRPr="00EA6C7A">
        <w:rPr>
          <w:rFonts w:ascii="Verdana" w:eastAsia="Calibri" w:hAnsi="Verdana" w:cs="Tahoma"/>
          <w:bCs/>
          <w:i/>
          <w:color w:val="000000"/>
          <w:sz w:val="20"/>
          <w:szCs w:val="20"/>
          <w:shd w:val="clear" w:color="auto" w:fill="FFFFFF"/>
          <w:lang w:val="en-US"/>
        </w:rPr>
        <w:t>de la</w:t>
      </w:r>
      <w:r w:rsidR="00D5307F" w:rsidRPr="00EA6C7A">
        <w:rPr>
          <w:rFonts w:ascii="Verdana" w:eastAsia="Calibri" w:hAnsi="Verdana" w:cs="Tahoma"/>
          <w:bCs/>
          <w:i/>
          <w:color w:val="000000"/>
          <w:sz w:val="20"/>
          <w:szCs w:val="20"/>
          <w:shd w:val="clear" w:color="auto" w:fill="FFFFFF"/>
          <w:lang w:val="en-US"/>
        </w:rPr>
        <w:t xml:space="preserve"> </w:t>
      </w:r>
      <w:r w:rsidR="00FE55F3" w:rsidRPr="00EA6C7A">
        <w:rPr>
          <w:rFonts w:ascii="Verdana" w:eastAsia="Calibri" w:hAnsi="Verdana" w:cs="Tahoma"/>
          <w:bCs/>
          <w:i/>
          <w:color w:val="000000"/>
          <w:sz w:val="20"/>
          <w:szCs w:val="20"/>
          <w:shd w:val="clear" w:color="auto" w:fill="FFFFFF"/>
          <w:lang w:val="en-US"/>
        </w:rPr>
        <w:t>L</w:t>
      </w:r>
      <w:r w:rsidR="00175ABB" w:rsidRPr="00EA6C7A">
        <w:rPr>
          <w:rFonts w:ascii="Verdana" w:eastAsia="Calibri" w:hAnsi="Verdana" w:cs="Tahoma"/>
          <w:bCs/>
          <w:i/>
          <w:color w:val="000000"/>
          <w:sz w:val="20"/>
          <w:szCs w:val="20"/>
          <w:shd w:val="clear" w:color="auto" w:fill="FFFFFF"/>
          <w:lang w:val="en-US"/>
        </w:rPr>
        <w:t xml:space="preserve">engua </w:t>
      </w:r>
      <w:r w:rsidR="00FE55F3" w:rsidRPr="00EA6C7A">
        <w:rPr>
          <w:rFonts w:ascii="Verdana" w:eastAsia="Calibri" w:hAnsi="Verdana" w:cs="Tahoma"/>
          <w:bCs/>
          <w:i/>
          <w:color w:val="000000"/>
          <w:sz w:val="20"/>
          <w:szCs w:val="20"/>
          <w:shd w:val="clear" w:color="auto" w:fill="FFFFFF"/>
          <w:lang w:val="en-US"/>
        </w:rPr>
        <w:t>E</w:t>
      </w:r>
      <w:r w:rsidR="00175ABB" w:rsidRPr="00EA6C7A">
        <w:rPr>
          <w:rFonts w:ascii="Verdana" w:eastAsia="Calibri" w:hAnsi="Verdana" w:cs="Tahoma"/>
          <w:bCs/>
          <w:i/>
          <w:color w:val="000000"/>
          <w:sz w:val="20"/>
          <w:szCs w:val="20"/>
          <w:shd w:val="clear" w:color="auto" w:fill="FFFFFF"/>
          <w:lang w:val="en-US"/>
        </w:rPr>
        <w:t>spañola</w:t>
      </w:r>
      <w:r w:rsidRPr="00EA6C7A">
        <w:rPr>
          <w:rFonts w:ascii="Verdana" w:eastAsia="Calibri" w:hAnsi="Verdana" w:cs="Tahoma"/>
          <w:bCs/>
          <w:i/>
          <w:color w:val="000000"/>
          <w:sz w:val="20"/>
          <w:szCs w:val="20"/>
          <w:shd w:val="clear" w:color="auto" w:fill="FFFFFF"/>
          <w:lang w:val="en-US"/>
        </w:rPr>
        <w:t>,</w:t>
      </w:r>
      <w:r w:rsidR="00175ABB" w:rsidRPr="00EA6C7A">
        <w:rPr>
          <w:rFonts w:ascii="Verdana" w:eastAsia="Calibri" w:hAnsi="Verdana" w:cs="Tahoma"/>
          <w:bCs/>
          <w:color w:val="000000"/>
          <w:sz w:val="20"/>
          <w:szCs w:val="20"/>
          <w:shd w:val="clear" w:color="auto" w:fill="FFFFFF"/>
          <w:lang w:val="en-US"/>
        </w:rPr>
        <w:t xml:space="preserve"> </w:t>
      </w:r>
      <w:r w:rsidR="00FE55F3" w:rsidRPr="00EA6C7A">
        <w:rPr>
          <w:rFonts w:ascii="Verdana" w:eastAsia="Calibri" w:hAnsi="Verdana" w:cs="Tahoma"/>
          <w:bCs/>
          <w:color w:val="000000"/>
          <w:sz w:val="20"/>
          <w:szCs w:val="20"/>
          <w:shd w:val="clear" w:color="auto" w:fill="FFFFFF"/>
          <w:lang w:val="en-US"/>
        </w:rPr>
        <w:t>published</w:t>
      </w:r>
      <w:r w:rsidRPr="00EA6C7A">
        <w:rPr>
          <w:rFonts w:ascii="Verdana" w:eastAsia="Calibri" w:hAnsi="Verdana" w:cs="Tahoma"/>
          <w:bCs/>
          <w:color w:val="000000"/>
          <w:sz w:val="20"/>
          <w:szCs w:val="20"/>
          <w:shd w:val="clear" w:color="auto" w:fill="FFFFFF"/>
          <w:lang w:val="en-US"/>
        </w:rPr>
        <w:t xml:space="preserve"> by the </w:t>
      </w:r>
      <w:r w:rsidR="00175ABB" w:rsidRPr="00EA6C7A">
        <w:rPr>
          <w:rFonts w:ascii="Verdana" w:eastAsia="Calibri" w:hAnsi="Verdana" w:cs="Tahoma"/>
          <w:bCs/>
          <w:i/>
          <w:iCs/>
          <w:color w:val="000000"/>
          <w:sz w:val="20"/>
          <w:szCs w:val="20"/>
          <w:shd w:val="clear" w:color="auto" w:fill="FFFFFF"/>
          <w:lang w:val="en-US"/>
        </w:rPr>
        <w:t>Real Academia Española</w:t>
      </w:r>
      <w:r w:rsidR="00175ABB"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i</w:t>
      </w:r>
      <w:r w:rsidR="00175ABB" w:rsidRPr="00EA6C7A">
        <w:rPr>
          <w:rFonts w:ascii="Verdana" w:eastAsia="Calibri" w:hAnsi="Verdana" w:cs="Tahoma"/>
          <w:bCs/>
          <w:color w:val="000000"/>
          <w:sz w:val="20"/>
          <w:szCs w:val="20"/>
          <w:shd w:val="clear" w:color="auto" w:fill="FFFFFF"/>
          <w:lang w:val="en-US"/>
        </w:rPr>
        <w:t xml:space="preserve">n </w:t>
      </w:r>
      <w:r w:rsidR="007B566E" w:rsidRPr="00EA6C7A">
        <w:rPr>
          <w:rFonts w:ascii="Verdana" w:eastAsia="Calibri" w:hAnsi="Verdana" w:cs="Tahoma"/>
          <w:bCs/>
          <w:color w:val="000000"/>
          <w:sz w:val="20"/>
          <w:szCs w:val="20"/>
          <w:shd w:val="clear" w:color="auto" w:fill="FFFFFF"/>
          <w:lang w:val="en-US"/>
        </w:rPr>
        <w:t>October</w:t>
      </w:r>
      <w:r w:rsidR="00175ABB" w:rsidRPr="00EA6C7A">
        <w:rPr>
          <w:rFonts w:ascii="Verdana" w:eastAsia="Calibri" w:hAnsi="Verdana" w:cs="Tahoma"/>
          <w:bCs/>
          <w:color w:val="000000"/>
          <w:sz w:val="20"/>
          <w:szCs w:val="20"/>
          <w:shd w:val="clear" w:color="auto" w:fill="FFFFFF"/>
          <w:lang w:val="en-US"/>
        </w:rPr>
        <w:t xml:space="preserve"> 2014</w:t>
      </w:r>
      <w:r w:rsidRPr="00EA6C7A">
        <w:rPr>
          <w:rFonts w:ascii="Verdana" w:eastAsia="Calibri" w:hAnsi="Verdana" w:cs="Tahoma"/>
          <w:bCs/>
          <w:color w:val="000000"/>
          <w:sz w:val="20"/>
          <w:szCs w:val="20"/>
          <w:shd w:val="clear" w:color="auto" w:fill="FFFFFF"/>
          <w:lang w:val="en-US"/>
        </w:rPr>
        <w:t>,</w:t>
      </w:r>
      <w:r w:rsidR="00175ABB" w:rsidRPr="00EA6C7A">
        <w:rPr>
          <w:rFonts w:ascii="Verdana" w:eastAsia="Arial Unicode MS" w:hAnsi="Verdana" w:cs="Arial Unicode MS"/>
          <w:color w:val="000000"/>
          <w:spacing w:val="4"/>
          <w:shd w:val="clear" w:color="auto" w:fill="FFFFFF"/>
          <w:vertAlign w:val="superscript"/>
          <w:lang w:val="en-US"/>
        </w:rPr>
        <w:footnoteReference w:id="374"/>
      </w:r>
      <w:r w:rsidRPr="00EA6C7A">
        <w:rPr>
          <w:rFonts w:ascii="Verdana" w:eastAsia="Calibri" w:hAnsi="Verdana" w:cs="Tahoma"/>
          <w:bCs/>
          <w:color w:val="000000"/>
          <w:sz w:val="20"/>
          <w:szCs w:val="20"/>
          <w:shd w:val="clear" w:color="auto" w:fill="FFFFFF"/>
          <w:lang w:val="en-US"/>
        </w:rPr>
        <w:t xml:space="preserve"> almost 10 years after the lamentable facts of the case that gives rise to this separate opinion.</w:t>
      </w:r>
    </w:p>
    <w:p w14:paraId="6539C873" w14:textId="77777777" w:rsidR="00175ABB" w:rsidRPr="00EA6C7A" w:rsidRDefault="00175ABB" w:rsidP="00175ABB">
      <w:pPr>
        <w:spacing w:after="0" w:line="240" w:lineRule="auto"/>
        <w:jc w:val="both"/>
        <w:rPr>
          <w:rFonts w:ascii="Verdana" w:eastAsia="Calibri" w:hAnsi="Verdana"/>
          <w:sz w:val="20"/>
          <w:szCs w:val="20"/>
          <w:lang w:val="en-US" w:eastAsia="es-PA"/>
        </w:rPr>
      </w:pPr>
    </w:p>
    <w:p w14:paraId="74CBBFA3" w14:textId="77777777" w:rsidR="00175ABB" w:rsidRPr="00EA6C7A" w:rsidRDefault="005B652A" w:rsidP="005B652A">
      <w:pPr>
        <w:numPr>
          <w:ilvl w:val="0"/>
          <w:numId w:val="14"/>
        </w:numPr>
        <w:spacing w:line="240" w:lineRule="auto"/>
        <w:ind w:left="0" w:firstLine="0"/>
        <w:contextualSpacing/>
        <w:jc w:val="both"/>
        <w:rPr>
          <w:rFonts w:ascii="Verdana" w:eastAsia="Calibri" w:hAnsi="Verdana" w:cs="Tahoma"/>
          <w:bCs/>
          <w:color w:val="000000"/>
          <w:sz w:val="20"/>
          <w:szCs w:val="20"/>
          <w:shd w:val="clear" w:color="auto" w:fill="FFFFFF"/>
          <w:lang w:val="en-US"/>
        </w:rPr>
      </w:pPr>
      <w:r w:rsidRPr="00EA6C7A">
        <w:rPr>
          <w:rFonts w:ascii="Verdana" w:eastAsia="Arial Unicode MS" w:hAnsi="Verdana" w:cs="Arial Unicode MS"/>
          <w:color w:val="000000"/>
          <w:spacing w:val="4"/>
          <w:sz w:val="20"/>
          <w:szCs w:val="20"/>
          <w:shd w:val="clear" w:color="auto" w:fill="FFFFFF"/>
          <w:lang w:val="en-US"/>
        </w:rPr>
        <w:lastRenderedPageBreak/>
        <w:t xml:space="preserve">The persistence of this problem in the region – despite diverse actions by the States as noted in the instant case – underscores the </w:t>
      </w:r>
      <w:r w:rsidR="00FE55F3" w:rsidRPr="00EA6C7A">
        <w:rPr>
          <w:rFonts w:ascii="Verdana" w:eastAsia="Arial Unicode MS" w:hAnsi="Verdana" w:cs="Arial Unicode MS"/>
          <w:color w:val="000000"/>
          <w:spacing w:val="4"/>
          <w:sz w:val="20"/>
          <w:szCs w:val="20"/>
          <w:shd w:val="clear" w:color="auto" w:fill="FFFFFF"/>
          <w:lang w:val="en-US"/>
        </w:rPr>
        <w:t>urgent</w:t>
      </w:r>
      <w:r w:rsidRPr="00EA6C7A">
        <w:rPr>
          <w:rFonts w:ascii="Verdana" w:eastAsia="Arial Unicode MS" w:hAnsi="Verdana" w:cs="Arial Unicode MS"/>
          <w:color w:val="000000"/>
          <w:spacing w:val="4"/>
          <w:sz w:val="20"/>
          <w:szCs w:val="20"/>
          <w:shd w:val="clear" w:color="auto" w:fill="FFFFFF"/>
          <w:lang w:val="en-US"/>
        </w:rPr>
        <w:t xml:space="preserve"> need to </w:t>
      </w:r>
      <w:r w:rsidR="0065677A" w:rsidRPr="00EA6C7A">
        <w:rPr>
          <w:rFonts w:ascii="Verdana" w:eastAsia="Arial Unicode MS" w:hAnsi="Verdana" w:cs="Arial Unicode MS"/>
          <w:color w:val="000000"/>
          <w:spacing w:val="4"/>
          <w:sz w:val="20"/>
          <w:szCs w:val="20"/>
          <w:shd w:val="clear" w:color="auto" w:fill="FFFFFF"/>
          <w:lang w:val="en-US"/>
        </w:rPr>
        <w:t>pay</w:t>
      </w:r>
      <w:r w:rsidRPr="00EA6C7A">
        <w:rPr>
          <w:rFonts w:ascii="Verdana" w:eastAsia="Arial Unicode MS" w:hAnsi="Verdana" w:cs="Arial Unicode MS"/>
          <w:color w:val="000000"/>
          <w:spacing w:val="4"/>
          <w:sz w:val="20"/>
          <w:szCs w:val="20"/>
          <w:shd w:val="clear" w:color="auto" w:fill="FFFFFF"/>
          <w:lang w:val="en-US"/>
        </w:rPr>
        <w:t xml:space="preserve"> special attention to the “obligation of prevention” referred to in</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sz w:val="20"/>
          <w:szCs w:val="20"/>
          <w:lang w:val="en-US" w:eastAsia="es-PA"/>
        </w:rPr>
        <w:t>Article</w:t>
      </w:r>
      <w:r w:rsidR="00175ABB" w:rsidRPr="00EA6C7A">
        <w:rPr>
          <w:rFonts w:ascii="Verdana" w:eastAsia="Calibri" w:hAnsi="Verdana"/>
          <w:sz w:val="20"/>
          <w:szCs w:val="20"/>
          <w:lang w:val="en-US" w:eastAsia="es-PA"/>
        </w:rPr>
        <w:t xml:space="preserve"> 7 </w:t>
      </w:r>
      <w:r w:rsidRPr="00EA6C7A">
        <w:rPr>
          <w:rFonts w:ascii="Verdana" w:eastAsia="Calibri" w:hAnsi="Verdana"/>
          <w:sz w:val="20"/>
          <w:szCs w:val="20"/>
          <w:lang w:val="en-US" w:eastAsia="es-PA"/>
        </w:rPr>
        <w:t>of the</w:t>
      </w:r>
      <w:r w:rsidR="00175ABB" w:rsidRPr="00EA6C7A">
        <w:rPr>
          <w:rFonts w:ascii="Verdana" w:eastAsia="Calibri" w:hAnsi="Verdana"/>
          <w:sz w:val="20"/>
          <w:szCs w:val="20"/>
          <w:lang w:val="en-US" w:eastAsia="es-PA"/>
        </w:rPr>
        <w:t xml:space="preserve"> “</w:t>
      </w:r>
      <w:r w:rsidR="00F912BD" w:rsidRPr="00EA6C7A">
        <w:rPr>
          <w:rFonts w:ascii="Verdana" w:eastAsia="Calibri" w:hAnsi="Verdana"/>
          <w:sz w:val="20"/>
          <w:szCs w:val="20"/>
          <w:lang w:val="en-US" w:eastAsia="es-PA"/>
        </w:rPr>
        <w:t>Convention of</w:t>
      </w:r>
      <w:r w:rsidR="00175ABB" w:rsidRPr="00EA6C7A">
        <w:rPr>
          <w:rFonts w:ascii="Verdana" w:eastAsia="Calibri" w:hAnsi="Verdana"/>
          <w:sz w:val="20"/>
          <w:szCs w:val="20"/>
          <w:lang w:val="en-US" w:eastAsia="es-PA"/>
        </w:rPr>
        <w:t xml:space="preserve"> Belém do Pará”</w:t>
      </w:r>
      <w:r w:rsidR="00175ABB" w:rsidRPr="00EA6C7A">
        <w:rPr>
          <w:rFonts w:ascii="Verdana" w:eastAsia="Calibri" w:hAnsi="Verdana"/>
          <w:vertAlign w:val="superscript"/>
          <w:lang w:val="en-US"/>
        </w:rPr>
        <w:footnoteReference w:id="375"/>
      </w:r>
      <w:r w:rsidR="00175ABB" w:rsidRPr="00EA6C7A">
        <w:rPr>
          <w:rFonts w:ascii="Verdana" w:eastAsia="Calibri" w:hAnsi="Verdana"/>
          <w:sz w:val="20"/>
          <w:szCs w:val="20"/>
          <w:lang w:val="en-US" w:eastAsia="es-PA"/>
        </w:rPr>
        <w:t xml:space="preserve">; </w:t>
      </w:r>
      <w:r w:rsidRPr="00EA6C7A">
        <w:rPr>
          <w:rFonts w:ascii="Verdana" w:eastAsia="Calibri" w:hAnsi="Verdana"/>
          <w:sz w:val="20"/>
          <w:szCs w:val="20"/>
          <w:lang w:val="en-US" w:eastAsia="es-PA"/>
        </w:rPr>
        <w:t xml:space="preserve">an obligation that, I consider, </w:t>
      </w:r>
      <w:r w:rsidR="0065677A" w:rsidRPr="00EA6C7A">
        <w:rPr>
          <w:rFonts w:ascii="Verdana" w:eastAsia="Calibri" w:hAnsi="Verdana"/>
          <w:sz w:val="20"/>
          <w:szCs w:val="20"/>
          <w:lang w:val="en-US" w:eastAsia="es-PA"/>
        </w:rPr>
        <w:t xml:space="preserve">is </w:t>
      </w:r>
      <w:r w:rsidRPr="00EA6C7A">
        <w:rPr>
          <w:rFonts w:ascii="Verdana" w:eastAsia="Calibri" w:hAnsi="Verdana"/>
          <w:sz w:val="20"/>
          <w:szCs w:val="20"/>
          <w:lang w:val="en-US" w:eastAsia="es-PA"/>
        </w:rPr>
        <w:t xml:space="preserve">of the greatest relevance to avoid the barbarity of the phenomenon of “femicide” and, in general, all forms of </w:t>
      </w:r>
      <w:r w:rsidR="00C12C08" w:rsidRPr="00EA6C7A">
        <w:rPr>
          <w:rFonts w:ascii="Verdana" w:eastAsia="Calibri" w:hAnsi="Verdana"/>
          <w:sz w:val="20"/>
          <w:szCs w:val="20"/>
          <w:lang w:val="en-US" w:eastAsia="es-PA"/>
        </w:rPr>
        <w:t>violence against women</w:t>
      </w:r>
      <w:r w:rsidR="00175ABB" w:rsidRPr="00EA6C7A">
        <w:rPr>
          <w:rFonts w:ascii="Verdana" w:eastAsia="Calibri" w:hAnsi="Verdana"/>
          <w:sz w:val="20"/>
          <w:szCs w:val="20"/>
          <w:lang w:val="en-US" w:eastAsia="es-PA"/>
        </w:rPr>
        <w:t xml:space="preserve">. </w:t>
      </w:r>
    </w:p>
    <w:p w14:paraId="4783C494" w14:textId="77777777" w:rsidR="00175ABB" w:rsidRPr="00EA6C7A" w:rsidRDefault="00175ABB" w:rsidP="00175ABB">
      <w:pPr>
        <w:spacing w:line="240" w:lineRule="auto"/>
        <w:contextualSpacing/>
        <w:jc w:val="both"/>
        <w:rPr>
          <w:rFonts w:ascii="Verdana" w:eastAsia="Calibri" w:hAnsi="Verdana" w:cs="Tahoma"/>
          <w:bCs/>
          <w:color w:val="000000"/>
          <w:sz w:val="20"/>
          <w:szCs w:val="20"/>
          <w:shd w:val="clear" w:color="auto" w:fill="FFFFFF"/>
          <w:lang w:val="en-US"/>
        </w:rPr>
      </w:pPr>
    </w:p>
    <w:p w14:paraId="25193F0E" w14:textId="77777777" w:rsidR="005B652A" w:rsidRPr="00EA6C7A" w:rsidRDefault="005B652A" w:rsidP="00E11A7C">
      <w:pPr>
        <w:numPr>
          <w:ilvl w:val="0"/>
          <w:numId w:val="14"/>
        </w:numPr>
        <w:spacing w:line="240" w:lineRule="auto"/>
        <w:ind w:left="0" w:firstLine="0"/>
        <w:contextualSpacing/>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Consequently, I submit this concurring opinion in order to </w:t>
      </w:r>
      <w:r w:rsidR="00377858" w:rsidRPr="00EA6C7A">
        <w:rPr>
          <w:rFonts w:ascii="Verdana" w:eastAsia="Calibri" w:hAnsi="Verdana" w:cs="Tahoma"/>
          <w:bCs/>
          <w:color w:val="000000"/>
          <w:sz w:val="20"/>
          <w:szCs w:val="20"/>
          <w:shd w:val="clear" w:color="auto" w:fill="FFFFFF"/>
          <w:lang w:val="en-US"/>
        </w:rPr>
        <w:t>highlight</w:t>
      </w:r>
      <w:r w:rsidRPr="00EA6C7A">
        <w:rPr>
          <w:rFonts w:ascii="Verdana" w:eastAsia="Calibri" w:hAnsi="Verdana" w:cs="Tahoma"/>
          <w:bCs/>
          <w:color w:val="000000"/>
          <w:sz w:val="20"/>
          <w:szCs w:val="20"/>
          <w:shd w:val="clear" w:color="auto" w:fill="FFFFFF"/>
          <w:lang w:val="en-US"/>
        </w:rPr>
        <w:t xml:space="preserve"> some issues</w:t>
      </w:r>
      <w:r w:rsidR="00377858" w:rsidRPr="00EA6C7A">
        <w:rPr>
          <w:rFonts w:ascii="Verdana" w:eastAsia="Calibri" w:hAnsi="Verdana" w:cs="Tahoma"/>
          <w:bCs/>
          <w:color w:val="000000"/>
          <w:sz w:val="20"/>
          <w:szCs w:val="20"/>
          <w:shd w:val="clear" w:color="auto" w:fill="FFFFFF"/>
          <w:lang w:val="en-US"/>
        </w:rPr>
        <w:t xml:space="preserve"> that were relevant</w:t>
      </w:r>
      <w:r w:rsidRPr="00EA6C7A">
        <w:rPr>
          <w:rFonts w:ascii="Verdana" w:eastAsia="Calibri" w:hAnsi="Verdana" w:cs="Tahoma"/>
          <w:bCs/>
          <w:color w:val="000000"/>
          <w:sz w:val="20"/>
          <w:szCs w:val="20"/>
          <w:shd w:val="clear" w:color="auto" w:fill="FFFFFF"/>
          <w:lang w:val="en-US"/>
        </w:rPr>
        <w:t xml:space="preserve"> in the study and analysis</w:t>
      </w:r>
      <w:r w:rsidR="0065677A" w:rsidRPr="00EA6C7A">
        <w:rPr>
          <w:rFonts w:ascii="Verdana" w:eastAsia="Calibri" w:hAnsi="Verdana" w:cs="Tahoma"/>
          <w:bCs/>
          <w:color w:val="000000"/>
          <w:sz w:val="20"/>
          <w:szCs w:val="20"/>
          <w:shd w:val="clear" w:color="auto" w:fill="FFFFFF"/>
          <w:lang w:val="en-US"/>
        </w:rPr>
        <w:t xml:space="preserve"> made</w:t>
      </w:r>
      <w:r w:rsidRPr="00EA6C7A">
        <w:rPr>
          <w:rFonts w:ascii="Verdana" w:eastAsia="Calibri" w:hAnsi="Verdana" w:cs="Tahoma"/>
          <w:bCs/>
          <w:color w:val="000000"/>
          <w:sz w:val="20"/>
          <w:szCs w:val="20"/>
          <w:shd w:val="clear" w:color="auto" w:fill="FFFFFF"/>
          <w:lang w:val="en-US"/>
        </w:rPr>
        <w:t xml:space="preserve"> in this case</w:t>
      </w:r>
      <w:r w:rsidR="0065677A" w:rsidRPr="00EA6C7A">
        <w:rPr>
          <w:rFonts w:ascii="Verdana" w:eastAsia="Calibri" w:hAnsi="Verdana" w:cs="Tahoma"/>
          <w:bCs/>
          <w:color w:val="000000"/>
          <w:sz w:val="20"/>
          <w:szCs w:val="20"/>
          <w:shd w:val="clear" w:color="auto" w:fill="FFFFFF"/>
          <w:lang w:val="en-US"/>
        </w:rPr>
        <w:t xml:space="preserve"> of the State obligation of prevention</w:t>
      </w:r>
      <w:r w:rsidR="00377858" w:rsidRPr="00EA6C7A">
        <w:rPr>
          <w:rFonts w:ascii="Verdana" w:eastAsia="Calibri" w:hAnsi="Verdana" w:cs="Tahoma"/>
          <w:bCs/>
          <w:color w:val="000000"/>
          <w:sz w:val="20"/>
          <w:szCs w:val="20"/>
          <w:shd w:val="clear" w:color="auto" w:fill="FFFFFF"/>
          <w:lang w:val="en-US"/>
        </w:rPr>
        <w:t xml:space="preserve">, because I consider it pertinent to observe carefully the moment </w:t>
      </w:r>
      <w:r w:rsidR="0065677A" w:rsidRPr="00EA6C7A">
        <w:rPr>
          <w:rFonts w:ascii="Verdana" w:eastAsia="Calibri" w:hAnsi="Verdana" w:cs="Tahoma"/>
          <w:bCs/>
          <w:color w:val="000000"/>
          <w:sz w:val="20"/>
          <w:szCs w:val="20"/>
          <w:shd w:val="clear" w:color="auto" w:fill="FFFFFF"/>
          <w:lang w:val="en-US"/>
        </w:rPr>
        <w:t>in</w:t>
      </w:r>
      <w:r w:rsidR="00377858" w:rsidRPr="00EA6C7A">
        <w:rPr>
          <w:rFonts w:ascii="Verdana" w:eastAsia="Calibri" w:hAnsi="Verdana" w:cs="Tahoma"/>
          <w:bCs/>
          <w:color w:val="000000"/>
          <w:sz w:val="20"/>
          <w:szCs w:val="20"/>
          <w:shd w:val="clear" w:color="auto" w:fill="FFFFFF"/>
          <w:lang w:val="en-US"/>
        </w:rPr>
        <w:t xml:space="preserve"> the facts analyzed in the judgment at which the State’s international responsibility was constituted for failing to comply with its obligation of prevention – with special emphasis on the proven “context” of an increase in the disappearance and violent murder of women.</w:t>
      </w:r>
    </w:p>
    <w:p w14:paraId="5494B508" w14:textId="77777777" w:rsidR="00175ABB" w:rsidRPr="00EA6C7A" w:rsidRDefault="00175ABB" w:rsidP="00175ABB">
      <w:pPr>
        <w:spacing w:line="240" w:lineRule="auto"/>
        <w:contextualSpacing/>
        <w:jc w:val="both"/>
        <w:rPr>
          <w:rFonts w:ascii="Verdana" w:eastAsia="Calibri" w:hAnsi="Verdana" w:cs="Tahoma"/>
          <w:bCs/>
          <w:color w:val="000000"/>
          <w:sz w:val="20"/>
          <w:szCs w:val="20"/>
          <w:shd w:val="clear" w:color="auto" w:fill="FFFFFF"/>
          <w:lang w:val="en-US"/>
        </w:rPr>
      </w:pPr>
    </w:p>
    <w:p w14:paraId="67F1CF8B" w14:textId="77777777" w:rsidR="00175ABB" w:rsidRPr="00EA6C7A" w:rsidRDefault="00377858" w:rsidP="00E11A7C">
      <w:pPr>
        <w:numPr>
          <w:ilvl w:val="0"/>
          <w:numId w:val="14"/>
        </w:numPr>
        <w:spacing w:line="240" w:lineRule="auto"/>
        <w:ind w:left="0" w:firstLine="0"/>
        <w:contextualSpacing/>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I consider that this analysis should differ from the one made by the Court in previous cases,</w:t>
      </w:r>
      <w:r w:rsidR="00175ABB" w:rsidRPr="00EA6C7A">
        <w:rPr>
          <w:rFonts w:ascii="Verdana" w:eastAsia="Calibri" w:hAnsi="Verdana" w:cs="Tahoma"/>
          <w:bCs/>
          <w:color w:val="000000"/>
          <w:sz w:val="20"/>
          <w:szCs w:val="20"/>
          <w:shd w:val="clear" w:color="auto" w:fill="FFFFFF"/>
          <w:vertAlign w:val="superscript"/>
          <w:lang w:val="en-US"/>
        </w:rPr>
        <w:footnoteReference w:id="376"/>
      </w:r>
      <w:r w:rsidRPr="00EA6C7A">
        <w:rPr>
          <w:rFonts w:ascii="Verdana" w:eastAsia="Calibri" w:hAnsi="Verdana" w:cs="Tahoma"/>
          <w:bCs/>
          <w:color w:val="000000"/>
          <w:sz w:val="20"/>
          <w:szCs w:val="20"/>
          <w:shd w:val="clear" w:color="auto" w:fill="FFFFFF"/>
          <w:lang w:val="en-US"/>
        </w:rPr>
        <w:t xml:space="preserve"> </w:t>
      </w:r>
      <w:r w:rsidR="0065677A" w:rsidRPr="00EA6C7A">
        <w:rPr>
          <w:rFonts w:ascii="Verdana" w:eastAsia="Calibri" w:hAnsi="Verdana" w:cs="Tahoma"/>
          <w:bCs/>
          <w:color w:val="000000"/>
          <w:sz w:val="20"/>
          <w:szCs w:val="20"/>
          <w:shd w:val="clear" w:color="auto" w:fill="FFFFFF"/>
          <w:lang w:val="en-US"/>
        </w:rPr>
        <w:t xml:space="preserve">and </w:t>
      </w:r>
      <w:r w:rsidRPr="00EA6C7A">
        <w:rPr>
          <w:rFonts w:ascii="Verdana" w:eastAsia="Calibri" w:hAnsi="Verdana" w:cs="Tahoma"/>
          <w:bCs/>
          <w:color w:val="000000"/>
          <w:sz w:val="20"/>
          <w:szCs w:val="20"/>
          <w:shd w:val="clear" w:color="auto" w:fill="FFFFFF"/>
          <w:lang w:val="en-US"/>
        </w:rPr>
        <w:t xml:space="preserve">accord greater relevance to the “first moment” of this general obligation of prevention (State actions </w:t>
      </w:r>
      <w:r w:rsidR="0001699C" w:rsidRPr="00EA6C7A">
        <w:rPr>
          <w:rFonts w:ascii="Verdana" w:eastAsia="Calibri" w:hAnsi="Verdana" w:cs="Tahoma"/>
          <w:bCs/>
          <w:color w:val="000000"/>
          <w:sz w:val="20"/>
          <w:szCs w:val="20"/>
          <w:shd w:val="clear" w:color="auto" w:fill="FFFFFF"/>
          <w:lang w:val="en-US"/>
        </w:rPr>
        <w:t>before the</w:t>
      </w:r>
      <w:r w:rsidRPr="00EA6C7A">
        <w:rPr>
          <w:rFonts w:ascii="Verdana" w:eastAsia="Calibri" w:hAnsi="Verdana" w:cs="Tahoma"/>
          <w:bCs/>
          <w:color w:val="000000"/>
          <w:sz w:val="20"/>
          <w:szCs w:val="20"/>
          <w:shd w:val="clear" w:color="auto" w:fill="FFFFFF"/>
          <w:lang w:val="en-US"/>
        </w:rPr>
        <w:t xml:space="preserve"> victim went missing), which evidently conditione</w:t>
      </w:r>
      <w:r w:rsidR="0065677A" w:rsidRPr="00EA6C7A">
        <w:rPr>
          <w:rFonts w:ascii="Verdana" w:eastAsia="Calibri" w:hAnsi="Verdana" w:cs="Tahoma"/>
          <w:bCs/>
          <w:color w:val="000000"/>
          <w:sz w:val="20"/>
          <w:szCs w:val="20"/>
          <w:shd w:val="clear" w:color="auto" w:fill="FFFFFF"/>
          <w:lang w:val="en-US"/>
        </w:rPr>
        <w:t>d</w:t>
      </w:r>
      <w:r w:rsidRPr="00EA6C7A">
        <w:rPr>
          <w:rFonts w:ascii="Verdana" w:eastAsia="Calibri" w:hAnsi="Verdana" w:cs="Tahoma"/>
          <w:bCs/>
          <w:color w:val="000000"/>
          <w:sz w:val="20"/>
          <w:szCs w:val="20"/>
          <w:shd w:val="clear" w:color="auto" w:fill="FFFFFF"/>
          <w:lang w:val="en-US"/>
        </w:rPr>
        <w:t xml:space="preserve"> the State’s actions during the “second moment” (State actions between the time of the family’s report and the discovery of the victim’s body), as I will try to explain in this opinion</w:t>
      </w:r>
      <w:r w:rsidR="00175ABB"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 xml:space="preserve">And I will do so, </w:t>
      </w:r>
      <w:r w:rsidR="0065677A" w:rsidRPr="00EA6C7A">
        <w:rPr>
          <w:rFonts w:ascii="Verdana" w:eastAsia="Calibri" w:hAnsi="Verdana" w:cs="Tahoma"/>
          <w:bCs/>
          <w:color w:val="000000"/>
          <w:sz w:val="20"/>
          <w:szCs w:val="20"/>
          <w:shd w:val="clear" w:color="auto" w:fill="FFFFFF"/>
          <w:lang w:val="en-US"/>
        </w:rPr>
        <w:t>based on</w:t>
      </w:r>
      <w:r w:rsidRPr="00EA6C7A">
        <w:rPr>
          <w:rFonts w:ascii="Verdana" w:eastAsia="Calibri" w:hAnsi="Verdana" w:cs="Tahoma"/>
          <w:bCs/>
          <w:color w:val="000000"/>
          <w:sz w:val="20"/>
          <w:szCs w:val="20"/>
          <w:shd w:val="clear" w:color="auto" w:fill="FFFFFF"/>
          <w:lang w:val="en-US"/>
        </w:rPr>
        <w:t xml:space="preserve"> the </w:t>
      </w:r>
      <w:r w:rsidR="0065677A" w:rsidRPr="00EA6C7A">
        <w:rPr>
          <w:rFonts w:ascii="Verdana" w:eastAsia="Calibri" w:hAnsi="Verdana" w:cs="Tahoma"/>
          <w:bCs/>
          <w:color w:val="000000"/>
          <w:sz w:val="20"/>
          <w:szCs w:val="20"/>
          <w:shd w:val="clear" w:color="auto" w:fill="FFFFFF"/>
          <w:lang w:val="en-US"/>
        </w:rPr>
        <w:t>criterion</w:t>
      </w:r>
      <w:r w:rsidRPr="00EA6C7A">
        <w:rPr>
          <w:rFonts w:ascii="Verdana" w:eastAsia="Calibri" w:hAnsi="Verdana" w:cs="Tahoma"/>
          <w:bCs/>
          <w:color w:val="000000"/>
          <w:sz w:val="20"/>
          <w:szCs w:val="20"/>
          <w:shd w:val="clear" w:color="auto" w:fill="FFFFFF"/>
          <w:lang w:val="en-US"/>
        </w:rPr>
        <w:t xml:space="preserve"> of the “two moments” of the obligation of prevention established in the two previous cases on this matter, interpreted in light of the State’s obligations established in </w:t>
      </w:r>
      <w:r w:rsidR="0096418F" w:rsidRPr="00EA6C7A">
        <w:rPr>
          <w:rFonts w:ascii="Verdana" w:eastAsia="Calibri" w:hAnsi="Verdana" w:cs="Tahoma"/>
          <w:bCs/>
          <w:color w:val="000000"/>
          <w:sz w:val="20"/>
          <w:szCs w:val="20"/>
          <w:shd w:val="clear" w:color="auto" w:fill="FFFFFF"/>
          <w:lang w:val="en-US"/>
        </w:rPr>
        <w:t>the American Convention</w:t>
      </w:r>
      <w:r w:rsidR="00D948A1" w:rsidRPr="00EA6C7A">
        <w:rPr>
          <w:rFonts w:ascii="Verdana" w:eastAsia="Calibri" w:hAnsi="Verdana" w:cs="Tahoma"/>
          <w:bCs/>
          <w:color w:val="000000"/>
          <w:sz w:val="20"/>
          <w:szCs w:val="20"/>
          <w:shd w:val="clear" w:color="auto" w:fill="FFFFFF"/>
          <w:lang w:val="en-US"/>
        </w:rPr>
        <w:t xml:space="preserve"> and </w:t>
      </w:r>
      <w:r w:rsidR="00175ABB" w:rsidRPr="00EA6C7A">
        <w:rPr>
          <w:rFonts w:ascii="Verdana" w:eastAsia="Calibri" w:hAnsi="Verdana" w:cs="Tahoma"/>
          <w:bCs/>
          <w:color w:val="000000"/>
          <w:sz w:val="20"/>
          <w:szCs w:val="20"/>
          <w:shd w:val="clear" w:color="auto" w:fill="FFFFFF"/>
          <w:lang w:val="en-US"/>
        </w:rPr>
        <w:t>particular</w:t>
      </w:r>
      <w:r w:rsidRPr="00EA6C7A">
        <w:rPr>
          <w:rFonts w:ascii="Verdana" w:eastAsia="Calibri" w:hAnsi="Verdana" w:cs="Tahoma"/>
          <w:bCs/>
          <w:color w:val="000000"/>
          <w:sz w:val="20"/>
          <w:szCs w:val="20"/>
          <w:shd w:val="clear" w:color="auto" w:fill="FFFFFF"/>
          <w:lang w:val="en-US"/>
        </w:rPr>
        <w:t>ly</w:t>
      </w:r>
      <w:r w:rsidR="00175ABB"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in</w:t>
      </w:r>
      <w:r w:rsidR="001914FC" w:rsidRPr="00EA6C7A">
        <w:rPr>
          <w:rFonts w:ascii="Verdana" w:eastAsia="Calibri" w:hAnsi="Verdana" w:cs="Tahoma"/>
          <w:bCs/>
          <w:color w:val="000000"/>
          <w:sz w:val="20"/>
          <w:szCs w:val="20"/>
          <w:shd w:val="clear" w:color="auto" w:fill="FFFFFF"/>
          <w:lang w:val="en-US"/>
        </w:rPr>
        <w:t xml:space="preserve"> Article</w:t>
      </w:r>
      <w:r w:rsidR="00175ABB" w:rsidRPr="00EA6C7A">
        <w:rPr>
          <w:rFonts w:ascii="Verdana" w:eastAsia="Calibri" w:hAnsi="Verdana" w:cs="Tahoma"/>
          <w:bCs/>
          <w:color w:val="000000"/>
          <w:sz w:val="20"/>
          <w:szCs w:val="20"/>
          <w:shd w:val="clear" w:color="auto" w:fill="FFFFFF"/>
          <w:lang w:val="en-US"/>
        </w:rPr>
        <w:t xml:space="preserve"> 7 </w:t>
      </w:r>
      <w:r w:rsidRPr="00EA6C7A">
        <w:rPr>
          <w:rFonts w:ascii="Verdana" w:eastAsia="Calibri" w:hAnsi="Verdana" w:cs="Tahoma"/>
          <w:bCs/>
          <w:color w:val="000000"/>
          <w:sz w:val="20"/>
          <w:szCs w:val="20"/>
          <w:shd w:val="clear" w:color="auto" w:fill="FFFFFF"/>
          <w:lang w:val="en-US"/>
        </w:rPr>
        <w:t>of the</w:t>
      </w:r>
      <w:r w:rsidR="00175ABB" w:rsidRPr="00EA6C7A">
        <w:rPr>
          <w:rFonts w:ascii="Verdana" w:eastAsia="Calibri" w:hAnsi="Verdana" w:cs="Tahoma"/>
          <w:bCs/>
          <w:color w:val="000000"/>
          <w:sz w:val="20"/>
          <w:szCs w:val="20"/>
          <w:shd w:val="clear" w:color="auto" w:fill="FFFFFF"/>
          <w:lang w:val="en-US"/>
        </w:rPr>
        <w:t xml:space="preserve"> “</w:t>
      </w:r>
      <w:r w:rsidR="00F912BD" w:rsidRPr="00EA6C7A">
        <w:rPr>
          <w:rFonts w:ascii="Verdana" w:eastAsia="Calibri" w:hAnsi="Verdana" w:cs="Tahoma"/>
          <w:bCs/>
          <w:color w:val="000000"/>
          <w:sz w:val="20"/>
          <w:szCs w:val="20"/>
          <w:shd w:val="clear" w:color="auto" w:fill="FFFFFF"/>
          <w:lang w:val="en-US"/>
        </w:rPr>
        <w:t>Convention of</w:t>
      </w:r>
      <w:r w:rsidR="00175ABB" w:rsidRPr="00EA6C7A">
        <w:rPr>
          <w:rFonts w:ascii="Verdana" w:eastAsia="Calibri" w:hAnsi="Verdana" w:cs="Tahoma"/>
          <w:bCs/>
          <w:color w:val="000000"/>
          <w:sz w:val="20"/>
          <w:szCs w:val="20"/>
          <w:shd w:val="clear" w:color="auto" w:fill="FFFFFF"/>
          <w:lang w:val="en-US"/>
        </w:rPr>
        <w:t xml:space="preserve"> Belém do Pará</w:t>
      </w:r>
      <w:r w:rsidR="00D5307F" w:rsidRPr="00EA6C7A">
        <w:rPr>
          <w:rFonts w:ascii="Verdana" w:eastAsia="Calibri" w:hAnsi="Verdana" w:cs="Tahoma"/>
          <w:bCs/>
          <w:color w:val="000000"/>
          <w:sz w:val="20"/>
          <w:szCs w:val="20"/>
          <w:shd w:val="clear" w:color="auto" w:fill="FFFFFF"/>
          <w:lang w:val="en-US"/>
        </w:rPr>
        <w:t>,</w:t>
      </w:r>
      <w:r w:rsidR="00175ABB" w:rsidRPr="00EA6C7A">
        <w:rPr>
          <w:rFonts w:ascii="Verdana" w:eastAsia="Calibri" w:hAnsi="Verdana" w:cs="Tahoma"/>
          <w:bCs/>
          <w:color w:val="000000"/>
          <w:sz w:val="20"/>
          <w:szCs w:val="20"/>
          <w:shd w:val="clear" w:color="auto" w:fill="FFFFFF"/>
          <w:lang w:val="en-US"/>
        </w:rPr>
        <w:t>”</w:t>
      </w:r>
      <w:r w:rsidR="00D5307F" w:rsidRPr="00EA6C7A">
        <w:rPr>
          <w:rFonts w:ascii="Verdana" w:eastAsia="Calibri" w:hAnsi="Verdana" w:cs="Tahoma"/>
          <w:bCs/>
          <w:color w:val="000000"/>
          <w:sz w:val="20"/>
          <w:szCs w:val="20"/>
          <w:shd w:val="clear" w:color="auto" w:fill="FFFFFF"/>
          <w:lang w:val="en-US"/>
        </w:rPr>
        <w:t xml:space="preserve"> bearing in mind that Guatemala ratified this treaty on January 4,</w:t>
      </w:r>
      <w:r w:rsidR="00175ABB" w:rsidRPr="00EA6C7A">
        <w:rPr>
          <w:rFonts w:ascii="Verdana" w:eastAsia="Calibri" w:hAnsi="Verdana" w:cs="Tahoma"/>
          <w:bCs/>
          <w:color w:val="000000"/>
          <w:sz w:val="20"/>
          <w:szCs w:val="20"/>
          <w:shd w:val="clear" w:color="auto" w:fill="FFFFFF"/>
          <w:lang w:val="en-US"/>
        </w:rPr>
        <w:t xml:space="preserve"> 1995</w:t>
      </w:r>
      <w:r w:rsidR="00D5307F" w:rsidRPr="00EA6C7A">
        <w:rPr>
          <w:rFonts w:ascii="Verdana" w:eastAsia="Calibri" w:hAnsi="Verdana" w:cs="Tahoma"/>
          <w:bCs/>
          <w:color w:val="000000"/>
          <w:sz w:val="20"/>
          <w:szCs w:val="20"/>
          <w:shd w:val="clear" w:color="auto" w:fill="FFFFFF"/>
          <w:lang w:val="en-US"/>
        </w:rPr>
        <w:t>, with no reservations or limitations.</w:t>
      </w:r>
    </w:p>
    <w:p w14:paraId="42B3E6F4" w14:textId="77777777" w:rsidR="001D1864" w:rsidRPr="00EA6C7A" w:rsidRDefault="001D1864" w:rsidP="001D1864">
      <w:pPr>
        <w:spacing w:line="240" w:lineRule="auto"/>
        <w:contextualSpacing/>
        <w:jc w:val="both"/>
        <w:rPr>
          <w:rFonts w:ascii="Verdana" w:eastAsia="Calibri" w:hAnsi="Verdana" w:cs="Tahoma"/>
          <w:bCs/>
          <w:color w:val="000000"/>
          <w:sz w:val="20"/>
          <w:szCs w:val="20"/>
          <w:shd w:val="clear" w:color="auto" w:fill="FFFFFF"/>
          <w:lang w:val="en-US"/>
        </w:rPr>
      </w:pPr>
    </w:p>
    <w:p w14:paraId="0AB00838" w14:textId="77777777" w:rsidR="00175ABB" w:rsidRPr="00EA6C7A" w:rsidRDefault="00175ABB" w:rsidP="00175ABB">
      <w:pPr>
        <w:spacing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6. </w:t>
      </w:r>
      <w:r w:rsidRPr="00EA6C7A">
        <w:rPr>
          <w:rFonts w:ascii="Verdana" w:eastAsia="Calibri" w:hAnsi="Verdana" w:cs="Tahoma"/>
          <w:bCs/>
          <w:color w:val="000000"/>
          <w:sz w:val="20"/>
          <w:szCs w:val="20"/>
          <w:shd w:val="clear" w:color="auto" w:fill="FFFFFF"/>
          <w:lang w:val="en-US"/>
        </w:rPr>
        <w:tab/>
      </w:r>
      <w:r w:rsidR="00D5307F" w:rsidRPr="00EA6C7A">
        <w:rPr>
          <w:rFonts w:ascii="Verdana" w:eastAsia="Calibri" w:hAnsi="Verdana" w:cs="Tahoma"/>
          <w:bCs/>
          <w:color w:val="000000"/>
          <w:sz w:val="20"/>
          <w:szCs w:val="20"/>
          <w:shd w:val="clear" w:color="auto" w:fill="FFFFFF"/>
          <w:lang w:val="en-US"/>
        </w:rPr>
        <w:t xml:space="preserve">For greater clarity, this opinion is divided into the following sections: </w:t>
      </w:r>
      <w:r w:rsidRPr="00EA6C7A">
        <w:rPr>
          <w:rFonts w:ascii="Verdana" w:eastAsia="Calibri" w:hAnsi="Verdana" w:cs="Tahoma"/>
          <w:bCs/>
          <w:color w:val="000000"/>
          <w:sz w:val="20"/>
          <w:szCs w:val="20"/>
          <w:shd w:val="clear" w:color="auto" w:fill="FFFFFF"/>
          <w:lang w:val="en-US"/>
        </w:rPr>
        <w:t xml:space="preserve">I. </w:t>
      </w:r>
      <w:r w:rsidR="00D5307F" w:rsidRPr="00EA6C7A">
        <w:rPr>
          <w:rFonts w:ascii="Verdana" w:eastAsia="Calibri" w:hAnsi="Verdana" w:cs="Tahoma"/>
          <w:bCs/>
          <w:color w:val="000000"/>
          <w:sz w:val="20"/>
          <w:szCs w:val="20"/>
          <w:shd w:val="clear" w:color="auto" w:fill="FFFFFF"/>
          <w:lang w:val="en-US"/>
        </w:rPr>
        <w:t>The</w:t>
      </w:r>
      <w:r w:rsidRPr="00EA6C7A">
        <w:rPr>
          <w:rFonts w:ascii="Verdana" w:eastAsia="Calibri" w:hAnsi="Verdana" w:cs="Tahoma"/>
          <w:bCs/>
          <w:color w:val="000000"/>
          <w:sz w:val="20"/>
          <w:szCs w:val="20"/>
          <w:shd w:val="clear" w:color="auto" w:fill="FFFFFF"/>
          <w:lang w:val="en-US"/>
        </w:rPr>
        <w:t xml:space="preserve"> “</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 </w:t>
      </w:r>
      <w:r w:rsidR="00D5307F" w:rsidRPr="00EA6C7A">
        <w:rPr>
          <w:rFonts w:ascii="Verdana" w:eastAsia="Calibri" w:hAnsi="Verdana" w:cs="Tahoma"/>
          <w:bCs/>
          <w:color w:val="000000"/>
          <w:sz w:val="20"/>
          <w:szCs w:val="20"/>
          <w:shd w:val="clear" w:color="auto" w:fill="FFFFFF"/>
          <w:lang w:val="en-US"/>
        </w:rPr>
        <w:t>in the case law of the Inter-American Court</w:t>
      </w:r>
      <w:r w:rsidR="0096418F"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w:t>
      </w:r>
      <w:r w:rsidR="008524CB" w:rsidRPr="00EA6C7A">
        <w:rPr>
          <w:rFonts w:ascii="Verdana" w:eastAsia="Calibri" w:hAnsi="Verdana" w:cs="Tahoma"/>
          <w:bCs/>
          <w:color w:val="000000"/>
          <w:sz w:val="20"/>
          <w:szCs w:val="20"/>
          <w:shd w:val="clear" w:color="auto" w:fill="FFFFFF"/>
          <w:lang w:val="en-US"/>
        </w:rPr>
        <w:t>paras.</w:t>
      </w:r>
      <w:r w:rsidRPr="00EA6C7A">
        <w:rPr>
          <w:rFonts w:ascii="Verdana" w:eastAsia="Calibri" w:hAnsi="Verdana" w:cs="Tahoma"/>
          <w:bCs/>
          <w:color w:val="000000"/>
          <w:sz w:val="20"/>
          <w:szCs w:val="20"/>
          <w:shd w:val="clear" w:color="auto" w:fill="FFFFFF"/>
          <w:lang w:val="en-US"/>
        </w:rPr>
        <w:t xml:space="preserve"> 7 </w:t>
      </w:r>
      <w:r w:rsidR="00D5307F" w:rsidRPr="00EA6C7A">
        <w:rPr>
          <w:rFonts w:ascii="Verdana" w:eastAsia="Calibri" w:hAnsi="Verdana" w:cs="Tahoma"/>
          <w:bCs/>
          <w:color w:val="000000"/>
          <w:sz w:val="20"/>
          <w:szCs w:val="20"/>
          <w:shd w:val="clear" w:color="auto" w:fill="FFFFFF"/>
          <w:lang w:val="en-US"/>
        </w:rPr>
        <w:t>to</w:t>
      </w:r>
      <w:r w:rsidRPr="00EA6C7A">
        <w:rPr>
          <w:rFonts w:ascii="Verdana" w:eastAsia="Calibri" w:hAnsi="Verdana" w:cs="Tahoma"/>
          <w:bCs/>
          <w:color w:val="000000"/>
          <w:sz w:val="20"/>
          <w:szCs w:val="20"/>
          <w:shd w:val="clear" w:color="auto" w:fill="FFFFFF"/>
          <w:lang w:val="en-US"/>
        </w:rPr>
        <w:t xml:space="preserve"> 16); II. </w:t>
      </w:r>
      <w:r w:rsidR="00D5307F" w:rsidRPr="00EA6C7A">
        <w:rPr>
          <w:rFonts w:ascii="Verdana" w:eastAsia="Calibri" w:hAnsi="Verdana" w:cs="Tahoma"/>
          <w:sz w:val="20"/>
          <w:szCs w:val="20"/>
          <w:lang w:val="en-US"/>
        </w:rPr>
        <w:t>The</w:t>
      </w:r>
      <w:r w:rsidRPr="00EA6C7A">
        <w:rPr>
          <w:rFonts w:ascii="Verdana" w:eastAsia="Calibri" w:hAnsi="Verdana" w:cs="Tahoma"/>
          <w:sz w:val="20"/>
          <w:szCs w:val="20"/>
          <w:lang w:val="en-US"/>
        </w:rPr>
        <w:t xml:space="preserve"> “</w:t>
      </w:r>
      <w:r w:rsidR="00D5307F" w:rsidRPr="00EA6C7A">
        <w:rPr>
          <w:rFonts w:ascii="Verdana" w:eastAsia="Calibri" w:hAnsi="Verdana" w:cs="Tahoma"/>
          <w:sz w:val="20"/>
          <w:szCs w:val="20"/>
          <w:lang w:val="en-US"/>
        </w:rPr>
        <w:t>obligation of prevention</w:t>
      </w:r>
      <w:r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00D5307F" w:rsidRPr="00EA6C7A">
        <w:rPr>
          <w:rFonts w:ascii="Verdana" w:eastAsia="Calibri" w:hAnsi="Verdana" w:cs="Tahoma"/>
          <w:sz w:val="20"/>
          <w:szCs w:val="20"/>
          <w:lang w:val="en-US"/>
        </w:rPr>
        <w:t>its</w:t>
      </w:r>
      <w:r w:rsidRPr="00EA6C7A">
        <w:rPr>
          <w:rFonts w:ascii="Verdana" w:eastAsia="Calibri" w:hAnsi="Verdana" w:cs="Tahoma"/>
          <w:sz w:val="20"/>
          <w:szCs w:val="20"/>
          <w:lang w:val="en-US"/>
        </w:rPr>
        <w:t xml:space="preserve"> “</w:t>
      </w:r>
      <w:r w:rsidR="00D5307F" w:rsidRPr="00EA6C7A">
        <w:rPr>
          <w:rFonts w:ascii="Verdana" w:eastAsia="Calibri" w:hAnsi="Verdana" w:cs="Tahoma"/>
          <w:sz w:val="20"/>
          <w:szCs w:val="20"/>
          <w:lang w:val="en-US"/>
        </w:rPr>
        <w:t>two moments</w:t>
      </w:r>
      <w:r w:rsidRPr="00EA6C7A">
        <w:rPr>
          <w:rFonts w:ascii="Verdana" w:eastAsia="Calibri" w:hAnsi="Verdana" w:cs="Tahoma"/>
          <w:sz w:val="20"/>
          <w:szCs w:val="20"/>
          <w:lang w:val="en-US"/>
        </w:rPr>
        <w:t xml:space="preserve">” </w:t>
      </w:r>
      <w:r w:rsidR="00D5307F" w:rsidRPr="00EA6C7A">
        <w:rPr>
          <w:rFonts w:ascii="Verdana" w:eastAsia="Calibri" w:hAnsi="Verdana" w:cs="Tahoma"/>
          <w:sz w:val="20"/>
          <w:szCs w:val="20"/>
          <w:lang w:val="en-US"/>
        </w:rPr>
        <w:t>in the cases of</w:t>
      </w:r>
      <w:r w:rsidRPr="00EA6C7A">
        <w:rPr>
          <w:rFonts w:ascii="Verdana" w:eastAsia="Calibri" w:hAnsi="Verdana" w:cs="Tahoma"/>
          <w:sz w:val="20"/>
          <w:szCs w:val="20"/>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Pr="00EA6C7A">
        <w:rPr>
          <w:rFonts w:ascii="Verdana" w:eastAsia="Calibri" w:hAnsi="Verdana" w:cs="Tahoma"/>
          <w:bCs/>
          <w:i/>
          <w:color w:val="000000"/>
          <w:sz w:val="20"/>
          <w:szCs w:val="20"/>
          <w:shd w:val="clear" w:color="auto" w:fill="FFFFFF"/>
        </w:rPr>
        <w:t>(“</w:t>
      </w:r>
      <w:r w:rsidR="001914FC" w:rsidRPr="00EA6C7A">
        <w:rPr>
          <w:rFonts w:ascii="Verdana" w:eastAsia="Calibri" w:hAnsi="Verdana" w:cs="Tahoma"/>
          <w:bCs/>
          <w:i/>
          <w:color w:val="000000"/>
          <w:sz w:val="20"/>
          <w:szCs w:val="20"/>
          <w:shd w:val="clear" w:color="auto" w:fill="FFFFFF"/>
        </w:rPr>
        <w:t>Cotton Field</w:t>
      </w:r>
      <w:r w:rsidRPr="00EA6C7A">
        <w:rPr>
          <w:rFonts w:ascii="Verdana" w:eastAsia="Calibri" w:hAnsi="Verdana" w:cs="Tahoma"/>
          <w:bCs/>
          <w:i/>
          <w:color w:val="000000"/>
          <w:sz w:val="20"/>
          <w:szCs w:val="20"/>
          <w:shd w:val="clear" w:color="auto" w:fill="FFFFFF"/>
        </w:rPr>
        <w:t xml:space="preserve">”) </w:t>
      </w:r>
      <w:r w:rsidR="001914FC" w:rsidRPr="00EA6C7A">
        <w:rPr>
          <w:rFonts w:ascii="Verdana" w:eastAsia="Calibri" w:hAnsi="Verdana" w:cs="Tahoma"/>
          <w:bCs/>
          <w:i/>
          <w:color w:val="000000"/>
          <w:sz w:val="20"/>
          <w:szCs w:val="20"/>
          <w:shd w:val="clear" w:color="auto" w:fill="FFFFFF"/>
        </w:rPr>
        <w:t>v.</w:t>
      </w:r>
      <w:r w:rsidRPr="00EA6C7A">
        <w:rPr>
          <w:rFonts w:ascii="Verdana" w:eastAsia="Calibri" w:hAnsi="Verdana" w:cs="Tahoma"/>
          <w:bCs/>
          <w:i/>
          <w:color w:val="000000"/>
          <w:sz w:val="20"/>
          <w:szCs w:val="20"/>
          <w:shd w:val="clear" w:color="auto" w:fill="FFFFFF"/>
        </w:rPr>
        <w:t xml:space="preserve"> </w:t>
      </w:r>
      <w:proofErr w:type="spellStart"/>
      <w:r w:rsidR="001914FC" w:rsidRPr="00EA6C7A">
        <w:rPr>
          <w:rFonts w:ascii="Verdana" w:eastAsia="Calibri" w:hAnsi="Verdana" w:cs="Tahoma"/>
          <w:bCs/>
          <w:i/>
          <w:color w:val="000000"/>
          <w:sz w:val="20"/>
          <w:szCs w:val="20"/>
          <w:shd w:val="clear" w:color="auto" w:fill="FFFFFF"/>
        </w:rPr>
        <w:t>Mexico</w:t>
      </w:r>
      <w:proofErr w:type="spellEnd"/>
      <w:r w:rsidRPr="00EA6C7A">
        <w:rPr>
          <w:rFonts w:ascii="Verdana" w:eastAsia="Calibri" w:hAnsi="Verdana" w:cs="Tahoma"/>
          <w:bCs/>
          <w:color w:val="000000"/>
          <w:sz w:val="20"/>
          <w:szCs w:val="20"/>
          <w:shd w:val="clear" w:color="auto" w:fill="FFFFFF"/>
        </w:rPr>
        <w:t xml:space="preserve"> (2009)</w:t>
      </w:r>
      <w:r w:rsidRPr="00EA6C7A">
        <w:rPr>
          <w:rFonts w:ascii="Verdana" w:eastAsia="Calibri" w:hAnsi="Verdana" w:cs="Tahoma"/>
          <w:bCs/>
          <w:i/>
          <w:color w:val="000000"/>
          <w:sz w:val="20"/>
          <w:szCs w:val="20"/>
          <w:shd w:val="clear" w:color="auto" w:fill="FFFFFF"/>
        </w:rPr>
        <w:t>,</w:t>
      </w:r>
      <w:r w:rsidR="00D948A1" w:rsidRPr="00EA6C7A">
        <w:rPr>
          <w:rFonts w:ascii="Verdana" w:eastAsia="Calibri" w:hAnsi="Verdana" w:cs="Tahoma"/>
          <w:bCs/>
          <w:i/>
          <w:color w:val="000000"/>
          <w:sz w:val="20"/>
          <w:szCs w:val="20"/>
          <w:shd w:val="clear" w:color="auto" w:fill="FFFFFF"/>
        </w:rPr>
        <w:t xml:space="preserve"> </w:t>
      </w:r>
      <w:r w:rsidR="00D948A1" w:rsidRPr="00EA6C7A">
        <w:rPr>
          <w:rFonts w:ascii="Verdana" w:eastAsia="Calibri" w:hAnsi="Verdana" w:cs="Tahoma"/>
          <w:bCs/>
          <w:iCs/>
          <w:color w:val="000000"/>
          <w:sz w:val="20"/>
          <w:szCs w:val="20"/>
          <w:shd w:val="clear" w:color="auto" w:fill="FFFFFF"/>
        </w:rPr>
        <w:t xml:space="preserve">and </w:t>
      </w:r>
      <w:r w:rsidRPr="00EA6C7A">
        <w:rPr>
          <w:rFonts w:ascii="Verdana" w:eastAsia="Calibri" w:hAnsi="Verdana" w:cs="Tahoma"/>
          <w:bCs/>
          <w:i/>
          <w:color w:val="000000"/>
          <w:sz w:val="20"/>
          <w:szCs w:val="20"/>
          <w:shd w:val="clear" w:color="auto" w:fill="FFFFFF"/>
        </w:rPr>
        <w:t xml:space="preserve">Veliz Franco </w:t>
      </w:r>
      <w:r w:rsidR="001914FC" w:rsidRPr="00EA6C7A">
        <w:rPr>
          <w:rFonts w:ascii="Verdana" w:eastAsia="Calibri" w:hAnsi="Verdana" w:cs="Tahoma"/>
          <w:bCs/>
          <w:i/>
          <w:color w:val="000000"/>
          <w:sz w:val="20"/>
          <w:szCs w:val="20"/>
          <w:shd w:val="clear" w:color="auto" w:fill="FFFFFF"/>
        </w:rPr>
        <w:t>et al. v.</w:t>
      </w:r>
      <w:r w:rsidRPr="00EA6C7A">
        <w:rPr>
          <w:rFonts w:ascii="Verdana" w:eastAsia="Calibri" w:hAnsi="Verdana" w:cs="Tahoma"/>
          <w:bCs/>
          <w:i/>
          <w:color w:val="000000"/>
          <w:sz w:val="20"/>
          <w:szCs w:val="20"/>
          <w:shd w:val="clear" w:color="auto" w:fill="FFFFFF"/>
        </w:rPr>
        <w:t xml:space="preserve"> Guatemala</w:t>
      </w:r>
      <w:r w:rsidRPr="00EA6C7A">
        <w:rPr>
          <w:rFonts w:ascii="Verdana" w:eastAsia="Calibri" w:hAnsi="Verdana" w:cs="Tahoma"/>
          <w:bCs/>
          <w:color w:val="000000"/>
          <w:sz w:val="20"/>
          <w:szCs w:val="20"/>
          <w:shd w:val="clear" w:color="auto" w:fill="FFFFFF"/>
        </w:rPr>
        <w:t xml:space="preserve"> (2014) (</w:t>
      </w:r>
      <w:r w:rsidR="008524CB" w:rsidRPr="00EA6C7A">
        <w:rPr>
          <w:rFonts w:ascii="Verdana" w:eastAsia="Calibri" w:hAnsi="Verdana" w:cs="Tahoma"/>
          <w:bCs/>
          <w:color w:val="000000"/>
          <w:sz w:val="20"/>
          <w:szCs w:val="20"/>
          <w:shd w:val="clear" w:color="auto" w:fill="FFFFFF"/>
        </w:rPr>
        <w:t>paras.</w:t>
      </w:r>
      <w:r w:rsidRPr="00EA6C7A">
        <w:rPr>
          <w:rFonts w:ascii="Verdana" w:eastAsia="Calibri" w:hAnsi="Verdana" w:cs="Tahoma"/>
          <w:bCs/>
          <w:color w:val="000000"/>
          <w:sz w:val="20"/>
          <w:szCs w:val="20"/>
          <w:shd w:val="clear" w:color="auto" w:fill="FFFFFF"/>
        </w:rPr>
        <w:t xml:space="preserve"> </w:t>
      </w:r>
      <w:r w:rsidRPr="00EA6C7A">
        <w:rPr>
          <w:rFonts w:ascii="Verdana" w:eastAsia="Calibri" w:hAnsi="Verdana" w:cs="Tahoma"/>
          <w:bCs/>
          <w:color w:val="000000"/>
          <w:sz w:val="20"/>
          <w:szCs w:val="20"/>
          <w:shd w:val="clear" w:color="auto" w:fill="FFFFFF"/>
          <w:lang w:val="en-US"/>
        </w:rPr>
        <w:t xml:space="preserve">17 </w:t>
      </w:r>
      <w:r w:rsidR="00D5307F" w:rsidRPr="00EA6C7A">
        <w:rPr>
          <w:rFonts w:ascii="Verdana" w:eastAsia="Calibri" w:hAnsi="Verdana" w:cs="Tahoma"/>
          <w:bCs/>
          <w:color w:val="000000"/>
          <w:sz w:val="20"/>
          <w:szCs w:val="20"/>
          <w:shd w:val="clear" w:color="auto" w:fill="FFFFFF"/>
          <w:lang w:val="en-US"/>
        </w:rPr>
        <w:t>to</w:t>
      </w:r>
      <w:r w:rsidRPr="00EA6C7A">
        <w:rPr>
          <w:rFonts w:ascii="Verdana" w:eastAsia="Calibri" w:hAnsi="Verdana" w:cs="Tahoma"/>
          <w:bCs/>
          <w:color w:val="000000"/>
          <w:sz w:val="20"/>
          <w:szCs w:val="20"/>
          <w:shd w:val="clear" w:color="auto" w:fill="FFFFFF"/>
          <w:lang w:val="en-US"/>
        </w:rPr>
        <w:t xml:space="preserve"> 31); III. </w:t>
      </w:r>
      <w:r w:rsidR="00D5307F" w:rsidRPr="00EA6C7A">
        <w:rPr>
          <w:rFonts w:ascii="Verdana" w:eastAsia="Calibri" w:hAnsi="Verdana" w:cs="Tahoma"/>
          <w:bCs/>
          <w:color w:val="000000"/>
          <w:sz w:val="20"/>
          <w:szCs w:val="20"/>
          <w:shd w:val="clear" w:color="auto" w:fill="FFFFFF"/>
          <w:lang w:val="en-US"/>
        </w:rPr>
        <w:t>The</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in the case of</w:t>
      </w:r>
      <w:r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i/>
          <w:color w:val="000000"/>
          <w:sz w:val="20"/>
          <w:szCs w:val="20"/>
          <w:shd w:val="clear" w:color="auto" w:fill="FFFFFF"/>
          <w:lang w:val="en-US"/>
        </w:rPr>
        <w:t xml:space="preserve">Velásquez Paiz </w:t>
      </w:r>
      <w:r w:rsidR="001914FC" w:rsidRPr="00EA6C7A">
        <w:rPr>
          <w:rFonts w:ascii="Verdana" w:eastAsia="Calibri" w:hAnsi="Verdana" w:cs="Tahoma"/>
          <w:bCs/>
          <w:i/>
          <w:color w:val="000000"/>
          <w:sz w:val="20"/>
          <w:szCs w:val="20"/>
          <w:shd w:val="clear" w:color="auto" w:fill="FFFFFF"/>
          <w:lang w:val="en-US"/>
        </w:rPr>
        <w:t>et al. v.</w:t>
      </w:r>
      <w:r w:rsidRPr="00EA6C7A">
        <w:rPr>
          <w:rFonts w:ascii="Verdana" w:eastAsia="Calibri" w:hAnsi="Verdana" w:cs="Tahoma"/>
          <w:bCs/>
          <w:i/>
          <w:color w:val="000000"/>
          <w:sz w:val="20"/>
          <w:szCs w:val="20"/>
          <w:shd w:val="clear" w:color="auto" w:fill="FFFFFF"/>
          <w:lang w:val="en-US"/>
        </w:rPr>
        <w:t xml:space="preserve"> Guatemala </w:t>
      </w:r>
      <w:r w:rsidRPr="00EA6C7A">
        <w:rPr>
          <w:rFonts w:ascii="Verdana" w:eastAsia="Calibri" w:hAnsi="Verdana" w:cs="Tahoma"/>
          <w:bCs/>
          <w:color w:val="000000"/>
          <w:sz w:val="20"/>
          <w:szCs w:val="20"/>
          <w:shd w:val="clear" w:color="auto" w:fill="FFFFFF"/>
          <w:lang w:val="en-US"/>
        </w:rPr>
        <w:t>(2015)</w:t>
      </w:r>
      <w:r w:rsidRPr="00EA6C7A">
        <w:rPr>
          <w:rFonts w:ascii="Verdana" w:eastAsia="Calibri" w:hAnsi="Verdana" w:cs="Tahoma"/>
          <w:bCs/>
          <w:i/>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w:t>
      </w:r>
      <w:r w:rsidR="008524CB" w:rsidRPr="00EA6C7A">
        <w:rPr>
          <w:rFonts w:ascii="Verdana" w:eastAsia="Calibri" w:hAnsi="Verdana" w:cs="Tahoma"/>
          <w:bCs/>
          <w:color w:val="000000"/>
          <w:sz w:val="20"/>
          <w:szCs w:val="20"/>
          <w:shd w:val="clear" w:color="auto" w:fill="FFFFFF"/>
          <w:lang w:val="en-US"/>
        </w:rPr>
        <w:t>paras.</w:t>
      </w:r>
      <w:r w:rsidRPr="00EA6C7A">
        <w:rPr>
          <w:rFonts w:ascii="Verdana" w:eastAsia="Calibri" w:hAnsi="Verdana" w:cs="Tahoma"/>
          <w:bCs/>
          <w:color w:val="000000"/>
          <w:sz w:val="20"/>
          <w:szCs w:val="20"/>
          <w:shd w:val="clear" w:color="auto" w:fill="FFFFFF"/>
          <w:lang w:val="en-US"/>
        </w:rPr>
        <w:t xml:space="preserve"> 32 </w:t>
      </w:r>
      <w:r w:rsidR="00D5307F" w:rsidRPr="00EA6C7A">
        <w:rPr>
          <w:rFonts w:ascii="Verdana" w:eastAsia="Calibri" w:hAnsi="Verdana" w:cs="Tahoma"/>
          <w:bCs/>
          <w:color w:val="000000"/>
          <w:sz w:val="20"/>
          <w:szCs w:val="20"/>
          <w:shd w:val="clear" w:color="auto" w:fill="FFFFFF"/>
          <w:lang w:val="en-US"/>
        </w:rPr>
        <w:t>to</w:t>
      </w:r>
      <w:r w:rsidRPr="00EA6C7A">
        <w:rPr>
          <w:rFonts w:ascii="Verdana" w:eastAsia="Calibri" w:hAnsi="Verdana" w:cs="Tahoma"/>
          <w:bCs/>
          <w:color w:val="000000"/>
          <w:sz w:val="20"/>
          <w:szCs w:val="20"/>
          <w:shd w:val="clear" w:color="auto" w:fill="FFFFFF"/>
          <w:lang w:val="en-US"/>
        </w:rPr>
        <w:t xml:space="preserve"> 49)</w:t>
      </w:r>
      <w:r w:rsidRPr="00EA6C7A">
        <w:rPr>
          <w:rFonts w:ascii="Verdana" w:eastAsia="Calibri" w:hAnsi="Verdana" w:cs="Tahoma"/>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and </w:t>
      </w:r>
      <w:r w:rsidRPr="00EA6C7A">
        <w:rPr>
          <w:rFonts w:ascii="Verdana" w:eastAsia="Calibri" w:hAnsi="Verdana" w:cs="Tahoma"/>
          <w:bCs/>
          <w:color w:val="000000"/>
          <w:sz w:val="20"/>
          <w:szCs w:val="20"/>
          <w:shd w:val="clear" w:color="auto" w:fill="FFFFFF"/>
          <w:lang w:val="en-US"/>
        </w:rPr>
        <w:t>IV. Conclusions (</w:t>
      </w:r>
      <w:r w:rsidR="008524CB" w:rsidRPr="00EA6C7A">
        <w:rPr>
          <w:rFonts w:ascii="Verdana" w:eastAsia="Calibri" w:hAnsi="Verdana" w:cs="Tahoma"/>
          <w:bCs/>
          <w:color w:val="000000"/>
          <w:sz w:val="20"/>
          <w:szCs w:val="20"/>
          <w:shd w:val="clear" w:color="auto" w:fill="FFFFFF"/>
          <w:lang w:val="en-US"/>
        </w:rPr>
        <w:t>paras.</w:t>
      </w:r>
      <w:r w:rsidRPr="00EA6C7A">
        <w:rPr>
          <w:rFonts w:ascii="Verdana" w:eastAsia="Calibri" w:hAnsi="Verdana" w:cs="Tahoma"/>
          <w:bCs/>
          <w:color w:val="000000"/>
          <w:sz w:val="20"/>
          <w:szCs w:val="20"/>
          <w:shd w:val="clear" w:color="auto" w:fill="FFFFFF"/>
          <w:lang w:val="en-US"/>
        </w:rPr>
        <w:t xml:space="preserve"> 50 </w:t>
      </w:r>
      <w:r w:rsidR="00D5307F" w:rsidRPr="00EA6C7A">
        <w:rPr>
          <w:rFonts w:ascii="Verdana" w:eastAsia="Calibri" w:hAnsi="Verdana" w:cs="Tahoma"/>
          <w:bCs/>
          <w:color w:val="000000"/>
          <w:sz w:val="20"/>
          <w:szCs w:val="20"/>
          <w:shd w:val="clear" w:color="auto" w:fill="FFFFFF"/>
          <w:lang w:val="en-US"/>
        </w:rPr>
        <w:t xml:space="preserve">to </w:t>
      </w:r>
      <w:r w:rsidRPr="00EA6C7A">
        <w:rPr>
          <w:rFonts w:ascii="Verdana" w:eastAsia="Calibri" w:hAnsi="Verdana" w:cs="Tahoma"/>
          <w:bCs/>
          <w:color w:val="000000"/>
          <w:sz w:val="20"/>
          <w:szCs w:val="20"/>
          <w:shd w:val="clear" w:color="auto" w:fill="FFFFFF"/>
          <w:lang w:val="en-US"/>
        </w:rPr>
        <w:t>58).</w:t>
      </w:r>
    </w:p>
    <w:p w14:paraId="1E37FD33" w14:textId="77777777" w:rsidR="00175ABB" w:rsidRPr="00EA6C7A" w:rsidRDefault="00175ABB" w:rsidP="004A3921">
      <w:pPr>
        <w:spacing w:after="0" w:line="240" w:lineRule="auto"/>
        <w:jc w:val="center"/>
        <w:rPr>
          <w:rFonts w:ascii="Verdana" w:eastAsia="Calibri" w:hAnsi="Verdana" w:cs="Tahoma"/>
          <w:sz w:val="20"/>
          <w:szCs w:val="20"/>
          <w:lang w:val="en-US"/>
        </w:rPr>
      </w:pPr>
      <w:r w:rsidRPr="00EA6C7A">
        <w:rPr>
          <w:rFonts w:ascii="Verdana" w:eastAsia="Calibri" w:hAnsi="Verdana" w:cs="Tahoma"/>
          <w:sz w:val="20"/>
          <w:szCs w:val="20"/>
          <w:lang w:val="en-US"/>
        </w:rPr>
        <w:t xml:space="preserve">I.  </w:t>
      </w:r>
      <w:r w:rsidR="004A3921" w:rsidRPr="00EA6C7A">
        <w:rPr>
          <w:rFonts w:ascii="Verdana" w:eastAsia="Calibri" w:hAnsi="Verdana" w:cs="Tahoma"/>
          <w:sz w:val="20"/>
          <w:szCs w:val="20"/>
          <w:lang w:val="en-US"/>
        </w:rPr>
        <w:t xml:space="preserve">THE </w:t>
      </w:r>
      <w:r w:rsidRPr="00EA6C7A">
        <w:rPr>
          <w:rFonts w:ascii="Verdana" w:eastAsia="Calibri" w:hAnsi="Verdana" w:cs="Tahoma"/>
          <w:sz w:val="20"/>
          <w:szCs w:val="20"/>
          <w:lang w:val="en-US"/>
        </w:rPr>
        <w:t>“</w:t>
      </w:r>
      <w:r w:rsidR="00F912BD" w:rsidRPr="00EA6C7A">
        <w:rPr>
          <w:rFonts w:ascii="Verdana" w:eastAsia="Calibri" w:hAnsi="Verdana" w:cs="Tahoma"/>
          <w:sz w:val="20"/>
          <w:szCs w:val="20"/>
          <w:lang w:val="en-US"/>
        </w:rPr>
        <w:t>CONVENTION OF</w:t>
      </w:r>
      <w:r w:rsidRPr="00EA6C7A">
        <w:rPr>
          <w:rFonts w:ascii="Verdana" w:eastAsia="Calibri" w:hAnsi="Verdana" w:cs="Tahoma"/>
          <w:sz w:val="20"/>
          <w:szCs w:val="20"/>
          <w:lang w:val="en-US"/>
        </w:rPr>
        <w:t xml:space="preserve"> BELÉM DO PARÁ” </w:t>
      </w:r>
    </w:p>
    <w:p w14:paraId="64F9517C" w14:textId="77777777" w:rsidR="00175ABB" w:rsidRPr="00EA6C7A" w:rsidRDefault="004A3921" w:rsidP="00175ABB">
      <w:pPr>
        <w:spacing w:line="240" w:lineRule="auto"/>
        <w:jc w:val="center"/>
        <w:rPr>
          <w:rFonts w:ascii="Verdana" w:eastAsia="Calibri" w:hAnsi="Verdana" w:cs="Tahoma"/>
          <w:sz w:val="20"/>
          <w:szCs w:val="20"/>
          <w:lang w:val="en-US"/>
        </w:rPr>
      </w:pPr>
      <w:r w:rsidRPr="00EA6C7A">
        <w:rPr>
          <w:rFonts w:ascii="Verdana" w:eastAsia="Calibri" w:hAnsi="Verdana" w:cs="Tahoma"/>
          <w:sz w:val="20"/>
          <w:szCs w:val="20"/>
          <w:lang w:val="en-US"/>
        </w:rPr>
        <w:t>IN THE CASE LAW OF THE</w:t>
      </w:r>
      <w:r w:rsidR="0096418F" w:rsidRPr="00EA6C7A">
        <w:rPr>
          <w:rFonts w:ascii="Verdana" w:eastAsia="Calibri" w:hAnsi="Verdana" w:cs="Tahoma"/>
          <w:sz w:val="20"/>
          <w:szCs w:val="20"/>
          <w:lang w:val="en-US"/>
        </w:rPr>
        <w:t xml:space="preserve"> INTER-AMERICAN COURT</w:t>
      </w:r>
    </w:p>
    <w:p w14:paraId="4BB7F895" w14:textId="77777777" w:rsidR="00175ABB" w:rsidRPr="00EA6C7A" w:rsidRDefault="00175ABB" w:rsidP="007F6855">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sz w:val="20"/>
          <w:szCs w:val="20"/>
          <w:lang w:val="en-US" w:eastAsia="es-PA"/>
        </w:rPr>
        <w:lastRenderedPageBreak/>
        <w:t xml:space="preserve">7. </w:t>
      </w:r>
      <w:r w:rsidRPr="00EA6C7A">
        <w:rPr>
          <w:rFonts w:ascii="Verdana" w:eastAsia="Calibri" w:hAnsi="Verdana"/>
          <w:sz w:val="20"/>
          <w:szCs w:val="20"/>
          <w:lang w:val="en-US" w:eastAsia="es-PA"/>
        </w:rPr>
        <w:tab/>
      </w:r>
      <w:r w:rsidR="00D5307F" w:rsidRPr="00EA6C7A">
        <w:rPr>
          <w:rFonts w:ascii="Verdana" w:eastAsia="Calibri" w:hAnsi="Verdana"/>
          <w:sz w:val="20"/>
          <w:szCs w:val="20"/>
          <w:lang w:val="en-US"/>
        </w:rPr>
        <w:t xml:space="preserve">Based on </w:t>
      </w:r>
      <w:r w:rsidR="0065677A" w:rsidRPr="00EA6C7A">
        <w:rPr>
          <w:rFonts w:ascii="Verdana" w:eastAsia="Calibri" w:hAnsi="Verdana"/>
          <w:sz w:val="20"/>
          <w:szCs w:val="20"/>
          <w:lang w:val="en-US"/>
        </w:rPr>
        <w:t xml:space="preserve">the </w:t>
      </w:r>
      <w:r w:rsidR="00D5307F" w:rsidRPr="00EA6C7A">
        <w:rPr>
          <w:rFonts w:ascii="Verdana" w:eastAsia="Calibri" w:hAnsi="Verdana"/>
          <w:sz w:val="20"/>
          <w:szCs w:val="20"/>
          <w:lang w:val="en-US"/>
        </w:rPr>
        <w:t>competence that</w:t>
      </w:r>
      <w:r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w:t>
      </w:r>
      <w:r w:rsidRPr="00EA6C7A">
        <w:rPr>
          <w:rFonts w:ascii="Verdana" w:eastAsia="Calibri" w:hAnsi="Verdana"/>
          <w:sz w:val="20"/>
          <w:szCs w:val="20"/>
          <w:lang w:val="en-US"/>
        </w:rPr>
        <w:t xml:space="preserve"> 12</w:t>
      </w:r>
      <w:r w:rsidR="00D5307F" w:rsidRPr="00EA6C7A">
        <w:rPr>
          <w:rFonts w:ascii="Verdana" w:eastAsia="Calibri" w:hAnsi="Verdana"/>
          <w:sz w:val="20"/>
          <w:szCs w:val="20"/>
          <w:lang w:val="en-US"/>
        </w:rPr>
        <w:t xml:space="preserve"> of the </w:t>
      </w:r>
      <w:r w:rsidRPr="00EA6C7A">
        <w:rPr>
          <w:rFonts w:ascii="Verdana" w:eastAsia="Calibri" w:hAnsi="Verdana"/>
          <w:sz w:val="20"/>
          <w:szCs w:val="20"/>
          <w:lang w:val="en-US"/>
        </w:rPr>
        <w:t>“</w:t>
      </w:r>
      <w:r w:rsidR="00F912BD" w:rsidRPr="00EA6C7A">
        <w:rPr>
          <w:rFonts w:ascii="Verdana" w:eastAsia="Calibri" w:hAnsi="Verdana"/>
          <w:sz w:val="20"/>
          <w:szCs w:val="20"/>
          <w:lang w:val="en-US"/>
        </w:rPr>
        <w:t>Convention of</w:t>
      </w:r>
      <w:r w:rsidRPr="00EA6C7A">
        <w:rPr>
          <w:rFonts w:ascii="Verdana" w:eastAsia="Calibri" w:hAnsi="Verdana"/>
          <w:sz w:val="20"/>
          <w:szCs w:val="20"/>
          <w:lang w:val="en-US"/>
        </w:rPr>
        <w:t xml:space="preserve"> Belém do Pará” </w:t>
      </w:r>
      <w:r w:rsidR="00D5307F" w:rsidRPr="00EA6C7A">
        <w:rPr>
          <w:rFonts w:ascii="Verdana" w:eastAsia="Calibri" w:hAnsi="Verdana"/>
          <w:sz w:val="20"/>
          <w:szCs w:val="20"/>
          <w:lang w:val="en-US"/>
        </w:rPr>
        <w:t xml:space="preserve">grants the inter-American system for the protection of human rights to examine violations of </w:t>
      </w:r>
      <w:r w:rsidR="0096418F"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7 </w:t>
      </w:r>
      <w:r w:rsidR="00515C34" w:rsidRPr="00EA6C7A">
        <w:rPr>
          <w:rFonts w:ascii="Verdana" w:eastAsia="Calibri" w:hAnsi="Verdana" w:cs="Tahoma"/>
          <w:bCs/>
          <w:color w:val="000000"/>
          <w:sz w:val="20"/>
          <w:szCs w:val="20"/>
          <w:shd w:val="clear" w:color="auto" w:fill="FFFFFF"/>
          <w:lang w:val="en-US"/>
        </w:rPr>
        <w:t>of this</w:t>
      </w:r>
      <w:r w:rsidR="00D5307F" w:rsidRPr="00EA6C7A">
        <w:rPr>
          <w:rFonts w:ascii="Verdana" w:eastAsia="Calibri" w:hAnsi="Verdana" w:cs="Tahoma"/>
          <w:bCs/>
          <w:color w:val="000000"/>
          <w:sz w:val="20"/>
          <w:szCs w:val="20"/>
          <w:shd w:val="clear" w:color="auto" w:fill="FFFFFF"/>
          <w:lang w:val="en-US"/>
        </w:rPr>
        <w:t xml:space="preserve"> regional</w:t>
      </w:r>
      <w:r w:rsidR="00515C34" w:rsidRPr="00EA6C7A">
        <w:rPr>
          <w:rFonts w:ascii="Verdana" w:eastAsia="Calibri" w:hAnsi="Verdana" w:cs="Tahoma"/>
          <w:bCs/>
          <w:color w:val="000000"/>
          <w:sz w:val="20"/>
          <w:szCs w:val="20"/>
          <w:shd w:val="clear" w:color="auto" w:fill="FFFFFF"/>
          <w:lang w:val="en-US"/>
        </w:rPr>
        <w:t xml:space="preserve"> instrument</w:t>
      </w:r>
      <w:r w:rsidR="00D5307F"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hd w:val="clear" w:color="auto" w:fill="FFFFFF"/>
          <w:vertAlign w:val="superscript"/>
          <w:lang w:val="en-US"/>
        </w:rPr>
        <w:footnoteReference w:id="377"/>
      </w:r>
      <w:r w:rsidRPr="00EA6C7A">
        <w:rPr>
          <w:rFonts w:ascii="Verdana" w:eastAsia="Calibri" w:hAnsi="Verdana"/>
          <w:sz w:val="20"/>
          <w:szCs w:val="20"/>
          <w:lang w:val="en-US"/>
        </w:rPr>
        <w:t xml:space="preserve"> </w:t>
      </w:r>
      <w:r w:rsidR="00D5307F" w:rsidRPr="00EA6C7A">
        <w:rPr>
          <w:rFonts w:ascii="Verdana" w:eastAsia="Calibri" w:hAnsi="Verdana"/>
          <w:sz w:val="20"/>
          <w:szCs w:val="20"/>
          <w:lang w:val="en-US"/>
        </w:rPr>
        <w:t>the Inter-American Court</w:t>
      </w:r>
      <w:r w:rsidRPr="00EA6C7A">
        <w:rPr>
          <w:rFonts w:ascii="Verdana" w:eastAsia="Calibri" w:hAnsi="Verdana"/>
          <w:sz w:val="20"/>
          <w:szCs w:val="20"/>
          <w:lang w:val="en-US"/>
        </w:rPr>
        <w:t xml:space="preserve"> ha</w:t>
      </w:r>
      <w:r w:rsidR="00D5307F" w:rsidRPr="00EA6C7A">
        <w:rPr>
          <w:rFonts w:ascii="Verdana" w:eastAsia="Calibri" w:hAnsi="Verdana"/>
          <w:sz w:val="20"/>
          <w:szCs w:val="20"/>
          <w:lang w:val="en-US"/>
        </w:rPr>
        <w:t>s examined the phenomenon of</w:t>
      </w:r>
      <w:r w:rsidRPr="00EA6C7A">
        <w:rPr>
          <w:rFonts w:ascii="Verdana" w:eastAsia="Calibri" w:hAnsi="Verdana"/>
          <w:sz w:val="20"/>
          <w:szCs w:val="20"/>
          <w:lang w:val="en-US"/>
        </w:rPr>
        <w:t xml:space="preserve"> </w:t>
      </w:r>
      <w:r w:rsidR="00C12C08" w:rsidRPr="00EA6C7A">
        <w:rPr>
          <w:rFonts w:ascii="Verdana" w:eastAsia="Calibri" w:hAnsi="Verdana"/>
          <w:sz w:val="20"/>
          <w:szCs w:val="20"/>
          <w:lang w:val="en-US"/>
        </w:rPr>
        <w:t>violence against women</w:t>
      </w:r>
      <w:r w:rsidRPr="00EA6C7A">
        <w:rPr>
          <w:rFonts w:ascii="Verdana" w:eastAsia="Calibri" w:hAnsi="Verdana"/>
          <w:sz w:val="20"/>
          <w:szCs w:val="20"/>
          <w:lang w:val="en-US"/>
        </w:rPr>
        <w:t xml:space="preserve"> </w:t>
      </w:r>
      <w:r w:rsidR="00D5307F" w:rsidRPr="00EA6C7A">
        <w:rPr>
          <w:rFonts w:ascii="Verdana" w:eastAsia="Calibri" w:hAnsi="Verdana"/>
          <w:sz w:val="20"/>
          <w:szCs w:val="20"/>
          <w:lang w:val="en-US"/>
        </w:rPr>
        <w:t>in different circumstances</w:t>
      </w:r>
      <w:r w:rsidR="0065677A" w:rsidRPr="00EA6C7A">
        <w:rPr>
          <w:rFonts w:ascii="Verdana" w:eastAsia="Calibri" w:hAnsi="Verdana"/>
          <w:sz w:val="20"/>
          <w:szCs w:val="20"/>
          <w:lang w:val="en-US"/>
        </w:rPr>
        <w:t>,</w:t>
      </w:r>
      <w:r w:rsidRPr="00EA6C7A">
        <w:rPr>
          <w:rFonts w:ascii="Verdana" w:eastAsia="Calibri" w:hAnsi="Verdana"/>
          <w:vertAlign w:val="superscript"/>
          <w:lang w:val="en-US"/>
        </w:rPr>
        <w:footnoteReference w:id="378"/>
      </w:r>
      <w:r w:rsidRPr="00EA6C7A">
        <w:rPr>
          <w:rFonts w:ascii="Verdana" w:eastAsia="Calibri" w:hAnsi="Verdana"/>
          <w:sz w:val="20"/>
          <w:szCs w:val="20"/>
          <w:lang w:val="en-US"/>
        </w:rPr>
        <w:t xml:space="preserve"> </w:t>
      </w:r>
      <w:r w:rsidR="00D5307F" w:rsidRPr="00EA6C7A">
        <w:rPr>
          <w:rFonts w:ascii="Verdana" w:eastAsia="Calibri" w:hAnsi="Verdana"/>
          <w:sz w:val="20"/>
          <w:szCs w:val="20"/>
          <w:lang w:val="en-US"/>
        </w:rPr>
        <w:t xml:space="preserve">placing special emphasis on the State’s obligation to </w:t>
      </w:r>
      <w:r w:rsidR="007F6855" w:rsidRPr="00EA6C7A">
        <w:rPr>
          <w:rFonts w:ascii="Verdana" w:eastAsia="Calibri" w:hAnsi="Verdana"/>
          <w:sz w:val="20"/>
          <w:szCs w:val="20"/>
          <w:lang w:val="en-US"/>
        </w:rPr>
        <w:t>“</w:t>
      </w:r>
      <w:r w:rsidR="00D5307F" w:rsidRPr="00EA6C7A">
        <w:rPr>
          <w:rFonts w:ascii="Verdana" w:eastAsia="Calibri" w:hAnsi="Verdana"/>
          <w:sz w:val="20"/>
          <w:szCs w:val="20"/>
          <w:lang w:val="en-US"/>
        </w:rPr>
        <w:t xml:space="preserve">condemn all forms of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and to adopt</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 xml:space="preserve">by all appropriate means and without delay, policies </w:t>
      </w:r>
      <w:r w:rsidR="007F6855" w:rsidRPr="00EA6C7A">
        <w:rPr>
          <w:rFonts w:ascii="Verdana" w:eastAsia="Calibri" w:hAnsi="Verdana" w:cs="Tahoma"/>
          <w:bCs/>
          <w:color w:val="000000"/>
          <w:sz w:val="20"/>
          <w:szCs w:val="20"/>
          <w:shd w:val="clear" w:color="auto" w:fill="FFFFFF"/>
          <w:lang w:val="en-US"/>
        </w:rPr>
        <w:t>to</w:t>
      </w:r>
      <w:r w:rsidR="00D5307F" w:rsidRPr="00EA6C7A">
        <w:rPr>
          <w:rFonts w:ascii="Verdana" w:eastAsia="Calibri" w:hAnsi="Verdana" w:cs="Tahoma"/>
          <w:bCs/>
          <w:color w:val="000000"/>
          <w:sz w:val="20"/>
          <w:szCs w:val="20"/>
          <w:shd w:val="clear" w:color="auto" w:fill="FFFFFF"/>
          <w:lang w:val="en-US"/>
        </w:rPr>
        <w:t xml:space="preserve"> prevent, punish and eradica</w:t>
      </w:r>
      <w:r w:rsidR="007F6855" w:rsidRPr="00EA6C7A">
        <w:rPr>
          <w:rFonts w:ascii="Verdana" w:eastAsia="Calibri" w:hAnsi="Verdana" w:cs="Tahoma"/>
          <w:bCs/>
          <w:color w:val="000000"/>
          <w:sz w:val="20"/>
          <w:szCs w:val="20"/>
          <w:shd w:val="clear" w:color="auto" w:fill="FFFFFF"/>
          <w:lang w:val="en-US"/>
        </w:rPr>
        <w:t>te such</w:t>
      </w:r>
      <w:r w:rsidR="00D5307F" w:rsidRPr="00EA6C7A">
        <w:rPr>
          <w:rFonts w:ascii="Verdana" w:eastAsia="Calibri" w:hAnsi="Verdana" w:cs="Tahoma"/>
          <w:bCs/>
          <w:color w:val="000000"/>
          <w:sz w:val="20"/>
          <w:szCs w:val="20"/>
          <w:shd w:val="clear" w:color="auto" w:fill="FFFFFF"/>
          <w:lang w:val="en-US"/>
        </w:rPr>
        <w:t xml:space="preserve"> violence,</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hd w:val="clear" w:color="auto" w:fill="FFFFFF"/>
          <w:vertAlign w:val="superscript"/>
          <w:lang w:val="en-US"/>
        </w:rPr>
        <w:footnoteReference w:id="379"/>
      </w:r>
      <w:r w:rsidR="00D5307F" w:rsidRPr="00EA6C7A">
        <w:rPr>
          <w:rFonts w:ascii="Verdana" w:eastAsia="Calibri" w:hAnsi="Verdana" w:cs="Tahoma"/>
          <w:bCs/>
          <w:color w:val="000000"/>
          <w:sz w:val="20"/>
          <w:szCs w:val="20"/>
          <w:shd w:val="clear" w:color="auto" w:fill="FFFFFF"/>
          <w:lang w:val="en-US"/>
        </w:rPr>
        <w:t xml:space="preserve"> and this, in addition, to </w:t>
      </w:r>
      <w:r w:rsidR="007F6855" w:rsidRPr="00EA6C7A">
        <w:rPr>
          <w:rFonts w:ascii="Verdana" w:eastAsia="Calibri" w:hAnsi="Verdana" w:cs="Tahoma"/>
          <w:bCs/>
          <w:color w:val="000000"/>
          <w:sz w:val="20"/>
          <w:szCs w:val="20"/>
          <w:shd w:val="clear" w:color="auto" w:fill="FFFFFF"/>
          <w:lang w:val="en-US"/>
        </w:rPr>
        <w:t xml:space="preserve">the </w:t>
      </w:r>
      <w:r w:rsidR="00D5307F" w:rsidRPr="00EA6C7A">
        <w:rPr>
          <w:rFonts w:ascii="Verdana" w:eastAsia="Calibri" w:hAnsi="Verdana" w:cs="Tahoma"/>
          <w:bCs/>
          <w:color w:val="000000"/>
          <w:sz w:val="20"/>
          <w:szCs w:val="20"/>
          <w:shd w:val="clear" w:color="auto" w:fill="FFFFFF"/>
          <w:lang w:val="en-US"/>
        </w:rPr>
        <w:t>specific measures</w:t>
      </w:r>
      <w:r w:rsidR="007F6855" w:rsidRPr="00EA6C7A">
        <w:rPr>
          <w:rFonts w:ascii="Verdana" w:eastAsia="Calibri" w:hAnsi="Verdana" w:cs="Tahoma"/>
          <w:bCs/>
          <w:color w:val="000000"/>
          <w:sz w:val="20"/>
          <w:szCs w:val="20"/>
          <w:shd w:val="clear" w:color="auto" w:fill="FFFFFF"/>
          <w:lang w:val="en-US"/>
        </w:rPr>
        <w:t xml:space="preserve"> indicated in that provision – some of which have been examined by </w:t>
      </w:r>
      <w:r w:rsidR="00D5307F" w:rsidRPr="00EA6C7A">
        <w:rPr>
          <w:rFonts w:ascii="Verdana" w:eastAsia="Calibri" w:hAnsi="Verdana" w:cs="Tahoma"/>
          <w:bCs/>
          <w:color w:val="000000"/>
          <w:sz w:val="20"/>
          <w:szCs w:val="20"/>
          <w:shd w:val="clear" w:color="auto" w:fill="FFFFFF"/>
          <w:lang w:val="en-US"/>
        </w:rPr>
        <w:t>the Inter-American Court</w:t>
      </w:r>
      <w:r w:rsidRPr="00EA6C7A">
        <w:rPr>
          <w:rFonts w:ascii="Verdana" w:eastAsia="Calibri" w:hAnsi="Verdana" w:cs="Tahoma"/>
          <w:bCs/>
          <w:color w:val="000000"/>
          <w:sz w:val="20"/>
          <w:szCs w:val="20"/>
          <w:shd w:val="clear" w:color="auto" w:fill="FFFFFF"/>
          <w:lang w:val="en-US"/>
        </w:rPr>
        <w:t xml:space="preserve"> </w:t>
      </w:r>
      <w:r w:rsidR="007F6855" w:rsidRPr="00EA6C7A">
        <w:rPr>
          <w:rFonts w:ascii="Verdana" w:eastAsia="Calibri" w:hAnsi="Verdana" w:cs="Tahoma"/>
          <w:bCs/>
          <w:color w:val="000000"/>
          <w:sz w:val="20"/>
          <w:szCs w:val="20"/>
          <w:shd w:val="clear" w:color="auto" w:fill="FFFFFF"/>
          <w:lang w:val="en-US"/>
        </w:rPr>
        <w:t>in its case law.</w:t>
      </w:r>
    </w:p>
    <w:p w14:paraId="6BC8539A" w14:textId="77777777" w:rsidR="007F6855" w:rsidRPr="00EA6C7A" w:rsidRDefault="007F6855" w:rsidP="007F6855">
      <w:pPr>
        <w:spacing w:after="0" w:line="240" w:lineRule="auto"/>
        <w:jc w:val="both"/>
        <w:rPr>
          <w:rFonts w:ascii="Verdana" w:eastAsia="Calibri" w:hAnsi="Verdana" w:cs="Tahoma"/>
          <w:bCs/>
          <w:color w:val="000000"/>
          <w:sz w:val="20"/>
          <w:szCs w:val="20"/>
          <w:shd w:val="clear" w:color="auto" w:fill="FFFFFF"/>
          <w:lang w:val="en-US"/>
        </w:rPr>
      </w:pPr>
    </w:p>
    <w:p w14:paraId="7F3C353A" w14:textId="77777777" w:rsidR="00175ABB" w:rsidRPr="00EA6C7A" w:rsidRDefault="00175ABB" w:rsidP="00175ABB">
      <w:pPr>
        <w:spacing w:line="240" w:lineRule="auto"/>
        <w:jc w:val="both"/>
        <w:rPr>
          <w:rFonts w:ascii="Verdana" w:eastAsia="Calibri" w:hAnsi="Verdana" w:cs="Tahoma"/>
          <w:sz w:val="20"/>
          <w:szCs w:val="20"/>
          <w:lang w:val="en-US"/>
        </w:rPr>
      </w:pPr>
      <w:r w:rsidRPr="00EA6C7A">
        <w:rPr>
          <w:rFonts w:ascii="Verdana" w:eastAsia="Calibri" w:hAnsi="Verdana" w:cs="Tahoma"/>
          <w:bCs/>
          <w:color w:val="000000"/>
          <w:sz w:val="20"/>
          <w:szCs w:val="20"/>
          <w:shd w:val="clear" w:color="auto" w:fill="FFFFFF"/>
          <w:lang w:val="en-US"/>
        </w:rPr>
        <w:t xml:space="preserve">8. </w:t>
      </w:r>
      <w:r w:rsidRPr="00EA6C7A">
        <w:rPr>
          <w:rFonts w:ascii="Verdana" w:eastAsia="Calibri" w:hAnsi="Verdana" w:cs="Tahoma"/>
          <w:bCs/>
          <w:color w:val="000000"/>
          <w:sz w:val="20"/>
          <w:szCs w:val="20"/>
          <w:shd w:val="clear" w:color="auto" w:fill="FFFFFF"/>
          <w:lang w:val="en-US"/>
        </w:rPr>
        <w:tab/>
      </w:r>
      <w:r w:rsidR="007F6855" w:rsidRPr="00EA6C7A">
        <w:rPr>
          <w:rFonts w:ascii="Verdana" w:eastAsia="Calibri" w:hAnsi="Verdana" w:cs="Tahoma"/>
          <w:bCs/>
          <w:color w:val="000000"/>
          <w:sz w:val="20"/>
          <w:szCs w:val="20"/>
          <w:shd w:val="clear" w:color="auto" w:fill="FFFFFF"/>
          <w:lang w:val="en-US"/>
        </w:rPr>
        <w:t xml:space="preserve">The interpretation and application of the provisions </w:t>
      </w:r>
      <w:r w:rsidR="00D5307F" w:rsidRPr="00EA6C7A">
        <w:rPr>
          <w:rFonts w:ascii="Verdana" w:eastAsia="Calibri" w:hAnsi="Verdana" w:cs="Tahoma"/>
          <w:bCs/>
          <w:color w:val="000000"/>
          <w:sz w:val="20"/>
          <w:szCs w:val="20"/>
          <w:shd w:val="clear" w:color="auto" w:fill="FFFFFF"/>
          <w:lang w:val="en-US"/>
        </w:rPr>
        <w:t xml:space="preserve">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 </w:t>
      </w:r>
      <w:r w:rsidR="007F6855" w:rsidRPr="00EA6C7A">
        <w:rPr>
          <w:rFonts w:ascii="Verdana" w:eastAsia="Calibri" w:hAnsi="Verdana" w:cs="Tahoma"/>
          <w:bCs/>
          <w:color w:val="000000"/>
          <w:sz w:val="20"/>
          <w:szCs w:val="20"/>
          <w:shd w:val="clear" w:color="auto" w:fill="FFFFFF"/>
          <w:lang w:val="en-US"/>
        </w:rPr>
        <w:t>first took place in 2006</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in the case of</w:t>
      </w:r>
      <w:r w:rsidR="007F6855" w:rsidRPr="00EA6C7A">
        <w:rPr>
          <w:rFonts w:ascii="Verdana" w:eastAsia="Calibri" w:hAnsi="Verdana" w:cs="Tahoma"/>
          <w:bCs/>
          <w:color w:val="000000"/>
          <w:sz w:val="20"/>
          <w:szCs w:val="20"/>
          <w:shd w:val="clear" w:color="auto" w:fill="FFFFFF"/>
          <w:lang w:val="en-US"/>
        </w:rPr>
        <w:t xml:space="preserve"> the</w:t>
      </w:r>
      <w:r w:rsidRPr="00EA6C7A">
        <w:rPr>
          <w:rFonts w:ascii="Verdana" w:eastAsia="Calibri" w:hAnsi="Verdana" w:cs="Tahoma"/>
          <w:bCs/>
          <w:i/>
          <w:color w:val="000000"/>
          <w:sz w:val="20"/>
          <w:szCs w:val="20"/>
          <w:shd w:val="clear" w:color="auto" w:fill="FFFFFF"/>
          <w:lang w:val="en-US"/>
        </w:rPr>
        <w:t xml:space="preserve"> Miguel Castro Castro</w:t>
      </w:r>
      <w:r w:rsidR="007F6855" w:rsidRPr="00EA6C7A">
        <w:rPr>
          <w:rFonts w:ascii="Verdana" w:eastAsia="Calibri" w:hAnsi="Verdana" w:cs="Tahoma"/>
          <w:bCs/>
          <w:i/>
          <w:color w:val="000000"/>
          <w:sz w:val="20"/>
          <w:szCs w:val="20"/>
          <w:shd w:val="clear" w:color="auto" w:fill="FFFFFF"/>
          <w:lang w:val="en-US"/>
        </w:rPr>
        <w:t xml:space="preserve"> Prison</w:t>
      </w:r>
      <w:r w:rsidRPr="00EA6C7A">
        <w:rPr>
          <w:rFonts w:ascii="Verdana" w:eastAsia="Calibri" w:hAnsi="Verdana" w:cs="Tahoma"/>
          <w:bCs/>
          <w:i/>
          <w:color w:val="000000"/>
          <w:sz w:val="20"/>
          <w:szCs w:val="20"/>
          <w:shd w:val="clear" w:color="auto" w:fill="FFFFFF"/>
          <w:lang w:val="en-US"/>
        </w:rPr>
        <w:t xml:space="preserve"> v. </w:t>
      </w:r>
      <w:r w:rsidR="001914FC" w:rsidRPr="00EA6C7A">
        <w:rPr>
          <w:rFonts w:ascii="Verdana" w:eastAsia="Calibri" w:hAnsi="Verdana" w:cs="Tahoma"/>
          <w:bCs/>
          <w:i/>
          <w:color w:val="000000"/>
          <w:sz w:val="20"/>
          <w:szCs w:val="20"/>
          <w:shd w:val="clear" w:color="auto" w:fill="FFFFFF"/>
          <w:lang w:val="en-US"/>
        </w:rPr>
        <w:t>Peru</w:t>
      </w:r>
      <w:r w:rsidR="007F6855"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color w:val="000000"/>
          <w:shd w:val="clear" w:color="auto" w:fill="FFFFFF"/>
          <w:vertAlign w:val="superscript"/>
          <w:lang w:val="en-US"/>
        </w:rPr>
        <w:footnoteReference w:id="380"/>
      </w:r>
      <w:r w:rsidR="007F6855" w:rsidRPr="00EA6C7A">
        <w:rPr>
          <w:rFonts w:ascii="Verdana" w:eastAsia="Calibri" w:hAnsi="Verdana" w:cs="Tahoma"/>
          <w:bCs/>
          <w:i/>
          <w:color w:val="000000"/>
          <w:sz w:val="20"/>
          <w:szCs w:val="20"/>
          <w:shd w:val="clear" w:color="auto" w:fill="FFFFFF"/>
          <w:lang w:val="en-US"/>
        </w:rPr>
        <w:t xml:space="preserve"> </w:t>
      </w:r>
      <w:r w:rsidR="007F6855" w:rsidRPr="00EA6C7A">
        <w:rPr>
          <w:rFonts w:ascii="Verdana" w:eastAsia="Calibri" w:hAnsi="Verdana" w:cs="Tahoma"/>
          <w:bCs/>
          <w:iCs/>
          <w:color w:val="000000"/>
          <w:sz w:val="20"/>
          <w:szCs w:val="20"/>
          <w:shd w:val="clear" w:color="auto" w:fill="FFFFFF"/>
          <w:lang w:val="en-US"/>
        </w:rPr>
        <w:t xml:space="preserve">Based on the facts of the case, the Court declared the violation of </w:t>
      </w:r>
      <w:r w:rsidR="0096418F"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7</w:t>
      </w:r>
      <w:r w:rsidR="007F6855"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b</w:t>
      </w:r>
      <w:r w:rsidR="007F6855"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 xml:space="preserve"> </w:t>
      </w:r>
      <w:r w:rsidR="002D218C" w:rsidRPr="00EA6C7A">
        <w:rPr>
          <w:rFonts w:ascii="Verdana" w:eastAsia="Calibri" w:hAnsi="Verdana" w:cs="Tahoma"/>
          <w:bCs/>
          <w:color w:val="000000"/>
          <w:sz w:val="20"/>
          <w:szCs w:val="20"/>
          <w:shd w:val="clear" w:color="auto" w:fill="FFFFFF"/>
          <w:lang w:val="en-US"/>
        </w:rPr>
        <w:t>of this instrument</w:t>
      </w:r>
      <w:r w:rsidRPr="00EA6C7A">
        <w:rPr>
          <w:rFonts w:ascii="Verdana" w:eastAsia="Calibri" w:hAnsi="Verdana" w:cs="Tahoma"/>
          <w:bCs/>
          <w:color w:val="000000"/>
          <w:sz w:val="20"/>
          <w:szCs w:val="20"/>
          <w:shd w:val="clear" w:color="auto" w:fill="FFFFFF"/>
          <w:lang w:val="en-US"/>
        </w:rPr>
        <w:t xml:space="preserve">, </w:t>
      </w:r>
      <w:r w:rsidR="007F6855" w:rsidRPr="00EA6C7A">
        <w:rPr>
          <w:rFonts w:ascii="Verdana" w:eastAsia="Calibri" w:hAnsi="Verdana" w:cs="Tahoma"/>
          <w:bCs/>
          <w:color w:val="000000"/>
          <w:sz w:val="20"/>
          <w:szCs w:val="20"/>
          <w:shd w:val="clear" w:color="auto" w:fill="FFFFFF"/>
          <w:lang w:val="en-US"/>
        </w:rPr>
        <w:t xml:space="preserve">concerning the State obligation “to apply due diligence to </w:t>
      </w:r>
      <w:r w:rsidR="007F6855" w:rsidRPr="00EA6C7A">
        <w:rPr>
          <w:rFonts w:ascii="Verdana" w:hAnsi="Verdana" w:cs="Arial"/>
          <w:sz w:val="20"/>
          <w:szCs w:val="20"/>
          <w:lang w:val="en-US"/>
        </w:rPr>
        <w:t>prevent, investigate and impose penalties for violence against women</w:t>
      </w:r>
      <w:r w:rsidR="007F6855"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w:t>
      </w:r>
      <w:r w:rsidR="00736990" w:rsidRPr="00EA6C7A">
        <w:rPr>
          <w:rFonts w:ascii="Verdana" w:eastAsia="Calibri" w:hAnsi="Verdana" w:cs="Tahoma"/>
          <w:bCs/>
          <w:color w:val="000000"/>
          <w:sz w:val="20"/>
          <w:szCs w:val="20"/>
          <w:shd w:val="clear" w:color="auto" w:fill="FFFFFF"/>
          <w:lang w:val="en-US"/>
        </w:rPr>
        <w:t xml:space="preserve"> In that case, the Court indicated that the State obligation to investigate the facts that had occurred meant that the State should “take into consideration the seriousness of the facts that constitute </w:t>
      </w:r>
      <w:r w:rsidR="00C12C08" w:rsidRPr="00EA6C7A">
        <w:rPr>
          <w:rFonts w:ascii="Verdana" w:eastAsia="Calibri" w:hAnsi="Verdana" w:cs="Tahoma"/>
          <w:sz w:val="20"/>
          <w:szCs w:val="20"/>
          <w:lang w:val="en-US"/>
        </w:rPr>
        <w:t>violence against women</w:t>
      </w:r>
      <w:r w:rsidRPr="00EA6C7A">
        <w:rPr>
          <w:rFonts w:ascii="Verdana" w:eastAsia="Calibri" w:hAnsi="Verdana" w:cs="Tahoma"/>
          <w:sz w:val="20"/>
          <w:szCs w:val="20"/>
          <w:lang w:val="en-US"/>
        </w:rPr>
        <w:t xml:space="preserve">, </w:t>
      </w:r>
      <w:r w:rsidR="0065677A" w:rsidRPr="00EA6C7A">
        <w:rPr>
          <w:rFonts w:ascii="Verdana" w:eastAsia="Calibri" w:hAnsi="Verdana" w:cs="Tahoma"/>
          <w:sz w:val="20"/>
          <w:szCs w:val="20"/>
          <w:lang w:val="en-US"/>
        </w:rPr>
        <w:t>taking into account</w:t>
      </w:r>
      <w:r w:rsidR="00736990" w:rsidRPr="00EA6C7A">
        <w:rPr>
          <w:rFonts w:ascii="Verdana" w:eastAsia="Calibri" w:hAnsi="Verdana" w:cs="Tahoma"/>
          <w:sz w:val="20"/>
          <w:szCs w:val="20"/>
          <w:lang w:val="en-US"/>
        </w:rPr>
        <w:t xml:space="preserve"> the obligations imposed on it by the treaties it has ratified on this matter.</w:t>
      </w:r>
      <w:r w:rsidRPr="00EA6C7A">
        <w:rPr>
          <w:rFonts w:ascii="Verdana" w:eastAsia="Calibri" w:hAnsi="Verdana" w:cs="Tahoma"/>
          <w:sz w:val="20"/>
          <w:szCs w:val="20"/>
          <w:lang w:val="en-US"/>
        </w:rPr>
        <w:t>”</w:t>
      </w:r>
      <w:r w:rsidRPr="00EA6C7A">
        <w:rPr>
          <w:rFonts w:ascii="Verdana" w:eastAsia="Calibri" w:hAnsi="Verdana" w:cs="Tahoma"/>
          <w:vertAlign w:val="superscript"/>
          <w:lang w:val="en-US"/>
        </w:rPr>
        <w:footnoteReference w:id="381"/>
      </w:r>
      <w:r w:rsidRPr="00EA6C7A">
        <w:rPr>
          <w:rFonts w:ascii="Verdana" w:eastAsia="Calibri" w:hAnsi="Verdana" w:cs="Tahoma"/>
          <w:sz w:val="20"/>
          <w:szCs w:val="20"/>
          <w:lang w:val="en-US"/>
        </w:rPr>
        <w:t xml:space="preserve"> </w:t>
      </w:r>
      <w:r w:rsidR="00736990" w:rsidRPr="00EA6C7A">
        <w:rPr>
          <w:rFonts w:ascii="Verdana" w:eastAsia="Calibri" w:hAnsi="Verdana" w:cs="Tahoma"/>
          <w:sz w:val="20"/>
          <w:szCs w:val="20"/>
          <w:lang w:val="en-US"/>
        </w:rPr>
        <w:t xml:space="preserve">Consequently, </w:t>
      </w:r>
      <w:r w:rsidR="00D5307F" w:rsidRPr="00EA6C7A">
        <w:rPr>
          <w:rFonts w:ascii="Verdana" w:eastAsia="Calibri" w:hAnsi="Verdana" w:cs="Tahoma"/>
          <w:sz w:val="20"/>
          <w:szCs w:val="20"/>
          <w:lang w:val="en-US"/>
        </w:rPr>
        <w:t>the Inter-American Court</w:t>
      </w:r>
      <w:r w:rsidRPr="00EA6C7A">
        <w:rPr>
          <w:rFonts w:ascii="Verdana" w:eastAsia="Calibri" w:hAnsi="Verdana" w:cs="Tahoma"/>
          <w:sz w:val="20"/>
          <w:szCs w:val="20"/>
          <w:lang w:val="en-US"/>
        </w:rPr>
        <w:t xml:space="preserve"> decla</w:t>
      </w:r>
      <w:r w:rsidR="00736990" w:rsidRPr="00EA6C7A">
        <w:rPr>
          <w:rFonts w:ascii="Verdana" w:eastAsia="Calibri" w:hAnsi="Verdana" w:cs="Tahoma"/>
          <w:sz w:val="20"/>
          <w:szCs w:val="20"/>
          <w:lang w:val="en-US"/>
        </w:rPr>
        <w:t xml:space="preserve">red the violation </w:t>
      </w:r>
      <w:r w:rsidR="001914FC" w:rsidRPr="00EA6C7A">
        <w:rPr>
          <w:rFonts w:ascii="Verdana" w:eastAsia="Calibri" w:hAnsi="Verdana" w:cs="Tahoma"/>
          <w:sz w:val="20"/>
          <w:szCs w:val="20"/>
          <w:lang w:val="en-US"/>
        </w:rPr>
        <w:t>of Article</w:t>
      </w:r>
      <w:r w:rsidRPr="00EA6C7A">
        <w:rPr>
          <w:rFonts w:ascii="Verdana" w:eastAsia="Calibri" w:hAnsi="Verdana" w:cs="Tahoma"/>
          <w:sz w:val="20"/>
          <w:szCs w:val="20"/>
          <w:lang w:val="en-US"/>
        </w:rPr>
        <w:t xml:space="preserve"> 7</w:t>
      </w:r>
      <w:r w:rsidR="00736990" w:rsidRPr="00EA6C7A">
        <w:rPr>
          <w:rFonts w:ascii="Verdana" w:eastAsia="Calibri" w:hAnsi="Verdana" w:cs="Tahoma"/>
          <w:sz w:val="20"/>
          <w:szCs w:val="20"/>
          <w:lang w:val="en-US"/>
        </w:rPr>
        <w:t>(</w:t>
      </w:r>
      <w:r w:rsidRPr="00EA6C7A">
        <w:rPr>
          <w:rFonts w:ascii="Verdana" w:eastAsia="Calibri" w:hAnsi="Verdana" w:cs="Tahoma"/>
          <w:sz w:val="20"/>
          <w:szCs w:val="20"/>
          <w:lang w:val="en-US"/>
        </w:rPr>
        <w:t>b)</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F912BD" w:rsidRPr="00EA6C7A">
        <w:rPr>
          <w:rFonts w:ascii="Verdana" w:eastAsia="Calibri" w:hAnsi="Verdana" w:cs="Tahoma"/>
          <w:sz w:val="20"/>
          <w:szCs w:val="20"/>
          <w:lang w:val="en-US"/>
        </w:rPr>
        <w:t>Convention of</w:t>
      </w:r>
      <w:r w:rsidRPr="00EA6C7A">
        <w:rPr>
          <w:rFonts w:ascii="Verdana" w:eastAsia="Calibri" w:hAnsi="Verdana" w:cs="Tahoma"/>
          <w:sz w:val="20"/>
          <w:szCs w:val="20"/>
          <w:lang w:val="en-US"/>
        </w:rPr>
        <w:t xml:space="preserve"> Belem do Pará” </w:t>
      </w:r>
      <w:r w:rsidR="00736990" w:rsidRPr="00EA6C7A">
        <w:rPr>
          <w:rFonts w:ascii="Verdana" w:eastAsia="Calibri" w:hAnsi="Verdana" w:cs="Tahoma"/>
          <w:sz w:val="20"/>
          <w:szCs w:val="20"/>
          <w:lang w:val="en-US"/>
        </w:rPr>
        <w:t xml:space="preserve">together with </w:t>
      </w:r>
      <w:r w:rsidR="00515C34" w:rsidRPr="00EA6C7A">
        <w:rPr>
          <w:rFonts w:ascii="Verdana" w:eastAsia="Calibri" w:hAnsi="Verdana" w:cs="Tahoma"/>
          <w:sz w:val="20"/>
          <w:szCs w:val="20"/>
          <w:lang w:val="en-US"/>
        </w:rPr>
        <w:t>the right to</w:t>
      </w:r>
      <w:r w:rsidR="00736990" w:rsidRPr="00EA6C7A">
        <w:rPr>
          <w:rFonts w:ascii="Verdana" w:eastAsia="Calibri" w:hAnsi="Verdana" w:cs="Tahoma"/>
          <w:sz w:val="20"/>
          <w:szCs w:val="20"/>
          <w:lang w:val="en-US"/>
        </w:rPr>
        <w:t xml:space="preserve"> judicial guarantees</w:t>
      </w:r>
      <w:r w:rsidRPr="00EA6C7A">
        <w:rPr>
          <w:rFonts w:ascii="Verdana" w:eastAsia="Calibri" w:hAnsi="Verdana" w:cs="Tahoma"/>
          <w:sz w:val="20"/>
          <w:szCs w:val="20"/>
          <w:lang w:val="en-US"/>
        </w:rPr>
        <w:t xml:space="preserve"> </w:t>
      </w:r>
      <w:r w:rsidR="00D948A1" w:rsidRPr="00EA6C7A">
        <w:rPr>
          <w:rFonts w:ascii="Verdana" w:eastAsia="Calibri" w:hAnsi="Verdana" w:cs="Tahoma"/>
          <w:sz w:val="20"/>
          <w:szCs w:val="20"/>
          <w:lang w:val="en-US"/>
        </w:rPr>
        <w:t xml:space="preserve">and </w:t>
      </w:r>
      <w:r w:rsidR="00F4629D" w:rsidRPr="00EA6C7A">
        <w:rPr>
          <w:rFonts w:ascii="Verdana" w:eastAsia="Calibri" w:hAnsi="Verdana" w:cs="Tahoma"/>
          <w:sz w:val="20"/>
          <w:szCs w:val="20"/>
          <w:lang w:val="en-US"/>
        </w:rPr>
        <w:t>judicial protection</w:t>
      </w:r>
      <w:r w:rsidRPr="00EA6C7A">
        <w:rPr>
          <w:rFonts w:ascii="Verdana" w:eastAsia="Calibri" w:hAnsi="Verdana" w:cs="Tahoma"/>
          <w:sz w:val="20"/>
          <w:szCs w:val="20"/>
          <w:lang w:val="en-US"/>
        </w:rPr>
        <w:t xml:space="preserve"> (</w:t>
      </w:r>
      <w:r w:rsidR="00736990" w:rsidRPr="00EA6C7A">
        <w:rPr>
          <w:rFonts w:ascii="Verdana" w:eastAsia="Calibri" w:hAnsi="Verdana" w:cs="Tahoma"/>
          <w:sz w:val="20"/>
          <w:szCs w:val="20"/>
          <w:lang w:val="en-US"/>
        </w:rPr>
        <w:t xml:space="preserve">Articles </w:t>
      </w:r>
      <w:r w:rsidRPr="00EA6C7A">
        <w:rPr>
          <w:rFonts w:ascii="Verdana" w:eastAsia="Calibri" w:hAnsi="Verdana" w:cs="Tahoma"/>
          <w:sz w:val="20"/>
          <w:szCs w:val="20"/>
          <w:lang w:val="en-US"/>
        </w:rPr>
        <w:t>8</w:t>
      </w:r>
      <w:r w:rsidR="00736990" w:rsidRPr="00EA6C7A">
        <w:rPr>
          <w:rFonts w:ascii="Verdana" w:eastAsia="Calibri" w:hAnsi="Verdana" w:cs="Tahoma"/>
          <w:sz w:val="20"/>
          <w:szCs w:val="20"/>
          <w:lang w:val="en-US"/>
        </w:rPr>
        <w:t>(</w:t>
      </w:r>
      <w:r w:rsidRPr="00EA6C7A">
        <w:rPr>
          <w:rFonts w:ascii="Verdana" w:eastAsia="Calibri" w:hAnsi="Verdana" w:cs="Tahoma"/>
          <w:sz w:val="20"/>
          <w:szCs w:val="20"/>
          <w:lang w:val="en-US"/>
        </w:rPr>
        <w:t>1</w:t>
      </w:r>
      <w:r w:rsidR="00736990"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25</w:t>
      </w:r>
      <w:r w:rsidR="0096418F" w:rsidRPr="00EA6C7A">
        <w:rPr>
          <w:rFonts w:ascii="Verdana" w:eastAsia="Calibri" w:hAnsi="Verdana" w:cs="Tahoma"/>
          <w:sz w:val="20"/>
          <w:szCs w:val="20"/>
          <w:lang w:val="en-US"/>
        </w:rPr>
        <w:t xml:space="preserve"> of the American Convention</w:t>
      </w:r>
      <w:r w:rsidRPr="00EA6C7A">
        <w:rPr>
          <w:rFonts w:ascii="Verdana" w:eastAsia="Calibri" w:hAnsi="Verdana" w:cs="Tahoma"/>
          <w:sz w:val="20"/>
          <w:szCs w:val="20"/>
          <w:lang w:val="en-US"/>
        </w:rPr>
        <w:t xml:space="preserve">) </w:t>
      </w:r>
      <w:r w:rsidR="00736990" w:rsidRPr="00EA6C7A">
        <w:rPr>
          <w:rFonts w:ascii="Verdana" w:eastAsia="Calibri" w:hAnsi="Verdana" w:cs="Tahoma"/>
          <w:sz w:val="20"/>
          <w:szCs w:val="20"/>
          <w:lang w:val="en-US"/>
        </w:rPr>
        <w:t xml:space="preserve">because the domestic proceedings instituted in that case did not constitute </w:t>
      </w:r>
      <w:r w:rsidR="00736990" w:rsidRPr="00EA6C7A">
        <w:rPr>
          <w:rFonts w:ascii="Verdana" w:hAnsi="Verdana" w:cs="Arial"/>
          <w:sz w:val="20"/>
          <w:szCs w:val="20"/>
          <w:lang w:val="en-US"/>
        </w:rPr>
        <w:t>“effective remedies to guarantee a true access to justice by the victims, within a reasonable time, that [would] include the elucidation of the facts, the investigation and punishment, as appropriate, of those responsible and the reparation of the violations to the right to life and integrity.</w:t>
      </w:r>
      <w:r w:rsidRPr="00EA6C7A">
        <w:rPr>
          <w:rFonts w:ascii="Verdana" w:eastAsia="Calibri" w:hAnsi="Verdana" w:cs="Tahoma"/>
          <w:sz w:val="20"/>
          <w:szCs w:val="20"/>
          <w:lang w:val="en-US"/>
        </w:rPr>
        <w:t>”</w:t>
      </w:r>
      <w:r w:rsidRPr="00EA6C7A">
        <w:rPr>
          <w:rFonts w:ascii="Verdana" w:eastAsia="Calibri" w:hAnsi="Verdana"/>
          <w:sz w:val="20"/>
          <w:szCs w:val="20"/>
          <w:vertAlign w:val="superscript"/>
          <w:lang w:val="en-US"/>
        </w:rPr>
        <w:footnoteReference w:id="382"/>
      </w:r>
    </w:p>
    <w:p w14:paraId="43D2DCB2" w14:textId="77777777" w:rsidR="00175ABB" w:rsidRPr="00EA6C7A" w:rsidRDefault="00175ABB" w:rsidP="00175ABB">
      <w:pPr>
        <w:spacing w:line="240" w:lineRule="auto"/>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9. </w:t>
      </w:r>
      <w:r w:rsidRPr="00EA6C7A">
        <w:rPr>
          <w:rFonts w:ascii="Verdana" w:eastAsia="Calibri" w:hAnsi="Verdana" w:cs="Tahoma"/>
          <w:sz w:val="20"/>
          <w:szCs w:val="20"/>
          <w:lang w:val="en-US"/>
        </w:rPr>
        <w:tab/>
      </w:r>
      <w:r w:rsidR="00736990" w:rsidRPr="00EA6C7A">
        <w:rPr>
          <w:rFonts w:ascii="Verdana" w:eastAsia="Calibri" w:hAnsi="Verdana" w:cs="Tahoma"/>
          <w:sz w:val="20"/>
          <w:szCs w:val="20"/>
          <w:lang w:val="en-US"/>
        </w:rPr>
        <w:t>In</w:t>
      </w:r>
      <w:r w:rsidRPr="00EA6C7A">
        <w:rPr>
          <w:rFonts w:ascii="Verdana" w:eastAsia="Calibri" w:hAnsi="Verdana" w:cs="Tahoma"/>
          <w:sz w:val="20"/>
          <w:szCs w:val="20"/>
          <w:lang w:val="en-US"/>
        </w:rPr>
        <w:t xml:space="preserve"> 2009, </w:t>
      </w:r>
      <w:r w:rsidR="00736990" w:rsidRPr="00EA6C7A">
        <w:rPr>
          <w:rFonts w:ascii="Verdana" w:eastAsia="Calibri" w:hAnsi="Verdana" w:cs="Tahoma"/>
          <w:sz w:val="20"/>
          <w:szCs w:val="20"/>
          <w:lang w:val="en-US"/>
        </w:rPr>
        <w:t>in the case of</w:t>
      </w:r>
      <w:r w:rsidRPr="00EA6C7A">
        <w:rPr>
          <w:rFonts w:ascii="Verdana" w:eastAsia="Calibri" w:hAnsi="Verdana" w:cs="Tahoma"/>
          <w:i/>
          <w:sz w:val="20"/>
          <w:szCs w:val="20"/>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the Court</w:t>
      </w:r>
      <w:r w:rsidRPr="00EA6C7A">
        <w:rPr>
          <w:rFonts w:ascii="Verdana" w:eastAsia="Calibri" w:hAnsi="Verdana" w:cs="Tahoma"/>
          <w:sz w:val="20"/>
          <w:szCs w:val="20"/>
          <w:lang w:val="en-US"/>
        </w:rPr>
        <w:t xml:space="preserve"> </w:t>
      </w:r>
      <w:r w:rsidR="00736990" w:rsidRPr="00EA6C7A">
        <w:rPr>
          <w:rFonts w:ascii="Verdana" w:eastAsia="Calibri" w:hAnsi="Verdana" w:cs="Tahoma"/>
          <w:sz w:val="20"/>
          <w:szCs w:val="20"/>
          <w:lang w:val="en-US"/>
        </w:rPr>
        <w:t xml:space="preserve">again had the occasion to examine facts that involved obligations under the “Convention of Belém </w:t>
      </w:r>
      <w:r w:rsidR="00736990" w:rsidRPr="00EA6C7A">
        <w:rPr>
          <w:rFonts w:ascii="Verdana" w:eastAsia="Calibri" w:hAnsi="Verdana" w:cs="Tahoma"/>
          <w:sz w:val="20"/>
          <w:szCs w:val="20"/>
          <w:lang w:val="en-US"/>
        </w:rPr>
        <w:lastRenderedPageBreak/>
        <w:t xml:space="preserve">do Pará.” </w:t>
      </w:r>
      <w:r w:rsidR="005F2D0A" w:rsidRPr="00EA6C7A">
        <w:rPr>
          <w:rFonts w:ascii="Verdana" w:eastAsia="Calibri" w:hAnsi="Verdana" w:cs="Tahoma"/>
          <w:sz w:val="20"/>
          <w:szCs w:val="20"/>
          <w:lang w:val="en-US"/>
        </w:rPr>
        <w:t xml:space="preserve">The case related to the context of gender-based violence in Mexico, and </w:t>
      </w:r>
      <w:r w:rsidR="00D5307F" w:rsidRPr="00EA6C7A">
        <w:rPr>
          <w:rFonts w:ascii="Verdana" w:eastAsia="Calibri" w:hAnsi="Verdana" w:cs="Tahoma"/>
          <w:sz w:val="20"/>
          <w:szCs w:val="20"/>
          <w:lang w:val="en-US"/>
        </w:rPr>
        <w:t>the Inter-American Court</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examined</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4, 5</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7</w:t>
      </w:r>
      <w:r w:rsidR="0096418F" w:rsidRPr="00EA6C7A">
        <w:rPr>
          <w:rFonts w:ascii="Verdana" w:eastAsia="Calibri" w:hAnsi="Verdana" w:cs="Tahoma"/>
          <w:sz w:val="20"/>
          <w:szCs w:val="20"/>
          <w:lang w:val="en-US"/>
        </w:rPr>
        <w:t xml:space="preserve"> of the American Convention</w:t>
      </w:r>
      <w:r w:rsidR="00D948A1" w:rsidRPr="00EA6C7A">
        <w:rPr>
          <w:rFonts w:ascii="Verdana" w:eastAsia="Calibri" w:hAnsi="Verdana" w:cs="Tahoma"/>
          <w:sz w:val="20"/>
          <w:szCs w:val="20"/>
          <w:lang w:val="en-US"/>
        </w:rPr>
        <w:t xml:space="preserve"> and </w:t>
      </w:r>
      <w:r w:rsidR="005F2D0A" w:rsidRPr="00EA6C7A">
        <w:rPr>
          <w:rFonts w:ascii="Verdana" w:eastAsia="Calibri" w:hAnsi="Verdana" w:cs="Tahoma"/>
          <w:sz w:val="20"/>
          <w:szCs w:val="20"/>
          <w:lang w:val="en-US"/>
        </w:rPr>
        <w:t>the obligations arising from</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7</w:t>
      </w:r>
      <w:r w:rsidR="005F2D0A" w:rsidRPr="00EA6C7A">
        <w:rPr>
          <w:rFonts w:ascii="Verdana" w:eastAsia="Calibri" w:hAnsi="Verdana" w:cs="Tahoma"/>
          <w:sz w:val="20"/>
          <w:szCs w:val="20"/>
          <w:lang w:val="en-US"/>
        </w:rPr>
        <w:t>(</w:t>
      </w:r>
      <w:r w:rsidRPr="00EA6C7A">
        <w:rPr>
          <w:rFonts w:ascii="Verdana" w:eastAsia="Calibri" w:hAnsi="Verdana" w:cs="Tahoma"/>
          <w:sz w:val="20"/>
          <w:szCs w:val="20"/>
          <w:lang w:val="en-US"/>
        </w:rPr>
        <w:t>b</w:t>
      </w:r>
      <w:r w:rsidR="005F2D0A"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7</w:t>
      </w:r>
      <w:r w:rsidR="005F2D0A" w:rsidRPr="00EA6C7A">
        <w:rPr>
          <w:rFonts w:ascii="Verdana" w:eastAsia="Calibri" w:hAnsi="Verdana" w:cs="Tahoma"/>
          <w:sz w:val="20"/>
          <w:szCs w:val="20"/>
          <w:lang w:val="en-US"/>
        </w:rPr>
        <w:t>(</w:t>
      </w:r>
      <w:r w:rsidRPr="00EA6C7A">
        <w:rPr>
          <w:rFonts w:ascii="Verdana" w:eastAsia="Calibri" w:hAnsi="Verdana" w:cs="Tahoma"/>
          <w:sz w:val="20"/>
          <w:szCs w:val="20"/>
          <w:lang w:val="en-US"/>
        </w:rPr>
        <w:t>c</w:t>
      </w:r>
      <w:r w:rsidR="005F2D0A" w:rsidRPr="00EA6C7A">
        <w:rPr>
          <w:rFonts w:ascii="Verdana" w:eastAsia="Calibri" w:hAnsi="Verdana" w:cs="Tahoma"/>
          <w:sz w:val="20"/>
          <w:szCs w:val="20"/>
          <w:lang w:val="en-US"/>
        </w:rPr>
        <w:t>)</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F912BD" w:rsidRPr="00EA6C7A">
        <w:rPr>
          <w:rFonts w:ascii="Verdana" w:eastAsia="Calibri" w:hAnsi="Verdana" w:cs="Tahoma"/>
          <w:sz w:val="20"/>
          <w:szCs w:val="20"/>
          <w:lang w:val="en-US"/>
        </w:rPr>
        <w:t>Convention of</w:t>
      </w:r>
      <w:r w:rsidRPr="00EA6C7A">
        <w:rPr>
          <w:rFonts w:ascii="Verdana" w:eastAsia="Calibri" w:hAnsi="Verdana" w:cs="Tahoma"/>
          <w:sz w:val="20"/>
          <w:szCs w:val="20"/>
          <w:lang w:val="en-US"/>
        </w:rPr>
        <w:t xml:space="preserve"> Belém do Pará”</w:t>
      </w:r>
      <w:r w:rsidR="005F2D0A" w:rsidRPr="00EA6C7A">
        <w:rPr>
          <w:rFonts w:ascii="Verdana" w:eastAsia="Calibri" w:hAnsi="Verdana" w:cs="Tahoma"/>
          <w:sz w:val="20"/>
          <w:szCs w:val="20"/>
          <w:lang w:val="en-US"/>
        </w:rPr>
        <w:t xml:space="preserve"> </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in relation to the general obligation</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to ensure rights</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 xml:space="preserve">Art. </w:t>
      </w:r>
      <w:r w:rsidRPr="00EA6C7A">
        <w:rPr>
          <w:rFonts w:ascii="Verdana" w:eastAsia="Calibri" w:hAnsi="Verdana" w:cs="Tahoma"/>
          <w:sz w:val="20"/>
          <w:szCs w:val="20"/>
          <w:lang w:val="en-US"/>
        </w:rPr>
        <w:t>1</w:t>
      </w:r>
      <w:r w:rsidR="005F2D0A" w:rsidRPr="00EA6C7A">
        <w:rPr>
          <w:rFonts w:ascii="Verdana" w:eastAsia="Calibri" w:hAnsi="Verdana" w:cs="Tahoma"/>
          <w:sz w:val="20"/>
          <w:szCs w:val="20"/>
          <w:lang w:val="en-US"/>
        </w:rPr>
        <w:t>(1)</w:t>
      </w:r>
      <w:r w:rsidR="0096418F" w:rsidRPr="00EA6C7A">
        <w:rPr>
          <w:rFonts w:ascii="Verdana" w:eastAsia="Calibri" w:hAnsi="Verdana" w:cs="Tahoma"/>
          <w:sz w:val="20"/>
          <w:szCs w:val="20"/>
          <w:lang w:val="en-US"/>
        </w:rPr>
        <w:t xml:space="preserve"> of the American Convention</w:t>
      </w:r>
      <w:r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005F2D0A" w:rsidRPr="00EA6C7A">
        <w:rPr>
          <w:rFonts w:ascii="Verdana" w:eastAsia="Calibri" w:hAnsi="Verdana" w:cs="Tahoma"/>
          <w:sz w:val="20"/>
          <w:szCs w:val="20"/>
          <w:lang w:val="en-US"/>
        </w:rPr>
        <w:t>the obligation</w:t>
      </w:r>
      <w:r w:rsidRPr="00EA6C7A">
        <w:rPr>
          <w:rFonts w:ascii="Verdana" w:eastAsia="Calibri" w:hAnsi="Verdana" w:cs="Tahoma"/>
          <w:sz w:val="20"/>
          <w:szCs w:val="20"/>
          <w:lang w:val="en-US"/>
        </w:rPr>
        <w:t xml:space="preserve"> </w:t>
      </w:r>
      <w:r w:rsidR="00471AEF" w:rsidRPr="00EA6C7A">
        <w:rPr>
          <w:rFonts w:ascii="Verdana" w:eastAsia="Calibri" w:hAnsi="Verdana" w:cs="Tahoma"/>
          <w:sz w:val="20"/>
          <w:szCs w:val="20"/>
          <w:lang w:val="en-US"/>
        </w:rPr>
        <w:t xml:space="preserve">to </w:t>
      </w:r>
      <w:r w:rsidR="005F2D0A" w:rsidRPr="00EA6C7A">
        <w:rPr>
          <w:rFonts w:ascii="Verdana" w:eastAsia="Calibri" w:hAnsi="Verdana" w:cs="Tahoma"/>
          <w:sz w:val="20"/>
          <w:szCs w:val="20"/>
          <w:lang w:val="en-US"/>
        </w:rPr>
        <w:t xml:space="preserve">adopt domestic legal provisions </w:t>
      </w:r>
      <w:r w:rsidRPr="00EA6C7A">
        <w:rPr>
          <w:rFonts w:ascii="Verdana" w:eastAsia="Calibri" w:hAnsi="Verdana" w:cs="Tahoma"/>
          <w:sz w:val="20"/>
          <w:szCs w:val="20"/>
          <w:lang w:val="en-US"/>
        </w:rPr>
        <w:t>(</w:t>
      </w:r>
      <w:r w:rsidR="005F2D0A" w:rsidRPr="00EA6C7A">
        <w:rPr>
          <w:rFonts w:ascii="Verdana" w:eastAsia="Calibri" w:hAnsi="Verdana" w:cs="Tahoma"/>
          <w:sz w:val="20"/>
          <w:szCs w:val="20"/>
          <w:lang w:val="en-US"/>
        </w:rPr>
        <w:t>A</w:t>
      </w:r>
      <w:r w:rsidRPr="00EA6C7A">
        <w:rPr>
          <w:rFonts w:ascii="Verdana" w:eastAsia="Calibri" w:hAnsi="Verdana" w:cs="Tahoma"/>
          <w:sz w:val="20"/>
          <w:szCs w:val="20"/>
          <w:lang w:val="en-US"/>
        </w:rPr>
        <w:t xml:space="preserve">rt. 2 </w:t>
      </w:r>
      <w:r w:rsidR="005F2D0A" w:rsidRPr="00EA6C7A">
        <w:rPr>
          <w:rFonts w:ascii="Verdana" w:eastAsia="Calibri" w:hAnsi="Verdana" w:cs="Tahoma"/>
          <w:sz w:val="20"/>
          <w:szCs w:val="20"/>
          <w:lang w:val="en-US"/>
        </w:rPr>
        <w:t>of the Pact of</w:t>
      </w:r>
      <w:r w:rsidRPr="00EA6C7A">
        <w:rPr>
          <w:rFonts w:ascii="Verdana" w:eastAsia="Calibri" w:hAnsi="Verdana" w:cs="Tahoma"/>
          <w:sz w:val="20"/>
          <w:szCs w:val="20"/>
          <w:lang w:val="en-US"/>
        </w:rPr>
        <w:t xml:space="preserve"> San José) </w:t>
      </w:r>
      <w:r w:rsidR="00123BD3" w:rsidRPr="00EA6C7A">
        <w:rPr>
          <w:rFonts w:ascii="Verdana" w:eastAsia="Calibri" w:hAnsi="Verdana" w:cs="Tahoma"/>
          <w:sz w:val="20"/>
          <w:szCs w:val="20"/>
          <w:lang w:val="en-US"/>
        </w:rPr>
        <w:t>to the detriment of</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 xml:space="preserve">the three women victims in the case. Consequently, in its judgment in that case, the Court established that the State had not acted with “the due diligence required to adequately prevent the attacks on the victims and their deaths,” an omission that had resulted in non-compliance with its obligation to ensure rights – placing the women victims in a situation of vulnerability – and the enhanced obligations imposed in cases of </w:t>
      </w:r>
      <w:r w:rsidR="00C12C08" w:rsidRPr="00EA6C7A">
        <w:rPr>
          <w:rFonts w:ascii="Verdana" w:eastAsia="Calibri" w:hAnsi="Verdana" w:cs="Tahoma"/>
          <w:sz w:val="20"/>
          <w:szCs w:val="20"/>
          <w:lang w:val="en-US"/>
        </w:rPr>
        <w:t>violence against women</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by</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7(b)</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2C132E" w:rsidRPr="00EA6C7A">
        <w:rPr>
          <w:rFonts w:ascii="Verdana" w:eastAsia="Calibri" w:hAnsi="Verdana" w:cs="Tahoma"/>
          <w:sz w:val="20"/>
          <w:szCs w:val="20"/>
          <w:lang w:val="en-US"/>
        </w:rPr>
        <w:t>Convention of Belém</w:t>
      </w:r>
      <w:r w:rsidRPr="00EA6C7A">
        <w:rPr>
          <w:rFonts w:ascii="Verdana" w:eastAsia="Calibri" w:hAnsi="Verdana" w:cs="Tahoma"/>
          <w:sz w:val="20"/>
          <w:szCs w:val="20"/>
          <w:lang w:val="en-US"/>
        </w:rPr>
        <w:t xml:space="preserve"> do Pará</w:t>
      </w:r>
      <w:r w:rsidR="005F2D0A" w:rsidRPr="00EA6C7A">
        <w:rPr>
          <w:rFonts w:ascii="Verdana" w:eastAsia="Calibri" w:hAnsi="Verdana" w:cs="Tahoma"/>
          <w:sz w:val="20"/>
          <w:szCs w:val="20"/>
          <w:lang w:val="en-US"/>
        </w:rPr>
        <w:t>.</w:t>
      </w:r>
      <w:r w:rsidRPr="00EA6C7A">
        <w:rPr>
          <w:rFonts w:ascii="Verdana" w:eastAsia="Calibri" w:hAnsi="Verdana" w:cs="Tahoma"/>
          <w:sz w:val="20"/>
          <w:szCs w:val="20"/>
          <w:lang w:val="en-US"/>
        </w:rPr>
        <w:t>”</w:t>
      </w:r>
      <w:r w:rsidRPr="00EA6C7A">
        <w:rPr>
          <w:rFonts w:ascii="Verdana" w:eastAsia="Calibri" w:hAnsi="Verdana" w:cs="Tahoma"/>
          <w:sz w:val="20"/>
          <w:szCs w:val="20"/>
          <w:vertAlign w:val="superscript"/>
          <w:lang w:val="en-US"/>
        </w:rPr>
        <w:footnoteReference w:id="383"/>
      </w:r>
      <w:r w:rsidR="005F2D0A" w:rsidRPr="00EA6C7A">
        <w:rPr>
          <w:rFonts w:ascii="Verdana" w:eastAsia="Calibri" w:hAnsi="Verdana" w:cs="Tahoma"/>
          <w:sz w:val="20"/>
          <w:szCs w:val="20"/>
          <w:lang w:val="en-US"/>
        </w:rPr>
        <w:t xml:space="preserve"> Furthermore, with regard to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7(c)</w:t>
      </w:r>
      <w:r w:rsidRPr="00EA6C7A">
        <w:rPr>
          <w:rFonts w:ascii="Verdana" w:eastAsia="Calibri" w:hAnsi="Verdana" w:cs="Tahoma"/>
          <w:sz w:val="20"/>
          <w:szCs w:val="20"/>
          <w:lang w:val="en-US"/>
        </w:rPr>
        <w:t xml:space="preserve"> </w:t>
      </w:r>
      <w:r w:rsidR="002D218C" w:rsidRPr="00EA6C7A">
        <w:rPr>
          <w:rFonts w:ascii="Verdana" w:eastAsia="Calibri" w:hAnsi="Verdana" w:cs="Tahoma"/>
          <w:sz w:val="20"/>
          <w:szCs w:val="20"/>
          <w:lang w:val="en-US"/>
        </w:rPr>
        <w:t>of this instrument</w:t>
      </w:r>
      <w:r w:rsidRPr="00EA6C7A">
        <w:rPr>
          <w:rFonts w:ascii="Verdana" w:eastAsia="Calibri" w:hAnsi="Verdana" w:cs="Tahoma"/>
          <w:sz w:val="20"/>
          <w:szCs w:val="20"/>
          <w:lang w:val="en-US"/>
        </w:rPr>
        <w:t>,</w:t>
      </w:r>
      <w:r w:rsidR="005F2D0A" w:rsidRPr="00EA6C7A">
        <w:rPr>
          <w:rFonts w:ascii="Verdana" w:eastAsia="Calibri" w:hAnsi="Verdana" w:cs="Tahoma"/>
          <w:sz w:val="20"/>
          <w:szCs w:val="20"/>
          <w:lang w:val="en-US"/>
        </w:rPr>
        <w:t xml:space="preserve"> it determined that the State had not proved that it had adopted legislation or implemented the necessary measures, “pursuant to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2</w:t>
      </w:r>
      <w:r w:rsidR="0096418F" w:rsidRPr="00EA6C7A">
        <w:rPr>
          <w:rFonts w:ascii="Verdana" w:eastAsia="Calibri" w:hAnsi="Verdana" w:cs="Tahoma"/>
          <w:sz w:val="20"/>
          <w:szCs w:val="20"/>
          <w:lang w:val="en-US"/>
        </w:rPr>
        <w:t xml:space="preserve"> of the American Convention</w:t>
      </w:r>
      <w:r w:rsidR="00D948A1" w:rsidRPr="00EA6C7A">
        <w:rPr>
          <w:rFonts w:ascii="Verdana" w:eastAsia="Calibri" w:hAnsi="Verdana" w:cs="Tahoma"/>
          <w:sz w:val="20"/>
          <w:szCs w:val="20"/>
          <w:lang w:val="en-US"/>
        </w:rPr>
        <w:t xml:space="preserve"> an</w:t>
      </w:r>
      <w:r w:rsidR="005F2D0A" w:rsidRPr="00EA6C7A">
        <w:rPr>
          <w:rFonts w:ascii="Verdana" w:eastAsia="Calibri" w:hAnsi="Verdana" w:cs="Tahoma"/>
          <w:sz w:val="20"/>
          <w:szCs w:val="20"/>
          <w:lang w:val="en-US"/>
        </w:rPr>
        <w:t>d</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7(c)</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2C132E" w:rsidRPr="00EA6C7A">
        <w:rPr>
          <w:rFonts w:ascii="Verdana" w:eastAsia="Calibri" w:hAnsi="Verdana" w:cs="Tahoma"/>
          <w:sz w:val="20"/>
          <w:szCs w:val="20"/>
          <w:lang w:val="en-US"/>
        </w:rPr>
        <w:t>Convention of Belém</w:t>
      </w:r>
      <w:r w:rsidRPr="00EA6C7A">
        <w:rPr>
          <w:rFonts w:ascii="Verdana" w:eastAsia="Calibri" w:hAnsi="Verdana" w:cs="Tahoma"/>
          <w:sz w:val="20"/>
          <w:szCs w:val="20"/>
          <w:lang w:val="en-US"/>
        </w:rPr>
        <w:t xml:space="preserve"> do Pará”</w:t>
      </w:r>
      <w:r w:rsidR="005F2D0A" w:rsidRPr="00EA6C7A">
        <w:rPr>
          <w:rFonts w:ascii="Verdana" w:eastAsia="Calibri" w:hAnsi="Verdana" w:cs="Tahoma"/>
          <w:sz w:val="20"/>
          <w:szCs w:val="20"/>
          <w:lang w:val="en-US"/>
        </w:rPr>
        <w:t xml:space="preserve"> that would have allowed the authorities to provide an immediate and effective response</w:t>
      </w:r>
      <w:r w:rsidR="00F17EB0" w:rsidRPr="00EA6C7A">
        <w:rPr>
          <w:rFonts w:ascii="Verdana" w:eastAsia="Calibri" w:hAnsi="Verdana" w:cs="Tahoma"/>
          <w:sz w:val="20"/>
          <w:szCs w:val="20"/>
          <w:lang w:val="en-US"/>
        </w:rPr>
        <w:t xml:space="preserve"> to the </w:t>
      </w:r>
      <w:r w:rsidR="00ED2349" w:rsidRPr="00EA6C7A">
        <w:rPr>
          <w:rFonts w:ascii="Verdana" w:eastAsia="Calibri" w:hAnsi="Verdana" w:cs="Tahoma"/>
          <w:sz w:val="20"/>
          <w:szCs w:val="20"/>
          <w:lang w:val="en-US"/>
        </w:rPr>
        <w:t>missing person</w:t>
      </w:r>
      <w:r w:rsidR="00F17EB0" w:rsidRPr="00EA6C7A">
        <w:rPr>
          <w:rFonts w:ascii="Verdana" w:eastAsia="Calibri" w:hAnsi="Verdana" w:cs="Tahoma"/>
          <w:sz w:val="20"/>
          <w:szCs w:val="20"/>
          <w:lang w:val="en-US"/>
        </w:rPr>
        <w:t xml:space="preserve"> reports and adequately prevent </w:t>
      </w:r>
      <w:r w:rsidR="00C12C08" w:rsidRPr="00EA6C7A">
        <w:rPr>
          <w:rFonts w:ascii="Verdana" w:eastAsia="Calibri" w:hAnsi="Verdana" w:cs="Tahoma"/>
          <w:sz w:val="20"/>
          <w:szCs w:val="20"/>
          <w:lang w:val="en-US"/>
        </w:rPr>
        <w:t>violence against women</w:t>
      </w:r>
      <w:r w:rsidRPr="00EA6C7A">
        <w:rPr>
          <w:rFonts w:ascii="Verdana" w:eastAsia="Calibri" w:hAnsi="Verdana" w:cs="Tahoma"/>
          <w:sz w:val="20"/>
          <w:szCs w:val="20"/>
          <w:lang w:val="en-US"/>
        </w:rPr>
        <w:t>”</w:t>
      </w:r>
      <w:r w:rsidR="00F17EB0" w:rsidRPr="00EA6C7A">
        <w:rPr>
          <w:rFonts w:ascii="Verdana" w:eastAsia="Calibri" w:hAnsi="Verdana" w:cs="Tahoma"/>
          <w:sz w:val="20"/>
          <w:szCs w:val="20"/>
          <w:lang w:val="en-US"/>
        </w:rPr>
        <w:t xml:space="preserve">; moreover, it had not proved that it had “adopted norms or taken measures to ensure that the officials responsible for receiving reports had the capacity and the </w:t>
      </w:r>
      <w:r w:rsidR="000A7476" w:rsidRPr="00EA6C7A">
        <w:rPr>
          <w:rFonts w:ascii="Verdana" w:eastAsia="Calibri" w:hAnsi="Verdana" w:cs="Tahoma"/>
          <w:sz w:val="20"/>
          <w:szCs w:val="20"/>
          <w:lang w:val="en-US"/>
        </w:rPr>
        <w:t>sensitivity</w:t>
      </w:r>
      <w:r w:rsidR="00F17EB0" w:rsidRPr="00EA6C7A">
        <w:rPr>
          <w:rFonts w:ascii="Verdana" w:eastAsia="Calibri" w:hAnsi="Verdana" w:cs="Tahoma"/>
          <w:sz w:val="20"/>
          <w:szCs w:val="20"/>
          <w:lang w:val="en-US"/>
        </w:rPr>
        <w:t xml:space="preserve"> to understand the seriousness of the phenomenon of violence against women and the willingness to act immediately.</w:t>
      </w:r>
      <w:r w:rsidRPr="00EA6C7A">
        <w:rPr>
          <w:rFonts w:ascii="Verdana" w:eastAsia="Calibri" w:hAnsi="Verdana" w:cs="Tahoma"/>
          <w:sz w:val="20"/>
          <w:szCs w:val="20"/>
          <w:lang w:val="en-US"/>
        </w:rPr>
        <w:t>”</w:t>
      </w:r>
      <w:r w:rsidRPr="00EA6C7A">
        <w:rPr>
          <w:rFonts w:ascii="Verdana" w:eastAsia="Calibri" w:hAnsi="Verdana" w:cs="Tahoma"/>
          <w:sz w:val="20"/>
          <w:szCs w:val="20"/>
          <w:vertAlign w:val="superscript"/>
          <w:lang w:val="en-US"/>
        </w:rPr>
        <w:footnoteReference w:id="384"/>
      </w:r>
    </w:p>
    <w:p w14:paraId="0B695E6D"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10. </w:t>
      </w:r>
      <w:r w:rsidRPr="00EA6C7A">
        <w:rPr>
          <w:rFonts w:ascii="Verdana" w:eastAsia="Calibri" w:hAnsi="Verdana" w:cs="Tahoma"/>
          <w:sz w:val="20"/>
          <w:szCs w:val="20"/>
          <w:lang w:val="en-US"/>
        </w:rPr>
        <w:tab/>
      </w:r>
      <w:r w:rsidR="00F17EB0" w:rsidRPr="00EA6C7A">
        <w:rPr>
          <w:rFonts w:ascii="Verdana" w:eastAsia="Calibri" w:hAnsi="Verdana" w:cs="Tahoma"/>
          <w:sz w:val="20"/>
          <w:szCs w:val="20"/>
          <w:lang w:val="en-US"/>
        </w:rPr>
        <w:t>The same year</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 xml:space="preserve">the </w:t>
      </w:r>
      <w:r w:rsidR="009939AC" w:rsidRPr="00EA6C7A">
        <w:rPr>
          <w:rFonts w:ascii="Verdana" w:eastAsia="Calibri" w:hAnsi="Verdana" w:cs="Tahoma"/>
          <w:sz w:val="20"/>
          <w:szCs w:val="20"/>
          <w:lang w:val="en-US"/>
        </w:rPr>
        <w:t>Court</w:t>
      </w:r>
      <w:r w:rsidRPr="00EA6C7A">
        <w:rPr>
          <w:rFonts w:ascii="Verdana" w:eastAsia="Calibri" w:hAnsi="Verdana" w:cs="Tahoma"/>
          <w:sz w:val="20"/>
          <w:szCs w:val="20"/>
          <w:lang w:val="en-US"/>
        </w:rPr>
        <w:t xml:space="preserve"> </w:t>
      </w:r>
      <w:r w:rsidR="00F17EB0" w:rsidRPr="00EA6C7A">
        <w:rPr>
          <w:rFonts w:ascii="Verdana" w:eastAsia="Calibri" w:hAnsi="Verdana" w:cs="Tahoma"/>
          <w:sz w:val="20"/>
          <w:szCs w:val="20"/>
          <w:lang w:val="en-US"/>
        </w:rPr>
        <w:t>again invoked the</w:t>
      </w:r>
      <w:r w:rsidRPr="00EA6C7A">
        <w:rPr>
          <w:rFonts w:ascii="Verdana" w:eastAsia="Calibri" w:hAnsi="Verdana" w:cs="Tahoma"/>
          <w:sz w:val="20"/>
          <w:szCs w:val="20"/>
          <w:lang w:val="en-US"/>
        </w:rPr>
        <w:t xml:space="preserve"> “</w:t>
      </w:r>
      <w:r w:rsidR="00F912BD" w:rsidRPr="00EA6C7A">
        <w:rPr>
          <w:rFonts w:ascii="Verdana" w:eastAsia="Calibri" w:hAnsi="Verdana" w:cs="Tahoma"/>
          <w:sz w:val="20"/>
          <w:szCs w:val="20"/>
          <w:lang w:val="en-US"/>
        </w:rPr>
        <w:t>Convention of</w:t>
      </w:r>
      <w:r w:rsidRPr="00EA6C7A">
        <w:rPr>
          <w:rFonts w:ascii="Verdana" w:eastAsia="Calibri" w:hAnsi="Verdana" w:cs="Tahoma"/>
          <w:sz w:val="20"/>
          <w:szCs w:val="20"/>
          <w:lang w:val="en-US"/>
        </w:rPr>
        <w:t xml:space="preserve"> Belém do Pará” </w:t>
      </w:r>
      <w:r w:rsidR="00F17EB0" w:rsidRPr="00EA6C7A">
        <w:rPr>
          <w:rFonts w:ascii="Verdana" w:eastAsia="Calibri" w:hAnsi="Verdana" w:cs="Tahoma"/>
          <w:sz w:val="20"/>
          <w:szCs w:val="20"/>
          <w:lang w:val="en-US"/>
        </w:rPr>
        <w:t xml:space="preserve">in the judgment in the case of the </w:t>
      </w:r>
      <w:r w:rsidR="00F17EB0" w:rsidRPr="00EA6C7A">
        <w:rPr>
          <w:rFonts w:ascii="Verdana" w:eastAsia="Calibri" w:hAnsi="Verdana" w:cs="Tahoma"/>
          <w:bCs/>
          <w:i/>
          <w:color w:val="000000"/>
          <w:sz w:val="20"/>
          <w:szCs w:val="20"/>
          <w:shd w:val="clear" w:color="auto" w:fill="FFFFFF"/>
          <w:lang w:val="en-US"/>
        </w:rPr>
        <w:t>L</w:t>
      </w:r>
      <w:r w:rsidRPr="00EA6C7A">
        <w:rPr>
          <w:rFonts w:ascii="Verdana" w:eastAsia="Calibri" w:hAnsi="Verdana" w:cs="Tahoma"/>
          <w:bCs/>
          <w:i/>
          <w:color w:val="000000"/>
          <w:sz w:val="20"/>
          <w:szCs w:val="20"/>
          <w:shd w:val="clear" w:color="auto" w:fill="FFFFFF"/>
          <w:lang w:val="en-US"/>
        </w:rPr>
        <w:t>as Dos Erres</w:t>
      </w:r>
      <w:r w:rsidR="00F17EB0" w:rsidRPr="00EA6C7A">
        <w:rPr>
          <w:rFonts w:ascii="Verdana" w:eastAsia="Calibri" w:hAnsi="Verdana" w:cs="Tahoma"/>
          <w:bCs/>
          <w:i/>
          <w:color w:val="000000"/>
          <w:sz w:val="20"/>
          <w:szCs w:val="20"/>
          <w:shd w:val="clear" w:color="auto" w:fill="FFFFFF"/>
          <w:lang w:val="en-US"/>
        </w:rPr>
        <w:t xml:space="preserve"> Massacre</w:t>
      </w:r>
      <w:r w:rsidRPr="00EA6C7A">
        <w:rPr>
          <w:rFonts w:ascii="Verdana" w:eastAsia="Calibri" w:hAnsi="Verdana" w:cs="Tahoma"/>
          <w:bCs/>
          <w:i/>
          <w:color w:val="000000"/>
          <w:sz w:val="20"/>
          <w:szCs w:val="20"/>
          <w:shd w:val="clear" w:color="auto" w:fill="FFFFFF"/>
          <w:lang w:val="en-US"/>
        </w:rPr>
        <w:t xml:space="preserve"> v. Guatemala</w:t>
      </w:r>
      <w:r w:rsidR="00F17EB0"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385"/>
      </w:r>
      <w:r w:rsidR="00F17EB0" w:rsidRPr="00EA6C7A">
        <w:rPr>
          <w:rFonts w:ascii="Verdana" w:eastAsia="Calibri" w:hAnsi="Verdana" w:cs="Tahoma"/>
          <w:bCs/>
          <w:iCs/>
          <w:color w:val="000000"/>
          <w:sz w:val="20"/>
          <w:szCs w:val="20"/>
          <w:shd w:val="clear" w:color="auto" w:fill="FFFFFF"/>
          <w:lang w:val="en-US"/>
        </w:rPr>
        <w:t xml:space="preserve"> as a result of the violations of </w:t>
      </w:r>
      <w:r w:rsidR="00F17EB0" w:rsidRPr="00EA6C7A">
        <w:rPr>
          <w:rFonts w:ascii="Verdana" w:eastAsia="Calibri" w:hAnsi="Verdana" w:cs="Tahoma"/>
          <w:sz w:val="20"/>
          <w:szCs w:val="20"/>
          <w:lang w:val="en-US"/>
        </w:rPr>
        <w:t>life, torture and acts of</w:t>
      </w:r>
      <w:r w:rsidRPr="00EA6C7A">
        <w:rPr>
          <w:rFonts w:ascii="Verdana" w:eastAsia="Calibri" w:hAnsi="Verdana" w:cs="Tahoma"/>
          <w:sz w:val="20"/>
          <w:szCs w:val="20"/>
          <w:lang w:val="en-US"/>
        </w:rPr>
        <w:t xml:space="preserve"> </w:t>
      </w:r>
      <w:r w:rsidR="00C12C08" w:rsidRPr="00EA6C7A">
        <w:rPr>
          <w:rFonts w:ascii="Verdana" w:eastAsia="Calibri" w:hAnsi="Verdana" w:cs="Tahoma"/>
          <w:sz w:val="20"/>
          <w:szCs w:val="20"/>
          <w:lang w:val="en-US"/>
        </w:rPr>
        <w:t>violence against women</w:t>
      </w:r>
      <w:r w:rsidRPr="00EA6C7A">
        <w:rPr>
          <w:rFonts w:ascii="Verdana" w:eastAsia="Calibri" w:hAnsi="Verdana" w:cs="Tahoma"/>
          <w:sz w:val="20"/>
          <w:szCs w:val="20"/>
          <w:lang w:val="en-US"/>
        </w:rPr>
        <w:t xml:space="preserve"> v</w:t>
      </w:r>
      <w:r w:rsidR="00F17EB0" w:rsidRPr="00EA6C7A">
        <w:rPr>
          <w:rFonts w:ascii="Verdana" w:eastAsia="Calibri" w:hAnsi="Verdana" w:cs="Tahoma"/>
          <w:sz w:val="20"/>
          <w:szCs w:val="20"/>
          <w:lang w:val="en-US"/>
        </w:rPr>
        <w:t>ictims perpetrated during the massacre;</w:t>
      </w:r>
      <w:r w:rsidRPr="00EA6C7A">
        <w:rPr>
          <w:rFonts w:ascii="Verdana" w:eastAsia="Calibri" w:hAnsi="Verdana" w:cs="Tahoma"/>
          <w:vertAlign w:val="superscript"/>
          <w:lang w:val="en-US"/>
        </w:rPr>
        <w:footnoteReference w:id="386"/>
      </w:r>
      <w:r w:rsidRPr="00EA6C7A">
        <w:rPr>
          <w:rFonts w:ascii="Verdana" w:eastAsia="Calibri" w:hAnsi="Verdana" w:cs="Tahoma"/>
          <w:sz w:val="20"/>
          <w:szCs w:val="20"/>
          <w:lang w:val="en-US"/>
        </w:rPr>
        <w:t xml:space="preserve"> consider</w:t>
      </w:r>
      <w:r w:rsidR="00F17EB0" w:rsidRPr="00EA6C7A">
        <w:rPr>
          <w:rFonts w:ascii="Verdana" w:eastAsia="Calibri" w:hAnsi="Verdana" w:cs="Tahoma"/>
          <w:sz w:val="20"/>
          <w:szCs w:val="20"/>
          <w:lang w:val="en-US"/>
        </w:rPr>
        <w:t>ing that</w:t>
      </w:r>
      <w:r w:rsidRPr="00EA6C7A">
        <w:rPr>
          <w:rFonts w:ascii="Verdana" w:eastAsia="Calibri" w:hAnsi="Verdana" w:cs="Tahoma"/>
          <w:sz w:val="20"/>
          <w:szCs w:val="20"/>
          <w:lang w:val="en-US"/>
        </w:rPr>
        <w:t xml:space="preserve"> </w:t>
      </w:r>
      <w:r w:rsidR="00515C34" w:rsidRPr="00EA6C7A">
        <w:rPr>
          <w:rFonts w:ascii="Verdana" w:eastAsia="Calibri" w:hAnsi="Verdana" w:cs="Tahoma"/>
          <w:sz w:val="20"/>
          <w:szCs w:val="20"/>
          <w:lang w:val="en-US"/>
        </w:rPr>
        <w:t>Articles 8(1)</w:t>
      </w:r>
      <w:r w:rsidR="00D948A1" w:rsidRPr="00EA6C7A">
        <w:rPr>
          <w:rFonts w:ascii="Verdana" w:eastAsia="Calibri" w:hAnsi="Verdana" w:cs="Tahoma"/>
          <w:sz w:val="20"/>
          <w:szCs w:val="20"/>
          <w:lang w:val="en-US"/>
        </w:rPr>
        <w:t xml:space="preserve"> and </w:t>
      </w:r>
      <w:r w:rsidR="00715B6F" w:rsidRPr="00EA6C7A">
        <w:rPr>
          <w:rFonts w:ascii="Verdana" w:eastAsia="Calibri" w:hAnsi="Verdana" w:cs="Tahoma"/>
          <w:sz w:val="20"/>
          <w:szCs w:val="20"/>
          <w:lang w:val="en-US"/>
        </w:rPr>
        <w:t>25(1)</w:t>
      </w:r>
      <w:r w:rsidR="0096418F" w:rsidRPr="00EA6C7A">
        <w:rPr>
          <w:rFonts w:ascii="Verdana" w:eastAsia="Calibri" w:hAnsi="Verdana" w:cs="Tahoma"/>
          <w:sz w:val="20"/>
          <w:szCs w:val="20"/>
          <w:lang w:val="en-US"/>
        </w:rPr>
        <w:t xml:space="preserve"> of the American Convention</w:t>
      </w:r>
      <w:r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1, 6</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8</w:t>
      </w:r>
      <w:r w:rsidR="0096418F" w:rsidRPr="00EA6C7A">
        <w:rPr>
          <w:rFonts w:ascii="Verdana" w:eastAsia="Calibri" w:hAnsi="Verdana" w:cs="Tahoma"/>
          <w:sz w:val="20"/>
          <w:szCs w:val="20"/>
          <w:lang w:val="en-US"/>
        </w:rPr>
        <w:t xml:space="preserve"> of the </w:t>
      </w:r>
      <w:r w:rsidR="00F17EB0" w:rsidRPr="00EA6C7A">
        <w:rPr>
          <w:rFonts w:ascii="Verdana" w:eastAsia="Calibri" w:hAnsi="Verdana" w:cs="Tahoma"/>
          <w:sz w:val="20"/>
          <w:szCs w:val="20"/>
          <w:lang w:val="en-US"/>
        </w:rPr>
        <w:t xml:space="preserve">Inter-American </w:t>
      </w:r>
      <w:r w:rsidR="0096418F" w:rsidRPr="00EA6C7A">
        <w:rPr>
          <w:rFonts w:ascii="Verdana" w:eastAsia="Calibri" w:hAnsi="Verdana" w:cs="Tahoma"/>
          <w:sz w:val="20"/>
          <w:szCs w:val="20"/>
          <w:lang w:val="en-US"/>
        </w:rPr>
        <w:t>Convention</w:t>
      </w:r>
      <w:r w:rsidR="00F17EB0" w:rsidRPr="00EA6C7A">
        <w:rPr>
          <w:rFonts w:ascii="Verdana" w:eastAsia="Calibri" w:hAnsi="Verdana" w:cs="Tahoma"/>
          <w:sz w:val="20"/>
          <w:szCs w:val="20"/>
          <w:lang w:val="en-US"/>
        </w:rPr>
        <w:t xml:space="preserve"> to Prevent and Punish Torture</w:t>
      </w:r>
      <w:r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005F2D0A" w:rsidRPr="00EA6C7A">
        <w:rPr>
          <w:rFonts w:ascii="Verdana" w:eastAsia="Calibri" w:hAnsi="Verdana" w:cs="Tahoma"/>
          <w:sz w:val="20"/>
          <w:szCs w:val="20"/>
          <w:lang w:val="en-US"/>
        </w:rPr>
        <w:t>7(b)</w:t>
      </w:r>
      <w:r w:rsidRPr="00EA6C7A">
        <w:rPr>
          <w:rFonts w:ascii="Verdana" w:eastAsia="Calibri" w:hAnsi="Verdana" w:cs="Tahoma"/>
          <w:sz w:val="20"/>
          <w:szCs w:val="20"/>
          <w:lang w:val="en-US"/>
        </w:rPr>
        <w:t>)</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2C132E" w:rsidRPr="00EA6C7A">
        <w:rPr>
          <w:rFonts w:ascii="Verdana" w:eastAsia="Calibri" w:hAnsi="Verdana" w:cs="Tahoma"/>
          <w:sz w:val="20"/>
          <w:szCs w:val="20"/>
          <w:lang w:val="en-US"/>
        </w:rPr>
        <w:t>Convention of Belém</w:t>
      </w:r>
      <w:r w:rsidRPr="00EA6C7A">
        <w:rPr>
          <w:rFonts w:ascii="Verdana" w:eastAsia="Calibri" w:hAnsi="Verdana" w:cs="Tahoma"/>
          <w:sz w:val="20"/>
          <w:szCs w:val="20"/>
          <w:lang w:val="en-US"/>
        </w:rPr>
        <w:t xml:space="preserve"> do Pará”</w:t>
      </w:r>
      <w:r w:rsidR="00F17EB0" w:rsidRPr="00EA6C7A">
        <w:rPr>
          <w:rFonts w:ascii="Verdana" w:eastAsia="Calibri" w:hAnsi="Verdana" w:cs="Tahoma"/>
          <w:sz w:val="20"/>
          <w:szCs w:val="20"/>
          <w:lang w:val="en-US"/>
        </w:rPr>
        <w:t xml:space="preserve"> had been violated</w:t>
      </w:r>
      <w:r w:rsidRPr="00EA6C7A">
        <w:rPr>
          <w:rFonts w:ascii="Verdana" w:eastAsia="Calibri" w:hAnsi="Verdana" w:cs="Tahoma"/>
          <w:sz w:val="20"/>
          <w:szCs w:val="20"/>
          <w:lang w:val="en-US"/>
        </w:rPr>
        <w:t xml:space="preserve"> </w:t>
      </w:r>
      <w:r w:rsidR="00123BD3" w:rsidRPr="00EA6C7A">
        <w:rPr>
          <w:rFonts w:ascii="Verdana" w:eastAsia="Calibri" w:hAnsi="Verdana" w:cs="Tahoma"/>
          <w:sz w:val="20"/>
          <w:szCs w:val="20"/>
          <w:lang w:val="en-US"/>
        </w:rPr>
        <w:t>to the detriment of</w:t>
      </w:r>
      <w:r w:rsidRPr="00EA6C7A">
        <w:rPr>
          <w:rFonts w:ascii="Verdana" w:eastAsia="Calibri" w:hAnsi="Verdana" w:cs="Tahoma"/>
          <w:sz w:val="20"/>
          <w:szCs w:val="20"/>
          <w:lang w:val="en-US"/>
        </w:rPr>
        <w:t xml:space="preserve"> 155 </w:t>
      </w:r>
      <w:r w:rsidR="00F17EB0" w:rsidRPr="00EA6C7A">
        <w:rPr>
          <w:rFonts w:ascii="Verdana" w:eastAsia="Calibri" w:hAnsi="Verdana" w:cs="Tahoma"/>
          <w:sz w:val="20"/>
          <w:szCs w:val="20"/>
          <w:lang w:val="en-US"/>
        </w:rPr>
        <w:t xml:space="preserve">victims, owing to the </w:t>
      </w:r>
      <w:r w:rsidR="00C006CA" w:rsidRPr="00EA6C7A">
        <w:rPr>
          <w:rFonts w:ascii="Verdana" w:eastAsia="Calibri" w:hAnsi="Verdana" w:cs="Tahoma"/>
          <w:sz w:val="20"/>
          <w:szCs w:val="20"/>
          <w:lang w:val="en-US"/>
        </w:rPr>
        <w:t xml:space="preserve">impediment for the victims to obtain </w:t>
      </w:r>
      <w:r w:rsidR="002D218C" w:rsidRPr="00EA6C7A">
        <w:rPr>
          <w:rFonts w:ascii="Verdana" w:eastAsia="Calibri" w:hAnsi="Verdana" w:cs="Tahoma"/>
          <w:sz w:val="20"/>
          <w:szCs w:val="20"/>
          <w:lang w:val="en-US"/>
        </w:rPr>
        <w:t>access to justice</w:t>
      </w:r>
      <w:r w:rsidR="00D948A1" w:rsidRPr="00EA6C7A">
        <w:rPr>
          <w:rFonts w:ascii="Verdana" w:eastAsia="Calibri" w:hAnsi="Verdana" w:cs="Tahoma"/>
          <w:sz w:val="20"/>
          <w:szCs w:val="20"/>
          <w:lang w:val="en-US"/>
        </w:rPr>
        <w:t xml:space="preserve"> and </w:t>
      </w:r>
      <w:r w:rsidR="00C006CA" w:rsidRPr="00EA6C7A">
        <w:rPr>
          <w:rFonts w:ascii="Verdana" w:eastAsia="Calibri" w:hAnsi="Verdana" w:cs="Tahoma"/>
          <w:sz w:val="20"/>
          <w:szCs w:val="20"/>
          <w:lang w:val="en-US"/>
        </w:rPr>
        <w:t>full reparation, as a result of the failure to investigate, prosecute and punish those presumed to be responsible for the massacre.</w:t>
      </w:r>
      <w:r w:rsidRPr="00EA6C7A">
        <w:rPr>
          <w:rFonts w:ascii="Verdana" w:eastAsia="Calibri" w:hAnsi="Verdana" w:cs="Tahoma"/>
          <w:sz w:val="20"/>
          <w:szCs w:val="20"/>
          <w:vertAlign w:val="superscript"/>
          <w:lang w:val="en-US"/>
        </w:rPr>
        <w:footnoteReference w:id="387"/>
      </w:r>
      <w:r w:rsidRPr="00EA6C7A">
        <w:rPr>
          <w:rFonts w:ascii="Verdana" w:eastAsia="Calibri" w:hAnsi="Verdana" w:cs="Tahoma"/>
          <w:sz w:val="20"/>
          <w:szCs w:val="20"/>
          <w:lang w:val="en-US"/>
        </w:rPr>
        <w:t xml:space="preserve"> </w:t>
      </w:r>
    </w:p>
    <w:p w14:paraId="64583331" w14:textId="77777777" w:rsidR="00175ABB" w:rsidRPr="00EA6C7A" w:rsidRDefault="00175ABB" w:rsidP="00175ABB">
      <w:pPr>
        <w:autoSpaceDE w:val="0"/>
        <w:autoSpaceDN w:val="0"/>
        <w:adjustRightInd w:val="0"/>
        <w:spacing w:after="0" w:line="240" w:lineRule="auto"/>
        <w:jc w:val="both"/>
        <w:rPr>
          <w:rFonts w:ascii="Verdana" w:eastAsia="Calibri" w:hAnsi="Verdana" w:cs="Tahoma"/>
          <w:sz w:val="20"/>
          <w:szCs w:val="20"/>
          <w:lang w:val="en-US"/>
        </w:rPr>
      </w:pPr>
    </w:p>
    <w:p w14:paraId="26B0D677"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11. </w:t>
      </w:r>
      <w:r w:rsidRPr="00EA6C7A">
        <w:rPr>
          <w:rFonts w:ascii="Verdana" w:eastAsia="Calibri" w:hAnsi="Verdana" w:cs="Tahoma"/>
          <w:sz w:val="20"/>
          <w:szCs w:val="20"/>
          <w:lang w:val="en-US"/>
        </w:rPr>
        <w:tab/>
      </w:r>
      <w:r w:rsidR="00C006CA" w:rsidRPr="00EA6C7A">
        <w:rPr>
          <w:rFonts w:ascii="Verdana" w:eastAsia="Calibri" w:hAnsi="Verdana" w:cs="Tahoma"/>
          <w:sz w:val="20"/>
          <w:szCs w:val="20"/>
          <w:lang w:val="en-US"/>
        </w:rPr>
        <w:t>In</w:t>
      </w:r>
      <w:r w:rsidRPr="00EA6C7A">
        <w:rPr>
          <w:rFonts w:ascii="Verdana" w:eastAsia="Calibri" w:hAnsi="Verdana" w:cs="Tahoma"/>
          <w:sz w:val="20"/>
          <w:szCs w:val="20"/>
          <w:lang w:val="en-US"/>
        </w:rPr>
        <w:t xml:space="preserve"> 2010, </w:t>
      </w:r>
      <w:r w:rsidR="00D5307F" w:rsidRPr="00EA6C7A">
        <w:rPr>
          <w:rFonts w:ascii="Verdana" w:eastAsia="Calibri" w:hAnsi="Verdana" w:cs="Tahoma"/>
          <w:sz w:val="20"/>
          <w:szCs w:val="20"/>
          <w:lang w:val="en-US"/>
        </w:rPr>
        <w:t>in the cases of</w:t>
      </w:r>
      <w:r w:rsidRPr="00EA6C7A">
        <w:rPr>
          <w:rFonts w:ascii="Verdana" w:eastAsia="Calibri" w:hAnsi="Verdana" w:cs="Tahoma"/>
          <w:i/>
          <w:sz w:val="20"/>
          <w:szCs w:val="20"/>
          <w:lang w:val="en-US"/>
        </w:rPr>
        <w:t xml:space="preserve"> </w:t>
      </w:r>
      <w:r w:rsidRPr="00EA6C7A">
        <w:rPr>
          <w:rFonts w:ascii="Verdana" w:eastAsia="Calibri" w:hAnsi="Verdana" w:cs="Tahoma"/>
          <w:bCs/>
          <w:i/>
          <w:color w:val="000000"/>
          <w:sz w:val="20"/>
          <w:szCs w:val="20"/>
          <w:shd w:val="clear" w:color="auto" w:fill="FFFFFF"/>
          <w:lang w:val="en-US"/>
        </w:rPr>
        <w:t>Fernández Ortega</w:t>
      </w:r>
      <w:r w:rsidR="00D948A1" w:rsidRPr="00EA6C7A">
        <w:rPr>
          <w:rFonts w:ascii="Verdana" w:eastAsia="Calibri" w:hAnsi="Verdana" w:cs="Tahoma"/>
          <w:bCs/>
          <w:i/>
          <w:color w:val="000000"/>
          <w:sz w:val="20"/>
          <w:szCs w:val="20"/>
          <w:shd w:val="clear" w:color="auto" w:fill="FFFFFF"/>
          <w:lang w:val="en-US"/>
        </w:rPr>
        <w:t xml:space="preserve"> </w:t>
      </w:r>
      <w:r w:rsidR="00C006CA" w:rsidRPr="00EA6C7A">
        <w:rPr>
          <w:rFonts w:ascii="Verdana" w:eastAsia="Calibri" w:hAnsi="Verdana" w:cs="Tahoma"/>
          <w:bCs/>
          <w:i/>
          <w:color w:val="000000"/>
          <w:sz w:val="20"/>
          <w:szCs w:val="20"/>
          <w:shd w:val="clear" w:color="auto" w:fill="FFFFFF"/>
          <w:lang w:val="en-US"/>
        </w:rPr>
        <w:t>et al.</w:t>
      </w:r>
      <w:r w:rsidRPr="00EA6C7A">
        <w:rPr>
          <w:rFonts w:ascii="Verdana" w:eastAsia="Calibri" w:hAnsi="Verdana" w:cs="Tahoma"/>
          <w:bCs/>
          <w:color w:val="000000"/>
          <w:sz w:val="20"/>
          <w:szCs w:val="20"/>
          <w:shd w:val="clear" w:color="auto" w:fill="FFFFFF"/>
          <w:vertAlign w:val="superscript"/>
          <w:lang w:val="en-US"/>
        </w:rPr>
        <w:footnoteReference w:id="388"/>
      </w:r>
      <w:r w:rsidR="00D948A1" w:rsidRPr="00EA6C7A">
        <w:rPr>
          <w:rFonts w:ascii="Verdana" w:eastAsia="Calibri" w:hAnsi="Verdana" w:cs="Tahoma"/>
          <w:bCs/>
          <w:i/>
          <w:color w:val="000000"/>
          <w:sz w:val="20"/>
          <w:szCs w:val="20"/>
          <w:shd w:val="clear" w:color="auto" w:fill="FFFFFF"/>
          <w:lang w:val="en-US"/>
        </w:rPr>
        <w:t xml:space="preserve"> </w:t>
      </w:r>
      <w:r w:rsidR="00D948A1" w:rsidRPr="00EA6C7A">
        <w:rPr>
          <w:rFonts w:ascii="Verdana" w:eastAsia="Calibri" w:hAnsi="Verdana" w:cs="Tahoma"/>
          <w:bCs/>
          <w:iCs/>
          <w:color w:val="000000"/>
          <w:sz w:val="20"/>
          <w:szCs w:val="20"/>
          <w:shd w:val="clear" w:color="auto" w:fill="FFFFFF"/>
          <w:lang w:val="en-US"/>
        </w:rPr>
        <w:t xml:space="preserve">and </w:t>
      </w:r>
      <w:r w:rsidRPr="00EA6C7A">
        <w:rPr>
          <w:rFonts w:ascii="Verdana" w:eastAsia="Calibri" w:hAnsi="Verdana" w:cs="Tahoma"/>
          <w:bCs/>
          <w:i/>
          <w:color w:val="000000"/>
          <w:sz w:val="20"/>
          <w:szCs w:val="20"/>
          <w:shd w:val="clear" w:color="auto" w:fill="FFFFFF"/>
          <w:lang w:val="en-US"/>
        </w:rPr>
        <w:t>Rosendo Cantú</w:t>
      </w:r>
      <w:r w:rsidR="00D948A1" w:rsidRPr="00EA6C7A">
        <w:rPr>
          <w:rFonts w:ascii="Verdana" w:eastAsia="Calibri" w:hAnsi="Verdana" w:cs="Tahoma"/>
          <w:bCs/>
          <w:i/>
          <w:color w:val="000000"/>
          <w:sz w:val="20"/>
          <w:szCs w:val="20"/>
          <w:shd w:val="clear" w:color="auto" w:fill="FFFFFF"/>
          <w:lang w:val="en-US"/>
        </w:rPr>
        <w:t xml:space="preserve"> </w:t>
      </w:r>
      <w:r w:rsidR="00C006CA" w:rsidRPr="00EA6C7A">
        <w:rPr>
          <w:rFonts w:ascii="Verdana" w:eastAsia="Calibri" w:hAnsi="Verdana" w:cs="Tahoma"/>
          <w:bCs/>
          <w:i/>
          <w:color w:val="000000"/>
          <w:sz w:val="20"/>
          <w:szCs w:val="20"/>
          <w:shd w:val="clear" w:color="auto" w:fill="FFFFFF"/>
          <w:lang w:val="en-US"/>
        </w:rPr>
        <w:t>et al.,</w:t>
      </w:r>
      <w:r w:rsidRPr="00EA6C7A">
        <w:rPr>
          <w:rFonts w:ascii="Verdana" w:eastAsia="Calibri" w:hAnsi="Verdana" w:cs="Tahoma"/>
          <w:bCs/>
          <w:color w:val="000000"/>
          <w:sz w:val="20"/>
          <w:szCs w:val="20"/>
          <w:shd w:val="clear" w:color="auto" w:fill="FFFFFF"/>
          <w:vertAlign w:val="superscript"/>
          <w:lang w:val="en-US"/>
        </w:rPr>
        <w:footnoteReference w:id="389"/>
      </w:r>
      <w:r w:rsidRPr="00EA6C7A">
        <w:rPr>
          <w:rFonts w:ascii="Verdana" w:eastAsia="Calibri" w:hAnsi="Verdana" w:cs="Tahoma"/>
          <w:bCs/>
          <w:color w:val="000000"/>
          <w:sz w:val="20"/>
          <w:szCs w:val="20"/>
          <w:shd w:val="clear" w:color="auto" w:fill="FFFFFF"/>
          <w:lang w:val="en-US"/>
        </w:rPr>
        <w:t xml:space="preserve"> </w:t>
      </w:r>
      <w:r w:rsidR="00C006CA" w:rsidRPr="00EA6C7A">
        <w:rPr>
          <w:rFonts w:ascii="Verdana" w:eastAsia="Calibri" w:hAnsi="Verdana" w:cs="Tahoma"/>
          <w:bCs/>
          <w:color w:val="000000"/>
          <w:sz w:val="20"/>
          <w:szCs w:val="20"/>
          <w:shd w:val="clear" w:color="auto" w:fill="FFFFFF"/>
          <w:lang w:val="en-US"/>
        </w:rPr>
        <w:t>both against</w:t>
      </w:r>
      <w:r w:rsidRPr="00EA6C7A">
        <w:rPr>
          <w:rFonts w:ascii="Verdana" w:eastAsia="Calibri" w:hAnsi="Verdana" w:cs="Tahoma"/>
          <w:bCs/>
          <w:color w:val="000000"/>
          <w:sz w:val="20"/>
          <w:szCs w:val="20"/>
          <w:shd w:val="clear" w:color="auto" w:fill="FFFFFF"/>
          <w:lang w:val="en-US"/>
        </w:rPr>
        <w:t xml:space="preserve"> </w:t>
      </w:r>
      <w:r w:rsidR="001914FC" w:rsidRPr="00EA6C7A">
        <w:rPr>
          <w:rFonts w:ascii="Verdana" w:eastAsia="Calibri" w:hAnsi="Verdana" w:cs="Tahoma"/>
          <w:bCs/>
          <w:color w:val="000000"/>
          <w:sz w:val="20"/>
          <w:szCs w:val="20"/>
          <w:shd w:val="clear" w:color="auto" w:fill="FFFFFF"/>
          <w:lang w:val="en-US"/>
        </w:rPr>
        <w:t>Mexico</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the Court</w:t>
      </w:r>
      <w:r w:rsidR="00C006CA" w:rsidRPr="00EA6C7A">
        <w:rPr>
          <w:rFonts w:ascii="Verdana" w:eastAsia="Calibri" w:hAnsi="Verdana" w:cs="Tahoma"/>
          <w:bCs/>
          <w:color w:val="000000"/>
          <w:sz w:val="20"/>
          <w:szCs w:val="20"/>
          <w:shd w:val="clear" w:color="auto" w:fill="FFFFFF"/>
          <w:lang w:val="en-US"/>
        </w:rPr>
        <w:t xml:space="preserve">, for the first time, declared the violation of paragraph (a) of Article </w:t>
      </w:r>
      <w:r w:rsidRPr="00EA6C7A">
        <w:rPr>
          <w:rFonts w:ascii="Verdana" w:eastAsia="Calibri" w:hAnsi="Verdana" w:cs="Tahoma"/>
          <w:bCs/>
          <w:color w:val="000000"/>
          <w:sz w:val="20"/>
          <w:szCs w:val="20"/>
          <w:shd w:val="clear" w:color="auto" w:fill="FFFFFF"/>
          <w:lang w:val="en-US"/>
        </w:rPr>
        <w:t>7</w:t>
      </w:r>
      <w:r w:rsidR="00D5307F"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w:t>
      </w:r>
      <w:r w:rsidR="00C006CA" w:rsidRPr="00EA6C7A">
        <w:rPr>
          <w:rFonts w:ascii="Verdana" w:eastAsia="Calibri" w:hAnsi="Verdana" w:cs="Tahoma"/>
          <w:bCs/>
          <w:color w:val="000000"/>
          <w:sz w:val="20"/>
          <w:szCs w:val="20"/>
          <w:shd w:val="clear" w:color="auto" w:fill="FFFFFF"/>
          <w:lang w:val="en-US"/>
        </w:rPr>
        <w:t xml:space="preserve"> as a result of rape perpetrated by soldiers.</w:t>
      </w:r>
      <w:r w:rsidRPr="00EA6C7A">
        <w:rPr>
          <w:rFonts w:ascii="Verdana" w:eastAsia="Calibri" w:hAnsi="Verdana" w:cs="Tahoma"/>
          <w:sz w:val="20"/>
          <w:szCs w:val="20"/>
          <w:vertAlign w:val="superscript"/>
          <w:lang w:val="en-US"/>
        </w:rPr>
        <w:footnoteReference w:id="390"/>
      </w:r>
      <w:r w:rsidRPr="00EA6C7A">
        <w:rPr>
          <w:rFonts w:ascii="Verdana" w:eastAsia="Calibri" w:hAnsi="Verdana" w:cs="Tahoma"/>
          <w:bCs/>
          <w:color w:val="000000"/>
          <w:sz w:val="20"/>
          <w:szCs w:val="20"/>
          <w:shd w:val="clear" w:color="auto" w:fill="FFFFFF"/>
          <w:lang w:val="en-US"/>
        </w:rPr>
        <w:t xml:space="preserve"> </w:t>
      </w:r>
      <w:r w:rsidR="00C006CA" w:rsidRPr="00EA6C7A">
        <w:rPr>
          <w:rFonts w:ascii="Verdana" w:eastAsia="Calibri" w:hAnsi="Verdana" w:cs="Tahoma"/>
          <w:bCs/>
          <w:color w:val="000000"/>
          <w:sz w:val="20"/>
          <w:szCs w:val="20"/>
          <w:shd w:val="clear" w:color="auto" w:fill="FFFFFF"/>
          <w:lang w:val="en-US"/>
        </w:rPr>
        <w:t xml:space="preserve">In both cases, the Court also declared the violation of  </w:t>
      </w:r>
      <w:r w:rsidR="00515C34" w:rsidRPr="00EA6C7A">
        <w:rPr>
          <w:rFonts w:ascii="Verdana" w:eastAsia="Calibri" w:hAnsi="Verdana" w:cs="Tahoma"/>
          <w:sz w:val="20"/>
          <w:szCs w:val="20"/>
          <w:lang w:val="en-US"/>
        </w:rPr>
        <w:t>Articles 8(1)</w:t>
      </w:r>
      <w:r w:rsidR="00D948A1" w:rsidRPr="00EA6C7A">
        <w:rPr>
          <w:rFonts w:ascii="Verdana" w:eastAsia="Calibri" w:hAnsi="Verdana" w:cs="Tahoma"/>
          <w:sz w:val="20"/>
          <w:szCs w:val="20"/>
          <w:lang w:val="en-US"/>
        </w:rPr>
        <w:t xml:space="preserve"> and </w:t>
      </w:r>
      <w:r w:rsidR="00715B6F" w:rsidRPr="00EA6C7A">
        <w:rPr>
          <w:rFonts w:ascii="Verdana" w:eastAsia="Calibri" w:hAnsi="Verdana" w:cs="Tahoma"/>
          <w:sz w:val="20"/>
          <w:szCs w:val="20"/>
          <w:lang w:val="en-US"/>
        </w:rPr>
        <w:t>25(1)</w:t>
      </w:r>
      <w:r w:rsidR="00D5307F" w:rsidRPr="00EA6C7A">
        <w:rPr>
          <w:rFonts w:ascii="Verdana" w:eastAsia="Calibri" w:hAnsi="Verdana" w:cs="Tahoma"/>
          <w:sz w:val="20"/>
          <w:szCs w:val="20"/>
          <w:lang w:val="en-US"/>
        </w:rPr>
        <w:t xml:space="preserve"> </w:t>
      </w:r>
      <w:r w:rsidR="002B325A" w:rsidRPr="00EA6C7A">
        <w:rPr>
          <w:rFonts w:ascii="Verdana" w:eastAsia="Calibri" w:hAnsi="Verdana" w:cs="Tahoma"/>
          <w:sz w:val="20"/>
          <w:szCs w:val="20"/>
          <w:lang w:val="en-US"/>
        </w:rPr>
        <w:t>in relation to Article</w:t>
      </w:r>
      <w:r w:rsidR="00515C34" w:rsidRPr="00EA6C7A">
        <w:rPr>
          <w:rFonts w:ascii="Verdana" w:eastAsia="Calibri" w:hAnsi="Verdana" w:cs="Tahoma"/>
          <w:sz w:val="20"/>
          <w:szCs w:val="20"/>
          <w:lang w:val="en-US"/>
        </w:rPr>
        <w:t xml:space="preserve"> 1(1)</w:t>
      </w:r>
      <w:r w:rsidR="00C006CA" w:rsidRPr="00EA6C7A">
        <w:rPr>
          <w:rFonts w:ascii="Verdana" w:eastAsia="Calibri" w:hAnsi="Verdana" w:cs="Tahoma"/>
          <w:sz w:val="20"/>
          <w:szCs w:val="20"/>
          <w:lang w:val="en-US"/>
        </w:rPr>
        <w:t xml:space="preserve"> of the Convention</w:t>
      </w:r>
      <w:r w:rsidR="00D948A1" w:rsidRPr="00EA6C7A">
        <w:rPr>
          <w:rFonts w:ascii="Verdana" w:eastAsia="Calibri" w:hAnsi="Verdana" w:cs="Tahoma"/>
          <w:sz w:val="20"/>
          <w:szCs w:val="20"/>
          <w:lang w:val="en-US"/>
        </w:rPr>
        <w:t xml:space="preserve"> and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7(b)</w:t>
      </w:r>
      <w:r w:rsidR="00D5307F" w:rsidRPr="00EA6C7A">
        <w:rPr>
          <w:rFonts w:ascii="Verdana" w:eastAsia="Calibri" w:hAnsi="Verdana" w:cs="Tahoma"/>
          <w:sz w:val="20"/>
          <w:szCs w:val="20"/>
          <w:lang w:val="en-US"/>
        </w:rPr>
        <w:t xml:space="preserve"> 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w:t>
      </w:r>
      <w:r w:rsidR="00C006CA"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w:t>
      </w:r>
      <w:r w:rsidR="00C006CA" w:rsidRPr="00EA6C7A">
        <w:rPr>
          <w:rFonts w:ascii="Verdana" w:eastAsia="Calibri" w:hAnsi="Verdana" w:cs="Tahoma"/>
          <w:bCs/>
          <w:color w:val="000000"/>
          <w:sz w:val="20"/>
          <w:szCs w:val="20"/>
          <w:shd w:val="clear" w:color="auto" w:fill="FFFFFF"/>
          <w:lang w:val="en-US"/>
        </w:rPr>
        <w:t xml:space="preserve"> due to </w:t>
      </w:r>
      <w:r w:rsidR="00C006CA" w:rsidRPr="00EA6C7A">
        <w:rPr>
          <w:rFonts w:ascii="Verdana" w:eastAsia="Calibri" w:hAnsi="Verdana" w:cs="Tahoma"/>
          <w:bCs/>
          <w:color w:val="000000"/>
          <w:sz w:val="20"/>
          <w:szCs w:val="20"/>
          <w:shd w:val="clear" w:color="auto" w:fill="FFFFFF"/>
          <w:lang w:val="en-US"/>
        </w:rPr>
        <w:lastRenderedPageBreak/>
        <w:t>the lack of due diligence in the investigation of the rape and</w:t>
      </w:r>
      <w:r w:rsidR="00ED2349" w:rsidRPr="00EA6C7A">
        <w:rPr>
          <w:rFonts w:ascii="Verdana" w:eastAsia="Calibri" w:hAnsi="Verdana" w:cs="Tahoma"/>
          <w:bCs/>
          <w:color w:val="000000"/>
          <w:sz w:val="20"/>
          <w:szCs w:val="20"/>
          <w:shd w:val="clear" w:color="auto" w:fill="FFFFFF"/>
          <w:lang w:val="en-US"/>
        </w:rPr>
        <w:t xml:space="preserve"> </w:t>
      </w:r>
      <w:r w:rsidR="00C006CA" w:rsidRPr="00EA6C7A">
        <w:rPr>
          <w:rFonts w:ascii="Verdana" w:eastAsia="Calibri" w:hAnsi="Verdana" w:cs="Tahoma"/>
          <w:bCs/>
          <w:color w:val="000000"/>
          <w:sz w:val="20"/>
          <w:szCs w:val="20"/>
          <w:shd w:val="clear" w:color="auto" w:fill="FFFFFF"/>
          <w:lang w:val="en-US"/>
        </w:rPr>
        <w:t>acts of torture inflicted on the victims.</w:t>
      </w:r>
      <w:r w:rsidRPr="00EA6C7A">
        <w:rPr>
          <w:rFonts w:ascii="Verdana" w:eastAsia="Calibri" w:hAnsi="Verdana" w:cs="Tahoma"/>
          <w:sz w:val="20"/>
          <w:szCs w:val="20"/>
          <w:vertAlign w:val="superscript"/>
          <w:lang w:val="en-US"/>
        </w:rPr>
        <w:footnoteReference w:id="391"/>
      </w:r>
    </w:p>
    <w:p w14:paraId="692049C7"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p>
    <w:p w14:paraId="16BB3A20"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bCs/>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12. </w:t>
      </w:r>
      <w:r w:rsidRPr="00EA6C7A">
        <w:rPr>
          <w:rFonts w:ascii="Verdana" w:eastAsia="Calibri" w:hAnsi="Verdana" w:cs="Tahoma"/>
          <w:bCs/>
          <w:color w:val="000000"/>
          <w:sz w:val="20"/>
          <w:szCs w:val="20"/>
          <w:shd w:val="clear" w:color="auto" w:fill="FFFFFF"/>
          <w:lang w:val="en-US"/>
        </w:rPr>
        <w:tab/>
      </w:r>
      <w:r w:rsidR="00C006CA" w:rsidRPr="00EA6C7A">
        <w:rPr>
          <w:rFonts w:ascii="Verdana" w:eastAsia="Calibri" w:hAnsi="Verdana" w:cs="Tahoma"/>
          <w:bCs/>
          <w:color w:val="000000"/>
          <w:sz w:val="20"/>
          <w:szCs w:val="20"/>
          <w:shd w:val="clear" w:color="auto" w:fill="FFFFFF"/>
          <w:lang w:val="en-US"/>
        </w:rPr>
        <w:t xml:space="preserve">Subsequently, in 2012, the Court examined violations of </w:t>
      </w:r>
      <w:r w:rsidR="0096418F"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w:t>
      </w:r>
      <w:r w:rsidR="005F2D0A" w:rsidRPr="00EA6C7A">
        <w:rPr>
          <w:rFonts w:ascii="Verdana" w:eastAsia="Calibri" w:hAnsi="Verdana" w:cs="Tahoma"/>
          <w:bCs/>
          <w:color w:val="000000"/>
          <w:sz w:val="20"/>
          <w:szCs w:val="20"/>
          <w:shd w:val="clear" w:color="auto" w:fill="FFFFFF"/>
          <w:lang w:val="en-US"/>
        </w:rPr>
        <w:t>7(b)</w:t>
      </w:r>
      <w:r w:rsidR="00D5307F"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 </w:t>
      </w:r>
      <w:r w:rsidR="00C006CA" w:rsidRPr="00EA6C7A">
        <w:rPr>
          <w:rFonts w:ascii="Verdana" w:eastAsia="Calibri" w:hAnsi="Verdana" w:cs="Tahoma"/>
          <w:bCs/>
          <w:color w:val="000000"/>
          <w:sz w:val="20"/>
          <w:szCs w:val="20"/>
          <w:shd w:val="clear" w:color="auto" w:fill="FFFFFF"/>
          <w:lang w:val="en-US"/>
        </w:rPr>
        <w:t xml:space="preserve">while hearing the cases of the </w:t>
      </w:r>
      <w:r w:rsidRPr="00EA6C7A">
        <w:rPr>
          <w:rFonts w:ascii="Verdana" w:eastAsia="Calibri" w:hAnsi="Verdana" w:cs="Tahoma"/>
          <w:bCs/>
          <w:i/>
          <w:color w:val="000000"/>
          <w:sz w:val="20"/>
          <w:szCs w:val="20"/>
          <w:shd w:val="clear" w:color="auto" w:fill="FFFFFF"/>
          <w:lang w:val="en-US"/>
        </w:rPr>
        <w:t>Río Negro</w:t>
      </w:r>
      <w:r w:rsidR="00C006CA" w:rsidRPr="00EA6C7A">
        <w:rPr>
          <w:rFonts w:ascii="Verdana" w:eastAsia="Calibri" w:hAnsi="Verdana" w:cs="Tahoma"/>
          <w:bCs/>
          <w:i/>
          <w:color w:val="000000"/>
          <w:sz w:val="20"/>
          <w:szCs w:val="20"/>
          <w:shd w:val="clear" w:color="auto" w:fill="FFFFFF"/>
          <w:lang w:val="en-US"/>
        </w:rPr>
        <w:t xml:space="preserve"> Massacres</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Guatemala</w:t>
      </w:r>
      <w:r w:rsidR="00C006CA"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i/>
          <w:sz w:val="20"/>
          <w:szCs w:val="20"/>
          <w:vertAlign w:val="superscript"/>
          <w:lang w:val="en-US"/>
        </w:rPr>
        <w:footnoteReference w:id="392"/>
      </w:r>
      <w:r w:rsidR="00C006CA" w:rsidRPr="00EA6C7A">
        <w:rPr>
          <w:rFonts w:ascii="Verdana" w:eastAsia="Calibri" w:hAnsi="Verdana" w:cs="Tahoma"/>
          <w:bCs/>
          <w:i/>
          <w:color w:val="000000"/>
          <w:sz w:val="20"/>
          <w:szCs w:val="20"/>
          <w:shd w:val="clear" w:color="auto" w:fill="FFFFFF"/>
          <w:lang w:val="en-US"/>
        </w:rPr>
        <w:t xml:space="preserve"> </w:t>
      </w:r>
      <w:r w:rsidR="00C006CA" w:rsidRPr="00EA6C7A">
        <w:rPr>
          <w:rFonts w:ascii="Verdana" w:eastAsia="Calibri" w:hAnsi="Verdana" w:cs="Tahoma"/>
          <w:bCs/>
          <w:iCs/>
          <w:color w:val="000000"/>
          <w:sz w:val="20"/>
          <w:szCs w:val="20"/>
          <w:shd w:val="clear" w:color="auto" w:fill="FFFFFF"/>
          <w:lang w:val="en-US"/>
        </w:rPr>
        <w:t>the</w:t>
      </w:r>
      <w:r w:rsidRPr="00EA6C7A">
        <w:rPr>
          <w:rFonts w:ascii="Verdana" w:eastAsia="Calibri" w:hAnsi="Verdana" w:cs="Tahoma"/>
          <w:bCs/>
          <w:i/>
          <w:color w:val="000000"/>
          <w:sz w:val="20"/>
          <w:szCs w:val="20"/>
          <w:shd w:val="clear" w:color="auto" w:fill="FFFFFF"/>
          <w:lang w:val="en-US"/>
        </w:rPr>
        <w:t xml:space="preserve"> Ma</w:t>
      </w:r>
      <w:r w:rsidR="00C006CA" w:rsidRPr="00EA6C7A">
        <w:rPr>
          <w:rFonts w:ascii="Verdana" w:eastAsia="Calibri" w:hAnsi="Verdana" w:cs="Tahoma"/>
          <w:bCs/>
          <w:i/>
          <w:color w:val="000000"/>
          <w:sz w:val="20"/>
          <w:szCs w:val="20"/>
          <w:shd w:val="clear" w:color="auto" w:fill="FFFFFF"/>
          <w:lang w:val="en-US"/>
        </w:rPr>
        <w:t>s</w:t>
      </w:r>
      <w:r w:rsidRPr="00EA6C7A">
        <w:rPr>
          <w:rFonts w:ascii="Verdana" w:eastAsia="Calibri" w:hAnsi="Verdana" w:cs="Tahoma"/>
          <w:bCs/>
          <w:i/>
          <w:color w:val="000000"/>
          <w:sz w:val="20"/>
          <w:szCs w:val="20"/>
          <w:shd w:val="clear" w:color="auto" w:fill="FFFFFF"/>
          <w:lang w:val="en-US"/>
        </w:rPr>
        <w:t xml:space="preserve">sacres </w:t>
      </w:r>
      <w:r w:rsidR="00C006CA" w:rsidRPr="00EA6C7A">
        <w:rPr>
          <w:rFonts w:ascii="Verdana" w:eastAsia="Calibri" w:hAnsi="Verdana" w:cs="Tahoma"/>
          <w:bCs/>
          <w:i/>
          <w:color w:val="000000"/>
          <w:sz w:val="20"/>
          <w:szCs w:val="20"/>
          <w:shd w:val="clear" w:color="auto" w:fill="FFFFFF"/>
          <w:lang w:val="en-US"/>
        </w:rPr>
        <w:t>of</w:t>
      </w:r>
      <w:r w:rsidRPr="00EA6C7A">
        <w:rPr>
          <w:rFonts w:ascii="Verdana" w:eastAsia="Calibri" w:hAnsi="Verdana" w:cs="Tahoma"/>
          <w:bCs/>
          <w:i/>
          <w:color w:val="000000"/>
          <w:sz w:val="20"/>
          <w:szCs w:val="20"/>
          <w:shd w:val="clear" w:color="auto" w:fill="FFFFFF"/>
          <w:lang w:val="en-US"/>
        </w:rPr>
        <w:t xml:space="preserve"> El Mozote</w:t>
      </w:r>
      <w:r w:rsidR="00D948A1" w:rsidRPr="00EA6C7A">
        <w:rPr>
          <w:rFonts w:ascii="Verdana" w:eastAsia="Calibri" w:hAnsi="Verdana" w:cs="Tahoma"/>
          <w:bCs/>
          <w:i/>
          <w:color w:val="000000"/>
          <w:sz w:val="20"/>
          <w:szCs w:val="20"/>
          <w:shd w:val="clear" w:color="auto" w:fill="FFFFFF"/>
          <w:lang w:val="en-US"/>
        </w:rPr>
        <w:t xml:space="preserve"> and </w:t>
      </w:r>
      <w:r w:rsidR="00C006CA" w:rsidRPr="00EA6C7A">
        <w:rPr>
          <w:rFonts w:ascii="Verdana" w:eastAsia="Calibri" w:hAnsi="Verdana" w:cs="Tahoma"/>
          <w:bCs/>
          <w:i/>
          <w:color w:val="000000"/>
          <w:sz w:val="20"/>
          <w:szCs w:val="20"/>
          <w:shd w:val="clear" w:color="auto" w:fill="FFFFFF"/>
          <w:lang w:val="en-US"/>
        </w:rPr>
        <w:t xml:space="preserve">neighboring places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El Salvador</w:t>
      </w:r>
      <w:r w:rsidRPr="00EA6C7A">
        <w:rPr>
          <w:rFonts w:ascii="Verdana" w:eastAsia="Calibri" w:hAnsi="Verdana" w:cs="Tahoma"/>
          <w:bCs/>
          <w:color w:val="000000"/>
          <w:sz w:val="20"/>
          <w:szCs w:val="20"/>
          <w:shd w:val="clear" w:color="auto" w:fill="FFFFFF"/>
          <w:vertAlign w:val="superscript"/>
          <w:lang w:val="en-US"/>
        </w:rPr>
        <w:footnoteReference w:id="393"/>
      </w:r>
      <w:r w:rsidR="00D948A1" w:rsidRPr="00EA6C7A">
        <w:rPr>
          <w:rFonts w:ascii="Verdana" w:eastAsia="Calibri" w:hAnsi="Verdana" w:cs="Tahoma"/>
          <w:bCs/>
          <w:iCs/>
          <w:color w:val="000000"/>
          <w:sz w:val="20"/>
          <w:szCs w:val="20"/>
          <w:shd w:val="clear" w:color="auto" w:fill="FFFFFF"/>
          <w:lang w:val="en-US"/>
        </w:rPr>
        <w:t xml:space="preserve"> and </w:t>
      </w:r>
      <w:r w:rsidRPr="00EA6C7A">
        <w:rPr>
          <w:rFonts w:ascii="Verdana" w:eastAsia="Calibri" w:hAnsi="Verdana" w:cs="Tahoma"/>
          <w:bCs/>
          <w:i/>
          <w:sz w:val="20"/>
          <w:szCs w:val="20"/>
          <w:shd w:val="clear" w:color="auto" w:fill="FFFFFF"/>
          <w:lang w:val="en-US"/>
        </w:rPr>
        <w:t>Gudiel Álvarez</w:t>
      </w:r>
      <w:r w:rsidR="00D948A1" w:rsidRPr="00EA6C7A">
        <w:rPr>
          <w:rFonts w:ascii="Verdana" w:eastAsia="Calibri" w:hAnsi="Verdana" w:cs="Tahoma"/>
          <w:bCs/>
          <w:i/>
          <w:sz w:val="20"/>
          <w:szCs w:val="20"/>
          <w:shd w:val="clear" w:color="auto" w:fill="FFFFFF"/>
          <w:lang w:val="en-US"/>
        </w:rPr>
        <w:t xml:space="preserve"> </w:t>
      </w:r>
      <w:r w:rsidR="00C006CA" w:rsidRPr="00EA6C7A">
        <w:rPr>
          <w:rFonts w:ascii="Verdana" w:eastAsia="Calibri" w:hAnsi="Verdana" w:cs="Tahoma"/>
          <w:bCs/>
          <w:i/>
          <w:sz w:val="20"/>
          <w:szCs w:val="20"/>
          <w:shd w:val="clear" w:color="auto" w:fill="FFFFFF"/>
          <w:lang w:val="en-US"/>
        </w:rPr>
        <w:t>et al.</w:t>
      </w:r>
      <w:r w:rsidRPr="00EA6C7A">
        <w:rPr>
          <w:rFonts w:ascii="Verdana" w:eastAsia="Calibri" w:hAnsi="Verdana" w:cs="Tahoma"/>
          <w:bCs/>
          <w:i/>
          <w:sz w:val="20"/>
          <w:szCs w:val="20"/>
          <w:shd w:val="clear" w:color="auto" w:fill="FFFFFF"/>
          <w:lang w:val="en-US"/>
        </w:rPr>
        <w:t xml:space="preserve"> ("Diario Militar") </w:t>
      </w:r>
      <w:r w:rsidR="001914FC" w:rsidRPr="00EA6C7A">
        <w:rPr>
          <w:rFonts w:ascii="Verdana" w:eastAsia="Calibri" w:hAnsi="Verdana" w:cs="Tahoma"/>
          <w:bCs/>
          <w:i/>
          <w:sz w:val="20"/>
          <w:szCs w:val="20"/>
          <w:shd w:val="clear" w:color="auto" w:fill="FFFFFF"/>
          <w:lang w:val="en-US"/>
        </w:rPr>
        <w:t>v.</w:t>
      </w:r>
      <w:r w:rsidRPr="00EA6C7A">
        <w:rPr>
          <w:rFonts w:ascii="Verdana" w:eastAsia="Calibri" w:hAnsi="Verdana" w:cs="Tahoma"/>
          <w:bCs/>
          <w:i/>
          <w:sz w:val="20"/>
          <w:szCs w:val="20"/>
          <w:shd w:val="clear" w:color="auto" w:fill="FFFFFF"/>
          <w:lang w:val="en-US"/>
        </w:rPr>
        <w:t xml:space="preserve"> Guatemala</w:t>
      </w:r>
      <w:r w:rsidR="00C006CA" w:rsidRPr="00EA6C7A">
        <w:rPr>
          <w:rFonts w:ascii="Verdana" w:eastAsia="Calibri" w:hAnsi="Verdana" w:cs="Tahoma"/>
          <w:bCs/>
          <w:i/>
          <w:sz w:val="20"/>
          <w:szCs w:val="20"/>
          <w:shd w:val="clear" w:color="auto" w:fill="FFFFFF"/>
          <w:lang w:val="en-US"/>
        </w:rPr>
        <w:t>,</w:t>
      </w:r>
      <w:r w:rsidRPr="00EA6C7A">
        <w:rPr>
          <w:rFonts w:ascii="Verdana" w:eastAsia="Calibri" w:hAnsi="Verdana" w:cs="Tahoma"/>
          <w:bCs/>
          <w:sz w:val="20"/>
          <w:szCs w:val="20"/>
          <w:shd w:val="clear" w:color="auto" w:fill="FFFFFF"/>
          <w:vertAlign w:val="superscript"/>
          <w:lang w:val="en-US"/>
        </w:rPr>
        <w:footnoteReference w:id="394"/>
      </w:r>
      <w:r w:rsidRPr="00EA6C7A">
        <w:rPr>
          <w:rFonts w:ascii="Verdana" w:eastAsia="Calibri" w:hAnsi="Verdana" w:cs="Tahoma"/>
          <w:bCs/>
          <w:sz w:val="20"/>
          <w:szCs w:val="20"/>
          <w:shd w:val="clear" w:color="auto" w:fill="FFFFFF"/>
          <w:lang w:val="en-US"/>
        </w:rPr>
        <w:t xml:space="preserve"> </w:t>
      </w:r>
      <w:r w:rsidR="00C006CA" w:rsidRPr="00EA6C7A">
        <w:rPr>
          <w:rFonts w:ascii="Verdana" w:eastAsia="Calibri" w:hAnsi="Verdana" w:cs="Tahoma"/>
          <w:bCs/>
          <w:sz w:val="20"/>
          <w:szCs w:val="20"/>
          <w:shd w:val="clear" w:color="auto" w:fill="FFFFFF"/>
          <w:lang w:val="en-US"/>
        </w:rPr>
        <w:t xml:space="preserve">due to the failure to investigate facts related to torture, rape and other acts </w:t>
      </w:r>
      <w:r w:rsidRPr="00EA6C7A">
        <w:rPr>
          <w:rFonts w:ascii="Verdana" w:eastAsia="Calibri" w:hAnsi="Verdana" w:cs="Tahoma"/>
          <w:bCs/>
          <w:sz w:val="20"/>
          <w:szCs w:val="20"/>
          <w:shd w:val="clear" w:color="auto" w:fill="FFFFFF"/>
          <w:lang w:val="en-US"/>
        </w:rPr>
        <w:t>o</w:t>
      </w:r>
      <w:r w:rsidR="00C006CA" w:rsidRPr="00EA6C7A">
        <w:rPr>
          <w:rFonts w:ascii="Verdana" w:eastAsia="Calibri" w:hAnsi="Verdana" w:cs="Tahoma"/>
          <w:bCs/>
          <w:sz w:val="20"/>
          <w:szCs w:val="20"/>
          <w:shd w:val="clear" w:color="auto" w:fill="FFFFFF"/>
          <w:lang w:val="en-US"/>
        </w:rPr>
        <w:t xml:space="preserve">f </w:t>
      </w:r>
      <w:r w:rsidR="00C12C08" w:rsidRPr="00EA6C7A">
        <w:rPr>
          <w:rFonts w:ascii="Verdana" w:eastAsia="Calibri" w:hAnsi="Verdana" w:cs="Tahoma"/>
          <w:bCs/>
          <w:sz w:val="20"/>
          <w:szCs w:val="20"/>
          <w:shd w:val="clear" w:color="auto" w:fill="FFFFFF"/>
          <w:lang w:val="en-US"/>
        </w:rPr>
        <w:t>violence against women</w:t>
      </w:r>
      <w:r w:rsidR="00C006CA" w:rsidRPr="00EA6C7A">
        <w:rPr>
          <w:rFonts w:ascii="Verdana" w:eastAsia="Calibri" w:hAnsi="Verdana" w:cs="Tahoma"/>
          <w:bCs/>
          <w:sz w:val="20"/>
          <w:szCs w:val="20"/>
          <w:shd w:val="clear" w:color="auto" w:fill="FFFFFF"/>
          <w:lang w:val="en-US"/>
        </w:rPr>
        <w:t>.</w:t>
      </w:r>
      <w:r w:rsidRPr="00EA6C7A">
        <w:rPr>
          <w:rFonts w:ascii="Verdana" w:eastAsia="Calibri" w:hAnsi="Verdana" w:cs="Tahoma"/>
          <w:bCs/>
          <w:sz w:val="20"/>
          <w:szCs w:val="20"/>
          <w:shd w:val="clear" w:color="auto" w:fill="FFFFFF"/>
          <w:vertAlign w:val="superscript"/>
          <w:lang w:val="en-US"/>
        </w:rPr>
        <w:footnoteReference w:id="395"/>
      </w:r>
    </w:p>
    <w:p w14:paraId="27B1A782" w14:textId="77777777" w:rsidR="00175ABB" w:rsidRPr="00EA6C7A" w:rsidRDefault="00175ABB" w:rsidP="00175ABB">
      <w:pPr>
        <w:autoSpaceDE w:val="0"/>
        <w:autoSpaceDN w:val="0"/>
        <w:adjustRightInd w:val="0"/>
        <w:spacing w:after="0" w:line="240" w:lineRule="auto"/>
        <w:jc w:val="both"/>
        <w:rPr>
          <w:rFonts w:ascii="Verdana" w:eastAsia="Calibri" w:hAnsi="Verdana" w:cs="Tahoma"/>
          <w:bCs/>
          <w:sz w:val="20"/>
          <w:szCs w:val="20"/>
          <w:shd w:val="clear" w:color="auto" w:fill="FFFFFF"/>
          <w:lang w:val="en-US"/>
        </w:rPr>
      </w:pPr>
    </w:p>
    <w:p w14:paraId="6573DD72"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r w:rsidRPr="00EA6C7A">
        <w:rPr>
          <w:rFonts w:ascii="Verdana" w:eastAsia="Calibri" w:hAnsi="Verdana" w:cs="Tahoma"/>
          <w:bCs/>
          <w:sz w:val="20"/>
          <w:szCs w:val="20"/>
          <w:shd w:val="clear" w:color="auto" w:fill="FFFFFF"/>
          <w:lang w:val="en-US"/>
        </w:rPr>
        <w:t xml:space="preserve">13. </w:t>
      </w:r>
      <w:r w:rsidRPr="00EA6C7A">
        <w:rPr>
          <w:rFonts w:ascii="Verdana" w:eastAsia="Calibri" w:hAnsi="Verdana" w:cs="Tahoma"/>
          <w:bCs/>
          <w:sz w:val="20"/>
          <w:szCs w:val="20"/>
          <w:shd w:val="clear" w:color="auto" w:fill="FFFFFF"/>
          <w:lang w:val="en-US"/>
        </w:rPr>
        <w:tab/>
      </w:r>
      <w:r w:rsidR="00C006CA" w:rsidRPr="00EA6C7A">
        <w:rPr>
          <w:rFonts w:ascii="Verdana" w:eastAsia="Calibri" w:hAnsi="Verdana" w:cs="Tahoma"/>
          <w:bCs/>
          <w:sz w:val="20"/>
          <w:szCs w:val="20"/>
          <w:shd w:val="clear" w:color="auto" w:fill="FFFFFF"/>
          <w:lang w:val="en-US"/>
        </w:rPr>
        <w:t xml:space="preserve">Following these rulings, in </w:t>
      </w:r>
      <w:r w:rsidRPr="00EA6C7A">
        <w:rPr>
          <w:rFonts w:ascii="Verdana" w:eastAsia="Calibri" w:hAnsi="Verdana" w:cs="Tahoma"/>
          <w:bCs/>
          <w:sz w:val="20"/>
          <w:szCs w:val="20"/>
          <w:shd w:val="clear" w:color="auto" w:fill="FFFFFF"/>
          <w:lang w:val="en-US"/>
        </w:rPr>
        <w:t xml:space="preserve">2013, </w:t>
      </w:r>
      <w:r w:rsidR="00D5307F" w:rsidRPr="00EA6C7A">
        <w:rPr>
          <w:rFonts w:ascii="Verdana" w:eastAsia="Calibri" w:hAnsi="Verdana" w:cs="Tahoma"/>
          <w:bCs/>
          <w:sz w:val="20"/>
          <w:szCs w:val="20"/>
          <w:shd w:val="clear" w:color="auto" w:fill="FFFFFF"/>
          <w:lang w:val="en-US"/>
        </w:rPr>
        <w:t>in the case of</w:t>
      </w:r>
      <w:r w:rsidRPr="00EA6C7A">
        <w:rPr>
          <w:rFonts w:ascii="Verdana" w:eastAsia="Calibri" w:hAnsi="Verdana" w:cs="Tahoma"/>
          <w:bCs/>
          <w:i/>
          <w:sz w:val="20"/>
          <w:szCs w:val="20"/>
          <w:shd w:val="clear" w:color="auto" w:fill="FFFFFF"/>
          <w:lang w:val="en-US"/>
        </w:rPr>
        <w:t xml:space="preserve"> J. v. </w:t>
      </w:r>
      <w:r w:rsidR="001914FC" w:rsidRPr="00EA6C7A">
        <w:rPr>
          <w:rFonts w:ascii="Verdana" w:eastAsia="Calibri" w:hAnsi="Verdana" w:cs="Tahoma"/>
          <w:bCs/>
          <w:i/>
          <w:sz w:val="20"/>
          <w:szCs w:val="20"/>
          <w:shd w:val="clear" w:color="auto" w:fill="FFFFFF"/>
          <w:lang w:val="en-US"/>
        </w:rPr>
        <w:t>Peru</w:t>
      </w:r>
      <w:r w:rsidR="00ED2349" w:rsidRPr="00EA6C7A">
        <w:rPr>
          <w:rFonts w:ascii="Verdana" w:eastAsia="Calibri" w:hAnsi="Verdana" w:cs="Tahoma"/>
          <w:bCs/>
          <w:i/>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396"/>
      </w:r>
      <w:r w:rsidRPr="00EA6C7A">
        <w:rPr>
          <w:rFonts w:ascii="Verdana" w:eastAsia="Calibri" w:hAnsi="Verdana" w:cs="Tahoma"/>
          <w:bCs/>
          <w:sz w:val="20"/>
          <w:szCs w:val="20"/>
          <w:shd w:val="clear" w:color="auto" w:fill="FFFFFF"/>
          <w:lang w:val="en-US"/>
        </w:rPr>
        <w:t xml:space="preserve"> </w:t>
      </w:r>
      <w:r w:rsidR="0096418F" w:rsidRPr="00EA6C7A">
        <w:rPr>
          <w:rFonts w:ascii="Verdana" w:eastAsia="Calibri" w:hAnsi="Verdana" w:cs="Tahoma"/>
          <w:sz w:val="20"/>
          <w:szCs w:val="20"/>
          <w:lang w:val="en-US"/>
        </w:rPr>
        <w:t>the Court</w:t>
      </w:r>
      <w:r w:rsidRPr="00EA6C7A">
        <w:rPr>
          <w:rFonts w:ascii="Verdana" w:eastAsia="Calibri" w:hAnsi="Verdana" w:cs="Tahoma"/>
          <w:sz w:val="20"/>
          <w:szCs w:val="20"/>
          <w:lang w:val="en-US"/>
        </w:rPr>
        <w:t xml:space="preserve"> declar</w:t>
      </w:r>
      <w:r w:rsidR="00A917BD" w:rsidRPr="00EA6C7A">
        <w:rPr>
          <w:rFonts w:ascii="Verdana" w:eastAsia="Calibri" w:hAnsi="Verdana" w:cs="Tahoma"/>
          <w:sz w:val="20"/>
          <w:szCs w:val="20"/>
          <w:lang w:val="en-US"/>
        </w:rPr>
        <w:t>ed</w:t>
      </w:r>
      <w:r w:rsidR="00ED2349" w:rsidRPr="00EA6C7A">
        <w:rPr>
          <w:rFonts w:ascii="Verdana" w:eastAsia="Calibri" w:hAnsi="Verdana" w:cs="Tahoma"/>
          <w:sz w:val="20"/>
          <w:szCs w:val="20"/>
          <w:lang w:val="en-US"/>
        </w:rPr>
        <w:t xml:space="preserve"> a</w:t>
      </w:r>
      <w:r w:rsidR="00A917BD" w:rsidRPr="00EA6C7A">
        <w:rPr>
          <w:rFonts w:ascii="Verdana" w:eastAsia="Calibri" w:hAnsi="Verdana" w:cs="Tahoma"/>
          <w:sz w:val="20"/>
          <w:szCs w:val="20"/>
          <w:lang w:val="en-US"/>
        </w:rPr>
        <w:t xml:space="preserve"> failure to comply with the obligation to ensure rights owing to an ineffective investigation into threats, </w:t>
      </w:r>
      <w:r w:rsidR="00ED2349" w:rsidRPr="00EA6C7A">
        <w:rPr>
          <w:rFonts w:ascii="Verdana" w:eastAsia="Calibri" w:hAnsi="Verdana" w:cs="Tahoma"/>
          <w:sz w:val="20"/>
          <w:szCs w:val="20"/>
          <w:lang w:val="en-US"/>
        </w:rPr>
        <w:t xml:space="preserve">and </w:t>
      </w:r>
      <w:r w:rsidR="00A917BD" w:rsidRPr="00EA6C7A">
        <w:rPr>
          <w:rFonts w:ascii="Verdana" w:eastAsia="Calibri" w:hAnsi="Verdana" w:cs="Tahoma"/>
          <w:sz w:val="20"/>
          <w:szCs w:val="20"/>
          <w:lang w:val="en-US"/>
        </w:rPr>
        <w:t xml:space="preserve">physical and sexual violence (which constituted violations of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5</w:t>
      </w:r>
      <w:r w:rsidR="00A917BD" w:rsidRPr="00EA6C7A">
        <w:rPr>
          <w:rFonts w:ascii="Verdana" w:eastAsia="Calibri" w:hAnsi="Verdana" w:cs="Tahoma"/>
          <w:sz w:val="20"/>
          <w:szCs w:val="20"/>
          <w:lang w:val="en-US"/>
        </w:rPr>
        <w:t>(</w:t>
      </w:r>
      <w:r w:rsidRPr="00EA6C7A">
        <w:rPr>
          <w:rFonts w:ascii="Verdana" w:eastAsia="Calibri" w:hAnsi="Verdana" w:cs="Tahoma"/>
          <w:sz w:val="20"/>
          <w:szCs w:val="20"/>
          <w:lang w:val="en-US"/>
        </w:rPr>
        <w:t>1</w:t>
      </w:r>
      <w:r w:rsidR="00A917BD" w:rsidRPr="00EA6C7A">
        <w:rPr>
          <w:rFonts w:ascii="Verdana" w:eastAsia="Calibri" w:hAnsi="Verdana" w:cs="Tahoma"/>
          <w:sz w:val="20"/>
          <w:szCs w:val="20"/>
          <w:lang w:val="en-US"/>
        </w:rPr>
        <w:t>)</w:t>
      </w:r>
      <w:r w:rsidRPr="00EA6C7A">
        <w:rPr>
          <w:rFonts w:ascii="Verdana" w:eastAsia="Calibri" w:hAnsi="Verdana" w:cs="Tahoma"/>
          <w:sz w:val="20"/>
          <w:szCs w:val="20"/>
          <w:lang w:val="en-US"/>
        </w:rPr>
        <w:t>, 5</w:t>
      </w:r>
      <w:r w:rsidR="00A917BD" w:rsidRPr="00EA6C7A">
        <w:rPr>
          <w:rFonts w:ascii="Verdana" w:eastAsia="Calibri" w:hAnsi="Verdana" w:cs="Tahoma"/>
          <w:sz w:val="20"/>
          <w:szCs w:val="20"/>
          <w:lang w:val="en-US"/>
        </w:rPr>
        <w:t>(2)</w:t>
      </w:r>
      <w:r w:rsidRPr="00EA6C7A">
        <w:rPr>
          <w:rFonts w:ascii="Verdana" w:eastAsia="Calibri" w:hAnsi="Verdana" w:cs="Tahoma"/>
          <w:sz w:val="20"/>
          <w:szCs w:val="20"/>
          <w:lang w:val="en-US"/>
        </w:rPr>
        <w:t>, 11</w:t>
      </w:r>
      <w:r w:rsidR="00A917BD" w:rsidRPr="00EA6C7A">
        <w:rPr>
          <w:rFonts w:ascii="Verdana" w:eastAsia="Calibri" w:hAnsi="Verdana" w:cs="Tahoma"/>
          <w:sz w:val="20"/>
          <w:szCs w:val="20"/>
          <w:lang w:val="en-US"/>
        </w:rPr>
        <w:t>(</w:t>
      </w:r>
      <w:r w:rsidRPr="00EA6C7A">
        <w:rPr>
          <w:rFonts w:ascii="Verdana" w:eastAsia="Calibri" w:hAnsi="Verdana" w:cs="Tahoma"/>
          <w:sz w:val="20"/>
          <w:szCs w:val="20"/>
          <w:lang w:val="en-US"/>
        </w:rPr>
        <w:t>1</w:t>
      </w:r>
      <w:r w:rsidR="00A917BD"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11</w:t>
      </w:r>
      <w:r w:rsidR="00A917BD" w:rsidRPr="00EA6C7A">
        <w:rPr>
          <w:rFonts w:ascii="Verdana" w:eastAsia="Calibri" w:hAnsi="Verdana" w:cs="Tahoma"/>
          <w:sz w:val="20"/>
          <w:szCs w:val="20"/>
          <w:lang w:val="en-US"/>
        </w:rPr>
        <w:t>(</w:t>
      </w:r>
      <w:r w:rsidRPr="00EA6C7A">
        <w:rPr>
          <w:rFonts w:ascii="Verdana" w:eastAsia="Calibri" w:hAnsi="Verdana" w:cs="Tahoma"/>
          <w:sz w:val="20"/>
          <w:szCs w:val="20"/>
          <w:lang w:val="en-US"/>
        </w:rPr>
        <w:t>2</w:t>
      </w:r>
      <w:r w:rsidR="00A917BD" w:rsidRPr="00EA6C7A">
        <w:rPr>
          <w:rFonts w:ascii="Verdana" w:eastAsia="Calibri" w:hAnsi="Verdana" w:cs="Tahoma"/>
          <w:sz w:val="20"/>
          <w:szCs w:val="20"/>
          <w:lang w:val="en-US"/>
        </w:rPr>
        <w:t>)</w:t>
      </w:r>
      <w:r w:rsidR="0096418F" w:rsidRPr="00EA6C7A">
        <w:rPr>
          <w:rFonts w:ascii="Verdana" w:eastAsia="Calibri" w:hAnsi="Verdana" w:cs="Tahoma"/>
          <w:sz w:val="20"/>
          <w:szCs w:val="20"/>
          <w:lang w:val="en-US"/>
        </w:rPr>
        <w:t xml:space="preserve"> of the American Convention</w:t>
      </w:r>
      <w:r w:rsidRPr="00EA6C7A">
        <w:rPr>
          <w:rFonts w:ascii="Verdana" w:eastAsia="Calibri" w:hAnsi="Verdana" w:cs="Tahoma"/>
          <w:sz w:val="20"/>
          <w:szCs w:val="20"/>
          <w:lang w:val="en-US"/>
        </w:rPr>
        <w:t>)</w:t>
      </w:r>
      <w:r w:rsidR="00A917BD" w:rsidRPr="00EA6C7A">
        <w:rPr>
          <w:rFonts w:ascii="Verdana" w:eastAsia="Calibri" w:hAnsi="Verdana" w:cs="Tahoma"/>
          <w:sz w:val="20"/>
          <w:szCs w:val="20"/>
          <w:lang w:val="en-US"/>
        </w:rPr>
        <w:t>,</w:t>
      </w:r>
      <w:r w:rsidRPr="00EA6C7A">
        <w:rPr>
          <w:rFonts w:ascii="Verdana" w:eastAsia="Calibri" w:hAnsi="Verdana" w:cs="Tahoma"/>
          <w:vertAlign w:val="superscript"/>
          <w:lang w:val="en-US"/>
        </w:rPr>
        <w:footnoteReference w:id="397"/>
      </w:r>
      <w:r w:rsidRPr="00EA6C7A">
        <w:rPr>
          <w:rFonts w:ascii="Verdana" w:eastAsia="Calibri" w:hAnsi="Verdana" w:cs="Tahoma"/>
          <w:sz w:val="20"/>
          <w:szCs w:val="20"/>
          <w:lang w:val="en-US"/>
        </w:rPr>
        <w:t xml:space="preserve"> </w:t>
      </w:r>
      <w:r w:rsidR="002B325A" w:rsidRPr="00EA6C7A">
        <w:rPr>
          <w:rFonts w:ascii="Verdana" w:eastAsia="Calibri" w:hAnsi="Verdana" w:cs="Tahoma"/>
          <w:sz w:val="20"/>
          <w:szCs w:val="20"/>
          <w:lang w:val="en-US"/>
        </w:rPr>
        <w:t>in relation to Article</w:t>
      </w:r>
      <w:r w:rsidR="00515C34" w:rsidRPr="00EA6C7A">
        <w:rPr>
          <w:rFonts w:ascii="Verdana" w:eastAsia="Calibri" w:hAnsi="Verdana" w:cs="Tahoma"/>
          <w:sz w:val="20"/>
          <w:szCs w:val="20"/>
          <w:lang w:val="en-US"/>
        </w:rPr>
        <w:t xml:space="preserve"> 1(1)</w:t>
      </w:r>
      <w:r w:rsidR="00D5307F" w:rsidRPr="00EA6C7A">
        <w:rPr>
          <w:rFonts w:ascii="Verdana" w:eastAsia="Calibri" w:hAnsi="Verdana" w:cs="Tahoma"/>
          <w:sz w:val="20"/>
          <w:szCs w:val="20"/>
          <w:lang w:val="en-US"/>
        </w:rPr>
        <w:t xml:space="preserve"> </w:t>
      </w:r>
      <w:r w:rsidR="00A917BD" w:rsidRPr="00EA6C7A">
        <w:rPr>
          <w:rFonts w:ascii="Verdana" w:eastAsia="Calibri" w:hAnsi="Verdana" w:cs="Tahoma"/>
          <w:sz w:val="20"/>
          <w:szCs w:val="20"/>
          <w:lang w:val="en-US"/>
        </w:rPr>
        <w:t>of this instrument,</w:t>
      </w:r>
      <w:r w:rsidR="00D948A1" w:rsidRPr="00EA6C7A">
        <w:rPr>
          <w:rFonts w:ascii="Verdana" w:eastAsia="Calibri" w:hAnsi="Verdana" w:cs="Tahoma"/>
          <w:sz w:val="20"/>
          <w:szCs w:val="20"/>
          <w:lang w:val="en-US"/>
        </w:rPr>
        <w:t xml:space="preserve"> and</w:t>
      </w:r>
      <w:r w:rsidRPr="00EA6C7A">
        <w:rPr>
          <w:rFonts w:ascii="Verdana" w:eastAsia="Calibri" w:hAnsi="Verdana" w:cs="Tahoma"/>
          <w:sz w:val="20"/>
          <w:szCs w:val="20"/>
          <w:lang w:val="en-US"/>
        </w:rPr>
        <w:t xml:space="preserve">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6</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8</w:t>
      </w:r>
      <w:r w:rsidR="0096418F" w:rsidRPr="00EA6C7A">
        <w:rPr>
          <w:rFonts w:ascii="Verdana" w:eastAsia="Calibri" w:hAnsi="Verdana" w:cs="Tahoma"/>
          <w:sz w:val="20"/>
          <w:szCs w:val="20"/>
          <w:lang w:val="en-US"/>
        </w:rPr>
        <w:t xml:space="preserve"> of the </w:t>
      </w:r>
      <w:r w:rsidR="00A917BD" w:rsidRPr="00EA6C7A">
        <w:rPr>
          <w:rFonts w:ascii="Verdana" w:eastAsia="Calibri" w:hAnsi="Verdana" w:cs="Tahoma"/>
          <w:sz w:val="20"/>
          <w:szCs w:val="20"/>
          <w:lang w:val="en-US"/>
        </w:rPr>
        <w:t>Inter-American Convention to Prevent and Punish Torture</w:t>
      </w:r>
      <w:r w:rsidR="00D948A1" w:rsidRPr="00EA6C7A">
        <w:rPr>
          <w:rFonts w:ascii="Verdana" w:eastAsia="Calibri" w:hAnsi="Verdana" w:cs="Tahoma"/>
          <w:sz w:val="20"/>
          <w:szCs w:val="20"/>
          <w:lang w:val="en-US"/>
        </w:rPr>
        <w:t xml:space="preserve"> and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7(b)</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“Conven</w:t>
      </w:r>
      <w:r w:rsidR="00A917BD" w:rsidRPr="00EA6C7A">
        <w:rPr>
          <w:rFonts w:ascii="Verdana" w:eastAsia="Calibri" w:hAnsi="Verdana" w:cs="Tahoma"/>
          <w:sz w:val="20"/>
          <w:szCs w:val="20"/>
          <w:lang w:val="en-US"/>
        </w:rPr>
        <w:t>tion of</w:t>
      </w:r>
      <w:r w:rsidRPr="00EA6C7A">
        <w:rPr>
          <w:rFonts w:ascii="Verdana" w:eastAsia="Calibri" w:hAnsi="Verdana" w:cs="Tahoma"/>
          <w:sz w:val="20"/>
          <w:szCs w:val="20"/>
          <w:lang w:val="en-US"/>
        </w:rPr>
        <w:t xml:space="preserve"> Belém do Pará</w:t>
      </w:r>
      <w:r w:rsidR="00ED2349" w:rsidRPr="00EA6C7A">
        <w:rPr>
          <w:rFonts w:ascii="Verdana" w:eastAsia="Calibri" w:hAnsi="Verdana" w:cs="Tahoma"/>
          <w:sz w:val="20"/>
          <w:szCs w:val="20"/>
          <w:lang w:val="en-US"/>
        </w:rPr>
        <w:t>.</w:t>
      </w:r>
      <w:r w:rsidRPr="00EA6C7A">
        <w:rPr>
          <w:rFonts w:ascii="Verdana" w:eastAsia="Calibri" w:hAnsi="Verdana" w:cs="Tahoma"/>
          <w:sz w:val="20"/>
          <w:szCs w:val="20"/>
          <w:lang w:val="en-US"/>
        </w:rPr>
        <w:t>”</w:t>
      </w:r>
    </w:p>
    <w:p w14:paraId="29035999" w14:textId="77777777" w:rsidR="00175ABB" w:rsidRPr="00EA6C7A" w:rsidRDefault="00175ABB" w:rsidP="00175ABB">
      <w:pPr>
        <w:autoSpaceDE w:val="0"/>
        <w:autoSpaceDN w:val="0"/>
        <w:adjustRightInd w:val="0"/>
        <w:spacing w:after="0" w:line="240" w:lineRule="auto"/>
        <w:jc w:val="both"/>
        <w:rPr>
          <w:rFonts w:ascii="Verdana" w:eastAsia="Calibri" w:hAnsi="Verdana" w:cs="Tahoma"/>
          <w:sz w:val="20"/>
          <w:szCs w:val="20"/>
          <w:lang w:val="en-US"/>
        </w:rPr>
      </w:pPr>
    </w:p>
    <w:p w14:paraId="00910DBD"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14. </w:t>
      </w:r>
      <w:r w:rsidRPr="00EA6C7A">
        <w:rPr>
          <w:rFonts w:ascii="Verdana" w:eastAsia="Calibri" w:hAnsi="Verdana" w:cs="Tahoma"/>
          <w:sz w:val="20"/>
          <w:szCs w:val="20"/>
          <w:lang w:val="en-US"/>
        </w:rPr>
        <w:tab/>
      </w:r>
      <w:r w:rsidR="00ED2349" w:rsidRPr="00EA6C7A">
        <w:rPr>
          <w:rFonts w:ascii="Verdana" w:eastAsia="Calibri" w:hAnsi="Verdana" w:cs="Tahoma"/>
          <w:sz w:val="20"/>
          <w:szCs w:val="20"/>
          <w:lang w:val="en-US"/>
        </w:rPr>
        <w:t>I</w:t>
      </w:r>
      <w:r w:rsidRPr="00EA6C7A">
        <w:rPr>
          <w:rFonts w:ascii="Verdana" w:eastAsia="Calibri" w:hAnsi="Verdana" w:cs="Tahoma"/>
          <w:sz w:val="20"/>
          <w:szCs w:val="20"/>
          <w:lang w:val="en-US"/>
        </w:rPr>
        <w:t xml:space="preserve">n 2014, </w:t>
      </w:r>
      <w:r w:rsidR="00D5307F" w:rsidRPr="00EA6C7A">
        <w:rPr>
          <w:rFonts w:ascii="Verdana" w:eastAsia="Calibri" w:hAnsi="Verdana" w:cs="Tahoma"/>
          <w:sz w:val="20"/>
          <w:szCs w:val="20"/>
          <w:lang w:val="en-US"/>
        </w:rPr>
        <w:t>in the case of</w:t>
      </w:r>
      <w:r w:rsidRPr="00EA6C7A">
        <w:rPr>
          <w:rFonts w:ascii="Verdana" w:eastAsia="Calibri" w:hAnsi="Verdana" w:cs="Tahoma"/>
          <w:b/>
          <w:bCs/>
          <w:i/>
          <w:color w:val="000000"/>
          <w:sz w:val="20"/>
          <w:szCs w:val="20"/>
          <w:shd w:val="clear" w:color="auto" w:fill="FFFFFF"/>
          <w:lang w:val="en-US"/>
        </w:rPr>
        <w:t xml:space="preserve"> </w:t>
      </w:r>
      <w:r w:rsidRPr="00EA6C7A">
        <w:rPr>
          <w:rFonts w:ascii="Verdana" w:eastAsia="Calibri" w:hAnsi="Verdana" w:cs="Tahoma"/>
          <w:bCs/>
          <w:i/>
          <w:color w:val="000000"/>
          <w:sz w:val="20"/>
          <w:szCs w:val="20"/>
          <w:shd w:val="clear" w:color="auto" w:fill="FFFFFF"/>
          <w:lang w:val="en-US"/>
        </w:rPr>
        <w:t xml:space="preserve">Veliz </w:t>
      </w:r>
      <w:r w:rsidR="006A51FD" w:rsidRPr="00EA6C7A">
        <w:rPr>
          <w:rFonts w:ascii="Verdana" w:eastAsia="Calibri" w:hAnsi="Verdana" w:cs="Tahoma"/>
          <w:bCs/>
          <w:i/>
          <w:color w:val="000000"/>
          <w:sz w:val="20"/>
          <w:szCs w:val="20"/>
          <w:shd w:val="clear" w:color="auto" w:fill="FFFFFF"/>
          <w:lang w:val="en-US"/>
        </w:rPr>
        <w:t>Franco et al.</w:t>
      </w:r>
      <w:r w:rsidRPr="00EA6C7A">
        <w:rPr>
          <w:rFonts w:ascii="Verdana" w:eastAsia="Calibri" w:hAnsi="Verdana" w:cs="Tahoma"/>
          <w:bCs/>
          <w:i/>
          <w:color w:val="000000"/>
          <w:sz w:val="20"/>
          <w:szCs w:val="20"/>
          <w:shd w:val="clear" w:color="auto" w:fill="FFFFFF"/>
          <w:lang w:val="en-US"/>
        </w:rPr>
        <w:t xml:space="preserve"> v. Guatemala</w:t>
      </w:r>
      <w:r w:rsidRPr="00EA6C7A">
        <w:rPr>
          <w:rFonts w:ascii="Verdana" w:eastAsia="Calibri" w:hAnsi="Verdana" w:cs="Tahoma"/>
          <w:bCs/>
          <w:color w:val="000000"/>
          <w:shd w:val="clear" w:color="auto" w:fill="FFFFFF"/>
          <w:vertAlign w:val="superscript"/>
          <w:lang w:val="en-US"/>
        </w:rPr>
        <w:footnoteReference w:id="398"/>
      </w:r>
      <w:r w:rsidRPr="00EA6C7A">
        <w:rPr>
          <w:rFonts w:ascii="Verdana" w:eastAsia="Calibri" w:hAnsi="Verdana" w:cs="Tahoma"/>
          <w:bCs/>
          <w:color w:val="000000"/>
          <w:sz w:val="20"/>
          <w:szCs w:val="20"/>
          <w:shd w:val="clear" w:color="auto" w:fill="FFFFFF"/>
          <w:lang w:val="en-US"/>
        </w:rPr>
        <w:t xml:space="preserve"> —</w:t>
      </w:r>
      <w:r w:rsidR="00DA35B6" w:rsidRPr="00EA6C7A">
        <w:rPr>
          <w:rFonts w:ascii="Verdana" w:eastAsia="Calibri" w:hAnsi="Verdana" w:cs="Tahoma"/>
          <w:bCs/>
          <w:color w:val="000000"/>
          <w:sz w:val="20"/>
          <w:szCs w:val="20"/>
          <w:shd w:val="clear" w:color="auto" w:fill="FFFFFF"/>
          <w:lang w:val="en-US"/>
        </w:rPr>
        <w:t xml:space="preserve"> related to the State’s failure to provide an effective response to </w:t>
      </w:r>
      <w:r w:rsidR="001914FC" w:rsidRPr="00EA6C7A">
        <w:rPr>
          <w:rFonts w:ascii="Verdana" w:eastAsia="Calibri" w:hAnsi="Verdana" w:cs="Tahoma"/>
          <w:sz w:val="20"/>
          <w:szCs w:val="20"/>
          <w:lang w:val="en-US"/>
        </w:rPr>
        <w:t xml:space="preserve">the </w:t>
      </w:r>
      <w:r w:rsidR="00DA35B6" w:rsidRPr="00EA6C7A">
        <w:rPr>
          <w:rFonts w:ascii="Verdana" w:eastAsia="Calibri" w:hAnsi="Verdana" w:cs="Tahoma"/>
          <w:sz w:val="20"/>
          <w:szCs w:val="20"/>
          <w:lang w:val="en-US"/>
        </w:rPr>
        <w:t xml:space="preserve">report of the </w:t>
      </w:r>
      <w:r w:rsidR="008C4FF3" w:rsidRPr="00EA6C7A">
        <w:rPr>
          <w:rFonts w:ascii="Verdana" w:eastAsia="Calibri" w:hAnsi="Verdana" w:cs="Tahoma"/>
          <w:sz w:val="20"/>
          <w:szCs w:val="20"/>
          <w:lang w:val="en-US"/>
        </w:rPr>
        <w:t>disappearance</w:t>
      </w:r>
      <w:r w:rsidR="00DA35B6" w:rsidRPr="00EA6C7A">
        <w:rPr>
          <w:rFonts w:ascii="Verdana" w:eastAsia="Calibri" w:hAnsi="Verdana" w:cs="Tahoma"/>
          <w:sz w:val="20"/>
          <w:szCs w:val="20"/>
          <w:lang w:val="en-US"/>
        </w:rPr>
        <w:t xml:space="preserve"> of </w:t>
      </w:r>
      <w:r w:rsidRPr="00EA6C7A">
        <w:rPr>
          <w:rFonts w:ascii="Verdana" w:eastAsia="Calibri" w:hAnsi="Verdana" w:cs="Tahoma"/>
          <w:sz w:val="20"/>
          <w:szCs w:val="20"/>
          <w:lang w:val="en-US"/>
        </w:rPr>
        <w:t xml:space="preserve">María Isabel Veliz Franco, </w:t>
      </w:r>
      <w:r w:rsidR="00DA35B6" w:rsidRPr="00EA6C7A">
        <w:rPr>
          <w:rFonts w:ascii="Verdana" w:eastAsia="Calibri" w:hAnsi="Verdana" w:cs="Tahoma"/>
          <w:sz w:val="20"/>
          <w:szCs w:val="20"/>
          <w:lang w:val="en-US"/>
        </w:rPr>
        <w:t xml:space="preserve">15 years of age, as well as the flaws in the investigation </w:t>
      </w:r>
      <w:r w:rsidR="00F40F45" w:rsidRPr="00EA6C7A">
        <w:rPr>
          <w:rFonts w:ascii="Verdana" w:eastAsia="Calibri" w:hAnsi="Verdana" w:cs="Tahoma"/>
          <w:sz w:val="20"/>
          <w:szCs w:val="20"/>
          <w:lang w:val="en-US"/>
        </w:rPr>
        <w:t>into</w:t>
      </w:r>
      <w:r w:rsidR="00DA35B6" w:rsidRPr="00EA6C7A">
        <w:rPr>
          <w:rFonts w:ascii="Verdana" w:eastAsia="Calibri" w:hAnsi="Verdana" w:cs="Tahoma"/>
          <w:sz w:val="20"/>
          <w:szCs w:val="20"/>
          <w:lang w:val="en-US"/>
        </w:rPr>
        <w:t xml:space="preserve"> the facts that involved the </w:t>
      </w:r>
      <w:r w:rsidR="00F40F45" w:rsidRPr="00EA6C7A">
        <w:rPr>
          <w:rFonts w:ascii="Verdana" w:eastAsia="Calibri" w:hAnsi="Verdana" w:cs="Tahoma"/>
          <w:sz w:val="20"/>
          <w:szCs w:val="20"/>
          <w:lang w:val="en-US"/>
        </w:rPr>
        <w:t>d</w:t>
      </w:r>
      <w:r w:rsidR="00DA35B6" w:rsidRPr="00EA6C7A">
        <w:rPr>
          <w:rFonts w:ascii="Verdana" w:eastAsia="Calibri" w:hAnsi="Verdana" w:cs="Tahoma"/>
          <w:sz w:val="20"/>
          <w:szCs w:val="20"/>
          <w:lang w:val="en-US"/>
        </w:rPr>
        <w:t xml:space="preserve">iscovery of her body – in addition to declaring the violation of </w:t>
      </w:r>
      <w:r w:rsidR="0096418F"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w:t>
      </w:r>
      <w:r w:rsidR="005F2D0A" w:rsidRPr="00EA6C7A">
        <w:rPr>
          <w:rFonts w:ascii="Verdana" w:eastAsia="Calibri" w:hAnsi="Verdana" w:cs="Tahoma"/>
          <w:bCs/>
          <w:color w:val="000000"/>
          <w:sz w:val="20"/>
          <w:szCs w:val="20"/>
          <w:shd w:val="clear" w:color="auto" w:fill="FFFFFF"/>
          <w:lang w:val="en-US"/>
        </w:rPr>
        <w:t>7(b)</w:t>
      </w:r>
      <w:r w:rsidR="00D5307F"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w:t>
      </w:r>
      <w:r w:rsidRPr="00EA6C7A">
        <w:rPr>
          <w:rFonts w:ascii="Verdana" w:eastAsia="Calibri" w:hAnsi="Verdana" w:cs="Tahoma"/>
          <w:bCs/>
          <w:color w:val="000000"/>
          <w:sz w:val="20"/>
          <w:szCs w:val="20"/>
          <w:shd w:val="clear" w:color="auto" w:fill="FFFFFF"/>
          <w:vertAlign w:val="superscript"/>
          <w:lang w:val="en-US"/>
        </w:rPr>
        <w:footnoteReference w:id="399"/>
      </w:r>
      <w:r w:rsidR="00DA35B6" w:rsidRPr="00EA6C7A">
        <w:rPr>
          <w:rFonts w:ascii="Verdana" w:eastAsia="Calibri" w:hAnsi="Verdana" w:cs="Tahoma"/>
          <w:bCs/>
          <w:color w:val="000000"/>
          <w:sz w:val="20"/>
          <w:szCs w:val="20"/>
          <w:shd w:val="clear" w:color="auto" w:fill="FFFFFF"/>
          <w:lang w:val="en-US"/>
        </w:rPr>
        <w:t xml:space="preserve"> for the second time in its case law, the Court </w:t>
      </w:r>
      <w:r w:rsidRPr="00EA6C7A">
        <w:rPr>
          <w:rFonts w:ascii="Verdana" w:eastAsia="Calibri" w:hAnsi="Verdana" w:cs="Tahoma"/>
          <w:bCs/>
          <w:color w:val="000000"/>
          <w:sz w:val="20"/>
          <w:szCs w:val="20"/>
          <w:shd w:val="clear" w:color="auto" w:fill="FFFFFF"/>
          <w:lang w:val="en-US"/>
        </w:rPr>
        <w:t xml:space="preserve"> </w:t>
      </w:r>
      <w:r w:rsidR="0092568A" w:rsidRPr="00EA6C7A">
        <w:rPr>
          <w:rFonts w:ascii="Verdana" w:eastAsia="Calibri" w:hAnsi="Verdana" w:cs="Tahoma"/>
          <w:bCs/>
          <w:color w:val="000000"/>
          <w:sz w:val="20"/>
          <w:szCs w:val="20"/>
          <w:shd w:val="clear" w:color="auto" w:fill="FFFFFF"/>
          <w:lang w:val="en-US"/>
        </w:rPr>
        <w:t>establishe</w:t>
      </w:r>
      <w:r w:rsidR="00DA35B6" w:rsidRPr="00EA6C7A">
        <w:rPr>
          <w:rFonts w:ascii="Verdana" w:eastAsia="Calibri" w:hAnsi="Verdana" w:cs="Tahoma"/>
          <w:bCs/>
          <w:color w:val="000000"/>
          <w:sz w:val="20"/>
          <w:szCs w:val="20"/>
          <w:shd w:val="clear" w:color="auto" w:fill="FFFFFF"/>
          <w:lang w:val="en-US"/>
        </w:rPr>
        <w:t>d</w:t>
      </w:r>
      <w:r w:rsidRPr="00EA6C7A">
        <w:rPr>
          <w:rFonts w:ascii="Verdana" w:eastAsia="Calibri" w:hAnsi="Verdana" w:cs="Tahoma"/>
          <w:bCs/>
          <w:color w:val="000000"/>
          <w:sz w:val="20"/>
          <w:szCs w:val="20"/>
          <w:shd w:val="clear" w:color="auto" w:fill="FFFFFF"/>
          <w:lang w:val="en-US"/>
        </w:rPr>
        <w:t xml:space="preserve"> </w:t>
      </w:r>
      <w:r w:rsidR="00DA35B6" w:rsidRPr="00EA6C7A">
        <w:rPr>
          <w:rFonts w:ascii="Verdana" w:eastAsia="Calibri" w:hAnsi="Verdana" w:cs="Tahoma"/>
          <w:bCs/>
          <w:color w:val="000000"/>
          <w:sz w:val="20"/>
          <w:szCs w:val="20"/>
          <w:shd w:val="clear" w:color="auto" w:fill="FFFFFF"/>
          <w:lang w:val="en-US"/>
        </w:rPr>
        <w:t>the violation</w:t>
      </w:r>
      <w:r w:rsidRPr="00EA6C7A">
        <w:rPr>
          <w:rFonts w:ascii="Verdana" w:eastAsia="Calibri" w:hAnsi="Verdana" w:cs="Tahoma"/>
          <w:bCs/>
          <w:color w:val="000000"/>
          <w:sz w:val="20"/>
          <w:szCs w:val="20"/>
          <w:shd w:val="clear" w:color="auto" w:fill="FFFFFF"/>
          <w:lang w:val="en-US"/>
        </w:rPr>
        <w:t xml:space="preserve"> </w:t>
      </w:r>
      <w:r w:rsidR="00DA35B6" w:rsidRPr="00EA6C7A">
        <w:rPr>
          <w:rFonts w:ascii="Verdana" w:eastAsia="Calibri" w:hAnsi="Verdana" w:cs="Tahoma"/>
          <w:bCs/>
          <w:color w:val="000000"/>
          <w:sz w:val="20"/>
          <w:szCs w:val="20"/>
          <w:shd w:val="clear" w:color="auto" w:fill="FFFFFF"/>
          <w:lang w:val="en-US"/>
        </w:rPr>
        <w:t>of</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w:t>
      </w:r>
      <w:r w:rsidR="005F2D0A" w:rsidRPr="00EA6C7A">
        <w:rPr>
          <w:rFonts w:ascii="Verdana" w:eastAsia="Calibri" w:hAnsi="Verdana" w:cs="Tahoma"/>
          <w:bCs/>
          <w:color w:val="000000"/>
          <w:sz w:val="20"/>
          <w:szCs w:val="20"/>
          <w:shd w:val="clear" w:color="auto" w:fill="FFFFFF"/>
          <w:lang w:val="en-US"/>
        </w:rPr>
        <w:t>7(c)</w:t>
      </w:r>
      <w:r w:rsidRPr="00EA6C7A">
        <w:rPr>
          <w:rFonts w:ascii="Verdana" w:eastAsia="Calibri" w:hAnsi="Verdana" w:cs="Tahoma"/>
          <w:sz w:val="20"/>
          <w:szCs w:val="20"/>
          <w:lang w:val="en-US"/>
        </w:rPr>
        <w:t xml:space="preserve"> </w:t>
      </w:r>
      <w:r w:rsidR="002D218C" w:rsidRPr="00EA6C7A">
        <w:rPr>
          <w:rFonts w:ascii="Verdana" w:eastAsia="Calibri" w:hAnsi="Verdana" w:cs="Tahoma"/>
          <w:sz w:val="20"/>
          <w:szCs w:val="20"/>
          <w:lang w:val="en-US"/>
        </w:rPr>
        <w:t>of this instrument</w:t>
      </w:r>
      <w:r w:rsidRPr="00EA6C7A">
        <w:rPr>
          <w:rFonts w:ascii="Verdana" w:eastAsia="Calibri" w:hAnsi="Verdana" w:cs="Tahoma"/>
          <w:sz w:val="20"/>
          <w:szCs w:val="20"/>
          <w:lang w:val="en-US"/>
        </w:rPr>
        <w:t xml:space="preserve">, </w:t>
      </w:r>
      <w:r w:rsidR="00DA35B6" w:rsidRPr="00EA6C7A">
        <w:rPr>
          <w:rFonts w:ascii="Verdana" w:eastAsia="Calibri" w:hAnsi="Verdana" w:cs="Tahoma"/>
          <w:sz w:val="20"/>
          <w:szCs w:val="20"/>
          <w:lang w:val="en-US"/>
        </w:rPr>
        <w:t xml:space="preserve">owing to failure to conduct the investigation with a gender perspective, </w:t>
      </w:r>
      <w:r w:rsidR="00F40F45" w:rsidRPr="00EA6C7A">
        <w:rPr>
          <w:rFonts w:ascii="Verdana" w:eastAsia="Calibri" w:hAnsi="Verdana" w:cs="Tahoma"/>
          <w:sz w:val="20"/>
          <w:szCs w:val="20"/>
          <w:lang w:val="en-US"/>
        </w:rPr>
        <w:t>due</w:t>
      </w:r>
      <w:r w:rsidR="00DA35B6" w:rsidRPr="00EA6C7A">
        <w:rPr>
          <w:rFonts w:ascii="Verdana" w:eastAsia="Calibri" w:hAnsi="Verdana" w:cs="Tahoma"/>
          <w:sz w:val="20"/>
          <w:szCs w:val="20"/>
          <w:lang w:val="en-US"/>
        </w:rPr>
        <w:t xml:space="preserve"> to the possibility that the murder had been committed for reasons of gender; deficiencies in the State’s actions (</w:t>
      </w:r>
      <w:r w:rsidR="00F40F45" w:rsidRPr="00EA6C7A">
        <w:rPr>
          <w:rFonts w:ascii="Verdana" w:eastAsia="Calibri" w:hAnsi="Verdana" w:cs="Tahoma"/>
          <w:sz w:val="20"/>
          <w:szCs w:val="20"/>
          <w:lang w:val="en-US"/>
        </w:rPr>
        <w:t>as a result of</w:t>
      </w:r>
      <w:r w:rsidR="00DA35B6" w:rsidRPr="00EA6C7A">
        <w:rPr>
          <w:rFonts w:ascii="Verdana" w:eastAsia="Calibri" w:hAnsi="Verdana" w:cs="Tahoma"/>
          <w:sz w:val="20"/>
          <w:szCs w:val="20"/>
          <w:lang w:val="en-US"/>
        </w:rPr>
        <w:t xml:space="preserve"> the inexistence of laws and protocols concerning this type of facts), and actions with a </w:t>
      </w:r>
      <w:r w:rsidR="00DA35B6" w:rsidRPr="00EA6C7A">
        <w:rPr>
          <w:rFonts w:ascii="Verdana" w:eastAsia="Calibri" w:hAnsi="Verdana" w:cs="Tahoma"/>
          <w:sz w:val="20"/>
          <w:szCs w:val="20"/>
          <w:lang w:val="en-US"/>
        </w:rPr>
        <w:lastRenderedPageBreak/>
        <w:t xml:space="preserve">discriminatory bias, as well as failure to </w:t>
      </w:r>
      <w:r w:rsidR="00F40F45" w:rsidRPr="00EA6C7A">
        <w:rPr>
          <w:rFonts w:ascii="Verdana" w:eastAsia="Calibri" w:hAnsi="Verdana" w:cs="Tahoma"/>
          <w:sz w:val="20"/>
          <w:szCs w:val="20"/>
          <w:lang w:val="en-US"/>
        </w:rPr>
        <w:t>respect</w:t>
      </w:r>
      <w:r w:rsidR="00DA35B6" w:rsidRPr="00EA6C7A">
        <w:rPr>
          <w:rFonts w:ascii="Verdana" w:eastAsia="Calibri" w:hAnsi="Verdana" w:cs="Tahoma"/>
          <w:sz w:val="20"/>
          <w:szCs w:val="20"/>
          <w:lang w:val="en-US"/>
        </w:rPr>
        <w:t xml:space="preserve"> a reasonable time frame </w:t>
      </w:r>
      <w:r w:rsidR="00F40F45" w:rsidRPr="00EA6C7A">
        <w:rPr>
          <w:rFonts w:ascii="Verdana" w:eastAsia="Calibri" w:hAnsi="Verdana" w:cs="Tahoma"/>
          <w:sz w:val="20"/>
          <w:szCs w:val="20"/>
          <w:lang w:val="en-US"/>
        </w:rPr>
        <w:t>in</w:t>
      </w:r>
      <w:r w:rsidR="00DA35B6" w:rsidRPr="00EA6C7A">
        <w:rPr>
          <w:rFonts w:ascii="Verdana" w:eastAsia="Calibri" w:hAnsi="Verdana" w:cs="Tahoma"/>
          <w:sz w:val="20"/>
          <w:szCs w:val="20"/>
          <w:lang w:val="en-US"/>
        </w:rPr>
        <w:t xml:space="preserve"> the initial stage of the investigation and the substantiation of the facts.</w:t>
      </w:r>
      <w:r w:rsidRPr="00EA6C7A">
        <w:rPr>
          <w:rFonts w:ascii="Verdana" w:eastAsia="Calibri" w:hAnsi="Verdana" w:cs="Tahoma"/>
          <w:sz w:val="20"/>
          <w:szCs w:val="20"/>
          <w:vertAlign w:val="superscript"/>
          <w:lang w:val="en-US"/>
        </w:rPr>
        <w:footnoteReference w:id="400"/>
      </w:r>
    </w:p>
    <w:p w14:paraId="57C8C641" w14:textId="77777777" w:rsidR="00175ABB" w:rsidRPr="00EA6C7A" w:rsidRDefault="00175ABB" w:rsidP="00175ABB">
      <w:pPr>
        <w:autoSpaceDE w:val="0"/>
        <w:autoSpaceDN w:val="0"/>
        <w:adjustRightInd w:val="0"/>
        <w:spacing w:after="0" w:line="240" w:lineRule="auto"/>
        <w:jc w:val="both"/>
        <w:rPr>
          <w:rFonts w:ascii="Verdana" w:eastAsia="Calibri" w:hAnsi="Verdana" w:cs="Tahoma"/>
          <w:sz w:val="20"/>
          <w:szCs w:val="20"/>
          <w:lang w:val="en-US"/>
        </w:rPr>
      </w:pPr>
    </w:p>
    <w:p w14:paraId="4C6A871A"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15. </w:t>
      </w:r>
      <w:r w:rsidRPr="00EA6C7A">
        <w:rPr>
          <w:rFonts w:ascii="Verdana" w:eastAsia="Calibri" w:hAnsi="Verdana" w:cs="Tahoma"/>
          <w:sz w:val="20"/>
          <w:szCs w:val="20"/>
          <w:lang w:val="en-US"/>
        </w:rPr>
        <w:tab/>
      </w:r>
      <w:r w:rsidR="00DA35B6" w:rsidRPr="00EA6C7A">
        <w:rPr>
          <w:rFonts w:ascii="Verdana" w:eastAsia="Calibri" w:hAnsi="Verdana" w:cs="Tahoma"/>
          <w:sz w:val="20"/>
          <w:szCs w:val="20"/>
          <w:lang w:val="en-US"/>
        </w:rPr>
        <w:t xml:space="preserve">That same year, </w:t>
      </w:r>
      <w:r w:rsidR="00D5307F" w:rsidRPr="00EA6C7A">
        <w:rPr>
          <w:rFonts w:ascii="Verdana" w:eastAsia="Calibri" w:hAnsi="Verdana" w:cs="Tahoma"/>
          <w:sz w:val="20"/>
          <w:szCs w:val="20"/>
          <w:lang w:val="en-US"/>
        </w:rPr>
        <w:t>in the case of</w:t>
      </w:r>
      <w:r w:rsidRPr="00EA6C7A">
        <w:rPr>
          <w:rFonts w:ascii="Verdana" w:eastAsia="Calibri" w:hAnsi="Verdana" w:cs="Tahoma"/>
          <w:i/>
          <w:sz w:val="20"/>
          <w:szCs w:val="20"/>
          <w:lang w:val="en-US"/>
        </w:rPr>
        <w:t xml:space="preserve"> </w:t>
      </w:r>
      <w:r w:rsidRPr="00EA6C7A">
        <w:rPr>
          <w:rFonts w:ascii="Verdana" w:eastAsia="Calibri" w:hAnsi="Verdana" w:cs="Tahoma"/>
          <w:bCs/>
          <w:i/>
          <w:color w:val="000000"/>
          <w:sz w:val="20"/>
          <w:szCs w:val="20"/>
          <w:shd w:val="clear" w:color="auto" w:fill="FFFFFF"/>
          <w:lang w:val="en-US"/>
        </w:rPr>
        <w:t xml:space="preserve">Espinoza Gonzáles v. </w:t>
      </w:r>
      <w:r w:rsidR="001914FC" w:rsidRPr="00EA6C7A">
        <w:rPr>
          <w:rFonts w:ascii="Verdana" w:eastAsia="Calibri" w:hAnsi="Verdana" w:cs="Tahoma"/>
          <w:bCs/>
          <w:i/>
          <w:color w:val="000000"/>
          <w:sz w:val="20"/>
          <w:szCs w:val="20"/>
          <w:shd w:val="clear" w:color="auto" w:fill="FFFFFF"/>
          <w:lang w:val="en-US"/>
        </w:rPr>
        <w:t>Peru</w:t>
      </w:r>
      <w:r w:rsidR="00DA35B6"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01"/>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sz w:val="20"/>
          <w:szCs w:val="20"/>
          <w:lang w:val="en-US"/>
        </w:rPr>
        <w:t>the Court</w:t>
      </w:r>
      <w:r w:rsidRPr="00EA6C7A">
        <w:rPr>
          <w:rFonts w:ascii="Verdana" w:eastAsia="Calibri" w:hAnsi="Verdana" w:cs="Tahoma"/>
          <w:sz w:val="20"/>
          <w:szCs w:val="20"/>
          <w:lang w:val="en-US"/>
        </w:rPr>
        <w:t xml:space="preserve"> </w:t>
      </w:r>
      <w:r w:rsidR="00DA35B6" w:rsidRPr="00EA6C7A">
        <w:rPr>
          <w:rFonts w:ascii="Verdana" w:eastAsia="Calibri" w:hAnsi="Verdana" w:cs="Tahoma"/>
          <w:sz w:val="20"/>
          <w:szCs w:val="20"/>
          <w:lang w:val="en-US"/>
        </w:rPr>
        <w:t xml:space="preserve">again </w:t>
      </w:r>
      <w:r w:rsidRPr="00EA6C7A">
        <w:rPr>
          <w:rFonts w:ascii="Verdana" w:eastAsia="Calibri" w:hAnsi="Verdana" w:cs="Tahoma"/>
          <w:sz w:val="20"/>
          <w:szCs w:val="20"/>
          <w:lang w:val="en-US"/>
        </w:rPr>
        <w:t>determin</w:t>
      </w:r>
      <w:r w:rsidR="00DA35B6" w:rsidRPr="00EA6C7A">
        <w:rPr>
          <w:rFonts w:ascii="Verdana" w:eastAsia="Calibri" w:hAnsi="Verdana" w:cs="Tahoma"/>
          <w:sz w:val="20"/>
          <w:szCs w:val="20"/>
          <w:lang w:val="en-US"/>
        </w:rPr>
        <w:t xml:space="preserve">ed violations of </w:t>
      </w:r>
      <w:r w:rsidR="0096418F" w:rsidRPr="00EA6C7A">
        <w:rPr>
          <w:rFonts w:ascii="Verdana" w:eastAsia="Calibri" w:hAnsi="Verdana" w:cs="Tahoma"/>
          <w:sz w:val="20"/>
          <w:szCs w:val="20"/>
          <w:lang w:val="en-US"/>
        </w:rPr>
        <w:t>Article</w:t>
      </w:r>
      <w:r w:rsidRPr="00EA6C7A">
        <w:rPr>
          <w:rFonts w:ascii="Verdana" w:eastAsia="Calibri" w:hAnsi="Verdana" w:cs="Tahoma"/>
          <w:sz w:val="20"/>
          <w:szCs w:val="20"/>
          <w:lang w:val="en-US"/>
        </w:rPr>
        <w:t xml:space="preserve"> </w:t>
      </w:r>
      <w:r w:rsidR="005F2D0A" w:rsidRPr="00EA6C7A">
        <w:rPr>
          <w:rFonts w:ascii="Verdana" w:eastAsia="Calibri" w:hAnsi="Verdana" w:cs="Tahoma"/>
          <w:sz w:val="20"/>
          <w:szCs w:val="20"/>
          <w:lang w:val="en-US"/>
        </w:rPr>
        <w:t>7(b)</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F912BD" w:rsidRPr="00EA6C7A">
        <w:rPr>
          <w:rFonts w:ascii="Verdana" w:eastAsia="Calibri" w:hAnsi="Verdana" w:cs="Tahoma"/>
          <w:sz w:val="20"/>
          <w:szCs w:val="20"/>
          <w:lang w:val="en-US"/>
        </w:rPr>
        <w:t>Convention of</w:t>
      </w:r>
      <w:r w:rsidRPr="00EA6C7A">
        <w:rPr>
          <w:rFonts w:ascii="Verdana" w:eastAsia="Calibri" w:hAnsi="Verdana" w:cs="Tahoma"/>
          <w:sz w:val="20"/>
          <w:szCs w:val="20"/>
          <w:lang w:val="en-US"/>
        </w:rPr>
        <w:t xml:space="preserve"> Belém do Pará</w:t>
      </w:r>
      <w:r w:rsidR="00DA35B6" w:rsidRPr="00EA6C7A">
        <w:rPr>
          <w:rFonts w:ascii="Verdana" w:eastAsia="Calibri" w:hAnsi="Verdana" w:cs="Tahoma"/>
          <w:sz w:val="20"/>
          <w:szCs w:val="20"/>
          <w:lang w:val="en-US"/>
        </w:rPr>
        <w:t>.</w:t>
      </w:r>
      <w:r w:rsidRPr="00EA6C7A">
        <w:rPr>
          <w:rFonts w:ascii="Verdana" w:eastAsia="Calibri" w:hAnsi="Verdana" w:cs="Tahoma"/>
          <w:sz w:val="20"/>
          <w:szCs w:val="20"/>
          <w:lang w:val="en-US"/>
        </w:rPr>
        <w:t xml:space="preserve">” </w:t>
      </w:r>
      <w:r w:rsidR="00DA35B6" w:rsidRPr="00EA6C7A">
        <w:rPr>
          <w:rFonts w:ascii="Verdana" w:eastAsia="Calibri" w:hAnsi="Verdana" w:cs="Tahoma"/>
          <w:sz w:val="20"/>
          <w:szCs w:val="20"/>
          <w:lang w:val="en-US"/>
        </w:rPr>
        <w:t>On the one hand, toget</w:t>
      </w:r>
      <w:r w:rsidR="00294D53" w:rsidRPr="00EA6C7A">
        <w:rPr>
          <w:rFonts w:ascii="Verdana" w:eastAsia="Calibri" w:hAnsi="Verdana" w:cs="Tahoma"/>
          <w:sz w:val="20"/>
          <w:szCs w:val="20"/>
          <w:lang w:val="en-US"/>
        </w:rPr>
        <w:t>h</w:t>
      </w:r>
      <w:r w:rsidR="00DA35B6" w:rsidRPr="00EA6C7A">
        <w:rPr>
          <w:rFonts w:ascii="Verdana" w:eastAsia="Calibri" w:hAnsi="Verdana" w:cs="Tahoma"/>
          <w:sz w:val="20"/>
          <w:szCs w:val="20"/>
          <w:lang w:val="en-US"/>
        </w:rPr>
        <w:t xml:space="preserve">er with violations of Articles 8(1) </w:t>
      </w:r>
      <w:r w:rsidR="00D948A1" w:rsidRPr="00EA6C7A">
        <w:rPr>
          <w:rFonts w:ascii="Verdana" w:eastAsia="Calibri" w:hAnsi="Verdana" w:cs="Tahoma"/>
          <w:sz w:val="20"/>
          <w:szCs w:val="20"/>
          <w:lang w:val="en-US"/>
        </w:rPr>
        <w:t xml:space="preserve">and </w:t>
      </w:r>
      <w:r w:rsidRPr="00EA6C7A">
        <w:rPr>
          <w:rFonts w:ascii="Verdana" w:eastAsia="Calibri" w:hAnsi="Verdana" w:cs="Tahoma"/>
          <w:sz w:val="20"/>
          <w:szCs w:val="20"/>
          <w:lang w:val="en-US"/>
        </w:rPr>
        <w:t>25</w:t>
      </w:r>
      <w:r w:rsidR="00DA35B6" w:rsidRPr="00EA6C7A">
        <w:rPr>
          <w:rFonts w:ascii="Verdana" w:eastAsia="Calibri" w:hAnsi="Verdana" w:cs="Tahoma"/>
          <w:sz w:val="20"/>
          <w:szCs w:val="20"/>
          <w:lang w:val="en-US"/>
        </w:rPr>
        <w:t xml:space="preserve">, </w:t>
      </w:r>
      <w:r w:rsidR="00D948A1" w:rsidRPr="00EA6C7A">
        <w:rPr>
          <w:rFonts w:ascii="Verdana" w:eastAsia="Calibri" w:hAnsi="Verdana" w:cs="Tahoma"/>
          <w:sz w:val="20"/>
          <w:szCs w:val="20"/>
          <w:lang w:val="en-US"/>
        </w:rPr>
        <w:t xml:space="preserve">and </w:t>
      </w:r>
      <w:r w:rsidRPr="00EA6C7A">
        <w:rPr>
          <w:rFonts w:ascii="Verdana" w:eastAsia="Calibri" w:hAnsi="Verdana" w:cs="Tahoma"/>
          <w:sz w:val="20"/>
          <w:szCs w:val="20"/>
          <w:lang w:val="en-US"/>
        </w:rPr>
        <w:t>1</w:t>
      </w:r>
      <w:r w:rsidR="00DA35B6" w:rsidRPr="00EA6C7A">
        <w:rPr>
          <w:rFonts w:ascii="Verdana" w:eastAsia="Calibri" w:hAnsi="Verdana" w:cs="Tahoma"/>
          <w:sz w:val="20"/>
          <w:szCs w:val="20"/>
          <w:lang w:val="en-US"/>
        </w:rPr>
        <w:t>(</w:t>
      </w:r>
      <w:r w:rsidRPr="00EA6C7A">
        <w:rPr>
          <w:rFonts w:ascii="Verdana" w:eastAsia="Calibri" w:hAnsi="Verdana" w:cs="Tahoma"/>
          <w:sz w:val="20"/>
          <w:szCs w:val="20"/>
          <w:lang w:val="en-US"/>
        </w:rPr>
        <w:t>1</w:t>
      </w:r>
      <w:r w:rsidR="00DA35B6" w:rsidRPr="00EA6C7A">
        <w:rPr>
          <w:rFonts w:ascii="Verdana" w:eastAsia="Calibri" w:hAnsi="Verdana" w:cs="Tahoma"/>
          <w:sz w:val="20"/>
          <w:szCs w:val="20"/>
          <w:lang w:val="en-US"/>
        </w:rPr>
        <w:t xml:space="preserve">) of the American Convention, and </w:t>
      </w:r>
      <w:r w:rsidR="00294D53" w:rsidRPr="00EA6C7A">
        <w:rPr>
          <w:rFonts w:ascii="Verdana" w:eastAsia="Calibri" w:hAnsi="Verdana" w:cs="Tahoma"/>
          <w:sz w:val="20"/>
          <w:szCs w:val="20"/>
          <w:lang w:val="en-US"/>
        </w:rPr>
        <w:t>also</w:t>
      </w:r>
      <w:r w:rsidR="00DA35B6" w:rsidRPr="00EA6C7A">
        <w:rPr>
          <w:rFonts w:ascii="Verdana" w:eastAsia="Calibri" w:hAnsi="Verdana" w:cs="Tahoma"/>
          <w:sz w:val="20"/>
          <w:szCs w:val="20"/>
          <w:lang w:val="en-US"/>
        </w:rPr>
        <w:t xml:space="preserve"> of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1, 6</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8</w:t>
      </w:r>
      <w:r w:rsidR="0096418F" w:rsidRPr="00EA6C7A">
        <w:rPr>
          <w:rFonts w:ascii="Verdana" w:eastAsia="Calibri" w:hAnsi="Verdana" w:cs="Tahoma"/>
          <w:sz w:val="20"/>
          <w:szCs w:val="20"/>
          <w:lang w:val="en-US"/>
        </w:rPr>
        <w:t xml:space="preserve"> of the </w:t>
      </w:r>
      <w:r w:rsidR="00A917BD" w:rsidRPr="00EA6C7A">
        <w:rPr>
          <w:rFonts w:ascii="Verdana" w:eastAsia="Calibri" w:hAnsi="Verdana" w:cs="Tahoma"/>
          <w:sz w:val="20"/>
          <w:szCs w:val="20"/>
          <w:lang w:val="en-US"/>
        </w:rPr>
        <w:t>Inter-American Convention to Prevent and Punish Torture</w:t>
      </w:r>
      <w:r w:rsidRPr="00EA6C7A">
        <w:rPr>
          <w:rFonts w:ascii="Verdana" w:eastAsia="Calibri" w:hAnsi="Verdana" w:cs="Tahoma"/>
          <w:sz w:val="20"/>
          <w:szCs w:val="20"/>
          <w:lang w:val="en-US"/>
        </w:rPr>
        <w:t xml:space="preserve">, </w:t>
      </w:r>
      <w:r w:rsidR="00DA35B6" w:rsidRPr="00EA6C7A">
        <w:rPr>
          <w:rFonts w:ascii="Verdana" w:eastAsia="Calibri" w:hAnsi="Verdana" w:cs="Tahoma"/>
          <w:sz w:val="20"/>
          <w:szCs w:val="20"/>
          <w:lang w:val="en-US"/>
        </w:rPr>
        <w:t xml:space="preserve">owing to the State’s failure to comply with the obligation to investigate </w:t>
      </w:r>
      <w:r w:rsidR="00294D53" w:rsidRPr="00EA6C7A">
        <w:rPr>
          <w:rFonts w:ascii="Verdana" w:eastAsia="Calibri" w:hAnsi="Verdana" w:cs="Tahoma"/>
          <w:sz w:val="20"/>
          <w:szCs w:val="20"/>
          <w:lang w:val="en-US"/>
        </w:rPr>
        <w:t>the sexual</w:t>
      </w:r>
      <w:r w:rsidR="00951B49" w:rsidRPr="00EA6C7A">
        <w:rPr>
          <w:rFonts w:ascii="Verdana" w:eastAsia="Calibri" w:hAnsi="Verdana" w:cs="Tahoma"/>
          <w:sz w:val="20"/>
          <w:szCs w:val="20"/>
          <w:lang w:val="en-US"/>
        </w:rPr>
        <w:t xml:space="preserve"> violence</w:t>
      </w:r>
      <w:r w:rsidRPr="00EA6C7A">
        <w:rPr>
          <w:rFonts w:ascii="Verdana" w:eastAsia="Calibri" w:hAnsi="Verdana" w:cs="Tahoma"/>
          <w:sz w:val="20"/>
          <w:szCs w:val="20"/>
          <w:lang w:val="en-US"/>
        </w:rPr>
        <w:t xml:space="preserve"> </w:t>
      </w:r>
      <w:r w:rsidR="00F40F45" w:rsidRPr="00EA6C7A">
        <w:rPr>
          <w:rFonts w:ascii="Verdana" w:eastAsia="Calibri" w:hAnsi="Verdana" w:cs="Tahoma"/>
          <w:sz w:val="20"/>
          <w:szCs w:val="20"/>
          <w:lang w:val="en-US"/>
        </w:rPr>
        <w:t>that was clear from</w:t>
      </w:r>
      <w:r w:rsidR="00294D53" w:rsidRPr="00EA6C7A">
        <w:rPr>
          <w:rFonts w:ascii="Verdana" w:eastAsia="Calibri" w:hAnsi="Verdana" w:cs="Tahoma"/>
          <w:sz w:val="20"/>
          <w:szCs w:val="20"/>
          <w:lang w:val="en-US"/>
        </w:rPr>
        <w:t xml:space="preserve"> the facts that occurred to the victim during her detention in the </w:t>
      </w:r>
      <w:r w:rsidRPr="00EA6C7A">
        <w:rPr>
          <w:rFonts w:ascii="Verdana" w:eastAsia="Calibri" w:hAnsi="Verdana" w:cs="Tahoma"/>
          <w:sz w:val="20"/>
          <w:szCs w:val="20"/>
          <w:lang w:val="en-US"/>
        </w:rPr>
        <w:t>Yanamayo</w:t>
      </w:r>
      <w:r w:rsidR="00294D53" w:rsidRPr="00EA6C7A">
        <w:rPr>
          <w:rFonts w:ascii="Verdana" w:eastAsia="Calibri" w:hAnsi="Verdana" w:cs="Tahoma"/>
          <w:sz w:val="20"/>
          <w:szCs w:val="20"/>
          <w:lang w:val="en-US"/>
        </w:rPr>
        <w:t xml:space="preserve"> Prison</w:t>
      </w:r>
      <w:r w:rsidRPr="00EA6C7A">
        <w:rPr>
          <w:rFonts w:ascii="Verdana" w:eastAsia="Calibri" w:hAnsi="Verdana" w:cs="Tahoma"/>
          <w:sz w:val="20"/>
          <w:szCs w:val="20"/>
          <w:lang w:val="en-US"/>
        </w:rPr>
        <w:t>,</w:t>
      </w:r>
      <w:r w:rsidR="00D948A1" w:rsidRPr="00EA6C7A">
        <w:rPr>
          <w:rFonts w:ascii="Verdana" w:eastAsia="Calibri" w:hAnsi="Verdana" w:cs="Tahoma"/>
          <w:sz w:val="20"/>
          <w:szCs w:val="20"/>
          <w:lang w:val="en-US"/>
        </w:rPr>
        <w:t xml:space="preserve"> and </w:t>
      </w:r>
      <w:r w:rsidR="00F40F45" w:rsidRPr="00EA6C7A">
        <w:rPr>
          <w:rFonts w:ascii="Verdana" w:eastAsia="Calibri" w:hAnsi="Verdana" w:cs="Tahoma"/>
          <w:sz w:val="20"/>
          <w:szCs w:val="20"/>
          <w:lang w:val="en-US"/>
        </w:rPr>
        <w:t xml:space="preserve">those </w:t>
      </w:r>
      <w:r w:rsidR="00294D53" w:rsidRPr="00EA6C7A">
        <w:rPr>
          <w:rFonts w:ascii="Verdana" w:eastAsia="Calibri" w:hAnsi="Verdana" w:cs="Tahoma"/>
          <w:sz w:val="20"/>
          <w:szCs w:val="20"/>
          <w:lang w:val="en-US"/>
        </w:rPr>
        <w:t xml:space="preserve">that occurred in the </w:t>
      </w:r>
      <w:r w:rsidRPr="00EA6C7A">
        <w:rPr>
          <w:rFonts w:ascii="Verdana" w:eastAsia="Calibri" w:hAnsi="Verdana" w:cs="Tahoma"/>
          <w:sz w:val="20"/>
          <w:szCs w:val="20"/>
          <w:lang w:val="en-US"/>
        </w:rPr>
        <w:t>DIVISE</w:t>
      </w:r>
      <w:r w:rsidR="00D948A1" w:rsidRPr="00EA6C7A">
        <w:rPr>
          <w:rFonts w:ascii="Verdana" w:eastAsia="Calibri" w:hAnsi="Verdana" w:cs="Tahoma"/>
          <w:sz w:val="20"/>
          <w:szCs w:val="20"/>
          <w:lang w:val="en-US"/>
        </w:rPr>
        <w:t xml:space="preserve"> and</w:t>
      </w:r>
      <w:r w:rsidR="00294D53" w:rsidRPr="00EA6C7A">
        <w:rPr>
          <w:rFonts w:ascii="Verdana" w:eastAsia="Calibri" w:hAnsi="Verdana" w:cs="Tahoma"/>
          <w:sz w:val="20"/>
          <w:szCs w:val="20"/>
          <w:lang w:val="en-US"/>
        </w:rPr>
        <w:t xml:space="preserve"> the</w:t>
      </w:r>
      <w:r w:rsidR="00D948A1" w:rsidRPr="00EA6C7A">
        <w:rPr>
          <w:rFonts w:ascii="Verdana" w:eastAsia="Calibri" w:hAnsi="Verdana" w:cs="Tahoma"/>
          <w:sz w:val="20"/>
          <w:szCs w:val="20"/>
          <w:lang w:val="en-US"/>
        </w:rPr>
        <w:t xml:space="preserve"> </w:t>
      </w:r>
      <w:r w:rsidRPr="00EA6C7A">
        <w:rPr>
          <w:rFonts w:ascii="Verdana" w:eastAsia="Calibri" w:hAnsi="Verdana" w:cs="Tahoma"/>
          <w:sz w:val="20"/>
          <w:szCs w:val="20"/>
          <w:lang w:val="en-US"/>
        </w:rPr>
        <w:t>DINCOTE</w:t>
      </w:r>
      <w:r w:rsidR="00294D53" w:rsidRPr="00EA6C7A">
        <w:rPr>
          <w:rFonts w:ascii="Verdana" w:eastAsia="Calibri" w:hAnsi="Verdana" w:cs="Tahoma"/>
          <w:sz w:val="20"/>
          <w:szCs w:val="20"/>
          <w:lang w:val="en-US"/>
        </w:rPr>
        <w:t>;</w:t>
      </w:r>
      <w:r w:rsidRPr="00EA6C7A">
        <w:rPr>
          <w:rFonts w:ascii="Verdana" w:eastAsia="Calibri" w:hAnsi="Verdana" w:cs="Tahoma"/>
          <w:sz w:val="20"/>
          <w:szCs w:val="20"/>
          <w:vertAlign w:val="superscript"/>
          <w:lang w:val="en-US"/>
        </w:rPr>
        <w:footnoteReference w:id="402"/>
      </w:r>
      <w:r w:rsidR="00294D53" w:rsidRPr="00EA6C7A">
        <w:rPr>
          <w:rFonts w:ascii="Verdana" w:eastAsia="Calibri" w:hAnsi="Verdana" w:cs="Tahoma"/>
          <w:sz w:val="20"/>
          <w:szCs w:val="20"/>
          <w:lang w:val="en-US"/>
        </w:rPr>
        <w:t xml:space="preserve"> and, on the other hand, together with violation of </w:t>
      </w:r>
      <w:r w:rsidR="0096418F" w:rsidRPr="00EA6C7A">
        <w:rPr>
          <w:rFonts w:ascii="Verdana" w:eastAsia="Calibri" w:hAnsi="Verdana" w:cs="Tahoma"/>
          <w:sz w:val="20"/>
          <w:szCs w:val="20"/>
          <w:lang w:val="en-US"/>
        </w:rPr>
        <w:t>Articles</w:t>
      </w:r>
      <w:r w:rsidRPr="00EA6C7A">
        <w:rPr>
          <w:rFonts w:ascii="Verdana" w:eastAsia="Calibri" w:hAnsi="Verdana" w:cs="Tahoma"/>
          <w:sz w:val="20"/>
          <w:szCs w:val="20"/>
          <w:lang w:val="en-US"/>
        </w:rPr>
        <w:t xml:space="preserve"> 5</w:t>
      </w:r>
      <w:r w:rsidR="00294D53" w:rsidRPr="00EA6C7A">
        <w:rPr>
          <w:rFonts w:ascii="Verdana" w:eastAsia="Calibri" w:hAnsi="Verdana" w:cs="Tahoma"/>
          <w:sz w:val="20"/>
          <w:szCs w:val="20"/>
          <w:lang w:val="en-US"/>
        </w:rPr>
        <w:t>(1)</w:t>
      </w:r>
      <w:r w:rsidRPr="00EA6C7A">
        <w:rPr>
          <w:rFonts w:ascii="Verdana" w:eastAsia="Calibri" w:hAnsi="Verdana" w:cs="Tahoma"/>
          <w:sz w:val="20"/>
          <w:szCs w:val="20"/>
          <w:lang w:val="en-US"/>
        </w:rPr>
        <w:t>, 5</w:t>
      </w:r>
      <w:r w:rsidR="00294D53" w:rsidRPr="00EA6C7A">
        <w:rPr>
          <w:rFonts w:ascii="Verdana" w:eastAsia="Calibri" w:hAnsi="Verdana" w:cs="Tahoma"/>
          <w:sz w:val="20"/>
          <w:szCs w:val="20"/>
          <w:lang w:val="en-US"/>
        </w:rPr>
        <w:t>(2)</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 xml:space="preserve">11, </w:t>
      </w:r>
      <w:r w:rsidR="00294D53" w:rsidRPr="00EA6C7A">
        <w:rPr>
          <w:rFonts w:ascii="Verdana" w:eastAsia="Calibri" w:hAnsi="Verdana" w:cs="Tahoma"/>
          <w:sz w:val="20"/>
          <w:szCs w:val="20"/>
          <w:lang w:val="en-US"/>
        </w:rPr>
        <w:t>as well as Articles</w:t>
      </w:r>
      <w:r w:rsidRPr="00EA6C7A">
        <w:rPr>
          <w:rFonts w:ascii="Verdana" w:eastAsia="Calibri" w:hAnsi="Verdana" w:cs="Tahoma"/>
          <w:sz w:val="20"/>
          <w:szCs w:val="20"/>
          <w:lang w:val="en-US"/>
        </w:rPr>
        <w:t xml:space="preserve"> 8</w:t>
      </w:r>
      <w:r w:rsidR="00294D53" w:rsidRPr="00EA6C7A">
        <w:rPr>
          <w:rFonts w:ascii="Verdana" w:eastAsia="Calibri" w:hAnsi="Verdana" w:cs="Tahoma"/>
          <w:sz w:val="20"/>
          <w:szCs w:val="20"/>
          <w:lang w:val="en-US"/>
        </w:rPr>
        <w:t>(1)</w:t>
      </w:r>
      <w:r w:rsidRPr="00EA6C7A">
        <w:rPr>
          <w:rFonts w:ascii="Verdana" w:eastAsia="Calibri" w:hAnsi="Verdana" w:cs="Tahoma"/>
          <w:sz w:val="20"/>
          <w:szCs w:val="20"/>
          <w:lang w:val="en-US"/>
        </w:rPr>
        <w:t>, 25</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2</w:t>
      </w:r>
      <w:r w:rsidR="0096418F" w:rsidRPr="00EA6C7A">
        <w:rPr>
          <w:rFonts w:ascii="Verdana" w:eastAsia="Calibri" w:hAnsi="Verdana" w:cs="Tahoma"/>
          <w:sz w:val="20"/>
          <w:szCs w:val="20"/>
          <w:lang w:val="en-US"/>
        </w:rPr>
        <w:t xml:space="preserve"> of the American Convention</w:t>
      </w:r>
      <w:r w:rsidRPr="00EA6C7A">
        <w:rPr>
          <w:rFonts w:ascii="Verdana" w:eastAsia="Calibri" w:hAnsi="Verdana" w:cs="Tahoma"/>
          <w:sz w:val="20"/>
          <w:szCs w:val="20"/>
          <w:lang w:val="en-US"/>
        </w:rPr>
        <w:t xml:space="preserve">, </w:t>
      </w:r>
      <w:r w:rsidR="00294D53" w:rsidRPr="00EA6C7A">
        <w:rPr>
          <w:rFonts w:ascii="Verdana" w:eastAsia="Calibri" w:hAnsi="Verdana" w:cs="Tahoma"/>
          <w:sz w:val="20"/>
          <w:szCs w:val="20"/>
          <w:lang w:val="en-US"/>
        </w:rPr>
        <w:t xml:space="preserve">and </w:t>
      </w:r>
      <w:r w:rsidRPr="00EA6C7A">
        <w:rPr>
          <w:rFonts w:ascii="Verdana" w:eastAsia="Calibri" w:hAnsi="Verdana" w:cs="Tahoma"/>
          <w:sz w:val="20"/>
          <w:szCs w:val="20"/>
          <w:lang w:val="en-US"/>
        </w:rPr>
        <w:t>1, 6</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8</w:t>
      </w:r>
      <w:r w:rsidR="0096418F" w:rsidRPr="00EA6C7A">
        <w:rPr>
          <w:rFonts w:ascii="Verdana" w:eastAsia="Calibri" w:hAnsi="Verdana" w:cs="Tahoma"/>
          <w:sz w:val="20"/>
          <w:szCs w:val="20"/>
          <w:lang w:val="en-US"/>
        </w:rPr>
        <w:t xml:space="preserve"> of the </w:t>
      </w:r>
      <w:r w:rsidR="00A917BD" w:rsidRPr="00EA6C7A">
        <w:rPr>
          <w:rFonts w:ascii="Verdana" w:eastAsia="Calibri" w:hAnsi="Verdana" w:cs="Tahoma"/>
          <w:sz w:val="20"/>
          <w:szCs w:val="20"/>
          <w:lang w:val="en-US"/>
        </w:rPr>
        <w:t>Inter-American Convention to Prevent and Punish Torture</w:t>
      </w:r>
      <w:r w:rsidRPr="00EA6C7A">
        <w:rPr>
          <w:rFonts w:ascii="Verdana" w:eastAsia="Calibri" w:hAnsi="Verdana" w:cs="Tahoma"/>
          <w:sz w:val="20"/>
          <w:szCs w:val="20"/>
          <w:lang w:val="en-US"/>
        </w:rPr>
        <w:t xml:space="preserve">, </w:t>
      </w:r>
      <w:r w:rsidR="00294D53" w:rsidRPr="00EA6C7A">
        <w:rPr>
          <w:rFonts w:ascii="Verdana" w:eastAsia="Calibri" w:hAnsi="Verdana" w:cs="Tahoma"/>
          <w:sz w:val="20"/>
          <w:szCs w:val="20"/>
          <w:lang w:val="en-US"/>
        </w:rPr>
        <w:t xml:space="preserve">owing to the stereotyped assessment of the evidence by the Judiciary, which constituted gender-based discrimination in </w:t>
      </w:r>
      <w:r w:rsidR="002D218C" w:rsidRPr="00EA6C7A">
        <w:rPr>
          <w:rFonts w:ascii="Verdana" w:eastAsia="Calibri" w:hAnsi="Verdana" w:cs="Tahoma"/>
          <w:sz w:val="20"/>
          <w:szCs w:val="20"/>
          <w:lang w:val="en-US"/>
        </w:rPr>
        <w:t>access to justice</w:t>
      </w:r>
      <w:r w:rsidR="00294D53" w:rsidRPr="00EA6C7A">
        <w:rPr>
          <w:rFonts w:ascii="Verdana" w:eastAsia="Calibri" w:hAnsi="Verdana" w:cs="Tahoma"/>
          <w:sz w:val="20"/>
          <w:szCs w:val="20"/>
          <w:lang w:val="en-US"/>
        </w:rPr>
        <w:t>,</w:t>
      </w:r>
      <w:r w:rsidRPr="00EA6C7A">
        <w:rPr>
          <w:rFonts w:ascii="Verdana" w:eastAsia="Calibri" w:hAnsi="Verdana" w:cs="Tahoma"/>
          <w:sz w:val="20"/>
          <w:szCs w:val="20"/>
          <w:vertAlign w:val="superscript"/>
          <w:lang w:val="en-US"/>
        </w:rPr>
        <w:footnoteReference w:id="403"/>
      </w:r>
      <w:r w:rsidR="00294D53" w:rsidRPr="00EA6C7A">
        <w:rPr>
          <w:rFonts w:ascii="Verdana" w:eastAsia="Calibri" w:hAnsi="Verdana" w:cs="Tahoma"/>
          <w:sz w:val="20"/>
          <w:szCs w:val="20"/>
          <w:lang w:val="en-US"/>
        </w:rPr>
        <w:t xml:space="preserve"> and also </w:t>
      </w:r>
      <w:r w:rsidR="00F40F45" w:rsidRPr="00EA6C7A">
        <w:rPr>
          <w:rFonts w:ascii="Verdana" w:eastAsia="Calibri" w:hAnsi="Verdana" w:cs="Tahoma"/>
          <w:sz w:val="20"/>
          <w:szCs w:val="20"/>
          <w:lang w:val="en-US"/>
        </w:rPr>
        <w:t>due to</w:t>
      </w:r>
      <w:r w:rsidR="00294D53" w:rsidRPr="00EA6C7A">
        <w:rPr>
          <w:rFonts w:ascii="Verdana" w:eastAsia="Calibri" w:hAnsi="Verdana" w:cs="Tahoma"/>
          <w:sz w:val="20"/>
          <w:szCs w:val="20"/>
          <w:lang w:val="en-US"/>
        </w:rPr>
        <w:t xml:space="preserve"> the </w:t>
      </w:r>
      <w:r w:rsidR="00951B49" w:rsidRPr="00EA6C7A">
        <w:rPr>
          <w:rFonts w:ascii="Verdana" w:eastAsia="Calibri" w:hAnsi="Verdana" w:cs="Tahoma"/>
          <w:sz w:val="20"/>
          <w:szCs w:val="20"/>
          <w:lang w:val="en-US"/>
        </w:rPr>
        <w:t>sexual violence</w:t>
      </w:r>
      <w:r w:rsidR="00D948A1" w:rsidRPr="00EA6C7A">
        <w:rPr>
          <w:rFonts w:ascii="Verdana" w:eastAsia="Calibri" w:hAnsi="Verdana" w:cs="Tahoma"/>
          <w:sz w:val="20"/>
          <w:szCs w:val="20"/>
          <w:lang w:val="en-US"/>
        </w:rPr>
        <w:t xml:space="preserve"> and </w:t>
      </w:r>
      <w:r w:rsidRPr="00EA6C7A">
        <w:rPr>
          <w:rFonts w:ascii="Verdana" w:eastAsia="Calibri" w:hAnsi="Verdana" w:cs="Tahoma"/>
          <w:sz w:val="20"/>
          <w:szCs w:val="20"/>
          <w:lang w:val="en-US"/>
        </w:rPr>
        <w:t>tortur</w:t>
      </w:r>
      <w:r w:rsidR="00294D53" w:rsidRPr="00EA6C7A">
        <w:rPr>
          <w:rFonts w:ascii="Verdana" w:eastAsia="Calibri" w:hAnsi="Verdana" w:cs="Tahoma"/>
          <w:sz w:val="20"/>
          <w:szCs w:val="20"/>
          <w:lang w:val="en-US"/>
        </w:rPr>
        <w:t>e suffered by the victim.</w:t>
      </w:r>
      <w:r w:rsidRPr="00EA6C7A">
        <w:rPr>
          <w:rFonts w:ascii="Verdana" w:eastAsia="Calibri" w:hAnsi="Verdana" w:cs="Tahoma"/>
          <w:sz w:val="20"/>
          <w:szCs w:val="20"/>
          <w:vertAlign w:val="superscript"/>
          <w:lang w:val="en-US"/>
        </w:rPr>
        <w:footnoteReference w:id="404"/>
      </w:r>
    </w:p>
    <w:p w14:paraId="2DCDCD6F" w14:textId="77777777" w:rsidR="00175ABB" w:rsidRPr="00EA6C7A" w:rsidRDefault="00175ABB" w:rsidP="00175ABB">
      <w:pPr>
        <w:autoSpaceDE w:val="0"/>
        <w:autoSpaceDN w:val="0"/>
        <w:adjustRightInd w:val="0"/>
        <w:spacing w:after="0" w:line="240" w:lineRule="auto"/>
        <w:jc w:val="both"/>
        <w:rPr>
          <w:rFonts w:ascii="Verdana" w:eastAsia="Calibri" w:hAnsi="Verdana" w:cs="Tahoma"/>
          <w:sz w:val="20"/>
          <w:szCs w:val="20"/>
          <w:lang w:val="en-US"/>
        </w:rPr>
      </w:pPr>
    </w:p>
    <w:p w14:paraId="4B4EDEC2"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16. </w:t>
      </w:r>
      <w:r w:rsidRPr="00EA6C7A">
        <w:rPr>
          <w:rFonts w:ascii="Verdana" w:eastAsia="Calibri" w:hAnsi="Verdana" w:cs="Tahoma"/>
          <w:sz w:val="20"/>
          <w:szCs w:val="20"/>
          <w:lang w:val="en-US"/>
        </w:rPr>
        <w:tab/>
      </w:r>
      <w:r w:rsidR="00294D53" w:rsidRPr="00EA6C7A">
        <w:rPr>
          <w:rFonts w:ascii="Verdana" w:eastAsia="Calibri" w:hAnsi="Verdana" w:cs="Tahoma"/>
          <w:sz w:val="20"/>
          <w:szCs w:val="20"/>
          <w:lang w:val="en-US"/>
        </w:rPr>
        <w:t>A</w:t>
      </w:r>
      <w:r w:rsidR="002C132E" w:rsidRPr="00EA6C7A">
        <w:rPr>
          <w:rFonts w:ascii="Verdana" w:eastAsia="Calibri" w:hAnsi="Verdana" w:cs="Tahoma"/>
          <w:sz w:val="20"/>
          <w:szCs w:val="20"/>
          <w:lang w:val="en-US"/>
        </w:rPr>
        <w:t>s</w:t>
      </w:r>
      <w:r w:rsidR="00294D53" w:rsidRPr="00EA6C7A">
        <w:rPr>
          <w:rFonts w:ascii="Verdana" w:eastAsia="Calibri" w:hAnsi="Verdana" w:cs="Tahoma"/>
          <w:sz w:val="20"/>
          <w:szCs w:val="20"/>
          <w:lang w:val="en-US"/>
        </w:rPr>
        <w:t xml:space="preserve"> can be appreciated from this brief overview, the </w:t>
      </w:r>
      <w:r w:rsidR="00F40F45" w:rsidRPr="00EA6C7A">
        <w:rPr>
          <w:rFonts w:ascii="Verdana" w:eastAsia="Calibri" w:hAnsi="Verdana" w:cs="Tahoma"/>
          <w:sz w:val="20"/>
          <w:szCs w:val="20"/>
          <w:lang w:val="en-US"/>
        </w:rPr>
        <w:t xml:space="preserve">Court’s </w:t>
      </w:r>
      <w:r w:rsidR="00294D53" w:rsidRPr="00EA6C7A">
        <w:rPr>
          <w:rFonts w:ascii="Verdana" w:eastAsia="Calibri" w:hAnsi="Verdana" w:cs="Tahoma"/>
          <w:sz w:val="20"/>
          <w:szCs w:val="20"/>
          <w:lang w:val="en-US"/>
        </w:rPr>
        <w:t xml:space="preserve">case law has not remained on the sidelines of the problem of violence against women in the region.  To the contrary, it has examined </w:t>
      </w:r>
      <w:r w:rsidR="00F40F45" w:rsidRPr="00EA6C7A">
        <w:rPr>
          <w:rFonts w:ascii="Verdana" w:eastAsia="Calibri" w:hAnsi="Verdana" w:cs="Tahoma"/>
          <w:sz w:val="20"/>
          <w:szCs w:val="20"/>
          <w:lang w:val="en-US"/>
        </w:rPr>
        <w:t xml:space="preserve">this </w:t>
      </w:r>
      <w:r w:rsidR="00294D53" w:rsidRPr="00EA6C7A">
        <w:rPr>
          <w:rFonts w:ascii="Verdana" w:eastAsia="Calibri" w:hAnsi="Verdana" w:cs="Tahoma"/>
          <w:sz w:val="20"/>
          <w:szCs w:val="20"/>
          <w:lang w:val="en-US"/>
        </w:rPr>
        <w:t xml:space="preserve">on various occasions as a result of </w:t>
      </w:r>
      <w:r w:rsidR="002C132E" w:rsidRPr="00EA6C7A">
        <w:rPr>
          <w:rFonts w:ascii="Verdana" w:eastAsia="Calibri" w:hAnsi="Verdana" w:cs="Tahoma"/>
          <w:sz w:val="20"/>
          <w:szCs w:val="20"/>
          <w:lang w:val="en-US"/>
        </w:rPr>
        <w:t xml:space="preserve">an interpretation of the provisions </w:t>
      </w:r>
      <w:r w:rsidR="0096418F" w:rsidRPr="00EA6C7A">
        <w:rPr>
          <w:rFonts w:ascii="Verdana" w:eastAsia="Calibri" w:hAnsi="Verdana" w:cs="Tahoma"/>
          <w:sz w:val="20"/>
          <w:szCs w:val="20"/>
          <w:lang w:val="en-US"/>
        </w:rPr>
        <w:t>of the American Convention</w:t>
      </w:r>
      <w:r w:rsidRPr="00EA6C7A">
        <w:rPr>
          <w:rFonts w:ascii="Verdana" w:eastAsia="Calibri" w:hAnsi="Verdana" w:cs="Tahoma"/>
          <w:sz w:val="20"/>
          <w:szCs w:val="20"/>
          <w:lang w:val="en-US"/>
        </w:rPr>
        <w:t xml:space="preserve"> </w:t>
      </w:r>
      <w:r w:rsidR="002B325A" w:rsidRPr="00EA6C7A">
        <w:rPr>
          <w:rFonts w:ascii="Verdana" w:eastAsia="Calibri" w:hAnsi="Verdana" w:cs="Tahoma"/>
          <w:sz w:val="20"/>
          <w:szCs w:val="20"/>
          <w:lang w:val="en-US"/>
        </w:rPr>
        <w:t>in relation to Article</w:t>
      </w:r>
      <w:r w:rsidRPr="00EA6C7A">
        <w:rPr>
          <w:rFonts w:ascii="Verdana" w:eastAsia="Calibri" w:hAnsi="Verdana" w:cs="Tahoma"/>
          <w:sz w:val="20"/>
          <w:szCs w:val="20"/>
          <w:lang w:val="en-US"/>
        </w:rPr>
        <w:t xml:space="preserve"> 7</w:t>
      </w:r>
      <w:r w:rsidR="00D5307F" w:rsidRPr="00EA6C7A">
        <w:rPr>
          <w:rFonts w:ascii="Verdana" w:eastAsia="Calibri" w:hAnsi="Verdana" w:cs="Tahoma"/>
          <w:sz w:val="20"/>
          <w:szCs w:val="20"/>
          <w:lang w:val="en-US"/>
        </w:rPr>
        <w:t xml:space="preserve"> of the </w:t>
      </w:r>
      <w:r w:rsidRPr="00EA6C7A">
        <w:rPr>
          <w:rFonts w:ascii="Verdana" w:eastAsia="Calibri" w:hAnsi="Verdana" w:cs="Tahoma"/>
          <w:sz w:val="20"/>
          <w:szCs w:val="20"/>
          <w:lang w:val="en-US"/>
        </w:rPr>
        <w:t>“</w:t>
      </w:r>
      <w:r w:rsidR="00F912BD" w:rsidRPr="00EA6C7A">
        <w:rPr>
          <w:rFonts w:ascii="Verdana" w:eastAsia="Calibri" w:hAnsi="Verdana" w:cs="Tahoma"/>
          <w:sz w:val="20"/>
          <w:szCs w:val="20"/>
          <w:lang w:val="en-US"/>
        </w:rPr>
        <w:t>Convention of</w:t>
      </w:r>
      <w:r w:rsidRPr="00EA6C7A">
        <w:rPr>
          <w:rFonts w:ascii="Verdana" w:eastAsia="Calibri" w:hAnsi="Verdana" w:cs="Tahoma"/>
          <w:sz w:val="20"/>
          <w:szCs w:val="20"/>
          <w:lang w:val="en-US"/>
        </w:rPr>
        <w:t xml:space="preserve"> Belém do Pará</w:t>
      </w:r>
      <w:r w:rsidR="002C132E" w:rsidRPr="00EA6C7A">
        <w:rPr>
          <w:rFonts w:ascii="Verdana" w:eastAsia="Calibri" w:hAnsi="Verdana" w:cs="Tahoma"/>
          <w:sz w:val="20"/>
          <w:szCs w:val="20"/>
          <w:lang w:val="en-US"/>
        </w:rPr>
        <w:t>,</w:t>
      </w:r>
      <w:r w:rsidRPr="00EA6C7A">
        <w:rPr>
          <w:rFonts w:ascii="Verdana" w:eastAsia="Calibri" w:hAnsi="Verdana" w:cs="Tahoma"/>
          <w:sz w:val="20"/>
          <w:szCs w:val="20"/>
          <w:lang w:val="en-US"/>
        </w:rPr>
        <w:t>”</w:t>
      </w:r>
      <w:r w:rsidR="002C132E" w:rsidRPr="00EA6C7A">
        <w:rPr>
          <w:rFonts w:ascii="Verdana" w:eastAsia="Calibri" w:hAnsi="Verdana" w:cs="Tahoma"/>
          <w:sz w:val="20"/>
          <w:szCs w:val="20"/>
          <w:lang w:val="en-US"/>
        </w:rPr>
        <w:t xml:space="preserve"> establishing invaluable standards for </w:t>
      </w:r>
      <w:r w:rsidR="00F40F45" w:rsidRPr="00EA6C7A">
        <w:rPr>
          <w:rFonts w:ascii="Verdana" w:eastAsia="Calibri" w:hAnsi="Verdana" w:cs="Tahoma"/>
          <w:sz w:val="20"/>
          <w:szCs w:val="20"/>
          <w:lang w:val="en-US"/>
        </w:rPr>
        <w:t>State</w:t>
      </w:r>
      <w:r w:rsidR="002C132E" w:rsidRPr="00EA6C7A">
        <w:rPr>
          <w:rFonts w:ascii="Verdana" w:eastAsia="Calibri" w:hAnsi="Verdana" w:cs="Tahoma"/>
          <w:sz w:val="20"/>
          <w:szCs w:val="20"/>
          <w:lang w:val="en-US"/>
        </w:rPr>
        <w:t xml:space="preserve"> obligations in cases of gender-based violence, especially – and based on the matter which is the purpose of this opinion – on the </w:t>
      </w:r>
      <w:r w:rsidRPr="00EA6C7A">
        <w:rPr>
          <w:rFonts w:ascii="Verdana" w:eastAsia="Calibri" w:hAnsi="Verdana" w:cs="Tahoma"/>
          <w:sz w:val="20"/>
          <w:szCs w:val="20"/>
          <w:lang w:val="en-US"/>
        </w:rPr>
        <w:t>“</w:t>
      </w:r>
      <w:r w:rsidR="00D5307F" w:rsidRPr="00EA6C7A">
        <w:rPr>
          <w:rFonts w:ascii="Verdana" w:eastAsia="Calibri" w:hAnsi="Verdana" w:cs="Tahoma"/>
          <w:sz w:val="20"/>
          <w:szCs w:val="20"/>
          <w:lang w:val="en-US"/>
        </w:rPr>
        <w:t>obligation of prevention</w:t>
      </w:r>
      <w:r w:rsidRPr="00EA6C7A">
        <w:rPr>
          <w:rFonts w:ascii="Verdana" w:eastAsia="Calibri" w:hAnsi="Verdana" w:cs="Tahoma"/>
          <w:sz w:val="20"/>
          <w:szCs w:val="20"/>
          <w:lang w:val="en-US"/>
        </w:rPr>
        <w:t xml:space="preserve">” </w:t>
      </w:r>
      <w:r w:rsidR="002C132E" w:rsidRPr="00EA6C7A">
        <w:rPr>
          <w:rFonts w:ascii="Verdana" w:eastAsia="Calibri" w:hAnsi="Verdana" w:cs="Tahoma"/>
          <w:sz w:val="20"/>
          <w:szCs w:val="20"/>
          <w:lang w:val="en-US"/>
        </w:rPr>
        <w:t>to which I will refer below</w:t>
      </w:r>
      <w:r w:rsidRPr="00EA6C7A">
        <w:rPr>
          <w:rFonts w:ascii="Verdana" w:eastAsia="Calibri" w:hAnsi="Verdana" w:cs="Tahoma"/>
          <w:sz w:val="20"/>
          <w:szCs w:val="20"/>
          <w:lang w:val="en-US"/>
        </w:rPr>
        <w:t>.</w:t>
      </w:r>
    </w:p>
    <w:p w14:paraId="2BC4A49A" w14:textId="77777777" w:rsidR="00175ABB" w:rsidRPr="00EA6C7A" w:rsidRDefault="00175ABB" w:rsidP="00175ABB">
      <w:pPr>
        <w:autoSpaceDE w:val="0"/>
        <w:autoSpaceDN w:val="0"/>
        <w:adjustRightInd w:val="0"/>
        <w:spacing w:after="0" w:line="240" w:lineRule="auto"/>
        <w:jc w:val="both"/>
        <w:rPr>
          <w:rFonts w:ascii="Verdana" w:eastAsia="Calibri" w:hAnsi="Verdana" w:cs="Tahoma"/>
          <w:sz w:val="20"/>
          <w:szCs w:val="20"/>
          <w:lang w:val="en-US"/>
        </w:rPr>
      </w:pPr>
    </w:p>
    <w:p w14:paraId="31EB5F8B" w14:textId="77777777" w:rsidR="00175ABB" w:rsidRPr="00EA6C7A" w:rsidRDefault="00175ABB" w:rsidP="002C132E">
      <w:pPr>
        <w:spacing w:after="0" w:line="240" w:lineRule="auto"/>
        <w:jc w:val="center"/>
        <w:rPr>
          <w:rFonts w:ascii="Verdana" w:eastAsia="Calibri" w:hAnsi="Verdana" w:cs="Tahoma"/>
          <w:bCs/>
          <w:i/>
          <w:caps/>
          <w:color w:val="000000"/>
          <w:sz w:val="20"/>
          <w:szCs w:val="20"/>
          <w:shd w:val="clear" w:color="auto" w:fill="FFFFFF"/>
          <w:lang w:val="en-US"/>
        </w:rPr>
      </w:pPr>
      <w:r w:rsidRPr="00EA6C7A">
        <w:rPr>
          <w:rFonts w:ascii="Verdana" w:eastAsia="Calibri" w:hAnsi="Verdana" w:cs="Tahoma"/>
          <w:sz w:val="20"/>
          <w:szCs w:val="20"/>
          <w:lang w:val="en-US"/>
        </w:rPr>
        <w:t xml:space="preserve">II. </w:t>
      </w:r>
      <w:r w:rsidR="002C132E" w:rsidRPr="00EA6C7A">
        <w:rPr>
          <w:rFonts w:ascii="Verdana" w:eastAsia="Calibri" w:hAnsi="Verdana" w:cs="Tahoma"/>
          <w:bCs/>
          <w:caps/>
          <w:sz w:val="20"/>
          <w:szCs w:val="20"/>
          <w:lang w:val="en-US"/>
        </w:rPr>
        <w:t>THE</w:t>
      </w:r>
      <w:r w:rsidRPr="00EA6C7A">
        <w:rPr>
          <w:rFonts w:ascii="Verdana" w:eastAsia="Calibri" w:hAnsi="Verdana" w:cs="Tahoma"/>
          <w:bCs/>
          <w:caps/>
          <w:sz w:val="20"/>
          <w:szCs w:val="20"/>
          <w:lang w:val="en-US"/>
        </w:rPr>
        <w:t xml:space="preserve"> “</w:t>
      </w:r>
      <w:r w:rsidR="00D5307F" w:rsidRPr="00EA6C7A">
        <w:rPr>
          <w:rFonts w:ascii="Verdana" w:eastAsia="Calibri" w:hAnsi="Verdana" w:cs="Tahoma"/>
          <w:bCs/>
          <w:caps/>
          <w:sz w:val="20"/>
          <w:szCs w:val="20"/>
          <w:lang w:val="en-US"/>
        </w:rPr>
        <w:t>obligation of prevention</w:t>
      </w:r>
      <w:r w:rsidRPr="00EA6C7A">
        <w:rPr>
          <w:rFonts w:ascii="Verdana" w:eastAsia="Calibri" w:hAnsi="Verdana" w:cs="Tahoma"/>
          <w:bCs/>
          <w:caps/>
          <w:sz w:val="20"/>
          <w:szCs w:val="20"/>
          <w:lang w:val="en-US"/>
        </w:rPr>
        <w:t>”</w:t>
      </w:r>
      <w:r w:rsidR="00D948A1" w:rsidRPr="00EA6C7A">
        <w:rPr>
          <w:rFonts w:ascii="Verdana" w:eastAsia="Calibri" w:hAnsi="Verdana" w:cs="Tahoma"/>
          <w:bCs/>
          <w:caps/>
          <w:sz w:val="20"/>
          <w:szCs w:val="20"/>
          <w:lang w:val="en-US"/>
        </w:rPr>
        <w:t xml:space="preserve"> and </w:t>
      </w:r>
      <w:r w:rsidR="002C132E" w:rsidRPr="00EA6C7A">
        <w:rPr>
          <w:rFonts w:ascii="Verdana" w:eastAsia="Calibri" w:hAnsi="Verdana" w:cs="Tahoma"/>
          <w:bCs/>
          <w:caps/>
          <w:sz w:val="20"/>
          <w:szCs w:val="20"/>
          <w:lang w:val="en-US"/>
        </w:rPr>
        <w:t>ITS</w:t>
      </w:r>
      <w:r w:rsidRPr="00EA6C7A">
        <w:rPr>
          <w:rFonts w:ascii="Verdana" w:eastAsia="Calibri" w:hAnsi="Verdana" w:cs="Tahoma"/>
          <w:bCs/>
          <w:caps/>
          <w:sz w:val="20"/>
          <w:szCs w:val="20"/>
          <w:lang w:val="en-US"/>
        </w:rPr>
        <w:t xml:space="preserve"> “</w:t>
      </w:r>
      <w:r w:rsidR="002C132E" w:rsidRPr="00EA6C7A">
        <w:rPr>
          <w:rFonts w:ascii="Verdana" w:eastAsia="Calibri" w:hAnsi="Verdana" w:cs="Tahoma"/>
          <w:bCs/>
          <w:caps/>
          <w:sz w:val="20"/>
          <w:szCs w:val="20"/>
          <w:lang w:val="en-US"/>
        </w:rPr>
        <w:t>TWO</w:t>
      </w:r>
      <w:r w:rsidRPr="00EA6C7A">
        <w:rPr>
          <w:rFonts w:ascii="Verdana" w:eastAsia="Calibri" w:hAnsi="Verdana" w:cs="Tahoma"/>
          <w:bCs/>
          <w:caps/>
          <w:sz w:val="20"/>
          <w:szCs w:val="20"/>
          <w:lang w:val="en-US"/>
        </w:rPr>
        <w:t xml:space="preserve"> moments” </w:t>
      </w:r>
      <w:r w:rsidR="00D5307F" w:rsidRPr="00EA6C7A">
        <w:rPr>
          <w:rFonts w:ascii="Verdana" w:eastAsia="Calibri" w:hAnsi="Verdana" w:cs="Tahoma"/>
          <w:bCs/>
          <w:caps/>
          <w:sz w:val="20"/>
          <w:szCs w:val="20"/>
          <w:lang w:val="en-US"/>
        </w:rPr>
        <w:t>in the cases of</w:t>
      </w:r>
      <w:r w:rsidRPr="00EA6C7A">
        <w:rPr>
          <w:rFonts w:ascii="Verdana" w:eastAsia="Calibri" w:hAnsi="Verdana" w:cs="Tahoma"/>
          <w:bCs/>
          <w:caps/>
          <w:sz w:val="20"/>
          <w:szCs w:val="20"/>
          <w:lang w:val="en-US"/>
        </w:rPr>
        <w:t xml:space="preserve"> </w:t>
      </w:r>
      <w:r w:rsidR="008B402D" w:rsidRPr="00EA6C7A">
        <w:rPr>
          <w:rFonts w:ascii="Verdana" w:eastAsia="Calibri" w:hAnsi="Verdana" w:cs="Tahoma"/>
          <w:bCs/>
          <w:i/>
          <w:caps/>
          <w:color w:val="000000"/>
          <w:sz w:val="20"/>
          <w:szCs w:val="20"/>
          <w:shd w:val="clear" w:color="auto" w:fill="FFFFFF"/>
          <w:lang w:val="en-US"/>
        </w:rPr>
        <w:t>González et al.</w:t>
      </w:r>
      <w:r w:rsidRPr="00EA6C7A">
        <w:rPr>
          <w:rFonts w:ascii="Verdana" w:eastAsia="Calibri" w:hAnsi="Verdana" w:cs="Tahoma"/>
          <w:bCs/>
          <w:i/>
          <w:caps/>
          <w:color w:val="000000"/>
          <w:sz w:val="20"/>
          <w:szCs w:val="20"/>
          <w:shd w:val="clear" w:color="auto" w:fill="FFFFFF"/>
          <w:lang w:val="en-US"/>
        </w:rPr>
        <w:t xml:space="preserve"> (“</w:t>
      </w:r>
      <w:r w:rsidR="001914FC" w:rsidRPr="00EA6C7A">
        <w:rPr>
          <w:rFonts w:ascii="Verdana" w:eastAsia="Calibri" w:hAnsi="Verdana" w:cs="Tahoma"/>
          <w:bCs/>
          <w:i/>
          <w:caps/>
          <w:color w:val="000000"/>
          <w:sz w:val="20"/>
          <w:szCs w:val="20"/>
          <w:shd w:val="clear" w:color="auto" w:fill="FFFFFF"/>
          <w:lang w:val="en-US"/>
        </w:rPr>
        <w:t>Cotton Field</w:t>
      </w:r>
      <w:r w:rsidRPr="00EA6C7A">
        <w:rPr>
          <w:rFonts w:ascii="Verdana" w:eastAsia="Calibri" w:hAnsi="Verdana" w:cs="Tahoma"/>
          <w:bCs/>
          <w:i/>
          <w:caps/>
          <w:color w:val="000000"/>
          <w:sz w:val="20"/>
          <w:szCs w:val="20"/>
          <w:shd w:val="clear" w:color="auto" w:fill="FFFFFF"/>
          <w:lang w:val="en-US"/>
        </w:rPr>
        <w:t xml:space="preserve">”) </w:t>
      </w:r>
      <w:r w:rsidR="001914FC" w:rsidRPr="00EA6C7A">
        <w:rPr>
          <w:rFonts w:ascii="Verdana" w:eastAsia="Calibri" w:hAnsi="Verdana" w:cs="Tahoma"/>
          <w:bCs/>
          <w:i/>
          <w:caps/>
          <w:color w:val="000000"/>
          <w:sz w:val="20"/>
          <w:szCs w:val="20"/>
          <w:shd w:val="clear" w:color="auto" w:fill="FFFFFF"/>
          <w:lang w:val="en-US"/>
        </w:rPr>
        <w:t>v.</w:t>
      </w:r>
      <w:r w:rsidRPr="00EA6C7A">
        <w:rPr>
          <w:rFonts w:ascii="Verdana" w:eastAsia="Calibri" w:hAnsi="Verdana" w:cs="Tahoma"/>
          <w:bCs/>
          <w:i/>
          <w:caps/>
          <w:color w:val="000000"/>
          <w:sz w:val="20"/>
          <w:szCs w:val="20"/>
          <w:shd w:val="clear" w:color="auto" w:fill="FFFFFF"/>
          <w:lang w:val="en-US"/>
        </w:rPr>
        <w:t xml:space="preserve"> </w:t>
      </w:r>
      <w:r w:rsidR="001914FC" w:rsidRPr="00EA6C7A">
        <w:rPr>
          <w:rFonts w:ascii="Verdana" w:eastAsia="Calibri" w:hAnsi="Verdana" w:cs="Tahoma"/>
          <w:bCs/>
          <w:i/>
          <w:caps/>
          <w:color w:val="000000"/>
          <w:sz w:val="20"/>
          <w:szCs w:val="20"/>
          <w:shd w:val="clear" w:color="auto" w:fill="FFFFFF"/>
          <w:lang w:val="en-US"/>
        </w:rPr>
        <w:t>Mexico</w:t>
      </w:r>
      <w:r w:rsidRPr="00EA6C7A">
        <w:rPr>
          <w:rFonts w:ascii="Verdana" w:eastAsia="Calibri" w:hAnsi="Verdana" w:cs="Tahoma"/>
          <w:bCs/>
          <w:i/>
          <w:caps/>
          <w:color w:val="000000"/>
          <w:sz w:val="20"/>
          <w:szCs w:val="20"/>
          <w:shd w:val="clear" w:color="auto" w:fill="FFFFFF"/>
          <w:lang w:val="en-US"/>
        </w:rPr>
        <w:t xml:space="preserve"> (2009),</w:t>
      </w:r>
      <w:r w:rsidR="00D948A1" w:rsidRPr="00EA6C7A">
        <w:rPr>
          <w:rFonts w:ascii="Verdana" w:eastAsia="Calibri" w:hAnsi="Verdana" w:cs="Tahoma"/>
          <w:bCs/>
          <w:i/>
          <w:caps/>
          <w:color w:val="000000"/>
          <w:sz w:val="20"/>
          <w:szCs w:val="20"/>
          <w:shd w:val="clear" w:color="auto" w:fill="FFFFFF"/>
          <w:lang w:val="en-US"/>
        </w:rPr>
        <w:t xml:space="preserve"> </w:t>
      </w:r>
      <w:r w:rsidR="00D948A1" w:rsidRPr="00EA6C7A">
        <w:rPr>
          <w:rFonts w:ascii="Verdana" w:eastAsia="Calibri" w:hAnsi="Verdana" w:cs="Tahoma"/>
          <w:bCs/>
          <w:iCs/>
          <w:caps/>
          <w:color w:val="000000"/>
          <w:sz w:val="20"/>
          <w:szCs w:val="20"/>
          <w:shd w:val="clear" w:color="auto" w:fill="FFFFFF"/>
          <w:lang w:val="en-US"/>
        </w:rPr>
        <w:t>and</w:t>
      </w:r>
      <w:r w:rsidR="00D948A1" w:rsidRPr="00EA6C7A">
        <w:rPr>
          <w:rFonts w:ascii="Verdana" w:eastAsia="Calibri" w:hAnsi="Verdana" w:cs="Tahoma"/>
          <w:bCs/>
          <w:i/>
          <w:caps/>
          <w:color w:val="000000"/>
          <w:sz w:val="20"/>
          <w:szCs w:val="20"/>
          <w:shd w:val="clear" w:color="auto" w:fill="FFFFFF"/>
          <w:lang w:val="en-US"/>
        </w:rPr>
        <w:t xml:space="preserve"> </w:t>
      </w:r>
      <w:r w:rsidRPr="00EA6C7A">
        <w:rPr>
          <w:rFonts w:ascii="Verdana" w:eastAsia="Calibri" w:hAnsi="Verdana" w:cs="Tahoma"/>
          <w:bCs/>
          <w:i/>
          <w:caps/>
          <w:color w:val="000000"/>
          <w:sz w:val="20"/>
          <w:szCs w:val="20"/>
          <w:shd w:val="clear" w:color="auto" w:fill="FFFFFF"/>
          <w:lang w:val="en-US"/>
        </w:rPr>
        <w:t xml:space="preserve">Veliz </w:t>
      </w:r>
      <w:r w:rsidR="006A51FD" w:rsidRPr="00EA6C7A">
        <w:rPr>
          <w:rFonts w:ascii="Verdana" w:eastAsia="Calibri" w:hAnsi="Verdana" w:cs="Tahoma"/>
          <w:bCs/>
          <w:i/>
          <w:caps/>
          <w:color w:val="000000"/>
          <w:sz w:val="20"/>
          <w:szCs w:val="20"/>
          <w:shd w:val="clear" w:color="auto" w:fill="FFFFFF"/>
          <w:lang w:val="en-US"/>
        </w:rPr>
        <w:t>Franco et al.</w:t>
      </w:r>
      <w:r w:rsidRPr="00EA6C7A">
        <w:rPr>
          <w:rFonts w:ascii="Verdana" w:eastAsia="Calibri" w:hAnsi="Verdana" w:cs="Tahoma"/>
          <w:bCs/>
          <w:i/>
          <w:caps/>
          <w:color w:val="000000"/>
          <w:sz w:val="20"/>
          <w:szCs w:val="20"/>
          <w:shd w:val="clear" w:color="auto" w:fill="FFFFFF"/>
          <w:lang w:val="en-US"/>
        </w:rPr>
        <w:t xml:space="preserve"> v. Guatemala (2014)</w:t>
      </w:r>
    </w:p>
    <w:p w14:paraId="2DBD28CB" w14:textId="77777777" w:rsidR="002C132E" w:rsidRPr="00EA6C7A" w:rsidRDefault="002C132E" w:rsidP="002C132E">
      <w:pPr>
        <w:spacing w:after="0" w:line="240" w:lineRule="auto"/>
        <w:jc w:val="center"/>
        <w:rPr>
          <w:rFonts w:ascii="Verdana" w:eastAsia="Calibri" w:hAnsi="Verdana" w:cs="Tahoma"/>
          <w:bCs/>
          <w:i/>
          <w:caps/>
          <w:color w:val="000000"/>
          <w:sz w:val="20"/>
          <w:szCs w:val="20"/>
          <w:shd w:val="clear" w:color="auto" w:fill="FFFFFF"/>
          <w:lang w:val="en-US"/>
        </w:rPr>
      </w:pPr>
    </w:p>
    <w:p w14:paraId="4CD2D0A8" w14:textId="77777777" w:rsidR="00175ABB" w:rsidRPr="00EA6C7A" w:rsidRDefault="00175ABB" w:rsidP="00175ABB">
      <w:pPr>
        <w:spacing w:line="240" w:lineRule="auto"/>
        <w:contextualSpacing/>
        <w:jc w:val="both"/>
        <w:rPr>
          <w:rFonts w:ascii="Verdana" w:eastAsia="Calibri" w:hAnsi="Verdana" w:cs="Tahoma"/>
          <w:sz w:val="20"/>
          <w:szCs w:val="20"/>
          <w:lang w:val="en-US"/>
        </w:rPr>
      </w:pPr>
      <w:r w:rsidRPr="00EA6C7A">
        <w:rPr>
          <w:rFonts w:ascii="Verdana" w:eastAsia="Calibri" w:hAnsi="Verdana" w:cs="Tahoma"/>
          <w:sz w:val="20"/>
          <w:szCs w:val="20"/>
          <w:lang w:val="en-US"/>
        </w:rPr>
        <w:t xml:space="preserve">17. </w:t>
      </w:r>
      <w:r w:rsidRPr="00EA6C7A">
        <w:rPr>
          <w:rFonts w:ascii="Verdana" w:eastAsia="Calibri" w:hAnsi="Verdana" w:cs="Tahoma"/>
          <w:sz w:val="20"/>
          <w:szCs w:val="20"/>
          <w:lang w:val="en-US"/>
        </w:rPr>
        <w:tab/>
      </w:r>
      <w:r w:rsidR="002C132E" w:rsidRPr="00EA6C7A">
        <w:rPr>
          <w:rFonts w:ascii="Verdana" w:eastAsia="Calibri" w:hAnsi="Verdana" w:cs="Tahoma"/>
          <w:sz w:val="20"/>
          <w:szCs w:val="20"/>
          <w:lang w:val="en-US"/>
        </w:rPr>
        <w:t>In two of its outstanding case on gender-based violence,</w:t>
      </w:r>
      <w:r w:rsidRPr="00EA6C7A">
        <w:rPr>
          <w:rFonts w:ascii="Verdana" w:eastAsia="Calibri" w:hAnsi="Verdana" w:cs="Tahoma"/>
          <w:sz w:val="20"/>
          <w:szCs w:val="20"/>
          <w:vertAlign w:val="superscript"/>
          <w:lang w:val="en-US"/>
        </w:rPr>
        <w:footnoteReference w:id="405"/>
      </w:r>
      <w:r w:rsidR="002C132E" w:rsidRPr="00EA6C7A">
        <w:rPr>
          <w:rFonts w:ascii="Verdana" w:eastAsia="Calibri" w:hAnsi="Verdana" w:cs="Tahoma"/>
          <w:sz w:val="20"/>
          <w:szCs w:val="20"/>
          <w:lang w:val="en-US"/>
        </w:rPr>
        <w:t xml:space="preserve"> the Inter-American Court has established</w:t>
      </w:r>
      <w:r w:rsidRPr="00EA6C7A">
        <w:rPr>
          <w:rFonts w:ascii="Verdana" w:eastAsia="Calibri" w:hAnsi="Verdana" w:cs="Tahoma"/>
          <w:sz w:val="20"/>
          <w:szCs w:val="20"/>
          <w:lang w:val="en-US"/>
        </w:rPr>
        <w:t xml:space="preserve"> </w:t>
      </w:r>
      <w:r w:rsidR="002C132E" w:rsidRPr="00EA6C7A">
        <w:rPr>
          <w:rFonts w:ascii="Verdana" w:eastAsia="Calibri" w:hAnsi="Verdana" w:cs="Tahoma"/>
          <w:sz w:val="20"/>
          <w:szCs w:val="20"/>
          <w:lang w:val="en-US"/>
        </w:rPr>
        <w:t xml:space="preserve">important standards concerning compliance with the State obligations </w:t>
      </w:r>
      <w:r w:rsidR="002759B3" w:rsidRPr="00EA6C7A">
        <w:rPr>
          <w:rFonts w:ascii="Verdana" w:eastAsia="Calibri" w:hAnsi="Verdana" w:cs="Tahoma"/>
          <w:sz w:val="20"/>
          <w:szCs w:val="20"/>
          <w:lang w:val="en-US"/>
        </w:rPr>
        <w:t xml:space="preserve">to respect and to ensure human rights </w:t>
      </w:r>
      <w:r w:rsidR="00FF2310" w:rsidRPr="00EA6C7A">
        <w:rPr>
          <w:rFonts w:ascii="Verdana" w:eastAsia="Calibri" w:hAnsi="Verdana" w:cs="Tahoma"/>
          <w:sz w:val="20"/>
          <w:szCs w:val="20"/>
          <w:lang w:val="en-US"/>
        </w:rPr>
        <w:t xml:space="preserve">in order </w:t>
      </w:r>
      <w:r w:rsidR="002759B3" w:rsidRPr="00EA6C7A">
        <w:rPr>
          <w:rFonts w:ascii="Verdana" w:eastAsia="Calibri" w:hAnsi="Verdana" w:cs="Tahoma"/>
          <w:sz w:val="20"/>
          <w:szCs w:val="20"/>
          <w:lang w:val="en-US"/>
        </w:rPr>
        <w:t xml:space="preserve">to combat violence against women. Particularly, when analyzing the obligation to ensure rights such as </w:t>
      </w:r>
      <w:r w:rsidR="00515C34" w:rsidRPr="00EA6C7A">
        <w:rPr>
          <w:rFonts w:ascii="Verdana" w:eastAsia="Calibri" w:hAnsi="Verdana" w:cs="Tahoma"/>
          <w:sz w:val="20"/>
          <w:szCs w:val="20"/>
          <w:lang w:val="en-US"/>
        </w:rPr>
        <w:t>to</w:t>
      </w:r>
      <w:r w:rsidR="002759B3" w:rsidRPr="00EA6C7A">
        <w:rPr>
          <w:rFonts w:ascii="Verdana" w:eastAsia="Calibri" w:hAnsi="Verdana" w:cs="Tahoma"/>
          <w:sz w:val="20"/>
          <w:szCs w:val="20"/>
          <w:lang w:val="en-US"/>
        </w:rPr>
        <w:t xml:space="preserve"> life, to personal integrity and to personal liberty, it has made a detailed examination of the State’s obligation of prevention,</w:t>
      </w:r>
      <w:r w:rsidRPr="00EA6C7A">
        <w:rPr>
          <w:rFonts w:ascii="Verdana" w:eastAsia="Calibri" w:hAnsi="Verdana" w:cs="Tahoma"/>
          <w:sz w:val="20"/>
          <w:szCs w:val="20"/>
          <w:vertAlign w:val="superscript"/>
          <w:lang w:val="en-US"/>
        </w:rPr>
        <w:footnoteReference w:id="406"/>
      </w:r>
      <w:r w:rsidR="002759B3" w:rsidRPr="00EA6C7A">
        <w:rPr>
          <w:rFonts w:ascii="Verdana" w:eastAsia="Calibri" w:hAnsi="Verdana" w:cs="Tahoma"/>
          <w:sz w:val="20"/>
          <w:szCs w:val="20"/>
          <w:lang w:val="en-US"/>
        </w:rPr>
        <w:t xml:space="preserve"> emphasizing the </w:t>
      </w:r>
      <w:r w:rsidR="00FF2310" w:rsidRPr="00EA6C7A">
        <w:rPr>
          <w:rFonts w:ascii="Verdana" w:eastAsia="Calibri" w:hAnsi="Verdana" w:cs="Tahoma"/>
          <w:sz w:val="20"/>
          <w:szCs w:val="20"/>
          <w:lang w:val="en-US"/>
        </w:rPr>
        <w:t xml:space="preserve">criterion </w:t>
      </w:r>
      <w:r w:rsidR="002759B3" w:rsidRPr="00EA6C7A">
        <w:rPr>
          <w:rFonts w:ascii="Verdana" w:eastAsia="Calibri" w:hAnsi="Verdana" w:cs="Tahoma"/>
          <w:sz w:val="20"/>
          <w:szCs w:val="20"/>
          <w:lang w:val="en-US"/>
        </w:rPr>
        <w:t>of the “two moments” in the obligation of prevention in order to determine the international responsibility of States.</w:t>
      </w:r>
    </w:p>
    <w:p w14:paraId="4E9B9FDC" w14:textId="77777777" w:rsidR="00175ABB" w:rsidRPr="00EA6C7A" w:rsidRDefault="00175ABB" w:rsidP="00175ABB">
      <w:pPr>
        <w:spacing w:line="240" w:lineRule="auto"/>
        <w:contextualSpacing/>
        <w:jc w:val="both"/>
        <w:rPr>
          <w:rFonts w:ascii="Verdana" w:eastAsia="Calibri" w:hAnsi="Verdana" w:cs="Tahoma"/>
          <w:sz w:val="20"/>
          <w:szCs w:val="20"/>
          <w:lang w:val="en-US"/>
        </w:rPr>
      </w:pPr>
    </w:p>
    <w:p w14:paraId="4350AB2A" w14:textId="77777777" w:rsidR="00175ABB" w:rsidRPr="00EA6C7A" w:rsidRDefault="00175ABB" w:rsidP="00175ABB">
      <w:pPr>
        <w:spacing w:line="240" w:lineRule="auto"/>
        <w:contextualSpacing/>
        <w:jc w:val="both"/>
        <w:rPr>
          <w:rFonts w:ascii="Verdana" w:eastAsia="Calibri" w:hAnsi="Verdana" w:cs="Tahoma"/>
          <w:bCs/>
          <w:i/>
          <w:color w:val="000000"/>
          <w:sz w:val="20"/>
          <w:szCs w:val="20"/>
          <w:shd w:val="clear" w:color="auto" w:fill="FFFFFF"/>
          <w:lang w:val="en-US"/>
        </w:rPr>
      </w:pPr>
      <w:r w:rsidRPr="00EA6C7A">
        <w:rPr>
          <w:rFonts w:ascii="Verdana" w:eastAsia="Calibri" w:hAnsi="Verdana" w:cs="Tahoma"/>
          <w:sz w:val="20"/>
          <w:szCs w:val="20"/>
          <w:lang w:val="en-US"/>
        </w:rPr>
        <w:t xml:space="preserve">18. </w:t>
      </w:r>
      <w:r w:rsidRPr="00EA6C7A">
        <w:rPr>
          <w:rFonts w:ascii="Verdana" w:eastAsia="Calibri" w:hAnsi="Verdana" w:cs="Tahoma"/>
          <w:sz w:val="20"/>
          <w:szCs w:val="20"/>
          <w:lang w:val="en-US"/>
        </w:rPr>
        <w:tab/>
      </w:r>
      <w:r w:rsidR="00B10DEE" w:rsidRPr="00EA6C7A">
        <w:rPr>
          <w:rFonts w:ascii="Verdana" w:eastAsia="Calibri" w:hAnsi="Verdana" w:cs="Tahoma"/>
          <w:sz w:val="20"/>
          <w:szCs w:val="20"/>
          <w:lang w:val="en-US"/>
        </w:rPr>
        <w:t xml:space="preserve">This </w:t>
      </w:r>
      <w:r w:rsidR="00FF2310" w:rsidRPr="00EA6C7A">
        <w:rPr>
          <w:rFonts w:ascii="Verdana" w:eastAsia="Calibri" w:hAnsi="Verdana" w:cs="Tahoma"/>
          <w:sz w:val="20"/>
          <w:szCs w:val="20"/>
          <w:lang w:val="en-US"/>
        </w:rPr>
        <w:t>criterion</w:t>
      </w:r>
      <w:r w:rsidR="00B10DEE" w:rsidRPr="00EA6C7A">
        <w:rPr>
          <w:rFonts w:ascii="Verdana" w:eastAsia="Calibri" w:hAnsi="Verdana" w:cs="Tahoma"/>
          <w:sz w:val="20"/>
          <w:szCs w:val="20"/>
          <w:lang w:val="en-US"/>
        </w:rPr>
        <w:t xml:space="preserve"> has permitted the Court to make a detailed examination of the </w:t>
      </w:r>
      <w:r w:rsidR="00D5307F" w:rsidRPr="00EA6C7A">
        <w:rPr>
          <w:rFonts w:ascii="Verdana" w:eastAsia="Calibri" w:hAnsi="Verdana" w:cs="Tahoma"/>
          <w:sz w:val="20"/>
          <w:szCs w:val="20"/>
          <w:lang w:val="en-US"/>
        </w:rPr>
        <w:t>obligation of prevention</w:t>
      </w:r>
      <w:r w:rsidR="00B10DEE" w:rsidRPr="00EA6C7A">
        <w:rPr>
          <w:rFonts w:ascii="Verdana" w:eastAsia="Calibri" w:hAnsi="Verdana" w:cs="Tahoma"/>
          <w:sz w:val="20"/>
          <w:szCs w:val="20"/>
          <w:lang w:val="en-US"/>
        </w:rPr>
        <w:t xml:space="preserve"> – and, when appropriate – determine international responsibility – in cases in which the facts </w:t>
      </w:r>
      <w:r w:rsidR="00FF2310" w:rsidRPr="00EA6C7A">
        <w:rPr>
          <w:rFonts w:ascii="Verdana" w:eastAsia="Calibri" w:hAnsi="Verdana" w:cs="Tahoma"/>
          <w:sz w:val="20"/>
          <w:szCs w:val="20"/>
          <w:lang w:val="en-US"/>
        </w:rPr>
        <w:t>concerned</w:t>
      </w:r>
      <w:r w:rsidR="00B10DEE" w:rsidRPr="00EA6C7A">
        <w:rPr>
          <w:rFonts w:ascii="Verdana" w:eastAsia="Calibri" w:hAnsi="Verdana" w:cs="Tahoma"/>
          <w:sz w:val="20"/>
          <w:szCs w:val="20"/>
          <w:lang w:val="en-US"/>
        </w:rPr>
        <w:t xml:space="preserve"> the disappearance and subsequent death of the victims, as in the cases that preceded the one that has motivated this opinion</w:t>
      </w:r>
      <w:r w:rsidRPr="00EA6C7A">
        <w:rPr>
          <w:rFonts w:ascii="Verdana" w:eastAsia="Calibri" w:hAnsi="Verdana" w:cs="Tahoma"/>
          <w:sz w:val="20"/>
          <w:szCs w:val="20"/>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Pr="00EA6C7A">
        <w:rPr>
          <w:rFonts w:ascii="Verdana" w:eastAsia="Calibri" w:hAnsi="Verdana" w:cs="Tahoma"/>
          <w:bCs/>
          <w:color w:val="000000"/>
          <w:sz w:val="20"/>
          <w:szCs w:val="20"/>
          <w:shd w:val="clear" w:color="auto" w:fill="FFFFFF"/>
          <w:lang w:val="en-US"/>
        </w:rPr>
        <w:t xml:space="preserve"> (2009)</w:t>
      </w:r>
      <w:r w:rsidRPr="00EA6C7A">
        <w:rPr>
          <w:rFonts w:ascii="Verdana" w:eastAsia="Calibri" w:hAnsi="Verdana" w:cs="Tahoma"/>
          <w:bCs/>
          <w:i/>
          <w:color w:val="000000"/>
          <w:sz w:val="20"/>
          <w:szCs w:val="20"/>
          <w:shd w:val="clear" w:color="auto" w:fill="FFFFFF"/>
          <w:lang w:val="en-US"/>
        </w:rPr>
        <w:t>,</w:t>
      </w:r>
      <w:r w:rsidR="00D948A1" w:rsidRPr="00EA6C7A">
        <w:rPr>
          <w:rFonts w:ascii="Verdana" w:eastAsia="Calibri" w:hAnsi="Verdana" w:cs="Tahoma"/>
          <w:bCs/>
          <w:i/>
          <w:color w:val="000000"/>
          <w:sz w:val="20"/>
          <w:szCs w:val="20"/>
          <w:shd w:val="clear" w:color="auto" w:fill="FFFFFF"/>
          <w:lang w:val="en-US"/>
        </w:rPr>
        <w:t xml:space="preserve"> </w:t>
      </w:r>
      <w:r w:rsidR="00D948A1" w:rsidRPr="00EA6C7A">
        <w:rPr>
          <w:rFonts w:ascii="Verdana" w:eastAsia="Calibri" w:hAnsi="Verdana" w:cs="Tahoma"/>
          <w:bCs/>
          <w:iCs/>
          <w:color w:val="000000"/>
          <w:sz w:val="20"/>
          <w:szCs w:val="20"/>
          <w:shd w:val="clear" w:color="auto" w:fill="FFFFFF"/>
          <w:lang w:val="en-US"/>
        </w:rPr>
        <w:t xml:space="preserve">and </w:t>
      </w:r>
      <w:r w:rsidRPr="00EA6C7A">
        <w:rPr>
          <w:rFonts w:ascii="Verdana" w:eastAsia="Calibri" w:hAnsi="Verdana" w:cs="Tahoma"/>
          <w:bCs/>
          <w:i/>
          <w:color w:val="000000"/>
          <w:sz w:val="20"/>
          <w:szCs w:val="20"/>
          <w:shd w:val="clear" w:color="auto" w:fill="FFFFFF"/>
          <w:lang w:val="en-US"/>
        </w:rPr>
        <w:t xml:space="preserve">Veliz </w:t>
      </w:r>
      <w:r w:rsidR="006A51FD" w:rsidRPr="00EA6C7A">
        <w:rPr>
          <w:rFonts w:ascii="Verdana" w:eastAsia="Calibri" w:hAnsi="Verdana" w:cs="Tahoma"/>
          <w:bCs/>
          <w:i/>
          <w:color w:val="000000"/>
          <w:sz w:val="20"/>
          <w:szCs w:val="20"/>
          <w:shd w:val="clear" w:color="auto" w:fill="FFFFFF"/>
          <w:lang w:val="en-US"/>
        </w:rPr>
        <w:t>Franco et al.</w:t>
      </w:r>
      <w:r w:rsidRPr="00EA6C7A">
        <w:rPr>
          <w:rFonts w:ascii="Verdana" w:eastAsia="Calibri" w:hAnsi="Verdana" w:cs="Tahoma"/>
          <w:bCs/>
          <w:i/>
          <w:color w:val="000000"/>
          <w:sz w:val="20"/>
          <w:szCs w:val="20"/>
          <w:shd w:val="clear" w:color="auto" w:fill="FFFFFF"/>
          <w:lang w:val="en-US"/>
        </w:rPr>
        <w:t xml:space="preserve"> v. Guatemala </w:t>
      </w:r>
      <w:r w:rsidRPr="00EA6C7A">
        <w:rPr>
          <w:rFonts w:ascii="Verdana" w:eastAsia="Calibri" w:hAnsi="Verdana" w:cs="Tahoma"/>
          <w:bCs/>
          <w:color w:val="000000"/>
          <w:sz w:val="20"/>
          <w:szCs w:val="20"/>
          <w:shd w:val="clear" w:color="auto" w:fill="FFFFFF"/>
          <w:lang w:val="en-US"/>
        </w:rPr>
        <w:t>(2014)</w:t>
      </w:r>
      <w:r w:rsidRPr="00EA6C7A">
        <w:rPr>
          <w:rFonts w:ascii="Verdana" w:eastAsia="Calibri" w:hAnsi="Verdana" w:cs="Tahoma"/>
          <w:bCs/>
          <w:i/>
          <w:color w:val="000000"/>
          <w:sz w:val="20"/>
          <w:szCs w:val="20"/>
          <w:shd w:val="clear" w:color="auto" w:fill="FFFFFF"/>
          <w:lang w:val="en-US"/>
        </w:rPr>
        <w:t>.</w:t>
      </w:r>
    </w:p>
    <w:p w14:paraId="08C347D9" w14:textId="77777777" w:rsidR="00175ABB" w:rsidRPr="00EA6C7A" w:rsidRDefault="00175ABB" w:rsidP="00175ABB">
      <w:pPr>
        <w:spacing w:line="240" w:lineRule="auto"/>
        <w:contextualSpacing/>
        <w:jc w:val="both"/>
        <w:rPr>
          <w:rFonts w:ascii="Verdana" w:eastAsia="Calibri" w:hAnsi="Verdana" w:cs="Tahoma"/>
          <w:bCs/>
          <w:i/>
          <w:color w:val="000000"/>
          <w:sz w:val="20"/>
          <w:szCs w:val="20"/>
          <w:shd w:val="clear" w:color="auto" w:fill="FFFFFF"/>
          <w:lang w:val="en-US"/>
        </w:rPr>
      </w:pPr>
    </w:p>
    <w:p w14:paraId="46A7FE4A"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Verdana"/>
          <w:sz w:val="20"/>
          <w:szCs w:val="20"/>
          <w:lang w:val="en-US"/>
        </w:rPr>
      </w:pPr>
      <w:r w:rsidRPr="00EA6C7A">
        <w:rPr>
          <w:rFonts w:ascii="Verdana" w:eastAsia="Calibri" w:hAnsi="Verdana" w:cs="Tahoma"/>
          <w:bCs/>
          <w:color w:val="000000"/>
          <w:sz w:val="20"/>
          <w:szCs w:val="20"/>
          <w:shd w:val="clear" w:color="auto" w:fill="FFFFFF"/>
          <w:lang w:val="en-US"/>
        </w:rPr>
        <w:t xml:space="preserve">19. </w:t>
      </w:r>
      <w:r w:rsidRPr="00EA6C7A">
        <w:rPr>
          <w:rFonts w:ascii="Verdana" w:eastAsia="Calibri" w:hAnsi="Verdana" w:cs="Tahoma"/>
          <w:bCs/>
          <w:color w:val="000000"/>
          <w:sz w:val="20"/>
          <w:szCs w:val="20"/>
          <w:shd w:val="clear" w:color="auto" w:fill="FFFFFF"/>
          <w:lang w:val="en-US"/>
        </w:rPr>
        <w:tab/>
      </w:r>
      <w:r w:rsidR="00274B18" w:rsidRPr="00EA6C7A">
        <w:rPr>
          <w:rFonts w:ascii="Verdana" w:eastAsia="Calibri" w:hAnsi="Verdana" w:cs="Tahoma"/>
          <w:bCs/>
          <w:color w:val="000000"/>
          <w:sz w:val="20"/>
          <w:szCs w:val="20"/>
          <w:shd w:val="clear" w:color="auto" w:fill="FFFFFF"/>
          <w:lang w:val="en-US"/>
        </w:rPr>
        <w:t>Regarding the</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in the case of</w:t>
      </w:r>
      <w:r w:rsidRPr="00EA6C7A">
        <w:rPr>
          <w:rFonts w:ascii="Verdana" w:eastAsia="Calibri" w:hAnsi="Verdana" w:cs="Tahoma"/>
          <w:bCs/>
          <w:color w:val="000000"/>
          <w:sz w:val="20"/>
          <w:szCs w:val="20"/>
          <w:shd w:val="clear" w:color="auto" w:fill="FFFFFF"/>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00274B18"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07"/>
      </w:r>
      <w:r w:rsidRPr="00EA6C7A">
        <w:rPr>
          <w:rFonts w:ascii="Verdana" w:eastAsia="Calibri" w:hAnsi="Verdana" w:cs="Tahoma"/>
          <w:bCs/>
          <w:i/>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the Court</w:t>
      </w:r>
      <w:r w:rsidR="00274B18" w:rsidRPr="00EA6C7A">
        <w:rPr>
          <w:rFonts w:ascii="Verdana" w:eastAsia="Calibri" w:hAnsi="Verdana" w:cs="Tahoma"/>
          <w:bCs/>
          <w:color w:val="000000"/>
          <w:sz w:val="20"/>
          <w:szCs w:val="20"/>
          <w:shd w:val="clear" w:color="auto" w:fill="FFFFFF"/>
          <w:lang w:val="en-US"/>
        </w:rPr>
        <w:t xml:space="preserve"> established that States “must adopt comprehensive measures to comply with due diligence in cases of </w:t>
      </w:r>
      <w:r w:rsidR="00C12C08" w:rsidRPr="00EA6C7A">
        <w:rPr>
          <w:rFonts w:ascii="Verdana" w:eastAsia="Calibri" w:hAnsi="Verdana" w:cs="Verdana"/>
          <w:sz w:val="20"/>
          <w:szCs w:val="20"/>
          <w:lang w:val="en-US"/>
        </w:rPr>
        <w:t>violence against women</w:t>
      </w:r>
      <w:r w:rsidR="00274B18" w:rsidRPr="00EA6C7A">
        <w:rPr>
          <w:rFonts w:ascii="Verdana" w:eastAsia="Calibri" w:hAnsi="Verdana" w:cs="Verdana"/>
          <w:sz w:val="20"/>
          <w:szCs w:val="20"/>
          <w:lang w:val="en-US"/>
        </w:rPr>
        <w:t>,</w:t>
      </w:r>
      <w:r w:rsidRPr="00EA6C7A">
        <w:rPr>
          <w:rFonts w:ascii="Verdana" w:eastAsia="Calibri" w:hAnsi="Verdana" w:cs="Verdana"/>
          <w:sz w:val="20"/>
          <w:szCs w:val="20"/>
          <w:lang w:val="en-US"/>
        </w:rPr>
        <w:t>” particular</w:t>
      </w:r>
      <w:r w:rsidR="00274B18" w:rsidRPr="00EA6C7A">
        <w:rPr>
          <w:rFonts w:ascii="Verdana" w:eastAsia="Calibri" w:hAnsi="Verdana" w:cs="Verdana"/>
          <w:sz w:val="20"/>
          <w:szCs w:val="20"/>
          <w:lang w:val="en-US"/>
        </w:rPr>
        <w:t xml:space="preserve">ly with regard to </w:t>
      </w:r>
      <w:r w:rsidRPr="00EA6C7A">
        <w:rPr>
          <w:rFonts w:ascii="Verdana" w:eastAsia="Calibri" w:hAnsi="Verdana" w:cs="Verdana"/>
          <w:sz w:val="20"/>
          <w:szCs w:val="20"/>
          <w:lang w:val="en-US"/>
        </w:rPr>
        <w:t>“</w:t>
      </w:r>
      <w:r w:rsidR="00274B18" w:rsidRPr="00EA6C7A">
        <w:rPr>
          <w:rFonts w:ascii="Verdana" w:eastAsia="Calibri" w:hAnsi="Verdana" w:cs="Verdana"/>
          <w:sz w:val="20"/>
          <w:szCs w:val="20"/>
          <w:u w:val="single"/>
          <w:lang w:val="en-US"/>
        </w:rPr>
        <w:t xml:space="preserve">an adequate legal protection framework and its effective </w:t>
      </w:r>
      <w:r w:rsidR="00FF2310" w:rsidRPr="00EA6C7A">
        <w:rPr>
          <w:rFonts w:ascii="Verdana" w:eastAsia="Calibri" w:hAnsi="Verdana" w:cs="Verdana"/>
          <w:sz w:val="20"/>
          <w:szCs w:val="20"/>
          <w:u w:val="single"/>
          <w:lang w:val="en-US"/>
        </w:rPr>
        <w:t>enforcement</w:t>
      </w:r>
      <w:r w:rsidR="00274B18" w:rsidRPr="00EA6C7A">
        <w:rPr>
          <w:rFonts w:ascii="Verdana" w:eastAsia="Calibri" w:hAnsi="Verdana" w:cs="Verdana"/>
          <w:sz w:val="20"/>
          <w:szCs w:val="20"/>
          <w:u w:val="single"/>
          <w:lang w:val="en-US"/>
        </w:rPr>
        <w:t>, and prevention policies and practices that permit effective actions when reports are received.</w:t>
      </w:r>
      <w:r w:rsidRPr="00EA6C7A">
        <w:rPr>
          <w:rFonts w:ascii="Verdana" w:eastAsia="Calibri" w:hAnsi="Verdana" w:cs="Verdana"/>
          <w:sz w:val="20"/>
          <w:szCs w:val="20"/>
          <w:lang w:val="en-US"/>
        </w:rPr>
        <w:t>”</w:t>
      </w:r>
      <w:r w:rsidRPr="00EA6C7A">
        <w:rPr>
          <w:rFonts w:ascii="Verdana" w:eastAsia="Calibri" w:hAnsi="Verdana" w:cs="Verdana"/>
          <w:sz w:val="20"/>
          <w:szCs w:val="20"/>
          <w:vertAlign w:val="superscript"/>
          <w:lang w:val="en-US"/>
        </w:rPr>
        <w:footnoteReference w:id="408"/>
      </w:r>
      <w:r w:rsidRPr="00EA6C7A">
        <w:rPr>
          <w:rFonts w:ascii="Verdana" w:eastAsia="Calibri" w:hAnsi="Verdana" w:cs="Verdana"/>
          <w:sz w:val="20"/>
          <w:szCs w:val="20"/>
          <w:lang w:val="en-US"/>
        </w:rPr>
        <w:t xml:space="preserve"> A</w:t>
      </w:r>
      <w:r w:rsidR="00274B18" w:rsidRPr="00EA6C7A">
        <w:rPr>
          <w:rFonts w:ascii="Verdana" w:eastAsia="Calibri" w:hAnsi="Verdana" w:cs="Verdana"/>
          <w:sz w:val="20"/>
          <w:szCs w:val="20"/>
          <w:lang w:val="en-US"/>
        </w:rPr>
        <w:t xml:space="preserve">lso, regarding the characteristics of the prevention strategy, </w:t>
      </w:r>
      <w:r w:rsidR="00FF2310" w:rsidRPr="00EA6C7A">
        <w:rPr>
          <w:rFonts w:ascii="Verdana" w:eastAsia="Calibri" w:hAnsi="Verdana" w:cs="Verdana"/>
          <w:sz w:val="20"/>
          <w:szCs w:val="20"/>
          <w:lang w:val="en-US"/>
        </w:rPr>
        <w:t>the Court</w:t>
      </w:r>
      <w:r w:rsidR="00274B18" w:rsidRPr="00EA6C7A">
        <w:rPr>
          <w:rFonts w:ascii="Verdana" w:eastAsia="Calibri" w:hAnsi="Verdana" w:cs="Verdana"/>
          <w:sz w:val="20"/>
          <w:szCs w:val="20"/>
          <w:lang w:val="en-US"/>
        </w:rPr>
        <w:t xml:space="preserve"> has indicated that “this must be comprehensive; that is, it must prevent the risk factors and also reinforce the institutions so that they can provide an effective response to cases of </w:t>
      </w:r>
      <w:r w:rsidR="00C12C08" w:rsidRPr="00EA6C7A">
        <w:rPr>
          <w:rFonts w:ascii="Verdana" w:eastAsia="Calibri" w:hAnsi="Verdana" w:cs="Verdana"/>
          <w:sz w:val="20"/>
          <w:szCs w:val="20"/>
          <w:lang w:val="en-US"/>
        </w:rPr>
        <w:t>violence against women</w:t>
      </w:r>
      <w:r w:rsidR="00274B18" w:rsidRPr="00EA6C7A">
        <w:rPr>
          <w:rFonts w:ascii="Verdana" w:eastAsia="Calibri" w:hAnsi="Verdana" w:cs="Verdana"/>
          <w:sz w:val="20"/>
          <w:szCs w:val="20"/>
          <w:lang w:val="en-US"/>
        </w:rPr>
        <w:t>,</w:t>
      </w:r>
      <w:r w:rsidRPr="00EA6C7A">
        <w:rPr>
          <w:rFonts w:ascii="Verdana" w:eastAsia="Calibri" w:hAnsi="Verdana" w:cs="Verdana"/>
          <w:sz w:val="20"/>
          <w:szCs w:val="20"/>
          <w:lang w:val="en-US"/>
        </w:rPr>
        <w:t xml:space="preserve">” </w:t>
      </w:r>
      <w:r w:rsidR="00274B18" w:rsidRPr="00EA6C7A">
        <w:rPr>
          <w:rFonts w:ascii="Verdana" w:eastAsia="Calibri" w:hAnsi="Verdana" w:cs="Verdana"/>
          <w:sz w:val="20"/>
          <w:szCs w:val="20"/>
          <w:lang w:val="en-US"/>
        </w:rPr>
        <w:t>underlining the obligation of States</w:t>
      </w:r>
      <w:r w:rsidRPr="00EA6C7A">
        <w:rPr>
          <w:rFonts w:ascii="Verdana" w:eastAsia="Calibri" w:hAnsi="Verdana" w:cs="Verdana"/>
          <w:sz w:val="20"/>
          <w:szCs w:val="20"/>
          <w:lang w:val="en-US"/>
        </w:rPr>
        <w:t xml:space="preserve"> “</w:t>
      </w:r>
      <w:r w:rsidR="00274B18" w:rsidRPr="00EA6C7A">
        <w:rPr>
          <w:rFonts w:ascii="Verdana" w:eastAsia="Calibri" w:hAnsi="Verdana" w:cs="Verdana"/>
          <w:sz w:val="20"/>
          <w:szCs w:val="20"/>
          <w:u w:val="single"/>
          <w:lang w:val="en-US"/>
        </w:rPr>
        <w:t>to adopt preventive measures in specific cases in which it is evident that specific women and girls may be victims of violence.</w:t>
      </w:r>
      <w:r w:rsidRPr="00EA6C7A">
        <w:rPr>
          <w:rFonts w:ascii="Verdana" w:eastAsia="Calibri" w:hAnsi="Verdana" w:cs="Verdana"/>
          <w:sz w:val="20"/>
          <w:szCs w:val="20"/>
          <w:lang w:val="en-US"/>
        </w:rPr>
        <w:t>”</w:t>
      </w:r>
      <w:r w:rsidRPr="00EA6C7A">
        <w:rPr>
          <w:rFonts w:ascii="Verdana" w:eastAsia="Calibri" w:hAnsi="Verdana" w:cs="Verdana"/>
          <w:sz w:val="20"/>
          <w:szCs w:val="20"/>
          <w:vertAlign w:val="superscript"/>
          <w:lang w:val="en-US"/>
        </w:rPr>
        <w:footnoteReference w:id="409"/>
      </w:r>
      <w:r w:rsidRPr="00EA6C7A">
        <w:rPr>
          <w:rFonts w:ascii="Verdana" w:eastAsia="Calibri" w:hAnsi="Verdana" w:cs="Verdana"/>
          <w:sz w:val="20"/>
          <w:szCs w:val="20"/>
          <w:lang w:val="en-US"/>
        </w:rPr>
        <w:t xml:space="preserve"> </w:t>
      </w:r>
    </w:p>
    <w:p w14:paraId="35D32809"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Verdana"/>
          <w:sz w:val="20"/>
          <w:szCs w:val="20"/>
          <w:lang w:val="en-US"/>
        </w:rPr>
      </w:pPr>
    </w:p>
    <w:p w14:paraId="00B3C23B"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Verdana"/>
          <w:sz w:val="20"/>
          <w:szCs w:val="20"/>
          <w:lang w:val="en-US"/>
        </w:rPr>
      </w:pPr>
      <w:r w:rsidRPr="00EA6C7A">
        <w:rPr>
          <w:rFonts w:ascii="Verdana" w:eastAsia="Calibri" w:hAnsi="Verdana" w:cs="Verdana"/>
          <w:sz w:val="20"/>
          <w:szCs w:val="20"/>
          <w:lang w:val="en-US"/>
        </w:rPr>
        <w:t xml:space="preserve">20. </w:t>
      </w:r>
      <w:r w:rsidRPr="00EA6C7A">
        <w:rPr>
          <w:rFonts w:ascii="Verdana" w:eastAsia="Calibri" w:hAnsi="Verdana" w:cs="Verdana"/>
          <w:sz w:val="20"/>
          <w:szCs w:val="20"/>
          <w:lang w:val="en-US"/>
        </w:rPr>
        <w:tab/>
      </w:r>
      <w:r w:rsidR="00274B18" w:rsidRPr="00EA6C7A">
        <w:rPr>
          <w:rFonts w:ascii="Verdana" w:eastAsia="Calibri" w:hAnsi="Verdana" w:cs="Verdana"/>
          <w:sz w:val="20"/>
          <w:szCs w:val="20"/>
          <w:lang w:val="en-US"/>
        </w:rPr>
        <w:t xml:space="preserve">In the said case, the Court established, for the first time, that there were two key moments at which the obligation of prevention should be analyzed in relation to the disappearance and death of the victims, indicating that the first moment was </w:t>
      </w:r>
      <w:r w:rsidRPr="00EA6C7A">
        <w:rPr>
          <w:rFonts w:ascii="Verdana" w:eastAsia="Calibri" w:hAnsi="Verdana" w:cs="Verdana"/>
          <w:sz w:val="20"/>
          <w:szCs w:val="20"/>
          <w:lang w:val="en-US"/>
        </w:rPr>
        <w:t>“</w:t>
      </w:r>
      <w:r w:rsidR="0001699C" w:rsidRPr="00EA6C7A">
        <w:rPr>
          <w:rFonts w:ascii="Verdana" w:eastAsia="Calibri" w:hAnsi="Verdana" w:cs="Verdana"/>
          <w:sz w:val="20"/>
          <w:szCs w:val="20"/>
          <w:lang w:val="en-US"/>
        </w:rPr>
        <w:t>before the disappearance</w:t>
      </w:r>
      <w:r w:rsidRPr="00EA6C7A">
        <w:rPr>
          <w:rFonts w:ascii="Verdana" w:eastAsia="Calibri" w:hAnsi="Verdana" w:cs="Verdana"/>
          <w:sz w:val="20"/>
          <w:szCs w:val="20"/>
          <w:lang w:val="en-US"/>
        </w:rPr>
        <w:t xml:space="preserve"> </w:t>
      </w:r>
      <w:r w:rsidR="00274B18" w:rsidRPr="00EA6C7A">
        <w:rPr>
          <w:rFonts w:ascii="Verdana" w:eastAsia="Calibri" w:hAnsi="Verdana" w:cs="Verdana"/>
          <w:sz w:val="20"/>
          <w:szCs w:val="20"/>
          <w:lang w:val="en-US"/>
        </w:rPr>
        <w:t>of the victims</w:t>
      </w:r>
      <w:r w:rsidRPr="00EA6C7A">
        <w:rPr>
          <w:rFonts w:ascii="Verdana" w:eastAsia="Calibri" w:hAnsi="Verdana" w:cs="Verdana"/>
          <w:sz w:val="20"/>
          <w:szCs w:val="20"/>
          <w:lang w:val="en-US"/>
        </w:rPr>
        <w:t>”</w:t>
      </w:r>
      <w:r w:rsidR="00D948A1" w:rsidRPr="00EA6C7A">
        <w:rPr>
          <w:rFonts w:ascii="Verdana" w:eastAsia="Calibri" w:hAnsi="Verdana" w:cs="Verdana"/>
          <w:sz w:val="20"/>
          <w:szCs w:val="20"/>
          <w:lang w:val="en-US"/>
        </w:rPr>
        <w:t xml:space="preserve"> and </w:t>
      </w:r>
      <w:r w:rsidR="00274B18" w:rsidRPr="00EA6C7A">
        <w:rPr>
          <w:rFonts w:ascii="Verdana" w:eastAsia="Calibri" w:hAnsi="Verdana" w:cs="Verdana"/>
          <w:sz w:val="20"/>
          <w:szCs w:val="20"/>
          <w:lang w:val="en-US"/>
        </w:rPr>
        <w:t>the second was “before their bodies were discovered.</w:t>
      </w:r>
      <w:r w:rsidRPr="00EA6C7A">
        <w:rPr>
          <w:rFonts w:ascii="Verdana" w:eastAsia="Calibri" w:hAnsi="Verdana" w:cs="Verdana"/>
          <w:sz w:val="20"/>
          <w:szCs w:val="20"/>
          <w:lang w:val="en-US"/>
        </w:rPr>
        <w:t>”</w:t>
      </w:r>
      <w:r w:rsidRPr="00EA6C7A">
        <w:rPr>
          <w:rFonts w:ascii="Verdana" w:eastAsia="Calibri" w:hAnsi="Verdana" w:cs="Verdana"/>
          <w:sz w:val="20"/>
          <w:szCs w:val="20"/>
          <w:vertAlign w:val="superscript"/>
          <w:lang w:val="en-US"/>
        </w:rPr>
        <w:footnoteReference w:id="410"/>
      </w:r>
      <w:r w:rsidRPr="00EA6C7A">
        <w:rPr>
          <w:rFonts w:ascii="Verdana" w:eastAsia="Calibri" w:hAnsi="Verdana" w:cs="Verdana"/>
          <w:sz w:val="20"/>
          <w:szCs w:val="20"/>
          <w:lang w:val="en-US"/>
        </w:rPr>
        <w:t xml:space="preserve"> </w:t>
      </w:r>
    </w:p>
    <w:p w14:paraId="0B2F0690" w14:textId="77777777" w:rsidR="00175ABB" w:rsidRPr="00EA6C7A" w:rsidRDefault="00175ABB" w:rsidP="00175ABB">
      <w:pPr>
        <w:autoSpaceDE w:val="0"/>
        <w:autoSpaceDN w:val="0"/>
        <w:adjustRightInd w:val="0"/>
        <w:spacing w:after="0" w:line="240" w:lineRule="auto"/>
        <w:contextualSpacing/>
        <w:jc w:val="both"/>
        <w:rPr>
          <w:rFonts w:ascii="Verdana" w:eastAsia="Calibri" w:hAnsi="Verdana" w:cs="Verdana"/>
          <w:sz w:val="20"/>
          <w:szCs w:val="20"/>
          <w:lang w:val="en-US"/>
        </w:rPr>
      </w:pPr>
    </w:p>
    <w:p w14:paraId="261B6D79" w14:textId="77777777" w:rsidR="00175ABB" w:rsidRPr="00EA6C7A" w:rsidRDefault="00175ABB" w:rsidP="00175ABB">
      <w:pPr>
        <w:autoSpaceDE w:val="0"/>
        <w:autoSpaceDN w:val="0"/>
        <w:adjustRightInd w:val="0"/>
        <w:spacing w:after="0" w:line="240" w:lineRule="auto"/>
        <w:contextualSpacing/>
        <w:jc w:val="both"/>
        <w:rPr>
          <w:rFonts w:ascii="Verdana" w:hAnsi="Verdana" w:cs="Arial"/>
          <w:sz w:val="20"/>
          <w:szCs w:val="20"/>
          <w:lang w:val="en-US"/>
        </w:rPr>
      </w:pPr>
      <w:r w:rsidRPr="00EA6C7A">
        <w:rPr>
          <w:rFonts w:ascii="Verdana" w:eastAsia="Calibri" w:hAnsi="Verdana" w:cs="Verdana"/>
          <w:sz w:val="20"/>
          <w:szCs w:val="20"/>
          <w:lang w:val="en-US"/>
        </w:rPr>
        <w:t xml:space="preserve">21. </w:t>
      </w:r>
      <w:r w:rsidRPr="00EA6C7A">
        <w:rPr>
          <w:rFonts w:ascii="Verdana" w:eastAsia="Calibri" w:hAnsi="Verdana" w:cs="Verdana"/>
          <w:sz w:val="20"/>
          <w:szCs w:val="20"/>
          <w:lang w:val="en-US"/>
        </w:rPr>
        <w:tab/>
      </w:r>
      <w:r w:rsidR="00274B18" w:rsidRPr="00EA6C7A">
        <w:rPr>
          <w:rFonts w:ascii="Verdana" w:eastAsia="Calibri" w:hAnsi="Verdana" w:cs="Verdana"/>
          <w:sz w:val="20"/>
          <w:szCs w:val="20"/>
          <w:lang w:val="en-US"/>
        </w:rPr>
        <w:t xml:space="preserve">When examining the </w:t>
      </w:r>
      <w:r w:rsidRPr="00EA6C7A">
        <w:rPr>
          <w:rFonts w:ascii="Verdana" w:eastAsia="Calibri" w:hAnsi="Verdana" w:cs="Verdana"/>
          <w:sz w:val="20"/>
          <w:szCs w:val="20"/>
          <w:lang w:val="en-US"/>
        </w:rPr>
        <w:t>“</w:t>
      </w:r>
      <w:r w:rsidR="00274B18" w:rsidRPr="00EA6C7A">
        <w:rPr>
          <w:rFonts w:ascii="Verdana" w:eastAsia="Calibri" w:hAnsi="Verdana" w:cs="Verdana"/>
          <w:sz w:val="20"/>
          <w:szCs w:val="20"/>
          <w:lang w:val="en-US"/>
        </w:rPr>
        <w:t>first moment</w:t>
      </w:r>
      <w:r w:rsidRPr="00EA6C7A">
        <w:rPr>
          <w:rFonts w:ascii="Verdana" w:eastAsia="Calibri" w:hAnsi="Verdana" w:cs="Verdana"/>
          <w:sz w:val="20"/>
          <w:szCs w:val="20"/>
          <w:lang w:val="en-US"/>
        </w:rPr>
        <w:t>” (</w:t>
      </w:r>
      <w:r w:rsidR="0001699C" w:rsidRPr="00EA6C7A">
        <w:rPr>
          <w:rFonts w:ascii="Verdana" w:eastAsia="Calibri" w:hAnsi="Verdana" w:cs="Verdana"/>
          <w:sz w:val="20"/>
          <w:szCs w:val="20"/>
          <w:lang w:val="en-US"/>
        </w:rPr>
        <w:t xml:space="preserve">before the </w:t>
      </w:r>
      <w:r w:rsidR="00274B18" w:rsidRPr="00EA6C7A">
        <w:rPr>
          <w:rFonts w:ascii="Verdana" w:eastAsia="Calibri" w:hAnsi="Verdana" w:cs="Verdana"/>
          <w:sz w:val="20"/>
          <w:szCs w:val="20"/>
          <w:lang w:val="en-US"/>
        </w:rPr>
        <w:t xml:space="preserve">victim’s </w:t>
      </w:r>
      <w:r w:rsidR="0001699C" w:rsidRPr="00EA6C7A">
        <w:rPr>
          <w:rFonts w:ascii="Verdana" w:eastAsia="Calibri" w:hAnsi="Verdana" w:cs="Verdana"/>
          <w:sz w:val="20"/>
          <w:szCs w:val="20"/>
          <w:lang w:val="en-US"/>
        </w:rPr>
        <w:t>disappearance</w:t>
      </w:r>
      <w:r w:rsidRPr="00EA6C7A">
        <w:rPr>
          <w:rFonts w:ascii="Verdana" w:eastAsia="Calibri" w:hAnsi="Verdana" w:cs="Verdana"/>
          <w:sz w:val="20"/>
          <w:szCs w:val="20"/>
          <w:lang w:val="en-US"/>
        </w:rPr>
        <w:t xml:space="preserve">), </w:t>
      </w:r>
      <w:r w:rsidR="00D5307F" w:rsidRPr="00EA6C7A">
        <w:rPr>
          <w:rFonts w:ascii="Verdana" w:eastAsia="Calibri" w:hAnsi="Verdana" w:cs="Verdana"/>
          <w:sz w:val="20"/>
          <w:szCs w:val="20"/>
          <w:lang w:val="en-US"/>
        </w:rPr>
        <w:t>the Inter-American Court</w:t>
      </w:r>
      <w:r w:rsidRPr="00EA6C7A">
        <w:rPr>
          <w:rFonts w:ascii="Verdana" w:eastAsia="Calibri" w:hAnsi="Verdana" w:cs="Verdana"/>
          <w:sz w:val="20"/>
          <w:szCs w:val="20"/>
          <w:lang w:val="en-US"/>
        </w:rPr>
        <w:t xml:space="preserve"> consider</w:t>
      </w:r>
      <w:r w:rsidR="00274B18" w:rsidRPr="00EA6C7A">
        <w:rPr>
          <w:rFonts w:ascii="Verdana" w:eastAsia="Calibri" w:hAnsi="Verdana" w:cs="Verdana"/>
          <w:sz w:val="20"/>
          <w:szCs w:val="20"/>
          <w:lang w:val="en-US"/>
        </w:rPr>
        <w:t xml:space="preserve">ed that </w:t>
      </w:r>
      <w:r w:rsidR="00F26685" w:rsidRPr="00EA6C7A">
        <w:rPr>
          <w:rFonts w:ascii="Verdana" w:hAnsi="Verdana" w:cs="Arial"/>
          <w:sz w:val="20"/>
          <w:szCs w:val="20"/>
          <w:lang w:val="en-US"/>
        </w:rPr>
        <w:t xml:space="preserve">“the failure to prevent the disappearance d[id] not </w:t>
      </w:r>
      <w:r w:rsidR="00F26685" w:rsidRPr="00EA6C7A">
        <w:rPr>
          <w:rFonts w:ascii="Verdana" w:hAnsi="Verdana" w:cs="Arial"/>
          <w:i/>
          <w:iCs/>
          <w:sz w:val="20"/>
          <w:szCs w:val="20"/>
          <w:lang w:val="en-US"/>
        </w:rPr>
        <w:t>per se</w:t>
      </w:r>
      <w:r w:rsidR="00F26685" w:rsidRPr="00EA6C7A">
        <w:rPr>
          <w:rFonts w:ascii="Verdana" w:hAnsi="Verdana" w:cs="Arial"/>
          <w:sz w:val="20"/>
          <w:szCs w:val="20"/>
          <w:lang w:val="en-US"/>
        </w:rPr>
        <w:t xml:space="preserve"> result in the State’s international responsibility because, even though the State was aware of the situation of risk for women [particularly] in Ciudad Juárez,” – given that a context of </w:t>
      </w:r>
      <w:r w:rsidR="00F26685" w:rsidRPr="00EA6C7A">
        <w:rPr>
          <w:rFonts w:ascii="Verdana" w:eastAsia="Calibri" w:hAnsi="Verdana" w:cs="Verdana"/>
          <w:sz w:val="20"/>
          <w:szCs w:val="20"/>
          <w:lang w:val="en-US"/>
        </w:rPr>
        <w:t>violence against women</w:t>
      </w:r>
      <w:r w:rsidR="00F26685" w:rsidRPr="00EA6C7A">
        <w:rPr>
          <w:rFonts w:ascii="Verdana" w:hAnsi="Verdana" w:cs="Arial"/>
          <w:sz w:val="20"/>
          <w:szCs w:val="20"/>
          <w:lang w:val="en-US"/>
        </w:rPr>
        <w:t xml:space="preserve"> had been proved – it was not aware of a real and imminent danger for the victims in this case.  It also indicated that, “[e]ven though the context of this case and the State’s international obligations impose[d] on it a greater responsibility with regard to the protection of women in Ciudad Juárez, […] these factors d[id] not impose unlimited responsibility for any unlawful act against [them].” Consequently, it indicated that the Court could </w:t>
      </w:r>
      <w:r w:rsidR="00F26685" w:rsidRPr="00EA6C7A">
        <w:rPr>
          <w:rFonts w:ascii="Verdana" w:hAnsi="Verdana" w:cs="Arial"/>
          <w:sz w:val="20"/>
          <w:szCs w:val="20"/>
          <w:u w:val="single"/>
          <w:lang w:val="en-US"/>
        </w:rPr>
        <w:t>“only note that the absence of a general policy” with regard to the pattern of</w:t>
      </w:r>
      <w:r w:rsidR="00F26685" w:rsidRPr="00EA6C7A">
        <w:rPr>
          <w:rFonts w:ascii="Verdana" w:hAnsi="Verdana" w:cs="Arial"/>
          <w:sz w:val="20"/>
          <w:szCs w:val="20"/>
          <w:lang w:val="en-US"/>
        </w:rPr>
        <w:t xml:space="preserve"> </w:t>
      </w:r>
      <w:r w:rsidR="00F26685" w:rsidRPr="00EA6C7A">
        <w:rPr>
          <w:rFonts w:ascii="Verdana" w:eastAsia="Calibri" w:hAnsi="Verdana" w:cs="Verdana"/>
          <w:sz w:val="20"/>
          <w:szCs w:val="20"/>
          <w:u w:val="single"/>
          <w:lang w:val="en-US"/>
        </w:rPr>
        <w:t>violence against women, had constituted “</w:t>
      </w:r>
      <w:r w:rsidR="00F26685" w:rsidRPr="00EA6C7A">
        <w:rPr>
          <w:rFonts w:ascii="Verdana" w:hAnsi="Verdana" w:cs="Arial"/>
          <w:sz w:val="20"/>
          <w:szCs w:val="20"/>
          <w:u w:val="single"/>
          <w:lang w:val="en-US"/>
        </w:rPr>
        <w:t xml:space="preserve">a </w:t>
      </w:r>
      <w:r w:rsidR="00EF095D" w:rsidRPr="00EA6C7A">
        <w:rPr>
          <w:rFonts w:ascii="Verdana" w:hAnsi="Verdana" w:cs="Arial"/>
          <w:sz w:val="20"/>
          <w:szCs w:val="20"/>
          <w:u w:val="single"/>
          <w:lang w:val="en-US"/>
        </w:rPr>
        <w:t xml:space="preserve">general </w:t>
      </w:r>
      <w:r w:rsidR="00F26685" w:rsidRPr="00EA6C7A">
        <w:rPr>
          <w:rFonts w:ascii="Verdana" w:hAnsi="Verdana" w:cs="Arial"/>
          <w:sz w:val="20"/>
          <w:szCs w:val="20"/>
          <w:u w:val="single"/>
          <w:lang w:val="en-US"/>
        </w:rPr>
        <w:t>failure […] to comply with its obligation of prevention</w:t>
      </w:r>
      <w:r w:rsidR="00EF095D" w:rsidRPr="00EA6C7A">
        <w:rPr>
          <w:rFonts w:ascii="Verdana" w:hAnsi="Verdana" w:cs="Arial"/>
          <w:sz w:val="20"/>
          <w:szCs w:val="20"/>
          <w:lang w:val="en-US"/>
        </w:rPr>
        <w:t>.</w:t>
      </w:r>
      <w:r w:rsidRPr="00EA6C7A">
        <w:rPr>
          <w:rFonts w:ascii="Verdana" w:eastAsia="Calibri" w:hAnsi="Verdana" w:cs="Verdana"/>
          <w:sz w:val="20"/>
          <w:szCs w:val="20"/>
          <w:lang w:val="en-US"/>
        </w:rPr>
        <w:t>”</w:t>
      </w:r>
      <w:r w:rsidRPr="00EA6C7A">
        <w:rPr>
          <w:rFonts w:ascii="Verdana" w:eastAsia="Calibri" w:hAnsi="Verdana" w:cs="Verdana"/>
          <w:sz w:val="20"/>
          <w:szCs w:val="20"/>
          <w:vertAlign w:val="superscript"/>
          <w:lang w:val="en-US"/>
        </w:rPr>
        <w:footnoteReference w:id="411"/>
      </w:r>
    </w:p>
    <w:p w14:paraId="054391EA" w14:textId="77777777" w:rsidR="00175ABB" w:rsidRPr="00EA6C7A" w:rsidRDefault="00175ABB" w:rsidP="00175ABB">
      <w:pPr>
        <w:autoSpaceDE w:val="0"/>
        <w:autoSpaceDN w:val="0"/>
        <w:adjustRightInd w:val="0"/>
        <w:spacing w:after="0" w:line="240" w:lineRule="auto"/>
        <w:jc w:val="both"/>
        <w:rPr>
          <w:rFonts w:ascii="Verdana" w:eastAsia="Calibri" w:hAnsi="Verdana" w:cs="Verdana"/>
          <w:sz w:val="20"/>
          <w:szCs w:val="20"/>
          <w:lang w:val="en-US"/>
        </w:rPr>
      </w:pPr>
    </w:p>
    <w:p w14:paraId="0C417CC4" w14:textId="77777777" w:rsidR="00175ABB" w:rsidRPr="00EA6C7A" w:rsidRDefault="00175ABB" w:rsidP="00175ABB">
      <w:pPr>
        <w:autoSpaceDE w:val="0"/>
        <w:autoSpaceDN w:val="0"/>
        <w:adjustRightInd w:val="0"/>
        <w:spacing w:after="0" w:line="240" w:lineRule="auto"/>
        <w:jc w:val="both"/>
        <w:rPr>
          <w:rFonts w:ascii="Verdana" w:eastAsia="Calibri" w:hAnsi="Verdana" w:cs="Verdana"/>
          <w:sz w:val="20"/>
          <w:szCs w:val="20"/>
          <w:lang w:val="en-US"/>
        </w:rPr>
      </w:pPr>
      <w:r w:rsidRPr="00EA6C7A">
        <w:rPr>
          <w:rFonts w:ascii="Verdana" w:eastAsia="Calibri" w:hAnsi="Verdana" w:cs="Verdana"/>
          <w:sz w:val="20"/>
          <w:szCs w:val="20"/>
          <w:lang w:val="en-US"/>
        </w:rPr>
        <w:lastRenderedPageBreak/>
        <w:t xml:space="preserve">22. </w:t>
      </w:r>
      <w:r w:rsidRPr="00EA6C7A">
        <w:rPr>
          <w:rFonts w:ascii="Verdana" w:eastAsia="Calibri" w:hAnsi="Verdana" w:cs="Verdana"/>
          <w:sz w:val="20"/>
          <w:szCs w:val="20"/>
          <w:lang w:val="en-US"/>
        </w:rPr>
        <w:tab/>
      </w:r>
      <w:r w:rsidR="00EF095D" w:rsidRPr="00EA6C7A">
        <w:rPr>
          <w:rFonts w:ascii="Verdana" w:eastAsia="Calibri" w:hAnsi="Verdana" w:cs="Verdana"/>
          <w:sz w:val="20"/>
          <w:szCs w:val="20"/>
          <w:lang w:val="en-US"/>
        </w:rPr>
        <w:t xml:space="preserve">In </w:t>
      </w:r>
      <w:r w:rsidR="00FF2310" w:rsidRPr="00EA6C7A">
        <w:rPr>
          <w:rFonts w:ascii="Verdana" w:eastAsia="Calibri" w:hAnsi="Verdana" w:cs="Verdana"/>
          <w:sz w:val="20"/>
          <w:szCs w:val="20"/>
          <w:lang w:val="en-US"/>
        </w:rPr>
        <w:t>relation to</w:t>
      </w:r>
      <w:r w:rsidR="00EF095D" w:rsidRPr="00EA6C7A">
        <w:rPr>
          <w:rFonts w:ascii="Verdana" w:eastAsia="Calibri" w:hAnsi="Verdana" w:cs="Verdana"/>
          <w:sz w:val="20"/>
          <w:szCs w:val="20"/>
          <w:lang w:val="en-US"/>
        </w:rPr>
        <w:t xml:space="preserve"> the</w:t>
      </w:r>
      <w:r w:rsidRPr="00EA6C7A">
        <w:rPr>
          <w:rFonts w:ascii="Verdana" w:eastAsia="Calibri" w:hAnsi="Verdana" w:cs="Verdana"/>
          <w:sz w:val="20"/>
          <w:szCs w:val="20"/>
          <w:lang w:val="en-US"/>
        </w:rPr>
        <w:t xml:space="preserve"> “</w:t>
      </w:r>
      <w:r w:rsidR="00274B18" w:rsidRPr="00EA6C7A">
        <w:rPr>
          <w:rFonts w:ascii="Verdana" w:eastAsia="Calibri" w:hAnsi="Verdana" w:cs="Verdana"/>
          <w:sz w:val="20"/>
          <w:szCs w:val="20"/>
          <w:lang w:val="en-US"/>
        </w:rPr>
        <w:t>second moment</w:t>
      </w:r>
      <w:r w:rsidRPr="00EA6C7A">
        <w:rPr>
          <w:rFonts w:ascii="Verdana" w:eastAsia="Calibri" w:hAnsi="Verdana" w:cs="Verdana"/>
          <w:sz w:val="20"/>
          <w:szCs w:val="20"/>
          <w:lang w:val="en-US"/>
        </w:rPr>
        <w:t>” (</w:t>
      </w:r>
      <w:r w:rsidR="00EF095D" w:rsidRPr="00EA6C7A">
        <w:rPr>
          <w:rFonts w:ascii="Verdana" w:eastAsia="Calibri" w:hAnsi="Verdana" w:cs="Verdana"/>
          <w:sz w:val="20"/>
          <w:szCs w:val="20"/>
          <w:lang w:val="en-US"/>
        </w:rPr>
        <w:t>before the discovery of the bodies</w:t>
      </w:r>
      <w:r w:rsidRPr="00EA6C7A">
        <w:rPr>
          <w:rFonts w:ascii="Verdana" w:eastAsia="Calibri" w:hAnsi="Verdana" w:cs="Verdana"/>
          <w:sz w:val="20"/>
          <w:szCs w:val="20"/>
          <w:lang w:val="en-US"/>
        </w:rPr>
        <w:t xml:space="preserve">), </w:t>
      </w:r>
      <w:r w:rsidR="0096418F" w:rsidRPr="00EA6C7A">
        <w:rPr>
          <w:rFonts w:ascii="Verdana" w:eastAsia="Calibri" w:hAnsi="Verdana" w:cs="Verdana"/>
          <w:sz w:val="20"/>
          <w:szCs w:val="20"/>
          <w:lang w:val="en-US"/>
        </w:rPr>
        <w:t>the Court</w:t>
      </w:r>
      <w:r w:rsidR="00EF095D" w:rsidRPr="00EA6C7A">
        <w:rPr>
          <w:rFonts w:ascii="Verdana" w:eastAsia="Calibri" w:hAnsi="Verdana" w:cs="Verdana"/>
          <w:sz w:val="20"/>
          <w:szCs w:val="20"/>
          <w:lang w:val="en-US"/>
        </w:rPr>
        <w:t xml:space="preserve"> decided to make a more detailed examination, establishing that, since the State was aware that “</w:t>
      </w:r>
      <w:r w:rsidR="00EF095D" w:rsidRPr="00EA6C7A">
        <w:rPr>
          <w:rFonts w:ascii="Verdana" w:hAnsi="Verdana" w:cs="Arial"/>
          <w:sz w:val="20"/>
          <w:szCs w:val="20"/>
          <w:lang w:val="en-US"/>
        </w:rPr>
        <w:t>there was a real and imminent risk that the victims would be sexually abused, subjected to ill-treatment and killed,” “</w:t>
      </w:r>
      <w:r w:rsidR="00EF095D" w:rsidRPr="00EA6C7A">
        <w:rPr>
          <w:rFonts w:ascii="Verdana" w:hAnsi="Verdana" w:cs="Arial"/>
          <w:sz w:val="20"/>
          <w:szCs w:val="20"/>
          <w:u w:val="single"/>
          <w:lang w:val="en-US"/>
        </w:rPr>
        <w:t>an obligation of strict due diligence ar[ose] with regard to reports of missing women</w:t>
      </w:r>
      <w:r w:rsidR="00EF095D" w:rsidRPr="00EA6C7A">
        <w:rPr>
          <w:rFonts w:ascii="Verdana" w:hAnsi="Verdana" w:cs="Arial"/>
          <w:sz w:val="20"/>
          <w:szCs w:val="20"/>
          <w:lang w:val="en-US"/>
        </w:rPr>
        <w:t>,” which required “</w:t>
      </w:r>
      <w:r w:rsidR="00EF095D" w:rsidRPr="00EA6C7A">
        <w:rPr>
          <w:rFonts w:ascii="Verdana" w:hAnsi="Verdana" w:cs="Arial"/>
          <w:sz w:val="20"/>
          <w:szCs w:val="20"/>
          <w:u w:val="single"/>
          <w:lang w:val="en-US"/>
        </w:rPr>
        <w:t>that exhaustive search activities be conducted</w:t>
      </w:r>
      <w:r w:rsidR="00EF095D" w:rsidRPr="00EA6C7A">
        <w:rPr>
          <w:rFonts w:ascii="Verdana" w:hAnsi="Verdana" w:cs="Arial"/>
          <w:sz w:val="20"/>
          <w:szCs w:val="20"/>
          <w:lang w:val="en-US"/>
        </w:rPr>
        <w:t>.</w:t>
      </w:r>
      <w:r w:rsidRPr="00EA6C7A">
        <w:rPr>
          <w:rFonts w:ascii="Verdana" w:eastAsia="Calibri" w:hAnsi="Verdana" w:cs="Verdana"/>
          <w:sz w:val="20"/>
          <w:szCs w:val="20"/>
          <w:lang w:val="en-US"/>
        </w:rPr>
        <w:t>”</w:t>
      </w:r>
      <w:r w:rsidRPr="00EA6C7A">
        <w:rPr>
          <w:rFonts w:ascii="Verdana" w:eastAsia="Calibri" w:hAnsi="Verdana" w:cs="Verdana"/>
          <w:vertAlign w:val="superscript"/>
          <w:lang w:val="en-US"/>
        </w:rPr>
        <w:t xml:space="preserve"> </w:t>
      </w:r>
      <w:r w:rsidRPr="00EA6C7A">
        <w:rPr>
          <w:rFonts w:ascii="Verdana" w:eastAsia="Calibri" w:hAnsi="Verdana" w:cs="Verdana"/>
          <w:vertAlign w:val="superscript"/>
          <w:lang w:val="en-US"/>
        </w:rPr>
        <w:footnoteReference w:id="412"/>
      </w:r>
    </w:p>
    <w:p w14:paraId="475C1041" w14:textId="77777777" w:rsidR="00175ABB" w:rsidRPr="00EA6C7A" w:rsidRDefault="00175ABB" w:rsidP="00175ABB">
      <w:pPr>
        <w:autoSpaceDE w:val="0"/>
        <w:autoSpaceDN w:val="0"/>
        <w:adjustRightInd w:val="0"/>
        <w:spacing w:after="0" w:line="240" w:lineRule="auto"/>
        <w:jc w:val="both"/>
        <w:rPr>
          <w:rFonts w:ascii="Verdana" w:eastAsia="Calibri" w:hAnsi="Verdana" w:cs="Verdana"/>
          <w:sz w:val="20"/>
          <w:szCs w:val="20"/>
          <w:lang w:val="en-US"/>
        </w:rPr>
      </w:pPr>
    </w:p>
    <w:p w14:paraId="31E873C7" w14:textId="77777777" w:rsidR="00175ABB" w:rsidRPr="00EA6C7A" w:rsidRDefault="00175ABB" w:rsidP="00175ABB">
      <w:pPr>
        <w:autoSpaceDE w:val="0"/>
        <w:autoSpaceDN w:val="0"/>
        <w:adjustRightInd w:val="0"/>
        <w:spacing w:after="0" w:line="240" w:lineRule="auto"/>
        <w:jc w:val="both"/>
        <w:rPr>
          <w:rFonts w:ascii="Verdana" w:eastAsia="Calibri" w:hAnsi="Verdana" w:cs="Verdana"/>
          <w:sz w:val="20"/>
          <w:szCs w:val="20"/>
          <w:lang w:val="en-US"/>
        </w:rPr>
      </w:pPr>
      <w:r w:rsidRPr="00EA6C7A">
        <w:rPr>
          <w:rFonts w:ascii="Verdana" w:eastAsia="Calibri" w:hAnsi="Verdana" w:cs="Verdana"/>
          <w:sz w:val="20"/>
          <w:szCs w:val="20"/>
          <w:lang w:val="en-US"/>
        </w:rPr>
        <w:t xml:space="preserve">23. </w:t>
      </w:r>
      <w:r w:rsidRPr="00EA6C7A">
        <w:rPr>
          <w:rFonts w:ascii="Verdana" w:eastAsia="Calibri" w:hAnsi="Verdana" w:cs="Verdana"/>
          <w:sz w:val="20"/>
          <w:szCs w:val="20"/>
          <w:lang w:val="en-US"/>
        </w:rPr>
        <w:tab/>
      </w:r>
      <w:r w:rsidR="00EF095D" w:rsidRPr="00EA6C7A">
        <w:rPr>
          <w:rFonts w:ascii="Verdana" w:eastAsia="Calibri" w:hAnsi="Verdana" w:cs="Verdana"/>
          <w:sz w:val="20"/>
          <w:szCs w:val="20"/>
          <w:lang w:val="en-US"/>
        </w:rPr>
        <w:t>In this regard,</w:t>
      </w:r>
      <w:r w:rsidRPr="00EA6C7A">
        <w:rPr>
          <w:rFonts w:ascii="Verdana" w:eastAsia="Calibri" w:hAnsi="Verdana" w:cs="Verdana"/>
          <w:sz w:val="20"/>
          <w:szCs w:val="20"/>
          <w:lang w:val="en-US"/>
        </w:rPr>
        <w:t xml:space="preserve"> </w:t>
      </w:r>
      <w:r w:rsidR="0096418F" w:rsidRPr="00EA6C7A">
        <w:rPr>
          <w:rFonts w:ascii="Verdana" w:eastAsia="Calibri" w:hAnsi="Verdana" w:cs="Verdana"/>
          <w:sz w:val="20"/>
          <w:szCs w:val="20"/>
          <w:lang w:val="en-US"/>
        </w:rPr>
        <w:t>the Cour</w:t>
      </w:r>
      <w:r w:rsidR="00EF095D" w:rsidRPr="00EA6C7A">
        <w:rPr>
          <w:rFonts w:ascii="Verdana" w:eastAsia="Calibri" w:hAnsi="Verdana" w:cs="Verdana"/>
          <w:sz w:val="20"/>
          <w:szCs w:val="20"/>
          <w:lang w:val="en-US"/>
        </w:rPr>
        <w:t>t</w:t>
      </w:r>
      <w:r w:rsidRPr="00EA6C7A">
        <w:rPr>
          <w:rFonts w:ascii="Verdana" w:eastAsia="Calibri" w:hAnsi="Verdana" w:cs="Verdana"/>
          <w:sz w:val="20"/>
          <w:szCs w:val="20"/>
          <w:lang w:val="en-US"/>
        </w:rPr>
        <w:t xml:space="preserve"> determin</w:t>
      </w:r>
      <w:r w:rsidR="00EF095D" w:rsidRPr="00EA6C7A">
        <w:rPr>
          <w:rFonts w:ascii="Verdana" w:eastAsia="Calibri" w:hAnsi="Verdana" w:cs="Verdana"/>
          <w:sz w:val="20"/>
          <w:szCs w:val="20"/>
          <w:lang w:val="en-US"/>
        </w:rPr>
        <w:t xml:space="preserve">ed that owing to the State’s lack of due diligence to prevent the deaths of the victims at that moment, as well as State’s failure to adopt the necessary laws or measures </w:t>
      </w:r>
      <w:r w:rsidR="005D7877" w:rsidRPr="00EA6C7A">
        <w:rPr>
          <w:rFonts w:ascii="Verdana" w:eastAsia="Calibri" w:hAnsi="Verdana" w:cs="Verdana"/>
          <w:sz w:val="20"/>
          <w:szCs w:val="20"/>
          <w:lang w:val="en-US"/>
        </w:rPr>
        <w:t>“</w:t>
      </w:r>
      <w:r w:rsidR="00EF095D" w:rsidRPr="00EA6C7A">
        <w:rPr>
          <w:rFonts w:ascii="Verdana" w:eastAsia="Calibri" w:hAnsi="Verdana" w:cs="Verdana"/>
          <w:sz w:val="20"/>
          <w:szCs w:val="20"/>
          <w:lang w:val="en-US"/>
        </w:rPr>
        <w:t xml:space="preserve">that </w:t>
      </w:r>
      <w:r w:rsidR="005D7877" w:rsidRPr="00EA6C7A">
        <w:rPr>
          <w:rFonts w:ascii="Verdana" w:eastAsia="Calibri" w:hAnsi="Verdana" w:cs="Verdana"/>
          <w:sz w:val="20"/>
          <w:szCs w:val="20"/>
          <w:lang w:val="en-US"/>
        </w:rPr>
        <w:t>would have allowed the authorities to provide an immediate and effective response to the reports of disappearance,</w:t>
      </w:r>
      <w:r w:rsidRPr="00EA6C7A">
        <w:rPr>
          <w:rFonts w:ascii="Verdana" w:eastAsia="Calibri" w:hAnsi="Verdana" w:cs="Verdana"/>
          <w:sz w:val="20"/>
          <w:szCs w:val="20"/>
          <w:lang w:val="en-US"/>
        </w:rPr>
        <w:t>”</w:t>
      </w:r>
      <w:r w:rsidRPr="00EA6C7A">
        <w:rPr>
          <w:rFonts w:ascii="Verdana" w:eastAsia="Calibri" w:hAnsi="Verdana" w:cs="Verdana"/>
          <w:vertAlign w:val="superscript"/>
          <w:lang w:val="en-US"/>
        </w:rPr>
        <w:footnoteReference w:id="413"/>
      </w:r>
      <w:r w:rsidRPr="00EA6C7A">
        <w:rPr>
          <w:rFonts w:ascii="Verdana" w:eastAsia="Calibri" w:hAnsi="Verdana" w:cs="Verdana"/>
          <w:sz w:val="20"/>
          <w:szCs w:val="20"/>
          <w:lang w:val="en-US"/>
        </w:rPr>
        <w:t xml:space="preserve"> </w:t>
      </w:r>
      <w:r w:rsidR="005D7877" w:rsidRPr="00EA6C7A">
        <w:rPr>
          <w:rFonts w:ascii="Verdana" w:eastAsia="Calibri" w:hAnsi="Verdana" w:cs="Verdana"/>
          <w:sz w:val="20"/>
          <w:szCs w:val="20"/>
          <w:lang w:val="en-US"/>
        </w:rPr>
        <w:t>it had violated the r</w:t>
      </w:r>
      <w:r w:rsidR="00123BD3" w:rsidRPr="00EA6C7A">
        <w:rPr>
          <w:rFonts w:ascii="Verdana" w:eastAsia="Calibri" w:hAnsi="Verdana" w:cs="Verdana"/>
          <w:sz w:val="20"/>
          <w:szCs w:val="20"/>
          <w:lang w:val="en-US"/>
        </w:rPr>
        <w:t>ights to life</w:t>
      </w:r>
      <w:r w:rsidRPr="00EA6C7A">
        <w:rPr>
          <w:rFonts w:ascii="Verdana" w:eastAsia="Calibri" w:hAnsi="Verdana" w:cs="Verdana"/>
          <w:sz w:val="20"/>
          <w:szCs w:val="20"/>
          <w:lang w:val="en-US"/>
        </w:rPr>
        <w:t xml:space="preserve">, </w:t>
      </w:r>
      <w:r w:rsidR="00515C34" w:rsidRPr="00EA6C7A">
        <w:rPr>
          <w:rFonts w:ascii="Verdana" w:eastAsia="Calibri" w:hAnsi="Verdana" w:cs="Verdana"/>
          <w:sz w:val="20"/>
          <w:szCs w:val="20"/>
          <w:lang w:val="en-US"/>
        </w:rPr>
        <w:t>personal integrity</w:t>
      </w:r>
      <w:r w:rsidR="00D948A1" w:rsidRPr="00EA6C7A">
        <w:rPr>
          <w:rFonts w:ascii="Verdana" w:eastAsia="Calibri" w:hAnsi="Verdana" w:cs="Verdana"/>
          <w:sz w:val="20"/>
          <w:szCs w:val="20"/>
          <w:lang w:val="en-US"/>
        </w:rPr>
        <w:t xml:space="preserve"> and </w:t>
      </w:r>
      <w:r w:rsidRPr="00EA6C7A">
        <w:rPr>
          <w:rFonts w:ascii="Verdana" w:eastAsia="Calibri" w:hAnsi="Verdana" w:cs="Verdana"/>
          <w:sz w:val="20"/>
          <w:szCs w:val="20"/>
          <w:lang w:val="en-US"/>
        </w:rPr>
        <w:t>personal</w:t>
      </w:r>
      <w:r w:rsidR="005D7877" w:rsidRPr="00EA6C7A">
        <w:rPr>
          <w:rFonts w:ascii="Verdana" w:eastAsia="Calibri" w:hAnsi="Verdana" w:cs="Verdana"/>
          <w:sz w:val="20"/>
          <w:szCs w:val="20"/>
          <w:lang w:val="en-US"/>
        </w:rPr>
        <w:t xml:space="preserve"> liberty</w:t>
      </w:r>
      <w:r w:rsidRPr="00EA6C7A">
        <w:rPr>
          <w:rFonts w:ascii="Verdana" w:eastAsia="Calibri" w:hAnsi="Verdana" w:cs="Verdana"/>
          <w:sz w:val="20"/>
          <w:szCs w:val="20"/>
          <w:lang w:val="en-US"/>
        </w:rPr>
        <w:t xml:space="preserve">, </w:t>
      </w:r>
      <w:r w:rsidR="0005349C" w:rsidRPr="00EA6C7A">
        <w:rPr>
          <w:rFonts w:ascii="Verdana" w:eastAsia="Calibri" w:hAnsi="Verdana" w:cs="Verdana"/>
          <w:sz w:val="20"/>
          <w:szCs w:val="20"/>
          <w:u w:val="single"/>
          <w:lang w:val="en-US"/>
        </w:rPr>
        <w:t>in relation to the general obligation to ensure rights established in</w:t>
      </w:r>
      <w:r w:rsidRPr="00EA6C7A">
        <w:rPr>
          <w:rFonts w:ascii="Verdana" w:eastAsia="Calibri" w:hAnsi="Verdana" w:cs="Verdana"/>
          <w:sz w:val="20"/>
          <w:szCs w:val="20"/>
          <w:u w:val="single"/>
          <w:lang w:val="en-US"/>
        </w:rPr>
        <w:t xml:space="preserve"> </w:t>
      </w:r>
      <w:r w:rsidR="00515C34" w:rsidRPr="00EA6C7A">
        <w:rPr>
          <w:rFonts w:ascii="Verdana" w:eastAsia="Calibri" w:hAnsi="Verdana" w:cs="Verdana"/>
          <w:sz w:val="20"/>
          <w:szCs w:val="20"/>
          <w:u w:val="single"/>
          <w:lang w:val="en-US"/>
        </w:rPr>
        <w:t>Article 1(1)</w:t>
      </w:r>
      <w:r w:rsidR="00D5307F" w:rsidRPr="00EA6C7A">
        <w:rPr>
          <w:rFonts w:ascii="Verdana" w:eastAsia="Calibri" w:hAnsi="Verdana" w:cs="Verdana"/>
          <w:sz w:val="20"/>
          <w:szCs w:val="20"/>
          <w:u w:val="single"/>
          <w:lang w:val="en-US"/>
        </w:rPr>
        <w:t xml:space="preserve"> of the </w:t>
      </w:r>
      <w:r w:rsidR="005D7877" w:rsidRPr="00EA6C7A">
        <w:rPr>
          <w:rFonts w:ascii="Verdana" w:eastAsia="Calibri" w:hAnsi="Verdana" w:cs="Verdana"/>
          <w:sz w:val="20"/>
          <w:szCs w:val="20"/>
          <w:u w:val="single"/>
          <w:lang w:val="en-US"/>
        </w:rPr>
        <w:t>American Convention</w:t>
      </w:r>
      <w:r w:rsidR="00D948A1" w:rsidRPr="00EA6C7A">
        <w:rPr>
          <w:rFonts w:ascii="Verdana" w:eastAsia="Calibri" w:hAnsi="Verdana" w:cs="Verdana"/>
          <w:sz w:val="20"/>
          <w:szCs w:val="20"/>
          <w:u w:val="single"/>
          <w:lang w:val="en-US"/>
        </w:rPr>
        <w:t xml:space="preserve"> and </w:t>
      </w:r>
      <w:r w:rsidR="005F2D0A" w:rsidRPr="00EA6C7A">
        <w:rPr>
          <w:rFonts w:ascii="Verdana" w:eastAsia="Calibri" w:hAnsi="Verdana" w:cs="Verdana"/>
          <w:sz w:val="20"/>
          <w:szCs w:val="20"/>
          <w:u w:val="single"/>
          <w:lang w:val="en-US"/>
        </w:rPr>
        <w:t>the obligation</w:t>
      </w:r>
      <w:r w:rsidRPr="00EA6C7A">
        <w:rPr>
          <w:rFonts w:ascii="Verdana" w:eastAsia="Calibri" w:hAnsi="Verdana" w:cs="Verdana"/>
          <w:sz w:val="20"/>
          <w:szCs w:val="20"/>
          <w:u w:val="single"/>
          <w:lang w:val="en-US"/>
        </w:rPr>
        <w:t xml:space="preserve"> </w:t>
      </w:r>
      <w:r w:rsidR="00471AEF" w:rsidRPr="00EA6C7A">
        <w:rPr>
          <w:rFonts w:ascii="Verdana" w:eastAsia="Calibri" w:hAnsi="Verdana" w:cs="Verdana"/>
          <w:sz w:val="20"/>
          <w:szCs w:val="20"/>
          <w:u w:val="single"/>
          <w:lang w:val="en-US"/>
        </w:rPr>
        <w:t>to</w:t>
      </w:r>
      <w:r w:rsidRPr="00EA6C7A">
        <w:rPr>
          <w:rFonts w:ascii="Verdana" w:eastAsia="Calibri" w:hAnsi="Verdana" w:cs="Verdana"/>
          <w:sz w:val="20"/>
          <w:szCs w:val="20"/>
          <w:u w:val="single"/>
          <w:lang w:val="en-US"/>
        </w:rPr>
        <w:t xml:space="preserve"> adopt</w:t>
      </w:r>
      <w:r w:rsidR="005D7877" w:rsidRPr="00EA6C7A">
        <w:rPr>
          <w:rFonts w:ascii="Verdana" w:eastAsia="Calibri" w:hAnsi="Verdana" w:cs="Verdana"/>
          <w:sz w:val="20"/>
          <w:szCs w:val="20"/>
          <w:u w:val="single"/>
          <w:lang w:val="en-US"/>
        </w:rPr>
        <w:t xml:space="preserve"> domestic legal provisions contained in</w:t>
      </w:r>
      <w:r w:rsidRPr="00EA6C7A">
        <w:rPr>
          <w:rFonts w:ascii="Verdana" w:eastAsia="Calibri" w:hAnsi="Verdana" w:cs="Verdana"/>
          <w:sz w:val="20"/>
          <w:szCs w:val="20"/>
          <w:u w:val="single"/>
          <w:lang w:val="en-US"/>
        </w:rPr>
        <w:t xml:space="preserve"> </w:t>
      </w:r>
      <w:r w:rsidR="0096418F" w:rsidRPr="00EA6C7A">
        <w:rPr>
          <w:rFonts w:ascii="Verdana" w:eastAsia="Calibri" w:hAnsi="Verdana" w:cs="Verdana"/>
          <w:sz w:val="20"/>
          <w:szCs w:val="20"/>
          <w:u w:val="single"/>
          <w:lang w:val="en-US"/>
        </w:rPr>
        <w:t>Article</w:t>
      </w:r>
      <w:r w:rsidRPr="00EA6C7A">
        <w:rPr>
          <w:rFonts w:ascii="Verdana" w:eastAsia="Calibri" w:hAnsi="Verdana" w:cs="Verdana"/>
          <w:sz w:val="20"/>
          <w:szCs w:val="20"/>
          <w:u w:val="single"/>
          <w:lang w:val="en-US"/>
        </w:rPr>
        <w:t xml:space="preserve"> 2</w:t>
      </w:r>
      <w:r w:rsidR="00D5307F" w:rsidRPr="00EA6C7A">
        <w:rPr>
          <w:rFonts w:ascii="Verdana" w:eastAsia="Calibri" w:hAnsi="Verdana" w:cs="Verdana"/>
          <w:sz w:val="20"/>
          <w:szCs w:val="20"/>
          <w:u w:val="single"/>
          <w:lang w:val="en-US"/>
        </w:rPr>
        <w:t xml:space="preserve"> </w:t>
      </w:r>
      <w:r w:rsidR="005D7877" w:rsidRPr="00EA6C7A">
        <w:rPr>
          <w:rFonts w:ascii="Verdana" w:eastAsia="Calibri" w:hAnsi="Verdana" w:cs="Verdana"/>
          <w:sz w:val="20"/>
          <w:szCs w:val="20"/>
          <w:u w:val="single"/>
          <w:lang w:val="en-US"/>
        </w:rPr>
        <w:t>thereof</w:t>
      </w:r>
      <w:r w:rsidRPr="00EA6C7A">
        <w:rPr>
          <w:rFonts w:ascii="Verdana" w:eastAsia="Calibri" w:hAnsi="Verdana" w:cs="Verdana"/>
          <w:sz w:val="20"/>
          <w:szCs w:val="20"/>
          <w:u w:val="single"/>
          <w:lang w:val="en-US"/>
        </w:rPr>
        <w:t xml:space="preserve">, </w:t>
      </w:r>
      <w:r w:rsidR="005D7877" w:rsidRPr="00EA6C7A">
        <w:rPr>
          <w:rFonts w:ascii="Verdana" w:eastAsia="Calibri" w:hAnsi="Verdana" w:cs="Verdana"/>
          <w:sz w:val="20"/>
          <w:szCs w:val="20"/>
          <w:u w:val="single"/>
          <w:lang w:val="en-US"/>
        </w:rPr>
        <w:t>as well as the obligations established in</w:t>
      </w:r>
      <w:r w:rsidRPr="00EA6C7A">
        <w:rPr>
          <w:rFonts w:ascii="Verdana" w:eastAsia="Calibri" w:hAnsi="Verdana" w:cs="Verdana"/>
          <w:sz w:val="20"/>
          <w:szCs w:val="20"/>
          <w:u w:val="single"/>
          <w:lang w:val="en-US"/>
        </w:rPr>
        <w:t xml:space="preserve"> </w:t>
      </w:r>
      <w:r w:rsidR="0096418F" w:rsidRPr="00EA6C7A">
        <w:rPr>
          <w:rFonts w:ascii="Verdana" w:eastAsia="Calibri" w:hAnsi="Verdana" w:cs="Verdana"/>
          <w:sz w:val="20"/>
          <w:szCs w:val="20"/>
          <w:u w:val="single"/>
          <w:lang w:val="en-US"/>
        </w:rPr>
        <w:t>Articles</w:t>
      </w:r>
      <w:r w:rsidRPr="00EA6C7A">
        <w:rPr>
          <w:rFonts w:ascii="Verdana" w:eastAsia="Calibri" w:hAnsi="Verdana" w:cs="Verdana"/>
          <w:sz w:val="20"/>
          <w:szCs w:val="20"/>
          <w:u w:val="single"/>
          <w:lang w:val="en-US"/>
        </w:rPr>
        <w:t xml:space="preserve"> </w:t>
      </w:r>
      <w:r w:rsidR="005F2D0A" w:rsidRPr="00EA6C7A">
        <w:rPr>
          <w:rFonts w:ascii="Verdana" w:eastAsia="Calibri" w:hAnsi="Verdana" w:cs="Verdana"/>
          <w:sz w:val="20"/>
          <w:szCs w:val="20"/>
          <w:u w:val="single"/>
          <w:lang w:val="en-US"/>
        </w:rPr>
        <w:t>7(b)</w:t>
      </w:r>
      <w:r w:rsidR="00D948A1" w:rsidRPr="00EA6C7A">
        <w:rPr>
          <w:rFonts w:ascii="Verdana" w:eastAsia="Calibri" w:hAnsi="Verdana" w:cs="Verdana"/>
          <w:sz w:val="20"/>
          <w:szCs w:val="20"/>
          <w:u w:val="single"/>
          <w:lang w:val="en-US"/>
        </w:rPr>
        <w:t xml:space="preserve"> and </w:t>
      </w:r>
      <w:r w:rsidR="005F2D0A" w:rsidRPr="00EA6C7A">
        <w:rPr>
          <w:rFonts w:ascii="Verdana" w:eastAsia="Calibri" w:hAnsi="Verdana" w:cs="Verdana"/>
          <w:sz w:val="20"/>
          <w:szCs w:val="20"/>
          <w:u w:val="single"/>
          <w:lang w:val="en-US"/>
        </w:rPr>
        <w:t>7(c)</w:t>
      </w:r>
      <w:r w:rsidR="00D5307F" w:rsidRPr="00EA6C7A">
        <w:rPr>
          <w:rFonts w:ascii="Verdana" w:eastAsia="Calibri" w:hAnsi="Verdana" w:cs="Verdana"/>
          <w:sz w:val="20"/>
          <w:szCs w:val="20"/>
          <w:u w:val="single"/>
          <w:lang w:val="en-US"/>
        </w:rPr>
        <w:t xml:space="preserve"> of the </w:t>
      </w:r>
      <w:r w:rsidR="00F912BD" w:rsidRPr="00EA6C7A">
        <w:rPr>
          <w:rFonts w:ascii="Verdana" w:eastAsia="Calibri" w:hAnsi="Verdana" w:cs="Verdana"/>
          <w:sz w:val="20"/>
          <w:szCs w:val="20"/>
          <w:u w:val="single"/>
          <w:lang w:val="en-US"/>
        </w:rPr>
        <w:t>Convention of</w:t>
      </w:r>
      <w:r w:rsidRPr="00EA6C7A">
        <w:rPr>
          <w:rFonts w:ascii="Verdana" w:eastAsia="Calibri" w:hAnsi="Verdana" w:cs="Verdana"/>
          <w:sz w:val="20"/>
          <w:szCs w:val="20"/>
          <w:u w:val="single"/>
          <w:lang w:val="en-US"/>
        </w:rPr>
        <w:t xml:space="preserve"> Belém do Pará, </w:t>
      </w:r>
      <w:r w:rsidR="00123BD3" w:rsidRPr="00EA6C7A">
        <w:rPr>
          <w:rFonts w:ascii="Verdana" w:eastAsia="Calibri" w:hAnsi="Verdana" w:cs="Verdana"/>
          <w:sz w:val="20"/>
          <w:szCs w:val="20"/>
          <w:u w:val="single"/>
          <w:lang w:val="en-US"/>
        </w:rPr>
        <w:t>to the detriment of</w:t>
      </w:r>
      <w:r w:rsidRPr="00EA6C7A">
        <w:rPr>
          <w:rFonts w:ascii="Verdana" w:eastAsia="Calibri" w:hAnsi="Verdana" w:cs="Verdana"/>
          <w:sz w:val="20"/>
          <w:szCs w:val="20"/>
          <w:u w:val="single"/>
          <w:lang w:val="en-US"/>
        </w:rPr>
        <w:t xml:space="preserve"> </w:t>
      </w:r>
      <w:r w:rsidR="005D7877" w:rsidRPr="00EA6C7A">
        <w:rPr>
          <w:rFonts w:ascii="Verdana" w:eastAsia="Calibri" w:hAnsi="Verdana" w:cs="Verdana"/>
          <w:sz w:val="20"/>
          <w:szCs w:val="20"/>
          <w:u w:val="single"/>
          <w:lang w:val="en-US"/>
        </w:rPr>
        <w:t>[the victims]</w:t>
      </w:r>
      <w:r w:rsidR="005D7877" w:rsidRPr="00EA6C7A">
        <w:rPr>
          <w:rFonts w:ascii="Verdana" w:eastAsia="Calibri" w:hAnsi="Verdana" w:cs="Verdana"/>
          <w:sz w:val="20"/>
          <w:szCs w:val="20"/>
          <w:lang w:val="en-US"/>
        </w:rPr>
        <w:t>.</w:t>
      </w:r>
      <w:r w:rsidRPr="00EA6C7A">
        <w:rPr>
          <w:rFonts w:ascii="Verdana" w:eastAsia="Calibri" w:hAnsi="Verdana" w:cs="Verdana"/>
          <w:vertAlign w:val="superscript"/>
          <w:lang w:val="en-US"/>
        </w:rPr>
        <w:footnoteReference w:id="414"/>
      </w:r>
      <w:r w:rsidRPr="00EA6C7A">
        <w:rPr>
          <w:rFonts w:ascii="Verdana" w:eastAsia="Calibri" w:hAnsi="Verdana" w:cs="Verdana"/>
          <w:sz w:val="20"/>
          <w:szCs w:val="20"/>
          <w:lang w:val="en-US"/>
        </w:rPr>
        <w:t xml:space="preserve"> </w:t>
      </w:r>
    </w:p>
    <w:p w14:paraId="3DAE7980" w14:textId="77777777" w:rsidR="00175ABB" w:rsidRPr="00EA6C7A" w:rsidRDefault="00175ABB" w:rsidP="00175ABB">
      <w:pPr>
        <w:autoSpaceDE w:val="0"/>
        <w:autoSpaceDN w:val="0"/>
        <w:adjustRightInd w:val="0"/>
        <w:spacing w:after="0" w:line="240" w:lineRule="auto"/>
        <w:jc w:val="both"/>
        <w:rPr>
          <w:rFonts w:ascii="Verdana" w:eastAsia="Calibri" w:hAnsi="Verdana" w:cs="Verdana"/>
          <w:sz w:val="20"/>
          <w:szCs w:val="20"/>
          <w:lang w:val="en-US"/>
        </w:rPr>
      </w:pPr>
    </w:p>
    <w:p w14:paraId="69780607"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Verdana"/>
          <w:sz w:val="20"/>
          <w:szCs w:val="20"/>
          <w:lang w:val="en-US"/>
        </w:rPr>
        <w:t xml:space="preserve">24. </w:t>
      </w:r>
      <w:r w:rsidRPr="00EA6C7A">
        <w:rPr>
          <w:rFonts w:ascii="Verdana" w:eastAsia="Calibri" w:hAnsi="Verdana" w:cs="Verdana"/>
          <w:sz w:val="20"/>
          <w:szCs w:val="20"/>
          <w:lang w:val="en-US"/>
        </w:rPr>
        <w:tab/>
      </w:r>
      <w:r w:rsidR="005D7877" w:rsidRPr="00EA6C7A">
        <w:rPr>
          <w:rFonts w:ascii="Verdana" w:eastAsia="Calibri" w:hAnsi="Verdana" w:cs="Verdana"/>
          <w:sz w:val="20"/>
          <w:szCs w:val="20"/>
          <w:lang w:val="en-US"/>
        </w:rPr>
        <w:t>Subsequently</w:t>
      </w:r>
      <w:r w:rsidRPr="00EA6C7A">
        <w:rPr>
          <w:rFonts w:ascii="Verdana" w:eastAsia="Calibri" w:hAnsi="Verdana" w:cs="Verdana"/>
          <w:sz w:val="20"/>
          <w:szCs w:val="20"/>
          <w:lang w:val="en-US"/>
        </w:rPr>
        <w:t xml:space="preserve">, </w:t>
      </w:r>
      <w:r w:rsidR="00D5307F" w:rsidRPr="00EA6C7A">
        <w:rPr>
          <w:rFonts w:ascii="Verdana" w:eastAsia="Calibri" w:hAnsi="Verdana" w:cs="Verdana"/>
          <w:sz w:val="20"/>
          <w:szCs w:val="20"/>
          <w:lang w:val="en-US"/>
        </w:rPr>
        <w:t>in the case of</w:t>
      </w:r>
      <w:r w:rsidRPr="00EA6C7A">
        <w:rPr>
          <w:rFonts w:ascii="Verdana" w:eastAsia="Calibri" w:hAnsi="Verdana" w:cs="Verdana"/>
          <w:i/>
          <w:sz w:val="20"/>
          <w:szCs w:val="20"/>
          <w:lang w:val="en-US"/>
        </w:rPr>
        <w:t xml:space="preserve"> </w:t>
      </w:r>
      <w:r w:rsidRPr="00EA6C7A">
        <w:rPr>
          <w:rFonts w:ascii="Verdana" w:eastAsia="Calibri" w:hAnsi="Verdana" w:cs="Tahoma"/>
          <w:bCs/>
          <w:i/>
          <w:color w:val="000000"/>
          <w:sz w:val="20"/>
          <w:szCs w:val="20"/>
          <w:shd w:val="clear" w:color="auto" w:fill="FFFFFF"/>
          <w:lang w:val="en-US"/>
        </w:rPr>
        <w:t xml:space="preserve">Veliz Franco </w:t>
      </w:r>
      <w:r w:rsidR="001914FC" w:rsidRPr="00EA6C7A">
        <w:rPr>
          <w:rFonts w:ascii="Verdana" w:eastAsia="Calibri" w:hAnsi="Verdana" w:cs="Tahoma"/>
          <w:bCs/>
          <w:i/>
          <w:color w:val="000000"/>
          <w:sz w:val="20"/>
          <w:szCs w:val="20"/>
          <w:shd w:val="clear" w:color="auto" w:fill="FFFFFF"/>
          <w:lang w:val="en-US"/>
        </w:rPr>
        <w:t>et al. v.</w:t>
      </w:r>
      <w:r w:rsidRPr="00EA6C7A">
        <w:rPr>
          <w:rFonts w:ascii="Verdana" w:eastAsia="Calibri" w:hAnsi="Verdana" w:cs="Tahoma"/>
          <w:bCs/>
          <w:i/>
          <w:color w:val="000000"/>
          <w:sz w:val="20"/>
          <w:szCs w:val="20"/>
          <w:shd w:val="clear" w:color="auto" w:fill="FFFFFF"/>
          <w:lang w:val="en-US"/>
        </w:rPr>
        <w:t xml:space="preserve"> Guatemala</w:t>
      </w:r>
      <w:r w:rsidR="005D7877"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i/>
          <w:color w:val="000000"/>
          <w:sz w:val="20"/>
          <w:szCs w:val="20"/>
          <w:shd w:val="clear" w:color="auto" w:fill="FFFFFF"/>
          <w:vertAlign w:val="superscript"/>
          <w:lang w:val="en-US"/>
        </w:rPr>
        <w:footnoteReference w:id="415"/>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the Court</w:t>
      </w:r>
      <w:r w:rsidRPr="00EA6C7A">
        <w:rPr>
          <w:rFonts w:ascii="Verdana" w:eastAsia="Calibri" w:hAnsi="Verdana" w:cs="Tahoma"/>
          <w:bCs/>
          <w:color w:val="000000"/>
          <w:sz w:val="20"/>
          <w:szCs w:val="20"/>
          <w:shd w:val="clear" w:color="auto" w:fill="FFFFFF"/>
          <w:lang w:val="en-US"/>
        </w:rPr>
        <w:t xml:space="preserve"> </w:t>
      </w:r>
      <w:r w:rsidR="005D7877" w:rsidRPr="00EA6C7A">
        <w:rPr>
          <w:rFonts w:ascii="Verdana" w:eastAsia="Calibri" w:hAnsi="Verdana" w:cs="Tahoma"/>
          <w:bCs/>
          <w:color w:val="000000"/>
          <w:sz w:val="20"/>
          <w:szCs w:val="20"/>
          <w:shd w:val="clear" w:color="auto" w:fill="FFFFFF"/>
          <w:lang w:val="en-US"/>
        </w:rPr>
        <w:t xml:space="preserve">also examined the </w:t>
      </w:r>
      <w:r w:rsidR="00671A06" w:rsidRPr="00EA6C7A">
        <w:rPr>
          <w:rFonts w:ascii="Verdana" w:eastAsia="Calibri" w:hAnsi="Verdana" w:cs="Tahoma"/>
          <w:bCs/>
          <w:color w:val="000000"/>
          <w:sz w:val="20"/>
          <w:szCs w:val="20"/>
          <w:shd w:val="clear" w:color="auto" w:fill="FFFFFF"/>
          <w:lang w:val="en-US"/>
        </w:rPr>
        <w:t>obligations</w:t>
      </w:r>
      <w:r w:rsidR="005D7877" w:rsidRPr="00EA6C7A">
        <w:rPr>
          <w:rFonts w:ascii="Verdana" w:eastAsia="Calibri" w:hAnsi="Verdana" w:cs="Tahoma"/>
          <w:bCs/>
          <w:color w:val="000000"/>
          <w:sz w:val="20"/>
          <w:szCs w:val="20"/>
          <w:shd w:val="clear" w:color="auto" w:fill="FFFFFF"/>
          <w:lang w:val="en-US"/>
        </w:rPr>
        <w:t xml:space="preserve"> of guarantee, considering the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xml:space="preserve"> </w:t>
      </w:r>
      <w:r w:rsidR="00A55CD6" w:rsidRPr="00EA6C7A">
        <w:rPr>
          <w:rFonts w:ascii="Verdana" w:eastAsia="Calibri" w:hAnsi="Verdana" w:cs="Tahoma"/>
          <w:bCs/>
          <w:color w:val="000000"/>
          <w:sz w:val="20"/>
          <w:szCs w:val="20"/>
          <w:shd w:val="clear" w:color="auto" w:fill="FFFFFF"/>
          <w:lang w:val="en-US"/>
        </w:rPr>
        <w:t xml:space="preserve">as </w:t>
      </w:r>
      <w:r w:rsidR="005D7877" w:rsidRPr="00EA6C7A">
        <w:rPr>
          <w:rFonts w:ascii="Verdana" w:eastAsia="Calibri" w:hAnsi="Verdana" w:cs="Tahoma"/>
          <w:bCs/>
          <w:color w:val="000000"/>
          <w:sz w:val="20"/>
          <w:szCs w:val="20"/>
          <w:shd w:val="clear" w:color="auto" w:fill="FFFFFF"/>
          <w:lang w:val="en-US"/>
        </w:rPr>
        <w:t>a</w:t>
      </w:r>
      <w:r w:rsidR="00A9376A" w:rsidRPr="00EA6C7A">
        <w:rPr>
          <w:rFonts w:ascii="Verdana" w:eastAsia="Calibri" w:hAnsi="Verdana" w:cs="Tahoma"/>
          <w:bCs/>
          <w:color w:val="000000"/>
          <w:sz w:val="20"/>
          <w:szCs w:val="20"/>
          <w:shd w:val="clear" w:color="auto" w:fill="FFFFFF"/>
          <w:lang w:val="en-US"/>
        </w:rPr>
        <w:t xml:space="preserve">n expression </w:t>
      </w:r>
      <w:r w:rsidR="00A55CD6" w:rsidRPr="00EA6C7A">
        <w:rPr>
          <w:rFonts w:ascii="Verdana" w:eastAsia="Calibri" w:hAnsi="Verdana" w:cs="Tahoma"/>
          <w:bCs/>
          <w:color w:val="000000"/>
          <w:sz w:val="20"/>
          <w:szCs w:val="20"/>
          <w:shd w:val="clear" w:color="auto" w:fill="FFFFFF"/>
          <w:lang w:val="en-US"/>
        </w:rPr>
        <w:t xml:space="preserve">of these obligations that </w:t>
      </w:r>
      <w:r w:rsidRPr="00EA6C7A">
        <w:rPr>
          <w:rFonts w:ascii="Verdana" w:eastAsia="Calibri" w:hAnsi="Verdana" w:cs="Tahoma"/>
          <w:bCs/>
          <w:color w:val="000000"/>
          <w:sz w:val="20"/>
          <w:szCs w:val="20"/>
          <w:shd w:val="clear" w:color="auto" w:fill="FFFFFF"/>
          <w:lang w:val="en-US"/>
        </w:rPr>
        <w:t>“</w:t>
      </w:r>
      <w:r w:rsidR="00A55CD6" w:rsidRPr="00EA6C7A">
        <w:rPr>
          <w:rFonts w:ascii="Verdana" w:hAnsi="Verdana" w:cs="Arial"/>
          <w:sz w:val="20"/>
          <w:szCs w:val="20"/>
          <w:lang w:val="en-US"/>
        </w:rPr>
        <w:t>encompasses all those measures of a legal, political, administrative and cultural nature that ensure the safeguard of human rights, and that any possible violation of these rights is considered and treated as an unlawful act […]”;</w:t>
      </w:r>
      <w:r w:rsidRPr="00EA6C7A">
        <w:rPr>
          <w:rFonts w:ascii="Verdana" w:eastAsia="Calibri" w:hAnsi="Verdana" w:cs="Tahoma"/>
          <w:bCs/>
          <w:color w:val="000000"/>
          <w:sz w:val="20"/>
          <w:szCs w:val="20"/>
          <w:shd w:val="clear" w:color="auto" w:fill="FFFFFF"/>
          <w:vertAlign w:val="superscript"/>
          <w:lang w:val="en-US"/>
        </w:rPr>
        <w:footnoteReference w:id="416"/>
      </w:r>
      <w:r w:rsidRPr="00EA6C7A">
        <w:rPr>
          <w:rFonts w:ascii="Verdana" w:eastAsia="Calibri" w:hAnsi="Verdana" w:cs="Tahoma"/>
          <w:bCs/>
          <w:color w:val="000000"/>
          <w:sz w:val="20"/>
          <w:szCs w:val="20"/>
          <w:shd w:val="clear" w:color="auto" w:fill="FFFFFF"/>
          <w:lang w:val="en-US"/>
        </w:rPr>
        <w:t xml:space="preserve"> re</w:t>
      </w:r>
      <w:r w:rsidR="00A55CD6" w:rsidRPr="00EA6C7A">
        <w:rPr>
          <w:rFonts w:ascii="Verdana" w:eastAsia="Calibri" w:hAnsi="Verdana" w:cs="Tahoma"/>
          <w:bCs/>
          <w:color w:val="000000"/>
          <w:sz w:val="20"/>
          <w:szCs w:val="20"/>
          <w:shd w:val="clear" w:color="auto" w:fill="FFFFFF"/>
          <w:lang w:val="en-US"/>
        </w:rPr>
        <w:t xml:space="preserve">confirming this </w:t>
      </w:r>
      <w:r w:rsidR="00D5307F" w:rsidRPr="00EA6C7A">
        <w:rPr>
          <w:rFonts w:ascii="Verdana" w:eastAsia="Calibri" w:hAnsi="Verdana" w:cs="Tahoma"/>
          <w:bCs/>
          <w:color w:val="000000"/>
          <w:sz w:val="20"/>
          <w:szCs w:val="20"/>
          <w:shd w:val="clear" w:color="auto" w:fill="FFFFFF"/>
          <w:lang w:val="en-US"/>
        </w:rPr>
        <w:t>in the case of</w:t>
      </w:r>
      <w:r w:rsidRPr="00EA6C7A">
        <w:rPr>
          <w:rFonts w:ascii="Verdana" w:eastAsia="Calibri" w:hAnsi="Verdana" w:cs="Tahoma"/>
          <w:bCs/>
          <w:color w:val="000000"/>
          <w:sz w:val="20"/>
          <w:szCs w:val="20"/>
          <w:shd w:val="clear" w:color="auto" w:fill="FFFFFF"/>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Pr="00EA6C7A">
        <w:rPr>
          <w:rFonts w:ascii="Verdana" w:eastAsia="Calibri" w:hAnsi="Verdana" w:cs="Tahoma"/>
          <w:bCs/>
          <w:color w:val="000000"/>
          <w:sz w:val="20"/>
          <w:szCs w:val="20"/>
          <w:shd w:val="clear" w:color="auto" w:fill="FFFFFF"/>
          <w:vertAlign w:val="superscript"/>
          <w:lang w:val="en-US"/>
        </w:rPr>
        <w:footnoteReference w:id="417"/>
      </w:r>
      <w:r w:rsidRPr="00EA6C7A">
        <w:rPr>
          <w:rFonts w:ascii="Verdana" w:eastAsia="Calibri" w:hAnsi="Verdana" w:cs="Tahoma"/>
          <w:bCs/>
          <w:i/>
          <w:color w:val="000000"/>
          <w:sz w:val="20"/>
          <w:szCs w:val="20"/>
          <w:shd w:val="clear" w:color="auto" w:fill="FFFFFF"/>
          <w:lang w:val="en-US"/>
        </w:rPr>
        <w:t xml:space="preserve"> </w:t>
      </w:r>
      <w:r w:rsidR="00A55CD6" w:rsidRPr="00EA6C7A">
        <w:rPr>
          <w:rFonts w:ascii="Verdana" w:eastAsia="Calibri" w:hAnsi="Verdana" w:cs="Tahoma"/>
          <w:bCs/>
          <w:color w:val="000000"/>
          <w:sz w:val="20"/>
          <w:szCs w:val="20"/>
          <w:shd w:val="clear" w:color="auto" w:fill="FFFFFF"/>
          <w:lang w:val="en-US"/>
        </w:rPr>
        <w:t xml:space="preserve">in relation to the characteristics of the strategy for the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w:t>
      </w:r>
    </w:p>
    <w:p w14:paraId="3C8C3547"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69E4AC7F"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25. </w:t>
      </w:r>
      <w:r w:rsidRPr="00EA6C7A">
        <w:rPr>
          <w:rFonts w:ascii="Verdana" w:eastAsia="Calibri" w:hAnsi="Verdana" w:cs="Tahoma"/>
          <w:bCs/>
          <w:color w:val="000000"/>
          <w:sz w:val="20"/>
          <w:szCs w:val="20"/>
          <w:shd w:val="clear" w:color="auto" w:fill="FFFFFF"/>
          <w:lang w:val="en-US"/>
        </w:rPr>
        <w:tab/>
      </w:r>
      <w:r w:rsidR="00E91A0C" w:rsidRPr="00EA6C7A">
        <w:rPr>
          <w:rFonts w:ascii="Verdana" w:eastAsia="Calibri" w:hAnsi="Verdana" w:cs="Tahoma"/>
          <w:bCs/>
          <w:color w:val="000000"/>
          <w:sz w:val="20"/>
          <w:szCs w:val="20"/>
          <w:shd w:val="clear" w:color="auto" w:fill="FFFFFF"/>
          <w:lang w:val="en-US"/>
        </w:rPr>
        <w:t xml:space="preserve">Furthermore, based on the </w:t>
      </w:r>
      <w:r w:rsidR="00791963" w:rsidRPr="00EA6C7A">
        <w:rPr>
          <w:rFonts w:ascii="Verdana" w:eastAsia="Calibri" w:hAnsi="Verdana" w:cs="Tahoma"/>
          <w:bCs/>
          <w:color w:val="000000"/>
          <w:sz w:val="20"/>
          <w:szCs w:val="20"/>
          <w:shd w:val="clear" w:color="auto" w:fill="FFFFFF"/>
          <w:lang w:val="en-US"/>
        </w:rPr>
        <w:t>criterion</w:t>
      </w:r>
      <w:r w:rsidR="00E91A0C"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7C280B" w:rsidRPr="00EA6C7A">
        <w:rPr>
          <w:rFonts w:ascii="Verdana" w:eastAsia="Calibri" w:hAnsi="Verdana" w:cs="Tahoma"/>
          <w:bCs/>
          <w:color w:val="000000"/>
          <w:sz w:val="20"/>
          <w:szCs w:val="20"/>
          <w:shd w:val="clear" w:color="auto" w:fill="FFFFFF"/>
          <w:lang w:val="en-US"/>
        </w:rPr>
        <w:t>two moments</w:t>
      </w:r>
      <w:r w:rsidRPr="00EA6C7A">
        <w:rPr>
          <w:rFonts w:ascii="Verdana" w:eastAsia="Calibri" w:hAnsi="Verdana" w:cs="Tahoma"/>
          <w:bCs/>
          <w:color w:val="000000"/>
          <w:sz w:val="20"/>
          <w:szCs w:val="20"/>
          <w:shd w:val="clear" w:color="auto" w:fill="FFFFFF"/>
          <w:lang w:val="en-US"/>
        </w:rPr>
        <w:t xml:space="preserve">” </w:t>
      </w:r>
      <w:r w:rsidR="00E91A0C" w:rsidRPr="00EA6C7A">
        <w:rPr>
          <w:rFonts w:ascii="Verdana" w:eastAsia="Calibri" w:hAnsi="Verdana" w:cs="Tahoma"/>
          <w:bCs/>
          <w:color w:val="000000"/>
          <w:sz w:val="20"/>
          <w:szCs w:val="20"/>
          <w:shd w:val="clear" w:color="auto" w:fill="FFFFFF"/>
          <w:lang w:val="en-US"/>
        </w:rPr>
        <w:t>used in</w:t>
      </w:r>
      <w:r w:rsidRPr="00EA6C7A">
        <w:rPr>
          <w:rFonts w:ascii="Verdana" w:eastAsia="Calibri" w:hAnsi="Verdana" w:cs="Tahoma"/>
          <w:bCs/>
          <w:color w:val="000000"/>
          <w:sz w:val="20"/>
          <w:szCs w:val="20"/>
          <w:shd w:val="clear" w:color="auto" w:fill="FFFFFF"/>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00E91A0C"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i/>
          <w:color w:val="000000"/>
          <w:sz w:val="20"/>
          <w:szCs w:val="20"/>
          <w:shd w:val="clear" w:color="auto" w:fill="FFFFFF"/>
          <w:vertAlign w:val="superscript"/>
          <w:lang w:val="en-US"/>
        </w:rPr>
        <w:footnoteReference w:id="418"/>
      </w:r>
      <w:r w:rsidRPr="00EA6C7A">
        <w:rPr>
          <w:rFonts w:ascii="Verdana" w:eastAsia="Calibri" w:hAnsi="Verdana" w:cs="Tahoma"/>
          <w:bCs/>
          <w:i/>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the Court</w:t>
      </w:r>
      <w:r w:rsidRPr="00EA6C7A">
        <w:rPr>
          <w:rFonts w:ascii="Verdana" w:eastAsia="Calibri" w:hAnsi="Verdana" w:cs="Tahoma"/>
          <w:bCs/>
          <w:color w:val="000000"/>
          <w:sz w:val="20"/>
          <w:szCs w:val="20"/>
          <w:shd w:val="clear" w:color="auto" w:fill="FFFFFF"/>
          <w:lang w:val="en-US"/>
        </w:rPr>
        <w:t xml:space="preserve"> determin</w:t>
      </w:r>
      <w:r w:rsidR="00E91A0C" w:rsidRPr="00EA6C7A">
        <w:rPr>
          <w:rFonts w:ascii="Verdana" w:eastAsia="Calibri" w:hAnsi="Verdana" w:cs="Tahoma"/>
          <w:bCs/>
          <w:color w:val="000000"/>
          <w:sz w:val="20"/>
          <w:szCs w:val="20"/>
          <w:shd w:val="clear" w:color="auto" w:fill="FFFFFF"/>
          <w:lang w:val="en-US"/>
        </w:rPr>
        <w:t>ed</w:t>
      </w:r>
      <w:r w:rsidRPr="00EA6C7A">
        <w:rPr>
          <w:rFonts w:ascii="Verdana" w:eastAsia="Calibri" w:hAnsi="Verdana" w:cs="Tahoma"/>
          <w:bCs/>
          <w:color w:val="000000"/>
          <w:sz w:val="20"/>
          <w:szCs w:val="20"/>
          <w:shd w:val="clear" w:color="auto" w:fill="FFFFFF"/>
          <w:lang w:val="en-US"/>
        </w:rPr>
        <w:t xml:space="preserve"> </w:t>
      </w:r>
      <w:r w:rsidR="00E91A0C" w:rsidRPr="00EA6C7A">
        <w:rPr>
          <w:rFonts w:ascii="Verdana" w:eastAsia="Calibri" w:hAnsi="Verdana" w:cs="Tahoma"/>
          <w:bCs/>
          <w:color w:val="000000"/>
          <w:sz w:val="20"/>
          <w:szCs w:val="20"/>
          <w:shd w:val="clear" w:color="auto" w:fill="FFFFFF"/>
          <w:lang w:val="en-US"/>
        </w:rPr>
        <w:t>in the</w:t>
      </w:r>
      <w:r w:rsidRPr="00EA6C7A">
        <w:rPr>
          <w:rFonts w:ascii="Verdana" w:eastAsia="Calibri" w:hAnsi="Verdana" w:cs="Tahoma"/>
          <w:bCs/>
          <w:color w:val="000000"/>
          <w:sz w:val="20"/>
          <w:szCs w:val="20"/>
          <w:shd w:val="clear" w:color="auto" w:fill="FFFFFF"/>
          <w:lang w:val="en-US"/>
        </w:rPr>
        <w:t xml:space="preserve"> “</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w:t>
      </w:r>
      <w:r w:rsidR="00E91A0C" w:rsidRPr="00EA6C7A">
        <w:rPr>
          <w:rFonts w:ascii="Verdana" w:eastAsia="Calibri" w:hAnsi="Verdana" w:cs="Tahoma"/>
          <w:bCs/>
          <w:color w:val="000000"/>
          <w:sz w:val="20"/>
          <w:szCs w:val="20"/>
          <w:shd w:val="clear" w:color="auto" w:fill="FFFFFF"/>
          <w:lang w:val="en-US"/>
        </w:rPr>
        <w:t xml:space="preserve"> as it had already done in the above case – that the failure to prevent the disappearance “</w:t>
      </w:r>
      <w:r w:rsidR="00E91A0C" w:rsidRPr="00EA6C7A">
        <w:rPr>
          <w:rFonts w:ascii="Verdana" w:hAnsi="Verdana" w:cs="Arial"/>
          <w:sz w:val="20"/>
          <w:szCs w:val="20"/>
          <w:lang w:val="en-US"/>
        </w:rPr>
        <w:t xml:space="preserve">d[id] not </w:t>
      </w:r>
      <w:r w:rsidR="00E91A0C" w:rsidRPr="00EA6C7A">
        <w:rPr>
          <w:rFonts w:ascii="Verdana" w:hAnsi="Verdana" w:cs="Arial"/>
          <w:i/>
          <w:iCs/>
          <w:sz w:val="20"/>
          <w:szCs w:val="20"/>
          <w:lang w:val="en-US"/>
        </w:rPr>
        <w:t>per se</w:t>
      </w:r>
      <w:r w:rsidR="00E91A0C" w:rsidRPr="00EA6C7A">
        <w:rPr>
          <w:rFonts w:ascii="Verdana" w:hAnsi="Verdana" w:cs="Arial"/>
          <w:sz w:val="20"/>
          <w:szCs w:val="20"/>
          <w:lang w:val="en-US"/>
        </w:rPr>
        <w:t xml:space="preserve"> result in the State’s international responsibility” because, although it was aware of the increase of violent acts against women and girls, it was not aware of a real and immediate risk for the victim in that case and, also – </w:t>
      </w:r>
      <w:r w:rsidR="00E91A0C" w:rsidRPr="00EA6C7A">
        <w:rPr>
          <w:rFonts w:ascii="Verdana" w:hAnsi="Verdana" w:cs="Arial"/>
          <w:sz w:val="20"/>
          <w:szCs w:val="20"/>
          <w:u w:val="single"/>
          <w:lang w:val="en-US"/>
        </w:rPr>
        <w:t xml:space="preserve">contrary to its case law precedent – it recognized </w:t>
      </w:r>
      <w:r w:rsidR="00E91A0C" w:rsidRPr="00EA6C7A">
        <w:rPr>
          <w:rFonts w:ascii="Verdana" w:hAnsi="Verdana" w:cs="Arial"/>
          <w:sz w:val="20"/>
          <w:szCs w:val="20"/>
          <w:u w:val="single"/>
          <w:lang w:val="en-US"/>
        </w:rPr>
        <w:lastRenderedPageBreak/>
        <w:t xml:space="preserve">State actions (taken prior to the date of the facts) </w:t>
      </w:r>
      <w:r w:rsidR="00791963" w:rsidRPr="00EA6C7A">
        <w:rPr>
          <w:rFonts w:ascii="Verdana" w:hAnsi="Verdana" w:cs="Arial"/>
          <w:sz w:val="20"/>
          <w:szCs w:val="20"/>
          <w:u w:val="single"/>
          <w:lang w:val="en-US"/>
        </w:rPr>
        <w:t xml:space="preserve">with </w:t>
      </w:r>
      <w:r w:rsidR="00946B3E" w:rsidRPr="00EA6C7A">
        <w:rPr>
          <w:rFonts w:ascii="Verdana" w:hAnsi="Verdana" w:cs="Arial"/>
          <w:sz w:val="20"/>
          <w:szCs w:val="20"/>
          <w:u w:val="single"/>
          <w:lang w:val="en-US"/>
        </w:rPr>
        <w:t>regard</w:t>
      </w:r>
      <w:r w:rsidR="00791963" w:rsidRPr="00EA6C7A">
        <w:rPr>
          <w:rFonts w:ascii="Verdana" w:hAnsi="Verdana" w:cs="Arial"/>
          <w:sz w:val="20"/>
          <w:szCs w:val="20"/>
          <w:u w:val="single"/>
          <w:lang w:val="en-US"/>
        </w:rPr>
        <w:t xml:space="preserve"> to</w:t>
      </w:r>
      <w:r w:rsidR="00946B3E" w:rsidRPr="00EA6C7A">
        <w:rPr>
          <w:rFonts w:ascii="Verdana" w:hAnsi="Verdana" w:cs="Arial"/>
          <w:sz w:val="20"/>
          <w:szCs w:val="20"/>
          <w:u w:val="single"/>
          <w:lang w:val="en-US"/>
        </w:rPr>
        <w:t xml:space="preserve"> the problem of violence against women</w:t>
      </w:r>
      <w:r w:rsidR="00946B3E" w:rsidRPr="00EA6C7A">
        <w:rPr>
          <w:rFonts w:ascii="Verdana" w:hAnsi="Verdana" w:cs="Arial"/>
          <w:sz w:val="20"/>
          <w:szCs w:val="20"/>
          <w:lang w:val="en-US"/>
        </w:rPr>
        <w:t>,</w:t>
      </w:r>
      <w:r w:rsidRPr="00EA6C7A">
        <w:rPr>
          <w:rFonts w:ascii="Verdana" w:eastAsia="Calibri" w:hAnsi="Verdana" w:cs="Tahoma"/>
          <w:bCs/>
          <w:color w:val="000000"/>
          <w:sz w:val="20"/>
          <w:szCs w:val="20"/>
          <w:u w:val="single"/>
          <w:shd w:val="clear" w:color="auto" w:fill="FFFFFF"/>
          <w:vertAlign w:val="superscript"/>
          <w:lang w:val="en-US"/>
        </w:rPr>
        <w:footnoteReference w:id="419"/>
      </w:r>
      <w:r w:rsidRPr="00EA6C7A">
        <w:rPr>
          <w:rFonts w:ascii="Verdana" w:eastAsia="Calibri" w:hAnsi="Verdana" w:cs="Tahoma"/>
          <w:bCs/>
          <w:color w:val="000000"/>
          <w:sz w:val="20"/>
          <w:szCs w:val="20"/>
          <w:u w:val="single"/>
          <w:shd w:val="clear" w:color="auto" w:fill="FFFFFF"/>
          <w:lang w:val="en-US"/>
        </w:rPr>
        <w:t xml:space="preserve"> </w:t>
      </w:r>
      <w:r w:rsidR="00946B3E" w:rsidRPr="00EA6C7A">
        <w:rPr>
          <w:rFonts w:ascii="Verdana" w:eastAsia="Calibri" w:hAnsi="Verdana" w:cs="Tahoma"/>
          <w:bCs/>
          <w:color w:val="000000"/>
          <w:sz w:val="20"/>
          <w:szCs w:val="20"/>
          <w:u w:val="single"/>
          <w:shd w:val="clear" w:color="auto" w:fill="FFFFFF"/>
          <w:lang w:val="en-US"/>
        </w:rPr>
        <w:t>considering the analysis of that moment concluded.</w:t>
      </w:r>
    </w:p>
    <w:p w14:paraId="04BA7DD3"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0179BA88"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26. </w:t>
      </w:r>
      <w:r w:rsidRPr="00EA6C7A">
        <w:rPr>
          <w:rFonts w:ascii="Verdana" w:eastAsia="Calibri" w:hAnsi="Verdana" w:cs="Tahoma"/>
          <w:bCs/>
          <w:color w:val="000000"/>
          <w:sz w:val="20"/>
          <w:szCs w:val="20"/>
          <w:shd w:val="clear" w:color="auto" w:fill="FFFFFF"/>
          <w:lang w:val="en-US"/>
        </w:rPr>
        <w:tab/>
      </w:r>
      <w:r w:rsidR="009939AC" w:rsidRPr="00EA6C7A">
        <w:rPr>
          <w:rFonts w:ascii="Verdana" w:eastAsia="Calibri" w:hAnsi="Verdana" w:cs="Tahoma"/>
          <w:bCs/>
          <w:color w:val="000000"/>
          <w:sz w:val="20"/>
          <w:szCs w:val="20"/>
          <w:shd w:val="clear" w:color="auto" w:fill="FFFFFF"/>
          <w:lang w:val="en-US"/>
        </w:rPr>
        <w:t>With regard to the</w:t>
      </w:r>
      <w:r w:rsidRPr="00EA6C7A">
        <w:rPr>
          <w:rFonts w:ascii="Verdana" w:eastAsia="Calibri" w:hAnsi="Verdana" w:cs="Tahoma"/>
          <w:bCs/>
          <w:color w:val="000000"/>
          <w:sz w:val="20"/>
          <w:szCs w:val="20"/>
          <w:shd w:val="clear" w:color="auto" w:fill="FFFFFF"/>
          <w:lang w:val="en-US"/>
        </w:rPr>
        <w:t xml:space="preserve"> “</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 (</w:t>
      </w:r>
      <w:r w:rsidR="009939AC" w:rsidRPr="00EA6C7A">
        <w:rPr>
          <w:rFonts w:ascii="Verdana" w:eastAsia="Calibri" w:hAnsi="Verdana" w:cs="Tahoma"/>
          <w:bCs/>
          <w:color w:val="000000"/>
          <w:sz w:val="20"/>
          <w:szCs w:val="20"/>
          <w:shd w:val="clear" w:color="auto" w:fill="FFFFFF"/>
          <w:lang w:val="en-US"/>
        </w:rPr>
        <w:t xml:space="preserve">the time elapsed between the report and discovery of the body), </w:t>
      </w:r>
      <w:r w:rsidR="0096418F" w:rsidRPr="00EA6C7A">
        <w:rPr>
          <w:rFonts w:ascii="Verdana" w:eastAsia="Calibri" w:hAnsi="Verdana" w:cs="Tahoma"/>
          <w:bCs/>
          <w:color w:val="000000"/>
          <w:sz w:val="20"/>
          <w:szCs w:val="20"/>
          <w:shd w:val="clear" w:color="auto" w:fill="FFFFFF"/>
          <w:lang w:val="en-US"/>
        </w:rPr>
        <w:t xml:space="preserve">the </w:t>
      </w:r>
      <w:r w:rsidR="009939AC" w:rsidRPr="00EA6C7A">
        <w:rPr>
          <w:rFonts w:ascii="Verdana" w:eastAsia="Calibri" w:hAnsi="Verdana" w:cs="Tahoma"/>
          <w:bCs/>
          <w:color w:val="000000"/>
          <w:sz w:val="20"/>
          <w:szCs w:val="20"/>
          <w:shd w:val="clear" w:color="auto" w:fill="FFFFFF"/>
          <w:lang w:val="en-US"/>
        </w:rPr>
        <w:t>Court</w:t>
      </w:r>
      <w:r w:rsidRPr="00EA6C7A">
        <w:rPr>
          <w:rFonts w:ascii="Verdana" w:eastAsia="Calibri" w:hAnsi="Verdana" w:cs="Tahoma"/>
          <w:bCs/>
          <w:color w:val="000000"/>
          <w:sz w:val="20"/>
          <w:szCs w:val="20"/>
          <w:shd w:val="clear" w:color="auto" w:fill="FFFFFF"/>
          <w:lang w:val="en-US"/>
        </w:rPr>
        <w:t xml:space="preserve"> </w:t>
      </w:r>
      <w:r w:rsidR="009939AC" w:rsidRPr="00EA6C7A">
        <w:rPr>
          <w:rFonts w:ascii="Verdana" w:eastAsia="Calibri" w:hAnsi="Verdana" w:cs="Tahoma"/>
          <w:bCs/>
          <w:color w:val="000000"/>
          <w:sz w:val="20"/>
          <w:szCs w:val="20"/>
          <w:shd w:val="clear" w:color="auto" w:fill="FFFFFF"/>
          <w:lang w:val="en-US"/>
        </w:rPr>
        <w:t>sought to elucidate the existence of the State’s international responsibility</w:t>
      </w:r>
      <w:r w:rsidRPr="00EA6C7A">
        <w:rPr>
          <w:rFonts w:ascii="Verdana" w:eastAsia="Calibri" w:hAnsi="Verdana" w:cs="Tahoma"/>
          <w:bCs/>
          <w:color w:val="000000"/>
          <w:sz w:val="20"/>
          <w:szCs w:val="20"/>
          <w:shd w:val="clear" w:color="auto" w:fill="FFFFFF"/>
          <w:lang w:val="en-US"/>
        </w:rPr>
        <w:t xml:space="preserve"> </w:t>
      </w:r>
      <w:r w:rsidR="009939AC" w:rsidRPr="00EA6C7A">
        <w:rPr>
          <w:rFonts w:ascii="Verdana" w:eastAsia="Calibri" w:hAnsi="Verdana" w:cs="Tahoma"/>
          <w:bCs/>
          <w:color w:val="000000"/>
          <w:sz w:val="20"/>
          <w:szCs w:val="20"/>
          <w:shd w:val="clear" w:color="auto" w:fill="FFFFFF"/>
          <w:lang w:val="en-US"/>
        </w:rPr>
        <w:t xml:space="preserve">by, first, evaluating whether </w:t>
      </w:r>
      <w:r w:rsidR="009939AC" w:rsidRPr="00EA6C7A">
        <w:rPr>
          <w:rFonts w:ascii="Verdana" w:hAnsi="Verdana" w:cs="Arial"/>
          <w:sz w:val="20"/>
          <w:szCs w:val="20"/>
          <w:lang w:val="en-US"/>
        </w:rPr>
        <w:t xml:space="preserve">“the State [had been], or should have been, aware of the situation of real and immediate danger of [the victim”; second, “whether, being aware, it had a reasonable possibility of preventing or avoiding the perpetration of the crime” and, third, </w:t>
      </w:r>
      <w:r w:rsidR="003C6A51" w:rsidRPr="00EA6C7A">
        <w:rPr>
          <w:rFonts w:ascii="Verdana" w:hAnsi="Verdana" w:cs="Arial"/>
          <w:sz w:val="20"/>
          <w:szCs w:val="20"/>
          <w:lang w:val="en-US"/>
        </w:rPr>
        <w:t>“</w:t>
      </w:r>
      <w:r w:rsidR="009939AC" w:rsidRPr="00EA6C7A">
        <w:rPr>
          <w:rFonts w:ascii="Verdana" w:hAnsi="Verdana" w:cs="Arial"/>
          <w:sz w:val="20"/>
          <w:szCs w:val="20"/>
          <w:lang w:val="en-US"/>
        </w:rPr>
        <w:t>whether it exercised due diligence with measures or actions to avoid the violation of the rights of this child</w:t>
      </w:r>
      <w:r w:rsidR="003C6A51" w:rsidRPr="00EA6C7A">
        <w:rPr>
          <w:rFonts w:ascii="Verdana" w:hAnsi="Verdana" w:cs="Arial"/>
          <w:sz w:val="20"/>
          <w:szCs w:val="20"/>
          <w:lang w:val="en-US"/>
        </w:rPr>
        <w:t>.</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20"/>
      </w:r>
    </w:p>
    <w:p w14:paraId="35F5B3B2"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2DFB87A9"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27. </w:t>
      </w:r>
      <w:r w:rsidRPr="00EA6C7A">
        <w:rPr>
          <w:rFonts w:ascii="Verdana" w:eastAsia="Calibri" w:hAnsi="Verdana" w:cs="Tahoma"/>
          <w:bCs/>
          <w:color w:val="000000"/>
          <w:sz w:val="20"/>
          <w:szCs w:val="20"/>
          <w:shd w:val="clear" w:color="auto" w:fill="FFFFFF"/>
          <w:lang w:val="en-US"/>
        </w:rPr>
        <w:tab/>
      </w:r>
      <w:r w:rsidR="003C6A51" w:rsidRPr="00EA6C7A">
        <w:rPr>
          <w:rFonts w:ascii="Verdana" w:eastAsia="Calibri" w:hAnsi="Verdana" w:cs="Tahoma"/>
          <w:bCs/>
          <w:color w:val="000000"/>
          <w:sz w:val="20"/>
          <w:szCs w:val="20"/>
          <w:shd w:val="clear" w:color="auto" w:fill="FFFFFF"/>
          <w:lang w:val="en-US"/>
        </w:rPr>
        <w:t xml:space="preserve">To this end, the Court divided its analysis into two moments, the first with regard to the </w:t>
      </w:r>
      <w:r w:rsidRPr="00EA6C7A">
        <w:rPr>
          <w:rFonts w:ascii="Verdana" w:eastAsia="Calibri" w:hAnsi="Verdana" w:cs="Tahoma"/>
          <w:bCs/>
          <w:color w:val="000000"/>
          <w:sz w:val="20"/>
          <w:szCs w:val="20"/>
          <w:shd w:val="clear" w:color="auto" w:fill="FFFFFF"/>
          <w:lang w:val="en-US"/>
        </w:rPr>
        <w:t>“[e]xistenc</w:t>
      </w:r>
      <w:r w:rsidR="003C6A51" w:rsidRPr="00EA6C7A">
        <w:rPr>
          <w:rFonts w:ascii="Verdana" w:eastAsia="Calibri" w:hAnsi="Verdana" w:cs="Tahoma"/>
          <w:bCs/>
          <w:color w:val="000000"/>
          <w:sz w:val="20"/>
          <w:szCs w:val="20"/>
          <w:shd w:val="clear" w:color="auto" w:fill="FFFFFF"/>
          <w:lang w:val="en-US"/>
        </w:rPr>
        <w:t>e of a situation of risk for [the victim],</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21"/>
      </w:r>
      <w:r w:rsidR="00D948A1" w:rsidRPr="00EA6C7A">
        <w:rPr>
          <w:rFonts w:ascii="Verdana" w:eastAsia="Calibri" w:hAnsi="Verdana" w:cs="Tahoma"/>
          <w:bCs/>
          <w:color w:val="000000"/>
          <w:sz w:val="20"/>
          <w:szCs w:val="20"/>
          <w:shd w:val="clear" w:color="auto" w:fill="FFFFFF"/>
          <w:lang w:val="en-US"/>
        </w:rPr>
        <w:t xml:space="preserve"> and </w:t>
      </w:r>
      <w:r w:rsidR="003C6A51" w:rsidRPr="00EA6C7A">
        <w:rPr>
          <w:rFonts w:ascii="Verdana" w:eastAsia="Calibri" w:hAnsi="Verdana" w:cs="Tahoma"/>
          <w:bCs/>
          <w:color w:val="000000"/>
          <w:sz w:val="20"/>
          <w:szCs w:val="20"/>
          <w:shd w:val="clear" w:color="auto" w:fill="FFFFFF"/>
          <w:lang w:val="en-US"/>
        </w:rPr>
        <w:t xml:space="preserve">the second with regard to the </w:t>
      </w:r>
      <w:r w:rsidRPr="00EA6C7A">
        <w:rPr>
          <w:rFonts w:ascii="Verdana" w:eastAsia="Calibri" w:hAnsi="Verdana" w:cs="Tahoma"/>
          <w:bCs/>
          <w:color w:val="000000"/>
          <w:sz w:val="20"/>
          <w:szCs w:val="20"/>
          <w:shd w:val="clear" w:color="auto" w:fill="FFFFFF"/>
          <w:lang w:val="en-US"/>
        </w:rPr>
        <w:t>“[p]os</w:t>
      </w:r>
      <w:r w:rsidR="003C6A51" w:rsidRPr="00EA6C7A">
        <w:rPr>
          <w:rFonts w:ascii="Verdana" w:eastAsia="Calibri" w:hAnsi="Verdana" w:cs="Tahoma"/>
          <w:bCs/>
          <w:color w:val="000000"/>
          <w:sz w:val="20"/>
          <w:szCs w:val="20"/>
          <w:shd w:val="clear" w:color="auto" w:fill="FFFFFF"/>
          <w:lang w:val="en-US"/>
        </w:rPr>
        <w:t>sbilit</w:t>
      </w:r>
      <w:r w:rsidR="00791963" w:rsidRPr="00EA6C7A">
        <w:rPr>
          <w:rFonts w:ascii="Verdana" w:eastAsia="Calibri" w:hAnsi="Verdana" w:cs="Tahoma"/>
          <w:bCs/>
          <w:color w:val="000000"/>
          <w:sz w:val="20"/>
          <w:szCs w:val="20"/>
          <w:shd w:val="clear" w:color="auto" w:fill="FFFFFF"/>
          <w:lang w:val="en-US"/>
        </w:rPr>
        <w:t>y</w:t>
      </w:r>
      <w:r w:rsidR="003C6A51" w:rsidRPr="00EA6C7A">
        <w:rPr>
          <w:rFonts w:ascii="Verdana" w:eastAsia="Calibri" w:hAnsi="Verdana" w:cs="Tahoma"/>
          <w:bCs/>
          <w:color w:val="000000"/>
          <w:sz w:val="20"/>
          <w:szCs w:val="20"/>
          <w:shd w:val="clear" w:color="auto" w:fill="FFFFFF"/>
          <w:lang w:val="en-US"/>
        </w:rPr>
        <w:t xml:space="preserve"> of diligent action by the State to prevent the risk and its implementation.</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22"/>
      </w:r>
      <w:r w:rsidRPr="00EA6C7A">
        <w:rPr>
          <w:rFonts w:ascii="Verdana" w:eastAsia="Calibri" w:hAnsi="Verdana" w:cs="Tahoma"/>
          <w:bCs/>
          <w:color w:val="000000"/>
          <w:sz w:val="20"/>
          <w:szCs w:val="20"/>
          <w:shd w:val="clear" w:color="auto" w:fill="FFFFFF"/>
          <w:lang w:val="en-US"/>
        </w:rPr>
        <w:t xml:space="preserve"> Re</w:t>
      </w:r>
      <w:r w:rsidR="003C6A51" w:rsidRPr="00EA6C7A">
        <w:rPr>
          <w:rFonts w:ascii="Verdana" w:eastAsia="Calibri" w:hAnsi="Verdana" w:cs="Tahoma"/>
          <w:bCs/>
          <w:color w:val="000000"/>
          <w:sz w:val="20"/>
          <w:szCs w:val="20"/>
          <w:shd w:val="clear" w:color="auto" w:fill="FFFFFF"/>
          <w:lang w:val="en-US"/>
        </w:rPr>
        <w:t>garding  the first moment, the Court determined that</w:t>
      </w:r>
      <w:r w:rsidR="00791963" w:rsidRPr="00EA6C7A">
        <w:rPr>
          <w:rFonts w:ascii="Verdana" w:eastAsia="Calibri" w:hAnsi="Verdana" w:cs="Tahoma"/>
          <w:bCs/>
          <w:color w:val="000000"/>
          <w:sz w:val="20"/>
          <w:szCs w:val="20"/>
          <w:shd w:val="clear" w:color="auto" w:fill="FFFFFF"/>
          <w:lang w:val="en-US"/>
        </w:rPr>
        <w:t>,</w:t>
      </w:r>
      <w:r w:rsidR="003C6A51" w:rsidRPr="00EA6C7A">
        <w:rPr>
          <w:rFonts w:ascii="Verdana" w:eastAsia="Calibri" w:hAnsi="Verdana" w:cs="Tahoma"/>
          <w:bCs/>
          <w:color w:val="000000"/>
          <w:sz w:val="20"/>
          <w:szCs w:val="20"/>
          <w:shd w:val="clear" w:color="auto" w:fill="FFFFFF"/>
          <w:lang w:val="en-US"/>
        </w:rPr>
        <w:t xml:space="preserve"> following the report made by the victim’s mother, the State was aware of the dangerous situation of </w:t>
      </w:r>
      <w:r w:rsidR="00877888" w:rsidRPr="00EA6C7A">
        <w:rPr>
          <w:rFonts w:ascii="Verdana" w:eastAsia="Calibri" w:hAnsi="Verdana" w:cs="Tahoma"/>
          <w:bCs/>
          <w:color w:val="000000"/>
          <w:sz w:val="20"/>
          <w:szCs w:val="20"/>
          <w:shd w:val="clear" w:color="auto" w:fill="FFFFFF"/>
          <w:lang w:val="en-US"/>
        </w:rPr>
        <w:t>the victim</w:t>
      </w:r>
      <w:r w:rsidR="003C6A51" w:rsidRPr="00EA6C7A">
        <w:rPr>
          <w:rFonts w:ascii="Verdana" w:eastAsia="Calibri" w:hAnsi="Verdana" w:cs="Tahoma"/>
          <w:bCs/>
          <w:color w:val="000000"/>
          <w:sz w:val="20"/>
          <w:szCs w:val="20"/>
          <w:shd w:val="clear" w:color="auto" w:fill="FFFFFF"/>
          <w:lang w:val="en-US"/>
        </w:rPr>
        <w:t xml:space="preserve"> given the context</w:t>
      </w:r>
      <w:r w:rsidR="00877888" w:rsidRPr="00EA6C7A">
        <w:rPr>
          <w:rFonts w:ascii="Verdana" w:eastAsia="Calibri" w:hAnsi="Verdana" w:cs="Tahoma"/>
          <w:bCs/>
          <w:color w:val="000000"/>
          <w:sz w:val="20"/>
          <w:szCs w:val="20"/>
          <w:shd w:val="clear" w:color="auto" w:fill="FFFFFF"/>
          <w:lang w:val="en-US"/>
        </w:rPr>
        <w:t xml:space="preserve"> </w:t>
      </w:r>
      <w:r w:rsidR="00FC7D3B" w:rsidRPr="00EA6C7A">
        <w:rPr>
          <w:rFonts w:ascii="Verdana" w:eastAsia="Calibri" w:hAnsi="Verdana" w:cs="Tahoma"/>
          <w:bCs/>
          <w:color w:val="000000"/>
          <w:sz w:val="20"/>
          <w:szCs w:val="20"/>
          <w:shd w:val="clear" w:color="auto" w:fill="FFFFFF"/>
          <w:lang w:val="en-US"/>
        </w:rPr>
        <w:t>in Guatemala</w:t>
      </w:r>
      <w:r w:rsidRPr="00EA6C7A">
        <w:rPr>
          <w:rFonts w:ascii="Verdana" w:eastAsia="Calibri" w:hAnsi="Verdana" w:cs="Tahoma"/>
          <w:bCs/>
          <w:color w:val="000000"/>
          <w:sz w:val="20"/>
          <w:szCs w:val="20"/>
          <w:shd w:val="clear" w:color="auto" w:fill="FFFFFF"/>
          <w:vertAlign w:val="superscript"/>
          <w:lang w:val="en-US"/>
        </w:rPr>
        <w:footnoteReference w:id="423"/>
      </w:r>
      <w:r w:rsidR="00D948A1" w:rsidRPr="00EA6C7A">
        <w:rPr>
          <w:rFonts w:ascii="Verdana" w:eastAsia="Calibri" w:hAnsi="Verdana" w:cs="Tahoma"/>
          <w:bCs/>
          <w:color w:val="000000"/>
          <w:sz w:val="20"/>
          <w:szCs w:val="20"/>
          <w:shd w:val="clear" w:color="auto" w:fill="FFFFFF"/>
          <w:lang w:val="en-US"/>
        </w:rPr>
        <w:t xml:space="preserve"> and</w:t>
      </w:r>
      <w:r w:rsidR="00877888" w:rsidRPr="00EA6C7A">
        <w:rPr>
          <w:rFonts w:ascii="Verdana" w:eastAsia="Calibri" w:hAnsi="Verdana" w:cs="Tahoma"/>
          <w:bCs/>
          <w:color w:val="000000"/>
          <w:sz w:val="20"/>
          <w:szCs w:val="20"/>
          <w:shd w:val="clear" w:color="auto" w:fill="FFFFFF"/>
          <w:lang w:val="en-US"/>
        </w:rPr>
        <w:t>, regarding the second moment, that</w:t>
      </w:r>
      <w:r w:rsidR="00791963" w:rsidRPr="00EA6C7A">
        <w:rPr>
          <w:rFonts w:ascii="Verdana" w:eastAsia="Calibri" w:hAnsi="Verdana" w:cs="Tahoma"/>
          <w:bCs/>
          <w:color w:val="000000"/>
          <w:sz w:val="20"/>
          <w:szCs w:val="20"/>
          <w:shd w:val="clear" w:color="auto" w:fill="FFFFFF"/>
          <w:lang w:val="en-US"/>
        </w:rPr>
        <w:t>,</w:t>
      </w:r>
      <w:r w:rsidR="00877888" w:rsidRPr="00EA6C7A">
        <w:rPr>
          <w:rFonts w:ascii="Verdana" w:eastAsia="Calibri" w:hAnsi="Verdana" w:cs="Tahoma"/>
          <w:bCs/>
          <w:color w:val="000000"/>
          <w:sz w:val="20"/>
          <w:szCs w:val="20"/>
          <w:shd w:val="clear" w:color="auto" w:fill="FFFFFF"/>
          <w:lang w:val="en-US"/>
        </w:rPr>
        <w:t xml:space="preserve"> despite being aware of the </w:t>
      </w:r>
      <w:r w:rsidR="008A04F5" w:rsidRPr="00EA6C7A">
        <w:rPr>
          <w:rFonts w:ascii="Verdana" w:eastAsia="Calibri" w:hAnsi="Verdana" w:cs="Tahoma"/>
          <w:bCs/>
          <w:color w:val="000000"/>
          <w:sz w:val="20"/>
          <w:szCs w:val="20"/>
          <w:shd w:val="clear" w:color="auto" w:fill="FFFFFF"/>
          <w:lang w:val="en-US"/>
        </w:rPr>
        <w:t>missing person report</w:t>
      </w:r>
      <w:r w:rsidR="00877888" w:rsidRPr="00EA6C7A">
        <w:rPr>
          <w:rFonts w:ascii="Verdana" w:eastAsia="Calibri" w:hAnsi="Verdana" w:cs="Tahoma"/>
          <w:bCs/>
          <w:color w:val="000000"/>
          <w:sz w:val="20"/>
          <w:szCs w:val="20"/>
          <w:shd w:val="clear" w:color="auto" w:fill="FFFFFF"/>
          <w:lang w:val="en-US"/>
        </w:rPr>
        <w:t>, the State</w:t>
      </w:r>
      <w:r w:rsidR="00D948A1" w:rsidRPr="00EA6C7A">
        <w:rPr>
          <w:rFonts w:ascii="Verdana" w:eastAsia="Calibri" w:hAnsi="Verdana" w:cs="Tahoma"/>
          <w:bCs/>
          <w:color w:val="000000"/>
          <w:sz w:val="20"/>
          <w:szCs w:val="20"/>
          <w:shd w:val="clear" w:color="auto" w:fill="FFFFFF"/>
          <w:lang w:val="en-US"/>
        </w:rPr>
        <w:t xml:space="preserve"> </w:t>
      </w:r>
      <w:r w:rsidR="00877888" w:rsidRPr="00EA6C7A">
        <w:rPr>
          <w:rFonts w:ascii="Verdana" w:eastAsia="Calibri" w:hAnsi="Verdana" w:cs="Tahoma"/>
          <w:bCs/>
          <w:color w:val="000000"/>
          <w:sz w:val="20"/>
          <w:szCs w:val="20"/>
          <w:shd w:val="clear" w:color="auto" w:fill="FFFFFF"/>
          <w:lang w:val="en-US"/>
        </w:rPr>
        <w:t>had not taken any substantive action to investigate what had happened or to avoid possible violations of the victim’s rights.</w:t>
      </w:r>
      <w:r w:rsidRPr="00EA6C7A">
        <w:rPr>
          <w:rFonts w:ascii="Verdana" w:eastAsia="Calibri" w:hAnsi="Verdana" w:cs="Tahoma"/>
          <w:bCs/>
          <w:color w:val="000000"/>
          <w:sz w:val="20"/>
          <w:szCs w:val="20"/>
          <w:shd w:val="clear" w:color="auto" w:fill="FFFFFF"/>
          <w:vertAlign w:val="superscript"/>
          <w:lang w:val="en-US"/>
        </w:rPr>
        <w:footnoteReference w:id="424"/>
      </w:r>
    </w:p>
    <w:p w14:paraId="25903517"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28516CE7"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28. </w:t>
      </w:r>
      <w:r w:rsidRPr="00EA6C7A">
        <w:rPr>
          <w:rFonts w:ascii="Verdana" w:eastAsia="Calibri" w:hAnsi="Verdana" w:cs="Tahoma"/>
          <w:bCs/>
          <w:color w:val="000000"/>
          <w:sz w:val="20"/>
          <w:szCs w:val="20"/>
          <w:shd w:val="clear" w:color="auto" w:fill="FFFFFF"/>
          <w:lang w:val="en-US"/>
        </w:rPr>
        <w:tab/>
      </w:r>
      <w:r w:rsidR="00CD5831" w:rsidRPr="00EA6C7A">
        <w:rPr>
          <w:rFonts w:ascii="Verdana" w:eastAsia="Calibri" w:hAnsi="Verdana" w:cs="Tahoma"/>
          <w:bCs/>
          <w:color w:val="000000"/>
          <w:sz w:val="20"/>
          <w:szCs w:val="20"/>
          <w:shd w:val="clear" w:color="auto" w:fill="FFFFFF"/>
          <w:lang w:val="en-US"/>
        </w:rPr>
        <w:t>Accordingly, the Court concluded that Guatemala had incurred State responsibility because it had failed to comply with its obligation to ensure</w:t>
      </w:r>
      <w:r w:rsidR="00123BD3" w:rsidRPr="00EA6C7A">
        <w:rPr>
          <w:rFonts w:ascii="Verdana" w:eastAsia="Calibri" w:hAnsi="Verdana" w:cs="Tahoma"/>
          <w:bCs/>
          <w:color w:val="000000"/>
          <w:sz w:val="20"/>
          <w:szCs w:val="20"/>
          <w:shd w:val="clear" w:color="auto" w:fill="FFFFFF"/>
          <w:lang w:val="en-US"/>
        </w:rPr>
        <w:t xml:space="preserve"> the </w:t>
      </w:r>
      <w:r w:rsidR="00F53A64" w:rsidRPr="00EA6C7A">
        <w:rPr>
          <w:rFonts w:ascii="Verdana" w:eastAsia="Calibri" w:hAnsi="Verdana" w:cs="Tahoma"/>
          <w:bCs/>
          <w:color w:val="000000"/>
          <w:sz w:val="20"/>
          <w:szCs w:val="20"/>
          <w:shd w:val="clear" w:color="auto" w:fill="FFFFFF"/>
          <w:lang w:val="en-US"/>
        </w:rPr>
        <w:t>rights to life</w:t>
      </w:r>
      <w:r w:rsidRPr="00EA6C7A">
        <w:rPr>
          <w:rFonts w:ascii="Verdana" w:eastAsia="Calibri" w:hAnsi="Verdana" w:cs="Tahoma"/>
          <w:bCs/>
          <w:color w:val="000000"/>
          <w:sz w:val="20"/>
          <w:szCs w:val="20"/>
          <w:shd w:val="clear" w:color="auto" w:fill="FFFFFF"/>
          <w:lang w:val="en-US"/>
        </w:rPr>
        <w:t xml:space="preserve"> </w:t>
      </w:r>
      <w:r w:rsidR="004C1E19" w:rsidRPr="00EA6C7A">
        <w:rPr>
          <w:rFonts w:ascii="Verdana" w:eastAsia="Calibri" w:hAnsi="Verdana" w:cs="Tahoma"/>
          <w:bCs/>
          <w:color w:val="000000"/>
          <w:sz w:val="20"/>
          <w:szCs w:val="20"/>
          <w:shd w:val="clear" w:color="auto" w:fill="FFFFFF"/>
          <w:lang w:val="en-US"/>
        </w:rPr>
        <w:t>and personal</w:t>
      </w:r>
      <w:r w:rsidR="00515C34" w:rsidRPr="00EA6C7A">
        <w:rPr>
          <w:rFonts w:ascii="Verdana" w:eastAsia="Calibri" w:hAnsi="Verdana" w:cs="Tahoma"/>
          <w:bCs/>
          <w:color w:val="000000"/>
          <w:sz w:val="20"/>
          <w:szCs w:val="20"/>
          <w:shd w:val="clear" w:color="auto" w:fill="FFFFFF"/>
          <w:lang w:val="en-US"/>
        </w:rPr>
        <w:t xml:space="preserve"> integrity</w:t>
      </w:r>
      <w:r w:rsidRPr="00EA6C7A">
        <w:rPr>
          <w:rFonts w:ascii="Verdana" w:eastAsia="Calibri" w:hAnsi="Verdana" w:cs="Tahoma"/>
          <w:bCs/>
          <w:color w:val="000000"/>
          <w:sz w:val="20"/>
          <w:szCs w:val="20"/>
          <w:shd w:val="clear" w:color="auto" w:fill="FFFFFF"/>
          <w:lang w:val="en-US"/>
        </w:rPr>
        <w:t xml:space="preserve"> </w:t>
      </w:r>
      <w:r w:rsidR="0005349C" w:rsidRPr="00EA6C7A">
        <w:rPr>
          <w:rFonts w:ascii="Verdana" w:eastAsia="Calibri" w:hAnsi="Verdana" w:cs="Tahoma"/>
          <w:bCs/>
          <w:color w:val="000000"/>
          <w:sz w:val="20"/>
          <w:szCs w:val="20"/>
          <w:shd w:val="clear" w:color="auto" w:fill="FFFFFF"/>
          <w:lang w:val="en-US"/>
        </w:rPr>
        <w:t>recognized in</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Articles</w:t>
      </w:r>
      <w:r w:rsidR="0092568A" w:rsidRPr="00EA6C7A">
        <w:rPr>
          <w:rFonts w:ascii="Verdana" w:eastAsia="Calibri" w:hAnsi="Verdana" w:cs="Tahoma"/>
          <w:bCs/>
          <w:color w:val="000000"/>
          <w:sz w:val="20"/>
          <w:szCs w:val="20"/>
          <w:shd w:val="clear" w:color="auto" w:fill="FFFFFF"/>
          <w:lang w:val="en-US"/>
        </w:rPr>
        <w:t xml:space="preserve"> 4(1)</w:t>
      </w:r>
      <w:r w:rsidR="00D948A1" w:rsidRPr="00EA6C7A">
        <w:rPr>
          <w:rFonts w:ascii="Verdana" w:eastAsia="Calibri" w:hAnsi="Verdana" w:cs="Tahoma"/>
          <w:bCs/>
          <w:color w:val="000000"/>
          <w:sz w:val="20"/>
          <w:szCs w:val="20"/>
          <w:shd w:val="clear" w:color="auto" w:fill="FFFFFF"/>
          <w:lang w:val="en-US"/>
        </w:rPr>
        <w:t xml:space="preserve"> and</w:t>
      </w:r>
      <w:r w:rsidR="00F53A64" w:rsidRPr="00EA6C7A">
        <w:rPr>
          <w:rFonts w:ascii="Verdana" w:eastAsia="Calibri" w:hAnsi="Verdana" w:cs="Tahoma"/>
          <w:bCs/>
          <w:color w:val="000000"/>
          <w:sz w:val="20"/>
          <w:szCs w:val="20"/>
          <w:shd w:val="clear" w:color="auto" w:fill="FFFFFF"/>
          <w:lang w:val="en-US"/>
        </w:rPr>
        <w:t xml:space="preserve"> 5(1) </w:t>
      </w:r>
      <w:r w:rsidR="0096418F" w:rsidRPr="00EA6C7A">
        <w:rPr>
          <w:rFonts w:ascii="Verdana" w:eastAsia="Calibri" w:hAnsi="Verdana" w:cs="Tahoma"/>
          <w:bCs/>
          <w:color w:val="000000"/>
          <w:sz w:val="20"/>
          <w:szCs w:val="20"/>
          <w:shd w:val="clear" w:color="auto" w:fill="FFFFFF"/>
          <w:lang w:val="en-US"/>
        </w:rPr>
        <w:t>of the American Convention</w:t>
      </w:r>
      <w:r w:rsidRPr="00EA6C7A">
        <w:rPr>
          <w:rFonts w:ascii="Verdana" w:eastAsia="Calibri" w:hAnsi="Verdana" w:cs="Tahoma"/>
          <w:bCs/>
          <w:color w:val="000000"/>
          <w:sz w:val="20"/>
          <w:szCs w:val="20"/>
          <w:shd w:val="clear" w:color="auto" w:fill="FFFFFF"/>
          <w:lang w:val="en-US"/>
        </w:rPr>
        <w:t xml:space="preserve">, </w:t>
      </w:r>
      <w:r w:rsidR="002B325A" w:rsidRPr="00EA6C7A">
        <w:rPr>
          <w:rFonts w:ascii="Verdana" w:eastAsia="Calibri" w:hAnsi="Verdana" w:cs="Tahoma"/>
          <w:bCs/>
          <w:color w:val="000000"/>
          <w:sz w:val="20"/>
          <w:szCs w:val="20"/>
          <w:shd w:val="clear" w:color="auto" w:fill="FFFFFF"/>
          <w:lang w:val="en-US"/>
        </w:rPr>
        <w:t>in relation to Article</w:t>
      </w:r>
      <w:r w:rsidRPr="00EA6C7A">
        <w:rPr>
          <w:rFonts w:ascii="Verdana" w:eastAsia="Calibri" w:hAnsi="Verdana" w:cs="Tahoma"/>
          <w:bCs/>
          <w:color w:val="000000"/>
          <w:sz w:val="20"/>
          <w:szCs w:val="20"/>
          <w:shd w:val="clear" w:color="auto" w:fill="FFFFFF"/>
          <w:lang w:val="en-US"/>
        </w:rPr>
        <w:t xml:space="preserve"> 19 (</w:t>
      </w:r>
      <w:r w:rsidR="00CD5831" w:rsidRPr="00EA6C7A">
        <w:rPr>
          <w:rFonts w:ascii="Verdana" w:eastAsia="Calibri" w:hAnsi="Verdana" w:cs="Tahoma"/>
          <w:bCs/>
          <w:color w:val="000000"/>
          <w:sz w:val="20"/>
          <w:szCs w:val="20"/>
          <w:shd w:val="clear" w:color="auto" w:fill="FFFFFF"/>
          <w:lang w:val="en-US"/>
        </w:rPr>
        <w:t>Rights of the Child</w:t>
      </w:r>
      <w:r w:rsidRPr="00EA6C7A">
        <w:rPr>
          <w:rFonts w:ascii="Verdana" w:eastAsia="Calibri" w:hAnsi="Verdana" w:cs="Tahoma"/>
          <w:bCs/>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and</w:t>
      </w:r>
      <w:r w:rsidR="00715B6F" w:rsidRPr="00EA6C7A">
        <w:rPr>
          <w:rFonts w:ascii="Verdana" w:eastAsia="Calibri" w:hAnsi="Verdana" w:cs="Tahoma"/>
          <w:bCs/>
          <w:color w:val="000000"/>
          <w:sz w:val="20"/>
          <w:szCs w:val="20"/>
          <w:shd w:val="clear" w:color="auto" w:fill="FFFFFF"/>
          <w:lang w:val="en-US"/>
        </w:rPr>
        <w:t xml:space="preserve"> 1(1) </w:t>
      </w:r>
      <w:r w:rsidR="00CD5831" w:rsidRPr="00EA6C7A">
        <w:rPr>
          <w:rFonts w:ascii="Verdana" w:eastAsia="Calibri" w:hAnsi="Verdana" w:cs="Tahoma"/>
          <w:bCs/>
          <w:color w:val="000000"/>
          <w:sz w:val="20"/>
          <w:szCs w:val="20"/>
          <w:shd w:val="clear" w:color="auto" w:fill="FFFFFF"/>
          <w:lang w:val="en-US"/>
        </w:rPr>
        <w:t xml:space="preserve">of this instrument, as well as its obligations under </w:t>
      </w:r>
      <w:r w:rsidR="001914FC"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w:t>
      </w:r>
      <w:r w:rsidR="005F2D0A" w:rsidRPr="00EA6C7A">
        <w:rPr>
          <w:rFonts w:ascii="Verdana" w:eastAsia="Calibri" w:hAnsi="Verdana" w:cs="Tahoma"/>
          <w:bCs/>
          <w:color w:val="000000"/>
          <w:sz w:val="20"/>
          <w:szCs w:val="20"/>
          <w:shd w:val="clear" w:color="auto" w:fill="FFFFFF"/>
          <w:lang w:val="en-US"/>
        </w:rPr>
        <w:t>7(b)</w:t>
      </w:r>
      <w:r w:rsidR="00D5307F"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w:t>
      </w:r>
      <w:r w:rsidR="00CD5831"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25"/>
      </w:r>
    </w:p>
    <w:p w14:paraId="56CBA093"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5CDC0C41"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29. </w:t>
      </w:r>
      <w:r w:rsidRPr="00EA6C7A">
        <w:rPr>
          <w:rFonts w:ascii="Verdana" w:eastAsia="Calibri" w:hAnsi="Verdana" w:cs="Tahoma"/>
          <w:bCs/>
          <w:color w:val="000000"/>
          <w:sz w:val="20"/>
          <w:szCs w:val="20"/>
          <w:shd w:val="clear" w:color="auto" w:fill="FFFFFF"/>
          <w:lang w:val="en-US"/>
        </w:rPr>
        <w:tab/>
      </w:r>
      <w:r w:rsidR="00CD5831" w:rsidRPr="00EA6C7A">
        <w:rPr>
          <w:rFonts w:ascii="Verdana" w:eastAsia="Calibri" w:hAnsi="Verdana" w:cs="Tahoma"/>
          <w:bCs/>
          <w:color w:val="000000"/>
          <w:sz w:val="20"/>
          <w:szCs w:val="20"/>
          <w:shd w:val="clear" w:color="auto" w:fill="FFFFFF"/>
          <w:lang w:val="en-US"/>
        </w:rPr>
        <w:t xml:space="preserve">As can be observed in the two cases examined, in its case law, the Court has established State responsibility as a result of the analysis of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 xml:space="preserve">” </w:t>
      </w:r>
      <w:r w:rsidR="00CD5831" w:rsidRPr="00EA6C7A">
        <w:rPr>
          <w:rFonts w:ascii="Verdana" w:eastAsia="Calibri" w:hAnsi="Verdana" w:cs="Tahoma"/>
          <w:bCs/>
          <w:color w:val="000000"/>
          <w:sz w:val="20"/>
          <w:szCs w:val="20"/>
          <w:shd w:val="clear" w:color="auto" w:fill="FFFFFF"/>
          <w:lang w:val="en-US"/>
        </w:rPr>
        <w:t>of the obligation of prevention, where it has examined the State’s awareness of the dangerous situation, as well as the actions and measures taken based on its obligation to act with diligence in the specific case.</w:t>
      </w:r>
    </w:p>
    <w:p w14:paraId="00CF0630"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212D1A7C" w14:textId="77777777" w:rsidR="00175ABB" w:rsidRPr="00EA6C7A" w:rsidRDefault="00175ABB" w:rsidP="00CF36C3">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30. </w:t>
      </w:r>
      <w:r w:rsidRPr="00EA6C7A">
        <w:rPr>
          <w:rFonts w:ascii="Verdana" w:eastAsia="Calibri" w:hAnsi="Verdana" w:cs="Tahoma"/>
          <w:bCs/>
          <w:color w:val="000000"/>
          <w:sz w:val="20"/>
          <w:szCs w:val="20"/>
          <w:shd w:val="clear" w:color="auto" w:fill="FFFFFF"/>
          <w:lang w:val="en-US"/>
        </w:rPr>
        <w:tab/>
      </w:r>
      <w:r w:rsidR="00CD5831" w:rsidRPr="00EA6C7A">
        <w:rPr>
          <w:rFonts w:ascii="Verdana" w:eastAsia="Calibri" w:hAnsi="Verdana" w:cs="Tahoma"/>
          <w:bCs/>
          <w:color w:val="000000"/>
          <w:sz w:val="20"/>
          <w:szCs w:val="20"/>
          <w:shd w:val="clear" w:color="auto" w:fill="FFFFFF"/>
          <w:lang w:val="en-US"/>
        </w:rPr>
        <w:t xml:space="preserve">However, it may be noted that, when analyzing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w:t>
      </w:r>
      <w:r w:rsidR="00CD5831" w:rsidRPr="00EA6C7A">
        <w:rPr>
          <w:rFonts w:ascii="Verdana" w:eastAsia="Calibri" w:hAnsi="Verdana" w:cs="Tahoma"/>
          <w:bCs/>
          <w:color w:val="000000"/>
          <w:sz w:val="20"/>
          <w:szCs w:val="20"/>
          <w:shd w:val="clear" w:color="auto" w:fill="FFFFFF"/>
          <w:lang w:val="en-US"/>
        </w:rPr>
        <w:t xml:space="preserve"> which I am intending to emphasize in this opinion – it has opted to rule that, despite the context of violence against women, the lack of prevention did not </w:t>
      </w:r>
      <w:r w:rsidR="00CD5831" w:rsidRPr="00EA6C7A">
        <w:rPr>
          <w:rFonts w:ascii="Verdana" w:eastAsia="Calibri" w:hAnsi="Verdana" w:cs="Tahoma"/>
          <w:bCs/>
          <w:i/>
          <w:iCs/>
          <w:color w:val="000000"/>
          <w:sz w:val="20"/>
          <w:szCs w:val="20"/>
          <w:shd w:val="clear" w:color="auto" w:fill="FFFFFF"/>
          <w:lang w:val="en-US"/>
        </w:rPr>
        <w:t>per se</w:t>
      </w:r>
      <w:r w:rsidR="00CD5831" w:rsidRPr="00EA6C7A">
        <w:rPr>
          <w:rFonts w:ascii="Verdana" w:eastAsia="Calibri" w:hAnsi="Verdana" w:cs="Tahoma"/>
          <w:bCs/>
          <w:color w:val="000000"/>
          <w:sz w:val="20"/>
          <w:szCs w:val="20"/>
          <w:shd w:val="clear" w:color="auto" w:fill="FFFFFF"/>
          <w:lang w:val="en-US"/>
        </w:rPr>
        <w:t xml:space="preserve"> </w:t>
      </w:r>
      <w:r w:rsidR="00CF36C3" w:rsidRPr="00EA6C7A">
        <w:rPr>
          <w:rFonts w:ascii="Verdana" w:eastAsia="Calibri" w:hAnsi="Verdana" w:cs="Tahoma"/>
          <w:bCs/>
          <w:color w:val="000000"/>
          <w:sz w:val="20"/>
          <w:szCs w:val="20"/>
          <w:shd w:val="clear" w:color="auto" w:fill="FFFFFF"/>
          <w:lang w:val="en-US"/>
        </w:rPr>
        <w:t>result in the</w:t>
      </w:r>
      <w:r w:rsidR="00791963" w:rsidRPr="00EA6C7A">
        <w:rPr>
          <w:rFonts w:ascii="Verdana" w:eastAsia="Calibri" w:hAnsi="Verdana" w:cs="Tahoma"/>
          <w:bCs/>
          <w:color w:val="000000"/>
          <w:sz w:val="20"/>
          <w:szCs w:val="20"/>
          <w:shd w:val="clear" w:color="auto" w:fill="FFFFFF"/>
          <w:lang w:val="en-US"/>
        </w:rPr>
        <w:t xml:space="preserve"> State’s</w:t>
      </w:r>
      <w:r w:rsidR="00CF36C3" w:rsidRPr="00EA6C7A">
        <w:rPr>
          <w:rFonts w:ascii="Verdana" w:eastAsia="Calibri" w:hAnsi="Verdana" w:cs="Tahoma"/>
          <w:bCs/>
          <w:color w:val="000000"/>
          <w:sz w:val="20"/>
          <w:szCs w:val="20"/>
          <w:shd w:val="clear" w:color="auto" w:fill="FFFFFF"/>
          <w:lang w:val="en-US"/>
        </w:rPr>
        <w:t xml:space="preserve"> international responsibility, </w:t>
      </w:r>
      <w:r w:rsidR="00791963" w:rsidRPr="00EA6C7A">
        <w:rPr>
          <w:rFonts w:ascii="Verdana" w:eastAsia="Calibri" w:hAnsi="Verdana" w:cs="Tahoma"/>
          <w:bCs/>
          <w:color w:val="000000"/>
          <w:sz w:val="20"/>
          <w:szCs w:val="20"/>
          <w:shd w:val="clear" w:color="auto" w:fill="FFFFFF"/>
          <w:lang w:val="en-US"/>
        </w:rPr>
        <w:t>since the</w:t>
      </w:r>
      <w:r w:rsidR="00CF36C3" w:rsidRPr="00EA6C7A">
        <w:rPr>
          <w:rFonts w:ascii="Verdana" w:eastAsia="Calibri" w:hAnsi="Verdana" w:cs="Tahoma"/>
          <w:bCs/>
          <w:color w:val="000000"/>
          <w:sz w:val="20"/>
          <w:szCs w:val="20"/>
          <w:shd w:val="clear" w:color="auto" w:fill="FFFFFF"/>
          <w:lang w:val="en-US"/>
        </w:rPr>
        <w:t xml:space="preserve"> State</w:t>
      </w:r>
      <w:r w:rsidR="00791963" w:rsidRPr="00EA6C7A">
        <w:rPr>
          <w:rFonts w:ascii="Verdana" w:eastAsia="Calibri" w:hAnsi="Verdana" w:cs="Tahoma"/>
          <w:bCs/>
          <w:color w:val="000000"/>
          <w:sz w:val="20"/>
          <w:szCs w:val="20"/>
          <w:shd w:val="clear" w:color="auto" w:fill="FFFFFF"/>
          <w:lang w:val="en-US"/>
        </w:rPr>
        <w:t xml:space="preserve"> was</w:t>
      </w:r>
      <w:r w:rsidR="00CF36C3" w:rsidRPr="00EA6C7A">
        <w:rPr>
          <w:rFonts w:ascii="Verdana" w:eastAsia="Calibri" w:hAnsi="Verdana" w:cs="Tahoma"/>
          <w:bCs/>
          <w:color w:val="000000"/>
          <w:sz w:val="20"/>
          <w:szCs w:val="20"/>
          <w:shd w:val="clear" w:color="auto" w:fill="FFFFFF"/>
          <w:lang w:val="en-US"/>
        </w:rPr>
        <w:t xml:space="preserve"> unaware of a real and immediate danger for the victims before they went missing, as well as the impossibility for the State to respond unrestrictedly for </w:t>
      </w:r>
      <w:r w:rsidR="00565C71" w:rsidRPr="00EA6C7A">
        <w:rPr>
          <w:rFonts w:ascii="Verdana" w:eastAsia="Calibri" w:hAnsi="Verdana" w:cs="Tahoma"/>
          <w:bCs/>
          <w:color w:val="000000"/>
          <w:sz w:val="20"/>
          <w:szCs w:val="20"/>
          <w:shd w:val="clear" w:color="auto" w:fill="FFFFFF"/>
          <w:lang w:val="en-US"/>
        </w:rPr>
        <w:t>every</w:t>
      </w:r>
      <w:r w:rsidR="00CF36C3" w:rsidRPr="00EA6C7A">
        <w:rPr>
          <w:rFonts w:ascii="Verdana" w:eastAsia="Calibri" w:hAnsi="Verdana" w:cs="Tahoma"/>
          <w:bCs/>
          <w:color w:val="000000"/>
          <w:sz w:val="20"/>
          <w:szCs w:val="20"/>
          <w:shd w:val="clear" w:color="auto" w:fill="FFFFFF"/>
          <w:lang w:val="en-US"/>
        </w:rPr>
        <w:t xml:space="preserve"> wrongful act against the victims.</w:t>
      </w:r>
      <w:r w:rsidRPr="00EA6C7A">
        <w:rPr>
          <w:rFonts w:ascii="Verdana" w:eastAsia="Calibri" w:hAnsi="Verdana" w:cs="Tahoma"/>
          <w:bCs/>
          <w:color w:val="000000"/>
          <w:sz w:val="20"/>
          <w:szCs w:val="20"/>
          <w:shd w:val="clear" w:color="auto" w:fill="FFFFFF"/>
          <w:vertAlign w:val="superscript"/>
          <w:lang w:val="en-US"/>
        </w:rPr>
        <w:footnoteReference w:id="426"/>
      </w:r>
    </w:p>
    <w:p w14:paraId="5A5DBF9E"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598CFB0F"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31. </w:t>
      </w:r>
      <w:r w:rsidRPr="00EA6C7A">
        <w:rPr>
          <w:rFonts w:ascii="Verdana" w:eastAsia="Calibri" w:hAnsi="Verdana" w:cs="Tahoma"/>
          <w:bCs/>
          <w:color w:val="000000"/>
          <w:sz w:val="20"/>
          <w:szCs w:val="20"/>
          <w:shd w:val="clear" w:color="auto" w:fill="FFFFFF"/>
          <w:lang w:val="en-US"/>
        </w:rPr>
        <w:tab/>
      </w:r>
      <w:r w:rsidR="00CF36C3" w:rsidRPr="00EA6C7A">
        <w:rPr>
          <w:rFonts w:ascii="Verdana" w:eastAsia="Calibri" w:hAnsi="Verdana" w:cs="Tahoma"/>
          <w:bCs/>
          <w:color w:val="000000"/>
          <w:sz w:val="20"/>
          <w:szCs w:val="20"/>
          <w:shd w:val="clear" w:color="auto" w:fill="FFFFFF"/>
          <w:lang w:val="en-US"/>
        </w:rPr>
        <w:t xml:space="preserve">Regardless of the foregoing, the Court has also concluded in its analysis of the said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w:t>
      </w:r>
      <w:r w:rsidR="00CF36C3"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in the case of</w:t>
      </w:r>
      <w:r w:rsidRPr="00EA6C7A">
        <w:rPr>
          <w:rFonts w:ascii="Verdana" w:eastAsia="Calibri" w:hAnsi="Verdana" w:cs="Tahoma"/>
          <w:bCs/>
          <w:color w:val="000000"/>
          <w:sz w:val="20"/>
          <w:szCs w:val="20"/>
          <w:shd w:val="clear" w:color="auto" w:fill="FFFFFF"/>
          <w:lang w:val="en-US"/>
        </w:rPr>
        <w:t xml:space="preserve"> </w:t>
      </w:r>
      <w:r w:rsidR="008B402D" w:rsidRPr="00EA6C7A">
        <w:rPr>
          <w:rFonts w:ascii="Verdana" w:eastAsia="Calibri" w:hAnsi="Verdana" w:cs="Tahoma"/>
          <w:bCs/>
          <w:i/>
          <w:color w:val="000000"/>
          <w:sz w:val="20"/>
          <w:szCs w:val="20"/>
          <w:shd w:val="clear" w:color="auto" w:fill="FFFFFF"/>
          <w:lang w:val="en-US"/>
        </w:rPr>
        <w:t>González et al.</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Cotton Field</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Mexico</w:t>
      </w:r>
      <w:r w:rsidR="00CF36C3" w:rsidRPr="00EA6C7A">
        <w:rPr>
          <w:rFonts w:ascii="Verdana" w:eastAsia="Calibri" w:hAnsi="Verdana" w:cs="Tahoma"/>
          <w:bCs/>
          <w:i/>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 xml:space="preserve">— </w:t>
      </w:r>
      <w:r w:rsidR="00CF36C3" w:rsidRPr="00EA6C7A">
        <w:rPr>
          <w:rFonts w:ascii="Verdana" w:eastAsia="Calibri" w:hAnsi="Verdana" w:cs="Tahoma"/>
          <w:bCs/>
          <w:color w:val="000000"/>
          <w:sz w:val="20"/>
          <w:szCs w:val="20"/>
          <w:u w:val="single"/>
          <w:shd w:val="clear" w:color="auto" w:fill="FFFFFF"/>
          <w:lang w:val="en-US"/>
        </w:rPr>
        <w:t>that</w:t>
      </w:r>
      <w:r w:rsidR="00791963" w:rsidRPr="00EA6C7A">
        <w:rPr>
          <w:rFonts w:ascii="Verdana" w:eastAsia="Calibri" w:hAnsi="Verdana" w:cs="Tahoma"/>
          <w:bCs/>
          <w:color w:val="000000"/>
          <w:sz w:val="20"/>
          <w:szCs w:val="20"/>
          <w:u w:val="single"/>
          <w:shd w:val="clear" w:color="auto" w:fill="FFFFFF"/>
          <w:lang w:val="en-US"/>
        </w:rPr>
        <w:t xml:space="preserve">, </w:t>
      </w:r>
      <w:r w:rsidR="00CF36C3" w:rsidRPr="00EA6C7A">
        <w:rPr>
          <w:rFonts w:ascii="Verdana" w:eastAsia="Calibri" w:hAnsi="Verdana" w:cs="Tahoma"/>
          <w:bCs/>
          <w:color w:val="000000"/>
          <w:sz w:val="20"/>
          <w:szCs w:val="20"/>
          <w:u w:val="single"/>
          <w:shd w:val="clear" w:color="auto" w:fill="FFFFFF"/>
          <w:lang w:val="en-US"/>
        </w:rPr>
        <w:t>in light of the pattern of</w:t>
      </w:r>
      <w:r w:rsidRPr="00EA6C7A">
        <w:rPr>
          <w:rFonts w:ascii="Verdana" w:eastAsia="Calibri" w:hAnsi="Verdana" w:cs="Tahoma"/>
          <w:bCs/>
          <w:color w:val="000000"/>
          <w:sz w:val="20"/>
          <w:szCs w:val="20"/>
          <w:u w:val="single"/>
          <w:shd w:val="clear" w:color="auto" w:fill="FFFFFF"/>
          <w:lang w:val="en-US"/>
        </w:rPr>
        <w:t xml:space="preserve"> </w:t>
      </w:r>
      <w:r w:rsidR="00C12C08" w:rsidRPr="00EA6C7A">
        <w:rPr>
          <w:rFonts w:ascii="Verdana" w:eastAsia="Calibri" w:hAnsi="Verdana" w:cs="Tahoma"/>
          <w:bCs/>
          <w:color w:val="000000"/>
          <w:sz w:val="20"/>
          <w:szCs w:val="20"/>
          <w:u w:val="single"/>
          <w:shd w:val="clear" w:color="auto" w:fill="FFFFFF"/>
          <w:lang w:val="en-US"/>
        </w:rPr>
        <w:t>violence against women</w:t>
      </w:r>
      <w:r w:rsidR="00791963" w:rsidRPr="00EA6C7A">
        <w:rPr>
          <w:rFonts w:ascii="Verdana" w:eastAsia="Calibri" w:hAnsi="Verdana" w:cs="Tahoma"/>
          <w:bCs/>
          <w:color w:val="000000"/>
          <w:sz w:val="20"/>
          <w:szCs w:val="20"/>
          <w:u w:val="single"/>
          <w:shd w:val="clear" w:color="auto" w:fill="FFFFFF"/>
          <w:lang w:val="en-US"/>
        </w:rPr>
        <w:t>,</w:t>
      </w:r>
      <w:r w:rsidRPr="00EA6C7A">
        <w:rPr>
          <w:rFonts w:ascii="Verdana" w:eastAsia="Calibri" w:hAnsi="Verdana" w:cs="Tahoma"/>
          <w:bCs/>
          <w:color w:val="000000"/>
          <w:sz w:val="20"/>
          <w:szCs w:val="20"/>
          <w:u w:val="single"/>
          <w:shd w:val="clear" w:color="auto" w:fill="FFFFFF"/>
          <w:lang w:val="en-US"/>
        </w:rPr>
        <w:t xml:space="preserve"> </w:t>
      </w:r>
      <w:r w:rsidR="00791963" w:rsidRPr="00EA6C7A">
        <w:rPr>
          <w:rFonts w:ascii="Verdana" w:eastAsia="Calibri" w:hAnsi="Verdana" w:cs="Tahoma"/>
          <w:bCs/>
          <w:color w:val="000000"/>
          <w:sz w:val="20"/>
          <w:szCs w:val="20"/>
          <w:u w:val="single"/>
          <w:shd w:val="clear" w:color="auto" w:fill="FFFFFF"/>
          <w:lang w:val="en-US"/>
        </w:rPr>
        <w:t xml:space="preserve">the absence of a general policy </w:t>
      </w:r>
      <w:r w:rsidRPr="00EA6C7A">
        <w:rPr>
          <w:rFonts w:ascii="Verdana" w:eastAsia="Calibri" w:hAnsi="Verdana" w:cs="Tahoma"/>
          <w:bCs/>
          <w:color w:val="000000"/>
          <w:sz w:val="20"/>
          <w:szCs w:val="20"/>
          <w:u w:val="single"/>
          <w:shd w:val="clear" w:color="auto" w:fill="FFFFFF"/>
          <w:lang w:val="en-US"/>
        </w:rPr>
        <w:t>constitu</w:t>
      </w:r>
      <w:r w:rsidR="00CF36C3" w:rsidRPr="00EA6C7A">
        <w:rPr>
          <w:rFonts w:ascii="Verdana" w:eastAsia="Calibri" w:hAnsi="Verdana" w:cs="Tahoma"/>
          <w:bCs/>
          <w:color w:val="000000"/>
          <w:sz w:val="20"/>
          <w:szCs w:val="20"/>
          <w:u w:val="single"/>
          <w:shd w:val="clear" w:color="auto" w:fill="FFFFFF"/>
          <w:lang w:val="en-US"/>
        </w:rPr>
        <w:t>tes a violation of the general duty under the</w:t>
      </w:r>
      <w:r w:rsidR="00D5307F" w:rsidRPr="00EA6C7A">
        <w:rPr>
          <w:rFonts w:ascii="Verdana" w:eastAsia="Calibri" w:hAnsi="Verdana" w:cs="Tahoma"/>
          <w:bCs/>
          <w:color w:val="000000"/>
          <w:sz w:val="20"/>
          <w:szCs w:val="20"/>
          <w:u w:val="single"/>
          <w:shd w:val="clear" w:color="auto" w:fill="FFFFFF"/>
          <w:lang w:val="en-US"/>
        </w:rPr>
        <w:t xml:space="preserve"> </w:t>
      </w:r>
      <w:r w:rsidRPr="00EA6C7A">
        <w:rPr>
          <w:rFonts w:ascii="Verdana" w:eastAsia="Calibri" w:hAnsi="Verdana" w:cs="Tahoma"/>
          <w:bCs/>
          <w:color w:val="000000"/>
          <w:sz w:val="20"/>
          <w:szCs w:val="20"/>
          <w:u w:val="single"/>
          <w:shd w:val="clear" w:color="auto" w:fill="FFFFFF"/>
          <w:lang w:val="en-US"/>
        </w:rPr>
        <w:t>obliga</w:t>
      </w:r>
      <w:r w:rsidR="00C0036A" w:rsidRPr="00EA6C7A">
        <w:rPr>
          <w:rFonts w:ascii="Verdana" w:eastAsia="Calibri" w:hAnsi="Verdana" w:cs="Tahoma"/>
          <w:bCs/>
          <w:color w:val="000000"/>
          <w:sz w:val="20"/>
          <w:szCs w:val="20"/>
          <w:u w:val="single"/>
          <w:shd w:val="clear" w:color="auto" w:fill="FFFFFF"/>
          <w:lang w:val="en-US"/>
        </w:rPr>
        <w:t>tion of prevention</w:t>
      </w:r>
      <w:r w:rsidR="00CF36C3" w:rsidRPr="00EA6C7A">
        <w:rPr>
          <w:rFonts w:ascii="Verdana" w:eastAsia="Calibri" w:hAnsi="Verdana" w:cs="Tahoma"/>
          <w:bCs/>
          <w:color w:val="000000"/>
          <w:sz w:val="20"/>
          <w:szCs w:val="20"/>
          <w:u w:val="single"/>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27"/>
      </w:r>
      <w:r w:rsidRPr="00EA6C7A">
        <w:rPr>
          <w:rFonts w:ascii="Verdana" w:eastAsia="Calibri" w:hAnsi="Verdana" w:cs="Tahoma"/>
          <w:bCs/>
          <w:color w:val="000000"/>
          <w:sz w:val="20"/>
          <w:szCs w:val="20"/>
          <w:shd w:val="clear" w:color="auto" w:fill="FFFFFF"/>
          <w:lang w:val="en-US"/>
        </w:rPr>
        <w:t xml:space="preserve"> </w:t>
      </w:r>
      <w:r w:rsidR="00CF36C3" w:rsidRPr="00EA6C7A">
        <w:rPr>
          <w:rFonts w:ascii="Verdana" w:eastAsia="Calibri" w:hAnsi="Verdana" w:cs="Tahoma"/>
          <w:bCs/>
          <w:color w:val="000000"/>
          <w:sz w:val="20"/>
          <w:szCs w:val="20"/>
          <w:shd w:val="clear" w:color="auto" w:fill="FFFFFF"/>
          <w:lang w:val="en-US"/>
        </w:rPr>
        <w:t xml:space="preserve">Meanwhile, </w:t>
      </w:r>
      <w:r w:rsidR="00C0036A" w:rsidRPr="00EA6C7A">
        <w:rPr>
          <w:rFonts w:ascii="Verdana" w:eastAsia="Calibri" w:hAnsi="Verdana" w:cs="Tahoma"/>
          <w:bCs/>
          <w:color w:val="000000"/>
          <w:sz w:val="20"/>
          <w:szCs w:val="20"/>
          <w:shd w:val="clear" w:color="auto" w:fill="FFFFFF"/>
          <w:lang w:val="en-US"/>
        </w:rPr>
        <w:t xml:space="preserve">in the case of </w:t>
      </w:r>
      <w:r w:rsidRPr="00EA6C7A">
        <w:rPr>
          <w:rFonts w:ascii="Verdana" w:eastAsia="Calibri" w:hAnsi="Verdana" w:cs="Tahoma"/>
          <w:bCs/>
          <w:i/>
          <w:color w:val="000000"/>
          <w:sz w:val="20"/>
          <w:szCs w:val="20"/>
          <w:shd w:val="clear" w:color="auto" w:fill="FFFFFF"/>
          <w:lang w:val="en-US"/>
        </w:rPr>
        <w:t xml:space="preserve">Veliz Franco </w:t>
      </w:r>
      <w:r w:rsidR="001914FC" w:rsidRPr="00EA6C7A">
        <w:rPr>
          <w:rFonts w:ascii="Verdana" w:eastAsia="Calibri" w:hAnsi="Verdana" w:cs="Tahoma"/>
          <w:bCs/>
          <w:i/>
          <w:color w:val="000000"/>
          <w:sz w:val="20"/>
          <w:szCs w:val="20"/>
          <w:shd w:val="clear" w:color="auto" w:fill="FFFFFF"/>
          <w:lang w:val="en-US"/>
        </w:rPr>
        <w:t>et al. v.</w:t>
      </w:r>
      <w:r w:rsidRPr="00EA6C7A">
        <w:rPr>
          <w:rFonts w:ascii="Verdana" w:eastAsia="Calibri" w:hAnsi="Verdana" w:cs="Tahoma"/>
          <w:bCs/>
          <w:i/>
          <w:color w:val="000000"/>
          <w:sz w:val="20"/>
          <w:szCs w:val="20"/>
          <w:shd w:val="clear" w:color="auto" w:fill="FFFFFF"/>
          <w:lang w:val="en-US"/>
        </w:rPr>
        <w:t xml:space="preserve"> Guatemala,</w:t>
      </w:r>
      <w:r w:rsidRPr="00EA6C7A">
        <w:rPr>
          <w:rFonts w:ascii="Verdana" w:eastAsia="Calibri" w:hAnsi="Verdana" w:cs="Tahoma"/>
          <w:bCs/>
          <w:color w:val="000000"/>
          <w:sz w:val="20"/>
          <w:szCs w:val="20"/>
          <w:shd w:val="clear" w:color="auto" w:fill="FFFFFF"/>
          <w:lang w:val="en-US"/>
        </w:rPr>
        <w:t xml:space="preserve"> </w:t>
      </w:r>
      <w:r w:rsidR="00C0036A" w:rsidRPr="00EA6C7A">
        <w:rPr>
          <w:rFonts w:ascii="Verdana" w:eastAsia="Calibri" w:hAnsi="Verdana" w:cs="Tahoma"/>
          <w:bCs/>
          <w:color w:val="000000"/>
          <w:sz w:val="20"/>
          <w:szCs w:val="20"/>
          <w:shd w:val="clear" w:color="auto" w:fill="FFFFFF"/>
          <w:lang w:val="en-US"/>
        </w:rPr>
        <w:t>it recognized previous actions taken by the State in relation to the problem of the context.</w:t>
      </w:r>
      <w:r w:rsidRPr="00EA6C7A">
        <w:rPr>
          <w:rFonts w:ascii="Verdana" w:eastAsia="Calibri" w:hAnsi="Verdana" w:cs="Tahoma"/>
          <w:bCs/>
          <w:color w:val="000000"/>
          <w:sz w:val="20"/>
          <w:szCs w:val="20"/>
          <w:shd w:val="clear" w:color="auto" w:fill="FFFFFF"/>
          <w:vertAlign w:val="superscript"/>
          <w:lang w:val="en-US"/>
        </w:rPr>
        <w:footnoteReference w:id="428"/>
      </w:r>
      <w:r w:rsidRPr="00EA6C7A">
        <w:rPr>
          <w:rFonts w:ascii="Verdana" w:eastAsia="Calibri" w:hAnsi="Verdana" w:cs="Tahoma"/>
          <w:bCs/>
          <w:color w:val="000000"/>
          <w:sz w:val="20"/>
          <w:szCs w:val="20"/>
          <w:shd w:val="clear" w:color="auto" w:fill="FFFFFF"/>
          <w:lang w:val="en-US"/>
        </w:rPr>
        <w:t xml:space="preserve"> </w:t>
      </w:r>
      <w:r w:rsidR="00C0036A" w:rsidRPr="00EA6C7A">
        <w:rPr>
          <w:rFonts w:ascii="Verdana" w:eastAsia="Calibri" w:hAnsi="Verdana" w:cs="Tahoma"/>
          <w:bCs/>
          <w:color w:val="000000"/>
          <w:sz w:val="20"/>
          <w:szCs w:val="20"/>
          <w:shd w:val="clear" w:color="auto" w:fill="FFFFFF"/>
          <w:lang w:val="en-US"/>
        </w:rPr>
        <w:t xml:space="preserve">I consider that these considerations should be taken into particular consideration in the analysis and conclusions of the case </w:t>
      </w:r>
      <w:r w:rsidRPr="00EA6C7A">
        <w:rPr>
          <w:rFonts w:ascii="Verdana" w:eastAsia="Calibri" w:hAnsi="Verdana" w:cs="Tahoma"/>
          <w:bCs/>
          <w:i/>
          <w:color w:val="000000"/>
          <w:sz w:val="20"/>
          <w:szCs w:val="20"/>
          <w:shd w:val="clear" w:color="auto" w:fill="FFFFFF"/>
          <w:lang w:val="en-US"/>
        </w:rPr>
        <w:t>sub judice</w:t>
      </w:r>
      <w:r w:rsidRPr="00EA6C7A">
        <w:rPr>
          <w:rFonts w:ascii="Verdana" w:eastAsia="Calibri" w:hAnsi="Verdana" w:cs="Tahoma"/>
          <w:bCs/>
          <w:color w:val="000000"/>
          <w:sz w:val="20"/>
          <w:szCs w:val="20"/>
          <w:shd w:val="clear" w:color="auto" w:fill="FFFFFF"/>
          <w:lang w:val="en-US"/>
        </w:rPr>
        <w:t xml:space="preserve"> (</w:t>
      </w:r>
      <w:r w:rsidR="00C0036A" w:rsidRPr="00EA6C7A">
        <w:rPr>
          <w:rFonts w:ascii="Verdana" w:eastAsia="Calibri" w:hAnsi="Verdana" w:cs="Tahoma"/>
          <w:bCs/>
          <w:color w:val="000000"/>
          <w:sz w:val="20"/>
          <w:szCs w:val="20"/>
          <w:shd w:val="clear" w:color="auto" w:fill="FFFFFF"/>
          <w:lang w:val="en-US"/>
        </w:rPr>
        <w:t>which gives rise to this separate opinion</w:t>
      </w:r>
      <w:r w:rsidRPr="00EA6C7A">
        <w:rPr>
          <w:rFonts w:ascii="Verdana" w:eastAsia="Calibri" w:hAnsi="Verdana" w:cs="Tahoma"/>
          <w:bCs/>
          <w:color w:val="000000"/>
          <w:sz w:val="20"/>
          <w:szCs w:val="20"/>
          <w:shd w:val="clear" w:color="auto" w:fill="FFFFFF"/>
          <w:lang w:val="en-US"/>
        </w:rPr>
        <w:t xml:space="preserve">), </w:t>
      </w:r>
      <w:r w:rsidR="00C0036A" w:rsidRPr="00EA6C7A">
        <w:rPr>
          <w:rFonts w:ascii="Verdana" w:eastAsia="Calibri" w:hAnsi="Verdana" w:cs="Tahoma"/>
          <w:bCs/>
          <w:color w:val="000000"/>
          <w:sz w:val="20"/>
          <w:szCs w:val="20"/>
          <w:shd w:val="clear" w:color="auto" w:fill="FFFFFF"/>
          <w:lang w:val="en-US"/>
        </w:rPr>
        <w:t>when examining the</w:t>
      </w:r>
      <w:r w:rsidRPr="00EA6C7A">
        <w:rPr>
          <w:rFonts w:ascii="Verdana" w:eastAsia="Calibri" w:hAnsi="Verdana" w:cs="Tahoma"/>
          <w:bCs/>
          <w:color w:val="000000"/>
          <w:sz w:val="20"/>
          <w:szCs w:val="20"/>
          <w:shd w:val="clear" w:color="auto" w:fill="FFFFFF"/>
          <w:lang w:val="en-US"/>
        </w:rPr>
        <w:t xml:space="preserve"> “</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xml:space="preserve">” </w:t>
      </w:r>
      <w:r w:rsidR="00C0036A" w:rsidRPr="00EA6C7A">
        <w:rPr>
          <w:rFonts w:ascii="Verdana" w:eastAsia="Calibri" w:hAnsi="Verdana" w:cs="Tahoma"/>
          <w:bCs/>
          <w:color w:val="000000"/>
          <w:sz w:val="20"/>
          <w:szCs w:val="20"/>
          <w:shd w:val="clear" w:color="auto" w:fill="FFFFFF"/>
          <w:lang w:val="en-US"/>
        </w:rPr>
        <w:t>of the</w:t>
      </w:r>
      <w:r w:rsidRPr="00EA6C7A">
        <w:rPr>
          <w:rFonts w:ascii="Verdana" w:eastAsia="Calibri" w:hAnsi="Verdana" w:cs="Tahoma"/>
          <w:bCs/>
          <w:color w:val="000000"/>
          <w:sz w:val="20"/>
          <w:szCs w:val="20"/>
          <w:shd w:val="clear" w:color="auto" w:fill="FFFFFF"/>
          <w:lang w:val="en-US"/>
        </w:rPr>
        <w:t xml:space="preserve"> </w:t>
      </w:r>
      <w:r w:rsidR="00C0036A" w:rsidRPr="00EA6C7A">
        <w:rPr>
          <w:rFonts w:ascii="Verdana" w:eastAsia="Calibri" w:hAnsi="Verdana" w:cs="Tahoma"/>
          <w:bCs/>
          <w:color w:val="000000"/>
          <w:sz w:val="20"/>
          <w:szCs w:val="20"/>
          <w:shd w:val="clear" w:color="auto" w:fill="FFFFFF"/>
          <w:lang w:val="en-US"/>
        </w:rPr>
        <w:t xml:space="preserve">State’s </w:t>
      </w:r>
      <w:r w:rsidR="00D5307F" w:rsidRPr="00EA6C7A">
        <w:rPr>
          <w:rFonts w:ascii="Verdana" w:eastAsia="Calibri" w:hAnsi="Verdana" w:cs="Tahoma"/>
          <w:bCs/>
          <w:color w:val="000000"/>
          <w:sz w:val="20"/>
          <w:szCs w:val="20"/>
          <w:shd w:val="clear" w:color="auto" w:fill="FFFFFF"/>
          <w:lang w:val="en-US"/>
        </w:rPr>
        <w:t>obligation of prevention</w:t>
      </w:r>
      <w:r w:rsidR="00C0036A" w:rsidRPr="00EA6C7A">
        <w:rPr>
          <w:rFonts w:ascii="Verdana" w:eastAsia="Calibri" w:hAnsi="Verdana" w:cs="Tahoma"/>
          <w:bCs/>
          <w:color w:val="000000"/>
          <w:sz w:val="20"/>
          <w:szCs w:val="20"/>
          <w:shd w:val="clear" w:color="auto" w:fill="FFFFFF"/>
          <w:lang w:val="en-US"/>
        </w:rPr>
        <w:t>, as will be seen in the following section</w:t>
      </w:r>
      <w:r w:rsidRPr="00EA6C7A">
        <w:rPr>
          <w:rFonts w:ascii="Verdana" w:eastAsia="Calibri" w:hAnsi="Verdana" w:cs="Tahoma"/>
          <w:bCs/>
          <w:color w:val="000000"/>
          <w:sz w:val="20"/>
          <w:szCs w:val="20"/>
          <w:shd w:val="clear" w:color="auto" w:fill="FFFFFF"/>
          <w:lang w:val="en-US"/>
        </w:rPr>
        <w:t>.</w:t>
      </w:r>
    </w:p>
    <w:p w14:paraId="10884AC4"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57A8EC49" w14:textId="77777777" w:rsidR="00175ABB" w:rsidRPr="00EA6C7A" w:rsidRDefault="00175ABB" w:rsidP="007C280B">
      <w:pPr>
        <w:spacing w:after="0" w:line="240" w:lineRule="auto"/>
        <w:jc w:val="center"/>
        <w:rPr>
          <w:rFonts w:ascii="Verdana" w:eastAsia="Calibri" w:hAnsi="Verdana" w:cs="Tahoma"/>
          <w:bCs/>
          <w:i/>
          <w:caps/>
          <w:color w:val="000000"/>
          <w:sz w:val="20"/>
          <w:szCs w:val="20"/>
          <w:shd w:val="clear" w:color="auto" w:fill="FFFFFF"/>
          <w:lang w:val="en-US"/>
        </w:rPr>
      </w:pPr>
      <w:r w:rsidRPr="00EA6C7A">
        <w:rPr>
          <w:rFonts w:ascii="Verdana" w:eastAsia="Calibri" w:hAnsi="Verdana" w:cs="Tahoma"/>
          <w:bCs/>
          <w:caps/>
          <w:color w:val="000000"/>
          <w:sz w:val="20"/>
          <w:szCs w:val="20"/>
          <w:shd w:val="clear" w:color="auto" w:fill="FFFFFF"/>
          <w:lang w:val="en-US"/>
        </w:rPr>
        <w:t xml:space="preserve">III. </w:t>
      </w:r>
      <w:r w:rsidR="007C280B" w:rsidRPr="00EA6C7A">
        <w:rPr>
          <w:rFonts w:ascii="Verdana" w:eastAsia="Calibri" w:hAnsi="Verdana" w:cs="Tahoma"/>
          <w:bCs/>
          <w:caps/>
          <w:color w:val="000000"/>
          <w:sz w:val="20"/>
          <w:szCs w:val="20"/>
          <w:shd w:val="clear" w:color="auto" w:fill="FFFFFF"/>
          <w:lang w:val="en-US"/>
        </w:rPr>
        <w:t>THE</w:t>
      </w:r>
      <w:r w:rsidRPr="00EA6C7A">
        <w:rPr>
          <w:rFonts w:ascii="Verdana" w:eastAsia="Calibri" w:hAnsi="Verdana" w:cs="Tahoma"/>
          <w:bCs/>
          <w:caps/>
          <w:color w:val="000000"/>
          <w:sz w:val="20"/>
          <w:szCs w:val="20"/>
          <w:shd w:val="clear" w:color="auto" w:fill="FFFFFF"/>
          <w:lang w:val="en-US"/>
        </w:rPr>
        <w:t xml:space="preserve"> “</w:t>
      </w:r>
      <w:r w:rsidR="00D5307F" w:rsidRPr="00EA6C7A">
        <w:rPr>
          <w:rFonts w:ascii="Verdana" w:eastAsia="Calibri" w:hAnsi="Verdana" w:cs="Tahoma"/>
          <w:bCs/>
          <w:caps/>
          <w:color w:val="000000"/>
          <w:sz w:val="20"/>
          <w:szCs w:val="20"/>
          <w:shd w:val="clear" w:color="auto" w:fill="FFFFFF"/>
          <w:lang w:val="en-US"/>
        </w:rPr>
        <w:t>obligation of prevention</w:t>
      </w:r>
      <w:r w:rsidRPr="00EA6C7A">
        <w:rPr>
          <w:rFonts w:ascii="Verdana" w:eastAsia="Calibri" w:hAnsi="Verdana" w:cs="Tahoma"/>
          <w:bCs/>
          <w:caps/>
          <w:color w:val="000000"/>
          <w:sz w:val="20"/>
          <w:szCs w:val="20"/>
          <w:shd w:val="clear" w:color="auto" w:fill="FFFFFF"/>
          <w:lang w:val="en-US"/>
        </w:rPr>
        <w:t xml:space="preserve">” </w:t>
      </w:r>
      <w:r w:rsidR="00D5307F" w:rsidRPr="00EA6C7A">
        <w:rPr>
          <w:rFonts w:ascii="Verdana" w:eastAsia="Calibri" w:hAnsi="Verdana" w:cs="Tahoma"/>
          <w:bCs/>
          <w:caps/>
          <w:color w:val="000000"/>
          <w:sz w:val="20"/>
          <w:szCs w:val="20"/>
          <w:shd w:val="clear" w:color="auto" w:fill="FFFFFF"/>
          <w:lang w:val="en-US"/>
        </w:rPr>
        <w:t>in the case of</w:t>
      </w:r>
      <w:r w:rsidRPr="00EA6C7A">
        <w:rPr>
          <w:rFonts w:ascii="Verdana" w:eastAsia="Calibri" w:hAnsi="Verdana" w:cs="Tahoma"/>
          <w:bCs/>
          <w:caps/>
          <w:color w:val="000000"/>
          <w:sz w:val="20"/>
          <w:szCs w:val="20"/>
          <w:shd w:val="clear" w:color="auto" w:fill="FFFFFF"/>
          <w:lang w:val="en-US"/>
        </w:rPr>
        <w:t xml:space="preserve"> </w:t>
      </w:r>
      <w:r w:rsidRPr="00EA6C7A">
        <w:rPr>
          <w:rFonts w:ascii="Verdana" w:eastAsia="Calibri" w:hAnsi="Verdana" w:cs="Tahoma"/>
          <w:bCs/>
          <w:i/>
          <w:caps/>
          <w:color w:val="000000"/>
          <w:sz w:val="20"/>
          <w:szCs w:val="20"/>
          <w:shd w:val="clear" w:color="auto" w:fill="FFFFFF"/>
          <w:lang w:val="en-US"/>
        </w:rPr>
        <w:t xml:space="preserve">Velásquez </w:t>
      </w:r>
      <w:r w:rsidR="00F912BD" w:rsidRPr="00EA6C7A">
        <w:rPr>
          <w:rFonts w:ascii="Verdana" w:eastAsia="Calibri" w:hAnsi="Verdana" w:cs="Tahoma"/>
          <w:bCs/>
          <w:i/>
          <w:caps/>
          <w:color w:val="000000"/>
          <w:sz w:val="20"/>
          <w:szCs w:val="20"/>
          <w:shd w:val="clear" w:color="auto" w:fill="FFFFFF"/>
          <w:lang w:val="en-US"/>
        </w:rPr>
        <w:t>Paiz et al.</w:t>
      </w:r>
      <w:r w:rsidRPr="00EA6C7A">
        <w:rPr>
          <w:rFonts w:ascii="Verdana" w:eastAsia="Calibri" w:hAnsi="Verdana" w:cs="Tahoma"/>
          <w:bCs/>
          <w:i/>
          <w:caps/>
          <w:color w:val="000000"/>
          <w:sz w:val="20"/>
          <w:szCs w:val="20"/>
          <w:shd w:val="clear" w:color="auto" w:fill="FFFFFF"/>
          <w:lang w:val="en-US"/>
        </w:rPr>
        <w:t xml:space="preserve"> v. Guatemala (2015)</w:t>
      </w:r>
    </w:p>
    <w:p w14:paraId="067D975F"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1B24CBBD"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32. </w:t>
      </w:r>
      <w:r w:rsidRPr="00EA6C7A">
        <w:rPr>
          <w:rFonts w:ascii="Verdana" w:eastAsia="Calibri" w:hAnsi="Verdana" w:cs="Tahoma"/>
          <w:bCs/>
          <w:color w:val="000000"/>
          <w:sz w:val="20"/>
          <w:szCs w:val="20"/>
          <w:shd w:val="clear" w:color="auto" w:fill="FFFFFF"/>
          <w:lang w:val="en-US"/>
        </w:rPr>
        <w:tab/>
      </w:r>
      <w:r w:rsidR="000B1A31" w:rsidRPr="00EA6C7A">
        <w:rPr>
          <w:rFonts w:ascii="Verdana" w:eastAsia="Calibri" w:hAnsi="Verdana" w:cs="Tahoma"/>
          <w:bCs/>
          <w:color w:val="000000"/>
          <w:sz w:val="20"/>
          <w:szCs w:val="20"/>
          <w:shd w:val="clear" w:color="auto" w:fill="FFFFFF"/>
          <w:lang w:val="en-US"/>
        </w:rPr>
        <w:t>The facts</w:t>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 xml:space="preserve">of the case relate to the disappearance, abuse and death of </w:t>
      </w:r>
      <w:r w:rsidRPr="00EA6C7A">
        <w:rPr>
          <w:rFonts w:ascii="Verdana" w:eastAsia="Calibri" w:hAnsi="Verdana" w:cs="Tahoma"/>
          <w:bCs/>
          <w:color w:val="000000"/>
          <w:sz w:val="20"/>
          <w:szCs w:val="20"/>
          <w:shd w:val="clear" w:color="auto" w:fill="FFFFFF"/>
          <w:lang w:val="en-US"/>
        </w:rPr>
        <w:t xml:space="preserve">Claudina Velásquez Paiz </w:t>
      </w:r>
      <w:r w:rsidR="000B1A31" w:rsidRPr="00EA6C7A">
        <w:rPr>
          <w:rFonts w:ascii="Verdana" w:eastAsia="Calibri" w:hAnsi="Verdana" w:cs="Tahoma"/>
          <w:bCs/>
          <w:color w:val="000000"/>
          <w:sz w:val="20"/>
          <w:szCs w:val="20"/>
          <w:shd w:val="clear" w:color="auto" w:fill="FFFFFF"/>
          <w:lang w:val="en-US"/>
        </w:rPr>
        <w:t>in</w:t>
      </w:r>
      <w:r w:rsidRPr="00EA6C7A">
        <w:rPr>
          <w:rFonts w:ascii="Verdana" w:eastAsia="Calibri" w:hAnsi="Verdana" w:cs="Tahoma"/>
          <w:bCs/>
          <w:color w:val="000000"/>
          <w:sz w:val="20"/>
          <w:szCs w:val="20"/>
          <w:shd w:val="clear" w:color="auto" w:fill="FFFFFF"/>
          <w:lang w:val="en-US"/>
        </w:rPr>
        <w:t xml:space="preserve"> 2005, as</w:t>
      </w:r>
      <w:r w:rsidR="000B1A31" w:rsidRPr="00EA6C7A">
        <w:rPr>
          <w:rFonts w:ascii="Verdana" w:eastAsia="Calibri" w:hAnsi="Verdana" w:cs="Tahoma"/>
          <w:bCs/>
          <w:color w:val="000000"/>
          <w:sz w:val="20"/>
          <w:szCs w:val="20"/>
          <w:shd w:val="clear" w:color="auto" w:fill="FFFFFF"/>
          <w:lang w:val="en-US"/>
        </w:rPr>
        <w:t xml:space="preserve"> well as the failure of the State to act diligently and the inconsistencies  in the subsequent investigation of the facts</w:t>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 xml:space="preserve">a situation which took place in a “context” of an </w:t>
      </w:r>
      <w:r w:rsidR="004C0A98" w:rsidRPr="00EA6C7A">
        <w:rPr>
          <w:rFonts w:ascii="Verdana" w:eastAsia="Calibri" w:hAnsi="Verdana" w:cs="Tahoma"/>
          <w:bCs/>
          <w:color w:val="000000"/>
          <w:sz w:val="20"/>
          <w:szCs w:val="20"/>
          <w:shd w:val="clear" w:color="auto" w:fill="FFFFFF"/>
          <w:lang w:val="en-US"/>
        </w:rPr>
        <w:t>escalation of</w:t>
      </w:r>
      <w:r w:rsidR="00D5307F" w:rsidRPr="00EA6C7A">
        <w:rPr>
          <w:rFonts w:ascii="Verdana" w:eastAsia="Calibri" w:hAnsi="Verdana" w:cs="Tahoma"/>
          <w:bCs/>
          <w:color w:val="000000"/>
          <w:sz w:val="20"/>
          <w:szCs w:val="20"/>
          <w:shd w:val="clear" w:color="auto" w:fill="FFFFFF"/>
          <w:lang w:val="en-US"/>
        </w:rPr>
        <w:t xml:space="preserve">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vertAlign w:val="superscript"/>
          <w:lang w:val="en-US"/>
        </w:rPr>
        <w:footnoteReference w:id="429"/>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 xml:space="preserve">that the State was already aware of and the Court had examined in </w:t>
      </w:r>
      <w:r w:rsidR="00D5307F" w:rsidRPr="00EA6C7A">
        <w:rPr>
          <w:rFonts w:ascii="Verdana" w:eastAsia="Calibri" w:hAnsi="Verdana" w:cs="Tahoma"/>
          <w:bCs/>
          <w:color w:val="000000"/>
          <w:sz w:val="20"/>
          <w:szCs w:val="20"/>
          <w:shd w:val="clear" w:color="auto" w:fill="FFFFFF"/>
          <w:lang w:val="en-US"/>
        </w:rPr>
        <w:t>case of</w:t>
      </w:r>
      <w:r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i/>
          <w:color w:val="000000"/>
          <w:sz w:val="20"/>
          <w:szCs w:val="20"/>
          <w:shd w:val="clear" w:color="auto" w:fill="FFFFFF"/>
          <w:lang w:val="en-US"/>
        </w:rPr>
        <w:t xml:space="preserve">Veliz Franco </w:t>
      </w:r>
      <w:r w:rsidR="001914FC" w:rsidRPr="00EA6C7A">
        <w:rPr>
          <w:rFonts w:ascii="Verdana" w:eastAsia="Calibri" w:hAnsi="Verdana" w:cs="Tahoma"/>
          <w:bCs/>
          <w:i/>
          <w:color w:val="000000"/>
          <w:sz w:val="20"/>
          <w:szCs w:val="20"/>
          <w:shd w:val="clear" w:color="auto" w:fill="FFFFFF"/>
          <w:lang w:val="en-US"/>
        </w:rPr>
        <w:t>et al. v.</w:t>
      </w:r>
      <w:r w:rsidRPr="00EA6C7A">
        <w:rPr>
          <w:rFonts w:ascii="Verdana" w:eastAsia="Calibri" w:hAnsi="Verdana" w:cs="Tahoma"/>
          <w:bCs/>
          <w:i/>
          <w:color w:val="000000"/>
          <w:sz w:val="20"/>
          <w:szCs w:val="20"/>
          <w:shd w:val="clear" w:color="auto" w:fill="FFFFFF"/>
          <w:lang w:val="en-US"/>
        </w:rPr>
        <w:t xml:space="preserve"> Guatemala</w:t>
      </w:r>
      <w:r w:rsidR="000B1A31" w:rsidRPr="00EA6C7A">
        <w:rPr>
          <w:rFonts w:ascii="Verdana" w:eastAsia="Calibri" w:hAnsi="Verdana" w:cs="Tahoma"/>
          <w:bCs/>
          <w:i/>
          <w:color w:val="000000"/>
          <w:sz w:val="20"/>
          <w:szCs w:val="20"/>
          <w:shd w:val="clear" w:color="auto" w:fill="FFFFFF"/>
          <w:lang w:val="en-US"/>
        </w:rPr>
        <w:t>,</w:t>
      </w:r>
      <w:r w:rsidRPr="00EA6C7A">
        <w:rPr>
          <w:rFonts w:ascii="Verdana" w:eastAsia="Calibri" w:hAnsi="Verdana" w:cs="Tahoma"/>
          <w:bCs/>
          <w:i/>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decided in</w:t>
      </w:r>
      <w:r w:rsidRPr="00EA6C7A">
        <w:rPr>
          <w:rFonts w:ascii="Verdana" w:eastAsia="Calibri" w:hAnsi="Verdana" w:cs="Tahoma"/>
          <w:bCs/>
          <w:color w:val="000000"/>
          <w:sz w:val="20"/>
          <w:szCs w:val="20"/>
          <w:shd w:val="clear" w:color="auto" w:fill="FFFFFF"/>
          <w:lang w:val="en-US"/>
        </w:rPr>
        <w:t xml:space="preserve"> 2014.</w:t>
      </w:r>
    </w:p>
    <w:p w14:paraId="6DA8DC49"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0217D96E"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33. </w:t>
      </w:r>
      <w:r w:rsidRPr="00EA6C7A">
        <w:rPr>
          <w:rFonts w:ascii="Verdana" w:eastAsia="Calibri" w:hAnsi="Verdana" w:cs="Tahoma"/>
          <w:bCs/>
          <w:color w:val="000000"/>
          <w:sz w:val="20"/>
          <w:szCs w:val="20"/>
          <w:shd w:val="clear" w:color="auto" w:fill="FFFFFF"/>
          <w:lang w:val="en-US"/>
        </w:rPr>
        <w:tab/>
      </w:r>
      <w:r w:rsidR="00576E40" w:rsidRPr="00EA6C7A">
        <w:rPr>
          <w:rFonts w:ascii="Verdana" w:eastAsia="Calibri" w:hAnsi="Verdana" w:cs="Tahoma"/>
          <w:bCs/>
          <w:color w:val="000000"/>
          <w:sz w:val="20"/>
          <w:szCs w:val="20"/>
          <w:shd w:val="clear" w:color="auto" w:fill="FFFFFF"/>
          <w:lang w:val="en-US"/>
        </w:rPr>
        <w:t>In general</w:t>
      </w:r>
      <w:r w:rsidR="000B1A31" w:rsidRPr="00EA6C7A">
        <w:rPr>
          <w:rFonts w:ascii="Verdana" w:eastAsia="Calibri" w:hAnsi="Verdana" w:cs="Tahoma"/>
          <w:bCs/>
          <w:color w:val="000000"/>
          <w:sz w:val="20"/>
          <w:szCs w:val="20"/>
          <w:shd w:val="clear" w:color="auto" w:fill="FFFFFF"/>
          <w:lang w:val="en-US"/>
        </w:rPr>
        <w:t xml:space="preserve">, it is worth mentioning that, as can be seen throughout the judgment, </w:t>
      </w:r>
      <w:r w:rsidR="00576E40" w:rsidRPr="00EA6C7A">
        <w:rPr>
          <w:rFonts w:ascii="Verdana" w:eastAsia="Calibri" w:hAnsi="Verdana" w:cs="Tahoma"/>
          <w:bCs/>
          <w:color w:val="000000"/>
          <w:sz w:val="20"/>
          <w:szCs w:val="20"/>
          <w:shd w:val="clear" w:color="auto" w:fill="FFFFFF"/>
          <w:lang w:val="en-US"/>
        </w:rPr>
        <w:t>given that</w:t>
      </w:r>
      <w:r w:rsidR="000B1A31" w:rsidRPr="00EA6C7A">
        <w:rPr>
          <w:rFonts w:ascii="Verdana" w:eastAsia="Calibri" w:hAnsi="Verdana" w:cs="Tahoma"/>
          <w:bCs/>
          <w:color w:val="000000"/>
          <w:sz w:val="20"/>
          <w:szCs w:val="20"/>
          <w:shd w:val="clear" w:color="auto" w:fill="FFFFFF"/>
          <w:lang w:val="en-US"/>
        </w:rPr>
        <w:t xml:space="preserve"> the facts of this specific case bear a sequential relationship to the facts of </w:t>
      </w:r>
      <w:r w:rsidR="00D5307F" w:rsidRPr="00EA6C7A">
        <w:rPr>
          <w:rFonts w:ascii="Verdana" w:eastAsia="Calibri" w:hAnsi="Verdana" w:cs="Tahoma"/>
          <w:bCs/>
          <w:color w:val="000000"/>
          <w:sz w:val="20"/>
          <w:szCs w:val="20"/>
          <w:shd w:val="clear" w:color="auto" w:fill="FFFFFF"/>
          <w:lang w:val="en-US"/>
        </w:rPr>
        <w:t>the case of</w:t>
      </w:r>
      <w:r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i/>
          <w:color w:val="000000"/>
          <w:sz w:val="20"/>
          <w:szCs w:val="20"/>
          <w:shd w:val="clear" w:color="auto" w:fill="FFFFFF"/>
          <w:lang w:val="en-US"/>
        </w:rPr>
        <w:t xml:space="preserve">Veliz </w:t>
      </w:r>
      <w:r w:rsidR="006A51FD" w:rsidRPr="00EA6C7A">
        <w:rPr>
          <w:rFonts w:ascii="Verdana" w:eastAsia="Calibri" w:hAnsi="Verdana" w:cs="Tahoma"/>
          <w:bCs/>
          <w:i/>
          <w:color w:val="000000"/>
          <w:sz w:val="20"/>
          <w:szCs w:val="20"/>
          <w:shd w:val="clear" w:color="auto" w:fill="FFFFFF"/>
          <w:lang w:val="en-US"/>
        </w:rPr>
        <w:t>Franco et al.</w:t>
      </w:r>
      <w:r w:rsidRPr="00EA6C7A">
        <w:rPr>
          <w:rFonts w:ascii="Verdana" w:eastAsia="Calibri" w:hAnsi="Verdana" w:cs="Tahoma"/>
          <w:bCs/>
          <w:i/>
          <w:color w:val="000000"/>
          <w:sz w:val="20"/>
          <w:szCs w:val="20"/>
          <w:shd w:val="clear" w:color="auto" w:fill="FFFFFF"/>
          <w:lang w:val="en-US"/>
        </w:rPr>
        <w:t xml:space="preserve"> v. Guatemala,</w:t>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the Court’s consideration</w:t>
      </w:r>
      <w:r w:rsidR="00576E40" w:rsidRPr="00EA6C7A">
        <w:rPr>
          <w:rFonts w:ascii="Verdana" w:eastAsia="Calibri" w:hAnsi="Verdana" w:cs="Tahoma"/>
          <w:bCs/>
          <w:color w:val="000000"/>
          <w:sz w:val="20"/>
          <w:szCs w:val="20"/>
          <w:shd w:val="clear" w:color="auto" w:fill="FFFFFF"/>
          <w:lang w:val="en-US"/>
        </w:rPr>
        <w:t>s</w:t>
      </w:r>
      <w:r w:rsidR="000B1A31" w:rsidRPr="00EA6C7A">
        <w:rPr>
          <w:rFonts w:ascii="Verdana" w:eastAsia="Calibri" w:hAnsi="Verdana" w:cs="Tahoma"/>
          <w:bCs/>
          <w:color w:val="000000"/>
          <w:sz w:val="20"/>
          <w:szCs w:val="20"/>
          <w:shd w:val="clear" w:color="auto" w:fill="FFFFFF"/>
          <w:lang w:val="en-US"/>
        </w:rPr>
        <w:t xml:space="preserve"> in that case were constantly cited in this judgment, especially </w:t>
      </w:r>
      <w:r w:rsidR="00671A06" w:rsidRPr="00EA6C7A">
        <w:rPr>
          <w:rFonts w:ascii="Verdana" w:eastAsia="Calibri" w:hAnsi="Verdana" w:cs="Tahoma"/>
          <w:bCs/>
          <w:color w:val="000000"/>
          <w:sz w:val="20"/>
          <w:szCs w:val="20"/>
          <w:shd w:val="clear" w:color="auto" w:fill="FFFFFF"/>
          <w:lang w:val="en-US"/>
        </w:rPr>
        <w:t>with</w:t>
      </w:r>
      <w:r w:rsidR="000B1A31" w:rsidRPr="00EA6C7A">
        <w:rPr>
          <w:rFonts w:ascii="Verdana" w:eastAsia="Calibri" w:hAnsi="Verdana" w:cs="Tahoma"/>
          <w:bCs/>
          <w:color w:val="000000"/>
          <w:sz w:val="20"/>
          <w:szCs w:val="20"/>
          <w:shd w:val="clear" w:color="auto" w:fill="FFFFFF"/>
          <w:lang w:val="en-US"/>
        </w:rPr>
        <w:t xml:space="preserve"> regard to the establishment of a “context” of an </w:t>
      </w:r>
      <w:r w:rsidR="00576E40" w:rsidRPr="00EA6C7A">
        <w:rPr>
          <w:rFonts w:ascii="Verdana" w:eastAsia="Calibri" w:hAnsi="Verdana" w:cs="Tahoma"/>
          <w:bCs/>
          <w:color w:val="000000"/>
          <w:sz w:val="20"/>
          <w:szCs w:val="20"/>
          <w:shd w:val="clear" w:color="auto" w:fill="FFFFFF"/>
          <w:lang w:val="en-US"/>
        </w:rPr>
        <w:t>escalation</w:t>
      </w:r>
      <w:r w:rsidR="000B1A31" w:rsidRPr="00EA6C7A">
        <w:rPr>
          <w:rFonts w:ascii="Verdana" w:eastAsia="Calibri" w:hAnsi="Verdana" w:cs="Tahoma"/>
          <w:bCs/>
          <w:color w:val="000000"/>
          <w:sz w:val="20"/>
          <w:szCs w:val="20"/>
          <w:shd w:val="clear" w:color="auto" w:fill="FFFFFF"/>
          <w:lang w:val="en-US"/>
        </w:rPr>
        <w:t xml:space="preserve"> of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lang w:val="en-US"/>
        </w:rPr>
        <w:t xml:space="preserve">. </w:t>
      </w:r>
    </w:p>
    <w:p w14:paraId="67FCFCA4"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6F751BCF"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34. </w:t>
      </w:r>
      <w:r w:rsidRPr="00EA6C7A">
        <w:rPr>
          <w:rFonts w:ascii="Verdana" w:eastAsia="Calibri" w:hAnsi="Verdana" w:cs="Tahoma"/>
          <w:bCs/>
          <w:color w:val="000000"/>
          <w:sz w:val="20"/>
          <w:szCs w:val="20"/>
          <w:shd w:val="clear" w:color="auto" w:fill="FFFFFF"/>
          <w:lang w:val="en-US"/>
        </w:rPr>
        <w:tab/>
      </w:r>
      <w:r w:rsidR="000B1A31" w:rsidRPr="00EA6C7A">
        <w:rPr>
          <w:rFonts w:ascii="Verdana" w:eastAsia="Calibri" w:hAnsi="Verdana" w:cs="Tahoma"/>
          <w:bCs/>
          <w:color w:val="000000"/>
          <w:sz w:val="20"/>
          <w:szCs w:val="20"/>
          <w:shd w:val="clear" w:color="auto" w:fill="FFFFFF"/>
          <w:lang w:val="en-US"/>
        </w:rPr>
        <w:t xml:space="preserve">I consider that this </w:t>
      </w:r>
      <w:r w:rsidRPr="00EA6C7A">
        <w:rPr>
          <w:rFonts w:ascii="Verdana" w:eastAsia="Calibri" w:hAnsi="Verdana" w:cs="Tahoma"/>
          <w:bCs/>
          <w:color w:val="000000"/>
          <w:sz w:val="20"/>
          <w:szCs w:val="20"/>
          <w:shd w:val="clear" w:color="auto" w:fill="FFFFFF"/>
          <w:lang w:val="en-US"/>
        </w:rPr>
        <w:t xml:space="preserve">“context” </w:t>
      </w:r>
      <w:r w:rsidR="000B1A31" w:rsidRPr="00EA6C7A">
        <w:rPr>
          <w:rFonts w:ascii="Verdana" w:eastAsia="Calibri" w:hAnsi="Verdana" w:cs="Tahoma"/>
          <w:bCs/>
          <w:color w:val="000000"/>
          <w:sz w:val="20"/>
          <w:szCs w:val="20"/>
          <w:shd w:val="clear" w:color="auto" w:fill="FFFFFF"/>
          <w:lang w:val="en-US"/>
        </w:rPr>
        <w:t xml:space="preserve">is of fundamental importance for the analysis of the State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particular</w:t>
      </w:r>
      <w:r w:rsidR="000B1A31" w:rsidRPr="00EA6C7A">
        <w:rPr>
          <w:rFonts w:ascii="Verdana" w:eastAsia="Calibri" w:hAnsi="Verdana" w:cs="Tahoma"/>
          <w:bCs/>
          <w:color w:val="000000"/>
          <w:sz w:val="20"/>
          <w:szCs w:val="20"/>
          <w:shd w:val="clear" w:color="auto" w:fill="FFFFFF"/>
          <w:lang w:val="en-US"/>
        </w:rPr>
        <w:t xml:space="preserve">ly when examining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 xml:space="preserve">in other words, the general obligation to prevent the disappearance and murder of women. That is why I consider it essential to emphasize the </w:t>
      </w:r>
      <w:r w:rsidR="00576E40" w:rsidRPr="00EA6C7A">
        <w:rPr>
          <w:rFonts w:ascii="Verdana" w:eastAsia="Calibri" w:hAnsi="Verdana" w:cs="Tahoma"/>
          <w:bCs/>
          <w:color w:val="000000"/>
          <w:sz w:val="20"/>
          <w:szCs w:val="20"/>
          <w:shd w:val="clear" w:color="auto" w:fill="FFFFFF"/>
          <w:lang w:val="en-US"/>
        </w:rPr>
        <w:t>signific</w:t>
      </w:r>
      <w:r w:rsidR="000B1A31" w:rsidRPr="00EA6C7A">
        <w:rPr>
          <w:rFonts w:ascii="Verdana" w:eastAsia="Calibri" w:hAnsi="Verdana" w:cs="Tahoma"/>
          <w:bCs/>
          <w:color w:val="000000"/>
          <w:sz w:val="20"/>
          <w:szCs w:val="20"/>
          <w:shd w:val="clear" w:color="auto" w:fill="FFFFFF"/>
          <w:lang w:val="en-US"/>
        </w:rPr>
        <w:t>ance of the context of this case, and then to examine in gr</w:t>
      </w:r>
      <w:r w:rsidR="00576E40" w:rsidRPr="00EA6C7A">
        <w:rPr>
          <w:rFonts w:ascii="Verdana" w:eastAsia="Calibri" w:hAnsi="Verdana" w:cs="Tahoma"/>
          <w:bCs/>
          <w:color w:val="000000"/>
          <w:sz w:val="20"/>
          <w:szCs w:val="20"/>
          <w:shd w:val="clear" w:color="auto" w:fill="FFFFFF"/>
          <w:lang w:val="en-US"/>
        </w:rPr>
        <w:t>e</w:t>
      </w:r>
      <w:r w:rsidR="000B1A31" w:rsidRPr="00EA6C7A">
        <w:rPr>
          <w:rFonts w:ascii="Verdana" w:eastAsia="Calibri" w:hAnsi="Verdana" w:cs="Tahoma"/>
          <w:bCs/>
          <w:color w:val="000000"/>
          <w:sz w:val="20"/>
          <w:szCs w:val="20"/>
          <w:shd w:val="clear" w:color="auto" w:fill="FFFFFF"/>
          <w:lang w:val="en-US"/>
        </w:rPr>
        <w:t xml:space="preserve">ater detail the State’s duty to </w:t>
      </w:r>
      <w:r w:rsidR="00576E40" w:rsidRPr="00EA6C7A">
        <w:rPr>
          <w:rFonts w:ascii="Verdana" w:eastAsia="Calibri" w:hAnsi="Verdana" w:cs="Tahoma"/>
          <w:bCs/>
          <w:color w:val="000000"/>
          <w:sz w:val="20"/>
          <w:szCs w:val="20"/>
          <w:shd w:val="clear" w:color="auto" w:fill="FFFFFF"/>
          <w:lang w:val="en-US"/>
        </w:rPr>
        <w:t>guarantee</w:t>
      </w:r>
      <w:r w:rsidR="000B1A31" w:rsidRPr="00EA6C7A">
        <w:rPr>
          <w:rFonts w:ascii="Verdana" w:eastAsia="Calibri" w:hAnsi="Verdana" w:cs="Tahoma"/>
          <w:bCs/>
          <w:color w:val="000000"/>
          <w:sz w:val="20"/>
          <w:szCs w:val="20"/>
          <w:shd w:val="clear" w:color="auto" w:fill="FFFFFF"/>
          <w:lang w:val="en-US"/>
        </w:rPr>
        <w:t xml:space="preserve"> rights </w:t>
      </w:r>
      <w:r w:rsidR="00576E40" w:rsidRPr="00EA6C7A">
        <w:rPr>
          <w:rFonts w:ascii="Verdana" w:eastAsia="Calibri" w:hAnsi="Verdana" w:cs="Tahoma"/>
          <w:bCs/>
          <w:color w:val="000000"/>
          <w:sz w:val="20"/>
          <w:szCs w:val="20"/>
          <w:shd w:val="clear" w:color="auto" w:fill="FFFFFF"/>
          <w:lang w:val="en-US"/>
        </w:rPr>
        <w:t>by means of</w:t>
      </w:r>
      <w:r w:rsidR="000B1A31" w:rsidRPr="00EA6C7A">
        <w:rPr>
          <w:rFonts w:ascii="Verdana" w:eastAsia="Calibri" w:hAnsi="Verdana" w:cs="Tahoma"/>
          <w:bCs/>
          <w:color w:val="000000"/>
          <w:sz w:val="20"/>
          <w:szCs w:val="20"/>
          <w:shd w:val="clear" w:color="auto" w:fill="FFFFFF"/>
          <w:lang w:val="en-US"/>
        </w:rPr>
        <w:t xml:space="preserve"> the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 xml:space="preserve">which will be examined using the </w:t>
      </w:r>
      <w:r w:rsidR="00576E40" w:rsidRPr="00EA6C7A">
        <w:rPr>
          <w:rFonts w:ascii="Verdana" w:eastAsia="Calibri" w:hAnsi="Verdana" w:cs="Tahoma"/>
          <w:bCs/>
          <w:color w:val="000000"/>
          <w:sz w:val="20"/>
          <w:szCs w:val="20"/>
          <w:shd w:val="clear" w:color="auto" w:fill="FFFFFF"/>
          <w:lang w:val="en-US"/>
        </w:rPr>
        <w:t>criterion</w:t>
      </w:r>
      <w:r w:rsidR="000B1A31"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7C280B" w:rsidRPr="00EA6C7A">
        <w:rPr>
          <w:rFonts w:ascii="Verdana" w:eastAsia="Calibri" w:hAnsi="Verdana" w:cs="Tahoma"/>
          <w:bCs/>
          <w:color w:val="000000"/>
          <w:sz w:val="20"/>
          <w:szCs w:val="20"/>
          <w:shd w:val="clear" w:color="auto" w:fill="FFFFFF"/>
          <w:lang w:val="en-US"/>
        </w:rPr>
        <w:t>two moments</w:t>
      </w:r>
      <w:r w:rsidRPr="00EA6C7A">
        <w:rPr>
          <w:rFonts w:ascii="Verdana" w:eastAsia="Calibri" w:hAnsi="Verdana" w:cs="Tahoma"/>
          <w:bCs/>
          <w:color w:val="000000"/>
          <w:sz w:val="20"/>
          <w:szCs w:val="20"/>
          <w:shd w:val="clear" w:color="auto" w:fill="FFFFFF"/>
          <w:lang w:val="en-US"/>
        </w:rPr>
        <w:t xml:space="preserve">” </w:t>
      </w:r>
      <w:r w:rsidR="000B1A31" w:rsidRPr="00EA6C7A">
        <w:rPr>
          <w:rFonts w:ascii="Verdana" w:eastAsia="Calibri" w:hAnsi="Verdana" w:cs="Tahoma"/>
          <w:bCs/>
          <w:color w:val="000000"/>
          <w:sz w:val="20"/>
          <w:szCs w:val="20"/>
          <w:shd w:val="clear" w:color="auto" w:fill="FFFFFF"/>
          <w:lang w:val="en-US"/>
        </w:rPr>
        <w:t xml:space="preserve">of this obligation, already used by the Court in the two cases of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lang w:val="en-US"/>
        </w:rPr>
        <w:t xml:space="preserve"> </w:t>
      </w:r>
      <w:r w:rsidR="00284CB5" w:rsidRPr="00EA6C7A">
        <w:rPr>
          <w:rFonts w:ascii="Verdana" w:eastAsia="Calibri" w:hAnsi="Verdana" w:cs="Tahoma"/>
          <w:bCs/>
          <w:color w:val="000000"/>
          <w:sz w:val="20"/>
          <w:szCs w:val="20"/>
          <w:shd w:val="clear" w:color="auto" w:fill="FFFFFF"/>
          <w:lang w:val="en-US"/>
        </w:rPr>
        <w:t>highlighted in the preceding section.</w:t>
      </w:r>
    </w:p>
    <w:p w14:paraId="7AB8CB2F"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1E57B500" w14:textId="77777777" w:rsidR="00175ABB" w:rsidRPr="00EA6C7A" w:rsidRDefault="00175ABB" w:rsidP="00175ABB">
      <w:pPr>
        <w:spacing w:after="0" w:line="240" w:lineRule="auto"/>
        <w:jc w:val="both"/>
        <w:rPr>
          <w:rFonts w:ascii="Verdana" w:eastAsia="Calibri" w:hAnsi="Verdana" w:cs="Tahoma"/>
          <w:bCs/>
          <w:i/>
          <w:color w:val="000000"/>
          <w:sz w:val="20"/>
          <w:szCs w:val="20"/>
          <w:u w:val="single"/>
          <w:shd w:val="clear" w:color="auto" w:fill="FFFFFF"/>
          <w:lang w:val="en-US"/>
        </w:rPr>
      </w:pPr>
      <w:r w:rsidRPr="00EA6C7A">
        <w:rPr>
          <w:rFonts w:ascii="Verdana" w:eastAsia="Calibri" w:hAnsi="Verdana" w:cs="Tahoma"/>
          <w:bCs/>
          <w:i/>
          <w:color w:val="000000"/>
          <w:sz w:val="20"/>
          <w:szCs w:val="20"/>
          <w:u w:val="single"/>
          <w:shd w:val="clear" w:color="auto" w:fill="FFFFFF"/>
          <w:lang w:val="en-US"/>
        </w:rPr>
        <w:t xml:space="preserve">III.1 </w:t>
      </w:r>
      <w:r w:rsidR="007C280B" w:rsidRPr="00EA6C7A">
        <w:rPr>
          <w:rFonts w:ascii="Verdana" w:eastAsia="Calibri" w:hAnsi="Verdana" w:cs="Tahoma"/>
          <w:bCs/>
          <w:i/>
          <w:color w:val="000000"/>
          <w:sz w:val="20"/>
          <w:szCs w:val="20"/>
          <w:u w:val="single"/>
          <w:shd w:val="clear" w:color="auto" w:fill="FFFFFF"/>
          <w:lang w:val="en-US"/>
        </w:rPr>
        <w:t>The context of</w:t>
      </w:r>
      <w:r w:rsidRPr="00EA6C7A">
        <w:rPr>
          <w:rFonts w:ascii="Verdana" w:eastAsia="Calibri" w:hAnsi="Verdana" w:cs="Tahoma"/>
          <w:bCs/>
          <w:i/>
          <w:color w:val="000000"/>
          <w:sz w:val="20"/>
          <w:szCs w:val="20"/>
          <w:u w:val="single"/>
          <w:shd w:val="clear" w:color="auto" w:fill="FFFFFF"/>
          <w:lang w:val="en-US"/>
        </w:rPr>
        <w:t xml:space="preserve"> </w:t>
      </w:r>
      <w:r w:rsidR="00C12C08" w:rsidRPr="00EA6C7A">
        <w:rPr>
          <w:rFonts w:ascii="Verdana" w:eastAsia="Calibri" w:hAnsi="Verdana" w:cs="Tahoma"/>
          <w:bCs/>
          <w:i/>
          <w:color w:val="000000"/>
          <w:sz w:val="20"/>
          <w:szCs w:val="20"/>
          <w:u w:val="single"/>
          <w:shd w:val="clear" w:color="auto" w:fill="FFFFFF"/>
          <w:lang w:val="en-US"/>
        </w:rPr>
        <w:t>violence against women</w:t>
      </w:r>
      <w:r w:rsidR="00FC7D3B" w:rsidRPr="00EA6C7A">
        <w:rPr>
          <w:rFonts w:ascii="Verdana" w:eastAsia="Calibri" w:hAnsi="Verdana" w:cs="Tahoma"/>
          <w:bCs/>
          <w:i/>
          <w:color w:val="000000"/>
          <w:sz w:val="20"/>
          <w:szCs w:val="20"/>
          <w:u w:val="single"/>
          <w:shd w:val="clear" w:color="auto" w:fill="FFFFFF"/>
          <w:lang w:val="en-US"/>
        </w:rPr>
        <w:t xml:space="preserve"> in Guatemala</w:t>
      </w:r>
    </w:p>
    <w:p w14:paraId="25C77C45" w14:textId="77777777" w:rsidR="00175ABB" w:rsidRPr="00EA6C7A" w:rsidRDefault="00175ABB" w:rsidP="00175ABB">
      <w:pPr>
        <w:spacing w:after="0" w:line="240" w:lineRule="auto"/>
        <w:jc w:val="both"/>
        <w:rPr>
          <w:rFonts w:ascii="Verdana" w:eastAsia="Calibri" w:hAnsi="Verdana" w:cs="Tahoma"/>
          <w:bCs/>
          <w:i/>
          <w:color w:val="000000"/>
          <w:sz w:val="20"/>
          <w:szCs w:val="20"/>
          <w:shd w:val="clear" w:color="auto" w:fill="FFFFFF"/>
          <w:lang w:val="en-US"/>
        </w:rPr>
      </w:pPr>
    </w:p>
    <w:p w14:paraId="70F7308A" w14:textId="77777777" w:rsidR="00175ABB" w:rsidRPr="00EA6C7A" w:rsidRDefault="00175ABB" w:rsidP="00175ABB">
      <w:pPr>
        <w:spacing w:after="0" w:line="240" w:lineRule="auto"/>
        <w:jc w:val="both"/>
        <w:rPr>
          <w:rFonts w:ascii="Verdana" w:eastAsia="Calibri" w:hAnsi="Verdana" w:cs="Tahoma"/>
          <w:bCs/>
          <w:i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35.</w:t>
      </w:r>
      <w:r w:rsidRPr="00EA6C7A">
        <w:rPr>
          <w:rFonts w:ascii="Verdana" w:eastAsia="Calibri" w:hAnsi="Verdana" w:cs="Tahoma"/>
          <w:bCs/>
          <w:color w:val="000000"/>
          <w:sz w:val="20"/>
          <w:szCs w:val="20"/>
          <w:shd w:val="clear" w:color="auto" w:fill="FFFFFF"/>
          <w:lang w:val="en-US"/>
        </w:rPr>
        <w:tab/>
      </w:r>
      <w:r w:rsidR="00284CB5" w:rsidRPr="00EA6C7A">
        <w:rPr>
          <w:rFonts w:ascii="Verdana" w:eastAsia="Calibri" w:hAnsi="Verdana" w:cs="Tahoma"/>
          <w:bCs/>
          <w:color w:val="000000"/>
          <w:sz w:val="20"/>
          <w:szCs w:val="20"/>
          <w:shd w:val="clear" w:color="auto" w:fill="FFFFFF"/>
          <w:lang w:val="en-US"/>
        </w:rPr>
        <w:t>The context represents a useful and necessary tool for understanding the specific facts of the case and determining the responsibility of the State. It should be mentioned that, when establishing the context of this case, various aspects of the context found in the case of</w:t>
      </w:r>
      <w:r w:rsidR="00284CB5" w:rsidRPr="00EA6C7A">
        <w:rPr>
          <w:rFonts w:ascii="Verdana" w:eastAsia="Calibri" w:hAnsi="Verdana" w:cs="Tahoma"/>
          <w:bCs/>
          <w:i/>
          <w:color w:val="000000"/>
          <w:sz w:val="20"/>
          <w:szCs w:val="20"/>
          <w:shd w:val="clear" w:color="auto" w:fill="FFFFFF"/>
          <w:lang w:val="en-US"/>
        </w:rPr>
        <w:t xml:space="preserve"> Veliz Franco et al. v. Guatemala</w:t>
      </w:r>
      <w:r w:rsidR="00284CB5" w:rsidRPr="00EA6C7A">
        <w:rPr>
          <w:rFonts w:ascii="Verdana" w:eastAsia="Calibri" w:hAnsi="Verdana" w:cs="Tahoma"/>
          <w:bCs/>
          <w:iCs/>
          <w:color w:val="000000"/>
          <w:sz w:val="20"/>
          <w:szCs w:val="20"/>
          <w:shd w:val="clear" w:color="auto" w:fill="FFFFFF"/>
          <w:lang w:val="en-US"/>
        </w:rPr>
        <w:t xml:space="preserve"> were referred to as a result of the sequential relationship between the two cases.</w:t>
      </w:r>
      <w:r w:rsidRPr="00EA6C7A">
        <w:rPr>
          <w:rFonts w:ascii="Verdana" w:eastAsia="Calibri" w:hAnsi="Verdana" w:cs="Tahoma"/>
          <w:bCs/>
          <w:color w:val="000000"/>
          <w:sz w:val="20"/>
          <w:szCs w:val="20"/>
          <w:shd w:val="clear" w:color="auto" w:fill="FFFFFF"/>
          <w:vertAlign w:val="superscript"/>
          <w:lang w:val="en-US"/>
        </w:rPr>
        <w:footnoteReference w:id="430"/>
      </w:r>
      <w:r w:rsidR="00284CB5" w:rsidRPr="00EA6C7A">
        <w:rPr>
          <w:rFonts w:ascii="Verdana" w:eastAsia="Calibri" w:hAnsi="Verdana" w:cs="Tahoma"/>
          <w:bCs/>
          <w:color w:val="000000"/>
          <w:sz w:val="20"/>
          <w:szCs w:val="20"/>
          <w:shd w:val="clear" w:color="auto" w:fill="FFFFFF"/>
          <w:lang w:val="en-US"/>
        </w:rPr>
        <w:t xml:space="preserve"> In this regard,</w:t>
      </w:r>
      <w:r w:rsidR="00576E40" w:rsidRPr="00EA6C7A">
        <w:rPr>
          <w:rFonts w:ascii="Verdana" w:eastAsia="Calibri" w:hAnsi="Verdana" w:cs="Tahoma"/>
          <w:bCs/>
          <w:color w:val="000000"/>
          <w:sz w:val="20"/>
          <w:szCs w:val="20"/>
          <w:shd w:val="clear" w:color="auto" w:fill="FFFFFF"/>
          <w:lang w:val="en-US"/>
        </w:rPr>
        <w:t xml:space="preserve"> </w:t>
      </w:r>
      <w:r w:rsidR="00284CB5" w:rsidRPr="00EA6C7A">
        <w:rPr>
          <w:rFonts w:ascii="Verdana" w:eastAsia="Calibri" w:hAnsi="Verdana" w:cs="Tahoma"/>
          <w:bCs/>
          <w:color w:val="000000"/>
          <w:sz w:val="20"/>
          <w:szCs w:val="20"/>
          <w:shd w:val="clear" w:color="auto" w:fill="FFFFFF"/>
          <w:lang w:val="en-US"/>
        </w:rPr>
        <w:t>the</w:t>
      </w:r>
      <w:r w:rsidR="00576E40" w:rsidRPr="00EA6C7A">
        <w:rPr>
          <w:rFonts w:ascii="Verdana" w:eastAsia="Calibri" w:hAnsi="Verdana" w:cs="Tahoma"/>
          <w:bCs/>
          <w:color w:val="000000"/>
          <w:sz w:val="20"/>
          <w:szCs w:val="20"/>
          <w:shd w:val="clear" w:color="auto" w:fill="FFFFFF"/>
          <w:lang w:val="en-US"/>
        </w:rPr>
        <w:t xml:space="preserve"> present</w:t>
      </w:r>
      <w:r w:rsidR="00284CB5" w:rsidRPr="00EA6C7A">
        <w:rPr>
          <w:rFonts w:ascii="Verdana" w:eastAsia="Calibri" w:hAnsi="Verdana" w:cs="Tahoma"/>
          <w:bCs/>
          <w:color w:val="000000"/>
          <w:sz w:val="20"/>
          <w:szCs w:val="20"/>
          <w:shd w:val="clear" w:color="auto" w:fill="FFFFFF"/>
          <w:lang w:val="en-US"/>
        </w:rPr>
        <w:t xml:space="preserve"> judgment</w:t>
      </w:r>
      <w:r w:rsidR="00576E40" w:rsidRPr="00EA6C7A">
        <w:rPr>
          <w:rFonts w:ascii="Verdana" w:eastAsia="Calibri" w:hAnsi="Verdana" w:cs="Tahoma"/>
          <w:bCs/>
          <w:color w:val="000000"/>
          <w:sz w:val="20"/>
          <w:szCs w:val="20"/>
          <w:shd w:val="clear" w:color="auto" w:fill="FFFFFF"/>
          <w:lang w:val="en-US"/>
        </w:rPr>
        <w:t xml:space="preserve"> referred back to</w:t>
      </w:r>
      <w:r w:rsidR="00284CB5" w:rsidRPr="00EA6C7A">
        <w:rPr>
          <w:rFonts w:ascii="Verdana" w:eastAsia="Calibri" w:hAnsi="Verdana" w:cs="Tahoma"/>
          <w:bCs/>
          <w:color w:val="000000"/>
          <w:sz w:val="20"/>
          <w:szCs w:val="20"/>
          <w:shd w:val="clear" w:color="auto" w:fill="FFFFFF"/>
          <w:lang w:val="en-US"/>
        </w:rPr>
        <w:t xml:space="preserve"> the context in which the facts of the case of </w:t>
      </w:r>
      <w:r w:rsidR="00284CB5" w:rsidRPr="00EA6C7A">
        <w:rPr>
          <w:rFonts w:ascii="Verdana" w:eastAsia="Calibri" w:hAnsi="Verdana" w:cs="Tahoma"/>
          <w:bCs/>
          <w:i/>
          <w:color w:val="000000"/>
          <w:sz w:val="20"/>
          <w:szCs w:val="20"/>
          <w:shd w:val="clear" w:color="auto" w:fill="FFFFFF"/>
          <w:lang w:val="en-US"/>
        </w:rPr>
        <w:t>Veliz Franco et al.</w:t>
      </w:r>
      <w:r w:rsidR="00284CB5" w:rsidRPr="00EA6C7A">
        <w:rPr>
          <w:rFonts w:ascii="Verdana" w:eastAsia="Calibri" w:hAnsi="Verdana" w:cs="Tahoma"/>
          <w:bCs/>
          <w:iCs/>
          <w:color w:val="000000"/>
          <w:sz w:val="20"/>
          <w:szCs w:val="20"/>
          <w:shd w:val="clear" w:color="auto" w:fill="FFFFFF"/>
          <w:lang w:val="en-US"/>
        </w:rPr>
        <w:t xml:space="preserve"> </w:t>
      </w:r>
      <w:r w:rsidR="00576E40" w:rsidRPr="00EA6C7A">
        <w:rPr>
          <w:rFonts w:ascii="Verdana" w:eastAsia="Calibri" w:hAnsi="Verdana" w:cs="Tahoma"/>
          <w:bCs/>
          <w:iCs/>
          <w:color w:val="000000"/>
          <w:sz w:val="20"/>
          <w:szCs w:val="20"/>
          <w:shd w:val="clear" w:color="auto" w:fill="FFFFFF"/>
          <w:lang w:val="en-US"/>
        </w:rPr>
        <w:t>occurred</w:t>
      </w:r>
      <w:r w:rsidR="00284CB5" w:rsidRPr="00EA6C7A">
        <w:rPr>
          <w:rFonts w:ascii="Verdana" w:eastAsia="Calibri" w:hAnsi="Verdana" w:cs="Tahoma"/>
          <w:bCs/>
          <w:iCs/>
          <w:color w:val="000000"/>
          <w:sz w:val="20"/>
          <w:szCs w:val="20"/>
          <w:shd w:val="clear" w:color="auto" w:fill="FFFFFF"/>
          <w:lang w:val="en-US"/>
        </w:rPr>
        <w:t>, indicat</w:t>
      </w:r>
      <w:r w:rsidR="00576E40" w:rsidRPr="00EA6C7A">
        <w:rPr>
          <w:rFonts w:ascii="Verdana" w:eastAsia="Calibri" w:hAnsi="Verdana" w:cs="Tahoma"/>
          <w:bCs/>
          <w:iCs/>
          <w:color w:val="000000"/>
          <w:sz w:val="20"/>
          <w:szCs w:val="20"/>
          <w:shd w:val="clear" w:color="auto" w:fill="FFFFFF"/>
          <w:lang w:val="en-US"/>
        </w:rPr>
        <w:t>ing</w:t>
      </w:r>
      <w:r w:rsidR="00284CB5" w:rsidRPr="00EA6C7A">
        <w:rPr>
          <w:rFonts w:ascii="Verdana" w:eastAsia="Calibri" w:hAnsi="Verdana" w:cs="Tahoma"/>
          <w:bCs/>
          <w:iCs/>
          <w:color w:val="000000"/>
          <w:sz w:val="20"/>
          <w:szCs w:val="20"/>
          <w:shd w:val="clear" w:color="auto" w:fill="FFFFFF"/>
          <w:lang w:val="en-US"/>
        </w:rPr>
        <w:t xml:space="preserve"> that, starting in December 2001, </w:t>
      </w:r>
      <w:r w:rsidR="00576E40" w:rsidRPr="00EA6C7A">
        <w:rPr>
          <w:rFonts w:ascii="Verdana" w:eastAsia="Calibri" w:hAnsi="Verdana" w:cs="Tahoma"/>
          <w:bCs/>
          <w:iCs/>
          <w:color w:val="000000"/>
          <w:sz w:val="20"/>
          <w:szCs w:val="20"/>
          <w:shd w:val="clear" w:color="auto" w:fill="FFFFFF"/>
          <w:lang w:val="en-US"/>
        </w:rPr>
        <w:t>there was a</w:t>
      </w:r>
      <w:r w:rsidR="00284CB5" w:rsidRPr="00EA6C7A">
        <w:rPr>
          <w:rFonts w:ascii="Verdana" w:eastAsia="Calibri" w:hAnsi="Verdana" w:cs="Tahoma"/>
          <w:bCs/>
          <w:iCs/>
          <w:color w:val="000000"/>
          <w:sz w:val="20"/>
          <w:szCs w:val="20"/>
          <w:shd w:val="clear" w:color="auto" w:fill="FFFFFF"/>
          <w:lang w:val="en-US"/>
        </w:rPr>
        <w:t xml:space="preserve"> “context of an escalation of homicidal violence </w:t>
      </w:r>
      <w:r w:rsidR="00284CB5" w:rsidRPr="00EA6C7A">
        <w:rPr>
          <w:rFonts w:ascii="Verdana" w:eastAsia="Calibri" w:hAnsi="Verdana" w:cs="Tahoma"/>
          <w:bCs/>
          <w:iCs/>
          <w:color w:val="000000"/>
          <w:sz w:val="20"/>
          <w:szCs w:val="20"/>
          <w:shd w:val="clear" w:color="auto" w:fill="FFFFFF"/>
          <w:lang w:val="en-US"/>
        </w:rPr>
        <w:lastRenderedPageBreak/>
        <w:t xml:space="preserve">against women in Guatemala” </w:t>
      </w:r>
      <w:r w:rsidR="00576E40" w:rsidRPr="00EA6C7A">
        <w:rPr>
          <w:rFonts w:ascii="Verdana" w:eastAsia="Calibri" w:hAnsi="Verdana" w:cs="Tahoma"/>
          <w:bCs/>
          <w:iCs/>
          <w:color w:val="000000"/>
          <w:sz w:val="20"/>
          <w:szCs w:val="20"/>
          <w:shd w:val="clear" w:color="auto" w:fill="FFFFFF"/>
          <w:lang w:val="en-US"/>
        </w:rPr>
        <w:t>that</w:t>
      </w:r>
      <w:r w:rsidR="00284CB5" w:rsidRPr="00EA6C7A">
        <w:rPr>
          <w:rFonts w:ascii="Verdana" w:eastAsia="Calibri" w:hAnsi="Verdana" w:cs="Tahoma"/>
          <w:bCs/>
          <w:iCs/>
          <w:color w:val="000000"/>
          <w:sz w:val="20"/>
          <w:szCs w:val="20"/>
          <w:shd w:val="clear" w:color="auto" w:fill="FFFFFF"/>
          <w:lang w:val="en-US"/>
        </w:rPr>
        <w:t xml:space="preserve"> the State was aware of</w:t>
      </w:r>
      <w:r w:rsidR="000315E1" w:rsidRPr="00EA6C7A">
        <w:rPr>
          <w:rFonts w:ascii="Verdana" w:eastAsia="Calibri" w:hAnsi="Verdana" w:cs="Tahoma"/>
          <w:bCs/>
          <w:i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31"/>
      </w:r>
      <w:r w:rsidRPr="00EA6C7A">
        <w:rPr>
          <w:rFonts w:ascii="Verdana" w:eastAsia="Calibri" w:hAnsi="Verdana" w:cs="Tahoma"/>
          <w:bCs/>
          <w:color w:val="000000"/>
          <w:sz w:val="20"/>
          <w:szCs w:val="20"/>
          <w:shd w:val="clear" w:color="auto" w:fill="FFFFFF"/>
          <w:lang w:val="en-US"/>
        </w:rPr>
        <w:t xml:space="preserve"> </w:t>
      </w:r>
      <w:r w:rsidR="000315E1" w:rsidRPr="00EA6C7A">
        <w:rPr>
          <w:rFonts w:ascii="Verdana" w:eastAsia="Calibri" w:hAnsi="Verdana" w:cs="Tahoma"/>
          <w:bCs/>
          <w:color w:val="000000"/>
          <w:sz w:val="20"/>
          <w:szCs w:val="20"/>
          <w:shd w:val="clear" w:color="auto" w:fill="FFFFFF"/>
          <w:lang w:val="en-US"/>
        </w:rPr>
        <w:t>it also referred back to</w:t>
      </w:r>
      <w:r w:rsidR="00284CB5" w:rsidRPr="00EA6C7A">
        <w:rPr>
          <w:rFonts w:ascii="Verdana" w:eastAsia="Calibri" w:hAnsi="Verdana" w:cs="Tahoma"/>
          <w:bCs/>
          <w:color w:val="000000"/>
          <w:sz w:val="20"/>
          <w:szCs w:val="20"/>
          <w:shd w:val="clear" w:color="auto" w:fill="FFFFFF"/>
          <w:lang w:val="en-US"/>
        </w:rPr>
        <w:t xml:space="preserve"> the figures for </w:t>
      </w:r>
      <w:r w:rsidR="000315E1" w:rsidRPr="00EA6C7A">
        <w:rPr>
          <w:rFonts w:ascii="Verdana" w:eastAsia="Calibri" w:hAnsi="Verdana" w:cs="Tahoma"/>
          <w:bCs/>
          <w:color w:val="000000"/>
          <w:sz w:val="20"/>
          <w:szCs w:val="20"/>
          <w:shd w:val="clear" w:color="auto" w:fill="FFFFFF"/>
          <w:lang w:val="en-US"/>
        </w:rPr>
        <w:t xml:space="preserve">the </w:t>
      </w:r>
      <w:r w:rsidR="00284CB5" w:rsidRPr="00EA6C7A">
        <w:rPr>
          <w:rFonts w:ascii="Verdana" w:eastAsia="Calibri" w:hAnsi="Verdana" w:cs="Tahoma"/>
          <w:bCs/>
          <w:color w:val="000000"/>
          <w:sz w:val="20"/>
          <w:szCs w:val="20"/>
          <w:shd w:val="clear" w:color="auto" w:fill="FFFFFF"/>
          <w:lang w:val="en-US"/>
        </w:rPr>
        <w:t xml:space="preserve">murder of women in subsequent years up until </w:t>
      </w:r>
      <w:r w:rsidRPr="00EA6C7A">
        <w:rPr>
          <w:rFonts w:ascii="Verdana" w:eastAsia="Calibri" w:hAnsi="Verdana" w:cs="Tahoma"/>
          <w:bCs/>
          <w:color w:val="000000"/>
          <w:sz w:val="20"/>
          <w:szCs w:val="20"/>
          <w:shd w:val="clear" w:color="auto" w:fill="FFFFFF"/>
          <w:lang w:val="en-US"/>
        </w:rPr>
        <w:t>2004</w:t>
      </w:r>
      <w:r w:rsidR="00284CB5"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32"/>
      </w:r>
      <w:r w:rsidR="00284CB5" w:rsidRPr="00EA6C7A">
        <w:rPr>
          <w:rFonts w:ascii="Verdana" w:eastAsia="Calibri" w:hAnsi="Verdana" w:cs="Tahoma"/>
          <w:bCs/>
          <w:color w:val="000000"/>
          <w:sz w:val="20"/>
          <w:szCs w:val="20"/>
          <w:shd w:val="clear" w:color="auto" w:fill="FFFFFF"/>
          <w:lang w:val="en-US"/>
        </w:rPr>
        <w:t xml:space="preserve"> data </w:t>
      </w:r>
      <w:r w:rsidR="000315E1" w:rsidRPr="00EA6C7A">
        <w:rPr>
          <w:rFonts w:ascii="Verdana" w:eastAsia="Calibri" w:hAnsi="Verdana" w:cs="Tahoma"/>
          <w:bCs/>
          <w:color w:val="000000"/>
          <w:sz w:val="20"/>
          <w:szCs w:val="20"/>
          <w:shd w:val="clear" w:color="auto" w:fill="FFFFFF"/>
          <w:lang w:val="en-US"/>
        </w:rPr>
        <w:t xml:space="preserve">that was </w:t>
      </w:r>
      <w:r w:rsidR="00284CB5" w:rsidRPr="00EA6C7A">
        <w:rPr>
          <w:rFonts w:ascii="Verdana" w:eastAsia="Calibri" w:hAnsi="Verdana" w:cs="Tahoma"/>
          <w:bCs/>
          <w:color w:val="000000"/>
          <w:sz w:val="20"/>
          <w:szCs w:val="20"/>
          <w:shd w:val="clear" w:color="auto" w:fill="FFFFFF"/>
          <w:lang w:val="en-US"/>
        </w:rPr>
        <w:t xml:space="preserve">supplemented by the </w:t>
      </w:r>
      <w:r w:rsidR="006B1447" w:rsidRPr="00EA6C7A">
        <w:rPr>
          <w:rFonts w:ascii="Verdana" w:eastAsia="Calibri" w:hAnsi="Verdana" w:cs="Tahoma"/>
          <w:bCs/>
          <w:color w:val="000000"/>
          <w:sz w:val="20"/>
          <w:szCs w:val="20"/>
          <w:shd w:val="clear" w:color="auto" w:fill="FFFFFF"/>
          <w:lang w:val="en-US"/>
        </w:rPr>
        <w:t xml:space="preserve">figures from 2005 to 2015 </w:t>
      </w:r>
      <w:r w:rsidR="000315E1" w:rsidRPr="00EA6C7A">
        <w:rPr>
          <w:rFonts w:ascii="Verdana" w:eastAsia="Calibri" w:hAnsi="Verdana" w:cs="Tahoma"/>
          <w:bCs/>
          <w:color w:val="000000"/>
          <w:sz w:val="20"/>
          <w:szCs w:val="20"/>
          <w:shd w:val="clear" w:color="auto" w:fill="FFFFFF"/>
          <w:lang w:val="en-US"/>
        </w:rPr>
        <w:t xml:space="preserve">provided </w:t>
      </w:r>
      <w:r w:rsidR="006B1447" w:rsidRPr="00EA6C7A">
        <w:rPr>
          <w:rFonts w:ascii="Verdana" w:eastAsia="Calibri" w:hAnsi="Verdana" w:cs="Tahoma"/>
          <w:bCs/>
          <w:color w:val="000000"/>
          <w:sz w:val="20"/>
          <w:szCs w:val="20"/>
          <w:shd w:val="clear" w:color="auto" w:fill="FFFFFF"/>
          <w:lang w:val="en-US"/>
        </w:rPr>
        <w:t>as evidence in the instant case, which were consistent with the increase in the murder of women.</w:t>
      </w:r>
      <w:r w:rsidRPr="00EA6C7A">
        <w:rPr>
          <w:rFonts w:ascii="Verdana" w:eastAsia="Calibri" w:hAnsi="Verdana" w:cs="Tahoma"/>
          <w:bCs/>
          <w:color w:val="000000"/>
          <w:sz w:val="20"/>
          <w:szCs w:val="20"/>
          <w:shd w:val="clear" w:color="auto" w:fill="FFFFFF"/>
          <w:vertAlign w:val="superscript"/>
          <w:lang w:val="en-US"/>
        </w:rPr>
        <w:footnoteReference w:id="433"/>
      </w:r>
    </w:p>
    <w:p w14:paraId="560E174A"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75A06725"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36. </w:t>
      </w:r>
      <w:r w:rsidRPr="00EA6C7A">
        <w:rPr>
          <w:rFonts w:ascii="Verdana" w:eastAsia="Calibri" w:hAnsi="Verdana" w:cs="Tahoma"/>
          <w:bCs/>
          <w:color w:val="000000"/>
          <w:sz w:val="20"/>
          <w:szCs w:val="20"/>
          <w:shd w:val="clear" w:color="auto" w:fill="FFFFFF"/>
          <w:lang w:val="en-US"/>
        </w:rPr>
        <w:tab/>
      </w:r>
      <w:r w:rsidR="006B1447" w:rsidRPr="00EA6C7A">
        <w:rPr>
          <w:rFonts w:ascii="Verdana" w:eastAsia="Calibri" w:hAnsi="Verdana" w:cs="Tahoma"/>
          <w:bCs/>
          <w:color w:val="000000"/>
          <w:sz w:val="20"/>
          <w:szCs w:val="20"/>
          <w:shd w:val="clear" w:color="auto" w:fill="FFFFFF"/>
          <w:lang w:val="en-US"/>
        </w:rPr>
        <w:t xml:space="preserve">The foregoing, allowed the Court to observe the contextual situation in Guatemala – in which the facts took place – in </w:t>
      </w:r>
      <w:r w:rsidR="006B1447" w:rsidRPr="00EA6C7A">
        <w:rPr>
          <w:rFonts w:ascii="Verdana" w:eastAsia="Calibri" w:hAnsi="Verdana" w:cs="Tahoma"/>
          <w:bCs/>
          <w:i/>
          <w:color w:val="000000"/>
          <w:sz w:val="20"/>
          <w:szCs w:val="20"/>
          <w:shd w:val="clear" w:color="auto" w:fill="FFFFFF"/>
          <w:lang w:val="en-US"/>
        </w:rPr>
        <w:t>Veliz Franco et al.</w:t>
      </w:r>
      <w:r w:rsidR="006B1447" w:rsidRPr="00EA6C7A">
        <w:rPr>
          <w:rFonts w:ascii="Verdana" w:eastAsia="Calibri" w:hAnsi="Verdana" w:cs="Tahoma"/>
          <w:bCs/>
          <w:color w:val="000000"/>
          <w:sz w:val="20"/>
          <w:szCs w:val="20"/>
          <w:shd w:val="clear" w:color="auto" w:fill="FFFFFF"/>
          <w:lang w:val="en-US"/>
        </w:rPr>
        <w:t xml:space="preserve">, </w:t>
      </w:r>
      <w:r w:rsidR="000315E1" w:rsidRPr="00EA6C7A">
        <w:rPr>
          <w:rFonts w:ascii="Verdana" w:eastAsia="Calibri" w:hAnsi="Verdana" w:cs="Tahoma"/>
          <w:bCs/>
          <w:color w:val="000000"/>
          <w:sz w:val="20"/>
          <w:szCs w:val="20"/>
          <w:shd w:val="clear" w:color="auto" w:fill="FFFFFF"/>
          <w:lang w:val="en-US"/>
        </w:rPr>
        <w:t xml:space="preserve">in order </w:t>
      </w:r>
      <w:r w:rsidR="006B1447" w:rsidRPr="00EA6C7A">
        <w:rPr>
          <w:rFonts w:ascii="Verdana" w:eastAsia="Calibri" w:hAnsi="Verdana" w:cs="Tahoma"/>
          <w:bCs/>
          <w:color w:val="000000"/>
          <w:sz w:val="20"/>
          <w:szCs w:val="20"/>
          <w:shd w:val="clear" w:color="auto" w:fill="FFFFFF"/>
          <w:lang w:val="en-US"/>
        </w:rPr>
        <w:t>to compare this with the context of the instant case</w:t>
      </w:r>
      <w:r w:rsidR="000315E1" w:rsidRPr="00EA6C7A">
        <w:rPr>
          <w:rFonts w:ascii="Verdana" w:eastAsia="Calibri" w:hAnsi="Verdana" w:cs="Tahoma"/>
          <w:bCs/>
          <w:color w:val="000000"/>
          <w:sz w:val="20"/>
          <w:szCs w:val="20"/>
          <w:shd w:val="clear" w:color="auto" w:fill="FFFFFF"/>
          <w:lang w:val="en-US"/>
        </w:rPr>
        <w:t>. This revealed that, in addition to showing a sustained increase in 2004 and 2005 (the year in which the facts of the instant case occurred),</w:t>
      </w:r>
      <w:r w:rsidR="006B1447" w:rsidRPr="00EA6C7A">
        <w:rPr>
          <w:rFonts w:ascii="Verdana" w:eastAsia="Calibri" w:hAnsi="Verdana" w:cs="Tahoma"/>
          <w:bCs/>
          <w:color w:val="000000"/>
          <w:sz w:val="20"/>
          <w:szCs w:val="20"/>
          <w:shd w:val="clear" w:color="auto" w:fill="FFFFFF"/>
          <w:lang w:val="en-US"/>
        </w:rPr>
        <w:t xml:space="preserve"> the escalation of homicidal violence against women</w:t>
      </w:r>
      <w:r w:rsidR="000315E1" w:rsidRPr="00EA6C7A">
        <w:rPr>
          <w:rFonts w:ascii="Verdana" w:eastAsia="Calibri" w:hAnsi="Verdana" w:cs="Tahoma"/>
          <w:bCs/>
          <w:color w:val="000000"/>
          <w:sz w:val="20"/>
          <w:szCs w:val="20"/>
          <w:shd w:val="clear" w:color="auto" w:fill="FFFFFF"/>
          <w:lang w:val="en-US"/>
        </w:rPr>
        <w:t xml:space="preserve"> has remained high up until 2015,</w:t>
      </w:r>
      <w:r w:rsidR="006B1447" w:rsidRPr="00EA6C7A">
        <w:rPr>
          <w:rFonts w:ascii="Verdana" w:eastAsia="Calibri" w:hAnsi="Verdana" w:cs="Tahoma"/>
          <w:bCs/>
          <w:color w:val="000000"/>
          <w:sz w:val="20"/>
          <w:szCs w:val="20"/>
          <w:shd w:val="clear" w:color="auto" w:fill="FFFFFF"/>
          <w:lang w:val="en-US"/>
        </w:rPr>
        <w:t xml:space="preserve"> with the result that </w:t>
      </w:r>
      <w:r w:rsidR="003141EF" w:rsidRPr="00EA6C7A">
        <w:rPr>
          <w:rFonts w:ascii="Verdana" w:eastAsia="Calibri" w:hAnsi="Verdana" w:cs="Tahoma"/>
          <w:bCs/>
          <w:color w:val="000000"/>
          <w:sz w:val="20"/>
          <w:szCs w:val="20"/>
          <w:shd w:val="clear" w:color="auto" w:fill="FFFFFF"/>
          <w:lang w:val="en-US"/>
        </w:rPr>
        <w:t xml:space="preserve">the number of </w:t>
      </w:r>
      <w:r w:rsidR="006B1447" w:rsidRPr="00EA6C7A">
        <w:rPr>
          <w:rFonts w:ascii="Verdana" w:eastAsia="Calibri" w:hAnsi="Verdana" w:cs="Tahoma"/>
          <w:bCs/>
          <w:color w:val="000000"/>
          <w:sz w:val="20"/>
          <w:szCs w:val="20"/>
          <w:shd w:val="clear" w:color="auto" w:fill="FFFFFF"/>
          <w:lang w:val="en-US"/>
        </w:rPr>
        <w:t>violent deaths of women increased</w:t>
      </w:r>
      <w:r w:rsidR="003141EF" w:rsidRPr="00EA6C7A">
        <w:rPr>
          <w:rFonts w:ascii="Verdana" w:eastAsia="Calibri" w:hAnsi="Verdana" w:cs="Tahoma"/>
          <w:bCs/>
          <w:color w:val="000000"/>
          <w:sz w:val="20"/>
          <w:szCs w:val="20"/>
          <w:shd w:val="clear" w:color="auto" w:fill="FFFFFF"/>
          <w:lang w:val="en-US"/>
        </w:rPr>
        <w:t xml:space="preserve"> by</w:t>
      </w:r>
      <w:r w:rsidR="006B1447" w:rsidRPr="00EA6C7A">
        <w:rPr>
          <w:rFonts w:ascii="Verdana" w:eastAsia="Calibri" w:hAnsi="Verdana" w:cs="Tahoma"/>
          <w:bCs/>
          <w:color w:val="000000"/>
          <w:sz w:val="20"/>
          <w:szCs w:val="20"/>
          <w:shd w:val="clear" w:color="auto" w:fill="FFFFFF"/>
          <w:lang w:val="en-US"/>
        </w:rPr>
        <w:t xml:space="preserve"> 20% more than </w:t>
      </w:r>
      <w:r w:rsidR="003141EF" w:rsidRPr="00EA6C7A">
        <w:rPr>
          <w:rFonts w:ascii="Verdana" w:eastAsia="Calibri" w:hAnsi="Verdana" w:cs="Tahoma"/>
          <w:bCs/>
          <w:color w:val="000000"/>
          <w:sz w:val="20"/>
          <w:szCs w:val="20"/>
          <w:shd w:val="clear" w:color="auto" w:fill="FFFFFF"/>
          <w:lang w:val="en-US"/>
        </w:rPr>
        <w:t>the number of violent deaths</w:t>
      </w:r>
      <w:r w:rsidR="006B1447" w:rsidRPr="00EA6C7A">
        <w:rPr>
          <w:rFonts w:ascii="Verdana" w:eastAsia="Calibri" w:hAnsi="Verdana" w:cs="Tahoma"/>
          <w:bCs/>
          <w:color w:val="000000"/>
          <w:sz w:val="20"/>
          <w:szCs w:val="20"/>
          <w:shd w:val="clear" w:color="auto" w:fill="FFFFFF"/>
          <w:lang w:val="en-US"/>
        </w:rPr>
        <w:t xml:space="preserve"> of men between 1995 and 2004.</w:t>
      </w:r>
      <w:r w:rsidRPr="00EA6C7A">
        <w:rPr>
          <w:rFonts w:ascii="Verdana" w:eastAsia="Calibri" w:hAnsi="Verdana" w:cs="Tahoma"/>
          <w:bCs/>
          <w:color w:val="000000"/>
          <w:sz w:val="20"/>
          <w:szCs w:val="20"/>
          <w:shd w:val="clear" w:color="auto" w:fill="FFFFFF"/>
          <w:vertAlign w:val="superscript"/>
          <w:lang w:val="en-US"/>
        </w:rPr>
        <w:footnoteReference w:id="434"/>
      </w:r>
      <w:r w:rsidR="006B1447" w:rsidRPr="00EA6C7A">
        <w:rPr>
          <w:rFonts w:ascii="Verdana" w:eastAsia="Calibri" w:hAnsi="Verdana" w:cs="Tahoma"/>
          <w:bCs/>
          <w:color w:val="000000"/>
          <w:sz w:val="20"/>
          <w:szCs w:val="20"/>
          <w:shd w:val="clear" w:color="auto" w:fill="FFFFFF"/>
          <w:lang w:val="en-US"/>
        </w:rPr>
        <w:t xml:space="preserve"> The Court also underlined aspects of the context established in the previous case, such as the “exacerbation of the level of </w:t>
      </w:r>
      <w:r w:rsidR="00C12C08" w:rsidRPr="00EA6C7A">
        <w:rPr>
          <w:rFonts w:ascii="Verdana" w:eastAsia="Calibri" w:hAnsi="Verdana" w:cs="Tahoma"/>
          <w:bCs/>
          <w:color w:val="000000"/>
          <w:sz w:val="20"/>
          <w:szCs w:val="20"/>
          <w:shd w:val="clear" w:color="auto" w:fill="FFFFFF"/>
          <w:lang w:val="en-US"/>
        </w:rPr>
        <w:t>violence against women</w:t>
      </w:r>
      <w:r w:rsidR="00D948A1" w:rsidRPr="00EA6C7A">
        <w:rPr>
          <w:rFonts w:ascii="Verdana" w:eastAsia="Calibri" w:hAnsi="Verdana" w:cs="Tahoma"/>
          <w:bCs/>
          <w:color w:val="000000"/>
          <w:sz w:val="20"/>
          <w:szCs w:val="20"/>
          <w:shd w:val="clear" w:color="auto" w:fill="FFFFFF"/>
          <w:lang w:val="en-US"/>
        </w:rPr>
        <w:t xml:space="preserve"> and </w:t>
      </w:r>
      <w:r w:rsidR="006B1447" w:rsidRPr="00EA6C7A">
        <w:rPr>
          <w:rFonts w:ascii="Verdana" w:eastAsia="Calibri" w:hAnsi="Verdana" w:cs="Tahoma"/>
          <w:bCs/>
          <w:color w:val="000000"/>
          <w:sz w:val="20"/>
          <w:szCs w:val="20"/>
          <w:shd w:val="clear" w:color="auto" w:fill="FFFFFF"/>
          <w:lang w:val="en-US"/>
        </w:rPr>
        <w:t>the cruelty inflicted on the women’s bodies</w:t>
      </w:r>
      <w:r w:rsidRPr="00EA6C7A">
        <w:rPr>
          <w:rFonts w:ascii="Verdana" w:eastAsia="Calibri" w:hAnsi="Verdana" w:cs="Tahoma"/>
          <w:bCs/>
          <w:color w:val="000000"/>
          <w:sz w:val="20"/>
          <w:szCs w:val="20"/>
          <w:shd w:val="clear" w:color="auto" w:fill="FFFFFF"/>
          <w:lang w:val="en-US"/>
        </w:rPr>
        <w:t>”</w:t>
      </w:r>
      <w:r w:rsidR="006B1447"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35"/>
      </w:r>
      <w:r w:rsidRPr="00EA6C7A">
        <w:rPr>
          <w:rFonts w:ascii="Verdana" w:eastAsia="Calibri" w:hAnsi="Verdana" w:cs="Tahoma"/>
          <w:bCs/>
          <w:color w:val="000000"/>
          <w:sz w:val="20"/>
          <w:szCs w:val="20"/>
          <w:shd w:val="clear" w:color="auto" w:fill="FFFFFF"/>
          <w:lang w:val="en-US"/>
        </w:rPr>
        <w:t xml:space="preserve"> </w:t>
      </w:r>
      <w:r w:rsidR="00A204AD" w:rsidRPr="00EA6C7A">
        <w:rPr>
          <w:rFonts w:ascii="Verdana" w:eastAsia="Calibri" w:hAnsi="Verdana" w:cs="Tahoma"/>
          <w:bCs/>
          <w:color w:val="000000"/>
          <w:sz w:val="20"/>
          <w:szCs w:val="20"/>
          <w:shd w:val="clear" w:color="auto" w:fill="FFFFFF"/>
          <w:lang w:val="en-US"/>
        </w:rPr>
        <w:t>the</w:t>
      </w:r>
      <w:r w:rsidRPr="00EA6C7A">
        <w:rPr>
          <w:rFonts w:ascii="Verdana" w:eastAsia="Calibri" w:hAnsi="Verdana" w:cs="Tahoma"/>
          <w:bCs/>
          <w:color w:val="000000"/>
          <w:sz w:val="20"/>
          <w:szCs w:val="20"/>
          <w:shd w:val="clear" w:color="auto" w:fill="FFFFFF"/>
          <w:lang w:val="en-US"/>
        </w:rPr>
        <w:t xml:space="preserve"> “</w:t>
      </w:r>
      <w:r w:rsidR="00A204AD" w:rsidRPr="00EA6C7A">
        <w:rPr>
          <w:rFonts w:ascii="Verdana" w:eastAsia="Calibri" w:hAnsi="Verdana" w:cs="Tahoma"/>
          <w:bCs/>
          <w:color w:val="000000"/>
          <w:sz w:val="20"/>
          <w:szCs w:val="20"/>
          <w:shd w:val="clear" w:color="auto" w:fill="FFFFFF"/>
          <w:lang w:val="en-US"/>
        </w:rPr>
        <w:t>high levels of general impunity […] in relation to different types of crimes” including crimes against women,</w:t>
      </w:r>
      <w:r w:rsidRPr="00EA6C7A">
        <w:rPr>
          <w:rFonts w:ascii="Verdana" w:eastAsia="Calibri" w:hAnsi="Verdana" w:cs="Tahoma"/>
          <w:bCs/>
          <w:color w:val="000000"/>
          <w:sz w:val="20"/>
          <w:szCs w:val="20"/>
          <w:shd w:val="clear" w:color="auto" w:fill="FFFFFF"/>
          <w:vertAlign w:val="superscript"/>
          <w:lang w:val="en-US"/>
        </w:rPr>
        <w:footnoteReference w:id="436"/>
      </w:r>
      <w:r w:rsidR="00A204AD" w:rsidRPr="00EA6C7A">
        <w:rPr>
          <w:rFonts w:ascii="Verdana" w:eastAsia="Calibri" w:hAnsi="Verdana" w:cs="Tahoma"/>
          <w:bCs/>
          <w:color w:val="000000"/>
          <w:sz w:val="20"/>
          <w:szCs w:val="20"/>
          <w:shd w:val="clear" w:color="auto" w:fill="FFFFFF"/>
          <w:lang w:val="en-US"/>
        </w:rPr>
        <w:t xml:space="preserve"> and also the tendency of authorities and investigators to discredit and blame the victims for their lifestyle or clothing.</w:t>
      </w:r>
      <w:r w:rsidRPr="00EA6C7A">
        <w:rPr>
          <w:rFonts w:ascii="Verdana" w:eastAsia="Calibri" w:hAnsi="Verdana" w:cs="Tahoma"/>
          <w:bCs/>
          <w:color w:val="000000"/>
          <w:sz w:val="20"/>
          <w:szCs w:val="20"/>
          <w:shd w:val="clear" w:color="auto" w:fill="FFFFFF"/>
          <w:vertAlign w:val="superscript"/>
          <w:lang w:val="en-US"/>
        </w:rPr>
        <w:footnoteReference w:id="437"/>
      </w:r>
    </w:p>
    <w:p w14:paraId="25A1DA8C"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4D49FA1C"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37. </w:t>
      </w:r>
      <w:r w:rsidRPr="00EA6C7A">
        <w:rPr>
          <w:rFonts w:ascii="Verdana" w:eastAsia="Calibri" w:hAnsi="Verdana" w:cs="Tahoma"/>
          <w:bCs/>
          <w:color w:val="000000"/>
          <w:sz w:val="20"/>
          <w:szCs w:val="20"/>
          <w:shd w:val="clear" w:color="auto" w:fill="FFFFFF"/>
          <w:lang w:val="en-US"/>
        </w:rPr>
        <w:tab/>
      </w:r>
      <w:r w:rsidR="00A204AD" w:rsidRPr="00EA6C7A">
        <w:rPr>
          <w:rFonts w:ascii="Verdana" w:eastAsia="Calibri" w:hAnsi="Verdana" w:cs="Tahoma"/>
          <w:bCs/>
          <w:color w:val="000000"/>
          <w:sz w:val="20"/>
          <w:szCs w:val="20"/>
          <w:shd w:val="clear" w:color="auto" w:fill="FFFFFF"/>
          <w:lang w:val="en-US"/>
        </w:rPr>
        <w:t xml:space="preserve">In this situation, it is </w:t>
      </w:r>
      <w:r w:rsidR="001E7171" w:rsidRPr="00EA6C7A">
        <w:rPr>
          <w:rFonts w:ascii="Verdana" w:eastAsia="Calibri" w:hAnsi="Verdana" w:cs="Tahoma"/>
          <w:bCs/>
          <w:color w:val="000000"/>
          <w:sz w:val="20"/>
          <w:szCs w:val="20"/>
          <w:shd w:val="clear" w:color="auto" w:fill="FFFFFF"/>
          <w:lang w:val="en-US"/>
        </w:rPr>
        <w:t>a</w:t>
      </w:r>
      <w:r w:rsidR="003141EF" w:rsidRPr="00EA6C7A">
        <w:rPr>
          <w:rFonts w:ascii="Verdana" w:eastAsia="Calibri" w:hAnsi="Verdana" w:cs="Tahoma"/>
          <w:bCs/>
          <w:color w:val="000000"/>
          <w:sz w:val="20"/>
          <w:szCs w:val="20"/>
          <w:shd w:val="clear" w:color="auto" w:fill="FFFFFF"/>
          <w:lang w:val="en-US"/>
        </w:rPr>
        <w:t>dmissible</w:t>
      </w:r>
      <w:r w:rsidR="001E7171" w:rsidRPr="00EA6C7A">
        <w:rPr>
          <w:rFonts w:ascii="Verdana" w:eastAsia="Calibri" w:hAnsi="Verdana" w:cs="Tahoma"/>
          <w:bCs/>
          <w:color w:val="000000"/>
          <w:sz w:val="20"/>
          <w:szCs w:val="20"/>
          <w:shd w:val="clear" w:color="auto" w:fill="FFFFFF"/>
          <w:lang w:val="en-US"/>
        </w:rPr>
        <w:t xml:space="preserve"> to consider that, at least since 2001 (as noted in the judgment in the case of </w:t>
      </w:r>
      <w:r w:rsidRPr="00EA6C7A">
        <w:rPr>
          <w:rFonts w:ascii="Verdana" w:eastAsia="Calibri" w:hAnsi="Verdana" w:cs="Tahoma"/>
          <w:bCs/>
          <w:i/>
          <w:color w:val="000000"/>
          <w:sz w:val="20"/>
          <w:szCs w:val="20"/>
          <w:shd w:val="clear" w:color="auto" w:fill="FFFFFF"/>
          <w:lang w:val="en-US"/>
        </w:rPr>
        <w:t xml:space="preserve">Veliz </w:t>
      </w:r>
      <w:r w:rsidR="006A51FD" w:rsidRPr="00EA6C7A">
        <w:rPr>
          <w:rFonts w:ascii="Verdana" w:eastAsia="Calibri" w:hAnsi="Verdana" w:cs="Tahoma"/>
          <w:bCs/>
          <w:i/>
          <w:color w:val="000000"/>
          <w:sz w:val="20"/>
          <w:szCs w:val="20"/>
          <w:shd w:val="clear" w:color="auto" w:fill="FFFFFF"/>
          <w:lang w:val="en-US"/>
        </w:rPr>
        <w:t>Franco et al.</w:t>
      </w:r>
      <w:r w:rsidRPr="00EA6C7A">
        <w:rPr>
          <w:rFonts w:ascii="Verdana" w:eastAsia="Calibri" w:hAnsi="Verdana" w:cs="Tahoma"/>
          <w:bCs/>
          <w:color w:val="000000"/>
          <w:sz w:val="20"/>
          <w:szCs w:val="20"/>
          <w:shd w:val="clear" w:color="auto" w:fill="FFFFFF"/>
          <w:lang w:val="en-US"/>
        </w:rPr>
        <w:t xml:space="preserve">), </w:t>
      </w:r>
      <w:r w:rsidR="002F3848" w:rsidRPr="00EA6C7A">
        <w:rPr>
          <w:rFonts w:ascii="Verdana" w:eastAsia="Calibri" w:hAnsi="Verdana" w:cs="Tahoma"/>
          <w:bCs/>
          <w:color w:val="000000"/>
          <w:sz w:val="20"/>
          <w:szCs w:val="20"/>
          <w:shd w:val="clear" w:color="auto" w:fill="FFFFFF"/>
          <w:lang w:val="en-US"/>
        </w:rPr>
        <w:t>the State</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 xml:space="preserve">was aware of a context of an escalation of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inclu</w:t>
      </w:r>
      <w:r w:rsidR="001E7171" w:rsidRPr="00EA6C7A">
        <w:rPr>
          <w:rFonts w:ascii="Verdana" w:eastAsia="Calibri" w:hAnsi="Verdana" w:cs="Tahoma"/>
          <w:bCs/>
          <w:color w:val="000000"/>
          <w:sz w:val="20"/>
          <w:szCs w:val="20"/>
          <w:shd w:val="clear" w:color="auto" w:fill="FFFFFF"/>
          <w:lang w:val="en-US"/>
        </w:rPr>
        <w:t xml:space="preserve">ding the phenomenon of “femicide”; a situation that should have resulted in State actions to </w:t>
      </w:r>
      <w:r w:rsidR="003141EF" w:rsidRPr="00EA6C7A">
        <w:rPr>
          <w:rFonts w:ascii="Verdana" w:eastAsia="Calibri" w:hAnsi="Verdana" w:cs="Tahoma"/>
          <w:bCs/>
          <w:color w:val="000000"/>
          <w:sz w:val="20"/>
          <w:szCs w:val="20"/>
          <w:shd w:val="clear" w:color="auto" w:fill="FFFFFF"/>
          <w:lang w:val="en-US"/>
        </w:rPr>
        <w:t>take</w:t>
      </w:r>
      <w:r w:rsidR="001E7171" w:rsidRPr="00EA6C7A">
        <w:rPr>
          <w:rFonts w:ascii="Verdana" w:eastAsia="Calibri" w:hAnsi="Verdana" w:cs="Tahoma"/>
          <w:bCs/>
          <w:color w:val="000000"/>
          <w:sz w:val="20"/>
          <w:szCs w:val="20"/>
          <w:shd w:val="clear" w:color="auto" w:fill="FFFFFF"/>
          <w:lang w:val="en-US"/>
        </w:rPr>
        <w:t xml:space="preserve"> measures or create mechanisms that would have an impact on combating this context; irrespective of the measures taken prior to </w:t>
      </w:r>
      <w:r w:rsidRPr="00EA6C7A">
        <w:rPr>
          <w:rFonts w:ascii="Verdana" w:eastAsia="Calibri" w:hAnsi="Verdana" w:cs="Tahoma"/>
          <w:bCs/>
          <w:color w:val="000000"/>
          <w:sz w:val="20"/>
          <w:szCs w:val="20"/>
          <w:shd w:val="clear" w:color="auto" w:fill="FFFFFF"/>
          <w:lang w:val="en-US"/>
        </w:rPr>
        <w:t>2001</w:t>
      </w:r>
      <w:r w:rsidR="001E7171"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38"/>
      </w:r>
      <w:r w:rsidRPr="00EA6C7A">
        <w:rPr>
          <w:rFonts w:ascii="Verdana" w:eastAsia="Calibri" w:hAnsi="Verdana" w:cs="Tahoma"/>
          <w:bCs/>
          <w:color w:val="000000"/>
          <w:sz w:val="20"/>
          <w:szCs w:val="20"/>
          <w:shd w:val="clear" w:color="auto" w:fill="FFFFFF"/>
          <w:lang w:val="en-US"/>
        </w:rPr>
        <w:t xml:space="preserve"> </w:t>
      </w:r>
    </w:p>
    <w:p w14:paraId="2A0CE86D"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4C3D78C9"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38. </w:t>
      </w:r>
      <w:r w:rsidRPr="00EA6C7A">
        <w:rPr>
          <w:rFonts w:ascii="Verdana" w:eastAsia="Calibri" w:hAnsi="Verdana" w:cs="Tahoma"/>
          <w:bCs/>
          <w:color w:val="000000"/>
          <w:sz w:val="20"/>
          <w:szCs w:val="20"/>
          <w:shd w:val="clear" w:color="auto" w:fill="FFFFFF"/>
          <w:lang w:val="en-US"/>
        </w:rPr>
        <w:tab/>
      </w:r>
      <w:r w:rsidR="001E7171" w:rsidRPr="00EA6C7A">
        <w:rPr>
          <w:rFonts w:ascii="Verdana" w:eastAsia="Calibri" w:hAnsi="Verdana" w:cs="Tahoma"/>
          <w:bCs/>
          <w:color w:val="000000"/>
          <w:sz w:val="20"/>
          <w:szCs w:val="20"/>
          <w:shd w:val="clear" w:color="auto" w:fill="FFFFFF"/>
          <w:lang w:val="en-US"/>
        </w:rPr>
        <w:t xml:space="preserve">Thus, the Guatemalan State’s awareness of the context of an escalation of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that went back to at least 2001, a</w:t>
      </w:r>
      <w:r w:rsidR="003141EF" w:rsidRPr="00EA6C7A">
        <w:rPr>
          <w:rFonts w:ascii="Verdana" w:eastAsia="Calibri" w:hAnsi="Verdana" w:cs="Tahoma"/>
          <w:bCs/>
          <w:color w:val="000000"/>
          <w:sz w:val="20"/>
          <w:szCs w:val="20"/>
          <w:shd w:val="clear" w:color="auto" w:fill="FFFFFF"/>
          <w:lang w:val="en-US"/>
        </w:rPr>
        <w:t>s</w:t>
      </w:r>
      <w:r w:rsidR="001E7171" w:rsidRPr="00EA6C7A">
        <w:rPr>
          <w:rFonts w:ascii="Verdana" w:eastAsia="Calibri" w:hAnsi="Verdana" w:cs="Tahoma"/>
          <w:bCs/>
          <w:color w:val="000000"/>
          <w:sz w:val="20"/>
          <w:szCs w:val="20"/>
          <w:shd w:val="clear" w:color="auto" w:fill="FFFFFF"/>
          <w:lang w:val="en-US"/>
        </w:rPr>
        <w:t xml:space="preserve"> revealed </w:t>
      </w:r>
      <w:r w:rsidR="00D5307F" w:rsidRPr="00EA6C7A">
        <w:rPr>
          <w:rFonts w:ascii="Verdana" w:eastAsia="Calibri" w:hAnsi="Verdana" w:cs="Tahoma"/>
          <w:bCs/>
          <w:color w:val="000000"/>
          <w:sz w:val="20"/>
          <w:szCs w:val="20"/>
          <w:shd w:val="clear" w:color="auto" w:fill="FFFFFF"/>
          <w:lang w:val="en-US"/>
        </w:rPr>
        <w:t>in the case of</w:t>
      </w:r>
      <w:r w:rsidRPr="00EA6C7A">
        <w:rPr>
          <w:rFonts w:ascii="Verdana" w:eastAsia="Calibri" w:hAnsi="Verdana" w:cs="Tahoma"/>
          <w:bCs/>
          <w:i/>
          <w:color w:val="000000"/>
          <w:sz w:val="20"/>
          <w:szCs w:val="20"/>
          <w:shd w:val="clear" w:color="auto" w:fill="FFFFFF"/>
          <w:lang w:val="en-US"/>
        </w:rPr>
        <w:t xml:space="preserve"> Veliz </w:t>
      </w:r>
      <w:r w:rsidR="006A51FD" w:rsidRPr="00EA6C7A">
        <w:rPr>
          <w:rFonts w:ascii="Verdana" w:eastAsia="Calibri" w:hAnsi="Verdana" w:cs="Tahoma"/>
          <w:bCs/>
          <w:i/>
          <w:color w:val="000000"/>
          <w:sz w:val="20"/>
          <w:szCs w:val="20"/>
          <w:shd w:val="clear" w:color="auto" w:fill="FFFFFF"/>
          <w:lang w:val="en-US"/>
        </w:rPr>
        <w:t>Franco et al.</w:t>
      </w:r>
      <w:r w:rsidRPr="00EA6C7A">
        <w:rPr>
          <w:rFonts w:ascii="Verdana" w:eastAsia="Calibri" w:hAnsi="Verdana" w:cs="Tahoma"/>
          <w:bCs/>
          <w:i/>
          <w:color w:val="000000"/>
          <w:sz w:val="20"/>
          <w:szCs w:val="20"/>
          <w:shd w:val="clear" w:color="auto" w:fill="FFFFFF"/>
          <w:lang w:val="en-US"/>
        </w:rPr>
        <w:t xml:space="preserve"> v. Guatemala</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 xml:space="preserve">leads to the presumption that the State was or should have been aware of the phenomenon of femicide </w:t>
      </w:r>
      <w:r w:rsidR="003141EF" w:rsidRPr="00EA6C7A">
        <w:rPr>
          <w:rFonts w:ascii="Verdana" w:eastAsia="Calibri" w:hAnsi="Verdana" w:cs="Tahoma"/>
          <w:bCs/>
          <w:color w:val="000000"/>
          <w:sz w:val="20"/>
          <w:szCs w:val="20"/>
          <w:shd w:val="clear" w:color="auto" w:fill="FFFFFF"/>
          <w:lang w:val="en-US"/>
        </w:rPr>
        <w:t>at the time of</w:t>
      </w:r>
      <w:r w:rsidR="001E7171" w:rsidRPr="00EA6C7A">
        <w:rPr>
          <w:rFonts w:ascii="Verdana" w:eastAsia="Calibri" w:hAnsi="Verdana" w:cs="Tahoma"/>
          <w:bCs/>
          <w:color w:val="000000"/>
          <w:sz w:val="20"/>
          <w:szCs w:val="20"/>
          <w:shd w:val="clear" w:color="auto" w:fill="FFFFFF"/>
          <w:lang w:val="en-US"/>
        </w:rPr>
        <w:t xml:space="preserve"> the facts that occurred</w:t>
      </w:r>
      <w:r w:rsidR="003141EF" w:rsidRPr="00EA6C7A">
        <w:rPr>
          <w:rFonts w:ascii="Verdana" w:eastAsia="Calibri" w:hAnsi="Verdana" w:cs="Tahoma"/>
          <w:bCs/>
          <w:color w:val="000000"/>
          <w:sz w:val="20"/>
          <w:szCs w:val="20"/>
          <w:shd w:val="clear" w:color="auto" w:fill="FFFFFF"/>
          <w:lang w:val="en-US"/>
        </w:rPr>
        <w:t xml:space="preserve"> in 2005,</w:t>
      </w:r>
      <w:r w:rsidR="001E7171" w:rsidRPr="00EA6C7A">
        <w:rPr>
          <w:rFonts w:ascii="Verdana" w:eastAsia="Calibri" w:hAnsi="Verdana" w:cs="Tahoma"/>
          <w:bCs/>
          <w:color w:val="000000"/>
          <w:sz w:val="20"/>
          <w:szCs w:val="20"/>
          <w:shd w:val="clear" w:color="auto" w:fill="FFFFFF"/>
          <w:lang w:val="en-US"/>
        </w:rPr>
        <w:t xml:space="preserve"> years after th</w:t>
      </w:r>
      <w:r w:rsidR="003141EF" w:rsidRPr="00EA6C7A">
        <w:rPr>
          <w:rFonts w:ascii="Verdana" w:eastAsia="Calibri" w:hAnsi="Verdana" w:cs="Tahoma"/>
          <w:bCs/>
          <w:color w:val="000000"/>
          <w:sz w:val="20"/>
          <w:szCs w:val="20"/>
          <w:shd w:val="clear" w:color="auto" w:fill="FFFFFF"/>
          <w:lang w:val="en-US"/>
        </w:rPr>
        <w:t>at</w:t>
      </w:r>
      <w:r w:rsidR="001E7171" w:rsidRPr="00EA6C7A">
        <w:rPr>
          <w:rFonts w:ascii="Verdana" w:eastAsia="Calibri" w:hAnsi="Verdana" w:cs="Tahoma"/>
          <w:bCs/>
          <w:color w:val="000000"/>
          <w:sz w:val="20"/>
          <w:szCs w:val="20"/>
          <w:shd w:val="clear" w:color="auto" w:fill="FFFFFF"/>
          <w:lang w:val="en-US"/>
        </w:rPr>
        <w:t xml:space="preserve"> case.  </w:t>
      </w:r>
    </w:p>
    <w:p w14:paraId="6D4F9307"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20C875D8"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39. </w:t>
      </w:r>
      <w:r w:rsidRPr="00EA6C7A">
        <w:rPr>
          <w:rFonts w:ascii="Verdana" w:eastAsia="Calibri" w:hAnsi="Verdana" w:cs="Tahoma"/>
          <w:bCs/>
          <w:color w:val="000000"/>
          <w:sz w:val="20"/>
          <w:szCs w:val="20"/>
          <w:shd w:val="clear" w:color="auto" w:fill="FFFFFF"/>
          <w:lang w:val="en-US"/>
        </w:rPr>
        <w:tab/>
      </w:r>
      <w:r w:rsidR="001E7171" w:rsidRPr="00EA6C7A">
        <w:rPr>
          <w:rFonts w:ascii="Verdana" w:eastAsia="Calibri" w:hAnsi="Verdana" w:cs="Tahoma"/>
          <w:bCs/>
          <w:color w:val="000000"/>
          <w:sz w:val="20"/>
          <w:szCs w:val="20"/>
          <w:shd w:val="clear" w:color="auto" w:fill="FFFFFF"/>
          <w:lang w:val="en-US"/>
        </w:rPr>
        <w:t xml:space="preserve">In this hypothesis, I consider that the context </w:t>
      </w:r>
      <w:r w:rsidR="003141EF" w:rsidRPr="00EA6C7A">
        <w:rPr>
          <w:rFonts w:ascii="Verdana" w:eastAsia="Calibri" w:hAnsi="Verdana" w:cs="Tahoma"/>
          <w:bCs/>
          <w:color w:val="000000"/>
          <w:sz w:val="20"/>
          <w:szCs w:val="20"/>
          <w:shd w:val="clear" w:color="auto" w:fill="FFFFFF"/>
          <w:lang w:val="en-US"/>
        </w:rPr>
        <w:t>of which</w:t>
      </w:r>
      <w:r w:rsidR="001E7171" w:rsidRPr="00EA6C7A">
        <w:rPr>
          <w:rFonts w:ascii="Verdana" w:eastAsia="Calibri" w:hAnsi="Verdana" w:cs="Tahoma"/>
          <w:bCs/>
          <w:color w:val="000000"/>
          <w:sz w:val="20"/>
          <w:szCs w:val="20"/>
          <w:shd w:val="clear" w:color="auto" w:fill="FFFFFF"/>
          <w:lang w:val="en-US"/>
        </w:rPr>
        <w:t xml:space="preserve"> the State was already aware regarding the problem of gender violence </w:t>
      </w:r>
      <w:r w:rsidR="00FC7D3B" w:rsidRPr="00EA6C7A">
        <w:rPr>
          <w:rFonts w:ascii="Verdana" w:eastAsia="Calibri" w:hAnsi="Verdana" w:cs="Tahoma"/>
          <w:bCs/>
          <w:color w:val="000000"/>
          <w:sz w:val="20"/>
          <w:szCs w:val="20"/>
          <w:shd w:val="clear" w:color="auto" w:fill="FFFFFF"/>
          <w:lang w:val="en-US"/>
        </w:rPr>
        <w:t>in Guatemala</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 xml:space="preserve">is essential for understanding the analysis of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u w:val="single"/>
          <w:shd w:val="clear" w:color="auto" w:fill="FFFFFF"/>
          <w:lang w:val="en-US"/>
        </w:rPr>
        <w:t>first moment</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of the</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also referred to in</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the judgment</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as the</w:t>
      </w:r>
      <w:r w:rsidRPr="00EA6C7A">
        <w:rPr>
          <w:rFonts w:ascii="Verdana" w:eastAsia="Calibri" w:hAnsi="Verdana" w:cs="Tahoma"/>
          <w:bCs/>
          <w:color w:val="000000"/>
          <w:sz w:val="20"/>
          <w:szCs w:val="20"/>
          <w:shd w:val="clear" w:color="auto" w:fill="FFFFFF"/>
          <w:lang w:val="en-US"/>
        </w:rPr>
        <w:t xml:space="preserve"> “</w:t>
      </w:r>
      <w:r w:rsidR="0001699C" w:rsidRPr="00EA6C7A">
        <w:rPr>
          <w:rFonts w:ascii="Verdana" w:eastAsia="Calibri" w:hAnsi="Verdana" w:cs="Tahoma"/>
          <w:bCs/>
          <w:color w:val="000000"/>
          <w:sz w:val="20"/>
          <w:szCs w:val="20"/>
          <w:u w:val="single"/>
          <w:shd w:val="clear" w:color="auto" w:fill="FFFFFF"/>
          <w:lang w:val="en-US"/>
        </w:rPr>
        <w:t xml:space="preserve">general obligation to </w:t>
      </w:r>
      <w:r w:rsidR="001E7171" w:rsidRPr="00EA6C7A">
        <w:rPr>
          <w:rFonts w:ascii="Verdana" w:eastAsia="Calibri" w:hAnsi="Verdana" w:cs="Tahoma"/>
          <w:bCs/>
          <w:color w:val="000000"/>
          <w:sz w:val="20"/>
          <w:szCs w:val="20"/>
          <w:u w:val="single"/>
          <w:shd w:val="clear" w:color="auto" w:fill="FFFFFF"/>
          <w:lang w:val="en-US"/>
        </w:rPr>
        <w:t>prevent the</w:t>
      </w:r>
      <w:r w:rsidR="0001699C" w:rsidRPr="00EA6C7A">
        <w:rPr>
          <w:rFonts w:ascii="Verdana" w:eastAsia="Calibri" w:hAnsi="Verdana" w:cs="Tahoma"/>
          <w:bCs/>
          <w:color w:val="000000"/>
          <w:sz w:val="20"/>
          <w:szCs w:val="20"/>
          <w:u w:val="single"/>
          <w:shd w:val="clear" w:color="auto" w:fill="FFFFFF"/>
          <w:lang w:val="en-US"/>
        </w:rPr>
        <w:t xml:space="preserve"> disappearance and murder of women</w:t>
      </w:r>
      <w:r w:rsidRPr="00EA6C7A">
        <w:rPr>
          <w:rFonts w:ascii="Verdana" w:eastAsia="Calibri" w:hAnsi="Verdana" w:cs="Tahoma"/>
          <w:bCs/>
          <w:color w:val="000000"/>
          <w:sz w:val="20"/>
          <w:szCs w:val="20"/>
          <w:u w:val="single"/>
          <w:shd w:val="clear" w:color="auto" w:fill="FFFFFF"/>
          <w:lang w:val="en-US"/>
        </w:rPr>
        <w:t>”</w:t>
      </w:r>
      <w:r w:rsidR="00FC7D3B" w:rsidRPr="00EA6C7A">
        <w:rPr>
          <w:rFonts w:ascii="Verdana" w:eastAsia="Calibri" w:hAnsi="Verdana" w:cs="Tahoma"/>
          <w:bCs/>
          <w:color w:val="000000"/>
          <w:sz w:val="20"/>
          <w:szCs w:val="20"/>
          <w:u w:val="single"/>
          <w:shd w:val="clear" w:color="auto" w:fill="FFFFFF"/>
          <w:lang w:val="en-US"/>
        </w:rPr>
        <w:t xml:space="preserve"> in Guatemala</w:t>
      </w:r>
      <w:r w:rsidRPr="00EA6C7A">
        <w:rPr>
          <w:rFonts w:ascii="Verdana" w:eastAsia="Calibri" w:hAnsi="Verdana" w:cs="Tahoma"/>
          <w:bCs/>
          <w:color w:val="000000"/>
          <w:sz w:val="20"/>
          <w:szCs w:val="20"/>
          <w:shd w:val="clear" w:color="auto" w:fill="FFFFFF"/>
          <w:lang w:val="en-US"/>
        </w:rPr>
        <w:t xml:space="preserve">, </w:t>
      </w:r>
      <w:r w:rsidR="001E7171" w:rsidRPr="00EA6C7A">
        <w:rPr>
          <w:rFonts w:ascii="Verdana" w:eastAsia="Calibri" w:hAnsi="Verdana" w:cs="Tahoma"/>
          <w:bCs/>
          <w:color w:val="000000"/>
          <w:sz w:val="20"/>
          <w:szCs w:val="20"/>
          <w:shd w:val="clear" w:color="auto" w:fill="FFFFFF"/>
          <w:lang w:val="en-US"/>
        </w:rPr>
        <w:t>as will be noted in the following section.</w:t>
      </w:r>
    </w:p>
    <w:p w14:paraId="455DB483"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36E2E5A6" w14:textId="77777777" w:rsidR="00175ABB" w:rsidRPr="00EA6C7A" w:rsidRDefault="00175ABB" w:rsidP="00175ABB">
      <w:pPr>
        <w:spacing w:after="0" w:line="240" w:lineRule="auto"/>
        <w:jc w:val="both"/>
        <w:rPr>
          <w:rFonts w:ascii="Verdana" w:eastAsia="Calibri" w:hAnsi="Verdana" w:cs="Tahoma"/>
          <w:bCs/>
          <w:i/>
          <w:color w:val="000000"/>
          <w:sz w:val="20"/>
          <w:szCs w:val="20"/>
          <w:u w:val="single"/>
          <w:shd w:val="clear" w:color="auto" w:fill="FFFFFF"/>
          <w:lang w:val="en-US"/>
        </w:rPr>
      </w:pPr>
      <w:r w:rsidRPr="00EA6C7A">
        <w:rPr>
          <w:rFonts w:ascii="Verdana" w:eastAsia="Calibri" w:hAnsi="Verdana" w:cs="Tahoma"/>
          <w:bCs/>
          <w:i/>
          <w:color w:val="000000"/>
          <w:sz w:val="20"/>
          <w:szCs w:val="20"/>
          <w:u w:val="single"/>
          <w:shd w:val="clear" w:color="auto" w:fill="FFFFFF"/>
          <w:lang w:val="en-US"/>
        </w:rPr>
        <w:t xml:space="preserve">III.2 </w:t>
      </w:r>
      <w:r w:rsidR="007C280B" w:rsidRPr="00EA6C7A">
        <w:rPr>
          <w:rFonts w:ascii="Verdana" w:eastAsia="Calibri" w:hAnsi="Verdana" w:cs="Tahoma"/>
          <w:bCs/>
          <w:i/>
          <w:color w:val="000000"/>
          <w:sz w:val="20"/>
          <w:szCs w:val="20"/>
          <w:u w:val="single"/>
          <w:shd w:val="clear" w:color="auto" w:fill="FFFFFF"/>
          <w:lang w:val="en-US"/>
        </w:rPr>
        <w:t>The</w:t>
      </w:r>
      <w:r w:rsidRPr="00EA6C7A">
        <w:rPr>
          <w:rFonts w:ascii="Verdana" w:eastAsia="Calibri" w:hAnsi="Verdana" w:cs="Tahoma"/>
          <w:bCs/>
          <w:i/>
          <w:color w:val="000000"/>
          <w:sz w:val="20"/>
          <w:szCs w:val="20"/>
          <w:u w:val="single"/>
          <w:shd w:val="clear" w:color="auto" w:fill="FFFFFF"/>
          <w:lang w:val="en-US"/>
        </w:rPr>
        <w:t xml:space="preserve"> “</w:t>
      </w:r>
      <w:r w:rsidR="007C280B" w:rsidRPr="00EA6C7A">
        <w:rPr>
          <w:rFonts w:ascii="Verdana" w:eastAsia="Calibri" w:hAnsi="Verdana" w:cs="Tahoma"/>
          <w:bCs/>
          <w:i/>
          <w:color w:val="000000"/>
          <w:sz w:val="20"/>
          <w:szCs w:val="20"/>
          <w:u w:val="single"/>
          <w:shd w:val="clear" w:color="auto" w:fill="FFFFFF"/>
          <w:lang w:val="en-US"/>
        </w:rPr>
        <w:t>two moments</w:t>
      </w:r>
      <w:r w:rsidRPr="00EA6C7A">
        <w:rPr>
          <w:rFonts w:ascii="Verdana" w:eastAsia="Calibri" w:hAnsi="Verdana" w:cs="Tahoma"/>
          <w:bCs/>
          <w:i/>
          <w:color w:val="000000"/>
          <w:sz w:val="20"/>
          <w:szCs w:val="20"/>
          <w:u w:val="single"/>
          <w:shd w:val="clear" w:color="auto" w:fill="FFFFFF"/>
          <w:lang w:val="en-US"/>
        </w:rPr>
        <w:t xml:space="preserve">” </w:t>
      </w:r>
      <w:r w:rsidR="007C280B" w:rsidRPr="00EA6C7A">
        <w:rPr>
          <w:rFonts w:ascii="Verdana" w:eastAsia="Calibri" w:hAnsi="Verdana" w:cs="Tahoma"/>
          <w:bCs/>
          <w:i/>
          <w:color w:val="000000"/>
          <w:sz w:val="20"/>
          <w:szCs w:val="20"/>
          <w:u w:val="single"/>
          <w:shd w:val="clear" w:color="auto" w:fill="FFFFFF"/>
          <w:lang w:val="en-US"/>
        </w:rPr>
        <w:t>of the</w:t>
      </w:r>
      <w:r w:rsidRPr="00EA6C7A">
        <w:rPr>
          <w:rFonts w:ascii="Verdana" w:eastAsia="Calibri" w:hAnsi="Verdana" w:cs="Tahoma"/>
          <w:bCs/>
          <w:i/>
          <w:color w:val="000000"/>
          <w:sz w:val="20"/>
          <w:szCs w:val="20"/>
          <w:u w:val="single"/>
          <w:shd w:val="clear" w:color="auto" w:fill="FFFFFF"/>
          <w:lang w:val="en-US"/>
        </w:rPr>
        <w:t xml:space="preserve"> </w:t>
      </w:r>
      <w:r w:rsidR="00D5307F" w:rsidRPr="00EA6C7A">
        <w:rPr>
          <w:rFonts w:ascii="Verdana" w:eastAsia="Calibri" w:hAnsi="Verdana" w:cs="Tahoma"/>
          <w:bCs/>
          <w:i/>
          <w:color w:val="000000"/>
          <w:sz w:val="20"/>
          <w:szCs w:val="20"/>
          <w:u w:val="single"/>
          <w:shd w:val="clear" w:color="auto" w:fill="FFFFFF"/>
          <w:lang w:val="en-US"/>
        </w:rPr>
        <w:t>obligation of prevention</w:t>
      </w:r>
      <w:r w:rsidRPr="00EA6C7A">
        <w:rPr>
          <w:rFonts w:ascii="Verdana" w:eastAsia="Calibri" w:hAnsi="Verdana" w:cs="Tahoma"/>
          <w:bCs/>
          <w:i/>
          <w:color w:val="000000"/>
          <w:sz w:val="20"/>
          <w:szCs w:val="20"/>
          <w:u w:val="single"/>
          <w:shd w:val="clear" w:color="auto" w:fill="FFFFFF"/>
          <w:lang w:val="en-US"/>
        </w:rPr>
        <w:t xml:space="preserve"> </w:t>
      </w:r>
    </w:p>
    <w:p w14:paraId="3990E5E6"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06D0852B"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lastRenderedPageBreak/>
        <w:t xml:space="preserve">40. </w:t>
      </w:r>
      <w:r w:rsidRPr="00EA6C7A">
        <w:rPr>
          <w:rFonts w:ascii="Verdana" w:eastAsia="Calibri" w:hAnsi="Verdana" w:cs="Tahoma"/>
          <w:bCs/>
          <w:color w:val="000000"/>
          <w:sz w:val="20"/>
          <w:szCs w:val="20"/>
          <w:shd w:val="clear" w:color="auto" w:fill="FFFFFF"/>
          <w:lang w:val="en-US"/>
        </w:rPr>
        <w:tab/>
      </w:r>
      <w:r w:rsidR="00A534EF" w:rsidRPr="00EA6C7A">
        <w:rPr>
          <w:rFonts w:ascii="Verdana" w:eastAsia="Calibri" w:hAnsi="Verdana" w:cs="Tahoma"/>
          <w:bCs/>
          <w:color w:val="000000"/>
          <w:sz w:val="20"/>
          <w:szCs w:val="20"/>
          <w:shd w:val="clear" w:color="auto" w:fill="FFFFFF"/>
          <w:lang w:val="en-US"/>
        </w:rPr>
        <w:t xml:space="preserve">To establish non-compliance with the </w:t>
      </w:r>
      <w:r w:rsidR="001951AC" w:rsidRPr="00EA6C7A">
        <w:rPr>
          <w:rFonts w:ascii="Verdana" w:eastAsia="Calibri" w:hAnsi="Verdana" w:cs="Tahoma"/>
          <w:bCs/>
          <w:color w:val="000000"/>
          <w:sz w:val="20"/>
          <w:szCs w:val="20"/>
          <w:shd w:val="clear" w:color="auto" w:fill="FFFFFF"/>
          <w:lang w:val="en-US"/>
        </w:rPr>
        <w:t>obligation</w:t>
      </w:r>
      <w:r w:rsidR="00A534EF" w:rsidRPr="00EA6C7A">
        <w:rPr>
          <w:rFonts w:ascii="Verdana" w:eastAsia="Calibri" w:hAnsi="Verdana" w:cs="Tahoma"/>
          <w:bCs/>
          <w:color w:val="000000"/>
          <w:sz w:val="20"/>
          <w:szCs w:val="20"/>
          <w:shd w:val="clear" w:color="auto" w:fill="FFFFFF"/>
          <w:lang w:val="en-US"/>
        </w:rPr>
        <w:t xml:space="preserve"> to prevent violations of the r</w:t>
      </w:r>
      <w:r w:rsidR="00123BD3" w:rsidRPr="00EA6C7A">
        <w:rPr>
          <w:rFonts w:ascii="Verdana" w:eastAsia="Calibri" w:hAnsi="Verdana" w:cs="Tahoma"/>
          <w:bCs/>
          <w:color w:val="000000"/>
          <w:sz w:val="20"/>
          <w:szCs w:val="20"/>
          <w:shd w:val="clear" w:color="auto" w:fill="FFFFFF"/>
          <w:lang w:val="en-US"/>
        </w:rPr>
        <w:t>ights to life</w:t>
      </w:r>
      <w:r w:rsidRPr="00EA6C7A">
        <w:rPr>
          <w:rFonts w:ascii="Verdana" w:eastAsia="Calibri" w:hAnsi="Verdana" w:cs="Tahoma"/>
          <w:bCs/>
          <w:color w:val="000000"/>
          <w:sz w:val="20"/>
          <w:szCs w:val="20"/>
          <w:shd w:val="clear" w:color="auto" w:fill="FFFFFF"/>
          <w:lang w:val="en-US"/>
        </w:rPr>
        <w:t xml:space="preserve"> </w:t>
      </w:r>
      <w:r w:rsidR="004C1E19" w:rsidRPr="00EA6C7A">
        <w:rPr>
          <w:rFonts w:ascii="Verdana" w:eastAsia="Calibri" w:hAnsi="Verdana" w:cs="Tahoma"/>
          <w:bCs/>
          <w:color w:val="000000"/>
          <w:sz w:val="20"/>
          <w:szCs w:val="20"/>
          <w:shd w:val="clear" w:color="auto" w:fill="FFFFFF"/>
          <w:lang w:val="en-US"/>
        </w:rPr>
        <w:t>and personal</w:t>
      </w:r>
      <w:r w:rsidR="00515C34" w:rsidRPr="00EA6C7A">
        <w:rPr>
          <w:rFonts w:ascii="Verdana" w:eastAsia="Calibri" w:hAnsi="Verdana" w:cs="Tahoma"/>
          <w:bCs/>
          <w:color w:val="000000"/>
          <w:sz w:val="20"/>
          <w:szCs w:val="20"/>
          <w:shd w:val="clear" w:color="auto" w:fill="FFFFFF"/>
          <w:lang w:val="en-US"/>
        </w:rPr>
        <w:t xml:space="preserve"> integrity</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 xml:space="preserve">the </w:t>
      </w:r>
      <w:r w:rsidR="009939AC" w:rsidRPr="00EA6C7A">
        <w:rPr>
          <w:rFonts w:ascii="Verdana" w:eastAsia="Calibri" w:hAnsi="Verdana" w:cs="Tahoma"/>
          <w:bCs/>
          <w:color w:val="000000"/>
          <w:sz w:val="20"/>
          <w:szCs w:val="20"/>
          <w:shd w:val="clear" w:color="auto" w:fill="FFFFFF"/>
          <w:lang w:val="en-US"/>
        </w:rPr>
        <w:t>Court</w:t>
      </w:r>
      <w:r w:rsidRPr="00EA6C7A">
        <w:rPr>
          <w:rFonts w:ascii="Verdana" w:eastAsia="Calibri" w:hAnsi="Verdana" w:cs="Tahoma"/>
          <w:bCs/>
          <w:color w:val="000000"/>
          <w:sz w:val="20"/>
          <w:szCs w:val="20"/>
          <w:shd w:val="clear" w:color="auto" w:fill="FFFFFF"/>
          <w:lang w:val="en-US"/>
        </w:rPr>
        <w:t xml:space="preserve"> </w:t>
      </w:r>
      <w:r w:rsidR="00A534EF" w:rsidRPr="00EA6C7A">
        <w:rPr>
          <w:rFonts w:ascii="Verdana" w:eastAsia="Calibri" w:hAnsi="Verdana" w:cs="Tahoma"/>
          <w:bCs/>
          <w:color w:val="000000"/>
          <w:sz w:val="20"/>
          <w:szCs w:val="20"/>
          <w:shd w:val="clear" w:color="auto" w:fill="FFFFFF"/>
          <w:lang w:val="en-US"/>
        </w:rPr>
        <w:t xml:space="preserve">referred to </w:t>
      </w:r>
      <w:r w:rsidR="007E6E93" w:rsidRPr="00EA6C7A">
        <w:rPr>
          <w:rFonts w:ascii="Verdana" w:eastAsia="Calibri" w:hAnsi="Verdana" w:cs="Tahoma"/>
          <w:bCs/>
          <w:color w:val="000000"/>
          <w:sz w:val="20"/>
          <w:szCs w:val="20"/>
          <w:shd w:val="clear" w:color="auto" w:fill="FFFFFF"/>
          <w:lang w:val="en-US"/>
        </w:rPr>
        <w:t>the case of</w:t>
      </w:r>
      <w:r w:rsidR="00D5307F" w:rsidRPr="00EA6C7A">
        <w:rPr>
          <w:rFonts w:ascii="Verdana" w:eastAsia="Calibri" w:hAnsi="Verdana" w:cs="Tahoma"/>
          <w:bCs/>
          <w:i/>
          <w:color w:val="000000"/>
          <w:sz w:val="20"/>
          <w:szCs w:val="20"/>
          <w:shd w:val="clear" w:color="auto" w:fill="FFFFFF"/>
          <w:lang w:val="en-US"/>
        </w:rPr>
        <w:t xml:space="preserve"> the </w:t>
      </w:r>
      <w:r w:rsidRPr="00EA6C7A">
        <w:rPr>
          <w:rFonts w:ascii="Verdana" w:eastAsia="Calibri" w:hAnsi="Verdana" w:cs="Tahoma"/>
          <w:bCs/>
          <w:i/>
          <w:color w:val="000000"/>
          <w:sz w:val="20"/>
          <w:szCs w:val="20"/>
          <w:shd w:val="clear" w:color="auto" w:fill="FFFFFF"/>
          <w:lang w:val="en-US"/>
        </w:rPr>
        <w:t>Pueblo Bello</w:t>
      </w:r>
      <w:r w:rsidR="00A534EF" w:rsidRPr="00EA6C7A">
        <w:rPr>
          <w:rFonts w:ascii="Verdana" w:eastAsia="Calibri" w:hAnsi="Verdana" w:cs="Tahoma"/>
          <w:bCs/>
          <w:i/>
          <w:color w:val="000000"/>
          <w:sz w:val="20"/>
          <w:szCs w:val="20"/>
          <w:shd w:val="clear" w:color="auto" w:fill="FFFFFF"/>
          <w:lang w:val="en-US"/>
        </w:rPr>
        <w:t xml:space="preserve"> Massacre</w:t>
      </w:r>
      <w:r w:rsidRPr="00EA6C7A">
        <w:rPr>
          <w:rFonts w:ascii="Verdana" w:eastAsia="Calibri" w:hAnsi="Verdana" w:cs="Tahoma"/>
          <w:bCs/>
          <w:i/>
          <w:color w:val="000000"/>
          <w:sz w:val="20"/>
          <w:szCs w:val="20"/>
          <w:shd w:val="clear" w:color="auto" w:fill="FFFFFF"/>
          <w:lang w:val="en-US"/>
        </w:rPr>
        <w:t xml:space="preserve"> </w:t>
      </w:r>
      <w:r w:rsidR="001914FC" w:rsidRPr="00EA6C7A">
        <w:rPr>
          <w:rFonts w:ascii="Verdana" w:eastAsia="Calibri" w:hAnsi="Verdana" w:cs="Tahoma"/>
          <w:bCs/>
          <w:i/>
          <w:color w:val="000000"/>
          <w:sz w:val="20"/>
          <w:szCs w:val="20"/>
          <w:shd w:val="clear" w:color="auto" w:fill="FFFFFF"/>
          <w:lang w:val="en-US"/>
        </w:rPr>
        <w:t>v.</w:t>
      </w:r>
      <w:r w:rsidRPr="00EA6C7A">
        <w:rPr>
          <w:rFonts w:ascii="Verdana" w:eastAsia="Calibri" w:hAnsi="Verdana" w:cs="Tahoma"/>
          <w:bCs/>
          <w:i/>
          <w:color w:val="000000"/>
          <w:sz w:val="20"/>
          <w:szCs w:val="20"/>
          <w:shd w:val="clear" w:color="auto" w:fill="FFFFFF"/>
          <w:lang w:val="en-US"/>
        </w:rPr>
        <w:t xml:space="preserve"> Colombia,</w:t>
      </w:r>
      <w:r w:rsidRPr="00EA6C7A">
        <w:rPr>
          <w:rFonts w:ascii="Verdana" w:eastAsia="Calibri" w:hAnsi="Verdana" w:cs="Tahoma"/>
          <w:bCs/>
          <w:color w:val="000000"/>
          <w:sz w:val="20"/>
          <w:szCs w:val="20"/>
          <w:shd w:val="clear" w:color="auto" w:fill="FFFFFF"/>
          <w:lang w:val="en-US"/>
        </w:rPr>
        <w:t xml:space="preserve"> </w:t>
      </w:r>
      <w:r w:rsidR="00A534EF" w:rsidRPr="00EA6C7A">
        <w:rPr>
          <w:rFonts w:ascii="Verdana" w:eastAsia="Calibri" w:hAnsi="Verdana" w:cs="Tahoma"/>
          <w:bCs/>
          <w:color w:val="000000"/>
          <w:sz w:val="20"/>
          <w:szCs w:val="20"/>
          <w:shd w:val="clear" w:color="auto" w:fill="FFFFFF"/>
          <w:lang w:val="en-US"/>
        </w:rPr>
        <w:t xml:space="preserve">to </w:t>
      </w:r>
      <w:r w:rsidR="001951AC" w:rsidRPr="00EA6C7A">
        <w:rPr>
          <w:rFonts w:ascii="Verdana" w:eastAsia="Calibri" w:hAnsi="Verdana" w:cs="Tahoma"/>
          <w:bCs/>
          <w:color w:val="000000"/>
          <w:sz w:val="20"/>
          <w:szCs w:val="20"/>
          <w:shd w:val="clear" w:color="auto" w:fill="FFFFFF"/>
          <w:lang w:val="en-US"/>
        </w:rPr>
        <w:t>indicate</w:t>
      </w:r>
      <w:r w:rsidR="00A534EF" w:rsidRPr="00EA6C7A">
        <w:rPr>
          <w:rFonts w:ascii="Verdana" w:eastAsia="Calibri" w:hAnsi="Verdana" w:cs="Tahoma"/>
          <w:bCs/>
          <w:color w:val="000000"/>
          <w:sz w:val="20"/>
          <w:szCs w:val="20"/>
          <w:shd w:val="clear" w:color="auto" w:fill="FFFFFF"/>
          <w:lang w:val="en-US"/>
        </w:rPr>
        <w:t xml:space="preserve"> the factors that </w:t>
      </w:r>
      <w:r w:rsidR="001951AC" w:rsidRPr="00EA6C7A">
        <w:rPr>
          <w:rFonts w:ascii="Verdana" w:eastAsia="Calibri" w:hAnsi="Verdana" w:cs="Tahoma"/>
          <w:bCs/>
          <w:color w:val="000000"/>
          <w:sz w:val="20"/>
          <w:szCs w:val="20"/>
          <w:shd w:val="clear" w:color="auto" w:fill="FFFFFF"/>
          <w:lang w:val="en-US"/>
        </w:rPr>
        <w:t>must</w:t>
      </w:r>
      <w:r w:rsidR="00A534EF" w:rsidRPr="00EA6C7A">
        <w:rPr>
          <w:rFonts w:ascii="Verdana" w:eastAsia="Calibri" w:hAnsi="Verdana" w:cs="Tahoma"/>
          <w:bCs/>
          <w:color w:val="000000"/>
          <w:sz w:val="20"/>
          <w:szCs w:val="20"/>
          <w:shd w:val="clear" w:color="auto" w:fill="FFFFFF"/>
          <w:lang w:val="en-US"/>
        </w:rPr>
        <w:t xml:space="preserve"> be verified as regards the obligation of prevention, </w:t>
      </w:r>
      <w:r w:rsidR="001951AC" w:rsidRPr="00EA6C7A">
        <w:rPr>
          <w:rFonts w:ascii="Verdana" w:eastAsia="Calibri" w:hAnsi="Verdana" w:cs="Tahoma"/>
          <w:bCs/>
          <w:color w:val="000000"/>
          <w:sz w:val="20"/>
          <w:szCs w:val="20"/>
          <w:shd w:val="clear" w:color="auto" w:fill="FFFFFF"/>
          <w:lang w:val="en-US"/>
        </w:rPr>
        <w:t>which were</w:t>
      </w:r>
      <w:r w:rsidR="00A534EF" w:rsidRPr="00EA6C7A">
        <w:rPr>
          <w:rFonts w:ascii="Verdana" w:eastAsia="Calibri" w:hAnsi="Verdana" w:cs="Tahoma"/>
          <w:bCs/>
          <w:color w:val="000000"/>
          <w:sz w:val="20"/>
          <w:szCs w:val="20"/>
          <w:shd w:val="clear" w:color="auto" w:fill="FFFFFF"/>
          <w:lang w:val="en-US"/>
        </w:rPr>
        <w:t xml:space="preserve"> the State’s awareness of the real and immediate </w:t>
      </w:r>
      <w:r w:rsidR="001951AC" w:rsidRPr="00EA6C7A">
        <w:rPr>
          <w:rFonts w:ascii="Verdana" w:eastAsia="Calibri" w:hAnsi="Verdana" w:cs="Tahoma"/>
          <w:bCs/>
          <w:color w:val="000000"/>
          <w:sz w:val="20"/>
          <w:szCs w:val="20"/>
          <w:shd w:val="clear" w:color="auto" w:fill="FFFFFF"/>
          <w:lang w:val="en-US"/>
        </w:rPr>
        <w:t>risk</w:t>
      </w:r>
      <w:r w:rsidR="00A534EF" w:rsidRPr="00EA6C7A">
        <w:rPr>
          <w:rFonts w:ascii="Verdana" w:eastAsia="Calibri" w:hAnsi="Verdana" w:cs="Tahoma"/>
          <w:bCs/>
          <w:color w:val="000000"/>
          <w:sz w:val="20"/>
          <w:szCs w:val="20"/>
          <w:shd w:val="clear" w:color="auto" w:fill="FFFFFF"/>
          <w:lang w:val="en-US"/>
        </w:rPr>
        <w:t xml:space="preserve"> for those rights, and the adoption of measures by the authorities to prevent or avoid that </w:t>
      </w:r>
      <w:r w:rsidR="001951AC" w:rsidRPr="00EA6C7A">
        <w:rPr>
          <w:rFonts w:ascii="Verdana" w:eastAsia="Calibri" w:hAnsi="Verdana" w:cs="Tahoma"/>
          <w:bCs/>
          <w:color w:val="000000"/>
          <w:sz w:val="20"/>
          <w:szCs w:val="20"/>
          <w:shd w:val="clear" w:color="auto" w:fill="FFFFFF"/>
          <w:lang w:val="en-US"/>
        </w:rPr>
        <w:t>risk</w:t>
      </w:r>
      <w:r w:rsidR="00A534EF"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39"/>
      </w:r>
      <w:r w:rsidRPr="00EA6C7A">
        <w:rPr>
          <w:rFonts w:ascii="Verdana" w:eastAsia="Calibri" w:hAnsi="Verdana" w:cs="Tahoma"/>
          <w:bCs/>
          <w:color w:val="000000"/>
          <w:sz w:val="20"/>
          <w:szCs w:val="20"/>
          <w:shd w:val="clear" w:color="auto" w:fill="FFFFFF"/>
          <w:lang w:val="en-US"/>
        </w:rPr>
        <w:t xml:space="preserve"> </w:t>
      </w:r>
      <w:r w:rsidR="00A534EF" w:rsidRPr="00EA6C7A">
        <w:rPr>
          <w:rFonts w:ascii="Verdana" w:eastAsia="Calibri" w:hAnsi="Verdana" w:cs="Tahoma"/>
          <w:bCs/>
          <w:color w:val="000000"/>
          <w:sz w:val="20"/>
          <w:szCs w:val="20"/>
          <w:shd w:val="clear" w:color="auto" w:fill="FFFFFF"/>
          <w:lang w:val="en-US"/>
        </w:rPr>
        <w:t>Subsequently</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the Inter-American Court</w:t>
      </w:r>
      <w:r w:rsidRPr="00EA6C7A">
        <w:rPr>
          <w:rFonts w:ascii="Verdana" w:eastAsia="Calibri" w:hAnsi="Verdana" w:cs="Tahoma"/>
          <w:bCs/>
          <w:color w:val="000000"/>
          <w:sz w:val="20"/>
          <w:szCs w:val="20"/>
          <w:shd w:val="clear" w:color="auto" w:fill="FFFFFF"/>
          <w:lang w:val="en-US"/>
        </w:rPr>
        <w:t xml:space="preserve"> </w:t>
      </w:r>
      <w:r w:rsidR="00A534EF" w:rsidRPr="00EA6C7A">
        <w:rPr>
          <w:rFonts w:ascii="Verdana" w:eastAsia="Calibri" w:hAnsi="Verdana" w:cs="Tahoma"/>
          <w:bCs/>
          <w:color w:val="000000"/>
          <w:sz w:val="20"/>
          <w:szCs w:val="20"/>
          <w:shd w:val="clear" w:color="auto" w:fill="FFFFFF"/>
          <w:lang w:val="en-US"/>
        </w:rPr>
        <w:t xml:space="preserve">repeated the </w:t>
      </w:r>
      <w:r w:rsidR="001951AC" w:rsidRPr="00EA6C7A">
        <w:rPr>
          <w:rFonts w:ascii="Verdana" w:eastAsia="Calibri" w:hAnsi="Verdana" w:cs="Tahoma"/>
          <w:bCs/>
          <w:color w:val="000000"/>
          <w:sz w:val="20"/>
          <w:szCs w:val="20"/>
          <w:shd w:val="clear" w:color="auto" w:fill="FFFFFF"/>
          <w:lang w:val="en-US"/>
        </w:rPr>
        <w:t>criterion</w:t>
      </w:r>
      <w:r w:rsidR="00A534EF" w:rsidRPr="00EA6C7A">
        <w:rPr>
          <w:rFonts w:ascii="Verdana" w:eastAsia="Calibri" w:hAnsi="Verdana" w:cs="Tahoma"/>
          <w:bCs/>
          <w:color w:val="000000"/>
          <w:sz w:val="20"/>
          <w:szCs w:val="20"/>
          <w:shd w:val="clear" w:color="auto" w:fill="FFFFFF"/>
          <w:lang w:val="en-US"/>
        </w:rPr>
        <w:t xml:space="preserve"> of the</w:t>
      </w:r>
      <w:r w:rsidRPr="00EA6C7A">
        <w:rPr>
          <w:rFonts w:ascii="Verdana" w:eastAsia="Calibri" w:hAnsi="Verdana" w:cs="Tahoma"/>
          <w:bCs/>
          <w:color w:val="000000"/>
          <w:sz w:val="20"/>
          <w:szCs w:val="20"/>
          <w:shd w:val="clear" w:color="auto" w:fill="FFFFFF"/>
          <w:lang w:val="en-US"/>
        </w:rPr>
        <w:t xml:space="preserve"> “</w:t>
      </w:r>
      <w:r w:rsidR="007C280B" w:rsidRPr="00EA6C7A">
        <w:rPr>
          <w:rFonts w:ascii="Verdana" w:eastAsia="Calibri" w:hAnsi="Verdana" w:cs="Tahoma"/>
          <w:bCs/>
          <w:color w:val="000000"/>
          <w:sz w:val="20"/>
          <w:szCs w:val="20"/>
          <w:shd w:val="clear" w:color="auto" w:fill="FFFFFF"/>
          <w:lang w:val="en-US"/>
        </w:rPr>
        <w:t>two moments</w:t>
      </w:r>
      <w:r w:rsidRPr="00EA6C7A">
        <w:rPr>
          <w:rFonts w:ascii="Verdana" w:eastAsia="Calibri" w:hAnsi="Verdana" w:cs="Tahoma"/>
          <w:bCs/>
          <w:color w:val="000000"/>
          <w:sz w:val="20"/>
          <w:szCs w:val="20"/>
          <w:shd w:val="clear" w:color="auto" w:fill="FFFFFF"/>
          <w:lang w:val="en-US"/>
        </w:rPr>
        <w:t>”</w:t>
      </w:r>
      <w:r w:rsidR="00A534EF" w:rsidRPr="00EA6C7A">
        <w:rPr>
          <w:rFonts w:ascii="Verdana" w:eastAsia="Calibri" w:hAnsi="Verdana" w:cs="Tahoma"/>
          <w:bCs/>
          <w:color w:val="000000"/>
          <w:sz w:val="20"/>
          <w:szCs w:val="20"/>
          <w:shd w:val="clear" w:color="auto" w:fill="FFFFFF"/>
          <w:lang w:val="en-US"/>
        </w:rPr>
        <w:t xml:space="preserve"> of the obligation</w:t>
      </w:r>
      <w:r w:rsidR="00D5307F" w:rsidRPr="00EA6C7A">
        <w:rPr>
          <w:rFonts w:ascii="Verdana" w:eastAsia="Calibri" w:hAnsi="Verdana" w:cs="Tahoma"/>
          <w:bCs/>
          <w:color w:val="000000"/>
          <w:sz w:val="20"/>
          <w:szCs w:val="20"/>
          <w:shd w:val="clear" w:color="auto" w:fill="FFFFFF"/>
          <w:lang w:val="en-US"/>
        </w:rPr>
        <w:t xml:space="preserve"> of prevention</w:t>
      </w:r>
      <w:r w:rsidR="00A534EF" w:rsidRPr="00EA6C7A">
        <w:rPr>
          <w:rFonts w:ascii="Verdana" w:eastAsia="Calibri" w:hAnsi="Verdana" w:cs="Tahoma"/>
          <w:bCs/>
          <w:color w:val="000000"/>
          <w:sz w:val="20"/>
          <w:szCs w:val="20"/>
          <w:shd w:val="clear" w:color="auto" w:fill="FFFFFF"/>
          <w:lang w:val="en-US"/>
        </w:rPr>
        <w:t xml:space="preserve"> in the</w:t>
      </w:r>
      <w:r w:rsidR="001951AC" w:rsidRPr="00EA6C7A">
        <w:rPr>
          <w:rFonts w:ascii="Verdana" w:eastAsia="Calibri" w:hAnsi="Verdana" w:cs="Tahoma"/>
          <w:bCs/>
          <w:color w:val="000000"/>
          <w:sz w:val="20"/>
          <w:szCs w:val="20"/>
          <w:shd w:val="clear" w:color="auto" w:fill="FFFFFF"/>
          <w:lang w:val="en-US"/>
        </w:rPr>
        <w:t xml:space="preserve"> present</w:t>
      </w:r>
      <w:r w:rsidR="00A534EF" w:rsidRPr="00EA6C7A">
        <w:rPr>
          <w:rFonts w:ascii="Verdana" w:eastAsia="Calibri" w:hAnsi="Verdana" w:cs="Tahoma"/>
          <w:bCs/>
          <w:color w:val="000000"/>
          <w:sz w:val="20"/>
          <w:szCs w:val="20"/>
          <w:shd w:val="clear" w:color="auto" w:fill="FFFFFF"/>
          <w:lang w:val="en-US"/>
        </w:rPr>
        <w:t xml:space="preserve"> judgment</w:t>
      </w:r>
      <w:r w:rsidRPr="00EA6C7A">
        <w:rPr>
          <w:rFonts w:ascii="Verdana" w:eastAsia="Calibri" w:hAnsi="Verdana" w:cs="Tahoma"/>
          <w:bCs/>
          <w:color w:val="000000"/>
          <w:sz w:val="20"/>
          <w:szCs w:val="20"/>
          <w:shd w:val="clear" w:color="auto" w:fill="FFFFFF"/>
          <w:lang w:val="en-US"/>
        </w:rPr>
        <w:t>, indica</w:t>
      </w:r>
      <w:r w:rsidR="00A534EF" w:rsidRPr="00EA6C7A">
        <w:rPr>
          <w:rFonts w:ascii="Verdana" w:eastAsia="Calibri" w:hAnsi="Verdana" w:cs="Tahoma"/>
          <w:bCs/>
          <w:color w:val="000000"/>
          <w:sz w:val="20"/>
          <w:szCs w:val="20"/>
          <w:shd w:val="clear" w:color="auto" w:fill="FFFFFF"/>
          <w:lang w:val="en-US"/>
        </w:rPr>
        <w:t xml:space="preserve">ting </w:t>
      </w:r>
      <w:r w:rsidR="005C3073" w:rsidRPr="00EA6C7A">
        <w:rPr>
          <w:rFonts w:ascii="Verdana" w:eastAsia="Calibri" w:hAnsi="Verdana" w:cs="Tahoma"/>
          <w:bCs/>
          <w:color w:val="000000"/>
          <w:sz w:val="20"/>
          <w:szCs w:val="20"/>
          <w:shd w:val="clear" w:color="auto" w:fill="FFFFFF"/>
          <w:lang w:val="en-US"/>
        </w:rPr>
        <w:t>that this must be analyzed</w:t>
      </w:r>
      <w:r w:rsidR="00A534EF" w:rsidRPr="00EA6C7A">
        <w:rPr>
          <w:rFonts w:ascii="Verdana" w:eastAsia="Calibri" w:hAnsi="Verdana" w:cs="Tahoma"/>
          <w:bCs/>
          <w:color w:val="000000"/>
          <w:sz w:val="20"/>
          <w:szCs w:val="20"/>
          <w:shd w:val="clear" w:color="auto" w:fill="FFFFFF"/>
          <w:lang w:val="en-US"/>
        </w:rPr>
        <w:t xml:space="preserve"> with regard to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w:t>
      </w:r>
      <w:r w:rsidR="0001699C" w:rsidRPr="00EA6C7A">
        <w:rPr>
          <w:rFonts w:ascii="Verdana" w:eastAsia="Calibri" w:hAnsi="Verdana" w:cs="Tahoma"/>
          <w:bCs/>
          <w:color w:val="000000"/>
          <w:sz w:val="20"/>
          <w:szCs w:val="20"/>
          <w:shd w:val="clear" w:color="auto" w:fill="FFFFFF"/>
          <w:lang w:val="en-US"/>
        </w:rPr>
        <w:t>before the disappearance</w:t>
      </w:r>
      <w:r w:rsidRPr="00EA6C7A">
        <w:rPr>
          <w:rFonts w:ascii="Verdana" w:eastAsia="Calibri" w:hAnsi="Verdana" w:cs="Tahoma"/>
          <w:bCs/>
          <w:color w:val="000000"/>
          <w:sz w:val="20"/>
          <w:szCs w:val="20"/>
          <w:shd w:val="clear" w:color="auto" w:fill="FFFFFF"/>
          <w:lang w:val="en-US"/>
        </w:rPr>
        <w:t xml:space="preserve"> Claudina Velásquez: </w:t>
      </w:r>
      <w:r w:rsidR="0001699C" w:rsidRPr="00EA6C7A">
        <w:rPr>
          <w:rFonts w:ascii="Verdana" w:eastAsia="Calibri" w:hAnsi="Verdana" w:cs="Tahoma"/>
          <w:bCs/>
          <w:color w:val="000000"/>
          <w:sz w:val="20"/>
          <w:szCs w:val="20"/>
          <w:shd w:val="clear" w:color="auto" w:fill="FFFFFF"/>
          <w:lang w:val="en-US"/>
        </w:rPr>
        <w:t xml:space="preserve">general obligation to </w:t>
      </w:r>
      <w:r w:rsidR="001E7171" w:rsidRPr="00EA6C7A">
        <w:rPr>
          <w:rFonts w:ascii="Verdana" w:eastAsia="Calibri" w:hAnsi="Verdana" w:cs="Tahoma"/>
          <w:bCs/>
          <w:color w:val="000000"/>
          <w:sz w:val="20"/>
          <w:szCs w:val="20"/>
          <w:shd w:val="clear" w:color="auto" w:fill="FFFFFF"/>
          <w:lang w:val="en-US"/>
        </w:rPr>
        <w:t>prevent the</w:t>
      </w:r>
      <w:r w:rsidR="0001699C" w:rsidRPr="00EA6C7A">
        <w:rPr>
          <w:rFonts w:ascii="Verdana" w:eastAsia="Calibri" w:hAnsi="Verdana" w:cs="Tahoma"/>
          <w:bCs/>
          <w:color w:val="000000"/>
          <w:sz w:val="20"/>
          <w:szCs w:val="20"/>
          <w:shd w:val="clear" w:color="auto" w:fill="FFFFFF"/>
          <w:lang w:val="en-US"/>
        </w:rPr>
        <w:t xml:space="preserve"> disappearance and murder of women</w:t>
      </w:r>
      <w:r w:rsidRPr="00EA6C7A">
        <w:rPr>
          <w:rFonts w:ascii="Verdana" w:eastAsia="Calibri" w:hAnsi="Verdana" w:cs="Tahoma"/>
          <w:bCs/>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and</w:t>
      </w:r>
      <w:r w:rsidR="005C3073" w:rsidRPr="00EA6C7A">
        <w:rPr>
          <w:rFonts w:ascii="Verdana" w:eastAsia="Calibri" w:hAnsi="Verdana" w:cs="Tahoma"/>
          <w:bCs/>
          <w:color w:val="000000"/>
          <w:sz w:val="20"/>
          <w:szCs w:val="20"/>
          <w:shd w:val="clear" w:color="auto" w:fill="FFFFFF"/>
          <w:lang w:val="en-US"/>
        </w:rPr>
        <w:t xml:space="preserve"> </w:t>
      </w:r>
      <w:r w:rsidR="00A534EF" w:rsidRPr="00EA6C7A">
        <w:rPr>
          <w:rFonts w:ascii="Verdana" w:eastAsia="Calibri" w:hAnsi="Verdana" w:cs="Tahoma"/>
          <w:bCs/>
          <w:color w:val="000000"/>
          <w:sz w:val="20"/>
          <w:szCs w:val="20"/>
          <w:shd w:val="clear" w:color="auto" w:fill="FFFFFF"/>
          <w:lang w:val="en-US"/>
        </w:rPr>
        <w:t>the</w:t>
      </w:r>
      <w:r w:rsidRPr="00EA6C7A">
        <w:rPr>
          <w:rFonts w:ascii="Verdana" w:eastAsia="Calibri" w:hAnsi="Verdana" w:cs="Tahoma"/>
          <w:bCs/>
          <w:color w:val="000000"/>
          <w:sz w:val="20"/>
          <w:szCs w:val="20"/>
          <w:shd w:val="clear" w:color="auto" w:fill="FFFFFF"/>
          <w:lang w:val="en-US"/>
        </w:rPr>
        <w:t xml:space="preserve"> “</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 (</w:t>
      </w:r>
      <w:r w:rsidR="00A534EF" w:rsidRPr="00EA6C7A">
        <w:rPr>
          <w:rFonts w:ascii="Verdana" w:eastAsia="Calibri" w:hAnsi="Verdana" w:cs="Tahoma"/>
          <w:bCs/>
          <w:color w:val="000000"/>
          <w:sz w:val="20"/>
          <w:szCs w:val="20"/>
          <w:shd w:val="clear" w:color="auto" w:fill="FFFFFF"/>
          <w:lang w:val="en-US"/>
        </w:rPr>
        <w:t xml:space="preserve">before the discovery of the body of </w:t>
      </w:r>
      <w:r w:rsidRPr="00EA6C7A">
        <w:rPr>
          <w:rFonts w:ascii="Verdana" w:eastAsia="Calibri" w:hAnsi="Verdana" w:cs="Tahoma"/>
          <w:bCs/>
          <w:color w:val="000000"/>
          <w:sz w:val="20"/>
          <w:szCs w:val="20"/>
          <w:shd w:val="clear" w:color="auto" w:fill="FFFFFF"/>
          <w:lang w:val="en-US"/>
        </w:rPr>
        <w:t xml:space="preserve">Claudina Velásquez: </w:t>
      </w:r>
      <w:r w:rsidR="004D0B0A" w:rsidRPr="00EA6C7A">
        <w:rPr>
          <w:rFonts w:ascii="Verdana" w:eastAsia="Calibri" w:hAnsi="Verdana" w:cs="Tahoma"/>
          <w:bCs/>
          <w:color w:val="000000"/>
          <w:sz w:val="20"/>
          <w:szCs w:val="20"/>
          <w:shd w:val="clear" w:color="auto" w:fill="FFFFFF"/>
          <w:lang w:val="en-US"/>
        </w:rPr>
        <w:t>specific obligation to prevent violations of the rights to integrity and life of</w:t>
      </w:r>
      <w:r w:rsidRPr="00EA6C7A">
        <w:rPr>
          <w:rFonts w:ascii="Verdana" w:eastAsia="Calibri" w:hAnsi="Verdana" w:cs="Tahoma"/>
          <w:bCs/>
          <w:color w:val="000000"/>
          <w:sz w:val="20"/>
          <w:szCs w:val="20"/>
          <w:shd w:val="clear" w:color="auto" w:fill="FFFFFF"/>
          <w:lang w:val="en-US"/>
        </w:rPr>
        <w:t xml:space="preserve"> Claudina Velásquez”), </w:t>
      </w:r>
      <w:r w:rsidR="00C87A3B" w:rsidRPr="00EA6C7A">
        <w:rPr>
          <w:rFonts w:ascii="Verdana" w:eastAsia="Calibri" w:hAnsi="Verdana" w:cs="Tahoma"/>
          <w:bCs/>
          <w:color w:val="000000"/>
          <w:sz w:val="20"/>
          <w:szCs w:val="20"/>
          <w:shd w:val="clear" w:color="auto" w:fill="FFFFFF"/>
          <w:lang w:val="en-US"/>
        </w:rPr>
        <w:t xml:space="preserve">in order </w:t>
      </w:r>
      <w:r w:rsidR="00A534EF" w:rsidRPr="00EA6C7A">
        <w:rPr>
          <w:rFonts w:ascii="Verdana" w:eastAsia="Calibri" w:hAnsi="Verdana" w:cs="Tahoma"/>
          <w:bCs/>
          <w:color w:val="000000"/>
          <w:sz w:val="20"/>
          <w:szCs w:val="20"/>
          <w:shd w:val="clear" w:color="auto" w:fill="FFFFFF"/>
          <w:lang w:val="en-US"/>
        </w:rPr>
        <w:t>to corroborate the existence of Guatemala’s international responsibility.</w:t>
      </w:r>
      <w:r w:rsidRPr="00EA6C7A">
        <w:rPr>
          <w:rFonts w:ascii="Verdana" w:eastAsia="Calibri" w:hAnsi="Verdana" w:cs="Tahoma"/>
          <w:bCs/>
          <w:color w:val="000000"/>
          <w:sz w:val="20"/>
          <w:szCs w:val="20"/>
          <w:shd w:val="clear" w:color="auto" w:fill="FFFFFF"/>
          <w:vertAlign w:val="superscript"/>
          <w:lang w:val="en-US"/>
        </w:rPr>
        <w:footnoteReference w:id="440"/>
      </w:r>
    </w:p>
    <w:p w14:paraId="08918995"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5257CD21"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41. </w:t>
      </w:r>
      <w:r w:rsidRPr="00EA6C7A">
        <w:rPr>
          <w:rFonts w:ascii="Verdana" w:eastAsia="Calibri" w:hAnsi="Verdana" w:cs="Tahoma"/>
          <w:bCs/>
          <w:color w:val="000000"/>
          <w:sz w:val="20"/>
          <w:szCs w:val="20"/>
          <w:shd w:val="clear" w:color="auto" w:fill="FFFFFF"/>
          <w:lang w:val="en-US"/>
        </w:rPr>
        <w:tab/>
      </w:r>
      <w:r w:rsidR="00A534EF" w:rsidRPr="00EA6C7A">
        <w:rPr>
          <w:rFonts w:ascii="Verdana" w:eastAsia="Calibri" w:hAnsi="Verdana" w:cs="Tahoma"/>
          <w:bCs/>
          <w:color w:val="000000"/>
          <w:sz w:val="20"/>
          <w:szCs w:val="20"/>
          <w:shd w:val="clear" w:color="auto" w:fill="FFFFFF"/>
          <w:lang w:val="en-US"/>
        </w:rPr>
        <w:t>Regarding the</w:t>
      </w:r>
      <w:r w:rsidRPr="00EA6C7A">
        <w:rPr>
          <w:rFonts w:ascii="Verdana" w:eastAsia="Calibri" w:hAnsi="Verdana" w:cs="Tahoma"/>
          <w:bCs/>
          <w:color w:val="000000"/>
          <w:sz w:val="20"/>
          <w:szCs w:val="20"/>
          <w:shd w:val="clear" w:color="auto" w:fill="FFFFFF"/>
          <w:lang w:val="en-US"/>
        </w:rPr>
        <w:t xml:space="preserve"> “</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w:t>
      </w:r>
      <w:r w:rsidR="00A534EF" w:rsidRPr="00EA6C7A">
        <w:rPr>
          <w:rFonts w:ascii="Verdana" w:eastAsia="Calibri" w:hAnsi="Verdana" w:cs="Tahoma"/>
          <w:bCs/>
          <w:color w:val="000000"/>
          <w:sz w:val="20"/>
          <w:szCs w:val="20"/>
          <w:shd w:val="clear" w:color="auto" w:fill="FFFFFF"/>
          <w:lang w:val="en-US"/>
        </w:rPr>
        <w:t xml:space="preserve"> </w:t>
      </w:r>
      <w:r w:rsidR="0001699C" w:rsidRPr="00EA6C7A">
        <w:rPr>
          <w:rFonts w:ascii="Verdana" w:eastAsia="Calibri" w:hAnsi="Verdana" w:cs="Tahoma"/>
          <w:bCs/>
          <w:color w:val="000000"/>
          <w:sz w:val="20"/>
          <w:szCs w:val="20"/>
          <w:shd w:val="clear" w:color="auto" w:fill="FFFFFF"/>
          <w:lang w:val="en-US"/>
        </w:rPr>
        <w:t>before the disappearance</w:t>
      </w:r>
      <w:r w:rsidRPr="00EA6C7A">
        <w:rPr>
          <w:rFonts w:ascii="Verdana" w:eastAsia="Calibri" w:hAnsi="Verdana" w:cs="Tahoma"/>
          <w:bCs/>
          <w:color w:val="000000"/>
          <w:sz w:val="20"/>
          <w:szCs w:val="20"/>
          <w:shd w:val="clear" w:color="auto" w:fill="FFFFFF"/>
          <w:lang w:val="en-US"/>
        </w:rPr>
        <w:t xml:space="preserve"> Claudina Velásquez</w:t>
      </w:r>
      <w:r w:rsidR="00A534EF"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w:t>
      </w:r>
      <w:r w:rsidR="00A534EF" w:rsidRPr="00EA6C7A">
        <w:rPr>
          <w:rFonts w:ascii="Verdana" w:eastAsia="Calibri" w:hAnsi="Verdana" w:cs="Tahoma"/>
          <w:bCs/>
          <w:color w:val="000000"/>
          <w:sz w:val="20"/>
          <w:szCs w:val="20"/>
          <w:shd w:val="clear" w:color="auto" w:fill="FFFFFF"/>
          <w:lang w:val="en-US"/>
        </w:rPr>
        <w:t xml:space="preserve"> I consider it </w:t>
      </w:r>
      <w:r w:rsidR="00671A06" w:rsidRPr="00EA6C7A">
        <w:rPr>
          <w:rFonts w:ascii="Verdana" w:eastAsia="Calibri" w:hAnsi="Verdana" w:cs="Tahoma"/>
          <w:bCs/>
          <w:color w:val="000000"/>
          <w:sz w:val="20"/>
          <w:szCs w:val="20"/>
          <w:shd w:val="clear" w:color="auto" w:fill="FFFFFF"/>
          <w:lang w:val="en-US"/>
        </w:rPr>
        <w:t>pertinent</w:t>
      </w:r>
      <w:r w:rsidR="00A534EF" w:rsidRPr="00EA6C7A">
        <w:rPr>
          <w:rFonts w:ascii="Verdana" w:eastAsia="Calibri" w:hAnsi="Verdana" w:cs="Tahoma"/>
          <w:bCs/>
          <w:color w:val="000000"/>
          <w:sz w:val="20"/>
          <w:szCs w:val="20"/>
          <w:shd w:val="clear" w:color="auto" w:fill="FFFFFF"/>
          <w:lang w:val="en-US"/>
        </w:rPr>
        <w:t xml:space="preserve"> to underline the Court’s analysis regarding the existence, in 2001, of a context of an escalation of </w:t>
      </w:r>
      <w:r w:rsidR="00812408" w:rsidRPr="00EA6C7A">
        <w:rPr>
          <w:rFonts w:ascii="Verdana" w:eastAsia="Calibri" w:hAnsi="Verdana" w:cs="Tahoma"/>
          <w:bCs/>
          <w:color w:val="000000"/>
          <w:sz w:val="20"/>
          <w:szCs w:val="20"/>
          <w:shd w:val="clear" w:color="auto" w:fill="FFFFFF"/>
          <w:lang w:val="en-US"/>
        </w:rPr>
        <w:t>homicidal violence</w:t>
      </w:r>
      <w:r w:rsidRPr="00EA6C7A">
        <w:rPr>
          <w:rFonts w:ascii="Verdana" w:eastAsia="Calibri" w:hAnsi="Verdana" w:cs="Tahoma"/>
          <w:bCs/>
          <w:color w:val="000000"/>
          <w:sz w:val="20"/>
          <w:szCs w:val="20"/>
          <w:shd w:val="clear" w:color="auto" w:fill="FFFFFF"/>
          <w:lang w:val="en-US"/>
        </w:rPr>
        <w:t xml:space="preserve"> </w:t>
      </w:r>
      <w:r w:rsidR="00A534EF" w:rsidRPr="00EA6C7A">
        <w:rPr>
          <w:rFonts w:ascii="Verdana" w:eastAsia="Calibri" w:hAnsi="Verdana" w:cs="Tahoma"/>
          <w:bCs/>
          <w:color w:val="000000"/>
          <w:sz w:val="20"/>
          <w:szCs w:val="20"/>
          <w:shd w:val="clear" w:color="auto" w:fill="FFFFFF"/>
          <w:lang w:val="en-US"/>
        </w:rPr>
        <w:t>against women</w:t>
      </w:r>
      <w:r w:rsidR="00FC7D3B" w:rsidRPr="00EA6C7A">
        <w:rPr>
          <w:rFonts w:ascii="Verdana" w:eastAsia="Calibri" w:hAnsi="Verdana" w:cs="Tahoma"/>
          <w:bCs/>
          <w:color w:val="000000"/>
          <w:sz w:val="20"/>
          <w:szCs w:val="20"/>
          <w:shd w:val="clear" w:color="auto" w:fill="FFFFFF"/>
          <w:lang w:val="en-US"/>
        </w:rPr>
        <w:t xml:space="preserve"> in Guatemala</w:t>
      </w:r>
      <w:r w:rsidR="00C87A3B"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41"/>
      </w:r>
      <w:r w:rsidR="00A534EF" w:rsidRPr="00EA6C7A">
        <w:rPr>
          <w:rFonts w:ascii="Verdana" w:eastAsia="Calibri" w:hAnsi="Verdana" w:cs="Tahoma"/>
          <w:bCs/>
          <w:color w:val="000000"/>
          <w:sz w:val="20"/>
          <w:szCs w:val="20"/>
          <w:shd w:val="clear" w:color="auto" w:fill="FFFFFF"/>
          <w:lang w:val="en-US"/>
        </w:rPr>
        <w:t xml:space="preserve"> </w:t>
      </w:r>
      <w:r w:rsidR="00C87A3B" w:rsidRPr="00EA6C7A">
        <w:rPr>
          <w:rFonts w:ascii="Verdana" w:eastAsia="Calibri" w:hAnsi="Verdana" w:cs="Tahoma"/>
          <w:bCs/>
          <w:color w:val="000000"/>
          <w:sz w:val="20"/>
          <w:szCs w:val="20"/>
          <w:shd w:val="clear" w:color="auto" w:fill="FFFFFF"/>
          <w:lang w:val="en-US"/>
        </w:rPr>
        <w:t>Also,</w:t>
      </w:r>
      <w:r w:rsidR="00A534EF" w:rsidRPr="00EA6C7A">
        <w:rPr>
          <w:rFonts w:ascii="Verdana" w:eastAsia="Calibri" w:hAnsi="Verdana" w:cs="Tahoma"/>
          <w:bCs/>
          <w:color w:val="000000"/>
          <w:sz w:val="20"/>
          <w:szCs w:val="20"/>
          <w:shd w:val="clear" w:color="auto" w:fill="FFFFFF"/>
          <w:lang w:val="en-US"/>
        </w:rPr>
        <w:t xml:space="preserve"> </w:t>
      </w:r>
      <w:r w:rsidR="00C87A3B" w:rsidRPr="00EA6C7A">
        <w:rPr>
          <w:rFonts w:ascii="Verdana" w:eastAsia="Calibri" w:hAnsi="Verdana" w:cs="Tahoma"/>
          <w:bCs/>
          <w:color w:val="000000"/>
          <w:sz w:val="20"/>
          <w:szCs w:val="20"/>
          <w:shd w:val="clear" w:color="auto" w:fill="FFFFFF"/>
          <w:lang w:val="en-US"/>
        </w:rPr>
        <w:t>the</w:t>
      </w:r>
      <w:r w:rsidR="00A534EF" w:rsidRPr="00EA6C7A">
        <w:rPr>
          <w:rFonts w:ascii="Verdana" w:eastAsia="Calibri" w:hAnsi="Verdana" w:cs="Tahoma"/>
          <w:bCs/>
          <w:color w:val="000000"/>
          <w:sz w:val="20"/>
          <w:szCs w:val="20"/>
          <w:shd w:val="clear" w:color="auto" w:fill="FFFFFF"/>
          <w:lang w:val="en-US"/>
        </w:rPr>
        <w:t xml:space="preserve"> subsequent </w:t>
      </w:r>
      <w:r w:rsidR="00C87A3B" w:rsidRPr="00EA6C7A">
        <w:rPr>
          <w:rFonts w:ascii="Verdana" w:eastAsia="Calibri" w:hAnsi="Verdana" w:cs="Tahoma"/>
          <w:bCs/>
          <w:color w:val="000000"/>
          <w:sz w:val="20"/>
          <w:szCs w:val="20"/>
          <w:shd w:val="clear" w:color="auto" w:fill="FFFFFF"/>
          <w:lang w:val="en-US"/>
        </w:rPr>
        <w:t>mention</w:t>
      </w:r>
      <w:r w:rsidR="00A534EF" w:rsidRPr="00EA6C7A">
        <w:rPr>
          <w:rFonts w:ascii="Verdana" w:eastAsia="Calibri" w:hAnsi="Verdana" w:cs="Tahoma"/>
          <w:bCs/>
          <w:color w:val="000000"/>
          <w:sz w:val="20"/>
          <w:szCs w:val="20"/>
          <w:shd w:val="clear" w:color="auto" w:fill="FFFFFF"/>
          <w:lang w:val="en-US"/>
        </w:rPr>
        <w:t xml:space="preserve"> of the measures taken by the State following the case of</w:t>
      </w:r>
      <w:r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i/>
          <w:color w:val="000000"/>
          <w:sz w:val="20"/>
          <w:szCs w:val="20"/>
          <w:shd w:val="clear" w:color="auto" w:fill="FFFFFF"/>
          <w:lang w:val="en-US"/>
        </w:rPr>
        <w:t xml:space="preserve">Veliz Franco </w:t>
      </w:r>
      <w:r w:rsidR="001914FC" w:rsidRPr="00EA6C7A">
        <w:rPr>
          <w:rFonts w:ascii="Verdana" w:eastAsia="Calibri" w:hAnsi="Verdana" w:cs="Tahoma"/>
          <w:bCs/>
          <w:i/>
          <w:color w:val="000000"/>
          <w:sz w:val="20"/>
          <w:szCs w:val="20"/>
          <w:shd w:val="clear" w:color="auto" w:fill="FFFFFF"/>
          <w:lang w:val="en-US"/>
        </w:rPr>
        <w:t>et al. v.</w:t>
      </w:r>
      <w:r w:rsidRPr="00EA6C7A">
        <w:rPr>
          <w:rFonts w:ascii="Verdana" w:eastAsia="Calibri" w:hAnsi="Verdana" w:cs="Tahoma"/>
          <w:bCs/>
          <w:i/>
          <w:color w:val="000000"/>
          <w:sz w:val="20"/>
          <w:szCs w:val="20"/>
          <w:shd w:val="clear" w:color="auto" w:fill="FFFFFF"/>
          <w:lang w:val="en-US"/>
        </w:rPr>
        <w:t xml:space="preserve"> Guatemala,</w:t>
      </w:r>
      <w:r w:rsidR="00D948A1" w:rsidRPr="00EA6C7A">
        <w:rPr>
          <w:rFonts w:ascii="Verdana" w:eastAsia="Calibri" w:hAnsi="Verdana" w:cs="Tahoma"/>
          <w:bCs/>
          <w:i/>
          <w:color w:val="000000"/>
          <w:sz w:val="20"/>
          <w:szCs w:val="20"/>
          <w:shd w:val="clear" w:color="auto" w:fill="FFFFFF"/>
          <w:lang w:val="en-US"/>
        </w:rPr>
        <w:t xml:space="preserve"> </w:t>
      </w:r>
      <w:r w:rsidR="00AD1D9E" w:rsidRPr="00EA6C7A">
        <w:rPr>
          <w:rFonts w:ascii="Verdana" w:eastAsia="Calibri" w:hAnsi="Verdana" w:cs="Tahoma"/>
          <w:bCs/>
          <w:color w:val="000000"/>
          <w:sz w:val="20"/>
          <w:szCs w:val="20"/>
          <w:shd w:val="clear" w:color="auto" w:fill="FFFFFF"/>
          <w:lang w:val="en-US"/>
        </w:rPr>
        <w:t>a</w:t>
      </w:r>
      <w:r w:rsidR="00C87A3B" w:rsidRPr="00EA6C7A">
        <w:rPr>
          <w:rFonts w:ascii="Verdana" w:eastAsia="Calibri" w:hAnsi="Verdana" w:cs="Tahoma"/>
          <w:bCs/>
          <w:color w:val="000000"/>
          <w:sz w:val="20"/>
          <w:szCs w:val="20"/>
          <w:shd w:val="clear" w:color="auto" w:fill="FFFFFF"/>
          <w:lang w:val="en-US"/>
        </w:rPr>
        <w:t>s well as</w:t>
      </w:r>
      <w:r w:rsidR="00AD1D9E" w:rsidRPr="00EA6C7A">
        <w:rPr>
          <w:rFonts w:ascii="Verdana" w:eastAsia="Calibri" w:hAnsi="Verdana" w:cs="Tahoma"/>
          <w:bCs/>
          <w:color w:val="000000"/>
          <w:sz w:val="20"/>
          <w:szCs w:val="20"/>
          <w:shd w:val="clear" w:color="auto" w:fill="FFFFFF"/>
          <w:lang w:val="en-US"/>
        </w:rPr>
        <w:t xml:space="preserve"> the measures and mechanisms implemented by the State before and after the facts of the case examined in </w:t>
      </w:r>
      <w:r w:rsidR="00C87A3B" w:rsidRPr="00EA6C7A">
        <w:rPr>
          <w:rFonts w:ascii="Verdana" w:eastAsia="Calibri" w:hAnsi="Verdana" w:cs="Tahoma"/>
          <w:bCs/>
          <w:color w:val="000000"/>
          <w:sz w:val="20"/>
          <w:szCs w:val="20"/>
          <w:shd w:val="clear" w:color="auto" w:fill="FFFFFF"/>
          <w:lang w:val="en-US"/>
        </w:rPr>
        <w:t xml:space="preserve">this </w:t>
      </w:r>
      <w:r w:rsidR="00D5307F" w:rsidRPr="00EA6C7A">
        <w:rPr>
          <w:rFonts w:ascii="Verdana" w:eastAsia="Calibri" w:hAnsi="Verdana" w:cs="Tahoma"/>
          <w:bCs/>
          <w:color w:val="000000"/>
          <w:sz w:val="20"/>
          <w:szCs w:val="20"/>
          <w:shd w:val="clear" w:color="auto" w:fill="FFFFFF"/>
          <w:lang w:val="en-US"/>
        </w:rPr>
        <w:t>judgment</w:t>
      </w:r>
      <w:r w:rsidR="00AD1D9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42"/>
      </w:r>
      <w:r w:rsidR="00D948A1" w:rsidRPr="00EA6C7A">
        <w:rPr>
          <w:rFonts w:ascii="Verdana" w:eastAsia="Calibri" w:hAnsi="Verdana" w:cs="Tahoma"/>
          <w:bCs/>
          <w:color w:val="000000"/>
          <w:sz w:val="20"/>
          <w:szCs w:val="20"/>
          <w:shd w:val="clear" w:color="auto" w:fill="FFFFFF"/>
          <w:lang w:val="en-US"/>
        </w:rPr>
        <w:t xml:space="preserve"> </w:t>
      </w:r>
      <w:r w:rsidR="00C87A3B" w:rsidRPr="00EA6C7A">
        <w:rPr>
          <w:rFonts w:ascii="Verdana" w:eastAsia="Calibri" w:hAnsi="Verdana" w:cs="Tahoma"/>
          <w:bCs/>
          <w:color w:val="000000"/>
          <w:sz w:val="20"/>
          <w:szCs w:val="20"/>
          <w:shd w:val="clear" w:color="auto" w:fill="FFFFFF"/>
          <w:lang w:val="en-US"/>
        </w:rPr>
        <w:t>which it then</w:t>
      </w:r>
      <w:r w:rsidR="00AD1D9E" w:rsidRPr="00EA6C7A">
        <w:rPr>
          <w:rFonts w:ascii="Verdana" w:eastAsia="Calibri" w:hAnsi="Verdana" w:cs="Tahoma"/>
          <w:bCs/>
          <w:color w:val="000000"/>
          <w:sz w:val="20"/>
          <w:szCs w:val="20"/>
          <w:shd w:val="clear" w:color="auto" w:fill="FFFFFF"/>
          <w:lang w:val="en-US"/>
        </w:rPr>
        <w:t xml:space="preserve"> compar</w:t>
      </w:r>
      <w:r w:rsidR="00C87A3B" w:rsidRPr="00EA6C7A">
        <w:rPr>
          <w:rFonts w:ascii="Verdana" w:eastAsia="Calibri" w:hAnsi="Verdana" w:cs="Tahoma"/>
          <w:bCs/>
          <w:color w:val="000000"/>
          <w:sz w:val="20"/>
          <w:szCs w:val="20"/>
          <w:shd w:val="clear" w:color="auto" w:fill="FFFFFF"/>
          <w:lang w:val="en-US"/>
        </w:rPr>
        <w:t>ed with</w:t>
      </w:r>
      <w:r w:rsidR="00AD1D9E" w:rsidRPr="00EA6C7A">
        <w:rPr>
          <w:rFonts w:ascii="Verdana" w:eastAsia="Calibri" w:hAnsi="Verdana" w:cs="Tahoma"/>
          <w:bCs/>
          <w:color w:val="000000"/>
          <w:sz w:val="20"/>
          <w:szCs w:val="20"/>
          <w:shd w:val="clear" w:color="auto" w:fill="FFFFFF"/>
          <w:lang w:val="en-US"/>
        </w:rPr>
        <w:t xml:space="preserve"> with reports of national and international agencies and organizations that criticized the effectiveness of such measures and institutions,</w:t>
      </w:r>
      <w:r w:rsidRPr="00EA6C7A">
        <w:rPr>
          <w:rFonts w:ascii="Verdana" w:eastAsia="Calibri" w:hAnsi="Verdana" w:cs="Tahoma"/>
          <w:bCs/>
          <w:color w:val="000000"/>
          <w:sz w:val="20"/>
          <w:szCs w:val="20"/>
          <w:shd w:val="clear" w:color="auto" w:fill="FFFFFF"/>
          <w:vertAlign w:val="superscript"/>
          <w:lang w:val="en-US"/>
        </w:rPr>
        <w:footnoteReference w:id="443"/>
      </w:r>
      <w:r w:rsidR="00AD1D9E" w:rsidRPr="00EA6C7A">
        <w:rPr>
          <w:rFonts w:ascii="Verdana" w:eastAsia="Calibri" w:hAnsi="Verdana" w:cs="Tahoma"/>
          <w:bCs/>
          <w:color w:val="000000"/>
          <w:sz w:val="20"/>
          <w:szCs w:val="20"/>
          <w:shd w:val="clear" w:color="auto" w:fill="FFFFFF"/>
          <w:lang w:val="en-US"/>
        </w:rPr>
        <w:t xml:space="preserve"> </w:t>
      </w:r>
      <w:r w:rsidR="00C87A3B" w:rsidRPr="00EA6C7A">
        <w:rPr>
          <w:rFonts w:ascii="Verdana" w:eastAsia="Calibri" w:hAnsi="Verdana" w:cs="Tahoma"/>
          <w:bCs/>
          <w:color w:val="000000"/>
          <w:sz w:val="20"/>
          <w:szCs w:val="20"/>
          <w:shd w:val="clear" w:color="auto" w:fill="FFFFFF"/>
          <w:lang w:val="en-US"/>
        </w:rPr>
        <w:t xml:space="preserve">while </w:t>
      </w:r>
      <w:r w:rsidR="00AD1D9E" w:rsidRPr="00EA6C7A">
        <w:rPr>
          <w:rFonts w:ascii="Verdana" w:eastAsia="Calibri" w:hAnsi="Verdana" w:cs="Tahoma"/>
          <w:bCs/>
          <w:color w:val="000000"/>
          <w:sz w:val="20"/>
          <w:szCs w:val="20"/>
          <w:shd w:val="clear" w:color="auto" w:fill="FFFFFF"/>
          <w:lang w:val="en-US"/>
        </w:rPr>
        <w:t xml:space="preserve">acknowledging the State’s initiative of implementing “actions aimed </w:t>
      </w:r>
      <w:r w:rsidR="00C87A3B" w:rsidRPr="00EA6C7A">
        <w:rPr>
          <w:rFonts w:ascii="Verdana" w:eastAsia="Calibri" w:hAnsi="Verdana" w:cs="Tahoma"/>
          <w:bCs/>
          <w:color w:val="000000"/>
          <w:sz w:val="20"/>
          <w:szCs w:val="20"/>
          <w:shd w:val="clear" w:color="auto" w:fill="FFFFFF"/>
          <w:lang w:val="en-US"/>
        </w:rPr>
        <w:t>at addressing</w:t>
      </w:r>
      <w:r w:rsidR="00AD1D9E" w:rsidRPr="00EA6C7A">
        <w:rPr>
          <w:rFonts w:ascii="Verdana" w:eastAsia="Calibri" w:hAnsi="Verdana" w:cs="Tahoma"/>
          <w:bCs/>
          <w:color w:val="000000"/>
          <w:sz w:val="20"/>
          <w:szCs w:val="20"/>
          <w:shd w:val="clear" w:color="auto" w:fill="FFFFFF"/>
          <w:lang w:val="en-US"/>
        </w:rPr>
        <w:t xml:space="preserve"> the problem of</w:t>
      </w:r>
      <w:r w:rsidR="00D5307F" w:rsidRPr="00EA6C7A">
        <w:rPr>
          <w:rFonts w:ascii="Verdana" w:eastAsia="Calibri" w:hAnsi="Verdana" w:cs="Tahoma"/>
          <w:bCs/>
          <w:color w:val="000000"/>
          <w:sz w:val="20"/>
          <w:szCs w:val="20"/>
          <w:shd w:val="clear" w:color="auto" w:fill="FFFFFF"/>
          <w:lang w:val="en-US"/>
        </w:rPr>
        <w:t xml:space="preserve"> </w:t>
      </w:r>
      <w:r w:rsidR="00C12C08" w:rsidRPr="00EA6C7A">
        <w:rPr>
          <w:rFonts w:ascii="Verdana" w:eastAsia="Calibri" w:hAnsi="Verdana" w:cs="Tahoma"/>
          <w:bCs/>
          <w:color w:val="000000"/>
          <w:sz w:val="20"/>
          <w:szCs w:val="20"/>
          <w:shd w:val="clear" w:color="auto" w:fill="FFFFFF"/>
          <w:lang w:val="en-US"/>
        </w:rPr>
        <w:t>violence against women</w:t>
      </w:r>
      <w:r w:rsidR="00AD1D9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 xml:space="preserve">” </w:t>
      </w:r>
      <w:r w:rsidR="00AD1D9E" w:rsidRPr="00EA6C7A">
        <w:rPr>
          <w:rFonts w:ascii="Verdana" w:eastAsia="Calibri" w:hAnsi="Verdana" w:cs="Tahoma"/>
          <w:bCs/>
          <w:color w:val="000000"/>
          <w:sz w:val="20"/>
          <w:szCs w:val="20"/>
          <w:shd w:val="clear" w:color="auto" w:fill="FFFFFF"/>
          <w:lang w:val="en-US"/>
        </w:rPr>
        <w:t>but revealing the insufficiency of such measures.</w:t>
      </w:r>
      <w:r w:rsidRPr="00EA6C7A">
        <w:rPr>
          <w:rFonts w:ascii="Verdana" w:eastAsia="Calibri" w:hAnsi="Verdana" w:cs="Tahoma"/>
          <w:bCs/>
          <w:color w:val="000000"/>
          <w:sz w:val="20"/>
          <w:szCs w:val="20"/>
          <w:shd w:val="clear" w:color="auto" w:fill="FFFFFF"/>
          <w:vertAlign w:val="superscript"/>
          <w:lang w:val="en-US"/>
        </w:rPr>
        <w:footnoteReference w:id="444"/>
      </w:r>
      <w:r w:rsidR="00AD1D9E" w:rsidRPr="00EA6C7A">
        <w:rPr>
          <w:rFonts w:ascii="Verdana" w:eastAsia="Calibri" w:hAnsi="Verdana" w:cs="Tahoma"/>
          <w:bCs/>
          <w:color w:val="000000"/>
          <w:sz w:val="20"/>
          <w:szCs w:val="20"/>
          <w:shd w:val="clear" w:color="auto" w:fill="FFFFFF"/>
          <w:lang w:val="en-US"/>
        </w:rPr>
        <w:t xml:space="preserve"> In this regard, I should stress that the analysis of this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xml:space="preserve">” </w:t>
      </w:r>
      <w:r w:rsidR="00AD1D9E" w:rsidRPr="00EA6C7A">
        <w:rPr>
          <w:rFonts w:ascii="Verdana" w:eastAsia="Calibri" w:hAnsi="Verdana" w:cs="Tahoma"/>
          <w:bCs/>
          <w:color w:val="000000"/>
          <w:sz w:val="20"/>
          <w:szCs w:val="20"/>
          <w:shd w:val="clear" w:color="auto" w:fill="FFFFFF"/>
          <w:lang w:val="en-US"/>
        </w:rPr>
        <w:t xml:space="preserve">does not conclude with a ruling by the Court, which I consider should </w:t>
      </w:r>
      <w:r w:rsidR="00C87A3B" w:rsidRPr="00EA6C7A">
        <w:rPr>
          <w:rFonts w:ascii="Verdana" w:eastAsia="Calibri" w:hAnsi="Verdana" w:cs="Tahoma"/>
          <w:bCs/>
          <w:color w:val="000000"/>
          <w:sz w:val="20"/>
          <w:szCs w:val="20"/>
          <w:shd w:val="clear" w:color="auto" w:fill="FFFFFF"/>
          <w:lang w:val="en-US"/>
        </w:rPr>
        <w:t>have been made</w:t>
      </w:r>
      <w:r w:rsidR="00AD1D9E" w:rsidRPr="00EA6C7A">
        <w:rPr>
          <w:rFonts w:ascii="Verdana" w:eastAsia="Calibri" w:hAnsi="Verdana" w:cs="Tahoma"/>
          <w:bCs/>
          <w:color w:val="000000"/>
          <w:sz w:val="20"/>
          <w:szCs w:val="20"/>
          <w:shd w:val="clear" w:color="auto" w:fill="FFFFFF"/>
          <w:lang w:val="en-US"/>
        </w:rPr>
        <w:t xml:space="preserve"> owing to its importance and </w:t>
      </w:r>
      <w:r w:rsidR="00C87A3B" w:rsidRPr="00EA6C7A">
        <w:rPr>
          <w:rFonts w:ascii="Verdana" w:eastAsia="Calibri" w:hAnsi="Verdana" w:cs="Tahoma"/>
          <w:bCs/>
          <w:color w:val="000000"/>
          <w:sz w:val="20"/>
          <w:szCs w:val="20"/>
          <w:shd w:val="clear" w:color="auto" w:fill="FFFFFF"/>
          <w:lang w:val="en-US"/>
        </w:rPr>
        <w:t xml:space="preserve">the </w:t>
      </w:r>
      <w:r w:rsidR="00AD1D9E" w:rsidRPr="00EA6C7A">
        <w:rPr>
          <w:rFonts w:ascii="Verdana" w:eastAsia="Calibri" w:hAnsi="Verdana" w:cs="Tahoma"/>
          <w:bCs/>
          <w:color w:val="000000"/>
          <w:sz w:val="20"/>
          <w:szCs w:val="20"/>
          <w:shd w:val="clear" w:color="auto" w:fill="FFFFFF"/>
          <w:lang w:val="en-US"/>
        </w:rPr>
        <w:t xml:space="preserve">special consequences on the following moment </w:t>
      </w:r>
      <w:r w:rsidRPr="00EA6C7A">
        <w:rPr>
          <w:rFonts w:ascii="Verdana" w:eastAsia="Calibri" w:hAnsi="Verdana" w:cs="Tahoma"/>
          <w:bCs/>
          <w:color w:val="000000"/>
          <w:sz w:val="20"/>
          <w:szCs w:val="20"/>
          <w:shd w:val="clear" w:color="auto" w:fill="FFFFFF"/>
          <w:lang w:val="en-US"/>
        </w:rPr>
        <w:t>(</w:t>
      </w:r>
      <w:r w:rsidR="00AD1D9E" w:rsidRPr="00EA6C7A">
        <w:rPr>
          <w:rFonts w:ascii="Verdana" w:eastAsia="Calibri" w:hAnsi="Verdana" w:cs="Tahoma"/>
          <w:bCs/>
          <w:color w:val="000000"/>
          <w:sz w:val="20"/>
          <w:szCs w:val="20"/>
          <w:shd w:val="clear" w:color="auto" w:fill="FFFFFF"/>
          <w:lang w:val="en-US"/>
        </w:rPr>
        <w:t xml:space="preserve">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w:t>
      </w:r>
    </w:p>
    <w:p w14:paraId="0D654714"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016486D0"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42. </w:t>
      </w:r>
      <w:r w:rsidRPr="00EA6C7A">
        <w:rPr>
          <w:rFonts w:ascii="Verdana" w:eastAsia="Calibri" w:hAnsi="Verdana" w:cs="Tahoma"/>
          <w:bCs/>
          <w:color w:val="000000"/>
          <w:sz w:val="20"/>
          <w:szCs w:val="20"/>
          <w:shd w:val="clear" w:color="auto" w:fill="FFFFFF"/>
          <w:lang w:val="en-US"/>
        </w:rPr>
        <w:tab/>
      </w:r>
      <w:r w:rsidR="00BE1E44" w:rsidRPr="00EA6C7A">
        <w:rPr>
          <w:rFonts w:ascii="Verdana" w:eastAsia="Calibri" w:hAnsi="Verdana" w:cs="Tahoma"/>
          <w:bCs/>
          <w:color w:val="000000"/>
          <w:sz w:val="20"/>
          <w:szCs w:val="20"/>
          <w:shd w:val="clear" w:color="auto" w:fill="FFFFFF"/>
          <w:lang w:val="en-US"/>
        </w:rPr>
        <w:t xml:space="preserve">When examining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 —</w:t>
      </w:r>
      <w:r w:rsidR="00BE1E44" w:rsidRPr="00EA6C7A">
        <w:rPr>
          <w:rFonts w:ascii="Verdana" w:eastAsia="Calibri" w:hAnsi="Verdana" w:cs="Tahoma"/>
          <w:bCs/>
          <w:color w:val="000000"/>
          <w:sz w:val="20"/>
          <w:szCs w:val="20"/>
          <w:shd w:val="clear" w:color="auto" w:fill="FFFFFF"/>
          <w:lang w:val="en-US"/>
        </w:rPr>
        <w:t xml:space="preserve"> before the discovery of the body of </w:t>
      </w:r>
      <w:r w:rsidRPr="00EA6C7A">
        <w:rPr>
          <w:rFonts w:ascii="Verdana" w:eastAsia="Calibri" w:hAnsi="Verdana" w:cs="Tahoma"/>
          <w:bCs/>
          <w:color w:val="000000"/>
          <w:sz w:val="20"/>
          <w:szCs w:val="20"/>
          <w:shd w:val="clear" w:color="auto" w:fill="FFFFFF"/>
          <w:lang w:val="en-US"/>
        </w:rPr>
        <w:t>Claudina Velásquez</w:t>
      </w:r>
      <w:r w:rsidR="00BE1E44"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 xml:space="preserve">the </w:t>
      </w:r>
      <w:r w:rsidR="009939AC" w:rsidRPr="00EA6C7A">
        <w:rPr>
          <w:rFonts w:ascii="Verdana" w:eastAsia="Calibri" w:hAnsi="Verdana" w:cs="Tahoma"/>
          <w:bCs/>
          <w:color w:val="000000"/>
          <w:sz w:val="20"/>
          <w:szCs w:val="20"/>
          <w:shd w:val="clear" w:color="auto" w:fill="FFFFFF"/>
          <w:lang w:val="en-US"/>
        </w:rPr>
        <w:t>Court</w:t>
      </w:r>
      <w:r w:rsidRPr="00EA6C7A">
        <w:rPr>
          <w:rFonts w:ascii="Verdana" w:eastAsia="Calibri" w:hAnsi="Verdana" w:cs="Tahoma"/>
          <w:bCs/>
          <w:color w:val="000000"/>
          <w:sz w:val="20"/>
          <w:szCs w:val="20"/>
          <w:shd w:val="clear" w:color="auto" w:fill="FFFFFF"/>
          <w:lang w:val="en-US"/>
        </w:rPr>
        <w:t xml:space="preserve"> anal</w:t>
      </w:r>
      <w:r w:rsidR="00BE1E44" w:rsidRPr="00EA6C7A">
        <w:rPr>
          <w:rFonts w:ascii="Verdana" w:eastAsia="Calibri" w:hAnsi="Verdana" w:cs="Tahoma"/>
          <w:bCs/>
          <w:color w:val="000000"/>
          <w:sz w:val="20"/>
          <w:szCs w:val="20"/>
          <w:shd w:val="clear" w:color="auto" w:fill="FFFFFF"/>
          <w:lang w:val="en-US"/>
        </w:rPr>
        <w:t xml:space="preserve">yzed, on the one hand, the moment at “which the State authorities knew or </w:t>
      </w:r>
      <w:r w:rsidR="0074682E" w:rsidRPr="00EA6C7A">
        <w:rPr>
          <w:rFonts w:ascii="Verdana" w:eastAsia="Calibri" w:hAnsi="Verdana" w:cs="Tahoma"/>
          <w:bCs/>
          <w:color w:val="000000"/>
          <w:sz w:val="20"/>
          <w:szCs w:val="20"/>
          <w:shd w:val="clear" w:color="auto" w:fill="FFFFFF"/>
          <w:lang w:val="en-US"/>
        </w:rPr>
        <w:t>ought to</w:t>
      </w:r>
      <w:r w:rsidR="00BE1E44" w:rsidRPr="00EA6C7A">
        <w:rPr>
          <w:rFonts w:ascii="Verdana" w:eastAsia="Calibri" w:hAnsi="Verdana" w:cs="Tahoma"/>
          <w:bCs/>
          <w:color w:val="000000"/>
          <w:sz w:val="20"/>
          <w:szCs w:val="20"/>
          <w:shd w:val="clear" w:color="auto" w:fill="FFFFFF"/>
          <w:lang w:val="en-US"/>
        </w:rPr>
        <w:t xml:space="preserve"> have know</w:t>
      </w:r>
      <w:r w:rsidR="007131A8" w:rsidRPr="00EA6C7A">
        <w:rPr>
          <w:rFonts w:ascii="Verdana" w:eastAsia="Calibri" w:hAnsi="Verdana" w:cs="Tahoma"/>
          <w:bCs/>
          <w:color w:val="000000"/>
          <w:sz w:val="20"/>
          <w:szCs w:val="20"/>
          <w:shd w:val="clear" w:color="auto" w:fill="FFFFFF"/>
          <w:lang w:val="en-US"/>
        </w:rPr>
        <w:t>n</w:t>
      </w:r>
      <w:r w:rsidR="00BE1E44" w:rsidRPr="00EA6C7A">
        <w:rPr>
          <w:rFonts w:ascii="Verdana" w:eastAsia="Calibri" w:hAnsi="Verdana" w:cs="Tahoma"/>
          <w:bCs/>
          <w:color w:val="000000"/>
          <w:sz w:val="20"/>
          <w:szCs w:val="20"/>
          <w:shd w:val="clear" w:color="auto" w:fill="FFFFFF"/>
          <w:lang w:val="en-US"/>
        </w:rPr>
        <w:t xml:space="preserve"> </w:t>
      </w:r>
      <w:r w:rsidR="00C87A3B" w:rsidRPr="00EA6C7A">
        <w:rPr>
          <w:rFonts w:ascii="Verdana" w:eastAsia="Calibri" w:hAnsi="Verdana" w:cs="Tahoma"/>
          <w:bCs/>
          <w:color w:val="000000"/>
          <w:sz w:val="20"/>
          <w:szCs w:val="20"/>
          <w:shd w:val="clear" w:color="auto" w:fill="FFFFFF"/>
          <w:lang w:val="en-US"/>
        </w:rPr>
        <w:t>about</w:t>
      </w:r>
      <w:r w:rsidR="00BE1E44" w:rsidRPr="00EA6C7A">
        <w:rPr>
          <w:rFonts w:ascii="Verdana" w:eastAsia="Calibri" w:hAnsi="Verdana" w:cs="Tahoma"/>
          <w:bCs/>
          <w:color w:val="000000"/>
          <w:sz w:val="20"/>
          <w:szCs w:val="20"/>
          <w:shd w:val="clear" w:color="auto" w:fill="FFFFFF"/>
          <w:lang w:val="en-US"/>
        </w:rPr>
        <w:t xml:space="preserve"> the existence of a real and immediate danger </w:t>
      </w:r>
      <w:r w:rsidR="00C87A3B" w:rsidRPr="00EA6C7A">
        <w:rPr>
          <w:rFonts w:ascii="Verdana" w:eastAsia="Calibri" w:hAnsi="Verdana" w:cs="Tahoma"/>
          <w:bCs/>
          <w:color w:val="000000"/>
          <w:sz w:val="20"/>
          <w:szCs w:val="20"/>
          <w:shd w:val="clear" w:color="auto" w:fill="FFFFFF"/>
          <w:lang w:val="en-US"/>
        </w:rPr>
        <w:t>to</w:t>
      </w:r>
      <w:r w:rsidR="00BE1E44" w:rsidRPr="00EA6C7A">
        <w:rPr>
          <w:rFonts w:ascii="Verdana" w:eastAsia="Calibri" w:hAnsi="Verdana" w:cs="Tahoma"/>
          <w:bCs/>
          <w:color w:val="000000"/>
          <w:sz w:val="20"/>
          <w:szCs w:val="20"/>
          <w:shd w:val="clear" w:color="auto" w:fill="FFFFFF"/>
          <w:lang w:val="en-US"/>
        </w:rPr>
        <w:t xml:space="preserve"> the life and integrity of </w:t>
      </w:r>
      <w:r w:rsidRPr="00EA6C7A">
        <w:rPr>
          <w:rFonts w:ascii="Verdana" w:eastAsia="Calibri" w:hAnsi="Verdana" w:cs="Tahoma"/>
          <w:bCs/>
          <w:color w:val="000000"/>
          <w:sz w:val="20"/>
          <w:szCs w:val="20"/>
          <w:shd w:val="clear" w:color="auto" w:fill="FFFFFF"/>
          <w:lang w:val="en-US"/>
        </w:rPr>
        <w:t>Claudina Velásquez” determin</w:t>
      </w:r>
      <w:r w:rsidR="00BE1E44" w:rsidRPr="00EA6C7A">
        <w:rPr>
          <w:rFonts w:ascii="Verdana" w:eastAsia="Calibri" w:hAnsi="Verdana" w:cs="Tahoma"/>
          <w:bCs/>
          <w:color w:val="000000"/>
          <w:sz w:val="20"/>
          <w:szCs w:val="20"/>
          <w:shd w:val="clear" w:color="auto" w:fill="FFFFFF"/>
          <w:lang w:val="en-US"/>
        </w:rPr>
        <w:t>ing</w:t>
      </w:r>
      <w:r w:rsidR="00077D21" w:rsidRPr="00EA6C7A">
        <w:rPr>
          <w:rFonts w:ascii="Verdana" w:eastAsia="Calibri" w:hAnsi="Verdana" w:cs="Tahoma"/>
          <w:bCs/>
          <w:color w:val="000000"/>
          <w:sz w:val="20"/>
          <w:szCs w:val="20"/>
          <w:shd w:val="clear" w:color="auto" w:fill="FFFFFF"/>
          <w:lang w:val="en-US"/>
        </w:rPr>
        <w:t xml:space="preserve"> that this was</w:t>
      </w:r>
      <w:r w:rsidR="00BE1E44" w:rsidRPr="00EA6C7A">
        <w:rPr>
          <w:rFonts w:ascii="Verdana" w:eastAsia="Calibri" w:hAnsi="Verdana" w:cs="Tahoma"/>
          <w:bCs/>
          <w:color w:val="000000"/>
          <w:sz w:val="20"/>
          <w:szCs w:val="20"/>
          <w:shd w:val="clear" w:color="auto" w:fill="FFFFFF"/>
          <w:lang w:val="en-US"/>
        </w:rPr>
        <w:t xml:space="preserve"> the moment </w:t>
      </w:r>
      <w:r w:rsidR="00077D21" w:rsidRPr="00EA6C7A">
        <w:rPr>
          <w:rFonts w:ascii="Verdana" w:eastAsia="Calibri" w:hAnsi="Verdana" w:cs="Tahoma"/>
          <w:bCs/>
          <w:color w:val="000000"/>
          <w:sz w:val="20"/>
          <w:szCs w:val="20"/>
          <w:shd w:val="clear" w:color="auto" w:fill="FFFFFF"/>
          <w:lang w:val="en-US"/>
        </w:rPr>
        <w:t>at which</w:t>
      </w:r>
      <w:r w:rsidR="00BE1E44" w:rsidRPr="00EA6C7A">
        <w:rPr>
          <w:rFonts w:ascii="Verdana" w:eastAsia="Calibri" w:hAnsi="Verdana" w:cs="Tahoma"/>
          <w:bCs/>
          <w:color w:val="000000"/>
          <w:sz w:val="20"/>
          <w:szCs w:val="20"/>
          <w:shd w:val="clear" w:color="auto" w:fill="FFFFFF"/>
          <w:lang w:val="en-US"/>
        </w:rPr>
        <w:t xml:space="preserve"> the authorities received the telephone call from the victim’s parents;</w:t>
      </w:r>
      <w:r w:rsidRPr="00EA6C7A">
        <w:rPr>
          <w:rFonts w:ascii="Verdana" w:eastAsia="Calibri" w:hAnsi="Verdana" w:cs="Tahoma"/>
          <w:bCs/>
          <w:color w:val="000000"/>
          <w:sz w:val="20"/>
          <w:szCs w:val="20"/>
          <w:shd w:val="clear" w:color="auto" w:fill="FFFFFF"/>
          <w:vertAlign w:val="superscript"/>
          <w:lang w:val="en-US"/>
        </w:rPr>
        <w:footnoteReference w:id="445"/>
      </w:r>
      <w:r w:rsidR="00BE1E44" w:rsidRPr="00EA6C7A">
        <w:rPr>
          <w:rFonts w:ascii="Verdana" w:eastAsia="Calibri" w:hAnsi="Verdana" w:cs="Tahoma"/>
          <w:bCs/>
          <w:color w:val="000000"/>
          <w:sz w:val="20"/>
          <w:szCs w:val="20"/>
          <w:shd w:val="clear" w:color="auto" w:fill="FFFFFF"/>
          <w:lang w:val="en-US"/>
        </w:rPr>
        <w:t xml:space="preserve"> and, on the other hand, “the </w:t>
      </w:r>
      <w:r w:rsidR="00077D21" w:rsidRPr="00EA6C7A">
        <w:rPr>
          <w:rFonts w:ascii="Verdana" w:eastAsia="Calibri" w:hAnsi="Verdana" w:cs="Tahoma"/>
          <w:bCs/>
          <w:color w:val="000000"/>
          <w:sz w:val="20"/>
          <w:szCs w:val="20"/>
          <w:shd w:val="clear" w:color="auto" w:fill="FFFFFF"/>
          <w:lang w:val="en-US"/>
        </w:rPr>
        <w:t>steps</w:t>
      </w:r>
      <w:r w:rsidR="00BE1E44" w:rsidRPr="00EA6C7A">
        <w:rPr>
          <w:rFonts w:ascii="Verdana" w:eastAsia="Calibri" w:hAnsi="Verdana" w:cs="Tahoma"/>
          <w:bCs/>
          <w:color w:val="000000"/>
          <w:sz w:val="20"/>
          <w:szCs w:val="20"/>
          <w:shd w:val="clear" w:color="auto" w:fill="FFFFFF"/>
          <w:lang w:val="en-US"/>
        </w:rPr>
        <w:t xml:space="preserve"> taken by the Guatemalan authorities</w:t>
      </w:r>
      <w:r w:rsidR="00077D21" w:rsidRPr="00EA6C7A">
        <w:rPr>
          <w:rFonts w:ascii="Verdana" w:eastAsia="Calibri" w:hAnsi="Verdana" w:cs="Tahoma"/>
          <w:bCs/>
          <w:color w:val="000000"/>
          <w:sz w:val="20"/>
          <w:szCs w:val="20"/>
          <w:shd w:val="clear" w:color="auto" w:fill="FFFFFF"/>
          <w:lang w:val="en-US"/>
        </w:rPr>
        <w:t>, knowing the</w:t>
      </w:r>
      <w:r w:rsidR="007131A8" w:rsidRPr="00EA6C7A">
        <w:rPr>
          <w:rFonts w:ascii="Verdana" w:eastAsia="Calibri" w:hAnsi="Verdana" w:cs="Tahoma"/>
          <w:bCs/>
          <w:color w:val="000000"/>
          <w:sz w:val="20"/>
          <w:szCs w:val="20"/>
          <w:shd w:val="clear" w:color="auto" w:fill="FFFFFF"/>
          <w:lang w:val="en-US"/>
        </w:rPr>
        <w:t xml:space="preserve"> context and the nature of the danger reported, [</w:t>
      </w:r>
      <w:r w:rsidR="00077D21" w:rsidRPr="00EA6C7A">
        <w:rPr>
          <w:rFonts w:ascii="Verdana" w:eastAsia="Calibri" w:hAnsi="Verdana" w:cs="Tahoma"/>
          <w:bCs/>
          <w:color w:val="000000"/>
          <w:sz w:val="20"/>
          <w:szCs w:val="20"/>
          <w:shd w:val="clear" w:color="auto" w:fill="FFFFFF"/>
          <w:lang w:val="en-US"/>
        </w:rPr>
        <w:t xml:space="preserve">and also </w:t>
      </w:r>
      <w:r w:rsidR="007131A8" w:rsidRPr="00EA6C7A">
        <w:rPr>
          <w:rFonts w:ascii="Verdana" w:eastAsia="Calibri" w:hAnsi="Verdana" w:cs="Tahoma"/>
          <w:bCs/>
          <w:color w:val="000000"/>
          <w:sz w:val="20"/>
          <w:szCs w:val="20"/>
          <w:shd w:val="clear" w:color="auto" w:fill="FFFFFF"/>
          <w:lang w:val="en-US"/>
        </w:rPr>
        <w:t xml:space="preserve">whether </w:t>
      </w:r>
      <w:r w:rsidR="00077D21" w:rsidRPr="00EA6C7A">
        <w:rPr>
          <w:rFonts w:ascii="Verdana" w:eastAsia="Calibri" w:hAnsi="Verdana" w:cs="Tahoma"/>
          <w:bCs/>
          <w:color w:val="000000"/>
          <w:sz w:val="20"/>
          <w:szCs w:val="20"/>
          <w:shd w:val="clear" w:color="auto" w:fill="FFFFFF"/>
          <w:lang w:val="en-US"/>
        </w:rPr>
        <w:t>they]</w:t>
      </w:r>
      <w:r w:rsidR="007131A8" w:rsidRPr="00EA6C7A">
        <w:rPr>
          <w:rFonts w:ascii="Verdana" w:eastAsia="Calibri" w:hAnsi="Verdana" w:cs="Tahoma"/>
          <w:bCs/>
          <w:color w:val="000000"/>
          <w:sz w:val="20"/>
          <w:szCs w:val="20"/>
          <w:shd w:val="clear" w:color="auto" w:fill="FFFFFF"/>
          <w:lang w:val="en-US"/>
        </w:rPr>
        <w:t xml:space="preserve"> promptly</w:t>
      </w:r>
      <w:r w:rsidR="00077D21" w:rsidRPr="00EA6C7A">
        <w:rPr>
          <w:rFonts w:ascii="Verdana" w:eastAsia="Calibri" w:hAnsi="Verdana" w:cs="Tahoma"/>
          <w:bCs/>
          <w:color w:val="000000"/>
          <w:sz w:val="20"/>
          <w:szCs w:val="20"/>
          <w:shd w:val="clear" w:color="auto" w:fill="FFFFFF"/>
          <w:lang w:val="en-US"/>
        </w:rPr>
        <w:t xml:space="preserve"> took</w:t>
      </w:r>
      <w:r w:rsidR="007131A8" w:rsidRPr="00EA6C7A">
        <w:rPr>
          <w:rFonts w:ascii="Verdana" w:eastAsia="Calibri" w:hAnsi="Verdana" w:cs="Tahoma"/>
          <w:bCs/>
          <w:color w:val="000000"/>
          <w:sz w:val="20"/>
          <w:szCs w:val="20"/>
          <w:shd w:val="clear" w:color="auto" w:fill="FFFFFF"/>
          <w:lang w:val="en-US"/>
        </w:rPr>
        <w:t xml:space="preserve"> the necessary measures within the</w:t>
      </w:r>
      <w:r w:rsidR="00077D21" w:rsidRPr="00EA6C7A">
        <w:rPr>
          <w:rFonts w:ascii="Verdana" w:eastAsia="Calibri" w:hAnsi="Verdana" w:cs="Tahoma"/>
          <w:bCs/>
          <w:color w:val="000000"/>
          <w:sz w:val="20"/>
          <w:szCs w:val="20"/>
          <w:shd w:val="clear" w:color="auto" w:fill="FFFFFF"/>
          <w:lang w:val="en-US"/>
        </w:rPr>
        <w:t xml:space="preserve"> scope of their</w:t>
      </w:r>
      <w:r w:rsidR="007131A8" w:rsidRPr="00EA6C7A">
        <w:rPr>
          <w:rFonts w:ascii="Verdana" w:eastAsia="Calibri" w:hAnsi="Verdana" w:cs="Tahoma"/>
          <w:bCs/>
          <w:color w:val="000000"/>
          <w:sz w:val="20"/>
          <w:szCs w:val="20"/>
          <w:shd w:val="clear" w:color="auto" w:fill="FFFFFF"/>
          <w:lang w:val="en-US"/>
        </w:rPr>
        <w:t xml:space="preserve"> powers” to prevent or avoid that </w:t>
      </w:r>
      <w:r w:rsidR="00077D21" w:rsidRPr="00EA6C7A">
        <w:rPr>
          <w:rFonts w:ascii="Verdana" w:eastAsia="Calibri" w:hAnsi="Verdana" w:cs="Tahoma"/>
          <w:bCs/>
          <w:color w:val="000000"/>
          <w:sz w:val="20"/>
          <w:szCs w:val="20"/>
          <w:shd w:val="clear" w:color="auto" w:fill="FFFFFF"/>
          <w:lang w:val="en-US"/>
        </w:rPr>
        <w:t>danger</w:t>
      </w:r>
      <w:r w:rsidR="007131A8"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46"/>
      </w:r>
    </w:p>
    <w:p w14:paraId="0894840D"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449A99D3"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43. </w:t>
      </w:r>
      <w:r w:rsidRPr="00EA6C7A">
        <w:rPr>
          <w:rFonts w:ascii="Verdana" w:eastAsia="Calibri" w:hAnsi="Verdana" w:cs="Tahoma"/>
          <w:bCs/>
          <w:color w:val="000000"/>
          <w:sz w:val="20"/>
          <w:szCs w:val="20"/>
          <w:shd w:val="clear" w:color="auto" w:fill="FFFFFF"/>
          <w:lang w:val="en-US"/>
        </w:rPr>
        <w:tab/>
      </w:r>
      <w:r w:rsidR="00DF5143" w:rsidRPr="00EA6C7A">
        <w:rPr>
          <w:rFonts w:ascii="Verdana" w:eastAsia="Calibri" w:hAnsi="Verdana" w:cs="Tahoma"/>
          <w:bCs/>
          <w:color w:val="000000"/>
          <w:sz w:val="20"/>
          <w:szCs w:val="20"/>
          <w:shd w:val="clear" w:color="auto" w:fill="FFFFFF"/>
          <w:lang w:val="en-US"/>
        </w:rPr>
        <w:t>In this regard</w:t>
      </w:r>
      <w:r w:rsidRPr="00EA6C7A">
        <w:rPr>
          <w:rFonts w:ascii="Verdana" w:eastAsia="Calibri" w:hAnsi="Verdana" w:cs="Tahoma"/>
          <w:bCs/>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and </w:t>
      </w:r>
      <w:r w:rsidR="00DF5143" w:rsidRPr="00EA6C7A">
        <w:rPr>
          <w:rFonts w:ascii="Verdana" w:eastAsia="Calibri" w:hAnsi="Verdana" w:cs="Tahoma"/>
          <w:bCs/>
          <w:color w:val="000000"/>
          <w:sz w:val="20"/>
          <w:szCs w:val="20"/>
          <w:shd w:val="clear" w:color="auto" w:fill="FFFFFF"/>
          <w:lang w:val="en-US"/>
        </w:rPr>
        <w:t xml:space="preserve">following an analysis of the facts already described in the judgment, </w:t>
      </w:r>
      <w:r w:rsidR="00160741" w:rsidRPr="00EA6C7A">
        <w:rPr>
          <w:rFonts w:ascii="Verdana" w:eastAsia="Calibri" w:hAnsi="Verdana" w:cs="Tahoma"/>
          <w:bCs/>
          <w:color w:val="000000"/>
          <w:sz w:val="20"/>
          <w:szCs w:val="20"/>
          <w:shd w:val="clear" w:color="auto" w:fill="FFFFFF"/>
          <w:lang w:val="en-US"/>
        </w:rPr>
        <w:t xml:space="preserve">it determined that the response of the authorities had been “clearly insufficient </w:t>
      </w:r>
      <w:r w:rsidR="00077D21" w:rsidRPr="00EA6C7A">
        <w:rPr>
          <w:rFonts w:ascii="Verdana" w:eastAsia="Calibri" w:hAnsi="Verdana" w:cs="Tahoma"/>
          <w:bCs/>
          <w:color w:val="000000"/>
          <w:sz w:val="20"/>
          <w:szCs w:val="20"/>
          <w:shd w:val="clear" w:color="auto" w:fill="FFFFFF"/>
          <w:lang w:val="en-US"/>
        </w:rPr>
        <w:t xml:space="preserve">given </w:t>
      </w:r>
      <w:r w:rsidR="00160741" w:rsidRPr="00EA6C7A">
        <w:rPr>
          <w:rFonts w:ascii="Verdana" w:eastAsia="Calibri" w:hAnsi="Verdana" w:cs="Tahoma"/>
          <w:bCs/>
          <w:color w:val="000000"/>
          <w:sz w:val="20"/>
          <w:szCs w:val="20"/>
          <w:shd w:val="clear" w:color="auto" w:fill="FFFFFF"/>
          <w:lang w:val="en-US"/>
        </w:rPr>
        <w:t>the possibility that the</w:t>
      </w:r>
      <w:r w:rsidR="00077D21" w:rsidRPr="00EA6C7A">
        <w:rPr>
          <w:rFonts w:ascii="Verdana" w:eastAsia="Calibri" w:hAnsi="Verdana" w:cs="Tahoma"/>
          <w:bCs/>
          <w:color w:val="000000"/>
          <w:sz w:val="20"/>
          <w:szCs w:val="20"/>
          <w:shd w:val="clear" w:color="auto" w:fill="FFFFFF"/>
          <w:lang w:val="en-US"/>
        </w:rPr>
        <w:t xml:space="preserve"> [victim’s]</w:t>
      </w:r>
      <w:r w:rsidR="00160741" w:rsidRPr="00EA6C7A">
        <w:rPr>
          <w:rFonts w:ascii="Verdana" w:eastAsia="Calibri" w:hAnsi="Verdana" w:cs="Tahoma"/>
          <w:bCs/>
          <w:color w:val="000000"/>
          <w:sz w:val="20"/>
          <w:szCs w:val="20"/>
          <w:shd w:val="clear" w:color="auto" w:fill="FFFFFF"/>
          <w:lang w:val="en-US"/>
        </w:rPr>
        <w:t xml:space="preserve"> personal integrity and life were in danger,”</w:t>
      </w:r>
      <w:r w:rsidRPr="00EA6C7A">
        <w:rPr>
          <w:rFonts w:ascii="Verdana" w:eastAsia="Calibri" w:hAnsi="Verdana" w:cs="Tahoma"/>
          <w:bCs/>
          <w:color w:val="000000"/>
          <w:sz w:val="20"/>
          <w:szCs w:val="20"/>
          <w:shd w:val="clear" w:color="auto" w:fill="FFFFFF"/>
          <w:vertAlign w:val="superscript"/>
          <w:lang w:val="en-US"/>
        </w:rPr>
        <w:footnoteReference w:id="447"/>
      </w:r>
      <w:r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color w:val="000000"/>
          <w:sz w:val="20"/>
          <w:szCs w:val="20"/>
          <w:shd w:val="clear" w:color="auto" w:fill="FFFFFF"/>
          <w:lang w:val="en-US"/>
        </w:rPr>
        <w:t>and also</w:t>
      </w:r>
      <w:r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color w:val="000000"/>
          <w:sz w:val="20"/>
          <w:szCs w:val="20"/>
          <w:u w:val="single"/>
          <w:shd w:val="clear" w:color="auto" w:fill="FFFFFF"/>
          <w:lang w:val="en-US"/>
        </w:rPr>
        <w:t>the lack of clarity in the law regarding the proper moment to file a report,</w:t>
      </w:r>
      <w:r w:rsidRPr="00EA6C7A">
        <w:rPr>
          <w:rFonts w:ascii="Verdana" w:eastAsia="Calibri" w:hAnsi="Verdana" w:cs="Tahoma"/>
          <w:bCs/>
          <w:color w:val="000000"/>
          <w:sz w:val="20"/>
          <w:szCs w:val="20"/>
          <w:shd w:val="clear" w:color="auto" w:fill="FFFFFF"/>
          <w:vertAlign w:val="superscript"/>
          <w:lang w:val="en-US"/>
        </w:rPr>
        <w:footnoteReference w:id="448"/>
      </w:r>
      <w:r w:rsidRPr="00EA6C7A">
        <w:rPr>
          <w:rFonts w:ascii="Verdana" w:eastAsia="Calibri" w:hAnsi="Verdana" w:cs="Tahoma"/>
          <w:bCs/>
          <w:color w:val="000000"/>
          <w:sz w:val="20"/>
          <w:szCs w:val="20"/>
          <w:shd w:val="clear" w:color="auto" w:fill="FFFFFF"/>
          <w:lang w:val="en-US"/>
        </w:rPr>
        <w:t xml:space="preserve"> consider</w:t>
      </w:r>
      <w:r w:rsidR="00160741" w:rsidRPr="00EA6C7A">
        <w:rPr>
          <w:rFonts w:ascii="Verdana" w:eastAsia="Calibri" w:hAnsi="Verdana" w:cs="Tahoma"/>
          <w:bCs/>
          <w:color w:val="000000"/>
          <w:sz w:val="20"/>
          <w:szCs w:val="20"/>
          <w:shd w:val="clear" w:color="auto" w:fill="FFFFFF"/>
          <w:lang w:val="en-US"/>
        </w:rPr>
        <w:t xml:space="preserve">ing </w:t>
      </w:r>
      <w:r w:rsidR="00160741" w:rsidRPr="00EA6C7A">
        <w:rPr>
          <w:rFonts w:ascii="Verdana" w:eastAsia="Calibri" w:hAnsi="Verdana" w:cs="Tahoma"/>
          <w:bCs/>
          <w:color w:val="000000"/>
          <w:sz w:val="20"/>
          <w:szCs w:val="20"/>
          <w:shd w:val="clear" w:color="auto" w:fill="FFFFFF"/>
          <w:lang w:val="en-US"/>
        </w:rPr>
        <w:lastRenderedPageBreak/>
        <w:t>that the action of the authorities had not involved the adoption of the necessary measures to prevent or avoid the danger reported by the victims.</w:t>
      </w:r>
      <w:r w:rsidRPr="00EA6C7A">
        <w:rPr>
          <w:rFonts w:ascii="Verdana" w:eastAsia="Calibri" w:hAnsi="Verdana" w:cs="Tahoma"/>
          <w:bCs/>
          <w:color w:val="000000"/>
          <w:sz w:val="20"/>
          <w:szCs w:val="20"/>
          <w:shd w:val="clear" w:color="auto" w:fill="FFFFFF"/>
          <w:vertAlign w:val="superscript"/>
          <w:lang w:val="en-US"/>
        </w:rPr>
        <w:footnoteReference w:id="449"/>
      </w:r>
      <w:r w:rsidR="00160741" w:rsidRPr="00EA6C7A">
        <w:rPr>
          <w:rFonts w:ascii="Verdana" w:eastAsia="Calibri" w:hAnsi="Verdana" w:cs="Tahoma"/>
          <w:bCs/>
          <w:color w:val="000000"/>
          <w:sz w:val="20"/>
          <w:szCs w:val="20"/>
          <w:shd w:val="clear" w:color="auto" w:fill="FFFFFF"/>
          <w:lang w:val="en-US"/>
        </w:rPr>
        <w:t xml:space="preserve"> Consequently, he Court considered that</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Articles</w:t>
      </w:r>
      <w:r w:rsidRPr="00EA6C7A">
        <w:rPr>
          <w:rFonts w:ascii="Verdana" w:eastAsia="Calibri" w:hAnsi="Verdana" w:cs="Tahoma"/>
          <w:bCs/>
          <w:color w:val="000000"/>
          <w:sz w:val="20"/>
          <w:szCs w:val="20"/>
          <w:shd w:val="clear" w:color="auto" w:fill="FFFFFF"/>
          <w:lang w:val="en-US"/>
        </w:rPr>
        <w:t xml:space="preserve"> 2</w:t>
      </w:r>
      <w:r w:rsidR="0096418F" w:rsidRPr="00EA6C7A">
        <w:rPr>
          <w:rFonts w:ascii="Verdana" w:eastAsia="Calibri" w:hAnsi="Verdana" w:cs="Tahoma"/>
          <w:bCs/>
          <w:color w:val="000000"/>
          <w:sz w:val="20"/>
          <w:szCs w:val="20"/>
          <w:shd w:val="clear" w:color="auto" w:fill="FFFFFF"/>
          <w:lang w:val="en-US"/>
        </w:rPr>
        <w:t xml:space="preserve"> of the American Convention</w:t>
      </w:r>
      <w:r w:rsidR="00D948A1" w:rsidRPr="00EA6C7A">
        <w:rPr>
          <w:rFonts w:ascii="Verdana" w:eastAsia="Calibri" w:hAnsi="Verdana" w:cs="Tahoma"/>
          <w:bCs/>
          <w:color w:val="000000"/>
          <w:sz w:val="20"/>
          <w:szCs w:val="20"/>
          <w:shd w:val="clear" w:color="auto" w:fill="FFFFFF"/>
          <w:lang w:val="en-US"/>
        </w:rPr>
        <w:t xml:space="preserve"> and </w:t>
      </w:r>
      <w:r w:rsidRPr="00EA6C7A">
        <w:rPr>
          <w:rFonts w:ascii="Verdana" w:eastAsia="Calibri" w:hAnsi="Verdana" w:cs="Tahoma"/>
          <w:bCs/>
          <w:color w:val="000000"/>
          <w:sz w:val="20"/>
          <w:szCs w:val="20"/>
          <w:shd w:val="clear" w:color="auto" w:fill="FFFFFF"/>
          <w:lang w:val="en-US"/>
        </w:rPr>
        <w:t>7</w:t>
      </w:r>
      <w:r w:rsidR="00D5307F"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 </w:t>
      </w:r>
      <w:r w:rsidR="00160741" w:rsidRPr="00EA6C7A">
        <w:rPr>
          <w:rFonts w:ascii="Verdana" w:eastAsia="Calibri" w:hAnsi="Verdana" w:cs="Tahoma"/>
          <w:bCs/>
          <w:color w:val="000000"/>
          <w:sz w:val="20"/>
          <w:szCs w:val="20"/>
          <w:shd w:val="clear" w:color="auto" w:fill="FFFFFF"/>
          <w:lang w:val="en-US"/>
        </w:rPr>
        <w:t>had been violated owing to the lack of capacity,</w:t>
      </w:r>
      <w:r w:rsidR="008E3357"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color w:val="000000"/>
          <w:sz w:val="20"/>
          <w:szCs w:val="20"/>
          <w:shd w:val="clear" w:color="auto" w:fill="FFFFFF"/>
          <w:lang w:val="en-US"/>
        </w:rPr>
        <w:t xml:space="preserve">sensitivity, willingness and training to respond to </w:t>
      </w:r>
      <w:r w:rsidR="008A04F5" w:rsidRPr="00EA6C7A">
        <w:rPr>
          <w:rFonts w:ascii="Verdana" w:eastAsia="Calibri" w:hAnsi="Verdana" w:cs="Tahoma"/>
          <w:bCs/>
          <w:color w:val="000000"/>
          <w:sz w:val="20"/>
          <w:szCs w:val="20"/>
          <w:shd w:val="clear" w:color="auto" w:fill="FFFFFF"/>
          <w:lang w:val="en-US"/>
        </w:rPr>
        <w:t>missing person report</w:t>
      </w:r>
      <w:r w:rsidR="008E3357" w:rsidRPr="00EA6C7A">
        <w:rPr>
          <w:rFonts w:ascii="Verdana" w:eastAsia="Calibri" w:hAnsi="Verdana" w:cs="Tahoma"/>
          <w:bCs/>
          <w:color w:val="000000"/>
          <w:sz w:val="20"/>
          <w:szCs w:val="20"/>
          <w:shd w:val="clear" w:color="auto" w:fill="FFFFFF"/>
          <w:lang w:val="en-US"/>
        </w:rPr>
        <w:t>s</w:t>
      </w:r>
      <w:r w:rsidR="00160741" w:rsidRPr="00EA6C7A">
        <w:rPr>
          <w:rFonts w:ascii="Verdana" w:eastAsia="Calibri" w:hAnsi="Verdana" w:cs="Tahoma"/>
          <w:bCs/>
          <w:color w:val="000000"/>
          <w:sz w:val="20"/>
          <w:szCs w:val="20"/>
          <w:shd w:val="clear" w:color="auto" w:fill="FFFFFF"/>
          <w:lang w:val="en-US"/>
        </w:rPr>
        <w:t xml:space="preserve"> in the Guatemalan context, as well as the absence of immediate and effective actions.</w:t>
      </w:r>
      <w:r w:rsidRPr="00EA6C7A">
        <w:rPr>
          <w:rFonts w:ascii="Verdana" w:eastAsia="Calibri" w:hAnsi="Verdana" w:cs="Tahoma"/>
          <w:bCs/>
          <w:color w:val="000000"/>
          <w:sz w:val="20"/>
          <w:szCs w:val="20"/>
          <w:shd w:val="clear" w:color="auto" w:fill="FFFFFF"/>
          <w:vertAlign w:val="superscript"/>
          <w:lang w:val="en-US"/>
        </w:rPr>
        <w:footnoteReference w:id="450"/>
      </w:r>
      <w:r w:rsidR="00160741" w:rsidRPr="00EA6C7A">
        <w:rPr>
          <w:rFonts w:ascii="Verdana" w:eastAsia="Calibri" w:hAnsi="Verdana" w:cs="Tahoma"/>
          <w:bCs/>
          <w:color w:val="000000"/>
          <w:sz w:val="20"/>
          <w:szCs w:val="20"/>
          <w:shd w:val="clear" w:color="auto" w:fill="FFFFFF"/>
          <w:lang w:val="en-US"/>
        </w:rPr>
        <w:t xml:space="preserve"> The Court also declared the violation of</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Article</w:t>
      </w:r>
      <w:r w:rsidRPr="00EA6C7A">
        <w:rPr>
          <w:rFonts w:ascii="Verdana" w:eastAsia="Calibri" w:hAnsi="Verdana" w:cs="Tahoma"/>
          <w:bCs/>
          <w:color w:val="000000"/>
          <w:sz w:val="20"/>
          <w:szCs w:val="20"/>
          <w:shd w:val="clear" w:color="auto" w:fill="FFFFFF"/>
          <w:lang w:val="en-US"/>
        </w:rPr>
        <w:t xml:space="preserve"> 7</w:t>
      </w:r>
      <w:r w:rsidR="00D5307F" w:rsidRPr="00EA6C7A">
        <w:rPr>
          <w:rFonts w:ascii="Verdana" w:eastAsia="Calibri" w:hAnsi="Verdana" w:cs="Tahoma"/>
          <w:bCs/>
          <w:color w:val="000000"/>
          <w:sz w:val="20"/>
          <w:szCs w:val="20"/>
          <w:shd w:val="clear" w:color="auto" w:fill="FFFFFF"/>
          <w:lang w:val="en-US"/>
        </w:rPr>
        <w:t xml:space="preserve"> of the </w:t>
      </w:r>
      <w:r w:rsidRPr="00EA6C7A">
        <w:rPr>
          <w:rFonts w:ascii="Verdana" w:eastAsia="Calibri" w:hAnsi="Verdana" w:cs="Tahoma"/>
          <w:bCs/>
          <w:color w:val="000000"/>
          <w:sz w:val="20"/>
          <w:szCs w:val="20"/>
          <w:shd w:val="clear" w:color="auto" w:fill="FFFFFF"/>
          <w:lang w:val="en-US"/>
        </w:rPr>
        <w:t>“</w:t>
      </w:r>
      <w:r w:rsidR="002C132E" w:rsidRPr="00EA6C7A">
        <w:rPr>
          <w:rFonts w:ascii="Verdana" w:eastAsia="Calibri" w:hAnsi="Verdana" w:cs="Tahoma"/>
          <w:bCs/>
          <w:color w:val="000000"/>
          <w:sz w:val="20"/>
          <w:szCs w:val="20"/>
          <w:shd w:val="clear" w:color="auto" w:fill="FFFFFF"/>
          <w:lang w:val="en-US"/>
        </w:rPr>
        <w:t>Convention of Belém</w:t>
      </w:r>
      <w:r w:rsidRPr="00EA6C7A">
        <w:rPr>
          <w:rFonts w:ascii="Verdana" w:eastAsia="Calibri" w:hAnsi="Verdana" w:cs="Tahoma"/>
          <w:bCs/>
          <w:color w:val="000000"/>
          <w:sz w:val="20"/>
          <w:szCs w:val="20"/>
          <w:shd w:val="clear" w:color="auto" w:fill="FFFFFF"/>
          <w:lang w:val="en-US"/>
        </w:rPr>
        <w:t xml:space="preserve"> do Pará” </w:t>
      </w:r>
      <w:r w:rsidR="00160741" w:rsidRPr="00EA6C7A">
        <w:rPr>
          <w:rFonts w:ascii="Verdana" w:eastAsia="Calibri" w:hAnsi="Verdana" w:cs="Tahoma"/>
          <w:bCs/>
          <w:color w:val="000000"/>
          <w:sz w:val="20"/>
          <w:szCs w:val="20"/>
          <w:shd w:val="clear" w:color="auto" w:fill="FFFFFF"/>
          <w:lang w:val="en-US"/>
        </w:rPr>
        <w:t xml:space="preserve">as a result of the failure to ensure the free and full exercise </w:t>
      </w:r>
      <w:r w:rsidR="00123BD3" w:rsidRPr="00EA6C7A">
        <w:rPr>
          <w:rFonts w:ascii="Verdana" w:eastAsia="Calibri" w:hAnsi="Verdana" w:cs="Tahoma"/>
          <w:bCs/>
          <w:color w:val="000000"/>
          <w:sz w:val="20"/>
          <w:szCs w:val="20"/>
          <w:shd w:val="clear" w:color="auto" w:fill="FFFFFF"/>
          <w:lang w:val="en-US"/>
        </w:rPr>
        <w:t>of the rights to</w:t>
      </w:r>
      <w:r w:rsidRPr="00EA6C7A">
        <w:rPr>
          <w:rFonts w:ascii="Verdana" w:eastAsia="Calibri" w:hAnsi="Verdana" w:cs="Tahoma"/>
          <w:bCs/>
          <w:color w:val="000000"/>
          <w:sz w:val="20"/>
          <w:szCs w:val="20"/>
          <w:shd w:val="clear" w:color="auto" w:fill="FFFFFF"/>
          <w:lang w:val="en-US"/>
        </w:rPr>
        <w:t xml:space="preserve"> </w:t>
      </w:r>
      <w:r w:rsidR="00515C34" w:rsidRPr="00EA6C7A">
        <w:rPr>
          <w:rFonts w:ascii="Verdana" w:eastAsia="Calibri" w:hAnsi="Verdana" w:cs="Tahoma"/>
          <w:bCs/>
          <w:color w:val="000000"/>
          <w:sz w:val="20"/>
          <w:szCs w:val="20"/>
          <w:shd w:val="clear" w:color="auto" w:fill="FFFFFF"/>
          <w:lang w:val="en-US"/>
        </w:rPr>
        <w:t>life and to personal integrity</w:t>
      </w:r>
      <w:r w:rsidR="00160741"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51"/>
      </w:r>
    </w:p>
    <w:p w14:paraId="7A0C1458"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3C7570A6"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44. </w:t>
      </w:r>
      <w:r w:rsidRPr="00EA6C7A">
        <w:rPr>
          <w:rFonts w:ascii="Verdana" w:eastAsia="Calibri" w:hAnsi="Verdana" w:cs="Tahoma"/>
          <w:bCs/>
          <w:color w:val="000000"/>
          <w:sz w:val="20"/>
          <w:szCs w:val="20"/>
          <w:shd w:val="clear" w:color="auto" w:fill="FFFFFF"/>
          <w:lang w:val="en-US"/>
        </w:rPr>
        <w:tab/>
      </w:r>
      <w:r w:rsidR="00160741" w:rsidRPr="00EA6C7A">
        <w:rPr>
          <w:rFonts w:ascii="Verdana" w:eastAsia="Calibri" w:hAnsi="Verdana" w:cs="Tahoma"/>
          <w:bCs/>
          <w:color w:val="000000"/>
          <w:sz w:val="20"/>
          <w:szCs w:val="20"/>
          <w:shd w:val="clear" w:color="auto" w:fill="FFFFFF"/>
          <w:lang w:val="en-US"/>
        </w:rPr>
        <w:t xml:space="preserve">The foregoing reveals, at first sight, that based on the absence of a ruling by the Court on concluding its analysis </w:t>
      </w:r>
      <w:r w:rsidR="00A534EF" w:rsidRPr="00EA6C7A">
        <w:rPr>
          <w:rFonts w:ascii="Verdana" w:eastAsia="Calibri" w:hAnsi="Verdana" w:cs="Tahoma"/>
          <w:bCs/>
          <w:color w:val="000000"/>
          <w:sz w:val="20"/>
          <w:szCs w:val="20"/>
          <w:shd w:val="clear" w:color="auto" w:fill="FFFFFF"/>
          <w:lang w:val="en-US"/>
        </w:rPr>
        <w:t xml:space="preserve">of the </w:t>
      </w:r>
      <w:r w:rsidR="00160741" w:rsidRPr="00EA6C7A">
        <w:rPr>
          <w:rFonts w:ascii="Verdana" w:eastAsia="Calibri" w:hAnsi="Verdana" w:cs="Tahoma"/>
          <w:bCs/>
          <w:color w:val="000000"/>
          <w:sz w:val="20"/>
          <w:szCs w:val="20"/>
          <w:shd w:val="clear" w:color="auto" w:fill="FFFFFF"/>
          <w:lang w:val="en-US"/>
        </w:rPr>
        <w:t xml:space="preserve">general </w:t>
      </w:r>
      <w:r w:rsidR="00A534EF" w:rsidRPr="00EA6C7A">
        <w:rPr>
          <w:rFonts w:ascii="Verdana" w:eastAsia="Calibri" w:hAnsi="Verdana" w:cs="Tahoma"/>
          <w:bCs/>
          <w:color w:val="000000"/>
          <w:sz w:val="20"/>
          <w:szCs w:val="20"/>
          <w:shd w:val="clear" w:color="auto" w:fill="FFFFFF"/>
          <w:lang w:val="en-US"/>
        </w:rPr>
        <w:t>obligation</w:t>
      </w:r>
      <w:r w:rsidR="00D5307F" w:rsidRPr="00EA6C7A">
        <w:rPr>
          <w:rFonts w:ascii="Verdana" w:eastAsia="Calibri" w:hAnsi="Verdana" w:cs="Tahoma"/>
          <w:bCs/>
          <w:color w:val="000000"/>
          <w:sz w:val="20"/>
          <w:szCs w:val="20"/>
          <w:shd w:val="clear" w:color="auto" w:fill="FFFFFF"/>
          <w:lang w:val="en-US"/>
        </w:rPr>
        <w:t xml:space="preserve"> of prevention</w:t>
      </w:r>
      <w:r w:rsidR="00160741" w:rsidRPr="00EA6C7A">
        <w:rPr>
          <w:rFonts w:ascii="Verdana" w:eastAsia="Calibri" w:hAnsi="Verdana" w:cs="Tahoma"/>
          <w:bCs/>
          <w:color w:val="000000"/>
          <w:sz w:val="20"/>
          <w:szCs w:val="20"/>
          <w:shd w:val="clear" w:color="auto" w:fill="FFFFFF"/>
          <w:lang w:val="en-US"/>
        </w:rPr>
        <w:t xml:space="preserve"> – in other words, </w:t>
      </w:r>
      <w:r w:rsidR="008E3357" w:rsidRPr="00EA6C7A">
        <w:rPr>
          <w:rFonts w:ascii="Verdana" w:eastAsia="Calibri" w:hAnsi="Verdana" w:cs="Tahoma"/>
          <w:bCs/>
          <w:color w:val="000000"/>
          <w:sz w:val="20"/>
          <w:szCs w:val="20"/>
          <w:shd w:val="clear" w:color="auto" w:fill="FFFFFF"/>
          <w:lang w:val="en-US"/>
        </w:rPr>
        <w:t>during</w:t>
      </w:r>
      <w:r w:rsidR="00160741" w:rsidRPr="00EA6C7A">
        <w:rPr>
          <w:rFonts w:ascii="Verdana" w:eastAsia="Calibri" w:hAnsi="Verdana" w:cs="Tahoma"/>
          <w:bCs/>
          <w:color w:val="000000"/>
          <w:sz w:val="20"/>
          <w:szCs w:val="20"/>
          <w:shd w:val="clear" w:color="auto" w:fill="FFFFFF"/>
          <w:lang w:val="en-US"/>
        </w:rPr>
        <w:t xml:space="preserve">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color w:val="000000"/>
          <w:sz w:val="20"/>
          <w:szCs w:val="20"/>
          <w:shd w:val="clear" w:color="auto" w:fill="FFFFFF"/>
          <w:lang w:val="en-US"/>
        </w:rPr>
        <w:t>of this obligation</w:t>
      </w:r>
      <w:r w:rsidRPr="00EA6C7A">
        <w:rPr>
          <w:rFonts w:ascii="Verdana" w:eastAsia="Calibri" w:hAnsi="Verdana" w:cs="Tahoma"/>
          <w:bCs/>
          <w:color w:val="000000"/>
          <w:sz w:val="20"/>
          <w:szCs w:val="20"/>
          <w:shd w:val="clear" w:color="auto" w:fill="FFFFFF"/>
          <w:lang w:val="en-US"/>
        </w:rPr>
        <w:t xml:space="preserve"> (</w:t>
      </w:r>
      <w:r w:rsidR="0001699C" w:rsidRPr="00EA6C7A">
        <w:rPr>
          <w:rFonts w:ascii="Verdana" w:eastAsia="Calibri" w:hAnsi="Verdana" w:cs="Tahoma"/>
          <w:bCs/>
          <w:color w:val="000000"/>
          <w:sz w:val="20"/>
          <w:szCs w:val="20"/>
          <w:shd w:val="clear" w:color="auto" w:fill="FFFFFF"/>
          <w:lang w:val="en-US"/>
        </w:rPr>
        <w:t>before the disappearance</w:t>
      </w:r>
      <w:r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color w:val="000000"/>
          <w:sz w:val="20"/>
          <w:szCs w:val="20"/>
          <w:shd w:val="clear" w:color="auto" w:fill="FFFFFF"/>
          <w:lang w:val="en-US"/>
        </w:rPr>
        <w:t xml:space="preserve">of </w:t>
      </w:r>
      <w:r w:rsidRPr="00EA6C7A">
        <w:rPr>
          <w:rFonts w:ascii="Verdana" w:eastAsia="Calibri" w:hAnsi="Verdana" w:cs="Tahoma"/>
          <w:bCs/>
          <w:color w:val="000000"/>
          <w:sz w:val="20"/>
          <w:szCs w:val="20"/>
          <w:shd w:val="clear" w:color="auto" w:fill="FFFFFF"/>
          <w:lang w:val="en-US"/>
        </w:rPr>
        <w:t>Claudina Velásquez)</w:t>
      </w:r>
      <w:r w:rsidR="00160741" w:rsidRPr="00EA6C7A">
        <w:rPr>
          <w:rFonts w:ascii="Verdana" w:eastAsia="Calibri" w:hAnsi="Verdana" w:cs="Tahoma"/>
          <w:bCs/>
          <w:color w:val="000000"/>
          <w:sz w:val="20"/>
          <w:szCs w:val="20"/>
          <w:shd w:val="clear" w:color="auto" w:fill="FFFFFF"/>
          <w:lang w:val="en-US"/>
        </w:rPr>
        <w:t xml:space="preserve"> –</w:t>
      </w:r>
      <w:r w:rsidR="008E3357" w:rsidRPr="00EA6C7A">
        <w:rPr>
          <w:rFonts w:ascii="Verdana" w:eastAsia="Calibri" w:hAnsi="Verdana" w:cs="Tahoma"/>
          <w:bCs/>
          <w:color w:val="000000"/>
          <w:sz w:val="20"/>
          <w:szCs w:val="20"/>
          <w:shd w:val="clear" w:color="auto" w:fill="FFFFFF"/>
          <w:lang w:val="en-US"/>
        </w:rPr>
        <w:t xml:space="preserve"> the </w:t>
      </w:r>
      <w:r w:rsidR="00671A06" w:rsidRPr="00EA6C7A">
        <w:rPr>
          <w:rFonts w:ascii="Verdana" w:eastAsia="Calibri" w:hAnsi="Verdana" w:cs="Tahoma"/>
          <w:bCs/>
          <w:color w:val="000000"/>
          <w:sz w:val="20"/>
          <w:szCs w:val="20"/>
          <w:shd w:val="clear" w:color="auto" w:fill="FFFFFF"/>
          <w:lang w:val="en-US"/>
        </w:rPr>
        <w:t>State</w:t>
      </w:r>
      <w:r w:rsidR="008E3357" w:rsidRPr="00EA6C7A">
        <w:rPr>
          <w:rFonts w:ascii="Verdana" w:eastAsia="Calibri" w:hAnsi="Verdana" w:cs="Tahoma"/>
          <w:bCs/>
          <w:color w:val="000000"/>
          <w:sz w:val="20"/>
          <w:szCs w:val="20"/>
          <w:shd w:val="clear" w:color="auto" w:fill="FFFFFF"/>
          <w:lang w:val="en-US"/>
        </w:rPr>
        <w:t>’s</w:t>
      </w:r>
      <w:r w:rsidR="00160741" w:rsidRPr="00EA6C7A">
        <w:rPr>
          <w:rFonts w:ascii="Verdana" w:eastAsia="Calibri" w:hAnsi="Verdana" w:cs="Tahoma"/>
          <w:bCs/>
          <w:color w:val="000000"/>
          <w:sz w:val="20"/>
          <w:szCs w:val="20"/>
          <w:shd w:val="clear" w:color="auto" w:fill="FFFFFF"/>
          <w:lang w:val="en-US"/>
        </w:rPr>
        <w:t xml:space="preserve"> responsibility</w:t>
      </w:r>
      <w:r w:rsidR="008E3357" w:rsidRPr="00EA6C7A">
        <w:rPr>
          <w:rFonts w:ascii="Verdana" w:eastAsia="Calibri" w:hAnsi="Verdana" w:cs="Tahoma"/>
          <w:bCs/>
          <w:color w:val="000000"/>
          <w:sz w:val="20"/>
          <w:szCs w:val="20"/>
          <w:shd w:val="clear" w:color="auto" w:fill="FFFFFF"/>
          <w:lang w:val="en-US"/>
        </w:rPr>
        <w:t xml:space="preserve"> is </w:t>
      </w:r>
      <w:r w:rsidR="00876BEA" w:rsidRPr="00EA6C7A">
        <w:rPr>
          <w:rFonts w:ascii="Verdana" w:eastAsia="Calibri" w:hAnsi="Verdana" w:cs="Tahoma"/>
          <w:bCs/>
          <w:color w:val="000000"/>
          <w:sz w:val="20"/>
          <w:szCs w:val="20"/>
          <w:shd w:val="clear" w:color="auto" w:fill="FFFFFF"/>
          <w:lang w:val="en-US"/>
        </w:rPr>
        <w:t>constituted by</w:t>
      </w:r>
      <w:r w:rsidR="00160741" w:rsidRPr="00EA6C7A">
        <w:rPr>
          <w:rFonts w:ascii="Verdana" w:eastAsia="Calibri" w:hAnsi="Verdana" w:cs="Tahoma"/>
          <w:bCs/>
          <w:color w:val="000000"/>
          <w:sz w:val="20"/>
          <w:szCs w:val="20"/>
          <w:shd w:val="clear" w:color="auto" w:fill="FFFFFF"/>
          <w:lang w:val="en-US"/>
        </w:rPr>
        <w:t xml:space="preserve"> </w:t>
      </w:r>
      <w:r w:rsidR="00876BEA" w:rsidRPr="00EA6C7A">
        <w:rPr>
          <w:rFonts w:ascii="Verdana" w:eastAsia="Calibri" w:hAnsi="Verdana" w:cs="Tahoma"/>
          <w:bCs/>
          <w:color w:val="000000"/>
          <w:sz w:val="20"/>
          <w:szCs w:val="20"/>
          <w:shd w:val="clear" w:color="auto" w:fill="FFFFFF"/>
          <w:lang w:val="en-US"/>
        </w:rPr>
        <w:t>the Court’s</w:t>
      </w:r>
      <w:r w:rsidR="00160741" w:rsidRPr="00EA6C7A">
        <w:rPr>
          <w:rFonts w:ascii="Verdana" w:eastAsia="Calibri" w:hAnsi="Verdana" w:cs="Tahoma"/>
          <w:bCs/>
          <w:color w:val="000000"/>
          <w:sz w:val="20"/>
          <w:szCs w:val="20"/>
          <w:shd w:val="clear" w:color="auto" w:fill="FFFFFF"/>
          <w:lang w:val="en-US"/>
        </w:rPr>
        <w:t xml:space="preserve"> analysis of the specific obligation of prevention, establishing the international responsibility of Guatemala as a result of the analysis of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 —</w:t>
      </w:r>
      <w:r w:rsidR="00160741" w:rsidRPr="00EA6C7A">
        <w:rPr>
          <w:rFonts w:ascii="Verdana" w:eastAsia="Calibri" w:hAnsi="Verdana" w:cs="Tahoma"/>
          <w:bCs/>
          <w:color w:val="000000"/>
          <w:sz w:val="20"/>
          <w:szCs w:val="20"/>
          <w:shd w:val="clear" w:color="auto" w:fill="FFFFFF"/>
          <w:lang w:val="en-US"/>
        </w:rPr>
        <w:t xml:space="preserve"> before </w:t>
      </w:r>
      <w:r w:rsidRPr="00EA6C7A">
        <w:rPr>
          <w:rFonts w:ascii="Verdana" w:eastAsia="Calibri" w:hAnsi="Verdana" w:cs="Tahoma"/>
          <w:bCs/>
          <w:color w:val="000000"/>
          <w:sz w:val="20"/>
          <w:szCs w:val="20"/>
          <w:shd w:val="clear" w:color="auto" w:fill="FFFFFF"/>
          <w:lang w:val="en-US"/>
        </w:rPr>
        <w:t>Claudina Velázquez</w:t>
      </w:r>
      <w:r w:rsidR="00160741" w:rsidRPr="00EA6C7A">
        <w:rPr>
          <w:rFonts w:ascii="Verdana" w:eastAsia="Calibri" w:hAnsi="Verdana" w:cs="Tahoma"/>
          <w:bCs/>
          <w:color w:val="000000"/>
          <w:sz w:val="20"/>
          <w:szCs w:val="20"/>
          <w:shd w:val="clear" w:color="auto" w:fill="FFFFFF"/>
          <w:lang w:val="en-US"/>
        </w:rPr>
        <w:t xml:space="preserve">’s body was found </w:t>
      </w:r>
      <w:r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color w:val="000000"/>
          <w:sz w:val="20"/>
          <w:szCs w:val="20"/>
          <w:shd w:val="clear" w:color="auto" w:fill="FFFFFF"/>
          <w:lang w:val="en-US"/>
        </w:rPr>
        <w:t>as a result of the failure of the authorities to take measures aimed at preventing the danger reported by the victim’s parents</w:t>
      </w:r>
      <w:r w:rsidRPr="00EA6C7A">
        <w:rPr>
          <w:rFonts w:ascii="Verdana" w:eastAsia="Calibri" w:hAnsi="Verdana" w:cs="Tahoma"/>
          <w:bCs/>
          <w:color w:val="000000"/>
          <w:sz w:val="20"/>
          <w:szCs w:val="20"/>
          <w:shd w:val="clear" w:color="auto" w:fill="FFFFFF"/>
          <w:lang w:val="en-US"/>
        </w:rPr>
        <w:t>.</w:t>
      </w:r>
    </w:p>
    <w:p w14:paraId="006F73BD"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4EB7CE8F"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45. </w:t>
      </w:r>
      <w:r w:rsidRPr="00EA6C7A">
        <w:rPr>
          <w:rFonts w:ascii="Verdana" w:eastAsia="Calibri" w:hAnsi="Verdana" w:cs="Tahoma"/>
          <w:bCs/>
          <w:color w:val="000000"/>
          <w:sz w:val="20"/>
          <w:szCs w:val="20"/>
          <w:shd w:val="clear" w:color="auto" w:fill="FFFFFF"/>
          <w:lang w:val="en-US"/>
        </w:rPr>
        <w:tab/>
      </w:r>
      <w:r w:rsidR="00160741" w:rsidRPr="00EA6C7A">
        <w:rPr>
          <w:rFonts w:ascii="Verdana" w:eastAsia="Calibri" w:hAnsi="Verdana" w:cs="Tahoma"/>
          <w:bCs/>
          <w:color w:val="000000"/>
          <w:sz w:val="20"/>
          <w:szCs w:val="20"/>
          <w:shd w:val="clear" w:color="auto" w:fill="FFFFFF"/>
          <w:lang w:val="en-US"/>
        </w:rPr>
        <w:t xml:space="preserve">I consider that this has </w:t>
      </w:r>
      <w:r w:rsidR="00876BEA" w:rsidRPr="00EA6C7A">
        <w:rPr>
          <w:rFonts w:ascii="Verdana" w:eastAsia="Calibri" w:hAnsi="Verdana" w:cs="Tahoma"/>
          <w:bCs/>
          <w:color w:val="000000"/>
          <w:sz w:val="20"/>
          <w:szCs w:val="20"/>
          <w:shd w:val="clear" w:color="auto" w:fill="FFFFFF"/>
          <w:lang w:val="en-US"/>
        </w:rPr>
        <w:t xml:space="preserve">a </w:t>
      </w:r>
      <w:r w:rsidR="00160741" w:rsidRPr="00EA6C7A">
        <w:rPr>
          <w:rFonts w:ascii="Verdana" w:eastAsia="Calibri" w:hAnsi="Verdana" w:cs="Tahoma"/>
          <w:bCs/>
          <w:color w:val="000000"/>
          <w:sz w:val="20"/>
          <w:szCs w:val="20"/>
          <w:shd w:val="clear" w:color="auto" w:fill="FFFFFF"/>
          <w:lang w:val="en-US"/>
        </w:rPr>
        <w:t xml:space="preserve">negative </w:t>
      </w:r>
      <w:r w:rsidR="00876BEA" w:rsidRPr="00EA6C7A">
        <w:rPr>
          <w:rFonts w:ascii="Verdana" w:eastAsia="Calibri" w:hAnsi="Verdana" w:cs="Tahoma"/>
          <w:bCs/>
          <w:color w:val="000000"/>
          <w:sz w:val="20"/>
          <w:szCs w:val="20"/>
          <w:shd w:val="clear" w:color="auto" w:fill="FFFFFF"/>
          <w:lang w:val="en-US"/>
        </w:rPr>
        <w:t>impact</w:t>
      </w:r>
      <w:r w:rsidR="00160741" w:rsidRPr="00EA6C7A">
        <w:rPr>
          <w:rFonts w:ascii="Verdana" w:eastAsia="Calibri" w:hAnsi="Verdana" w:cs="Tahoma"/>
          <w:bCs/>
          <w:color w:val="000000"/>
          <w:sz w:val="20"/>
          <w:szCs w:val="20"/>
          <w:shd w:val="clear" w:color="auto" w:fill="FFFFFF"/>
          <w:lang w:val="en-US"/>
        </w:rPr>
        <w:t xml:space="preserve"> on the analysis </w:t>
      </w:r>
      <w:r w:rsidR="00A534EF" w:rsidRPr="00EA6C7A">
        <w:rPr>
          <w:rFonts w:ascii="Verdana" w:eastAsia="Calibri" w:hAnsi="Verdana" w:cs="Tahoma"/>
          <w:bCs/>
          <w:color w:val="000000"/>
          <w:sz w:val="20"/>
          <w:szCs w:val="20"/>
          <w:shd w:val="clear" w:color="auto" w:fill="FFFFFF"/>
          <w:lang w:val="en-US"/>
        </w:rPr>
        <w:t>of the obligation</w:t>
      </w:r>
      <w:r w:rsidR="00D5307F" w:rsidRPr="00EA6C7A">
        <w:rPr>
          <w:rFonts w:ascii="Verdana" w:eastAsia="Calibri" w:hAnsi="Verdana" w:cs="Tahoma"/>
          <w:bCs/>
          <w:color w:val="000000"/>
          <w:sz w:val="20"/>
          <w:szCs w:val="20"/>
          <w:shd w:val="clear" w:color="auto" w:fill="FFFFFF"/>
          <w:lang w:val="en-US"/>
        </w:rPr>
        <w:t xml:space="preserve"> of prevention</w:t>
      </w:r>
      <w:r w:rsidRPr="00EA6C7A">
        <w:rPr>
          <w:rFonts w:ascii="Verdana" w:eastAsia="Calibri" w:hAnsi="Verdana" w:cs="Tahoma"/>
          <w:bCs/>
          <w:color w:val="000000"/>
          <w:sz w:val="20"/>
          <w:szCs w:val="20"/>
          <w:shd w:val="clear" w:color="auto" w:fill="FFFFFF"/>
          <w:lang w:val="en-US"/>
        </w:rPr>
        <w:t xml:space="preserve"> </w:t>
      </w:r>
      <w:r w:rsidR="00160741" w:rsidRPr="00EA6C7A">
        <w:rPr>
          <w:rFonts w:ascii="Verdana" w:eastAsia="Calibri" w:hAnsi="Verdana" w:cs="Tahoma"/>
          <w:bCs/>
          <w:i/>
          <w:color w:val="000000"/>
          <w:sz w:val="20"/>
          <w:szCs w:val="20"/>
          <w:shd w:val="clear" w:color="auto" w:fill="FFFFFF"/>
          <w:lang w:val="en-US"/>
        </w:rPr>
        <w:t>as a whole</w:t>
      </w:r>
      <w:r w:rsidR="00D948A1" w:rsidRPr="00EA6C7A">
        <w:rPr>
          <w:rFonts w:ascii="Verdana" w:eastAsia="Calibri" w:hAnsi="Verdana" w:cs="Tahoma"/>
          <w:bCs/>
          <w:color w:val="000000"/>
          <w:sz w:val="20"/>
          <w:szCs w:val="20"/>
          <w:shd w:val="clear" w:color="auto" w:fill="FFFFFF"/>
          <w:lang w:val="en-US"/>
        </w:rPr>
        <w:t xml:space="preserve"> and</w:t>
      </w:r>
      <w:r w:rsidR="00160741" w:rsidRPr="00EA6C7A">
        <w:rPr>
          <w:rFonts w:ascii="Verdana" w:eastAsia="Calibri" w:hAnsi="Verdana" w:cs="Tahoma"/>
          <w:bCs/>
          <w:color w:val="000000"/>
          <w:sz w:val="20"/>
          <w:szCs w:val="20"/>
          <w:shd w:val="clear" w:color="auto" w:fill="FFFFFF"/>
          <w:lang w:val="en-US"/>
        </w:rPr>
        <w:t>, subsequently, on the determination of international responsibility, because the failure</w:t>
      </w:r>
      <w:r w:rsidR="001F328E" w:rsidRPr="00EA6C7A">
        <w:rPr>
          <w:rFonts w:ascii="Verdana" w:eastAsia="Calibri" w:hAnsi="Verdana" w:cs="Tahoma"/>
          <w:bCs/>
          <w:color w:val="000000"/>
          <w:sz w:val="20"/>
          <w:szCs w:val="20"/>
          <w:shd w:val="clear" w:color="auto" w:fill="FFFFFF"/>
          <w:lang w:val="en-US"/>
        </w:rPr>
        <w:t xml:space="preserve"> of the authorities</w:t>
      </w:r>
      <w:r w:rsidR="00160741" w:rsidRPr="00EA6C7A">
        <w:rPr>
          <w:rFonts w:ascii="Verdana" w:eastAsia="Calibri" w:hAnsi="Verdana" w:cs="Tahoma"/>
          <w:bCs/>
          <w:color w:val="000000"/>
          <w:sz w:val="20"/>
          <w:szCs w:val="20"/>
          <w:shd w:val="clear" w:color="auto" w:fill="FFFFFF"/>
          <w:lang w:val="en-US"/>
        </w:rPr>
        <w:t xml:space="preserve"> to adopt measures and</w:t>
      </w:r>
      <w:r w:rsidR="001F328E" w:rsidRPr="00EA6C7A">
        <w:rPr>
          <w:rFonts w:ascii="Verdana" w:eastAsia="Calibri" w:hAnsi="Verdana" w:cs="Tahoma"/>
          <w:bCs/>
          <w:color w:val="000000"/>
          <w:sz w:val="20"/>
          <w:szCs w:val="20"/>
          <w:shd w:val="clear" w:color="auto" w:fill="FFFFFF"/>
          <w:lang w:val="en-US"/>
        </w:rPr>
        <w:t xml:space="preserve"> </w:t>
      </w:r>
      <w:r w:rsidR="00876BEA" w:rsidRPr="00EA6C7A">
        <w:rPr>
          <w:rFonts w:ascii="Verdana" w:eastAsia="Calibri" w:hAnsi="Verdana" w:cs="Tahoma"/>
          <w:bCs/>
          <w:color w:val="000000"/>
          <w:sz w:val="20"/>
          <w:szCs w:val="20"/>
          <w:shd w:val="clear" w:color="auto" w:fill="FFFFFF"/>
          <w:lang w:val="en-US"/>
        </w:rPr>
        <w:t xml:space="preserve">take </w:t>
      </w:r>
      <w:r w:rsidR="001F328E" w:rsidRPr="00EA6C7A">
        <w:rPr>
          <w:rFonts w:ascii="Verdana" w:eastAsia="Calibri" w:hAnsi="Verdana" w:cs="Tahoma"/>
          <w:bCs/>
          <w:color w:val="000000"/>
          <w:sz w:val="20"/>
          <w:szCs w:val="20"/>
          <w:shd w:val="clear" w:color="auto" w:fill="FFFFFF"/>
          <w:lang w:val="en-US"/>
        </w:rPr>
        <w:t xml:space="preserve">diligent actions – during the “second moment” of the State’s obligation of prevention that, in this specific case, had the purpose of preventing the danger and avoiding the injuries suffered by </w:t>
      </w:r>
      <w:r w:rsidRPr="00EA6C7A">
        <w:rPr>
          <w:rFonts w:ascii="Verdana" w:eastAsia="Calibri" w:hAnsi="Verdana" w:cs="Tahoma"/>
          <w:bCs/>
          <w:color w:val="000000"/>
          <w:sz w:val="20"/>
          <w:szCs w:val="20"/>
          <w:shd w:val="clear" w:color="auto" w:fill="FFFFFF"/>
          <w:lang w:val="en-US"/>
        </w:rPr>
        <w:t>Claudina Velásquez</w:t>
      </w:r>
      <w:r w:rsidR="001F328E"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w:t>
      </w:r>
      <w:r w:rsidR="001F328E" w:rsidRPr="00EA6C7A">
        <w:rPr>
          <w:rFonts w:ascii="Verdana" w:eastAsia="Calibri" w:hAnsi="Verdana" w:cs="Tahoma"/>
          <w:bCs/>
          <w:color w:val="000000"/>
          <w:sz w:val="20"/>
          <w:szCs w:val="20"/>
          <w:shd w:val="clear" w:color="auto" w:fill="FFFFFF"/>
          <w:lang w:val="en-US"/>
        </w:rPr>
        <w:t xml:space="preserve"> was a result of the lack of clarity in the laws that should have defined the actions to be taken following the report that the victim was missing</w:t>
      </w:r>
      <w:r w:rsidR="00876BEA" w:rsidRPr="00EA6C7A">
        <w:rPr>
          <w:rFonts w:ascii="Verdana" w:eastAsia="Calibri" w:hAnsi="Verdana" w:cs="Tahoma"/>
          <w:bCs/>
          <w:color w:val="000000"/>
          <w:sz w:val="20"/>
          <w:szCs w:val="20"/>
          <w:shd w:val="clear" w:color="auto" w:fill="FFFFFF"/>
          <w:lang w:val="en-US"/>
        </w:rPr>
        <w:t>. And this resulted from</w:t>
      </w:r>
      <w:r w:rsidR="001F328E" w:rsidRPr="00EA6C7A">
        <w:rPr>
          <w:rFonts w:ascii="Verdana" w:eastAsia="Calibri" w:hAnsi="Verdana" w:cs="Tahoma"/>
          <w:bCs/>
          <w:color w:val="000000"/>
          <w:sz w:val="20"/>
          <w:szCs w:val="20"/>
          <w:shd w:val="clear" w:color="auto" w:fill="FFFFFF"/>
          <w:lang w:val="en-US"/>
        </w:rPr>
        <w:t xml:space="preserve"> the adoption of “insufficient measures to resolve the problem”</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o</w:t>
      </w:r>
      <w:r w:rsidR="001F328E" w:rsidRPr="00EA6C7A">
        <w:rPr>
          <w:rFonts w:ascii="Verdana" w:eastAsia="Calibri" w:hAnsi="Verdana" w:cs="Tahoma"/>
          <w:bCs/>
          <w:color w:val="000000"/>
          <w:sz w:val="20"/>
          <w:szCs w:val="20"/>
          <w:shd w:val="clear" w:color="auto" w:fill="FFFFFF"/>
          <w:lang w:val="en-US"/>
        </w:rPr>
        <w:t>f</w:t>
      </w:r>
      <w:r w:rsidR="00D5307F" w:rsidRPr="00EA6C7A">
        <w:rPr>
          <w:rFonts w:ascii="Verdana" w:eastAsia="Calibri" w:hAnsi="Verdana" w:cs="Tahoma"/>
          <w:bCs/>
          <w:color w:val="000000"/>
          <w:sz w:val="20"/>
          <w:szCs w:val="20"/>
          <w:shd w:val="clear" w:color="auto" w:fill="FFFFFF"/>
          <w:lang w:val="en-US"/>
        </w:rPr>
        <w:t xml:space="preserve"> </w:t>
      </w:r>
      <w:r w:rsidR="00C12C08" w:rsidRPr="00EA6C7A">
        <w:rPr>
          <w:rFonts w:ascii="Verdana" w:eastAsia="Calibri" w:hAnsi="Verdana" w:cs="Tahoma"/>
          <w:bCs/>
          <w:color w:val="000000"/>
          <w:sz w:val="20"/>
          <w:szCs w:val="20"/>
          <w:shd w:val="clear" w:color="auto" w:fill="FFFFFF"/>
          <w:lang w:val="en-US"/>
        </w:rPr>
        <w:t>violence against women</w:t>
      </w:r>
      <w:r w:rsidR="00FC7D3B" w:rsidRPr="00EA6C7A">
        <w:rPr>
          <w:rFonts w:ascii="Verdana" w:eastAsia="Calibri" w:hAnsi="Verdana" w:cs="Tahoma"/>
          <w:bCs/>
          <w:color w:val="000000"/>
          <w:sz w:val="20"/>
          <w:szCs w:val="20"/>
          <w:shd w:val="clear" w:color="auto" w:fill="FFFFFF"/>
          <w:lang w:val="en-US"/>
        </w:rPr>
        <w:t xml:space="preserve"> in Guatemala</w:t>
      </w:r>
      <w:r w:rsidR="001F328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52"/>
      </w:r>
      <w:r w:rsidRPr="00EA6C7A">
        <w:rPr>
          <w:rFonts w:ascii="Verdana" w:eastAsia="Calibri" w:hAnsi="Verdana" w:cs="Tahoma"/>
          <w:bCs/>
          <w:color w:val="000000"/>
          <w:sz w:val="20"/>
          <w:szCs w:val="20"/>
          <w:shd w:val="clear" w:color="auto" w:fill="FFFFFF"/>
          <w:lang w:val="en-US"/>
        </w:rPr>
        <w:t xml:space="preserve"> </w:t>
      </w:r>
      <w:r w:rsidR="001F328E" w:rsidRPr="00EA6C7A">
        <w:rPr>
          <w:rFonts w:ascii="Verdana" w:eastAsia="Calibri" w:hAnsi="Verdana" w:cs="Tahoma"/>
          <w:bCs/>
          <w:i/>
          <w:color w:val="000000"/>
          <w:sz w:val="20"/>
          <w:szCs w:val="20"/>
          <w:u w:val="single"/>
          <w:shd w:val="clear" w:color="auto" w:fill="FFFFFF"/>
          <w:lang w:val="en-US"/>
        </w:rPr>
        <w:t>non-</w:t>
      </w:r>
      <w:r w:rsidR="00671A06" w:rsidRPr="00EA6C7A">
        <w:rPr>
          <w:rFonts w:ascii="Verdana" w:eastAsia="Calibri" w:hAnsi="Verdana" w:cs="Tahoma"/>
          <w:bCs/>
          <w:i/>
          <w:color w:val="000000"/>
          <w:sz w:val="20"/>
          <w:szCs w:val="20"/>
          <w:u w:val="single"/>
          <w:shd w:val="clear" w:color="auto" w:fill="FFFFFF"/>
          <w:lang w:val="en-US"/>
        </w:rPr>
        <w:t>compliance</w:t>
      </w:r>
      <w:r w:rsidR="001F328E" w:rsidRPr="00EA6C7A">
        <w:rPr>
          <w:rFonts w:ascii="Verdana" w:eastAsia="Calibri" w:hAnsi="Verdana" w:cs="Tahoma"/>
          <w:bCs/>
          <w:i/>
          <w:color w:val="000000"/>
          <w:sz w:val="20"/>
          <w:szCs w:val="20"/>
          <w:u w:val="single"/>
          <w:shd w:val="clear" w:color="auto" w:fill="FFFFFF"/>
          <w:lang w:val="en-US"/>
        </w:rPr>
        <w:t xml:space="preserve"> that plainly </w:t>
      </w:r>
      <w:r w:rsidR="00876BEA" w:rsidRPr="00EA6C7A">
        <w:rPr>
          <w:rFonts w:ascii="Verdana" w:eastAsia="Calibri" w:hAnsi="Verdana" w:cs="Tahoma"/>
          <w:bCs/>
          <w:i/>
          <w:color w:val="000000"/>
          <w:sz w:val="20"/>
          <w:szCs w:val="20"/>
          <w:u w:val="single"/>
          <w:shd w:val="clear" w:color="auto" w:fill="FFFFFF"/>
          <w:lang w:val="en-US"/>
        </w:rPr>
        <w:t xml:space="preserve">formed </w:t>
      </w:r>
      <w:r w:rsidR="001F328E" w:rsidRPr="00EA6C7A">
        <w:rPr>
          <w:rFonts w:ascii="Verdana" w:eastAsia="Calibri" w:hAnsi="Verdana" w:cs="Tahoma"/>
          <w:bCs/>
          <w:i/>
          <w:color w:val="000000"/>
          <w:sz w:val="20"/>
          <w:szCs w:val="20"/>
          <w:u w:val="single"/>
          <w:shd w:val="clear" w:color="auto" w:fill="FFFFFF"/>
          <w:lang w:val="en-US"/>
        </w:rPr>
        <w:t xml:space="preserve">part of the State’s general </w:t>
      </w:r>
      <w:r w:rsidR="00D5307F" w:rsidRPr="00EA6C7A">
        <w:rPr>
          <w:rFonts w:ascii="Verdana" w:eastAsia="Calibri" w:hAnsi="Verdana" w:cs="Tahoma"/>
          <w:bCs/>
          <w:i/>
          <w:color w:val="000000"/>
          <w:sz w:val="20"/>
          <w:szCs w:val="20"/>
          <w:u w:val="single"/>
          <w:shd w:val="clear" w:color="auto" w:fill="FFFFFF"/>
          <w:lang w:val="en-US"/>
        </w:rPr>
        <w:t>obligation of prevention</w:t>
      </w:r>
      <w:r w:rsidRPr="00EA6C7A">
        <w:rPr>
          <w:rFonts w:ascii="Verdana" w:eastAsia="Calibri" w:hAnsi="Verdana" w:cs="Tahoma"/>
          <w:bCs/>
          <w:i/>
          <w:color w:val="000000"/>
          <w:sz w:val="20"/>
          <w:szCs w:val="20"/>
          <w:u w:val="single"/>
          <w:shd w:val="clear" w:color="auto" w:fill="FFFFFF"/>
          <w:lang w:val="en-US"/>
        </w:rPr>
        <w:t xml:space="preserve"> </w:t>
      </w:r>
      <w:r w:rsidR="001F328E" w:rsidRPr="00EA6C7A">
        <w:rPr>
          <w:rFonts w:ascii="Verdana" w:eastAsia="Calibri" w:hAnsi="Verdana" w:cs="Tahoma"/>
          <w:bCs/>
          <w:i/>
          <w:color w:val="000000"/>
          <w:sz w:val="20"/>
          <w:szCs w:val="20"/>
          <w:u w:val="single"/>
          <w:shd w:val="clear" w:color="auto" w:fill="FFFFFF"/>
          <w:lang w:val="en-US"/>
        </w:rPr>
        <w:t xml:space="preserve">with regard to the </w:t>
      </w:r>
      <w:r w:rsidRPr="00EA6C7A">
        <w:rPr>
          <w:rFonts w:ascii="Verdana" w:eastAsia="Calibri" w:hAnsi="Verdana" w:cs="Tahoma"/>
          <w:bCs/>
          <w:i/>
          <w:color w:val="000000"/>
          <w:sz w:val="20"/>
          <w:szCs w:val="20"/>
          <w:u w:val="single"/>
          <w:shd w:val="clear" w:color="auto" w:fill="FFFFFF"/>
          <w:lang w:val="en-US"/>
        </w:rPr>
        <w:t>“</w:t>
      </w:r>
      <w:r w:rsidR="00274B18" w:rsidRPr="00EA6C7A">
        <w:rPr>
          <w:rFonts w:ascii="Verdana" w:eastAsia="Calibri" w:hAnsi="Verdana" w:cs="Tahoma"/>
          <w:bCs/>
          <w:i/>
          <w:color w:val="000000"/>
          <w:sz w:val="20"/>
          <w:szCs w:val="20"/>
          <w:u w:val="single"/>
          <w:shd w:val="clear" w:color="auto" w:fill="FFFFFF"/>
          <w:lang w:val="en-US"/>
        </w:rPr>
        <w:t>first moment</w:t>
      </w:r>
      <w:r w:rsidRPr="00EA6C7A">
        <w:rPr>
          <w:rFonts w:ascii="Verdana" w:eastAsia="Calibri" w:hAnsi="Verdana" w:cs="Tahoma"/>
          <w:bCs/>
          <w:i/>
          <w:color w:val="000000"/>
          <w:sz w:val="20"/>
          <w:szCs w:val="20"/>
          <w:u w:val="single"/>
          <w:shd w:val="clear" w:color="auto" w:fill="FFFFFF"/>
          <w:lang w:val="en-US"/>
        </w:rPr>
        <w:t>”</w:t>
      </w:r>
      <w:r w:rsidR="001F328E" w:rsidRPr="00EA6C7A">
        <w:rPr>
          <w:rFonts w:ascii="Verdana" w:eastAsia="Calibri" w:hAnsi="Verdana" w:cs="Tahoma"/>
          <w:bCs/>
          <w:i/>
          <w:color w:val="000000"/>
          <w:sz w:val="20"/>
          <w:szCs w:val="20"/>
          <w:u w:val="single"/>
          <w:shd w:val="clear" w:color="auto" w:fill="FFFFFF"/>
          <w:lang w:val="en-US"/>
        </w:rPr>
        <w:t xml:space="preserve"> – that is, related to the general obligation to </w:t>
      </w:r>
      <w:r w:rsidR="00671A06" w:rsidRPr="00EA6C7A">
        <w:rPr>
          <w:rFonts w:ascii="Verdana" w:eastAsia="Calibri" w:hAnsi="Verdana" w:cs="Tahoma"/>
          <w:bCs/>
          <w:i/>
          <w:color w:val="000000"/>
          <w:sz w:val="20"/>
          <w:szCs w:val="20"/>
          <w:u w:val="single"/>
          <w:shd w:val="clear" w:color="auto" w:fill="FFFFFF"/>
          <w:lang w:val="en-US"/>
        </w:rPr>
        <w:t>prevent</w:t>
      </w:r>
      <w:r w:rsidR="001F328E" w:rsidRPr="00EA6C7A">
        <w:rPr>
          <w:rFonts w:ascii="Verdana" w:eastAsia="Calibri" w:hAnsi="Verdana" w:cs="Tahoma"/>
          <w:bCs/>
          <w:i/>
          <w:color w:val="000000"/>
          <w:sz w:val="20"/>
          <w:szCs w:val="20"/>
          <w:u w:val="single"/>
          <w:shd w:val="clear" w:color="auto" w:fill="FFFFFF"/>
          <w:lang w:val="en-US"/>
        </w:rPr>
        <w:t xml:space="preserve"> the disappearances and murder of women</w:t>
      </w:r>
      <w:r w:rsidRPr="00EA6C7A">
        <w:rPr>
          <w:rFonts w:ascii="Verdana" w:eastAsia="Calibri" w:hAnsi="Verdana" w:cs="Tahoma"/>
          <w:bCs/>
          <w:color w:val="000000"/>
          <w:sz w:val="20"/>
          <w:szCs w:val="20"/>
          <w:shd w:val="clear" w:color="auto" w:fill="FFFFFF"/>
          <w:lang w:val="en-US"/>
        </w:rPr>
        <w:t>.</w:t>
      </w:r>
    </w:p>
    <w:p w14:paraId="7C7C26ED"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41EE5BBE"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46. </w:t>
      </w:r>
      <w:r w:rsidRPr="00EA6C7A">
        <w:rPr>
          <w:rFonts w:ascii="Verdana" w:eastAsia="Calibri" w:hAnsi="Verdana" w:cs="Tahoma"/>
          <w:bCs/>
          <w:color w:val="000000"/>
          <w:sz w:val="20"/>
          <w:szCs w:val="20"/>
          <w:shd w:val="clear" w:color="auto" w:fill="FFFFFF"/>
          <w:lang w:val="en-US"/>
        </w:rPr>
        <w:tab/>
      </w:r>
      <w:r w:rsidR="001F328E" w:rsidRPr="00EA6C7A">
        <w:rPr>
          <w:rFonts w:ascii="Verdana" w:eastAsia="Calibri" w:hAnsi="Verdana" w:cs="Tahoma"/>
          <w:bCs/>
          <w:color w:val="000000"/>
          <w:sz w:val="20"/>
          <w:szCs w:val="20"/>
          <w:shd w:val="clear" w:color="auto" w:fill="FFFFFF"/>
          <w:lang w:val="en-US"/>
        </w:rPr>
        <w:t xml:space="preserve">In this regard, I consider that this </w:t>
      </w:r>
      <w:r w:rsidR="00671A06" w:rsidRPr="00EA6C7A">
        <w:rPr>
          <w:rFonts w:ascii="Verdana" w:eastAsia="Calibri" w:hAnsi="Verdana" w:cs="Tahoma"/>
          <w:bCs/>
          <w:color w:val="000000"/>
          <w:sz w:val="20"/>
          <w:szCs w:val="20"/>
          <w:shd w:val="clear" w:color="auto" w:fill="FFFFFF"/>
          <w:lang w:val="en-US"/>
        </w:rPr>
        <w:t>constitution</w:t>
      </w:r>
      <w:r w:rsidR="001F328E" w:rsidRPr="00EA6C7A">
        <w:rPr>
          <w:rFonts w:ascii="Verdana" w:eastAsia="Calibri" w:hAnsi="Verdana" w:cs="Tahoma"/>
          <w:bCs/>
          <w:color w:val="000000"/>
          <w:sz w:val="20"/>
          <w:szCs w:val="20"/>
          <w:shd w:val="clear" w:color="auto" w:fill="FFFFFF"/>
          <w:lang w:val="en-US"/>
        </w:rPr>
        <w:t xml:space="preserve"> of responsibility is a result of a </w:t>
      </w:r>
      <w:r w:rsidR="00671A06" w:rsidRPr="00EA6C7A">
        <w:rPr>
          <w:rFonts w:ascii="Verdana" w:eastAsia="Calibri" w:hAnsi="Verdana" w:cs="Tahoma"/>
          <w:bCs/>
          <w:color w:val="000000"/>
          <w:sz w:val="20"/>
          <w:szCs w:val="20"/>
          <w:shd w:val="clear" w:color="auto" w:fill="FFFFFF"/>
          <w:lang w:val="en-US"/>
        </w:rPr>
        <w:t>State</w:t>
      </w:r>
      <w:r w:rsidR="001F328E" w:rsidRPr="00EA6C7A">
        <w:rPr>
          <w:rFonts w:ascii="Verdana" w:eastAsia="Calibri" w:hAnsi="Verdana" w:cs="Tahoma"/>
          <w:bCs/>
          <w:color w:val="000000"/>
          <w:sz w:val="20"/>
          <w:szCs w:val="20"/>
          <w:shd w:val="clear" w:color="auto" w:fill="FFFFFF"/>
          <w:lang w:val="en-US"/>
        </w:rPr>
        <w:t xml:space="preserve"> responsibility that appears </w:t>
      </w:r>
      <w:r w:rsidR="00876BEA" w:rsidRPr="00EA6C7A">
        <w:rPr>
          <w:rFonts w:ascii="Verdana" w:eastAsia="Calibri" w:hAnsi="Verdana" w:cs="Tahoma"/>
          <w:bCs/>
          <w:color w:val="000000"/>
          <w:sz w:val="20"/>
          <w:szCs w:val="20"/>
          <w:shd w:val="clear" w:color="auto" w:fill="FFFFFF"/>
          <w:lang w:val="en-US"/>
        </w:rPr>
        <w:t>during</w:t>
      </w:r>
      <w:r w:rsidR="001F328E" w:rsidRPr="00EA6C7A">
        <w:rPr>
          <w:rFonts w:ascii="Verdana" w:eastAsia="Calibri" w:hAnsi="Verdana" w:cs="Tahoma"/>
          <w:bCs/>
          <w:color w:val="000000"/>
          <w:sz w:val="20"/>
          <w:szCs w:val="20"/>
          <w:shd w:val="clear" w:color="auto" w:fill="FFFFFF"/>
          <w:lang w:val="en-US"/>
        </w:rPr>
        <w:t xml:space="preserve"> the</w:t>
      </w:r>
      <w:r w:rsidRPr="00EA6C7A">
        <w:rPr>
          <w:rFonts w:ascii="Verdana" w:eastAsia="Calibri" w:hAnsi="Verdana" w:cs="Tahoma"/>
          <w:bCs/>
          <w:color w:val="000000"/>
          <w:sz w:val="20"/>
          <w:szCs w:val="20"/>
          <w:shd w:val="clear" w:color="auto" w:fill="FFFFFF"/>
          <w:lang w:val="en-US"/>
        </w:rPr>
        <w:t xml:space="preserve"> “</w:t>
      </w:r>
      <w:r w:rsidR="00274B18" w:rsidRPr="00EA6C7A">
        <w:rPr>
          <w:rFonts w:ascii="Verdana" w:eastAsia="Calibri" w:hAnsi="Verdana" w:cs="Tahoma"/>
          <w:bCs/>
          <w:color w:val="000000"/>
          <w:sz w:val="20"/>
          <w:szCs w:val="20"/>
          <w:shd w:val="clear" w:color="auto" w:fill="FFFFFF"/>
          <w:lang w:val="en-US"/>
        </w:rPr>
        <w:t>first moment</w:t>
      </w:r>
      <w:r w:rsidRPr="00EA6C7A">
        <w:rPr>
          <w:rFonts w:ascii="Verdana" w:eastAsia="Calibri" w:hAnsi="Verdana" w:cs="Tahoma"/>
          <w:bCs/>
          <w:color w:val="000000"/>
          <w:sz w:val="20"/>
          <w:szCs w:val="20"/>
          <w:shd w:val="clear" w:color="auto" w:fill="FFFFFF"/>
          <w:lang w:val="en-US"/>
        </w:rPr>
        <w:t>”</w:t>
      </w:r>
      <w:r w:rsidR="00A534EF" w:rsidRPr="00EA6C7A">
        <w:rPr>
          <w:rFonts w:ascii="Verdana" w:eastAsia="Calibri" w:hAnsi="Verdana" w:cs="Tahoma"/>
          <w:bCs/>
          <w:color w:val="000000"/>
          <w:sz w:val="20"/>
          <w:szCs w:val="20"/>
          <w:shd w:val="clear" w:color="auto" w:fill="FFFFFF"/>
          <w:lang w:val="en-US"/>
        </w:rPr>
        <w:t xml:space="preserve"> of the obligation</w:t>
      </w:r>
      <w:r w:rsidR="00D5307F" w:rsidRPr="00EA6C7A">
        <w:rPr>
          <w:rFonts w:ascii="Verdana" w:eastAsia="Calibri" w:hAnsi="Verdana" w:cs="Tahoma"/>
          <w:bCs/>
          <w:color w:val="000000"/>
          <w:sz w:val="20"/>
          <w:szCs w:val="20"/>
          <w:shd w:val="clear" w:color="auto" w:fill="FFFFFF"/>
          <w:lang w:val="en-US"/>
        </w:rPr>
        <w:t xml:space="preserve"> of prevention</w:t>
      </w:r>
      <w:r w:rsidRPr="00EA6C7A">
        <w:rPr>
          <w:rFonts w:ascii="Verdana" w:eastAsia="Calibri" w:hAnsi="Verdana" w:cs="Tahoma"/>
          <w:bCs/>
          <w:color w:val="000000"/>
          <w:sz w:val="20"/>
          <w:szCs w:val="20"/>
          <w:shd w:val="clear" w:color="auto" w:fill="FFFFFF"/>
          <w:lang w:val="en-US"/>
        </w:rPr>
        <w:t xml:space="preserve"> </w:t>
      </w:r>
      <w:r w:rsidR="001F328E" w:rsidRPr="00EA6C7A">
        <w:rPr>
          <w:rFonts w:ascii="Verdana" w:eastAsia="Calibri" w:hAnsi="Verdana" w:cs="Tahoma"/>
          <w:bCs/>
          <w:color w:val="000000"/>
          <w:sz w:val="20"/>
          <w:szCs w:val="20"/>
          <w:shd w:val="clear" w:color="auto" w:fill="FFFFFF"/>
          <w:lang w:val="en-US"/>
        </w:rPr>
        <w:t>because, in the context of an escalation of homicidal</w:t>
      </w:r>
      <w:r w:rsidR="00812408" w:rsidRPr="00EA6C7A">
        <w:rPr>
          <w:rFonts w:ascii="Verdana" w:eastAsia="Calibri" w:hAnsi="Verdana" w:cs="Tahoma"/>
          <w:bCs/>
          <w:color w:val="000000"/>
          <w:sz w:val="20"/>
          <w:szCs w:val="20"/>
          <w:shd w:val="clear" w:color="auto" w:fill="FFFFFF"/>
          <w:lang w:val="en-US"/>
        </w:rPr>
        <w:t xml:space="preserve"> violence</w:t>
      </w:r>
      <w:r w:rsidRPr="00EA6C7A">
        <w:rPr>
          <w:rFonts w:ascii="Verdana" w:eastAsia="Calibri" w:hAnsi="Verdana" w:cs="Tahoma"/>
          <w:bCs/>
          <w:color w:val="000000"/>
          <w:sz w:val="20"/>
          <w:szCs w:val="20"/>
          <w:shd w:val="clear" w:color="auto" w:fill="FFFFFF"/>
          <w:lang w:val="en-US"/>
        </w:rPr>
        <w:t xml:space="preserve"> </w:t>
      </w:r>
      <w:r w:rsidR="001F328E" w:rsidRPr="00EA6C7A">
        <w:rPr>
          <w:rFonts w:ascii="Verdana" w:eastAsia="Calibri" w:hAnsi="Verdana" w:cs="Tahoma"/>
          <w:bCs/>
          <w:color w:val="000000"/>
          <w:sz w:val="20"/>
          <w:szCs w:val="20"/>
          <w:shd w:val="clear" w:color="auto" w:fill="FFFFFF"/>
          <w:lang w:val="en-US"/>
        </w:rPr>
        <w:t>against women</w:t>
      </w:r>
      <w:r w:rsidR="00FC7D3B" w:rsidRPr="00EA6C7A">
        <w:rPr>
          <w:rFonts w:ascii="Verdana" w:eastAsia="Calibri" w:hAnsi="Verdana" w:cs="Tahoma"/>
          <w:bCs/>
          <w:color w:val="000000"/>
          <w:sz w:val="20"/>
          <w:szCs w:val="20"/>
          <w:shd w:val="clear" w:color="auto" w:fill="FFFFFF"/>
          <w:lang w:val="en-US"/>
        </w:rPr>
        <w:t xml:space="preserve"> in Guatemala</w:t>
      </w:r>
      <w:r w:rsidRPr="00EA6C7A">
        <w:rPr>
          <w:rFonts w:ascii="Verdana" w:eastAsia="Calibri" w:hAnsi="Verdana" w:cs="Tahoma"/>
          <w:bCs/>
          <w:color w:val="000000"/>
          <w:sz w:val="20"/>
          <w:szCs w:val="20"/>
          <w:shd w:val="clear" w:color="auto" w:fill="FFFFFF"/>
          <w:lang w:val="en-US"/>
        </w:rPr>
        <w:t xml:space="preserve"> </w:t>
      </w:r>
      <w:r w:rsidR="00876BEA" w:rsidRPr="00EA6C7A">
        <w:rPr>
          <w:rFonts w:ascii="Verdana" w:eastAsia="Calibri" w:hAnsi="Verdana" w:cs="Tahoma"/>
          <w:bCs/>
          <w:color w:val="000000"/>
          <w:sz w:val="20"/>
          <w:szCs w:val="20"/>
          <w:shd w:val="clear" w:color="auto" w:fill="FFFFFF"/>
          <w:lang w:val="en-US"/>
        </w:rPr>
        <w:t>of which</w:t>
      </w:r>
      <w:r w:rsidR="001F328E" w:rsidRPr="00EA6C7A">
        <w:rPr>
          <w:rFonts w:ascii="Verdana" w:eastAsia="Calibri" w:hAnsi="Verdana" w:cs="Tahoma"/>
          <w:bCs/>
          <w:color w:val="000000"/>
          <w:sz w:val="20"/>
          <w:szCs w:val="20"/>
          <w:shd w:val="clear" w:color="auto" w:fill="FFFFFF"/>
          <w:lang w:val="en-US"/>
        </w:rPr>
        <w:t xml:space="preserve"> the State</w:t>
      </w:r>
      <w:r w:rsidR="00876BEA" w:rsidRPr="00EA6C7A">
        <w:rPr>
          <w:rFonts w:ascii="Verdana" w:eastAsia="Calibri" w:hAnsi="Verdana" w:cs="Tahoma"/>
          <w:bCs/>
          <w:color w:val="000000"/>
          <w:sz w:val="20"/>
          <w:szCs w:val="20"/>
          <w:shd w:val="clear" w:color="auto" w:fill="FFFFFF"/>
          <w:lang w:val="en-US"/>
        </w:rPr>
        <w:t xml:space="preserve"> was aware</w:t>
      </w:r>
      <w:r w:rsidR="001F328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53"/>
      </w:r>
      <w:r w:rsidR="00D948A1" w:rsidRPr="00EA6C7A">
        <w:rPr>
          <w:rFonts w:ascii="Verdana" w:eastAsia="Calibri" w:hAnsi="Verdana" w:cs="Tahoma"/>
          <w:bCs/>
          <w:color w:val="000000"/>
          <w:sz w:val="20"/>
          <w:szCs w:val="20"/>
          <w:shd w:val="clear" w:color="auto" w:fill="FFFFFF"/>
          <w:lang w:val="en-US"/>
        </w:rPr>
        <w:t xml:space="preserve"> and </w:t>
      </w:r>
      <w:r w:rsidR="001F328E" w:rsidRPr="00EA6C7A">
        <w:rPr>
          <w:rFonts w:ascii="Verdana" w:eastAsia="Calibri" w:hAnsi="Verdana" w:cs="Tahoma"/>
          <w:bCs/>
          <w:color w:val="000000"/>
          <w:sz w:val="20"/>
          <w:szCs w:val="20"/>
          <w:shd w:val="clear" w:color="auto" w:fill="FFFFFF"/>
          <w:lang w:val="en-US"/>
        </w:rPr>
        <w:t>despite all the measures taken by the State with regard to the problem, at least since 2001,</w:t>
      </w:r>
      <w:r w:rsidRPr="00EA6C7A">
        <w:rPr>
          <w:rFonts w:ascii="Verdana" w:eastAsia="Calibri" w:hAnsi="Verdana" w:cs="Tahoma"/>
          <w:bCs/>
          <w:color w:val="000000"/>
          <w:sz w:val="20"/>
          <w:szCs w:val="20"/>
          <w:shd w:val="clear" w:color="auto" w:fill="FFFFFF"/>
          <w:vertAlign w:val="superscript"/>
          <w:lang w:val="en-US"/>
        </w:rPr>
        <w:footnoteReference w:id="454"/>
      </w:r>
      <w:r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u w:val="single"/>
          <w:shd w:val="clear" w:color="auto" w:fill="FFFFFF"/>
          <w:lang w:val="en-US"/>
        </w:rPr>
        <w:t>n</w:t>
      </w:r>
      <w:r w:rsidR="001F328E" w:rsidRPr="00EA6C7A">
        <w:rPr>
          <w:rFonts w:ascii="Verdana" w:eastAsia="Calibri" w:hAnsi="Verdana" w:cs="Tahoma"/>
          <w:bCs/>
          <w:color w:val="000000"/>
          <w:sz w:val="20"/>
          <w:szCs w:val="20"/>
          <w:u w:val="single"/>
          <w:shd w:val="clear" w:color="auto" w:fill="FFFFFF"/>
          <w:lang w:val="en-US"/>
        </w:rPr>
        <w:t>one of the</w:t>
      </w:r>
      <w:r w:rsidR="00876BEA" w:rsidRPr="00EA6C7A">
        <w:rPr>
          <w:rFonts w:ascii="Verdana" w:eastAsia="Calibri" w:hAnsi="Verdana" w:cs="Tahoma"/>
          <w:bCs/>
          <w:color w:val="000000"/>
          <w:sz w:val="20"/>
          <w:szCs w:val="20"/>
          <w:u w:val="single"/>
          <w:shd w:val="clear" w:color="auto" w:fill="FFFFFF"/>
          <w:lang w:val="en-US"/>
        </w:rPr>
        <w:t>se measures</w:t>
      </w:r>
      <w:r w:rsidR="001F328E" w:rsidRPr="00EA6C7A">
        <w:rPr>
          <w:rFonts w:ascii="Verdana" w:eastAsia="Calibri" w:hAnsi="Verdana" w:cs="Tahoma"/>
          <w:bCs/>
          <w:color w:val="000000"/>
          <w:sz w:val="20"/>
          <w:szCs w:val="20"/>
          <w:u w:val="single"/>
          <w:shd w:val="clear" w:color="auto" w:fill="FFFFFF"/>
          <w:lang w:val="en-US"/>
        </w:rPr>
        <w:t xml:space="preserve"> w</w:t>
      </w:r>
      <w:r w:rsidR="00876BEA" w:rsidRPr="00EA6C7A">
        <w:rPr>
          <w:rFonts w:ascii="Verdana" w:eastAsia="Calibri" w:hAnsi="Verdana" w:cs="Tahoma"/>
          <w:bCs/>
          <w:color w:val="000000"/>
          <w:sz w:val="20"/>
          <w:szCs w:val="20"/>
          <w:u w:val="single"/>
          <w:shd w:val="clear" w:color="auto" w:fill="FFFFFF"/>
          <w:lang w:val="en-US"/>
        </w:rPr>
        <w:t>as</w:t>
      </w:r>
      <w:r w:rsidR="001F328E" w:rsidRPr="00EA6C7A">
        <w:rPr>
          <w:rFonts w:ascii="Verdana" w:eastAsia="Calibri" w:hAnsi="Verdana" w:cs="Tahoma"/>
          <w:bCs/>
          <w:color w:val="000000"/>
          <w:sz w:val="20"/>
          <w:szCs w:val="20"/>
          <w:u w:val="single"/>
          <w:shd w:val="clear" w:color="auto" w:fill="FFFFFF"/>
          <w:lang w:val="en-US"/>
        </w:rPr>
        <w:t xml:space="preserve"> aimed at establishing an effective mechanism or practice that would ensure </w:t>
      </w:r>
      <w:r w:rsidR="00876BEA" w:rsidRPr="00EA6C7A">
        <w:rPr>
          <w:rFonts w:ascii="Verdana" w:eastAsia="Calibri" w:hAnsi="Verdana" w:cs="Tahoma"/>
          <w:bCs/>
          <w:color w:val="000000"/>
          <w:sz w:val="20"/>
          <w:szCs w:val="20"/>
          <w:u w:val="single"/>
          <w:shd w:val="clear" w:color="auto" w:fill="FFFFFF"/>
          <w:lang w:val="en-US"/>
        </w:rPr>
        <w:t>an</w:t>
      </w:r>
      <w:r w:rsidR="001F328E" w:rsidRPr="00EA6C7A">
        <w:rPr>
          <w:rFonts w:ascii="Verdana" w:eastAsia="Calibri" w:hAnsi="Verdana" w:cs="Tahoma"/>
          <w:bCs/>
          <w:color w:val="000000"/>
          <w:sz w:val="20"/>
          <w:szCs w:val="20"/>
          <w:u w:val="single"/>
          <w:shd w:val="clear" w:color="auto" w:fill="FFFFFF"/>
          <w:lang w:val="en-US"/>
        </w:rPr>
        <w:t xml:space="preserve"> immediate search for missing women</w:t>
      </w:r>
      <w:r w:rsidRPr="00EA6C7A">
        <w:rPr>
          <w:rFonts w:ascii="Verdana" w:eastAsia="Calibri" w:hAnsi="Verdana" w:cs="Tahoma"/>
          <w:bCs/>
          <w:color w:val="000000"/>
          <w:sz w:val="20"/>
          <w:szCs w:val="20"/>
          <w:u w:val="single"/>
          <w:shd w:val="clear" w:color="auto" w:fill="FFFFFF"/>
          <w:lang w:val="en-US"/>
        </w:rPr>
        <w:t>;</w:t>
      </w:r>
      <w:r w:rsidR="001F328E" w:rsidRPr="00EA6C7A">
        <w:rPr>
          <w:rFonts w:ascii="Verdana" w:eastAsia="Calibri" w:hAnsi="Verdana" w:cs="Tahoma"/>
          <w:bCs/>
          <w:color w:val="000000"/>
          <w:sz w:val="20"/>
          <w:szCs w:val="20"/>
          <w:shd w:val="clear" w:color="auto" w:fill="FFFFFF"/>
          <w:lang w:val="en-US"/>
        </w:rPr>
        <w:t xml:space="preserve"> a situation that evidently had an impact on the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second moment</w:t>
      </w:r>
      <w:r w:rsidR="001F328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w:t>
      </w:r>
      <w:r w:rsidR="001F328E" w:rsidRPr="00EA6C7A">
        <w:rPr>
          <w:rFonts w:ascii="Verdana" w:eastAsia="Calibri" w:hAnsi="Verdana" w:cs="Tahoma"/>
          <w:bCs/>
          <w:color w:val="000000"/>
          <w:sz w:val="20"/>
          <w:szCs w:val="20"/>
          <w:shd w:val="clear" w:color="auto" w:fill="FFFFFF"/>
          <w:lang w:val="en-US"/>
        </w:rPr>
        <w:t xml:space="preserve"> when the victim’s parent</w:t>
      </w:r>
      <w:r w:rsidR="00876BEA" w:rsidRPr="00EA6C7A">
        <w:rPr>
          <w:rFonts w:ascii="Verdana" w:eastAsia="Calibri" w:hAnsi="Verdana" w:cs="Tahoma"/>
          <w:bCs/>
          <w:color w:val="000000"/>
          <w:sz w:val="20"/>
          <w:szCs w:val="20"/>
          <w:shd w:val="clear" w:color="auto" w:fill="FFFFFF"/>
          <w:lang w:val="en-US"/>
        </w:rPr>
        <w:t>s</w:t>
      </w:r>
      <w:r w:rsidR="001F328E" w:rsidRPr="00EA6C7A">
        <w:rPr>
          <w:rFonts w:ascii="Verdana" w:eastAsia="Calibri" w:hAnsi="Verdana" w:cs="Tahoma"/>
          <w:bCs/>
          <w:color w:val="000000"/>
          <w:sz w:val="20"/>
          <w:szCs w:val="20"/>
          <w:shd w:val="clear" w:color="auto" w:fill="FFFFFF"/>
          <w:lang w:val="en-US"/>
        </w:rPr>
        <w:t xml:space="preserve"> were confronted by the inexistence – that persists up until the present – of an instrument, mechanism or practice </w:t>
      </w:r>
      <w:r w:rsidR="00876BEA" w:rsidRPr="00EA6C7A">
        <w:rPr>
          <w:rFonts w:ascii="Verdana" w:eastAsia="Calibri" w:hAnsi="Verdana" w:cs="Tahoma"/>
          <w:bCs/>
          <w:color w:val="000000"/>
          <w:sz w:val="20"/>
          <w:szCs w:val="20"/>
          <w:shd w:val="clear" w:color="auto" w:fill="FFFFFF"/>
          <w:lang w:val="en-US"/>
        </w:rPr>
        <w:t>requiring</w:t>
      </w:r>
      <w:r w:rsidR="001F328E" w:rsidRPr="00EA6C7A">
        <w:rPr>
          <w:rFonts w:ascii="Verdana" w:eastAsia="Calibri" w:hAnsi="Verdana" w:cs="Tahoma"/>
          <w:bCs/>
          <w:color w:val="000000"/>
          <w:sz w:val="20"/>
          <w:szCs w:val="20"/>
          <w:shd w:val="clear" w:color="auto" w:fill="FFFFFF"/>
          <w:lang w:val="en-US"/>
        </w:rPr>
        <w:t xml:space="preserve"> the immediate search for their daughter.</w:t>
      </w:r>
    </w:p>
    <w:p w14:paraId="7042556C"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3BD4026D"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47. </w:t>
      </w:r>
      <w:r w:rsidRPr="00EA6C7A">
        <w:rPr>
          <w:rFonts w:ascii="Verdana" w:eastAsia="Calibri" w:hAnsi="Verdana" w:cs="Tahoma"/>
          <w:bCs/>
          <w:color w:val="000000"/>
          <w:sz w:val="20"/>
          <w:szCs w:val="20"/>
          <w:shd w:val="clear" w:color="auto" w:fill="FFFFFF"/>
          <w:lang w:val="en-US"/>
        </w:rPr>
        <w:tab/>
      </w:r>
      <w:r w:rsidR="0074687E" w:rsidRPr="00EA6C7A">
        <w:rPr>
          <w:rFonts w:ascii="Verdana" w:eastAsia="Calibri" w:hAnsi="Verdana" w:cs="Tahoma"/>
          <w:bCs/>
          <w:color w:val="000000"/>
          <w:sz w:val="20"/>
          <w:szCs w:val="20"/>
          <w:shd w:val="clear" w:color="auto" w:fill="FFFFFF"/>
          <w:lang w:val="en-US"/>
        </w:rPr>
        <w:t>This is logical</w:t>
      </w:r>
      <w:r w:rsidRPr="00EA6C7A">
        <w:rPr>
          <w:rFonts w:ascii="Verdana" w:eastAsia="Calibri" w:hAnsi="Verdana" w:cs="Tahoma"/>
          <w:bCs/>
          <w:color w:val="000000"/>
          <w:sz w:val="20"/>
          <w:szCs w:val="20"/>
          <w:shd w:val="clear" w:color="auto" w:fill="FFFFFF"/>
          <w:lang w:val="en-US"/>
        </w:rPr>
        <w:t xml:space="preserve"> </w:t>
      </w:r>
      <w:r w:rsidR="0074687E" w:rsidRPr="00EA6C7A">
        <w:rPr>
          <w:rFonts w:ascii="Verdana" w:eastAsia="Calibri" w:hAnsi="Verdana" w:cs="Tahoma"/>
          <w:bCs/>
          <w:color w:val="000000"/>
          <w:sz w:val="20"/>
          <w:szCs w:val="20"/>
          <w:shd w:val="clear" w:color="auto" w:fill="FFFFFF"/>
          <w:lang w:val="en-US"/>
        </w:rPr>
        <w:t xml:space="preserve">when noting the measures of reparation ordered by the Court. Indeed, among the “guarantee of non-repetition” and under the heading </w:t>
      </w:r>
      <w:r w:rsidRPr="00EA6C7A">
        <w:rPr>
          <w:rFonts w:ascii="Verdana" w:eastAsia="Calibri" w:hAnsi="Verdana" w:cs="Tahoma"/>
          <w:bCs/>
          <w:color w:val="000000"/>
          <w:sz w:val="20"/>
          <w:szCs w:val="20"/>
          <w:shd w:val="clear" w:color="auto" w:fill="FFFFFF"/>
          <w:lang w:val="en-US"/>
        </w:rPr>
        <w:t>“</w:t>
      </w:r>
      <w:r w:rsidR="00D42BA8" w:rsidRPr="00EA6C7A">
        <w:rPr>
          <w:rFonts w:ascii="Verdana" w:eastAsia="Calibri" w:hAnsi="Verdana" w:cs="Tahoma"/>
          <w:bCs/>
          <w:color w:val="000000"/>
          <w:sz w:val="20"/>
          <w:szCs w:val="20"/>
          <w:shd w:val="clear" w:color="auto" w:fill="FFFFFF"/>
          <w:lang w:val="en-US"/>
        </w:rPr>
        <w:t>Measures to prevent</w:t>
      </w:r>
      <w:r w:rsidRPr="00EA6C7A">
        <w:rPr>
          <w:rFonts w:ascii="Verdana" w:eastAsia="Calibri" w:hAnsi="Verdana" w:cs="Tahoma"/>
          <w:bCs/>
          <w:color w:val="000000"/>
          <w:sz w:val="20"/>
          <w:szCs w:val="20"/>
          <w:shd w:val="clear" w:color="auto" w:fill="FFFFFF"/>
          <w:lang w:val="en-US"/>
        </w:rPr>
        <w:t xml:space="preserve"> </w:t>
      </w:r>
      <w:r w:rsidR="00C12C08" w:rsidRPr="00EA6C7A">
        <w:rPr>
          <w:rFonts w:ascii="Verdana" w:eastAsia="Calibri" w:hAnsi="Verdana" w:cs="Tahoma"/>
          <w:bCs/>
          <w:color w:val="000000"/>
          <w:sz w:val="20"/>
          <w:szCs w:val="20"/>
          <w:shd w:val="clear" w:color="auto" w:fill="FFFFFF"/>
          <w:lang w:val="en-US"/>
        </w:rPr>
        <w:lastRenderedPageBreak/>
        <w:t>violence against women</w:t>
      </w:r>
      <w:r w:rsidRPr="00EA6C7A">
        <w:rPr>
          <w:rFonts w:ascii="Verdana" w:eastAsia="Calibri" w:hAnsi="Verdana" w:cs="Tahoma"/>
          <w:bCs/>
          <w:color w:val="000000"/>
          <w:sz w:val="20"/>
          <w:szCs w:val="20"/>
          <w:shd w:val="clear" w:color="auto" w:fill="FFFFFF"/>
          <w:lang w:val="en-US"/>
        </w:rPr>
        <w:t xml:space="preserve">: </w:t>
      </w:r>
      <w:r w:rsidR="00D42BA8" w:rsidRPr="00EA6C7A">
        <w:rPr>
          <w:rFonts w:ascii="Verdana" w:eastAsia="Calibri" w:hAnsi="Verdana" w:cs="Tahoma"/>
          <w:bCs/>
          <w:color w:val="000000"/>
          <w:sz w:val="20"/>
          <w:szCs w:val="20"/>
          <w:shd w:val="clear" w:color="auto" w:fill="FFFFFF"/>
          <w:lang w:val="en-US"/>
        </w:rPr>
        <w:t>State policies</w:t>
      </w:r>
      <w:r w:rsidR="0074687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55"/>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the Inter-American Court</w:t>
      </w:r>
      <w:r w:rsidRPr="00EA6C7A">
        <w:rPr>
          <w:rFonts w:ascii="Verdana" w:eastAsia="Calibri" w:hAnsi="Verdana" w:cs="Tahoma"/>
          <w:bCs/>
          <w:color w:val="000000"/>
          <w:sz w:val="20"/>
          <w:szCs w:val="20"/>
          <w:shd w:val="clear" w:color="auto" w:fill="FFFFFF"/>
          <w:lang w:val="en-US"/>
        </w:rPr>
        <w:t xml:space="preserve"> </w:t>
      </w:r>
      <w:r w:rsidR="0074687E" w:rsidRPr="00EA6C7A">
        <w:rPr>
          <w:rFonts w:ascii="Verdana" w:eastAsia="Calibri" w:hAnsi="Verdana" w:cs="Tahoma"/>
          <w:bCs/>
          <w:color w:val="000000"/>
          <w:sz w:val="20"/>
          <w:szCs w:val="20"/>
          <w:shd w:val="clear" w:color="auto" w:fill="FFFFFF"/>
          <w:lang w:val="en-US"/>
        </w:rPr>
        <w:t>indicated the insufficiency of the measures implemented by the State to address the problem,</w:t>
      </w:r>
      <w:r w:rsidRPr="00EA6C7A">
        <w:rPr>
          <w:rFonts w:ascii="Verdana" w:eastAsia="Calibri" w:hAnsi="Verdana" w:cs="Tahoma"/>
          <w:bCs/>
          <w:color w:val="000000"/>
          <w:sz w:val="20"/>
          <w:szCs w:val="20"/>
          <w:shd w:val="clear" w:color="auto" w:fill="FFFFFF"/>
          <w:vertAlign w:val="superscript"/>
          <w:lang w:val="en-US"/>
        </w:rPr>
        <w:footnoteReference w:id="456"/>
      </w:r>
      <w:r w:rsidRPr="00EA6C7A">
        <w:rPr>
          <w:rFonts w:ascii="Verdana" w:eastAsia="Calibri" w:hAnsi="Verdana" w:cs="Tahoma"/>
          <w:bCs/>
          <w:color w:val="000000"/>
          <w:sz w:val="20"/>
          <w:szCs w:val="20"/>
          <w:shd w:val="clear" w:color="auto" w:fill="FFFFFF"/>
          <w:lang w:val="en-US"/>
        </w:rPr>
        <w:t xml:space="preserve"> </w:t>
      </w:r>
      <w:r w:rsidR="0074687E" w:rsidRPr="00EA6C7A">
        <w:rPr>
          <w:rFonts w:ascii="Verdana" w:eastAsia="Calibri" w:hAnsi="Verdana" w:cs="Tahoma"/>
          <w:bCs/>
          <w:color w:val="000000"/>
          <w:sz w:val="20"/>
          <w:szCs w:val="20"/>
          <w:shd w:val="clear" w:color="auto" w:fill="FFFFFF"/>
          <w:lang w:val="en-US"/>
        </w:rPr>
        <w:t>stressing that, despite the existence of a “bill on the immediate search for missing women” – which addressed the problem of the lack of an immediate search mechanism for missing women – to date this has not been adopted by the Guatemalan Congress.</w:t>
      </w:r>
      <w:r w:rsidRPr="00EA6C7A">
        <w:rPr>
          <w:rFonts w:ascii="Verdana" w:eastAsia="Calibri" w:hAnsi="Verdana" w:cs="Tahoma"/>
          <w:bCs/>
          <w:color w:val="000000"/>
          <w:sz w:val="20"/>
          <w:szCs w:val="20"/>
          <w:shd w:val="clear" w:color="auto" w:fill="FFFFFF"/>
          <w:vertAlign w:val="superscript"/>
          <w:lang w:val="en-US"/>
        </w:rPr>
        <w:footnoteReference w:id="457"/>
      </w:r>
    </w:p>
    <w:p w14:paraId="4F6DE28B"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4598CB42"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48. </w:t>
      </w:r>
      <w:r w:rsidRPr="00EA6C7A">
        <w:rPr>
          <w:rFonts w:ascii="Verdana" w:eastAsia="Calibri" w:hAnsi="Verdana" w:cs="Tahoma"/>
          <w:bCs/>
          <w:color w:val="000000"/>
          <w:sz w:val="20"/>
          <w:szCs w:val="20"/>
          <w:shd w:val="clear" w:color="auto" w:fill="FFFFFF"/>
          <w:lang w:val="en-US"/>
        </w:rPr>
        <w:tab/>
      </w:r>
      <w:r w:rsidR="00F868C0" w:rsidRPr="00EA6C7A">
        <w:rPr>
          <w:rFonts w:ascii="Verdana" w:eastAsia="Calibri" w:hAnsi="Verdana" w:cs="Tahoma"/>
          <w:bCs/>
          <w:color w:val="000000"/>
          <w:sz w:val="20"/>
          <w:szCs w:val="20"/>
          <w:shd w:val="clear" w:color="auto" w:fill="FFFFFF"/>
          <w:lang w:val="en-US"/>
        </w:rPr>
        <w:t>In this regard</w:t>
      </w:r>
      <w:r w:rsidRPr="00EA6C7A">
        <w:rPr>
          <w:rFonts w:ascii="Verdana" w:eastAsia="Calibri" w:hAnsi="Verdana" w:cs="Tahoma"/>
          <w:bCs/>
          <w:color w:val="000000"/>
          <w:sz w:val="20"/>
          <w:szCs w:val="20"/>
          <w:shd w:val="clear" w:color="auto" w:fill="FFFFFF"/>
          <w:lang w:val="en-US"/>
        </w:rPr>
        <w:t xml:space="preserve">, </w:t>
      </w:r>
      <w:r w:rsidR="0096418F" w:rsidRPr="00EA6C7A">
        <w:rPr>
          <w:rFonts w:ascii="Verdana" w:eastAsia="Calibri" w:hAnsi="Verdana" w:cs="Tahoma"/>
          <w:bCs/>
          <w:color w:val="000000"/>
          <w:sz w:val="20"/>
          <w:szCs w:val="20"/>
          <w:shd w:val="clear" w:color="auto" w:fill="FFFFFF"/>
          <w:lang w:val="en-US"/>
        </w:rPr>
        <w:t xml:space="preserve">the </w:t>
      </w:r>
      <w:r w:rsidR="009939AC" w:rsidRPr="00EA6C7A">
        <w:rPr>
          <w:rFonts w:ascii="Verdana" w:eastAsia="Calibri" w:hAnsi="Verdana" w:cs="Tahoma"/>
          <w:bCs/>
          <w:color w:val="000000"/>
          <w:sz w:val="20"/>
          <w:szCs w:val="20"/>
          <w:shd w:val="clear" w:color="auto" w:fill="FFFFFF"/>
          <w:lang w:val="en-US"/>
        </w:rPr>
        <w:t>Court</w:t>
      </w:r>
      <w:r w:rsidRPr="00EA6C7A">
        <w:rPr>
          <w:rFonts w:ascii="Verdana" w:eastAsia="Calibri" w:hAnsi="Verdana" w:cs="Tahoma"/>
          <w:bCs/>
          <w:color w:val="000000"/>
          <w:sz w:val="20"/>
          <w:szCs w:val="20"/>
          <w:shd w:val="clear" w:color="auto" w:fill="FFFFFF"/>
          <w:lang w:val="en-US"/>
        </w:rPr>
        <w:t xml:space="preserve"> conclu</w:t>
      </w:r>
      <w:r w:rsidR="00F868C0" w:rsidRPr="00EA6C7A">
        <w:rPr>
          <w:rFonts w:ascii="Verdana" w:eastAsia="Calibri" w:hAnsi="Verdana" w:cs="Tahoma"/>
          <w:bCs/>
          <w:color w:val="000000"/>
          <w:sz w:val="20"/>
          <w:szCs w:val="20"/>
          <w:shd w:val="clear" w:color="auto" w:fill="FFFFFF"/>
          <w:lang w:val="en-US"/>
        </w:rPr>
        <w:t xml:space="preserve">ded in the need “to regulate the search for missing women </w:t>
      </w:r>
      <w:r w:rsidR="00FC7D3B" w:rsidRPr="00EA6C7A">
        <w:rPr>
          <w:rFonts w:ascii="Verdana" w:eastAsia="Calibri" w:hAnsi="Verdana" w:cs="Tahoma"/>
          <w:bCs/>
          <w:color w:val="000000"/>
          <w:sz w:val="20"/>
          <w:szCs w:val="20"/>
          <w:shd w:val="clear" w:color="auto" w:fill="FFFFFF"/>
          <w:lang w:val="en-US"/>
        </w:rPr>
        <w:t>in Guatemala</w:t>
      </w:r>
      <w:r w:rsidRPr="00EA6C7A">
        <w:rPr>
          <w:rFonts w:ascii="Verdana" w:eastAsia="Calibri" w:hAnsi="Verdana" w:cs="Tahoma"/>
          <w:bCs/>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and</w:t>
      </w:r>
      <w:r w:rsidR="00F868C0" w:rsidRPr="00EA6C7A">
        <w:rPr>
          <w:rFonts w:ascii="Verdana" w:eastAsia="Calibri" w:hAnsi="Verdana" w:cs="Tahoma"/>
          <w:bCs/>
          <w:color w:val="000000"/>
          <w:sz w:val="20"/>
          <w:szCs w:val="20"/>
          <w:shd w:val="clear" w:color="auto" w:fill="FFFFFF"/>
          <w:lang w:val="en-US"/>
        </w:rPr>
        <w:t xml:space="preserve">, consequently required the State </w:t>
      </w:r>
      <w:r w:rsidR="00876BEA" w:rsidRPr="00EA6C7A">
        <w:rPr>
          <w:rFonts w:ascii="Verdana" w:eastAsia="Calibri" w:hAnsi="Verdana" w:cs="Tahoma"/>
          <w:bCs/>
          <w:color w:val="000000"/>
          <w:sz w:val="20"/>
          <w:szCs w:val="20"/>
          <w:shd w:val="clear" w:color="auto" w:fill="FFFFFF"/>
          <w:lang w:val="en-US"/>
        </w:rPr>
        <w:t>“</w:t>
      </w:r>
      <w:r w:rsidR="00F868C0" w:rsidRPr="00EA6C7A">
        <w:rPr>
          <w:rFonts w:ascii="Verdana" w:eastAsia="Calibri" w:hAnsi="Verdana" w:cs="Tahoma"/>
          <w:bCs/>
          <w:color w:val="000000"/>
          <w:sz w:val="20"/>
          <w:szCs w:val="20"/>
          <w:shd w:val="clear" w:color="auto" w:fill="FFFFFF"/>
          <w:lang w:val="en-US"/>
        </w:rPr>
        <w:t>to adopt a national strategy, system</w:t>
      </w:r>
      <w:r w:rsidR="00876BEA" w:rsidRPr="00EA6C7A">
        <w:rPr>
          <w:rFonts w:ascii="Verdana" w:eastAsia="Calibri" w:hAnsi="Verdana" w:cs="Tahoma"/>
          <w:bCs/>
          <w:color w:val="000000"/>
          <w:sz w:val="20"/>
          <w:szCs w:val="20"/>
          <w:shd w:val="clear" w:color="auto" w:fill="FFFFFF"/>
          <w:lang w:val="en-US"/>
        </w:rPr>
        <w:t xml:space="preserve">, </w:t>
      </w:r>
      <w:r w:rsidR="00F868C0" w:rsidRPr="00EA6C7A">
        <w:rPr>
          <w:rFonts w:ascii="Verdana" w:eastAsia="Calibri" w:hAnsi="Verdana" w:cs="Tahoma"/>
          <w:bCs/>
          <w:color w:val="000000"/>
          <w:sz w:val="20"/>
          <w:szCs w:val="20"/>
          <w:shd w:val="clear" w:color="auto" w:fill="FFFFFF"/>
          <w:lang w:val="en-US"/>
        </w:rPr>
        <w:t>mechanism</w:t>
      </w:r>
      <w:r w:rsidR="00876BEA" w:rsidRPr="00EA6C7A">
        <w:rPr>
          <w:rFonts w:ascii="Verdana" w:eastAsia="Calibri" w:hAnsi="Verdana" w:cs="Tahoma"/>
          <w:bCs/>
          <w:color w:val="000000"/>
          <w:sz w:val="20"/>
          <w:szCs w:val="20"/>
          <w:shd w:val="clear" w:color="auto" w:fill="FFFFFF"/>
          <w:lang w:val="en-US"/>
        </w:rPr>
        <w:t xml:space="preserve"> or</w:t>
      </w:r>
      <w:r w:rsidR="004E7CD9" w:rsidRPr="00EA6C7A">
        <w:rPr>
          <w:rFonts w:ascii="Verdana" w:eastAsia="Calibri" w:hAnsi="Verdana" w:cs="Tahoma"/>
          <w:bCs/>
          <w:color w:val="000000"/>
          <w:sz w:val="20"/>
          <w:szCs w:val="20"/>
          <w:shd w:val="clear" w:color="auto" w:fill="FFFFFF"/>
          <w:lang w:val="en-US"/>
        </w:rPr>
        <w:t xml:space="preserve"> </w:t>
      </w:r>
      <w:r w:rsidR="00876BEA" w:rsidRPr="00EA6C7A">
        <w:rPr>
          <w:rFonts w:ascii="Verdana" w:eastAsia="Calibri" w:hAnsi="Verdana" w:cs="Tahoma"/>
          <w:bCs/>
          <w:color w:val="000000"/>
          <w:sz w:val="20"/>
          <w:szCs w:val="20"/>
          <w:shd w:val="clear" w:color="auto" w:fill="FFFFFF"/>
          <w:lang w:val="en-US"/>
        </w:rPr>
        <w:t>program</w:t>
      </w:r>
      <w:r w:rsidRPr="00EA6C7A">
        <w:rPr>
          <w:rFonts w:ascii="Verdana" w:eastAsia="Calibri" w:hAnsi="Verdana" w:cs="Tahoma"/>
          <w:bCs/>
          <w:color w:val="000000"/>
          <w:sz w:val="20"/>
          <w:szCs w:val="20"/>
          <w:shd w:val="clear" w:color="auto" w:fill="FFFFFF"/>
          <w:lang w:val="en-US"/>
        </w:rPr>
        <w:t>,</w:t>
      </w:r>
      <w:r w:rsidR="00F868C0" w:rsidRPr="00EA6C7A">
        <w:rPr>
          <w:rFonts w:ascii="Verdana" w:eastAsia="Calibri" w:hAnsi="Verdana" w:cs="Tahoma"/>
          <w:bCs/>
          <w:color w:val="000000"/>
          <w:sz w:val="20"/>
          <w:szCs w:val="20"/>
          <w:shd w:val="clear" w:color="auto" w:fill="FFFFFF"/>
          <w:lang w:val="en-US"/>
        </w:rPr>
        <w:t xml:space="preserve"> by legislative or other means</w:t>
      </w:r>
      <w:r w:rsidR="00F868C0" w:rsidRPr="00EA6C7A">
        <w:rPr>
          <w:rFonts w:ascii="Verdana" w:hAnsi="Verdana"/>
          <w:sz w:val="20"/>
          <w:szCs w:val="20"/>
          <w:lang w:val="en-US"/>
        </w:rPr>
        <w:t>, to ensure the immediate and effective search for missing women, and that ensures that in case</w:t>
      </w:r>
      <w:r w:rsidR="00876BEA" w:rsidRPr="00EA6C7A">
        <w:rPr>
          <w:rFonts w:ascii="Verdana" w:hAnsi="Verdana"/>
          <w:sz w:val="20"/>
          <w:szCs w:val="20"/>
          <w:lang w:val="en-US"/>
        </w:rPr>
        <w:t>s</w:t>
      </w:r>
      <w:r w:rsidR="00F868C0" w:rsidRPr="00EA6C7A">
        <w:rPr>
          <w:rFonts w:ascii="Verdana" w:hAnsi="Verdana"/>
          <w:sz w:val="20"/>
          <w:szCs w:val="20"/>
          <w:lang w:val="en-US"/>
        </w:rPr>
        <w:t xml:space="preserve"> of reports of this nature, the corresponding authorities receive them immediately, without the need for formalities and, at the same time, initiate actions to locate the possible victims and prevent the violation of their rights to life and to personal integrit</w:t>
      </w:r>
      <w:r w:rsidR="00612AB3" w:rsidRPr="00EA6C7A">
        <w:rPr>
          <w:rFonts w:ascii="Verdana" w:hAnsi="Verdana"/>
          <w:sz w:val="20"/>
          <w:szCs w:val="20"/>
          <w:lang w:val="en-US"/>
        </w:rPr>
        <w:t>y.</w:t>
      </w:r>
      <w:r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58"/>
      </w:r>
      <w:r w:rsidRPr="00EA6C7A">
        <w:rPr>
          <w:rFonts w:ascii="Verdana" w:eastAsia="Calibri" w:hAnsi="Verdana" w:cs="Tahoma"/>
          <w:bCs/>
          <w:color w:val="000000"/>
          <w:sz w:val="20"/>
          <w:szCs w:val="20"/>
          <w:shd w:val="clear" w:color="auto" w:fill="FFFFFF"/>
          <w:lang w:val="en-US"/>
        </w:rPr>
        <w:t xml:space="preserve"> </w:t>
      </w:r>
    </w:p>
    <w:p w14:paraId="11BA77E0"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39957822"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49. </w:t>
      </w:r>
      <w:r w:rsidRPr="00EA6C7A">
        <w:rPr>
          <w:rFonts w:ascii="Verdana" w:eastAsia="Calibri" w:hAnsi="Verdana" w:cs="Tahoma"/>
          <w:bCs/>
          <w:color w:val="000000"/>
          <w:sz w:val="20"/>
          <w:szCs w:val="20"/>
          <w:shd w:val="clear" w:color="auto" w:fill="FFFFFF"/>
          <w:lang w:val="en-US"/>
        </w:rPr>
        <w:tab/>
      </w:r>
      <w:r w:rsidR="00612AB3" w:rsidRPr="00EA6C7A">
        <w:rPr>
          <w:rFonts w:ascii="Verdana" w:eastAsia="Calibri" w:hAnsi="Verdana" w:cs="Tahoma"/>
          <w:bCs/>
          <w:color w:val="000000"/>
          <w:sz w:val="20"/>
          <w:szCs w:val="20"/>
          <w:shd w:val="clear" w:color="auto" w:fill="FFFFFF"/>
          <w:lang w:val="en-US"/>
        </w:rPr>
        <w:t xml:space="preserve">In this scenario, it is evident that, to address the context of </w:t>
      </w:r>
      <w:r w:rsidR="00C12C08" w:rsidRPr="00EA6C7A">
        <w:rPr>
          <w:rFonts w:ascii="Verdana" w:eastAsia="Calibri" w:hAnsi="Verdana" w:cs="Tahoma"/>
          <w:bCs/>
          <w:color w:val="000000"/>
          <w:sz w:val="20"/>
          <w:szCs w:val="20"/>
          <w:shd w:val="clear" w:color="auto" w:fill="FFFFFF"/>
          <w:lang w:val="en-US"/>
        </w:rPr>
        <w:t>violence against women</w:t>
      </w:r>
      <w:r w:rsidRPr="00EA6C7A">
        <w:rPr>
          <w:rFonts w:ascii="Verdana" w:eastAsia="Calibri" w:hAnsi="Verdana" w:cs="Tahoma"/>
          <w:bCs/>
          <w:color w:val="000000"/>
          <w:sz w:val="20"/>
          <w:szCs w:val="20"/>
          <w:shd w:val="clear" w:color="auto" w:fill="FFFFFF"/>
          <w:lang w:val="en-US"/>
        </w:rPr>
        <w:t xml:space="preserve"> </w:t>
      </w:r>
      <w:r w:rsidR="00612AB3" w:rsidRPr="00EA6C7A">
        <w:rPr>
          <w:rFonts w:ascii="Verdana" w:eastAsia="Calibri" w:hAnsi="Verdana" w:cs="Tahoma"/>
          <w:bCs/>
          <w:color w:val="000000"/>
          <w:sz w:val="20"/>
          <w:szCs w:val="20"/>
          <w:shd w:val="clear" w:color="auto" w:fill="FFFFFF"/>
          <w:lang w:val="en-US"/>
        </w:rPr>
        <w:t>in</w:t>
      </w:r>
      <w:r w:rsidRPr="00EA6C7A">
        <w:rPr>
          <w:rFonts w:ascii="Verdana" w:eastAsia="Calibri" w:hAnsi="Verdana" w:cs="Tahoma"/>
          <w:bCs/>
          <w:color w:val="000000"/>
          <w:sz w:val="20"/>
          <w:szCs w:val="20"/>
          <w:shd w:val="clear" w:color="auto" w:fill="FFFFFF"/>
          <w:lang w:val="en-US"/>
        </w:rPr>
        <w:t xml:space="preserve"> Guatemala,</w:t>
      </w:r>
      <w:r w:rsidR="00612AB3" w:rsidRPr="00EA6C7A">
        <w:rPr>
          <w:rFonts w:ascii="Verdana" w:eastAsia="Calibri" w:hAnsi="Verdana" w:cs="Tahoma"/>
          <w:bCs/>
          <w:color w:val="000000"/>
          <w:sz w:val="20"/>
          <w:szCs w:val="20"/>
          <w:shd w:val="clear" w:color="auto" w:fill="FFFFFF"/>
          <w:lang w:val="en-US"/>
        </w:rPr>
        <w:t xml:space="preserve"> the </w:t>
      </w:r>
      <w:r w:rsidR="00671A06" w:rsidRPr="00EA6C7A">
        <w:rPr>
          <w:rFonts w:ascii="Verdana" w:eastAsia="Calibri" w:hAnsi="Verdana" w:cs="Tahoma"/>
          <w:bCs/>
          <w:color w:val="000000"/>
          <w:sz w:val="20"/>
          <w:szCs w:val="20"/>
          <w:shd w:val="clear" w:color="auto" w:fill="FFFFFF"/>
          <w:lang w:val="en-US"/>
        </w:rPr>
        <w:t>State</w:t>
      </w:r>
      <w:r w:rsidR="00612AB3" w:rsidRPr="00EA6C7A">
        <w:rPr>
          <w:rFonts w:ascii="Verdana" w:eastAsia="Calibri" w:hAnsi="Verdana" w:cs="Tahoma"/>
          <w:bCs/>
          <w:color w:val="000000"/>
          <w:sz w:val="20"/>
          <w:szCs w:val="20"/>
          <w:shd w:val="clear" w:color="auto" w:fill="FFFFFF"/>
          <w:lang w:val="en-US"/>
        </w:rPr>
        <w:t xml:space="preserve"> must establish laws, measures or </w:t>
      </w:r>
      <w:r w:rsidR="004E7CD9" w:rsidRPr="00EA6C7A">
        <w:rPr>
          <w:rFonts w:ascii="Verdana" w:eastAsia="Calibri" w:hAnsi="Verdana" w:cs="Tahoma"/>
          <w:bCs/>
          <w:color w:val="000000"/>
          <w:sz w:val="20"/>
          <w:szCs w:val="20"/>
          <w:shd w:val="clear" w:color="auto" w:fill="FFFFFF"/>
          <w:lang w:val="en-US"/>
        </w:rPr>
        <w:t xml:space="preserve">a </w:t>
      </w:r>
      <w:r w:rsidR="00612AB3" w:rsidRPr="00EA6C7A">
        <w:rPr>
          <w:rFonts w:ascii="Verdana" w:eastAsia="Calibri" w:hAnsi="Verdana" w:cs="Tahoma"/>
          <w:bCs/>
          <w:color w:val="000000"/>
          <w:sz w:val="20"/>
          <w:szCs w:val="20"/>
          <w:shd w:val="clear" w:color="auto" w:fill="FFFFFF"/>
          <w:lang w:val="en-US"/>
        </w:rPr>
        <w:t xml:space="preserve">mechanism that, regardless of the fact that </w:t>
      </w:r>
      <w:r w:rsidR="004E7CD9" w:rsidRPr="00EA6C7A">
        <w:rPr>
          <w:rFonts w:ascii="Verdana" w:eastAsia="Calibri" w:hAnsi="Verdana" w:cs="Tahoma"/>
          <w:bCs/>
          <w:color w:val="000000"/>
          <w:sz w:val="20"/>
          <w:szCs w:val="20"/>
          <w:shd w:val="clear" w:color="auto" w:fill="FFFFFF"/>
          <w:lang w:val="en-US"/>
        </w:rPr>
        <w:t>they</w:t>
      </w:r>
      <w:r w:rsidR="00612AB3" w:rsidRPr="00EA6C7A">
        <w:rPr>
          <w:rFonts w:ascii="Verdana" w:eastAsia="Calibri" w:hAnsi="Verdana" w:cs="Tahoma"/>
          <w:bCs/>
          <w:color w:val="000000"/>
          <w:sz w:val="20"/>
          <w:szCs w:val="20"/>
          <w:shd w:val="clear" w:color="auto" w:fill="FFFFFF"/>
          <w:lang w:val="en-US"/>
        </w:rPr>
        <w:t xml:space="preserve"> exist, </w:t>
      </w:r>
      <w:r w:rsidR="004E7CD9" w:rsidRPr="00EA6C7A">
        <w:rPr>
          <w:rFonts w:ascii="Verdana" w:eastAsia="Calibri" w:hAnsi="Verdana" w:cs="Tahoma"/>
          <w:bCs/>
          <w:color w:val="000000"/>
          <w:sz w:val="20"/>
          <w:szCs w:val="20"/>
          <w:shd w:val="clear" w:color="auto" w:fill="FFFFFF"/>
          <w:lang w:val="en-US"/>
        </w:rPr>
        <w:t>are</w:t>
      </w:r>
      <w:r w:rsidR="00612AB3" w:rsidRPr="00EA6C7A">
        <w:rPr>
          <w:rFonts w:ascii="Verdana" w:eastAsia="Calibri" w:hAnsi="Verdana" w:cs="Tahoma"/>
          <w:bCs/>
          <w:color w:val="000000"/>
          <w:sz w:val="20"/>
          <w:szCs w:val="20"/>
          <w:shd w:val="clear" w:color="auto" w:fill="FFFFFF"/>
          <w:lang w:val="en-US"/>
        </w:rPr>
        <w:t xml:space="preserve"> “effective” in “practice” – in the terms </w:t>
      </w:r>
      <w:r w:rsidR="001914FC" w:rsidRPr="00EA6C7A">
        <w:rPr>
          <w:rFonts w:ascii="Verdana" w:eastAsia="Calibri" w:hAnsi="Verdana" w:cs="Tahoma"/>
          <w:bCs/>
          <w:color w:val="000000"/>
          <w:sz w:val="20"/>
          <w:szCs w:val="20"/>
          <w:shd w:val="clear" w:color="auto" w:fill="FFFFFF"/>
          <w:lang w:val="en-US"/>
        </w:rPr>
        <w:t>of Article</w:t>
      </w:r>
      <w:r w:rsidRPr="00EA6C7A">
        <w:rPr>
          <w:rFonts w:ascii="Verdana" w:eastAsia="Calibri" w:hAnsi="Verdana" w:cs="Tahoma"/>
          <w:bCs/>
          <w:color w:val="000000"/>
          <w:sz w:val="20"/>
          <w:szCs w:val="20"/>
          <w:shd w:val="clear" w:color="auto" w:fill="FFFFFF"/>
          <w:lang w:val="en-US"/>
        </w:rPr>
        <w:t xml:space="preserve"> 2</w:t>
      </w:r>
      <w:r w:rsidR="0096418F" w:rsidRPr="00EA6C7A">
        <w:rPr>
          <w:rFonts w:ascii="Verdana" w:eastAsia="Calibri" w:hAnsi="Verdana" w:cs="Tahoma"/>
          <w:bCs/>
          <w:color w:val="000000"/>
          <w:sz w:val="20"/>
          <w:szCs w:val="20"/>
          <w:shd w:val="clear" w:color="auto" w:fill="FFFFFF"/>
          <w:lang w:val="en-US"/>
        </w:rPr>
        <w:t xml:space="preserve"> of the American Convention</w:t>
      </w:r>
      <w:r w:rsidR="00612AB3" w:rsidRPr="00EA6C7A">
        <w:rPr>
          <w:rFonts w:ascii="Verdana" w:eastAsia="Calibri" w:hAnsi="Verdana" w:cs="Tahoma"/>
          <w:bCs/>
          <w:color w:val="000000"/>
          <w:sz w:val="20"/>
          <w:szCs w:val="20"/>
          <w:shd w:val="clear" w:color="auto" w:fill="FFFFFF"/>
          <w:lang w:val="en-US"/>
        </w:rPr>
        <w:t xml:space="preserve"> – aimed at preventing the disappearance of women </w:t>
      </w:r>
      <w:r w:rsidR="004E7CD9" w:rsidRPr="00EA6C7A">
        <w:rPr>
          <w:rFonts w:ascii="Verdana" w:eastAsia="Calibri" w:hAnsi="Verdana" w:cs="Tahoma"/>
          <w:bCs/>
          <w:color w:val="000000"/>
          <w:sz w:val="20"/>
          <w:szCs w:val="20"/>
          <w:shd w:val="clear" w:color="auto" w:fill="FFFFFF"/>
          <w:lang w:val="en-US"/>
        </w:rPr>
        <w:t>through</w:t>
      </w:r>
      <w:r w:rsidR="00612AB3" w:rsidRPr="00EA6C7A">
        <w:rPr>
          <w:rFonts w:ascii="Verdana" w:eastAsia="Calibri" w:hAnsi="Verdana" w:cs="Tahoma"/>
          <w:bCs/>
          <w:color w:val="000000"/>
          <w:sz w:val="20"/>
          <w:szCs w:val="20"/>
          <w:shd w:val="clear" w:color="auto" w:fill="FFFFFF"/>
          <w:lang w:val="en-US"/>
        </w:rPr>
        <w:t xml:space="preserve"> diligent and appropriate actions </w:t>
      </w:r>
      <w:r w:rsidR="004E7CD9" w:rsidRPr="00EA6C7A">
        <w:rPr>
          <w:rFonts w:ascii="Verdana" w:eastAsia="Calibri" w:hAnsi="Verdana" w:cs="Tahoma"/>
          <w:bCs/>
          <w:color w:val="000000"/>
          <w:sz w:val="20"/>
          <w:szCs w:val="20"/>
          <w:shd w:val="clear" w:color="auto" w:fill="FFFFFF"/>
          <w:lang w:val="en-US"/>
        </w:rPr>
        <w:t>by</w:t>
      </w:r>
      <w:r w:rsidR="00612AB3" w:rsidRPr="00EA6C7A">
        <w:rPr>
          <w:rFonts w:ascii="Verdana" w:eastAsia="Calibri" w:hAnsi="Verdana" w:cs="Tahoma"/>
          <w:bCs/>
          <w:color w:val="000000"/>
          <w:sz w:val="20"/>
          <w:szCs w:val="20"/>
          <w:shd w:val="clear" w:color="auto" w:fill="FFFFFF"/>
          <w:lang w:val="en-US"/>
        </w:rPr>
        <w:t xml:space="preserve"> the authorities entail</w:t>
      </w:r>
      <w:r w:rsidR="004E7CD9" w:rsidRPr="00EA6C7A">
        <w:rPr>
          <w:rFonts w:ascii="Verdana" w:eastAsia="Calibri" w:hAnsi="Verdana" w:cs="Tahoma"/>
          <w:bCs/>
          <w:color w:val="000000"/>
          <w:sz w:val="20"/>
          <w:szCs w:val="20"/>
          <w:shd w:val="clear" w:color="auto" w:fill="FFFFFF"/>
          <w:lang w:val="en-US"/>
        </w:rPr>
        <w:t xml:space="preserve">ing </w:t>
      </w:r>
      <w:r w:rsidR="00612AB3" w:rsidRPr="00EA6C7A">
        <w:rPr>
          <w:rFonts w:ascii="Verdana" w:eastAsia="Calibri" w:hAnsi="Verdana" w:cs="Tahoma"/>
          <w:bCs/>
          <w:color w:val="000000"/>
          <w:sz w:val="20"/>
          <w:szCs w:val="20"/>
          <w:shd w:val="clear" w:color="auto" w:fill="FFFFFF"/>
          <w:lang w:val="en-US"/>
        </w:rPr>
        <w:t>the immediate search for these women and prevent the perpetration of violations of their human rights</w:t>
      </w:r>
      <w:r w:rsidRPr="00EA6C7A">
        <w:rPr>
          <w:rFonts w:ascii="Verdana" w:eastAsia="Calibri" w:hAnsi="Verdana" w:cs="Tahoma"/>
          <w:bCs/>
          <w:color w:val="000000"/>
          <w:sz w:val="20"/>
          <w:szCs w:val="20"/>
          <w:shd w:val="clear" w:color="auto" w:fill="FFFFFF"/>
          <w:lang w:val="en-US"/>
        </w:rPr>
        <w:t>.</w:t>
      </w:r>
    </w:p>
    <w:p w14:paraId="362E8D30" w14:textId="77777777" w:rsidR="00175ABB" w:rsidRPr="00EA6C7A" w:rsidRDefault="00175ABB" w:rsidP="00175ABB">
      <w:pPr>
        <w:spacing w:after="0" w:line="240" w:lineRule="auto"/>
        <w:jc w:val="both"/>
        <w:rPr>
          <w:rFonts w:ascii="Verdana" w:eastAsia="Calibri" w:hAnsi="Verdana" w:cs="Tahoma"/>
          <w:bCs/>
          <w:color w:val="000000"/>
          <w:sz w:val="20"/>
          <w:szCs w:val="20"/>
          <w:shd w:val="clear" w:color="auto" w:fill="FFFFFF"/>
          <w:lang w:val="en-US"/>
        </w:rPr>
      </w:pPr>
    </w:p>
    <w:p w14:paraId="32EB464D" w14:textId="77777777" w:rsidR="00175ABB" w:rsidRPr="00EA6C7A" w:rsidRDefault="00175ABB" w:rsidP="00175ABB">
      <w:pPr>
        <w:spacing w:after="0" w:line="240" w:lineRule="auto"/>
        <w:jc w:val="center"/>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IV.  </w:t>
      </w:r>
      <w:r w:rsidR="00F53A64" w:rsidRPr="00EA6C7A">
        <w:rPr>
          <w:rFonts w:ascii="Verdana" w:eastAsia="Calibri" w:hAnsi="Verdana" w:cs="Tahoma"/>
          <w:bCs/>
          <w:color w:val="000000"/>
          <w:sz w:val="20"/>
          <w:szCs w:val="20"/>
          <w:shd w:val="clear" w:color="auto" w:fill="FFFFFF"/>
          <w:lang w:val="en-US"/>
        </w:rPr>
        <w:t>CONCLUSION</w:t>
      </w:r>
    </w:p>
    <w:p w14:paraId="06F4C5FA" w14:textId="77777777" w:rsidR="00175ABB" w:rsidRPr="00EA6C7A" w:rsidRDefault="00175ABB" w:rsidP="00175ABB">
      <w:pPr>
        <w:spacing w:after="0" w:line="240" w:lineRule="auto"/>
        <w:rPr>
          <w:rFonts w:ascii="Verdana" w:eastAsia="Calibri" w:hAnsi="Verdana" w:cs="Tahoma"/>
          <w:b/>
          <w:bCs/>
          <w:color w:val="000000"/>
          <w:sz w:val="20"/>
          <w:szCs w:val="20"/>
          <w:shd w:val="clear" w:color="auto" w:fill="FFFFFF"/>
          <w:lang w:val="en-US"/>
        </w:rPr>
      </w:pPr>
    </w:p>
    <w:p w14:paraId="775BBEAA" w14:textId="77777777" w:rsidR="00695933" w:rsidRPr="00EA6C7A" w:rsidRDefault="00175ABB" w:rsidP="00175ABB">
      <w:pPr>
        <w:spacing w:after="0" w:line="240" w:lineRule="auto"/>
        <w:jc w:val="both"/>
        <w:rPr>
          <w:rFonts w:ascii="Verdana" w:eastAsia="Calibri" w:hAnsi="Verdana"/>
          <w:sz w:val="20"/>
          <w:szCs w:val="20"/>
          <w:lang w:val="en-US"/>
        </w:rPr>
      </w:pPr>
      <w:r w:rsidRPr="00EA6C7A">
        <w:rPr>
          <w:rFonts w:ascii="Verdana" w:eastAsia="Calibri" w:hAnsi="Verdana"/>
          <w:sz w:val="20"/>
          <w:szCs w:val="20"/>
          <w:lang w:val="en-US"/>
        </w:rPr>
        <w:t xml:space="preserve">50. </w:t>
      </w:r>
      <w:r w:rsidRPr="00EA6C7A">
        <w:rPr>
          <w:rFonts w:ascii="Verdana" w:eastAsia="Calibri" w:hAnsi="Verdana"/>
          <w:sz w:val="20"/>
          <w:szCs w:val="20"/>
          <w:lang w:val="en-US"/>
        </w:rPr>
        <w:tab/>
      </w:r>
      <w:r w:rsidR="00695933" w:rsidRPr="00EA6C7A">
        <w:rPr>
          <w:rFonts w:ascii="Verdana" w:eastAsia="Calibri" w:hAnsi="Verdana"/>
          <w:sz w:val="20"/>
          <w:szCs w:val="20"/>
          <w:lang w:val="en-US"/>
        </w:rPr>
        <w:t xml:space="preserve">The </w:t>
      </w:r>
      <w:r w:rsidR="00671A06" w:rsidRPr="00EA6C7A">
        <w:rPr>
          <w:rFonts w:ascii="Verdana" w:eastAsia="Calibri" w:hAnsi="Verdana"/>
          <w:sz w:val="20"/>
          <w:szCs w:val="20"/>
          <w:lang w:val="en-US"/>
        </w:rPr>
        <w:t>culture</w:t>
      </w:r>
      <w:r w:rsidR="00695933" w:rsidRPr="00EA6C7A">
        <w:rPr>
          <w:rFonts w:ascii="Verdana" w:eastAsia="Calibri" w:hAnsi="Verdana"/>
          <w:sz w:val="20"/>
          <w:szCs w:val="20"/>
          <w:lang w:val="en-US"/>
        </w:rPr>
        <w:t xml:space="preserve"> of discrimination </w:t>
      </w:r>
      <w:r w:rsidR="00D948A1" w:rsidRPr="00EA6C7A">
        <w:rPr>
          <w:rFonts w:ascii="Verdana" w:eastAsia="Calibri" w:hAnsi="Verdana"/>
          <w:sz w:val="20"/>
          <w:szCs w:val="20"/>
          <w:lang w:val="en-US"/>
        </w:rPr>
        <w:t xml:space="preserve">and </w:t>
      </w:r>
      <w:r w:rsidR="00C12C08" w:rsidRPr="00EA6C7A">
        <w:rPr>
          <w:rFonts w:ascii="Verdana" w:eastAsia="Calibri" w:hAnsi="Verdana"/>
          <w:sz w:val="20"/>
          <w:szCs w:val="20"/>
          <w:lang w:val="en-US"/>
        </w:rPr>
        <w:t>violence against women</w:t>
      </w:r>
      <w:r w:rsidRPr="00EA6C7A">
        <w:rPr>
          <w:rFonts w:ascii="Verdana" w:eastAsia="Calibri" w:hAnsi="Verdana"/>
          <w:sz w:val="20"/>
          <w:szCs w:val="20"/>
          <w:lang w:val="en-US"/>
        </w:rPr>
        <w:t xml:space="preserve"> </w:t>
      </w:r>
      <w:r w:rsidR="00695933" w:rsidRPr="00EA6C7A">
        <w:rPr>
          <w:rFonts w:ascii="Verdana" w:eastAsia="Calibri" w:hAnsi="Verdana"/>
          <w:sz w:val="20"/>
          <w:szCs w:val="20"/>
          <w:lang w:val="en-US"/>
        </w:rPr>
        <w:t xml:space="preserve">is a phenomenon that persists up until the present, nullifying the dignity and also the enjoyment and exercise of the human rights of women in the Americas. </w:t>
      </w:r>
      <w:r w:rsidR="004E7CD9" w:rsidRPr="00EA6C7A">
        <w:rPr>
          <w:rFonts w:ascii="Verdana" w:eastAsia="Calibri" w:hAnsi="Verdana"/>
          <w:sz w:val="20"/>
          <w:szCs w:val="20"/>
          <w:lang w:val="en-US"/>
        </w:rPr>
        <w:t>To confront</w:t>
      </w:r>
      <w:r w:rsidR="00695933" w:rsidRPr="00EA6C7A">
        <w:rPr>
          <w:rFonts w:ascii="Verdana" w:eastAsia="Calibri" w:hAnsi="Verdana"/>
          <w:sz w:val="20"/>
          <w:szCs w:val="20"/>
          <w:lang w:val="en-US"/>
        </w:rPr>
        <w:t xml:space="preserve"> this situation, the State obligation “of prevention” plays an essential role, to which</w:t>
      </w:r>
      <w:r w:rsidR="004E7CD9" w:rsidRPr="00EA6C7A">
        <w:rPr>
          <w:rFonts w:ascii="Verdana" w:eastAsia="Calibri" w:hAnsi="Verdana"/>
          <w:sz w:val="20"/>
          <w:szCs w:val="20"/>
          <w:lang w:val="en-US"/>
        </w:rPr>
        <w:t>,</w:t>
      </w:r>
      <w:r w:rsidR="00695933" w:rsidRPr="00EA6C7A">
        <w:rPr>
          <w:rFonts w:ascii="Verdana" w:eastAsia="Calibri" w:hAnsi="Verdana"/>
          <w:sz w:val="20"/>
          <w:szCs w:val="20"/>
          <w:lang w:val="en-US"/>
        </w:rPr>
        <w:t xml:space="preserve"> I consider</w:t>
      </w:r>
      <w:r w:rsidR="004E7CD9" w:rsidRPr="00EA6C7A">
        <w:rPr>
          <w:rFonts w:ascii="Verdana" w:eastAsia="Calibri" w:hAnsi="Verdana"/>
          <w:sz w:val="20"/>
          <w:szCs w:val="20"/>
          <w:lang w:val="en-US"/>
        </w:rPr>
        <w:t>,</w:t>
      </w:r>
      <w:r w:rsidR="00695933" w:rsidRPr="00EA6C7A">
        <w:rPr>
          <w:rFonts w:ascii="Verdana" w:eastAsia="Calibri" w:hAnsi="Verdana"/>
          <w:sz w:val="20"/>
          <w:szCs w:val="20"/>
          <w:lang w:val="en-US"/>
        </w:rPr>
        <w:t xml:space="preserve"> State</w:t>
      </w:r>
      <w:r w:rsidR="004E7CD9" w:rsidRPr="00EA6C7A">
        <w:rPr>
          <w:rFonts w:ascii="Verdana" w:eastAsia="Calibri" w:hAnsi="Verdana"/>
          <w:sz w:val="20"/>
          <w:szCs w:val="20"/>
          <w:lang w:val="en-US"/>
        </w:rPr>
        <w:t>s</w:t>
      </w:r>
      <w:r w:rsidR="00695933" w:rsidRPr="00EA6C7A">
        <w:rPr>
          <w:rFonts w:ascii="Verdana" w:eastAsia="Calibri" w:hAnsi="Verdana"/>
          <w:sz w:val="20"/>
          <w:szCs w:val="20"/>
          <w:lang w:val="en-US"/>
        </w:rPr>
        <w:t xml:space="preserve"> should pay special attention.</w:t>
      </w:r>
    </w:p>
    <w:p w14:paraId="15AE7E77" w14:textId="77777777" w:rsidR="00175ABB" w:rsidRPr="00EA6C7A" w:rsidRDefault="00175ABB" w:rsidP="00175ABB">
      <w:pPr>
        <w:spacing w:after="0" w:line="240" w:lineRule="auto"/>
        <w:jc w:val="both"/>
        <w:rPr>
          <w:rFonts w:ascii="Verdana" w:eastAsia="Calibri" w:hAnsi="Verdana"/>
          <w:sz w:val="20"/>
          <w:szCs w:val="20"/>
          <w:lang w:val="en-US"/>
        </w:rPr>
      </w:pPr>
    </w:p>
    <w:p w14:paraId="623654B3" w14:textId="77777777" w:rsidR="00175ABB" w:rsidRPr="00EA6C7A" w:rsidRDefault="00175ABB" w:rsidP="00175ABB">
      <w:pPr>
        <w:spacing w:after="0" w:line="240" w:lineRule="auto"/>
        <w:jc w:val="both"/>
        <w:rPr>
          <w:rFonts w:ascii="Verdana" w:eastAsia="Calibri" w:hAnsi="Verdana"/>
          <w:sz w:val="20"/>
          <w:szCs w:val="20"/>
          <w:lang w:val="en-US"/>
        </w:rPr>
      </w:pPr>
      <w:r w:rsidRPr="00EA6C7A">
        <w:rPr>
          <w:rFonts w:ascii="Verdana" w:eastAsia="Calibri" w:hAnsi="Verdana" w:cs="Tahoma"/>
          <w:bCs/>
          <w:color w:val="000000"/>
          <w:sz w:val="20"/>
          <w:szCs w:val="20"/>
          <w:shd w:val="clear" w:color="auto" w:fill="FFFFFF"/>
          <w:lang w:val="en-US"/>
        </w:rPr>
        <w:t xml:space="preserve">51. </w:t>
      </w:r>
      <w:r w:rsidRPr="00EA6C7A">
        <w:rPr>
          <w:rFonts w:ascii="Verdana" w:eastAsia="Calibri" w:hAnsi="Verdana" w:cs="Tahoma"/>
          <w:bCs/>
          <w:color w:val="000000"/>
          <w:sz w:val="20"/>
          <w:szCs w:val="20"/>
          <w:shd w:val="clear" w:color="auto" w:fill="FFFFFF"/>
          <w:lang w:val="en-US"/>
        </w:rPr>
        <w:tab/>
      </w:r>
      <w:r w:rsidR="00695933" w:rsidRPr="00EA6C7A">
        <w:rPr>
          <w:rFonts w:ascii="Verdana" w:eastAsia="Calibri" w:hAnsi="Verdana" w:cs="Tahoma"/>
          <w:bCs/>
          <w:color w:val="000000"/>
          <w:sz w:val="20"/>
          <w:szCs w:val="20"/>
          <w:shd w:val="clear" w:color="auto" w:fill="FFFFFF"/>
          <w:lang w:val="en-US"/>
        </w:rPr>
        <w:t xml:space="preserve">As emphasized in </w:t>
      </w:r>
      <w:r w:rsidR="00D5307F" w:rsidRPr="00EA6C7A">
        <w:rPr>
          <w:rFonts w:ascii="Verdana" w:eastAsia="Calibri" w:hAnsi="Verdana" w:cs="Tahoma"/>
          <w:bCs/>
          <w:color w:val="000000"/>
          <w:sz w:val="20"/>
          <w:szCs w:val="20"/>
          <w:shd w:val="clear" w:color="auto" w:fill="FFFFFF"/>
          <w:lang w:val="en-US"/>
        </w:rPr>
        <w:t>the judgment</w:t>
      </w:r>
      <w:r w:rsidRPr="00EA6C7A">
        <w:rPr>
          <w:rFonts w:ascii="Verdana" w:eastAsia="Calibri" w:hAnsi="Verdana" w:cs="Tahoma"/>
          <w:bCs/>
          <w:color w:val="000000"/>
          <w:sz w:val="20"/>
          <w:szCs w:val="20"/>
          <w:shd w:val="clear" w:color="auto" w:fill="FFFFFF"/>
          <w:lang w:val="en-US"/>
        </w:rPr>
        <w:t xml:space="preserve">, </w:t>
      </w:r>
      <w:r w:rsidR="00695933" w:rsidRPr="00EA6C7A">
        <w:rPr>
          <w:rFonts w:ascii="Verdana" w:eastAsia="Calibri" w:hAnsi="Verdana" w:cs="Tahoma"/>
          <w:bCs/>
          <w:color w:val="000000"/>
          <w:sz w:val="20"/>
          <w:szCs w:val="20"/>
          <w:shd w:val="clear" w:color="auto" w:fill="FFFFFF"/>
          <w:lang w:val="en-US"/>
        </w:rPr>
        <w:t>the</w:t>
      </w:r>
      <w:r w:rsidRPr="00EA6C7A">
        <w:rPr>
          <w:rFonts w:ascii="Verdana" w:eastAsia="Calibri" w:hAnsi="Verdana" w:cs="Tahoma"/>
          <w:bCs/>
          <w:color w:val="000000"/>
          <w:sz w:val="20"/>
          <w:szCs w:val="20"/>
          <w:shd w:val="clear" w:color="auto" w:fill="FFFFFF"/>
          <w:lang w:val="en-US"/>
        </w:rPr>
        <w:t xml:space="preserve"> </w:t>
      </w:r>
      <w:r w:rsidR="00D5307F" w:rsidRPr="00EA6C7A">
        <w:rPr>
          <w:rFonts w:ascii="Verdana" w:eastAsia="Calibri" w:hAnsi="Verdana" w:cs="Tahoma"/>
          <w:bCs/>
          <w:color w:val="000000"/>
          <w:sz w:val="20"/>
          <w:szCs w:val="20"/>
          <w:shd w:val="clear" w:color="auto" w:fill="FFFFFF"/>
          <w:lang w:val="en-US"/>
        </w:rPr>
        <w:t>obligation of prevention</w:t>
      </w:r>
      <w:r w:rsidRPr="00EA6C7A">
        <w:rPr>
          <w:rFonts w:ascii="Verdana" w:eastAsia="Calibri" w:hAnsi="Verdana" w:cs="Tahoma"/>
          <w:bCs/>
          <w:color w:val="000000"/>
          <w:sz w:val="20"/>
          <w:szCs w:val="20"/>
          <w:shd w:val="clear" w:color="auto" w:fill="FFFFFF"/>
          <w:lang w:val="en-US"/>
        </w:rPr>
        <w:t xml:space="preserve"> </w:t>
      </w:r>
      <w:r w:rsidR="00695933" w:rsidRPr="00EA6C7A">
        <w:rPr>
          <w:rFonts w:ascii="Verdana" w:eastAsia="Calibri" w:hAnsi="Verdana" w:cs="Tahoma"/>
          <w:bCs/>
          <w:color w:val="000000"/>
          <w:sz w:val="20"/>
          <w:szCs w:val="20"/>
          <w:shd w:val="clear" w:color="auto" w:fill="FFFFFF"/>
          <w:lang w:val="en-US"/>
        </w:rPr>
        <w:t xml:space="preserve">is an essential presumption to ensure </w:t>
      </w:r>
      <w:r w:rsidR="00123BD3" w:rsidRPr="00EA6C7A">
        <w:rPr>
          <w:rFonts w:ascii="Verdana" w:eastAsia="Calibri" w:hAnsi="Verdana" w:cs="Tahoma"/>
          <w:bCs/>
          <w:color w:val="000000"/>
          <w:sz w:val="20"/>
          <w:szCs w:val="20"/>
          <w:shd w:val="clear" w:color="auto" w:fill="FFFFFF"/>
          <w:lang w:val="en-US"/>
        </w:rPr>
        <w:t xml:space="preserve">the </w:t>
      </w:r>
      <w:r w:rsidR="00F53A64" w:rsidRPr="00EA6C7A">
        <w:rPr>
          <w:rFonts w:ascii="Verdana" w:eastAsia="Calibri" w:hAnsi="Verdana" w:cs="Tahoma"/>
          <w:bCs/>
          <w:color w:val="000000"/>
          <w:sz w:val="20"/>
          <w:szCs w:val="20"/>
          <w:shd w:val="clear" w:color="auto" w:fill="FFFFFF"/>
          <w:lang w:val="en-US"/>
        </w:rPr>
        <w:t>rights to life</w:t>
      </w:r>
      <w:r w:rsidRPr="00EA6C7A">
        <w:rPr>
          <w:rFonts w:ascii="Verdana" w:eastAsia="Calibri" w:hAnsi="Verdana" w:cs="Tahoma"/>
          <w:bCs/>
          <w:color w:val="000000"/>
          <w:sz w:val="20"/>
          <w:szCs w:val="20"/>
          <w:shd w:val="clear" w:color="auto" w:fill="FFFFFF"/>
          <w:lang w:val="en-US"/>
        </w:rPr>
        <w:t xml:space="preserve"> </w:t>
      </w:r>
      <w:r w:rsidR="004C1E19" w:rsidRPr="00EA6C7A">
        <w:rPr>
          <w:rFonts w:ascii="Verdana" w:eastAsia="Calibri" w:hAnsi="Verdana" w:cs="Tahoma"/>
          <w:bCs/>
          <w:color w:val="000000"/>
          <w:sz w:val="20"/>
          <w:szCs w:val="20"/>
          <w:shd w:val="clear" w:color="auto" w:fill="FFFFFF"/>
          <w:lang w:val="en-US"/>
        </w:rPr>
        <w:t xml:space="preserve">and </w:t>
      </w:r>
      <w:r w:rsidR="00695933" w:rsidRPr="00EA6C7A">
        <w:rPr>
          <w:rFonts w:ascii="Verdana" w:eastAsia="Calibri" w:hAnsi="Verdana" w:cs="Tahoma"/>
          <w:bCs/>
          <w:color w:val="000000"/>
          <w:sz w:val="20"/>
          <w:szCs w:val="20"/>
          <w:shd w:val="clear" w:color="auto" w:fill="FFFFFF"/>
          <w:lang w:val="en-US"/>
        </w:rPr>
        <w:t>to p</w:t>
      </w:r>
      <w:r w:rsidR="004C1E19" w:rsidRPr="00EA6C7A">
        <w:rPr>
          <w:rFonts w:ascii="Verdana" w:eastAsia="Calibri" w:hAnsi="Verdana" w:cs="Tahoma"/>
          <w:bCs/>
          <w:color w:val="000000"/>
          <w:sz w:val="20"/>
          <w:szCs w:val="20"/>
          <w:shd w:val="clear" w:color="auto" w:fill="FFFFFF"/>
          <w:lang w:val="en-US"/>
        </w:rPr>
        <w:t>ersonal</w:t>
      </w:r>
      <w:r w:rsidR="00515C34" w:rsidRPr="00EA6C7A">
        <w:rPr>
          <w:rFonts w:ascii="Verdana" w:eastAsia="Calibri" w:hAnsi="Verdana" w:cs="Tahoma"/>
          <w:bCs/>
          <w:color w:val="000000"/>
          <w:sz w:val="20"/>
          <w:szCs w:val="20"/>
          <w:shd w:val="clear" w:color="auto" w:fill="FFFFFF"/>
          <w:lang w:val="en-US"/>
        </w:rPr>
        <w:t xml:space="preserve"> integrity</w:t>
      </w:r>
      <w:r w:rsidR="00695933"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vertAlign w:val="superscript"/>
          <w:lang w:val="en-US"/>
        </w:rPr>
        <w:footnoteReference w:id="459"/>
      </w:r>
      <w:r w:rsidR="00695933" w:rsidRPr="00EA6C7A">
        <w:rPr>
          <w:rFonts w:ascii="Verdana" w:eastAsia="Calibri" w:hAnsi="Verdana" w:cs="Tahoma"/>
          <w:bCs/>
          <w:color w:val="000000"/>
          <w:sz w:val="20"/>
          <w:szCs w:val="20"/>
          <w:shd w:val="clear" w:color="auto" w:fill="FFFFFF"/>
          <w:lang w:val="en-US"/>
        </w:rPr>
        <w:t xml:space="preserve"> and </w:t>
      </w:r>
      <w:r w:rsidR="004E7CD9" w:rsidRPr="00EA6C7A">
        <w:rPr>
          <w:rFonts w:ascii="Verdana" w:eastAsia="Calibri" w:hAnsi="Verdana" w:cs="Tahoma"/>
          <w:bCs/>
          <w:color w:val="000000"/>
          <w:sz w:val="20"/>
          <w:szCs w:val="20"/>
          <w:shd w:val="clear" w:color="auto" w:fill="FFFFFF"/>
          <w:lang w:val="en-US"/>
        </w:rPr>
        <w:t>“</w:t>
      </w:r>
      <w:r w:rsidR="00C751C6" w:rsidRPr="00EA6C7A">
        <w:rPr>
          <w:rFonts w:ascii="Verdana" w:eastAsia="Calibri" w:hAnsi="Verdana" w:cs="Tahoma"/>
          <w:bCs/>
          <w:color w:val="000000"/>
          <w:sz w:val="20"/>
          <w:szCs w:val="20"/>
          <w:shd w:val="clear" w:color="auto" w:fill="FFFFFF"/>
          <w:lang w:val="en-US"/>
        </w:rPr>
        <w:t>encompasses</w:t>
      </w:r>
      <w:r w:rsidR="00695933" w:rsidRPr="00EA6C7A">
        <w:rPr>
          <w:rFonts w:ascii="Verdana" w:eastAsia="Calibri" w:hAnsi="Verdana" w:cs="Tahoma"/>
          <w:bCs/>
          <w:color w:val="000000"/>
          <w:sz w:val="20"/>
          <w:szCs w:val="20"/>
          <w:shd w:val="clear" w:color="auto" w:fill="FFFFFF"/>
          <w:lang w:val="en-US"/>
        </w:rPr>
        <w:t xml:space="preserve"> </w:t>
      </w:r>
      <w:r w:rsidR="00C751C6" w:rsidRPr="00EA6C7A">
        <w:rPr>
          <w:rFonts w:ascii="Verdana" w:hAnsi="Verdana"/>
          <w:sz w:val="20"/>
          <w:szCs w:val="20"/>
          <w:lang w:val="en-US"/>
        </w:rPr>
        <w:t xml:space="preserve">all those measures of a legal, political, administrative and cultural nature that promote the safeguard of human rights and that ensure that eventual violations of these rights are </w:t>
      </w:r>
      <w:r w:rsidR="004E7CD9" w:rsidRPr="00EA6C7A">
        <w:rPr>
          <w:rFonts w:ascii="Verdana" w:hAnsi="Verdana"/>
          <w:sz w:val="20"/>
          <w:szCs w:val="20"/>
          <w:lang w:val="en-US"/>
        </w:rPr>
        <w:t>truly</w:t>
      </w:r>
      <w:r w:rsidR="00C751C6" w:rsidRPr="00EA6C7A">
        <w:rPr>
          <w:rFonts w:ascii="Verdana" w:hAnsi="Verdana"/>
          <w:sz w:val="20"/>
          <w:szCs w:val="20"/>
          <w:lang w:val="en-US"/>
        </w:rPr>
        <w:t xml:space="preserve"> considered and </w:t>
      </w:r>
      <w:r w:rsidR="004E7CD9" w:rsidRPr="00EA6C7A">
        <w:rPr>
          <w:rFonts w:ascii="Verdana" w:hAnsi="Verdana"/>
          <w:sz w:val="20"/>
          <w:szCs w:val="20"/>
          <w:lang w:val="en-US"/>
        </w:rPr>
        <w:t>dealt with as</w:t>
      </w:r>
      <w:r w:rsidR="00C751C6" w:rsidRPr="00EA6C7A">
        <w:rPr>
          <w:rFonts w:ascii="Verdana" w:hAnsi="Verdana"/>
          <w:sz w:val="20"/>
          <w:szCs w:val="20"/>
          <w:lang w:val="en-US"/>
        </w:rPr>
        <w:t xml:space="preserve"> wrongful acts that, as such, </w:t>
      </w:r>
      <w:r w:rsidR="004E7CD9" w:rsidRPr="00EA6C7A">
        <w:rPr>
          <w:rFonts w:ascii="Verdana" w:hAnsi="Verdana"/>
          <w:sz w:val="20"/>
          <w:szCs w:val="20"/>
          <w:lang w:val="en-US"/>
        </w:rPr>
        <w:t>may result in</w:t>
      </w:r>
      <w:r w:rsidR="00C751C6" w:rsidRPr="00EA6C7A">
        <w:rPr>
          <w:rFonts w:ascii="Verdana" w:hAnsi="Verdana"/>
          <w:sz w:val="20"/>
          <w:szCs w:val="20"/>
          <w:lang w:val="en-US"/>
        </w:rPr>
        <w:t xml:space="preserve"> punishment for those who commit them, as well as the obligation to compensate the victims for the </w:t>
      </w:r>
      <w:r w:rsidR="004E7CD9" w:rsidRPr="00EA6C7A">
        <w:rPr>
          <w:rFonts w:ascii="Verdana" w:hAnsi="Verdana"/>
          <w:sz w:val="20"/>
          <w:szCs w:val="20"/>
          <w:lang w:val="en-US"/>
        </w:rPr>
        <w:t>harmful</w:t>
      </w:r>
      <w:r w:rsidR="00C751C6" w:rsidRPr="00EA6C7A">
        <w:rPr>
          <w:rFonts w:ascii="Verdana" w:hAnsi="Verdana"/>
          <w:sz w:val="20"/>
          <w:szCs w:val="20"/>
          <w:lang w:val="en-US"/>
        </w:rPr>
        <w:t xml:space="preserve"> consequences.</w:t>
      </w:r>
      <w:r w:rsidRPr="00EA6C7A">
        <w:rPr>
          <w:rFonts w:ascii="Verdana" w:eastAsia="Calibri" w:hAnsi="Verdana"/>
          <w:sz w:val="20"/>
          <w:szCs w:val="20"/>
          <w:lang w:val="en-US"/>
        </w:rPr>
        <w:t>”</w:t>
      </w:r>
      <w:r w:rsidRPr="00EA6C7A">
        <w:rPr>
          <w:rFonts w:ascii="Verdana" w:eastAsia="Calibri" w:hAnsi="Verdana"/>
          <w:sz w:val="20"/>
          <w:szCs w:val="20"/>
          <w:vertAlign w:val="superscript"/>
          <w:lang w:val="en-US"/>
        </w:rPr>
        <w:footnoteReference w:id="460"/>
      </w:r>
    </w:p>
    <w:p w14:paraId="595C3D14" w14:textId="77777777" w:rsidR="00175ABB" w:rsidRPr="00EA6C7A" w:rsidRDefault="00175ABB" w:rsidP="00175ABB">
      <w:pPr>
        <w:spacing w:after="0" w:line="240" w:lineRule="auto"/>
        <w:jc w:val="both"/>
        <w:rPr>
          <w:rFonts w:ascii="Verdana" w:eastAsia="Calibri" w:hAnsi="Verdana"/>
          <w:sz w:val="20"/>
          <w:szCs w:val="20"/>
          <w:lang w:val="en-US"/>
        </w:rPr>
      </w:pPr>
    </w:p>
    <w:p w14:paraId="42A0113E"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sz w:val="20"/>
          <w:szCs w:val="20"/>
          <w:lang w:val="en-US"/>
        </w:rPr>
      </w:pPr>
      <w:r w:rsidRPr="00EA6C7A">
        <w:rPr>
          <w:rFonts w:ascii="Verdana" w:eastAsia="Calibri" w:hAnsi="Verdana"/>
          <w:sz w:val="20"/>
          <w:szCs w:val="20"/>
          <w:lang w:val="en-US"/>
        </w:rPr>
        <w:t xml:space="preserve">52. </w:t>
      </w:r>
      <w:r w:rsidRPr="00EA6C7A">
        <w:rPr>
          <w:rFonts w:ascii="Verdana" w:eastAsia="Calibri" w:hAnsi="Verdana"/>
          <w:sz w:val="20"/>
          <w:szCs w:val="20"/>
          <w:lang w:val="en-US"/>
        </w:rPr>
        <w:tab/>
      </w:r>
      <w:r w:rsidR="00C751C6" w:rsidRPr="00EA6C7A">
        <w:rPr>
          <w:rFonts w:ascii="Verdana" w:eastAsia="Calibri" w:hAnsi="Verdana"/>
          <w:sz w:val="20"/>
          <w:szCs w:val="20"/>
          <w:lang w:val="en-US"/>
        </w:rPr>
        <w:t>In p</w:t>
      </w:r>
      <w:r w:rsidRPr="00EA6C7A">
        <w:rPr>
          <w:rFonts w:ascii="Verdana" w:eastAsia="Calibri" w:hAnsi="Verdana"/>
          <w:sz w:val="20"/>
          <w:szCs w:val="20"/>
          <w:lang w:val="en-US"/>
        </w:rPr>
        <w:t>articula</w:t>
      </w:r>
      <w:r w:rsidR="00C751C6" w:rsidRPr="00EA6C7A">
        <w:rPr>
          <w:rFonts w:ascii="Verdana" w:eastAsia="Calibri" w:hAnsi="Verdana"/>
          <w:sz w:val="20"/>
          <w:szCs w:val="20"/>
          <w:lang w:val="en-US"/>
        </w:rPr>
        <w:t>r,</w:t>
      </w:r>
      <w:r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w:t>
      </w:r>
      <w:r w:rsidRPr="00EA6C7A">
        <w:rPr>
          <w:rFonts w:ascii="Verdana" w:eastAsia="Calibri" w:hAnsi="Verdana"/>
          <w:sz w:val="20"/>
          <w:szCs w:val="20"/>
          <w:lang w:val="en-US"/>
        </w:rPr>
        <w:t xml:space="preserve"> 7</w:t>
      </w:r>
      <w:r w:rsidR="00D5307F" w:rsidRPr="00EA6C7A">
        <w:rPr>
          <w:rFonts w:ascii="Verdana" w:eastAsia="Calibri" w:hAnsi="Verdana"/>
          <w:sz w:val="20"/>
          <w:szCs w:val="20"/>
          <w:lang w:val="en-US"/>
        </w:rPr>
        <w:t xml:space="preserve"> of the </w:t>
      </w:r>
      <w:r w:rsidRPr="00EA6C7A">
        <w:rPr>
          <w:rFonts w:ascii="Verdana" w:eastAsia="Calibri" w:hAnsi="Verdana"/>
          <w:sz w:val="20"/>
          <w:szCs w:val="20"/>
          <w:lang w:val="en-US"/>
        </w:rPr>
        <w:t>“</w:t>
      </w:r>
      <w:r w:rsidR="00F912BD" w:rsidRPr="00EA6C7A">
        <w:rPr>
          <w:rFonts w:ascii="Verdana" w:eastAsia="Calibri" w:hAnsi="Verdana"/>
          <w:sz w:val="20"/>
          <w:szCs w:val="20"/>
          <w:lang w:val="en-US"/>
        </w:rPr>
        <w:t>Convention of</w:t>
      </w:r>
      <w:r w:rsidRPr="00EA6C7A">
        <w:rPr>
          <w:rFonts w:ascii="Verdana" w:eastAsia="Calibri" w:hAnsi="Verdana"/>
          <w:sz w:val="20"/>
          <w:szCs w:val="20"/>
          <w:lang w:val="en-US"/>
        </w:rPr>
        <w:t xml:space="preserve"> Belém do Pará” </w:t>
      </w:r>
      <w:r w:rsidR="00C751C6" w:rsidRPr="00EA6C7A">
        <w:rPr>
          <w:rFonts w:ascii="Verdana" w:eastAsia="Calibri" w:hAnsi="Verdana"/>
          <w:sz w:val="20"/>
          <w:szCs w:val="20"/>
          <w:lang w:val="en-US"/>
        </w:rPr>
        <w:t xml:space="preserve">establishes </w:t>
      </w:r>
      <w:r w:rsidR="00671A06" w:rsidRPr="00EA6C7A">
        <w:rPr>
          <w:rFonts w:ascii="Verdana" w:eastAsia="Calibri" w:hAnsi="Verdana"/>
          <w:sz w:val="20"/>
          <w:szCs w:val="20"/>
          <w:lang w:val="en-US"/>
        </w:rPr>
        <w:t>State</w:t>
      </w:r>
      <w:r w:rsidR="00C751C6" w:rsidRPr="00EA6C7A">
        <w:rPr>
          <w:rFonts w:ascii="Verdana" w:eastAsia="Calibri" w:hAnsi="Verdana"/>
          <w:sz w:val="20"/>
          <w:szCs w:val="20"/>
          <w:lang w:val="en-US"/>
        </w:rPr>
        <w:t xml:space="preserve"> obligations to prevent, punish and eradicate </w:t>
      </w:r>
      <w:r w:rsidR="00C12C08" w:rsidRPr="00EA6C7A">
        <w:rPr>
          <w:rFonts w:ascii="Verdana" w:eastAsia="Calibri" w:hAnsi="Verdana"/>
          <w:sz w:val="20"/>
          <w:szCs w:val="20"/>
          <w:lang w:val="en-US"/>
        </w:rPr>
        <w:t>violence against women</w:t>
      </w:r>
      <w:r w:rsidR="00C751C6" w:rsidRPr="00EA6C7A">
        <w:rPr>
          <w:rFonts w:ascii="Verdana" w:eastAsia="Calibri" w:hAnsi="Verdana"/>
          <w:sz w:val="20"/>
          <w:szCs w:val="20"/>
          <w:lang w:val="en-US"/>
        </w:rPr>
        <w:t>,</w:t>
      </w:r>
      <w:r w:rsidRPr="00EA6C7A">
        <w:rPr>
          <w:rFonts w:ascii="Verdana" w:eastAsia="Calibri" w:hAnsi="Verdana"/>
          <w:sz w:val="20"/>
          <w:szCs w:val="20"/>
          <w:vertAlign w:val="superscript"/>
          <w:lang w:val="en-US"/>
        </w:rPr>
        <w:footnoteReference w:id="461"/>
      </w:r>
      <w:r w:rsidR="00C751C6" w:rsidRPr="00EA6C7A">
        <w:rPr>
          <w:rFonts w:ascii="Verdana" w:eastAsia="Calibri" w:hAnsi="Verdana"/>
          <w:sz w:val="20"/>
          <w:szCs w:val="20"/>
          <w:lang w:val="en-US"/>
        </w:rPr>
        <w:t xml:space="preserve"> which specify and </w:t>
      </w:r>
      <w:r w:rsidR="00C751C6" w:rsidRPr="00EA6C7A">
        <w:rPr>
          <w:rFonts w:ascii="Verdana" w:eastAsia="Calibri" w:hAnsi="Verdana"/>
          <w:sz w:val="20"/>
          <w:szCs w:val="20"/>
          <w:lang w:val="en-US"/>
        </w:rPr>
        <w:lastRenderedPageBreak/>
        <w:t xml:space="preserve">supplement the State obligations </w:t>
      </w:r>
      <w:r w:rsidR="00565C71" w:rsidRPr="00EA6C7A">
        <w:rPr>
          <w:rFonts w:ascii="Verdana" w:eastAsia="Calibri" w:hAnsi="Verdana"/>
          <w:sz w:val="20"/>
          <w:szCs w:val="20"/>
          <w:lang w:val="en-US"/>
        </w:rPr>
        <w:t>regarding</w:t>
      </w:r>
      <w:r w:rsidR="00C751C6" w:rsidRPr="00EA6C7A">
        <w:rPr>
          <w:rFonts w:ascii="Verdana" w:eastAsia="Calibri" w:hAnsi="Verdana"/>
          <w:sz w:val="20"/>
          <w:szCs w:val="20"/>
          <w:lang w:val="en-US"/>
        </w:rPr>
        <w:t xml:space="preserve"> compliance with the rights recognized in </w:t>
      </w:r>
      <w:r w:rsidR="0096418F" w:rsidRPr="00EA6C7A">
        <w:rPr>
          <w:rFonts w:ascii="Verdana" w:eastAsia="Calibri" w:hAnsi="Verdana"/>
          <w:sz w:val="20"/>
          <w:szCs w:val="20"/>
          <w:lang w:val="en-US"/>
        </w:rPr>
        <w:t>the American Convention</w:t>
      </w:r>
      <w:r w:rsidRPr="00EA6C7A">
        <w:rPr>
          <w:rFonts w:ascii="Verdana" w:eastAsia="Calibri" w:hAnsi="Verdana"/>
          <w:sz w:val="20"/>
          <w:szCs w:val="20"/>
          <w:lang w:val="en-US"/>
        </w:rPr>
        <w:t xml:space="preserve">, </w:t>
      </w:r>
      <w:r w:rsidR="00C751C6" w:rsidRPr="00EA6C7A">
        <w:rPr>
          <w:rFonts w:ascii="Verdana" w:eastAsia="Calibri" w:hAnsi="Verdana"/>
          <w:sz w:val="20"/>
          <w:szCs w:val="20"/>
          <w:lang w:val="en-US"/>
        </w:rPr>
        <w:t>including those established in</w:t>
      </w:r>
      <w:r w:rsidRPr="00EA6C7A">
        <w:rPr>
          <w:rFonts w:ascii="Verdana" w:eastAsia="Calibri" w:hAnsi="Verdana"/>
          <w:sz w:val="20"/>
          <w:szCs w:val="20"/>
          <w:lang w:val="en-US"/>
        </w:rPr>
        <w:t xml:space="preserve"> </w:t>
      </w:r>
      <w:r w:rsidR="0096418F" w:rsidRPr="00EA6C7A">
        <w:rPr>
          <w:rFonts w:ascii="Verdana" w:eastAsia="Calibri" w:hAnsi="Verdana"/>
          <w:sz w:val="20"/>
          <w:szCs w:val="20"/>
          <w:lang w:val="en-US"/>
        </w:rPr>
        <w:t>Articles</w:t>
      </w:r>
      <w:r w:rsidRPr="00EA6C7A">
        <w:rPr>
          <w:rFonts w:ascii="Verdana" w:eastAsia="Calibri" w:hAnsi="Verdana"/>
          <w:sz w:val="20"/>
          <w:szCs w:val="20"/>
          <w:lang w:val="en-US"/>
        </w:rPr>
        <w:t xml:space="preserve"> 4</w:t>
      </w:r>
      <w:r w:rsidR="00D948A1" w:rsidRPr="00EA6C7A">
        <w:rPr>
          <w:rFonts w:ascii="Verdana" w:eastAsia="Calibri" w:hAnsi="Verdana"/>
          <w:sz w:val="20"/>
          <w:szCs w:val="20"/>
          <w:lang w:val="en-US"/>
        </w:rPr>
        <w:t xml:space="preserve"> and </w:t>
      </w:r>
      <w:r w:rsidRPr="00EA6C7A">
        <w:rPr>
          <w:rFonts w:ascii="Verdana" w:eastAsia="Calibri" w:hAnsi="Verdana"/>
          <w:sz w:val="20"/>
          <w:szCs w:val="20"/>
          <w:lang w:val="en-US"/>
        </w:rPr>
        <w:t>5</w:t>
      </w:r>
      <w:r w:rsidR="00C751C6" w:rsidRPr="00EA6C7A">
        <w:rPr>
          <w:rFonts w:ascii="Verdana" w:eastAsia="Calibri" w:hAnsi="Verdana"/>
          <w:sz w:val="20"/>
          <w:szCs w:val="20"/>
          <w:lang w:val="en-US"/>
        </w:rPr>
        <w:t>.</w:t>
      </w:r>
      <w:r w:rsidRPr="00EA6C7A">
        <w:rPr>
          <w:rFonts w:ascii="Verdana" w:eastAsia="Calibri" w:hAnsi="Verdana"/>
          <w:sz w:val="20"/>
          <w:szCs w:val="20"/>
          <w:vertAlign w:val="superscript"/>
          <w:lang w:val="en-US"/>
        </w:rPr>
        <w:footnoteReference w:id="462"/>
      </w:r>
      <w:r w:rsidR="00C751C6" w:rsidRPr="00EA6C7A">
        <w:rPr>
          <w:rFonts w:ascii="Verdana" w:eastAsia="Calibri" w:hAnsi="Verdana"/>
          <w:sz w:val="20"/>
          <w:szCs w:val="20"/>
          <w:lang w:val="en-US"/>
        </w:rPr>
        <w:t xml:space="preserve"> And the Court has indicated that States must adopt comprehensive measures to comply with due diligence, in cases of </w:t>
      </w:r>
      <w:r w:rsidRPr="00EA6C7A">
        <w:rPr>
          <w:rFonts w:ascii="Verdana" w:eastAsia="Calibri" w:hAnsi="Verdana"/>
          <w:sz w:val="20"/>
          <w:szCs w:val="20"/>
          <w:lang w:val="en-US"/>
        </w:rPr>
        <w:t xml:space="preserve"> </w:t>
      </w:r>
      <w:r w:rsidR="00C12C08" w:rsidRPr="00EA6C7A">
        <w:rPr>
          <w:rFonts w:ascii="Verdana" w:eastAsia="Calibri" w:hAnsi="Verdana"/>
          <w:sz w:val="20"/>
          <w:szCs w:val="20"/>
          <w:lang w:val="en-US"/>
        </w:rPr>
        <w:t>violence against women</w:t>
      </w:r>
      <w:r w:rsidR="00C751C6" w:rsidRPr="00EA6C7A">
        <w:rPr>
          <w:rFonts w:ascii="Verdana" w:eastAsia="Calibri" w:hAnsi="Verdana"/>
          <w:sz w:val="20"/>
          <w:szCs w:val="20"/>
          <w:lang w:val="en-US"/>
        </w:rPr>
        <w:t>.</w:t>
      </w:r>
      <w:r w:rsidRPr="00EA6C7A">
        <w:rPr>
          <w:rFonts w:ascii="Verdana" w:eastAsia="Calibri" w:hAnsi="Verdana"/>
          <w:sz w:val="20"/>
          <w:szCs w:val="20"/>
          <w:vertAlign w:val="superscript"/>
          <w:lang w:val="en-US"/>
        </w:rPr>
        <w:footnoteReference w:id="463"/>
      </w:r>
      <w:r w:rsidR="00C751C6" w:rsidRPr="00EA6C7A">
        <w:rPr>
          <w:rFonts w:ascii="Verdana" w:eastAsia="Calibri" w:hAnsi="Verdana"/>
          <w:sz w:val="20"/>
          <w:szCs w:val="20"/>
          <w:lang w:val="en-US"/>
        </w:rPr>
        <w:t xml:space="preserve"> Thus, the </w:t>
      </w:r>
      <w:r w:rsidR="00C751C6" w:rsidRPr="00EA6C7A">
        <w:rPr>
          <w:rFonts w:ascii="Verdana" w:hAnsi="Verdana" w:cs="Segoe UI"/>
          <w:sz w:val="20"/>
          <w:szCs w:val="20"/>
          <w:u w:val="single"/>
          <w:lang w:val="en-US" w:eastAsia="es-PA"/>
        </w:rPr>
        <w:t>general o</w:t>
      </w:r>
      <w:r w:rsidR="00D5307F" w:rsidRPr="00EA6C7A">
        <w:rPr>
          <w:rFonts w:ascii="Verdana" w:hAnsi="Verdana" w:cs="Segoe UI"/>
          <w:sz w:val="20"/>
          <w:szCs w:val="20"/>
          <w:u w:val="single"/>
          <w:lang w:val="en-US" w:eastAsia="es-PA"/>
        </w:rPr>
        <w:t>bligation of prevention</w:t>
      </w:r>
      <w:r w:rsidR="00C751C6" w:rsidRPr="00EA6C7A">
        <w:rPr>
          <w:rFonts w:ascii="Verdana" w:hAnsi="Verdana" w:cs="Segoe UI"/>
          <w:sz w:val="20"/>
          <w:szCs w:val="20"/>
          <w:lang w:val="en-US" w:eastAsia="es-PA"/>
        </w:rPr>
        <w:t xml:space="preserve"> or during its</w:t>
      </w:r>
      <w:r w:rsidRPr="00EA6C7A">
        <w:rPr>
          <w:rFonts w:ascii="Verdana" w:hAnsi="Verdana" w:cs="Segoe UI"/>
          <w:sz w:val="20"/>
          <w:szCs w:val="20"/>
          <w:lang w:val="en-US" w:eastAsia="es-PA"/>
        </w:rPr>
        <w:t xml:space="preserve"> “</w:t>
      </w:r>
      <w:r w:rsidR="00274B18" w:rsidRPr="00EA6C7A">
        <w:rPr>
          <w:rFonts w:ascii="Verdana" w:hAnsi="Verdana" w:cs="Segoe UI"/>
          <w:sz w:val="20"/>
          <w:szCs w:val="20"/>
          <w:lang w:val="en-US" w:eastAsia="es-PA"/>
        </w:rPr>
        <w:t>first moment</w:t>
      </w:r>
      <w:r w:rsidRPr="00EA6C7A">
        <w:rPr>
          <w:rFonts w:ascii="Verdana" w:hAnsi="Verdana" w:cs="Segoe UI"/>
          <w:sz w:val="20"/>
          <w:szCs w:val="20"/>
          <w:lang w:val="en-US" w:eastAsia="es-PA"/>
        </w:rPr>
        <w:t xml:space="preserve">” </w:t>
      </w:r>
      <w:r w:rsidR="00C751C6" w:rsidRPr="00EA6C7A">
        <w:rPr>
          <w:rFonts w:ascii="Verdana" w:hAnsi="Verdana" w:cs="Segoe UI"/>
          <w:sz w:val="20"/>
          <w:szCs w:val="20"/>
          <w:lang w:val="en-US" w:eastAsia="es-PA"/>
        </w:rPr>
        <w:t>of analysis, includes the existence of a legal protection framework that is enforced effectively, prevention policies</w:t>
      </w:r>
      <w:r w:rsidRPr="00EA6C7A">
        <w:rPr>
          <w:rFonts w:ascii="Verdana" w:hAnsi="Verdana" w:cs="Segoe UI"/>
          <w:sz w:val="20"/>
          <w:szCs w:val="20"/>
          <w:lang w:val="en-US" w:eastAsia="es-PA"/>
        </w:rPr>
        <w:t xml:space="preserve">, </w:t>
      </w:r>
      <w:r w:rsidR="00C751C6" w:rsidRPr="00EA6C7A">
        <w:rPr>
          <w:rFonts w:ascii="Verdana" w:hAnsi="Verdana" w:cs="Segoe UI"/>
          <w:sz w:val="20"/>
          <w:szCs w:val="20"/>
          <w:lang w:val="en-US" w:eastAsia="es-PA"/>
        </w:rPr>
        <w:t xml:space="preserve">and prevention practices and strategies; while the </w:t>
      </w:r>
      <w:r w:rsidR="00C751C6" w:rsidRPr="00EA6C7A">
        <w:rPr>
          <w:rFonts w:ascii="Verdana" w:hAnsi="Verdana" w:cs="Segoe UI"/>
          <w:sz w:val="20"/>
          <w:szCs w:val="20"/>
          <w:u w:val="single"/>
          <w:lang w:val="en-US" w:eastAsia="es-PA"/>
        </w:rPr>
        <w:t>specific obligation of prevention</w:t>
      </w:r>
      <w:r w:rsidR="00C751C6" w:rsidRPr="00EA6C7A">
        <w:rPr>
          <w:rFonts w:ascii="Verdana" w:hAnsi="Verdana" w:cs="Segoe UI"/>
          <w:sz w:val="20"/>
          <w:szCs w:val="20"/>
          <w:lang w:val="en-US" w:eastAsia="es-PA"/>
        </w:rPr>
        <w:t xml:space="preserve"> </w:t>
      </w:r>
      <w:r w:rsidRPr="00EA6C7A">
        <w:rPr>
          <w:rFonts w:ascii="Verdana" w:hAnsi="Verdana" w:cs="Segoe UI"/>
          <w:sz w:val="20"/>
          <w:szCs w:val="20"/>
          <w:lang w:val="en-US" w:eastAsia="es-PA"/>
        </w:rPr>
        <w:t>o</w:t>
      </w:r>
      <w:r w:rsidR="00C751C6" w:rsidRPr="00EA6C7A">
        <w:rPr>
          <w:rFonts w:ascii="Verdana" w:hAnsi="Verdana" w:cs="Segoe UI"/>
          <w:sz w:val="20"/>
          <w:szCs w:val="20"/>
          <w:lang w:val="en-US" w:eastAsia="es-PA"/>
        </w:rPr>
        <w:t>r during its</w:t>
      </w:r>
      <w:r w:rsidRPr="00EA6C7A">
        <w:rPr>
          <w:rFonts w:ascii="Verdana" w:hAnsi="Verdana" w:cs="Segoe UI"/>
          <w:sz w:val="20"/>
          <w:szCs w:val="20"/>
          <w:lang w:val="en-US" w:eastAsia="es-PA"/>
        </w:rPr>
        <w:t xml:space="preserve"> “</w:t>
      </w:r>
      <w:r w:rsidR="00274B18" w:rsidRPr="00EA6C7A">
        <w:rPr>
          <w:rFonts w:ascii="Verdana" w:hAnsi="Verdana" w:cs="Segoe UI"/>
          <w:sz w:val="20"/>
          <w:szCs w:val="20"/>
          <w:lang w:val="en-US" w:eastAsia="es-PA"/>
        </w:rPr>
        <w:t>second moment</w:t>
      </w:r>
      <w:r w:rsidRPr="00EA6C7A">
        <w:rPr>
          <w:rFonts w:ascii="Verdana" w:hAnsi="Verdana" w:cs="Segoe UI"/>
          <w:sz w:val="20"/>
          <w:szCs w:val="20"/>
          <w:lang w:val="en-US" w:eastAsia="es-PA"/>
        </w:rPr>
        <w:t xml:space="preserve">” </w:t>
      </w:r>
      <w:r w:rsidR="00C751C6" w:rsidRPr="00EA6C7A">
        <w:rPr>
          <w:rFonts w:ascii="Verdana" w:hAnsi="Verdana" w:cs="Segoe UI"/>
          <w:sz w:val="20"/>
          <w:szCs w:val="20"/>
          <w:lang w:val="en-US" w:eastAsia="es-PA"/>
        </w:rPr>
        <w:t xml:space="preserve">of analysis, consists in the adoption of preventive measures in specific cases to avoid the perpetration of human rights violations when the State is aware </w:t>
      </w:r>
      <w:r w:rsidR="00565C71" w:rsidRPr="00EA6C7A">
        <w:rPr>
          <w:rFonts w:ascii="Verdana" w:hAnsi="Verdana" w:cs="Segoe UI"/>
          <w:sz w:val="20"/>
          <w:szCs w:val="20"/>
          <w:lang w:val="en-US" w:eastAsia="es-PA"/>
        </w:rPr>
        <w:t>that a person is in danger</w:t>
      </w:r>
      <w:r w:rsidRPr="00EA6C7A">
        <w:rPr>
          <w:rFonts w:ascii="Verdana" w:hAnsi="Verdana" w:cs="Segoe UI"/>
          <w:sz w:val="20"/>
          <w:szCs w:val="20"/>
          <w:lang w:val="en-US" w:eastAsia="es-PA"/>
        </w:rPr>
        <w:t>.</w:t>
      </w:r>
    </w:p>
    <w:p w14:paraId="11C23D5C"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Segoe UI"/>
          <w:color w:val="444444"/>
          <w:sz w:val="20"/>
          <w:szCs w:val="20"/>
          <w:lang w:val="en-US" w:eastAsia="es-PA"/>
        </w:rPr>
      </w:pPr>
    </w:p>
    <w:p w14:paraId="63B8B0FC"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Segoe UI"/>
          <w:sz w:val="20"/>
          <w:szCs w:val="20"/>
          <w:lang w:val="en-US" w:eastAsia="es-PA"/>
        </w:rPr>
      </w:pPr>
      <w:r w:rsidRPr="00EA6C7A">
        <w:rPr>
          <w:rFonts w:ascii="Verdana" w:hAnsi="Verdana" w:cs="Segoe UI"/>
          <w:sz w:val="20"/>
          <w:szCs w:val="20"/>
          <w:lang w:val="en-US" w:eastAsia="es-PA"/>
        </w:rPr>
        <w:t xml:space="preserve">53. </w:t>
      </w:r>
      <w:r w:rsidRPr="00EA6C7A">
        <w:rPr>
          <w:rFonts w:ascii="Verdana" w:hAnsi="Verdana" w:cs="Segoe UI"/>
          <w:sz w:val="20"/>
          <w:szCs w:val="20"/>
          <w:lang w:val="en-US" w:eastAsia="es-PA"/>
        </w:rPr>
        <w:tab/>
      </w:r>
      <w:r w:rsidR="00C751C6" w:rsidRPr="00EA6C7A">
        <w:rPr>
          <w:rFonts w:ascii="Verdana" w:hAnsi="Verdana" w:cs="Segoe UI"/>
          <w:sz w:val="20"/>
          <w:szCs w:val="20"/>
          <w:lang w:val="en-US" w:eastAsia="es-PA"/>
        </w:rPr>
        <w:t>Based on the above, with regard to the “general’ and “specific” particularities</w:t>
      </w:r>
      <w:r w:rsidR="00A534EF" w:rsidRPr="00EA6C7A">
        <w:rPr>
          <w:rFonts w:ascii="Verdana" w:hAnsi="Verdana" w:cs="Segoe UI"/>
          <w:sz w:val="20"/>
          <w:szCs w:val="20"/>
          <w:lang w:val="en-US" w:eastAsia="es-PA"/>
        </w:rPr>
        <w:t xml:space="preserve"> of the obligation</w:t>
      </w:r>
      <w:r w:rsidR="00D5307F" w:rsidRPr="00EA6C7A">
        <w:rPr>
          <w:rFonts w:ascii="Verdana" w:hAnsi="Verdana" w:cs="Segoe UI"/>
          <w:sz w:val="20"/>
          <w:szCs w:val="20"/>
          <w:lang w:val="en-US" w:eastAsia="es-PA"/>
        </w:rPr>
        <w:t xml:space="preserve"> of prevention</w:t>
      </w:r>
      <w:r w:rsidRPr="00EA6C7A">
        <w:rPr>
          <w:rFonts w:ascii="Verdana" w:hAnsi="Verdana" w:cs="Segoe UI"/>
          <w:sz w:val="20"/>
          <w:szCs w:val="20"/>
          <w:lang w:val="en-US" w:eastAsia="es-PA"/>
        </w:rPr>
        <w:t>, o</w:t>
      </w:r>
      <w:r w:rsidR="00C751C6" w:rsidRPr="00EA6C7A">
        <w:rPr>
          <w:rFonts w:ascii="Verdana" w:hAnsi="Verdana" w:cs="Segoe UI"/>
          <w:sz w:val="20"/>
          <w:szCs w:val="20"/>
          <w:lang w:val="en-US" w:eastAsia="es-PA"/>
        </w:rPr>
        <w:t>r its</w:t>
      </w:r>
      <w:r w:rsidRPr="00EA6C7A">
        <w:rPr>
          <w:rFonts w:ascii="Verdana" w:hAnsi="Verdana" w:cs="Segoe UI"/>
          <w:sz w:val="20"/>
          <w:szCs w:val="20"/>
          <w:lang w:val="en-US" w:eastAsia="es-PA"/>
        </w:rPr>
        <w:t xml:space="preserve"> “</w:t>
      </w:r>
      <w:r w:rsidR="007C280B" w:rsidRPr="00EA6C7A">
        <w:rPr>
          <w:rFonts w:ascii="Verdana" w:hAnsi="Verdana" w:cs="Segoe UI"/>
          <w:sz w:val="20"/>
          <w:szCs w:val="20"/>
          <w:lang w:val="en-US" w:eastAsia="es-PA"/>
        </w:rPr>
        <w:t>two moments</w:t>
      </w:r>
      <w:r w:rsidRPr="00EA6C7A">
        <w:rPr>
          <w:rFonts w:ascii="Verdana" w:hAnsi="Verdana" w:cs="Segoe UI"/>
          <w:sz w:val="20"/>
          <w:szCs w:val="20"/>
          <w:lang w:val="en-US" w:eastAsia="es-PA"/>
        </w:rPr>
        <w:t xml:space="preserve">” </w:t>
      </w:r>
      <w:r w:rsidR="00C751C6" w:rsidRPr="00EA6C7A">
        <w:rPr>
          <w:rFonts w:ascii="Verdana" w:hAnsi="Verdana" w:cs="Segoe UI"/>
          <w:sz w:val="20"/>
          <w:szCs w:val="20"/>
          <w:lang w:val="en-US" w:eastAsia="es-PA"/>
        </w:rPr>
        <w:t>of analysis, it can be seen that</w:t>
      </w:r>
      <w:r w:rsidR="00565C71" w:rsidRPr="00EA6C7A">
        <w:rPr>
          <w:rFonts w:ascii="Verdana" w:hAnsi="Verdana" w:cs="Segoe UI"/>
          <w:sz w:val="20"/>
          <w:szCs w:val="20"/>
          <w:lang w:val="en-US" w:eastAsia="es-PA"/>
        </w:rPr>
        <w:t>,</w:t>
      </w:r>
      <w:r w:rsidR="00C751C6" w:rsidRPr="00EA6C7A">
        <w:rPr>
          <w:rFonts w:ascii="Verdana" w:hAnsi="Verdana" w:cs="Segoe UI"/>
          <w:sz w:val="20"/>
          <w:szCs w:val="20"/>
          <w:lang w:val="en-US" w:eastAsia="es-PA"/>
        </w:rPr>
        <w:t xml:space="preserve"> </w:t>
      </w:r>
      <w:r w:rsidR="0019043E" w:rsidRPr="00EA6C7A">
        <w:rPr>
          <w:rFonts w:ascii="Verdana" w:hAnsi="Verdana" w:cs="Segoe UI"/>
          <w:sz w:val="20"/>
          <w:szCs w:val="20"/>
          <w:lang w:val="en-US" w:eastAsia="es-PA"/>
        </w:rPr>
        <w:t xml:space="preserve">when analyzing the </w:t>
      </w:r>
      <w:r w:rsidRPr="00EA6C7A">
        <w:rPr>
          <w:rFonts w:ascii="Verdana" w:hAnsi="Verdana" w:cs="Segoe UI"/>
          <w:sz w:val="20"/>
          <w:szCs w:val="20"/>
          <w:lang w:val="en-US" w:eastAsia="es-PA"/>
        </w:rPr>
        <w:t>“</w:t>
      </w:r>
      <w:r w:rsidR="00274B18" w:rsidRPr="00EA6C7A">
        <w:rPr>
          <w:rFonts w:ascii="Verdana" w:hAnsi="Verdana" w:cs="Segoe UI"/>
          <w:sz w:val="20"/>
          <w:szCs w:val="20"/>
          <w:lang w:val="en-US" w:eastAsia="es-PA"/>
        </w:rPr>
        <w:t>first moment</w:t>
      </w:r>
      <w:r w:rsidR="00565C71" w:rsidRPr="00EA6C7A">
        <w:rPr>
          <w:rFonts w:ascii="Verdana" w:hAnsi="Verdana" w:cs="Segoe UI"/>
          <w:sz w:val="20"/>
          <w:szCs w:val="20"/>
          <w:lang w:val="en-US" w:eastAsia="es-PA"/>
        </w:rPr>
        <w:t>,</w:t>
      </w:r>
      <w:r w:rsidRPr="00EA6C7A">
        <w:rPr>
          <w:rFonts w:ascii="Verdana" w:hAnsi="Verdana" w:cs="Segoe UI"/>
          <w:sz w:val="20"/>
          <w:szCs w:val="20"/>
          <w:lang w:val="en-US" w:eastAsia="es-PA"/>
        </w:rPr>
        <w:t>”</w:t>
      </w:r>
      <w:r w:rsidR="00565C71" w:rsidRPr="00EA6C7A">
        <w:rPr>
          <w:rFonts w:ascii="Verdana" w:hAnsi="Verdana" w:cs="Segoe UI"/>
          <w:sz w:val="20"/>
          <w:szCs w:val="20"/>
          <w:lang w:val="en-US" w:eastAsia="es-PA"/>
        </w:rPr>
        <w:t xml:space="preserve"> although the Court has established</w:t>
      </w:r>
      <w:r w:rsidR="0019043E" w:rsidRPr="00EA6C7A">
        <w:rPr>
          <w:rFonts w:ascii="Verdana" w:hAnsi="Verdana" w:cs="Segoe UI"/>
          <w:sz w:val="20"/>
          <w:szCs w:val="20"/>
          <w:lang w:val="en-US" w:eastAsia="es-PA"/>
        </w:rPr>
        <w:t xml:space="preserve"> that, in a </w:t>
      </w:r>
      <w:r w:rsidRPr="00EA6C7A">
        <w:rPr>
          <w:rFonts w:ascii="Verdana" w:hAnsi="Verdana" w:cs="Segoe UI"/>
          <w:sz w:val="20"/>
          <w:szCs w:val="20"/>
          <w:lang w:val="en-US" w:eastAsia="es-PA"/>
        </w:rPr>
        <w:t>context</w:t>
      </w:r>
      <w:r w:rsidR="0019043E" w:rsidRPr="00EA6C7A">
        <w:rPr>
          <w:rFonts w:ascii="Verdana" w:hAnsi="Verdana" w:cs="Segoe UI"/>
          <w:sz w:val="20"/>
          <w:szCs w:val="20"/>
          <w:lang w:val="en-US" w:eastAsia="es-PA"/>
        </w:rPr>
        <w:t xml:space="preserve"> of</w:t>
      </w:r>
      <w:r w:rsidRPr="00EA6C7A">
        <w:rPr>
          <w:rFonts w:ascii="Verdana" w:hAnsi="Verdana" w:cs="Segoe UI"/>
          <w:sz w:val="20"/>
          <w:szCs w:val="20"/>
          <w:lang w:val="en-US" w:eastAsia="es-PA"/>
        </w:rPr>
        <w:t xml:space="preserve"> </w:t>
      </w:r>
      <w:r w:rsidR="00C12C08" w:rsidRPr="00EA6C7A">
        <w:rPr>
          <w:rFonts w:ascii="Verdana" w:hAnsi="Verdana" w:cs="Segoe UI"/>
          <w:sz w:val="20"/>
          <w:szCs w:val="20"/>
          <w:lang w:val="en-US" w:eastAsia="es-PA"/>
        </w:rPr>
        <w:t>violence against women</w:t>
      </w:r>
      <w:r w:rsidRPr="00EA6C7A">
        <w:rPr>
          <w:rFonts w:ascii="Verdana" w:hAnsi="Verdana" w:cs="Segoe UI"/>
          <w:sz w:val="20"/>
          <w:szCs w:val="20"/>
          <w:lang w:val="en-US" w:eastAsia="es-PA"/>
        </w:rPr>
        <w:t xml:space="preserve"> “</w:t>
      </w:r>
      <w:r w:rsidR="0019043E" w:rsidRPr="00EA6C7A">
        <w:rPr>
          <w:rFonts w:ascii="Verdana" w:hAnsi="Verdana" w:cs="Segoe UI"/>
          <w:sz w:val="20"/>
          <w:szCs w:val="20"/>
          <w:lang w:val="en-US" w:eastAsia="es-PA"/>
        </w:rPr>
        <w:t xml:space="preserve">international obligations impose on the State an enhanced responsibility with regard to the protection of women […] which includes the </w:t>
      </w:r>
      <w:r w:rsidR="00D5307F" w:rsidRPr="00EA6C7A">
        <w:rPr>
          <w:rFonts w:ascii="Verdana" w:hAnsi="Verdana" w:cs="Segoe UI"/>
          <w:sz w:val="20"/>
          <w:szCs w:val="20"/>
          <w:lang w:val="en-US" w:eastAsia="es-PA"/>
        </w:rPr>
        <w:t>obligation of prevention</w:t>
      </w:r>
      <w:r w:rsidR="0019043E" w:rsidRPr="00EA6C7A">
        <w:rPr>
          <w:rFonts w:ascii="Verdana" w:hAnsi="Verdana" w:cs="Segoe UI"/>
          <w:sz w:val="20"/>
          <w:szCs w:val="20"/>
          <w:lang w:val="en-US" w:eastAsia="es-PA"/>
        </w:rPr>
        <w:t>,</w:t>
      </w:r>
      <w:r w:rsidRPr="00EA6C7A">
        <w:rPr>
          <w:rFonts w:ascii="Verdana" w:hAnsi="Verdana" w:cs="Segoe UI"/>
          <w:sz w:val="20"/>
          <w:szCs w:val="20"/>
          <w:lang w:val="en-US" w:eastAsia="es-PA"/>
        </w:rPr>
        <w:t>”</w:t>
      </w:r>
      <w:r w:rsidR="0019043E" w:rsidRPr="00EA6C7A">
        <w:rPr>
          <w:rFonts w:ascii="Verdana" w:hAnsi="Verdana" w:cs="Segoe UI"/>
          <w:sz w:val="20"/>
          <w:szCs w:val="20"/>
          <w:lang w:val="en-US" w:eastAsia="es-PA"/>
        </w:rPr>
        <w:t xml:space="preserve"> it has also indicated that this does not impose on the State “unlimited responsibility for </w:t>
      </w:r>
      <w:r w:rsidR="00565C71" w:rsidRPr="00EA6C7A">
        <w:rPr>
          <w:rFonts w:ascii="Verdana" w:hAnsi="Verdana" w:cs="Segoe UI"/>
          <w:sz w:val="20"/>
          <w:szCs w:val="20"/>
          <w:lang w:val="en-US" w:eastAsia="es-PA"/>
        </w:rPr>
        <w:t>every</w:t>
      </w:r>
      <w:r w:rsidR="0019043E" w:rsidRPr="00EA6C7A">
        <w:rPr>
          <w:rFonts w:ascii="Verdana" w:hAnsi="Verdana" w:cs="Segoe UI"/>
          <w:sz w:val="20"/>
          <w:szCs w:val="20"/>
          <w:lang w:val="en-US" w:eastAsia="es-PA"/>
        </w:rPr>
        <w:t xml:space="preserve"> wrongful act committed against them.</w:t>
      </w:r>
      <w:r w:rsidRPr="00EA6C7A">
        <w:rPr>
          <w:rFonts w:ascii="Verdana" w:hAnsi="Verdana" w:cs="Segoe UI"/>
          <w:sz w:val="20"/>
          <w:szCs w:val="20"/>
          <w:lang w:val="en-US" w:eastAsia="es-PA"/>
        </w:rPr>
        <w:t>”</w:t>
      </w:r>
      <w:r w:rsidRPr="00EA6C7A">
        <w:rPr>
          <w:rFonts w:ascii="Verdana" w:hAnsi="Verdana" w:cs="Segoe UI"/>
          <w:sz w:val="20"/>
          <w:szCs w:val="20"/>
          <w:vertAlign w:val="superscript"/>
          <w:lang w:val="en-US" w:eastAsia="es-PA"/>
        </w:rPr>
        <w:footnoteReference w:id="464"/>
      </w:r>
      <w:r w:rsidRPr="00EA6C7A">
        <w:rPr>
          <w:rFonts w:ascii="Verdana" w:hAnsi="Verdana" w:cs="Segoe UI"/>
          <w:sz w:val="20"/>
          <w:szCs w:val="20"/>
          <w:lang w:val="en-US" w:eastAsia="es-PA"/>
        </w:rPr>
        <w:t xml:space="preserve"> </w:t>
      </w:r>
    </w:p>
    <w:p w14:paraId="3F6AA716"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Segoe UI"/>
          <w:sz w:val="20"/>
          <w:szCs w:val="20"/>
          <w:lang w:val="en-US" w:eastAsia="es-PA"/>
        </w:rPr>
      </w:pPr>
    </w:p>
    <w:p w14:paraId="7998D446"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Segoe UI"/>
          <w:sz w:val="20"/>
          <w:szCs w:val="20"/>
          <w:lang w:val="en-US" w:eastAsia="es-PA"/>
        </w:rPr>
      </w:pPr>
      <w:r w:rsidRPr="00EA6C7A">
        <w:rPr>
          <w:rFonts w:ascii="Verdana" w:hAnsi="Verdana" w:cs="Segoe UI"/>
          <w:sz w:val="20"/>
          <w:szCs w:val="20"/>
          <w:lang w:val="en-US" w:eastAsia="es-PA"/>
        </w:rPr>
        <w:t xml:space="preserve">54. </w:t>
      </w:r>
      <w:r w:rsidRPr="00EA6C7A">
        <w:rPr>
          <w:rFonts w:ascii="Verdana" w:hAnsi="Verdana" w:cs="Segoe UI"/>
          <w:sz w:val="20"/>
          <w:szCs w:val="20"/>
          <w:lang w:val="en-US" w:eastAsia="es-PA"/>
        </w:rPr>
        <w:tab/>
      </w:r>
      <w:r w:rsidR="0019043E" w:rsidRPr="00EA6C7A">
        <w:rPr>
          <w:rFonts w:ascii="Verdana" w:hAnsi="Verdana" w:cs="Segoe UI"/>
          <w:sz w:val="20"/>
          <w:szCs w:val="20"/>
          <w:lang w:val="en-US" w:eastAsia="es-PA"/>
        </w:rPr>
        <w:t>Even though I share this opinion, I also consider that, in reality</w:t>
      </w:r>
      <w:r w:rsidR="000321CA" w:rsidRPr="00EA6C7A">
        <w:rPr>
          <w:rFonts w:ascii="Verdana" w:hAnsi="Verdana" w:cs="Segoe UI"/>
          <w:sz w:val="20"/>
          <w:szCs w:val="20"/>
          <w:lang w:val="en-US" w:eastAsia="es-PA"/>
        </w:rPr>
        <w:t xml:space="preserve">, </w:t>
      </w:r>
      <w:r w:rsidR="0019043E" w:rsidRPr="00EA6C7A">
        <w:rPr>
          <w:rFonts w:ascii="Verdana" w:hAnsi="Verdana" w:cs="Segoe UI"/>
          <w:sz w:val="20"/>
          <w:szCs w:val="20"/>
          <w:u w:val="single"/>
          <w:lang w:val="en-US" w:eastAsia="es-PA"/>
        </w:rPr>
        <w:t>compliance with its obligation “to have an adequate legal protection framework that is enforced effective</w:t>
      </w:r>
      <w:r w:rsidR="000321CA" w:rsidRPr="00EA6C7A">
        <w:rPr>
          <w:rFonts w:ascii="Verdana" w:hAnsi="Verdana" w:cs="Segoe UI"/>
          <w:sz w:val="20"/>
          <w:szCs w:val="20"/>
          <w:u w:val="single"/>
          <w:lang w:val="en-US" w:eastAsia="es-PA"/>
        </w:rPr>
        <w:t>ly</w:t>
      </w:r>
      <w:r w:rsidR="0019043E" w:rsidRPr="00EA6C7A">
        <w:rPr>
          <w:rFonts w:ascii="Verdana" w:hAnsi="Verdana" w:cs="Segoe UI"/>
          <w:sz w:val="20"/>
          <w:szCs w:val="20"/>
          <w:u w:val="single"/>
          <w:lang w:val="en-US" w:eastAsia="es-PA"/>
        </w:rPr>
        <w:t xml:space="preserve"> and prevention policies and practices that permit eff</w:t>
      </w:r>
      <w:r w:rsidR="000321CA" w:rsidRPr="00EA6C7A">
        <w:rPr>
          <w:rFonts w:ascii="Verdana" w:hAnsi="Verdana" w:cs="Segoe UI"/>
          <w:sz w:val="20"/>
          <w:szCs w:val="20"/>
          <w:u w:val="single"/>
          <w:lang w:val="en-US" w:eastAsia="es-PA"/>
        </w:rPr>
        <w:t>icient</w:t>
      </w:r>
      <w:r w:rsidR="0019043E" w:rsidRPr="00EA6C7A">
        <w:rPr>
          <w:rFonts w:ascii="Verdana" w:hAnsi="Verdana" w:cs="Segoe UI"/>
          <w:sz w:val="20"/>
          <w:szCs w:val="20"/>
          <w:u w:val="single"/>
          <w:lang w:val="en-US" w:eastAsia="es-PA"/>
        </w:rPr>
        <w:t xml:space="preserve"> actions in response to reports</w:t>
      </w:r>
      <w:r w:rsidR="0019043E" w:rsidRPr="00EA6C7A">
        <w:rPr>
          <w:rFonts w:ascii="Verdana" w:hAnsi="Verdana" w:cs="Segoe UI"/>
          <w:sz w:val="20"/>
          <w:szCs w:val="20"/>
          <w:lang w:val="en-US" w:eastAsia="es-PA"/>
        </w:rPr>
        <w:t xml:space="preserve">, does not represent </w:t>
      </w:r>
      <w:r w:rsidR="000321CA" w:rsidRPr="00EA6C7A">
        <w:rPr>
          <w:rFonts w:ascii="Verdana" w:hAnsi="Verdana" w:cs="Segoe UI"/>
          <w:sz w:val="20"/>
          <w:szCs w:val="20"/>
          <w:lang w:val="en-US" w:eastAsia="es-PA"/>
        </w:rPr>
        <w:t>imposing</w:t>
      </w:r>
      <w:r w:rsidR="0019043E" w:rsidRPr="00EA6C7A">
        <w:rPr>
          <w:rFonts w:ascii="Verdana" w:hAnsi="Verdana" w:cs="Segoe UI"/>
          <w:sz w:val="20"/>
          <w:szCs w:val="20"/>
          <w:lang w:val="en-US" w:eastAsia="es-PA"/>
        </w:rPr>
        <w:t xml:space="preserve"> an unlimited responsibility on the State; nor does the fact that the prevention strategy </w:t>
      </w:r>
      <w:r w:rsidR="0019043E" w:rsidRPr="00EA6C7A">
        <w:rPr>
          <w:rFonts w:ascii="Verdana" w:hAnsi="Verdana" w:cs="Segoe UI"/>
          <w:sz w:val="20"/>
          <w:szCs w:val="20"/>
          <w:u w:val="single"/>
          <w:lang w:val="en-US" w:eastAsia="es-PA"/>
        </w:rPr>
        <w:t>must be comprehensive</w:t>
      </w:r>
      <w:r w:rsidR="0019043E" w:rsidRPr="00EA6C7A">
        <w:rPr>
          <w:rFonts w:ascii="Verdana" w:hAnsi="Verdana" w:cs="Segoe UI"/>
          <w:sz w:val="20"/>
          <w:szCs w:val="20"/>
          <w:lang w:val="en-US" w:eastAsia="es-PA"/>
        </w:rPr>
        <w:t xml:space="preserve"> and must prevent “</w:t>
      </w:r>
      <w:r w:rsidR="0019043E" w:rsidRPr="00EA6C7A">
        <w:rPr>
          <w:rFonts w:ascii="Verdana" w:hAnsi="Verdana" w:cs="Segoe UI"/>
          <w:sz w:val="20"/>
          <w:szCs w:val="20"/>
          <w:u w:val="single"/>
          <w:lang w:val="en-US" w:eastAsia="es-PA"/>
        </w:rPr>
        <w:t>the risk factors and, at the same time, reinforce the institutions so that they can provide an effective response to cases of</w:t>
      </w:r>
      <w:r w:rsidR="0019043E" w:rsidRPr="00EA6C7A">
        <w:rPr>
          <w:rFonts w:ascii="Verdana" w:hAnsi="Verdana" w:cs="Segoe UI"/>
          <w:sz w:val="20"/>
          <w:szCs w:val="20"/>
          <w:lang w:val="en-US" w:eastAsia="es-PA"/>
        </w:rPr>
        <w:t xml:space="preserve"> </w:t>
      </w:r>
      <w:r w:rsidR="00C12C08" w:rsidRPr="00EA6C7A">
        <w:rPr>
          <w:rFonts w:ascii="Verdana" w:hAnsi="Verdana" w:cs="Segoe UI"/>
          <w:sz w:val="20"/>
          <w:szCs w:val="20"/>
          <w:u w:val="single"/>
          <w:lang w:val="en-US" w:eastAsia="es-PA"/>
        </w:rPr>
        <w:t>violence against women</w:t>
      </w:r>
      <w:r w:rsidRPr="00EA6C7A">
        <w:rPr>
          <w:rFonts w:ascii="Verdana" w:hAnsi="Verdana" w:cs="Segoe UI"/>
          <w:sz w:val="20"/>
          <w:szCs w:val="20"/>
          <w:lang w:val="en-US" w:eastAsia="es-PA"/>
        </w:rPr>
        <w:t xml:space="preserve">” </w:t>
      </w:r>
      <w:r w:rsidR="0019043E" w:rsidRPr="00EA6C7A">
        <w:rPr>
          <w:rFonts w:ascii="Verdana" w:hAnsi="Verdana" w:cs="Segoe UI"/>
          <w:sz w:val="20"/>
          <w:szCs w:val="20"/>
          <w:lang w:val="en-US" w:eastAsia="es-PA"/>
        </w:rPr>
        <w:t>as</w:t>
      </w:r>
      <w:r w:rsidRPr="00EA6C7A">
        <w:rPr>
          <w:rFonts w:ascii="Verdana" w:hAnsi="Verdana" w:cs="Segoe UI"/>
          <w:sz w:val="20"/>
          <w:szCs w:val="20"/>
          <w:lang w:val="en-US" w:eastAsia="es-PA"/>
        </w:rPr>
        <w:t xml:space="preserve"> </w:t>
      </w:r>
      <w:r w:rsidR="0096418F" w:rsidRPr="00EA6C7A">
        <w:rPr>
          <w:rFonts w:ascii="Verdana" w:hAnsi="Verdana" w:cs="Segoe UI"/>
          <w:sz w:val="20"/>
          <w:szCs w:val="20"/>
          <w:lang w:val="en-US" w:eastAsia="es-PA"/>
        </w:rPr>
        <w:t xml:space="preserve">the </w:t>
      </w:r>
      <w:r w:rsidR="009939AC" w:rsidRPr="00EA6C7A">
        <w:rPr>
          <w:rFonts w:ascii="Verdana" w:hAnsi="Verdana" w:cs="Segoe UI"/>
          <w:sz w:val="20"/>
          <w:szCs w:val="20"/>
          <w:lang w:val="en-US" w:eastAsia="es-PA"/>
        </w:rPr>
        <w:t>Court</w:t>
      </w:r>
      <w:r w:rsidRPr="00EA6C7A">
        <w:rPr>
          <w:rFonts w:ascii="Verdana" w:hAnsi="Verdana" w:cs="Segoe UI"/>
          <w:sz w:val="20"/>
          <w:szCs w:val="20"/>
          <w:lang w:val="en-US" w:eastAsia="es-PA"/>
        </w:rPr>
        <w:t xml:space="preserve"> </w:t>
      </w:r>
      <w:r w:rsidR="0019043E" w:rsidRPr="00EA6C7A">
        <w:rPr>
          <w:rFonts w:ascii="Verdana" w:hAnsi="Verdana" w:cs="Segoe UI"/>
          <w:sz w:val="20"/>
          <w:szCs w:val="20"/>
          <w:lang w:val="en-US" w:eastAsia="es-PA"/>
        </w:rPr>
        <w:t>has established in its case law,</w:t>
      </w:r>
      <w:r w:rsidRPr="00EA6C7A">
        <w:rPr>
          <w:rFonts w:ascii="Verdana" w:hAnsi="Verdana" w:cs="Segoe UI"/>
          <w:sz w:val="20"/>
          <w:szCs w:val="20"/>
          <w:vertAlign w:val="superscript"/>
          <w:lang w:val="en-US" w:eastAsia="es-PA"/>
        </w:rPr>
        <w:footnoteReference w:id="465"/>
      </w:r>
      <w:r w:rsidRPr="00EA6C7A">
        <w:rPr>
          <w:rFonts w:ascii="Verdana" w:hAnsi="Verdana" w:cs="Segoe UI"/>
          <w:sz w:val="20"/>
          <w:szCs w:val="20"/>
          <w:lang w:val="en-US" w:eastAsia="es-PA"/>
        </w:rPr>
        <w:t xml:space="preserve"> aspects</w:t>
      </w:r>
      <w:r w:rsidR="0019043E" w:rsidRPr="00EA6C7A">
        <w:rPr>
          <w:rFonts w:ascii="Verdana" w:hAnsi="Verdana" w:cs="Segoe UI"/>
          <w:sz w:val="20"/>
          <w:szCs w:val="20"/>
          <w:lang w:val="en-US" w:eastAsia="es-PA"/>
        </w:rPr>
        <w:t xml:space="preserve"> that form part of the general obligation of prevention or the </w:t>
      </w:r>
      <w:r w:rsidRPr="00EA6C7A">
        <w:rPr>
          <w:rFonts w:ascii="Verdana" w:hAnsi="Verdana" w:cs="Segoe UI"/>
          <w:sz w:val="20"/>
          <w:szCs w:val="20"/>
          <w:lang w:val="en-US" w:eastAsia="es-PA"/>
        </w:rPr>
        <w:t>“</w:t>
      </w:r>
      <w:r w:rsidR="00274B18" w:rsidRPr="00EA6C7A">
        <w:rPr>
          <w:rFonts w:ascii="Verdana" w:hAnsi="Verdana" w:cs="Segoe UI"/>
          <w:sz w:val="20"/>
          <w:szCs w:val="20"/>
          <w:lang w:val="en-US" w:eastAsia="es-PA"/>
        </w:rPr>
        <w:t>first moment</w:t>
      </w:r>
      <w:r w:rsidRPr="00EA6C7A">
        <w:rPr>
          <w:rFonts w:ascii="Verdana" w:hAnsi="Verdana" w:cs="Segoe UI"/>
          <w:sz w:val="20"/>
          <w:szCs w:val="20"/>
          <w:lang w:val="en-US" w:eastAsia="es-PA"/>
        </w:rPr>
        <w:t xml:space="preserve">” </w:t>
      </w:r>
      <w:r w:rsidR="0019043E" w:rsidRPr="00EA6C7A">
        <w:rPr>
          <w:rFonts w:ascii="Verdana" w:hAnsi="Verdana" w:cs="Segoe UI"/>
          <w:sz w:val="20"/>
          <w:szCs w:val="20"/>
          <w:lang w:val="en-US" w:eastAsia="es-PA"/>
        </w:rPr>
        <w:t xml:space="preserve">of the analysis. Thus, this </w:t>
      </w:r>
      <w:r w:rsidRPr="00EA6C7A">
        <w:rPr>
          <w:rFonts w:ascii="Verdana" w:hAnsi="Verdana" w:cs="Segoe UI"/>
          <w:sz w:val="20"/>
          <w:szCs w:val="20"/>
          <w:lang w:val="en-US" w:eastAsia="es-PA"/>
        </w:rPr>
        <w:t>“</w:t>
      </w:r>
      <w:r w:rsidR="00274B18" w:rsidRPr="00EA6C7A">
        <w:rPr>
          <w:rFonts w:ascii="Verdana" w:hAnsi="Verdana" w:cs="Segoe UI"/>
          <w:sz w:val="20"/>
          <w:szCs w:val="20"/>
          <w:lang w:val="en-US" w:eastAsia="es-PA"/>
        </w:rPr>
        <w:t>first moment</w:t>
      </w:r>
      <w:r w:rsidRPr="00EA6C7A">
        <w:rPr>
          <w:rFonts w:ascii="Verdana" w:hAnsi="Verdana" w:cs="Segoe UI"/>
          <w:sz w:val="20"/>
          <w:szCs w:val="20"/>
          <w:lang w:val="en-US" w:eastAsia="es-PA"/>
        </w:rPr>
        <w:t>”</w:t>
      </w:r>
      <w:r w:rsidR="00A534EF" w:rsidRPr="00EA6C7A">
        <w:rPr>
          <w:rFonts w:ascii="Verdana" w:hAnsi="Verdana" w:cs="Segoe UI"/>
          <w:sz w:val="20"/>
          <w:szCs w:val="20"/>
          <w:lang w:val="en-US" w:eastAsia="es-PA"/>
        </w:rPr>
        <w:t xml:space="preserve"> of the obligation</w:t>
      </w:r>
      <w:r w:rsidR="00D5307F" w:rsidRPr="00EA6C7A">
        <w:rPr>
          <w:rFonts w:ascii="Verdana" w:hAnsi="Verdana" w:cs="Segoe UI"/>
          <w:sz w:val="20"/>
          <w:szCs w:val="20"/>
          <w:lang w:val="en-US" w:eastAsia="es-PA"/>
        </w:rPr>
        <w:t xml:space="preserve"> of prevention</w:t>
      </w:r>
      <w:r w:rsidRPr="00EA6C7A">
        <w:rPr>
          <w:rFonts w:ascii="Verdana" w:hAnsi="Verdana" w:cs="Segoe UI"/>
          <w:sz w:val="20"/>
          <w:szCs w:val="20"/>
          <w:lang w:val="en-US" w:eastAsia="es-PA"/>
        </w:rPr>
        <w:t xml:space="preserve"> </w:t>
      </w:r>
      <w:r w:rsidR="0019043E" w:rsidRPr="00EA6C7A">
        <w:rPr>
          <w:rFonts w:ascii="Verdana" w:hAnsi="Verdana" w:cs="Segoe UI"/>
          <w:sz w:val="20"/>
          <w:szCs w:val="20"/>
          <w:lang w:val="en-US" w:eastAsia="es-PA"/>
        </w:rPr>
        <w:t>has a determinant impact on the</w:t>
      </w:r>
      <w:r w:rsidRPr="00EA6C7A">
        <w:rPr>
          <w:rFonts w:ascii="Verdana" w:hAnsi="Verdana" w:cs="Segoe UI"/>
          <w:sz w:val="20"/>
          <w:szCs w:val="20"/>
          <w:lang w:val="en-US" w:eastAsia="es-PA"/>
        </w:rPr>
        <w:t xml:space="preserve"> “</w:t>
      </w:r>
      <w:r w:rsidR="00274B18" w:rsidRPr="00EA6C7A">
        <w:rPr>
          <w:rFonts w:ascii="Verdana" w:hAnsi="Verdana" w:cs="Segoe UI"/>
          <w:sz w:val="20"/>
          <w:szCs w:val="20"/>
          <w:lang w:val="en-US" w:eastAsia="es-PA"/>
        </w:rPr>
        <w:t>second moment</w:t>
      </w:r>
      <w:r w:rsidRPr="00EA6C7A">
        <w:rPr>
          <w:rFonts w:ascii="Verdana" w:hAnsi="Verdana" w:cs="Segoe UI"/>
          <w:sz w:val="20"/>
          <w:szCs w:val="20"/>
          <w:lang w:val="en-US" w:eastAsia="es-PA"/>
        </w:rPr>
        <w:t>”</w:t>
      </w:r>
      <w:r w:rsidR="0019043E" w:rsidRPr="00EA6C7A">
        <w:rPr>
          <w:rFonts w:ascii="Verdana" w:hAnsi="Verdana" w:cs="Segoe UI"/>
          <w:sz w:val="20"/>
          <w:szCs w:val="20"/>
          <w:lang w:val="en-US" w:eastAsia="es-PA"/>
        </w:rPr>
        <w:t xml:space="preserve"> in which the State prevention apparatus </w:t>
      </w:r>
      <w:r w:rsidR="000321CA" w:rsidRPr="00EA6C7A">
        <w:rPr>
          <w:rFonts w:ascii="Verdana" w:hAnsi="Verdana" w:cs="Segoe UI"/>
          <w:sz w:val="20"/>
          <w:szCs w:val="20"/>
          <w:lang w:val="en-US" w:eastAsia="es-PA"/>
        </w:rPr>
        <w:t>is</w:t>
      </w:r>
      <w:r w:rsidR="0019043E" w:rsidRPr="00EA6C7A">
        <w:rPr>
          <w:rFonts w:ascii="Verdana" w:hAnsi="Verdana" w:cs="Segoe UI"/>
          <w:sz w:val="20"/>
          <w:szCs w:val="20"/>
          <w:lang w:val="en-US" w:eastAsia="es-PA"/>
        </w:rPr>
        <w:t xml:space="preserve"> applied to </w:t>
      </w:r>
      <w:r w:rsidR="000321CA" w:rsidRPr="00EA6C7A">
        <w:rPr>
          <w:rFonts w:ascii="Verdana" w:hAnsi="Verdana" w:cs="Segoe UI"/>
          <w:sz w:val="20"/>
          <w:szCs w:val="20"/>
          <w:lang w:val="en-US" w:eastAsia="es-PA"/>
        </w:rPr>
        <w:t xml:space="preserve">the </w:t>
      </w:r>
      <w:r w:rsidR="0019043E" w:rsidRPr="00EA6C7A">
        <w:rPr>
          <w:rFonts w:ascii="Verdana" w:hAnsi="Verdana" w:cs="Segoe UI"/>
          <w:sz w:val="20"/>
          <w:szCs w:val="20"/>
          <w:lang w:val="en-US" w:eastAsia="es-PA"/>
        </w:rPr>
        <w:t xml:space="preserve">cases of </w:t>
      </w:r>
      <w:r w:rsidR="000321CA" w:rsidRPr="00EA6C7A">
        <w:rPr>
          <w:rFonts w:ascii="Verdana" w:hAnsi="Verdana" w:cs="Segoe UI"/>
          <w:sz w:val="20"/>
          <w:szCs w:val="20"/>
          <w:lang w:val="en-US" w:eastAsia="es-PA"/>
        </w:rPr>
        <w:t>missing persons</w:t>
      </w:r>
      <w:r w:rsidR="0019043E" w:rsidRPr="00EA6C7A">
        <w:rPr>
          <w:rFonts w:ascii="Verdana" w:hAnsi="Verdana" w:cs="Segoe UI"/>
          <w:sz w:val="20"/>
          <w:szCs w:val="20"/>
          <w:lang w:val="en-US" w:eastAsia="es-PA"/>
        </w:rPr>
        <w:t xml:space="preserve"> and gender-based violence that</w:t>
      </w:r>
      <w:r w:rsidR="000321CA" w:rsidRPr="00EA6C7A">
        <w:rPr>
          <w:rFonts w:ascii="Verdana" w:hAnsi="Verdana" w:cs="Segoe UI"/>
          <w:sz w:val="20"/>
          <w:szCs w:val="20"/>
          <w:lang w:val="en-US" w:eastAsia="es-PA"/>
        </w:rPr>
        <w:t xml:space="preserve"> confront</w:t>
      </w:r>
      <w:r w:rsidR="0019043E" w:rsidRPr="00EA6C7A">
        <w:rPr>
          <w:rFonts w:ascii="Verdana" w:hAnsi="Verdana" w:cs="Segoe UI"/>
          <w:sz w:val="20"/>
          <w:szCs w:val="20"/>
          <w:lang w:val="en-US" w:eastAsia="es-PA"/>
        </w:rPr>
        <w:t xml:space="preserve"> the State</w:t>
      </w:r>
      <w:r w:rsidRPr="00EA6C7A">
        <w:rPr>
          <w:rFonts w:ascii="Verdana" w:hAnsi="Verdana" w:cs="Segoe UI"/>
          <w:sz w:val="20"/>
          <w:szCs w:val="20"/>
          <w:lang w:val="en-US" w:eastAsia="es-PA"/>
        </w:rPr>
        <w:t>.</w:t>
      </w:r>
    </w:p>
    <w:p w14:paraId="77148719"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Segoe UI"/>
          <w:color w:val="444444"/>
          <w:sz w:val="20"/>
          <w:szCs w:val="20"/>
          <w:lang w:val="en-US" w:eastAsia="es-PA"/>
        </w:rPr>
      </w:pPr>
    </w:p>
    <w:p w14:paraId="698FCC15"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55. </w:t>
      </w:r>
      <w:r w:rsidRPr="00EA6C7A">
        <w:rPr>
          <w:rFonts w:ascii="Verdana" w:eastAsia="Calibri" w:hAnsi="Verdana" w:cs="Tahoma"/>
          <w:bCs/>
          <w:color w:val="000000"/>
          <w:sz w:val="20"/>
          <w:szCs w:val="20"/>
          <w:shd w:val="clear" w:color="auto" w:fill="FFFFFF"/>
          <w:lang w:val="en-US"/>
        </w:rPr>
        <w:tab/>
      </w:r>
      <w:r w:rsidR="009B17AA" w:rsidRPr="00EA6C7A">
        <w:rPr>
          <w:rFonts w:ascii="Verdana" w:eastAsia="Calibri" w:hAnsi="Verdana" w:cs="Tahoma"/>
          <w:bCs/>
          <w:color w:val="000000"/>
          <w:sz w:val="20"/>
          <w:szCs w:val="20"/>
          <w:shd w:val="clear" w:color="auto" w:fill="FFFFFF"/>
          <w:lang w:val="en-US"/>
        </w:rPr>
        <w:t xml:space="preserve">In the instant case, it should be noted that, faced with a persistent “context” of an escalation of </w:t>
      </w:r>
      <w:r w:rsidR="00C12C08" w:rsidRPr="00EA6C7A">
        <w:rPr>
          <w:rFonts w:ascii="Verdana" w:eastAsia="Calibri" w:hAnsi="Verdana" w:cs="Tahoma"/>
          <w:bCs/>
          <w:color w:val="000000"/>
          <w:sz w:val="20"/>
          <w:szCs w:val="20"/>
          <w:shd w:val="clear" w:color="auto" w:fill="FFFFFF"/>
          <w:lang w:val="en-US"/>
        </w:rPr>
        <w:t>violence against women</w:t>
      </w:r>
      <w:r w:rsidR="00D948A1" w:rsidRPr="00EA6C7A">
        <w:rPr>
          <w:rFonts w:ascii="Verdana" w:eastAsia="Calibri" w:hAnsi="Verdana" w:cs="Tahoma"/>
          <w:bCs/>
          <w:color w:val="000000"/>
          <w:sz w:val="20"/>
          <w:szCs w:val="20"/>
          <w:shd w:val="clear" w:color="auto" w:fill="FFFFFF"/>
          <w:lang w:val="en-US"/>
        </w:rPr>
        <w:t xml:space="preserve"> and </w:t>
      </w:r>
      <w:r w:rsidR="009B17AA" w:rsidRPr="00EA6C7A">
        <w:rPr>
          <w:rFonts w:ascii="Verdana" w:eastAsia="Calibri" w:hAnsi="Verdana" w:cs="Tahoma"/>
          <w:bCs/>
          <w:color w:val="000000"/>
          <w:sz w:val="20"/>
          <w:szCs w:val="20"/>
          <w:shd w:val="clear" w:color="auto" w:fill="FFFFFF"/>
          <w:lang w:val="en-US"/>
        </w:rPr>
        <w:t xml:space="preserve">even though the </w:t>
      </w:r>
      <w:r w:rsidR="000321CA" w:rsidRPr="00EA6C7A">
        <w:rPr>
          <w:rFonts w:ascii="Verdana" w:eastAsia="Calibri" w:hAnsi="Verdana" w:cs="Tahoma"/>
          <w:bCs/>
          <w:color w:val="000000"/>
          <w:sz w:val="20"/>
          <w:szCs w:val="20"/>
          <w:shd w:val="clear" w:color="auto" w:fill="FFFFFF"/>
          <w:lang w:val="en-US"/>
        </w:rPr>
        <w:t xml:space="preserve">Guatemalan </w:t>
      </w:r>
      <w:r w:rsidR="009B17AA" w:rsidRPr="00EA6C7A">
        <w:rPr>
          <w:rFonts w:ascii="Verdana" w:eastAsia="Calibri" w:hAnsi="Verdana" w:cs="Tahoma"/>
          <w:bCs/>
          <w:color w:val="000000"/>
          <w:sz w:val="20"/>
          <w:szCs w:val="20"/>
          <w:shd w:val="clear" w:color="auto" w:fill="FFFFFF"/>
          <w:lang w:val="en-US"/>
        </w:rPr>
        <w:t xml:space="preserve">State has taken some actions </w:t>
      </w:r>
      <w:r w:rsidR="000321CA" w:rsidRPr="00EA6C7A">
        <w:rPr>
          <w:rFonts w:ascii="Verdana" w:eastAsia="Calibri" w:hAnsi="Verdana" w:cs="Tahoma"/>
          <w:bCs/>
          <w:color w:val="000000"/>
          <w:sz w:val="20"/>
          <w:szCs w:val="20"/>
          <w:shd w:val="clear" w:color="auto" w:fill="FFFFFF"/>
          <w:lang w:val="en-US"/>
        </w:rPr>
        <w:t>to</w:t>
      </w:r>
      <w:r w:rsidR="009B17AA" w:rsidRPr="00EA6C7A">
        <w:rPr>
          <w:rFonts w:ascii="Verdana" w:eastAsia="Calibri" w:hAnsi="Verdana" w:cs="Tahoma"/>
          <w:bCs/>
          <w:color w:val="000000"/>
          <w:sz w:val="20"/>
          <w:szCs w:val="20"/>
          <w:shd w:val="clear" w:color="auto" w:fill="FFFFFF"/>
          <w:lang w:val="en-US"/>
        </w:rPr>
        <w:t xml:space="preserve"> address the problem</w:t>
      </w:r>
      <w:r w:rsidR="009B17AA" w:rsidRPr="00EA6C7A">
        <w:rPr>
          <w:rFonts w:ascii="Verdana" w:eastAsia="Calibri" w:hAnsi="Verdana" w:cs="Tahoma"/>
          <w:bCs/>
          <w:sz w:val="20"/>
          <w:szCs w:val="20"/>
          <w:shd w:val="clear" w:color="auto" w:fill="FFFFFF"/>
          <w:lang w:val="en-US"/>
        </w:rPr>
        <w:t>,</w:t>
      </w:r>
      <w:r w:rsidRPr="00EA6C7A">
        <w:rPr>
          <w:rFonts w:ascii="Verdana" w:eastAsia="Calibri" w:hAnsi="Verdana" w:cs="Tahoma"/>
          <w:bCs/>
          <w:sz w:val="20"/>
          <w:szCs w:val="20"/>
          <w:shd w:val="clear" w:color="auto" w:fill="FFFFFF"/>
          <w:vertAlign w:val="superscript"/>
          <w:lang w:val="en-US"/>
        </w:rPr>
        <w:footnoteReference w:id="466"/>
      </w:r>
      <w:r w:rsidR="009B17AA" w:rsidRPr="00EA6C7A">
        <w:rPr>
          <w:rFonts w:ascii="Verdana" w:eastAsia="Calibri" w:hAnsi="Verdana" w:cs="Tahoma"/>
          <w:bCs/>
          <w:sz w:val="20"/>
          <w:szCs w:val="20"/>
          <w:shd w:val="clear" w:color="auto" w:fill="FFFFFF"/>
          <w:lang w:val="en-US"/>
        </w:rPr>
        <w:t xml:space="preserve"> the insufficiency and ineffectiveness of such measures </w:t>
      </w:r>
      <w:r w:rsidR="000321CA" w:rsidRPr="00EA6C7A">
        <w:rPr>
          <w:rFonts w:ascii="Verdana" w:eastAsia="Calibri" w:hAnsi="Verdana" w:cs="Tahoma"/>
          <w:bCs/>
          <w:sz w:val="20"/>
          <w:szCs w:val="20"/>
          <w:shd w:val="clear" w:color="auto" w:fill="FFFFFF"/>
          <w:lang w:val="en-US"/>
        </w:rPr>
        <w:t>h</w:t>
      </w:r>
      <w:r w:rsidR="009B17AA" w:rsidRPr="00EA6C7A">
        <w:rPr>
          <w:rFonts w:ascii="Verdana" w:eastAsia="Calibri" w:hAnsi="Verdana" w:cs="Tahoma"/>
          <w:bCs/>
          <w:sz w:val="20"/>
          <w:szCs w:val="20"/>
          <w:shd w:val="clear" w:color="auto" w:fill="FFFFFF"/>
          <w:lang w:val="en-US"/>
        </w:rPr>
        <w:t xml:space="preserve">as meant that the country still does not have a mechanism, instrument </w:t>
      </w:r>
      <w:r w:rsidR="000321CA" w:rsidRPr="00EA6C7A">
        <w:rPr>
          <w:rFonts w:ascii="Verdana" w:eastAsia="Calibri" w:hAnsi="Verdana" w:cs="Tahoma"/>
          <w:bCs/>
          <w:sz w:val="20"/>
          <w:szCs w:val="20"/>
          <w:shd w:val="clear" w:color="auto" w:fill="FFFFFF"/>
          <w:lang w:val="en-US"/>
        </w:rPr>
        <w:t>or,</w:t>
      </w:r>
      <w:r w:rsidR="009B17AA" w:rsidRPr="00EA6C7A">
        <w:rPr>
          <w:rFonts w:ascii="Verdana" w:eastAsia="Calibri" w:hAnsi="Verdana" w:cs="Tahoma"/>
          <w:bCs/>
          <w:sz w:val="20"/>
          <w:szCs w:val="20"/>
          <w:shd w:val="clear" w:color="auto" w:fill="FFFFFF"/>
          <w:lang w:val="en-US"/>
        </w:rPr>
        <w:t xml:space="preserve"> in particular, a practice to search immediately for missing women, in accordance with the standard established by the Inter-American Court in the two previous cases on th</w:t>
      </w:r>
      <w:r w:rsidR="000321CA" w:rsidRPr="00EA6C7A">
        <w:rPr>
          <w:rFonts w:ascii="Verdana" w:eastAsia="Calibri" w:hAnsi="Verdana" w:cs="Tahoma"/>
          <w:bCs/>
          <w:sz w:val="20"/>
          <w:szCs w:val="20"/>
          <w:shd w:val="clear" w:color="auto" w:fill="FFFFFF"/>
          <w:lang w:val="en-US"/>
        </w:rPr>
        <w:t>is</w:t>
      </w:r>
      <w:r w:rsidR="009B17AA" w:rsidRPr="00EA6C7A">
        <w:rPr>
          <w:rFonts w:ascii="Verdana" w:eastAsia="Calibri" w:hAnsi="Verdana" w:cs="Tahoma"/>
          <w:bCs/>
          <w:sz w:val="20"/>
          <w:szCs w:val="20"/>
          <w:shd w:val="clear" w:color="auto" w:fill="FFFFFF"/>
          <w:lang w:val="en-US"/>
        </w:rPr>
        <w:t xml:space="preserve"> </w:t>
      </w:r>
      <w:r w:rsidR="009B17AA" w:rsidRPr="00EA6C7A">
        <w:rPr>
          <w:rFonts w:ascii="Verdana" w:eastAsia="Calibri" w:hAnsi="Verdana" w:cs="Tahoma"/>
          <w:bCs/>
          <w:sz w:val="20"/>
          <w:szCs w:val="20"/>
          <w:shd w:val="clear" w:color="auto" w:fill="FFFFFF"/>
          <w:lang w:val="en-US"/>
        </w:rPr>
        <w:lastRenderedPageBreak/>
        <w:t>matter,</w:t>
      </w:r>
      <w:r w:rsidRPr="00EA6C7A">
        <w:rPr>
          <w:rFonts w:ascii="Verdana" w:hAnsi="Verdana" w:cs="Segoe UI"/>
          <w:sz w:val="20"/>
          <w:szCs w:val="20"/>
          <w:vertAlign w:val="superscript"/>
          <w:lang w:val="en-US" w:eastAsia="es-PA"/>
        </w:rPr>
        <w:footnoteReference w:id="467"/>
      </w:r>
      <w:r w:rsidR="009B17AA" w:rsidRPr="00EA6C7A">
        <w:rPr>
          <w:rFonts w:ascii="Verdana" w:hAnsi="Verdana" w:cs="Segoe UI"/>
          <w:sz w:val="20"/>
          <w:szCs w:val="20"/>
          <w:lang w:val="en-US" w:eastAsia="es-PA"/>
        </w:rPr>
        <w:t xml:space="preserve"> that could prevent the </w:t>
      </w:r>
      <w:r w:rsidR="000321CA" w:rsidRPr="00EA6C7A">
        <w:rPr>
          <w:rFonts w:ascii="Verdana" w:hAnsi="Verdana" w:cs="Segoe UI"/>
          <w:sz w:val="20"/>
          <w:szCs w:val="20"/>
          <w:lang w:val="en-US" w:eastAsia="es-PA"/>
        </w:rPr>
        <w:t>risk</w:t>
      </w:r>
      <w:r w:rsidR="009B17AA" w:rsidRPr="00EA6C7A">
        <w:rPr>
          <w:rFonts w:ascii="Verdana" w:hAnsi="Verdana" w:cs="Segoe UI"/>
          <w:sz w:val="20"/>
          <w:szCs w:val="20"/>
          <w:lang w:val="en-US" w:eastAsia="es-PA"/>
        </w:rPr>
        <w:t xml:space="preserve"> faced by Guatemalan women and girls given the </w:t>
      </w:r>
      <w:r w:rsidR="000321CA" w:rsidRPr="00EA6C7A">
        <w:rPr>
          <w:rFonts w:ascii="Verdana" w:hAnsi="Verdana" w:cs="Segoe UI"/>
          <w:sz w:val="20"/>
          <w:szCs w:val="20"/>
          <w:lang w:val="en-US" w:eastAsia="es-PA"/>
        </w:rPr>
        <w:t>escalation</w:t>
      </w:r>
      <w:r w:rsidR="009B17AA" w:rsidRPr="00EA6C7A">
        <w:rPr>
          <w:rFonts w:ascii="Verdana" w:hAnsi="Verdana" w:cs="Segoe UI"/>
          <w:sz w:val="20"/>
          <w:szCs w:val="20"/>
          <w:lang w:val="en-US" w:eastAsia="es-PA"/>
        </w:rPr>
        <w:t xml:space="preserve"> in the murder of women </w:t>
      </w:r>
      <w:r w:rsidR="000321CA" w:rsidRPr="00EA6C7A">
        <w:rPr>
          <w:rFonts w:ascii="Verdana" w:hAnsi="Verdana" w:cs="Segoe UI"/>
          <w:sz w:val="20"/>
          <w:szCs w:val="20"/>
          <w:lang w:val="en-US" w:eastAsia="es-PA"/>
        </w:rPr>
        <w:t>and</w:t>
      </w:r>
      <w:r w:rsidR="009B17AA" w:rsidRPr="00EA6C7A">
        <w:rPr>
          <w:rFonts w:ascii="Verdana" w:hAnsi="Verdana" w:cs="Segoe UI"/>
          <w:sz w:val="20"/>
          <w:szCs w:val="20"/>
          <w:lang w:val="en-US" w:eastAsia="es-PA"/>
        </w:rPr>
        <w:t xml:space="preserve"> the brutal circumstances</w:t>
      </w:r>
      <w:r w:rsidRPr="00EA6C7A">
        <w:rPr>
          <w:rFonts w:ascii="Verdana" w:hAnsi="Verdana" w:cs="Segoe UI"/>
          <w:sz w:val="20"/>
          <w:szCs w:val="20"/>
          <w:lang w:val="en-US" w:eastAsia="es-PA"/>
        </w:rPr>
        <w:t xml:space="preserve"> </w:t>
      </w:r>
      <w:r w:rsidR="009B17AA" w:rsidRPr="00EA6C7A">
        <w:rPr>
          <w:rFonts w:ascii="Verdana" w:hAnsi="Verdana" w:cs="Segoe UI"/>
          <w:sz w:val="20"/>
          <w:szCs w:val="20"/>
          <w:lang w:val="en-US" w:eastAsia="es-PA"/>
        </w:rPr>
        <w:t>in which it is perpetrated</w:t>
      </w:r>
      <w:r w:rsidRPr="00EA6C7A">
        <w:rPr>
          <w:rFonts w:ascii="Verdana" w:hAnsi="Verdana" w:cs="Segoe UI"/>
          <w:sz w:val="20"/>
          <w:szCs w:val="20"/>
          <w:lang w:val="en-US" w:eastAsia="es-PA"/>
        </w:rPr>
        <w:t xml:space="preserve">. </w:t>
      </w:r>
    </w:p>
    <w:p w14:paraId="4C952129"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color w:val="000000"/>
          <w:sz w:val="20"/>
          <w:szCs w:val="20"/>
          <w:shd w:val="clear" w:color="auto" w:fill="FFFFFF"/>
          <w:lang w:val="en-US"/>
        </w:rPr>
      </w:pPr>
    </w:p>
    <w:p w14:paraId="10261271"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56. </w:t>
      </w:r>
      <w:r w:rsidRPr="00EA6C7A">
        <w:rPr>
          <w:rFonts w:ascii="Verdana" w:eastAsia="Calibri" w:hAnsi="Verdana" w:cs="Tahoma"/>
          <w:bCs/>
          <w:color w:val="000000"/>
          <w:sz w:val="20"/>
          <w:szCs w:val="20"/>
          <w:shd w:val="clear" w:color="auto" w:fill="FFFFFF"/>
          <w:lang w:val="en-US"/>
        </w:rPr>
        <w:tab/>
      </w:r>
      <w:r w:rsidR="009B17AA" w:rsidRPr="00EA6C7A">
        <w:rPr>
          <w:rFonts w:ascii="Verdana" w:eastAsia="Calibri" w:hAnsi="Verdana" w:cs="Tahoma"/>
          <w:bCs/>
          <w:color w:val="000000"/>
          <w:sz w:val="20"/>
          <w:szCs w:val="20"/>
          <w:shd w:val="clear" w:color="auto" w:fill="FFFFFF"/>
          <w:lang w:val="en-US"/>
        </w:rPr>
        <w:t>It is a factor of special concern that, as a result of the failure to adopt effective and sufficient measures to prevent violence against Guatemalan women, they continue to face a constant situation of danger, where the guarantee of their rights is nullified</w:t>
      </w:r>
      <w:r w:rsidR="000321CA" w:rsidRPr="00EA6C7A">
        <w:rPr>
          <w:rFonts w:ascii="Verdana" w:eastAsia="Calibri" w:hAnsi="Verdana" w:cs="Tahoma"/>
          <w:bCs/>
          <w:color w:val="000000"/>
          <w:sz w:val="20"/>
          <w:szCs w:val="20"/>
          <w:shd w:val="clear" w:color="auto" w:fill="FFFFFF"/>
          <w:lang w:val="en-US"/>
        </w:rPr>
        <w:t xml:space="preserve">, as well as </w:t>
      </w:r>
      <w:r w:rsidR="009B17AA" w:rsidRPr="00EA6C7A">
        <w:rPr>
          <w:rFonts w:ascii="Verdana" w:eastAsia="Calibri" w:hAnsi="Verdana" w:cs="Tahoma"/>
          <w:bCs/>
          <w:color w:val="000000"/>
          <w:sz w:val="20"/>
          <w:szCs w:val="20"/>
          <w:shd w:val="clear" w:color="auto" w:fill="FFFFFF"/>
          <w:lang w:val="en-US"/>
        </w:rPr>
        <w:t>th</w:t>
      </w:r>
      <w:r w:rsidR="000321CA" w:rsidRPr="00EA6C7A">
        <w:rPr>
          <w:rFonts w:ascii="Verdana" w:eastAsia="Calibri" w:hAnsi="Verdana" w:cs="Tahoma"/>
          <w:bCs/>
          <w:color w:val="000000"/>
          <w:sz w:val="20"/>
          <w:szCs w:val="20"/>
          <w:shd w:val="clear" w:color="auto" w:fill="FFFFFF"/>
          <w:lang w:val="en-US"/>
        </w:rPr>
        <w:t>e rights</w:t>
      </w:r>
      <w:r w:rsidR="009B17AA" w:rsidRPr="00EA6C7A">
        <w:rPr>
          <w:rFonts w:ascii="Verdana" w:eastAsia="Calibri" w:hAnsi="Verdana" w:cs="Tahoma"/>
          <w:bCs/>
          <w:color w:val="000000"/>
          <w:sz w:val="20"/>
          <w:szCs w:val="20"/>
          <w:shd w:val="clear" w:color="auto" w:fill="FFFFFF"/>
          <w:lang w:val="en-US"/>
        </w:rPr>
        <w:t xml:space="preserve"> of the</w:t>
      </w:r>
      <w:r w:rsidR="000321CA" w:rsidRPr="00EA6C7A">
        <w:rPr>
          <w:rFonts w:ascii="Verdana" w:eastAsia="Calibri" w:hAnsi="Verdana" w:cs="Tahoma"/>
          <w:bCs/>
          <w:color w:val="000000"/>
          <w:sz w:val="20"/>
          <w:szCs w:val="20"/>
          <w:shd w:val="clear" w:color="auto" w:fill="FFFFFF"/>
          <w:lang w:val="en-US"/>
        </w:rPr>
        <w:t>ir</w:t>
      </w:r>
      <w:r w:rsidR="009B17AA" w:rsidRPr="00EA6C7A">
        <w:rPr>
          <w:rFonts w:ascii="Verdana" w:eastAsia="Calibri" w:hAnsi="Verdana" w:cs="Tahoma"/>
          <w:bCs/>
          <w:color w:val="000000"/>
          <w:sz w:val="20"/>
          <w:szCs w:val="20"/>
          <w:shd w:val="clear" w:color="auto" w:fill="FFFFFF"/>
          <w:lang w:val="en-US"/>
        </w:rPr>
        <w:t xml:space="preserve"> next of kin, as in the instant case</w:t>
      </w:r>
      <w:r w:rsidRPr="00EA6C7A">
        <w:rPr>
          <w:rFonts w:ascii="Verdana" w:eastAsia="Calibri" w:hAnsi="Verdana" w:cs="Tahoma"/>
          <w:bCs/>
          <w:color w:val="000000"/>
          <w:sz w:val="20"/>
          <w:szCs w:val="20"/>
          <w:shd w:val="clear" w:color="auto" w:fill="FFFFFF"/>
          <w:lang w:val="en-US"/>
        </w:rPr>
        <w:t>.</w:t>
      </w:r>
    </w:p>
    <w:p w14:paraId="1F9E25C9"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color w:val="000000"/>
          <w:sz w:val="20"/>
          <w:szCs w:val="20"/>
          <w:shd w:val="clear" w:color="auto" w:fill="FFFFFF"/>
          <w:lang w:val="en-US"/>
        </w:rPr>
      </w:pPr>
    </w:p>
    <w:p w14:paraId="111C545B" w14:textId="77777777" w:rsidR="009430E7"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57. </w:t>
      </w:r>
      <w:r w:rsidRPr="00EA6C7A">
        <w:rPr>
          <w:rFonts w:ascii="Verdana" w:eastAsia="Calibri" w:hAnsi="Verdana" w:cs="Tahoma"/>
          <w:bCs/>
          <w:color w:val="000000"/>
          <w:sz w:val="20"/>
          <w:szCs w:val="20"/>
          <w:shd w:val="clear" w:color="auto" w:fill="FFFFFF"/>
          <w:lang w:val="en-US"/>
        </w:rPr>
        <w:tab/>
      </w:r>
      <w:r w:rsidR="009B17AA" w:rsidRPr="00EA6C7A">
        <w:rPr>
          <w:rFonts w:ascii="Verdana" w:eastAsia="Calibri" w:hAnsi="Verdana" w:cs="Tahoma"/>
          <w:bCs/>
          <w:color w:val="000000"/>
          <w:sz w:val="20"/>
          <w:szCs w:val="20"/>
          <w:shd w:val="clear" w:color="auto" w:fill="FFFFFF"/>
          <w:lang w:val="en-US"/>
        </w:rPr>
        <w:t xml:space="preserve">Consequently, the undersigned finds it pertinent to indicate that, </w:t>
      </w:r>
      <w:r w:rsidR="000321CA" w:rsidRPr="00EA6C7A">
        <w:rPr>
          <w:rFonts w:ascii="Verdana" w:eastAsia="Calibri" w:hAnsi="Verdana" w:cs="Tahoma"/>
          <w:bCs/>
          <w:color w:val="000000"/>
          <w:sz w:val="20"/>
          <w:szCs w:val="20"/>
          <w:shd w:val="clear" w:color="auto" w:fill="FFFFFF"/>
          <w:lang w:val="en-US"/>
        </w:rPr>
        <w:t>given</w:t>
      </w:r>
      <w:r w:rsidR="009B17AA" w:rsidRPr="00EA6C7A">
        <w:rPr>
          <w:rFonts w:ascii="Verdana" w:eastAsia="Calibri" w:hAnsi="Verdana" w:cs="Tahoma"/>
          <w:bCs/>
          <w:color w:val="000000"/>
          <w:sz w:val="20"/>
          <w:szCs w:val="20"/>
          <w:shd w:val="clear" w:color="auto" w:fill="FFFFFF"/>
          <w:lang w:val="en-US"/>
        </w:rPr>
        <w:t xml:space="preserve"> the context of </w:t>
      </w:r>
      <w:r w:rsidRPr="00EA6C7A">
        <w:rPr>
          <w:rFonts w:ascii="Verdana" w:eastAsia="Calibri" w:hAnsi="Verdana" w:cs="Tahoma"/>
          <w:bCs/>
          <w:color w:val="000000"/>
          <w:sz w:val="20"/>
          <w:szCs w:val="20"/>
          <w:shd w:val="clear" w:color="auto" w:fill="FFFFFF"/>
          <w:lang w:val="en-US"/>
        </w:rPr>
        <w:t>violenc</w:t>
      </w:r>
      <w:r w:rsidR="009B17AA" w:rsidRPr="00EA6C7A">
        <w:rPr>
          <w:rFonts w:ascii="Verdana" w:eastAsia="Calibri" w:hAnsi="Verdana" w:cs="Tahoma"/>
          <w:bCs/>
          <w:color w:val="000000"/>
          <w:sz w:val="20"/>
          <w:szCs w:val="20"/>
          <w:shd w:val="clear" w:color="auto" w:fill="FFFFFF"/>
          <w:lang w:val="en-US"/>
        </w:rPr>
        <w:t xml:space="preserve">e faced by women </w:t>
      </w:r>
      <w:r w:rsidR="00FC7D3B" w:rsidRPr="00EA6C7A">
        <w:rPr>
          <w:rFonts w:ascii="Verdana" w:eastAsia="Calibri" w:hAnsi="Verdana" w:cs="Tahoma"/>
          <w:bCs/>
          <w:color w:val="000000"/>
          <w:sz w:val="20"/>
          <w:szCs w:val="20"/>
          <w:shd w:val="clear" w:color="auto" w:fill="FFFFFF"/>
          <w:lang w:val="en-US"/>
        </w:rPr>
        <w:t>in Guatemala</w:t>
      </w:r>
      <w:r w:rsidR="009B17AA" w:rsidRPr="00EA6C7A">
        <w:rPr>
          <w:rFonts w:ascii="Verdana" w:eastAsia="Calibri" w:hAnsi="Verdana" w:cs="Tahoma"/>
          <w:bCs/>
          <w:color w:val="000000"/>
          <w:sz w:val="20"/>
          <w:szCs w:val="20"/>
          <w:shd w:val="clear" w:color="auto" w:fill="FFFFFF"/>
          <w:lang w:val="en-US"/>
        </w:rPr>
        <w:t xml:space="preserve"> </w:t>
      </w:r>
      <w:r w:rsidR="00D948A1" w:rsidRPr="00EA6C7A">
        <w:rPr>
          <w:rFonts w:ascii="Verdana" w:eastAsia="Calibri" w:hAnsi="Verdana" w:cs="Tahoma"/>
          <w:bCs/>
          <w:color w:val="000000"/>
          <w:sz w:val="20"/>
          <w:szCs w:val="20"/>
          <w:shd w:val="clear" w:color="auto" w:fill="FFFFFF"/>
          <w:lang w:val="en-US"/>
        </w:rPr>
        <w:t>and</w:t>
      </w:r>
      <w:r w:rsidR="009B17AA" w:rsidRPr="00EA6C7A">
        <w:rPr>
          <w:rFonts w:ascii="Verdana" w:eastAsia="Calibri" w:hAnsi="Verdana" w:cs="Tahoma"/>
          <w:bCs/>
          <w:color w:val="000000"/>
          <w:sz w:val="20"/>
          <w:szCs w:val="20"/>
          <w:shd w:val="clear" w:color="auto" w:fill="FFFFFF"/>
          <w:lang w:val="en-US"/>
        </w:rPr>
        <w:t>,</w:t>
      </w:r>
      <w:r w:rsidR="00D948A1" w:rsidRPr="00EA6C7A">
        <w:rPr>
          <w:rFonts w:ascii="Verdana" w:eastAsia="Calibri" w:hAnsi="Verdana" w:cs="Tahoma"/>
          <w:bCs/>
          <w:color w:val="000000"/>
          <w:sz w:val="20"/>
          <w:szCs w:val="20"/>
          <w:shd w:val="clear" w:color="auto" w:fill="FFFFFF"/>
          <w:lang w:val="en-US"/>
        </w:rPr>
        <w:t xml:space="preserve"> </w:t>
      </w:r>
      <w:r w:rsidR="009B17AA" w:rsidRPr="00EA6C7A">
        <w:rPr>
          <w:rFonts w:ascii="Verdana" w:eastAsia="Calibri" w:hAnsi="Verdana" w:cs="Tahoma"/>
          <w:bCs/>
          <w:color w:val="000000"/>
          <w:sz w:val="20"/>
          <w:szCs w:val="20"/>
          <w:shd w:val="clear" w:color="auto" w:fill="FFFFFF"/>
          <w:lang w:val="en-US"/>
        </w:rPr>
        <w:t>consequently</w:t>
      </w:r>
      <w:r w:rsidRPr="00EA6C7A">
        <w:rPr>
          <w:rFonts w:ascii="Verdana" w:eastAsia="Calibri" w:hAnsi="Verdana" w:cs="Tahoma"/>
          <w:bCs/>
          <w:color w:val="000000"/>
          <w:sz w:val="20"/>
          <w:szCs w:val="20"/>
          <w:shd w:val="clear" w:color="auto" w:fill="FFFFFF"/>
          <w:lang w:val="en-US"/>
        </w:rPr>
        <w:t xml:space="preserve">, </w:t>
      </w:r>
      <w:r w:rsidR="009B17AA" w:rsidRPr="00EA6C7A">
        <w:rPr>
          <w:rFonts w:ascii="Verdana" w:eastAsia="Calibri" w:hAnsi="Verdana" w:cs="Tahoma"/>
          <w:bCs/>
          <w:color w:val="000000"/>
          <w:sz w:val="20"/>
          <w:szCs w:val="20"/>
          <w:shd w:val="clear" w:color="auto" w:fill="FFFFFF"/>
          <w:lang w:val="en-US"/>
        </w:rPr>
        <w:t>the enhanced obligation of the State to prevent this situation, the Court should have</w:t>
      </w:r>
      <w:r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u w:val="single"/>
          <w:shd w:val="clear" w:color="auto" w:fill="FFFFFF"/>
          <w:lang w:val="en-US"/>
        </w:rPr>
        <w:t>declar</w:t>
      </w:r>
      <w:r w:rsidR="009B17AA" w:rsidRPr="00EA6C7A">
        <w:rPr>
          <w:rFonts w:ascii="Verdana" w:eastAsia="Calibri" w:hAnsi="Verdana" w:cs="Tahoma"/>
          <w:bCs/>
          <w:color w:val="000000"/>
          <w:sz w:val="20"/>
          <w:szCs w:val="20"/>
          <w:u w:val="single"/>
          <w:shd w:val="clear" w:color="auto" w:fill="FFFFFF"/>
          <w:lang w:val="en-US"/>
        </w:rPr>
        <w:t>ed the international responsibility of the State for failing to comply with its general obligation of prevention</w:t>
      </w:r>
      <w:r w:rsidR="009430E7" w:rsidRPr="00EA6C7A">
        <w:rPr>
          <w:rFonts w:ascii="Verdana" w:eastAsia="Calibri" w:hAnsi="Verdana" w:cs="Tahoma"/>
          <w:bCs/>
          <w:color w:val="000000"/>
          <w:sz w:val="20"/>
          <w:szCs w:val="20"/>
          <w:u w:val="single"/>
          <w:shd w:val="clear" w:color="auto" w:fill="FFFFFF"/>
          <w:lang w:val="en-US"/>
        </w:rPr>
        <w:t xml:space="preserve"> when examining the </w:t>
      </w:r>
      <w:r w:rsidRPr="00EA6C7A">
        <w:rPr>
          <w:rFonts w:ascii="Verdana" w:eastAsia="Calibri" w:hAnsi="Verdana" w:cs="Tahoma"/>
          <w:bCs/>
          <w:color w:val="000000"/>
          <w:sz w:val="20"/>
          <w:szCs w:val="20"/>
          <w:u w:val="single"/>
          <w:shd w:val="clear" w:color="auto" w:fill="FFFFFF"/>
          <w:lang w:val="en-US"/>
        </w:rPr>
        <w:t>“</w:t>
      </w:r>
      <w:r w:rsidR="00274B18" w:rsidRPr="00EA6C7A">
        <w:rPr>
          <w:rFonts w:ascii="Verdana" w:eastAsia="Calibri" w:hAnsi="Verdana" w:cs="Tahoma"/>
          <w:bCs/>
          <w:color w:val="000000"/>
          <w:sz w:val="20"/>
          <w:szCs w:val="20"/>
          <w:u w:val="single"/>
          <w:shd w:val="clear" w:color="auto" w:fill="FFFFFF"/>
          <w:lang w:val="en-US"/>
        </w:rPr>
        <w:t>first moment</w:t>
      </w:r>
      <w:r w:rsidRPr="00EA6C7A">
        <w:rPr>
          <w:rFonts w:ascii="Verdana" w:eastAsia="Calibri" w:hAnsi="Verdana" w:cs="Tahoma"/>
          <w:bCs/>
          <w:color w:val="000000"/>
          <w:sz w:val="20"/>
          <w:szCs w:val="20"/>
          <w:u w:val="single"/>
          <w:shd w:val="clear" w:color="auto" w:fill="FFFFFF"/>
          <w:lang w:val="en-US"/>
        </w:rPr>
        <w:t xml:space="preserve">” </w:t>
      </w:r>
      <w:r w:rsidR="009430E7" w:rsidRPr="00EA6C7A">
        <w:rPr>
          <w:rFonts w:ascii="Verdana" w:eastAsia="Calibri" w:hAnsi="Verdana" w:cs="Tahoma"/>
          <w:bCs/>
          <w:color w:val="000000"/>
          <w:sz w:val="20"/>
          <w:szCs w:val="20"/>
          <w:u w:val="single"/>
          <w:shd w:val="clear" w:color="auto" w:fill="FFFFFF"/>
          <w:lang w:val="en-US"/>
        </w:rPr>
        <w:t>of the measures adopted by the State</w:t>
      </w:r>
      <w:r w:rsidRPr="00EA6C7A">
        <w:rPr>
          <w:rFonts w:ascii="Verdana" w:eastAsia="Calibri" w:hAnsi="Verdana" w:cs="Tahoma"/>
          <w:bCs/>
          <w:color w:val="000000"/>
          <w:sz w:val="20"/>
          <w:szCs w:val="20"/>
          <w:u w:val="single"/>
          <w:shd w:val="clear" w:color="auto" w:fill="FFFFFF"/>
          <w:lang w:val="en-US"/>
        </w:rPr>
        <w:t>.</w:t>
      </w:r>
      <w:r w:rsidRPr="00EA6C7A">
        <w:rPr>
          <w:rFonts w:ascii="Verdana" w:eastAsia="Calibri" w:hAnsi="Verdana" w:cs="Tahoma"/>
          <w:bCs/>
          <w:color w:val="000000"/>
          <w:sz w:val="20"/>
          <w:szCs w:val="20"/>
          <w:shd w:val="clear" w:color="auto" w:fill="FFFFFF"/>
          <w:lang w:val="en-US"/>
        </w:rPr>
        <w:t xml:space="preserve"> </w:t>
      </w:r>
      <w:r w:rsidR="009430E7" w:rsidRPr="00EA6C7A">
        <w:rPr>
          <w:rFonts w:ascii="Verdana" w:eastAsia="Calibri" w:hAnsi="Verdana" w:cs="Tahoma"/>
          <w:bCs/>
          <w:color w:val="000000"/>
          <w:sz w:val="20"/>
          <w:szCs w:val="20"/>
          <w:shd w:val="clear" w:color="auto" w:fill="FFFFFF"/>
          <w:lang w:val="en-US"/>
        </w:rPr>
        <w:t xml:space="preserve">This is because this failure </w:t>
      </w:r>
      <w:r w:rsidR="000321CA" w:rsidRPr="00EA6C7A">
        <w:rPr>
          <w:rFonts w:ascii="Verdana" w:eastAsia="Calibri" w:hAnsi="Verdana" w:cs="Tahoma"/>
          <w:bCs/>
          <w:color w:val="000000"/>
          <w:sz w:val="20"/>
          <w:szCs w:val="20"/>
          <w:shd w:val="clear" w:color="auto" w:fill="FFFFFF"/>
          <w:lang w:val="en-US"/>
        </w:rPr>
        <w:t>originated</w:t>
      </w:r>
      <w:r w:rsidR="009430E7" w:rsidRPr="00EA6C7A">
        <w:rPr>
          <w:rFonts w:ascii="Verdana" w:eastAsia="Calibri" w:hAnsi="Verdana" w:cs="Tahoma"/>
          <w:bCs/>
          <w:color w:val="000000"/>
          <w:sz w:val="20"/>
          <w:szCs w:val="20"/>
          <w:shd w:val="clear" w:color="auto" w:fill="FFFFFF"/>
          <w:lang w:val="en-US"/>
        </w:rPr>
        <w:t xml:space="preserve"> the absence of specific prevention or</w:t>
      </w:r>
      <w:r w:rsidR="000321CA" w:rsidRPr="00EA6C7A">
        <w:rPr>
          <w:rFonts w:ascii="Verdana" w:eastAsia="Calibri" w:hAnsi="Verdana" w:cs="Tahoma"/>
          <w:bCs/>
          <w:color w:val="000000"/>
          <w:sz w:val="20"/>
          <w:szCs w:val="20"/>
          <w:shd w:val="clear" w:color="auto" w:fill="FFFFFF"/>
          <w:lang w:val="en-US"/>
        </w:rPr>
        <w:t xml:space="preserve"> the</w:t>
      </w:r>
      <w:r w:rsidR="009430E7" w:rsidRPr="00EA6C7A">
        <w:rPr>
          <w:rFonts w:ascii="Verdana" w:eastAsia="Calibri" w:hAnsi="Verdana" w:cs="Tahoma"/>
          <w:bCs/>
          <w:color w:val="000000"/>
          <w:sz w:val="20"/>
          <w:szCs w:val="20"/>
          <w:shd w:val="clear" w:color="auto" w:fill="FFFFFF"/>
          <w:lang w:val="en-US"/>
        </w:rPr>
        <w:t xml:space="preserve"> </w:t>
      </w:r>
      <w:r w:rsidRPr="00EA6C7A">
        <w:rPr>
          <w:rFonts w:ascii="Verdana" w:eastAsia="Calibri" w:hAnsi="Verdana" w:cs="Tahoma"/>
          <w:bCs/>
          <w:color w:val="000000"/>
          <w:sz w:val="20"/>
          <w:szCs w:val="20"/>
          <w:shd w:val="clear" w:color="auto" w:fill="FFFFFF"/>
          <w:lang w:val="en-US"/>
        </w:rPr>
        <w:t>“</w:t>
      </w:r>
      <w:r w:rsidR="00274B18" w:rsidRPr="00EA6C7A">
        <w:rPr>
          <w:rFonts w:ascii="Verdana" w:eastAsia="Calibri" w:hAnsi="Verdana" w:cs="Tahoma"/>
          <w:bCs/>
          <w:color w:val="000000"/>
          <w:sz w:val="20"/>
          <w:szCs w:val="20"/>
          <w:shd w:val="clear" w:color="auto" w:fill="FFFFFF"/>
          <w:lang w:val="en-US"/>
        </w:rPr>
        <w:t>second moment</w:t>
      </w:r>
      <w:r w:rsidRPr="00EA6C7A">
        <w:rPr>
          <w:rFonts w:ascii="Verdana" w:eastAsia="Calibri" w:hAnsi="Verdana" w:cs="Tahoma"/>
          <w:bCs/>
          <w:color w:val="000000"/>
          <w:sz w:val="20"/>
          <w:szCs w:val="20"/>
          <w:shd w:val="clear" w:color="auto" w:fill="FFFFFF"/>
          <w:lang w:val="en-US"/>
        </w:rPr>
        <w:t>”</w:t>
      </w:r>
      <w:r w:rsidR="00D5307F" w:rsidRPr="00EA6C7A">
        <w:rPr>
          <w:rFonts w:ascii="Verdana" w:eastAsia="Calibri" w:hAnsi="Verdana" w:cs="Tahoma"/>
          <w:bCs/>
          <w:color w:val="000000"/>
          <w:sz w:val="20"/>
          <w:szCs w:val="20"/>
          <w:shd w:val="clear" w:color="auto" w:fill="FFFFFF"/>
          <w:lang w:val="en-US"/>
        </w:rPr>
        <w:t xml:space="preserve"> of </w:t>
      </w:r>
      <w:r w:rsidR="009430E7" w:rsidRPr="00EA6C7A">
        <w:rPr>
          <w:rFonts w:ascii="Verdana" w:eastAsia="Calibri" w:hAnsi="Verdana" w:cs="Tahoma"/>
          <w:bCs/>
          <w:color w:val="000000"/>
          <w:sz w:val="20"/>
          <w:szCs w:val="20"/>
          <w:shd w:val="clear" w:color="auto" w:fill="FFFFFF"/>
          <w:lang w:val="en-US"/>
        </w:rPr>
        <w:t xml:space="preserve">prevention; </w:t>
      </w:r>
      <w:r w:rsidR="000321CA" w:rsidRPr="00EA6C7A">
        <w:rPr>
          <w:rFonts w:ascii="Verdana" w:eastAsia="Calibri" w:hAnsi="Verdana" w:cs="Tahoma"/>
          <w:bCs/>
          <w:color w:val="000000"/>
          <w:sz w:val="20"/>
          <w:szCs w:val="20"/>
          <w:shd w:val="clear" w:color="auto" w:fill="FFFFFF"/>
          <w:lang w:val="en-US"/>
        </w:rPr>
        <w:t>in other words</w:t>
      </w:r>
      <w:r w:rsidR="009430E7" w:rsidRPr="00EA6C7A">
        <w:rPr>
          <w:rFonts w:ascii="Verdana" w:eastAsia="Calibri" w:hAnsi="Verdana" w:cs="Tahoma"/>
          <w:bCs/>
          <w:color w:val="000000"/>
          <w:sz w:val="20"/>
          <w:szCs w:val="20"/>
          <w:shd w:val="clear" w:color="auto" w:fill="FFFFFF"/>
          <w:lang w:val="en-US"/>
        </w:rPr>
        <w:t xml:space="preserve">, when the State was </w:t>
      </w:r>
      <w:r w:rsidR="000321CA" w:rsidRPr="00EA6C7A">
        <w:rPr>
          <w:rFonts w:ascii="Verdana" w:eastAsia="Calibri" w:hAnsi="Verdana" w:cs="Tahoma"/>
          <w:bCs/>
          <w:color w:val="000000"/>
          <w:sz w:val="20"/>
          <w:szCs w:val="20"/>
          <w:shd w:val="clear" w:color="auto" w:fill="FFFFFF"/>
          <w:lang w:val="en-US"/>
        </w:rPr>
        <w:t>confronted by</w:t>
      </w:r>
      <w:r w:rsidR="009430E7" w:rsidRPr="00EA6C7A">
        <w:rPr>
          <w:rFonts w:ascii="Verdana" w:eastAsia="Calibri" w:hAnsi="Verdana" w:cs="Tahoma"/>
          <w:bCs/>
          <w:color w:val="000000"/>
          <w:sz w:val="20"/>
          <w:szCs w:val="20"/>
          <w:shd w:val="clear" w:color="auto" w:fill="FFFFFF"/>
          <w:lang w:val="en-US"/>
        </w:rPr>
        <w:t xml:space="preserve"> the disappearance of </w:t>
      </w:r>
      <w:r w:rsidRPr="00EA6C7A">
        <w:rPr>
          <w:rFonts w:ascii="Verdana" w:eastAsia="Calibri" w:hAnsi="Verdana" w:cs="Tahoma"/>
          <w:bCs/>
          <w:color w:val="000000"/>
          <w:sz w:val="20"/>
          <w:szCs w:val="20"/>
          <w:shd w:val="clear" w:color="auto" w:fill="FFFFFF"/>
          <w:lang w:val="en-US"/>
        </w:rPr>
        <w:t xml:space="preserve">Claudina Velásquez; </w:t>
      </w:r>
      <w:r w:rsidR="009430E7" w:rsidRPr="00EA6C7A">
        <w:rPr>
          <w:rFonts w:ascii="Verdana" w:eastAsia="Calibri" w:hAnsi="Verdana" w:cs="Tahoma"/>
          <w:bCs/>
          <w:color w:val="000000"/>
          <w:sz w:val="20"/>
          <w:szCs w:val="20"/>
          <w:shd w:val="clear" w:color="auto" w:fill="FFFFFF"/>
          <w:lang w:val="en-US"/>
        </w:rPr>
        <w:t xml:space="preserve">because, </w:t>
      </w:r>
      <w:r w:rsidR="000321CA" w:rsidRPr="00EA6C7A">
        <w:rPr>
          <w:rFonts w:ascii="Verdana" w:eastAsia="Calibri" w:hAnsi="Verdana" w:cs="Tahoma"/>
          <w:bCs/>
          <w:color w:val="000000"/>
          <w:sz w:val="20"/>
          <w:szCs w:val="20"/>
          <w:shd w:val="clear" w:color="auto" w:fill="FFFFFF"/>
          <w:lang w:val="en-US"/>
        </w:rPr>
        <w:t>as</w:t>
      </w:r>
      <w:r w:rsidR="009430E7" w:rsidRPr="00EA6C7A">
        <w:rPr>
          <w:rFonts w:ascii="Verdana" w:eastAsia="Calibri" w:hAnsi="Verdana" w:cs="Tahoma"/>
          <w:bCs/>
          <w:color w:val="000000"/>
          <w:sz w:val="20"/>
          <w:szCs w:val="20"/>
          <w:shd w:val="clear" w:color="auto" w:fill="FFFFFF"/>
          <w:lang w:val="en-US"/>
        </w:rPr>
        <w:t xml:space="preserve"> there was no mechanism, instrument or practice for the immediate search for missing women (which should have existed owing to </w:t>
      </w:r>
      <w:r w:rsidR="000321CA" w:rsidRPr="00EA6C7A">
        <w:rPr>
          <w:rFonts w:ascii="Verdana" w:eastAsia="Calibri" w:hAnsi="Verdana" w:cs="Tahoma"/>
          <w:bCs/>
          <w:color w:val="000000"/>
          <w:sz w:val="20"/>
          <w:szCs w:val="20"/>
          <w:shd w:val="clear" w:color="auto" w:fill="FFFFFF"/>
          <w:lang w:val="en-US"/>
        </w:rPr>
        <w:t>the State’s</w:t>
      </w:r>
      <w:r w:rsidR="009430E7" w:rsidRPr="00EA6C7A">
        <w:rPr>
          <w:rFonts w:ascii="Verdana" w:eastAsia="Calibri" w:hAnsi="Verdana" w:cs="Tahoma"/>
          <w:bCs/>
          <w:color w:val="000000"/>
          <w:sz w:val="20"/>
          <w:szCs w:val="20"/>
          <w:shd w:val="clear" w:color="auto" w:fill="FFFFFF"/>
          <w:lang w:val="en-US"/>
        </w:rPr>
        <w:t xml:space="preserve"> “general obligation of prevention”), this evidently influenced the actions of the State when it was informed </w:t>
      </w:r>
      <w:r w:rsidR="000321CA" w:rsidRPr="00EA6C7A">
        <w:rPr>
          <w:rFonts w:ascii="Verdana" w:eastAsia="Calibri" w:hAnsi="Verdana" w:cs="Tahoma"/>
          <w:bCs/>
          <w:color w:val="000000"/>
          <w:sz w:val="20"/>
          <w:szCs w:val="20"/>
          <w:shd w:val="clear" w:color="auto" w:fill="FFFFFF"/>
          <w:lang w:val="en-US"/>
        </w:rPr>
        <w:t>that the</w:t>
      </w:r>
      <w:r w:rsidR="009430E7" w:rsidRPr="00EA6C7A">
        <w:rPr>
          <w:rFonts w:ascii="Verdana" w:eastAsia="Calibri" w:hAnsi="Verdana" w:cs="Tahoma"/>
          <w:bCs/>
          <w:color w:val="000000"/>
          <w:sz w:val="20"/>
          <w:szCs w:val="20"/>
          <w:shd w:val="clear" w:color="auto" w:fill="FFFFFF"/>
          <w:lang w:val="en-US"/>
        </w:rPr>
        <w:t xml:space="preserve"> victim</w:t>
      </w:r>
      <w:r w:rsidR="000321CA" w:rsidRPr="00EA6C7A">
        <w:rPr>
          <w:rFonts w:ascii="Verdana" w:eastAsia="Calibri" w:hAnsi="Verdana" w:cs="Tahoma"/>
          <w:bCs/>
          <w:color w:val="000000"/>
          <w:sz w:val="20"/>
          <w:szCs w:val="20"/>
          <w:shd w:val="clear" w:color="auto" w:fill="FFFFFF"/>
          <w:lang w:val="en-US"/>
        </w:rPr>
        <w:t xml:space="preserve"> was missing</w:t>
      </w:r>
      <w:r w:rsidR="009430E7" w:rsidRPr="00EA6C7A">
        <w:rPr>
          <w:rFonts w:ascii="Verdana" w:eastAsia="Calibri" w:hAnsi="Verdana" w:cs="Tahoma"/>
          <w:bCs/>
          <w:color w:val="000000"/>
          <w:sz w:val="20"/>
          <w:szCs w:val="20"/>
          <w:shd w:val="clear" w:color="auto" w:fill="FFFFFF"/>
          <w:lang w:val="en-US"/>
        </w:rPr>
        <w:t>.</w:t>
      </w:r>
    </w:p>
    <w:p w14:paraId="06DCF3B7" w14:textId="77777777" w:rsidR="00175ABB"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color w:val="000000"/>
          <w:sz w:val="20"/>
          <w:szCs w:val="20"/>
          <w:shd w:val="clear" w:color="auto" w:fill="FFFFFF"/>
          <w:lang w:val="en-US"/>
        </w:rPr>
      </w:pPr>
    </w:p>
    <w:p w14:paraId="657E5FFC" w14:textId="77777777" w:rsidR="00DD20A9" w:rsidRPr="00EA6C7A" w:rsidRDefault="00175ABB" w:rsidP="00175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ahoma"/>
          <w:bCs/>
          <w:color w:val="000000"/>
          <w:sz w:val="20"/>
          <w:szCs w:val="20"/>
          <w:shd w:val="clear" w:color="auto" w:fill="FFFFFF"/>
          <w:lang w:val="en-US"/>
        </w:rPr>
      </w:pPr>
      <w:r w:rsidRPr="00EA6C7A">
        <w:rPr>
          <w:rFonts w:ascii="Verdana" w:eastAsia="Calibri" w:hAnsi="Verdana" w:cs="Tahoma"/>
          <w:bCs/>
          <w:color w:val="000000"/>
          <w:sz w:val="20"/>
          <w:szCs w:val="20"/>
          <w:shd w:val="clear" w:color="auto" w:fill="FFFFFF"/>
          <w:lang w:val="en-US"/>
        </w:rPr>
        <w:t xml:space="preserve">58. </w:t>
      </w:r>
      <w:r w:rsidRPr="00EA6C7A">
        <w:rPr>
          <w:rFonts w:ascii="Verdana" w:eastAsia="Calibri" w:hAnsi="Verdana" w:cs="Tahoma"/>
          <w:bCs/>
          <w:color w:val="000000"/>
          <w:sz w:val="20"/>
          <w:szCs w:val="20"/>
          <w:shd w:val="clear" w:color="auto" w:fill="FFFFFF"/>
          <w:lang w:val="en-US"/>
        </w:rPr>
        <w:tab/>
      </w:r>
      <w:r w:rsidR="00CD0B6E" w:rsidRPr="00EA6C7A">
        <w:rPr>
          <w:rFonts w:ascii="Verdana" w:eastAsia="Calibri" w:hAnsi="Verdana" w:cs="Tahoma"/>
          <w:bCs/>
          <w:color w:val="000000"/>
          <w:sz w:val="20"/>
          <w:szCs w:val="20"/>
          <w:shd w:val="clear" w:color="auto" w:fill="FFFFFF"/>
          <w:lang w:val="en-US"/>
        </w:rPr>
        <w:t xml:space="preserve">On this point, I consider that States must </w:t>
      </w:r>
      <w:r w:rsidR="00877FE2" w:rsidRPr="00EA6C7A">
        <w:rPr>
          <w:rFonts w:ascii="Verdana" w:eastAsia="Calibri" w:hAnsi="Verdana" w:cs="Tahoma"/>
          <w:bCs/>
          <w:color w:val="000000"/>
          <w:sz w:val="20"/>
          <w:szCs w:val="20"/>
          <w:shd w:val="clear" w:color="auto" w:fill="FFFFFF"/>
          <w:lang w:val="en-US"/>
        </w:rPr>
        <w:t>pay special attention to</w:t>
      </w:r>
      <w:r w:rsidR="00CD0B6E" w:rsidRPr="00EA6C7A">
        <w:rPr>
          <w:rFonts w:ascii="Verdana" w:eastAsia="Calibri" w:hAnsi="Verdana" w:cs="Tahoma"/>
          <w:bCs/>
          <w:color w:val="000000"/>
          <w:sz w:val="20"/>
          <w:szCs w:val="20"/>
          <w:shd w:val="clear" w:color="auto" w:fill="FFFFFF"/>
          <w:lang w:val="en-US"/>
        </w:rPr>
        <w:t xml:space="preserve"> the general obligation of prevention in accordance with the requirements for th</w:t>
      </w:r>
      <w:r w:rsidR="00877FE2" w:rsidRPr="00EA6C7A">
        <w:rPr>
          <w:rFonts w:ascii="Verdana" w:eastAsia="Calibri" w:hAnsi="Verdana" w:cs="Tahoma"/>
          <w:bCs/>
          <w:color w:val="000000"/>
          <w:sz w:val="20"/>
          <w:szCs w:val="20"/>
          <w:shd w:val="clear" w:color="auto" w:fill="FFFFFF"/>
          <w:lang w:val="en-US"/>
        </w:rPr>
        <w:t>is</w:t>
      </w:r>
      <w:r w:rsidR="00CD0B6E" w:rsidRPr="00EA6C7A">
        <w:rPr>
          <w:rFonts w:ascii="Verdana" w:eastAsia="Calibri" w:hAnsi="Verdana" w:cs="Tahoma"/>
          <w:bCs/>
          <w:color w:val="000000"/>
          <w:sz w:val="20"/>
          <w:szCs w:val="20"/>
          <w:shd w:val="clear" w:color="auto" w:fill="FFFFFF"/>
          <w:lang w:val="en-US"/>
        </w:rPr>
        <w:t xml:space="preserve"> obligations established by </w:t>
      </w:r>
      <w:r w:rsidR="0096418F" w:rsidRPr="00EA6C7A">
        <w:rPr>
          <w:rFonts w:ascii="Verdana" w:eastAsia="Calibri" w:hAnsi="Verdana" w:cs="Tahoma"/>
          <w:bCs/>
          <w:color w:val="000000"/>
          <w:sz w:val="20"/>
          <w:szCs w:val="20"/>
          <w:shd w:val="clear" w:color="auto" w:fill="FFFFFF"/>
          <w:lang w:val="en-US"/>
        </w:rPr>
        <w:t>the American Convention on Human Rights</w:t>
      </w:r>
      <w:r w:rsidR="00D948A1" w:rsidRPr="00EA6C7A">
        <w:rPr>
          <w:rFonts w:ascii="Verdana" w:eastAsia="Calibri" w:hAnsi="Verdana" w:cs="Tahoma"/>
          <w:bCs/>
          <w:color w:val="000000"/>
          <w:sz w:val="20"/>
          <w:szCs w:val="20"/>
          <w:shd w:val="clear" w:color="auto" w:fill="FFFFFF"/>
          <w:lang w:val="en-US"/>
        </w:rPr>
        <w:t xml:space="preserve"> and </w:t>
      </w:r>
      <w:r w:rsidR="00CD0B6E" w:rsidRPr="00EA6C7A">
        <w:rPr>
          <w:rFonts w:ascii="Verdana" w:eastAsia="Calibri" w:hAnsi="Verdana" w:cs="Tahoma"/>
          <w:bCs/>
          <w:color w:val="000000"/>
          <w:sz w:val="20"/>
          <w:szCs w:val="20"/>
          <w:shd w:val="clear" w:color="auto" w:fill="FFFFFF"/>
          <w:lang w:val="en-US"/>
        </w:rPr>
        <w:t>the</w:t>
      </w:r>
      <w:r w:rsidRPr="00EA6C7A">
        <w:rPr>
          <w:rFonts w:ascii="Verdana" w:eastAsia="Calibri" w:hAnsi="Verdana" w:cs="Tahoma"/>
          <w:bCs/>
          <w:color w:val="000000"/>
          <w:sz w:val="20"/>
          <w:szCs w:val="20"/>
          <w:shd w:val="clear" w:color="auto" w:fill="FFFFFF"/>
          <w:lang w:val="en-US"/>
        </w:rPr>
        <w:t xml:space="preserve"> “</w:t>
      </w:r>
      <w:r w:rsidR="00F912BD" w:rsidRPr="00EA6C7A">
        <w:rPr>
          <w:rFonts w:ascii="Verdana" w:eastAsia="Calibri" w:hAnsi="Verdana" w:cs="Tahoma"/>
          <w:bCs/>
          <w:color w:val="000000"/>
          <w:sz w:val="20"/>
          <w:szCs w:val="20"/>
          <w:shd w:val="clear" w:color="auto" w:fill="FFFFFF"/>
          <w:lang w:val="en-US"/>
        </w:rPr>
        <w:t>Convention of</w:t>
      </w:r>
      <w:r w:rsidRPr="00EA6C7A">
        <w:rPr>
          <w:rFonts w:ascii="Verdana" w:eastAsia="Calibri" w:hAnsi="Verdana" w:cs="Tahoma"/>
          <w:bCs/>
          <w:color w:val="000000"/>
          <w:sz w:val="20"/>
          <w:szCs w:val="20"/>
          <w:shd w:val="clear" w:color="auto" w:fill="FFFFFF"/>
          <w:lang w:val="en-US"/>
        </w:rPr>
        <w:t xml:space="preserve"> Belém do Pará</w:t>
      </w:r>
      <w:r w:rsidR="00CD0B6E" w:rsidRPr="00EA6C7A">
        <w:rPr>
          <w:rFonts w:ascii="Verdana" w:eastAsia="Calibri" w:hAnsi="Verdana" w:cs="Tahoma"/>
          <w:bCs/>
          <w:color w:val="000000"/>
          <w:sz w:val="20"/>
          <w:szCs w:val="20"/>
          <w:shd w:val="clear" w:color="auto" w:fill="FFFFFF"/>
          <w:lang w:val="en-US"/>
        </w:rPr>
        <w:t>.</w:t>
      </w:r>
      <w:r w:rsidRPr="00EA6C7A">
        <w:rPr>
          <w:rFonts w:ascii="Verdana" w:eastAsia="Calibri" w:hAnsi="Verdana" w:cs="Tahoma"/>
          <w:bCs/>
          <w:color w:val="000000"/>
          <w:sz w:val="20"/>
          <w:szCs w:val="20"/>
          <w:shd w:val="clear" w:color="auto" w:fill="FFFFFF"/>
          <w:lang w:val="en-US"/>
        </w:rPr>
        <w:t>”</w:t>
      </w:r>
      <w:r w:rsidR="00CD0B6E" w:rsidRPr="00EA6C7A">
        <w:rPr>
          <w:rFonts w:ascii="Verdana" w:eastAsia="Calibri" w:hAnsi="Verdana" w:cs="Tahoma"/>
          <w:bCs/>
          <w:color w:val="000000"/>
          <w:sz w:val="20"/>
          <w:szCs w:val="20"/>
          <w:shd w:val="clear" w:color="auto" w:fill="FFFFFF"/>
          <w:lang w:val="en-US"/>
        </w:rPr>
        <w:t xml:space="preserve"> Thus, it is not sufficient for the State to take</w:t>
      </w:r>
      <w:r w:rsidRPr="00EA6C7A">
        <w:rPr>
          <w:rFonts w:ascii="Verdana" w:eastAsia="Calibri" w:hAnsi="Verdana" w:cs="Tahoma"/>
          <w:bCs/>
          <w:color w:val="000000"/>
          <w:sz w:val="20"/>
          <w:szCs w:val="20"/>
          <w:shd w:val="clear" w:color="auto" w:fill="FFFFFF"/>
          <w:lang w:val="en-US"/>
        </w:rPr>
        <w:t xml:space="preserve"> </w:t>
      </w:r>
      <w:r w:rsidR="00CD0B6E" w:rsidRPr="00EA6C7A">
        <w:rPr>
          <w:rFonts w:ascii="Verdana" w:eastAsia="Calibri" w:hAnsi="Verdana" w:cs="Tahoma"/>
          <w:bCs/>
          <w:color w:val="000000"/>
          <w:sz w:val="20"/>
          <w:szCs w:val="20"/>
          <w:shd w:val="clear" w:color="auto" w:fill="FFFFFF"/>
          <w:lang w:val="en-US"/>
        </w:rPr>
        <w:t xml:space="preserve">just any measure or action to comply with the obligation </w:t>
      </w:r>
      <w:r w:rsidR="00D5307F" w:rsidRPr="00EA6C7A">
        <w:rPr>
          <w:rFonts w:ascii="Verdana" w:eastAsia="Calibri" w:hAnsi="Verdana" w:cs="Tahoma"/>
          <w:bCs/>
          <w:color w:val="000000"/>
          <w:sz w:val="20"/>
          <w:szCs w:val="20"/>
          <w:shd w:val="clear" w:color="auto" w:fill="FFFFFF"/>
          <w:lang w:val="en-US"/>
        </w:rPr>
        <w:t>of prevention</w:t>
      </w:r>
      <w:r w:rsidR="00CD0B6E" w:rsidRPr="00EA6C7A">
        <w:rPr>
          <w:rFonts w:ascii="Verdana" w:eastAsia="Calibri" w:hAnsi="Verdana" w:cs="Tahoma"/>
          <w:bCs/>
          <w:color w:val="000000"/>
          <w:sz w:val="20"/>
          <w:szCs w:val="20"/>
          <w:shd w:val="clear" w:color="auto" w:fill="FFFFFF"/>
          <w:lang w:val="en-US"/>
        </w:rPr>
        <w:t xml:space="preserve">; rather, </w:t>
      </w:r>
      <w:r w:rsidR="00877FE2" w:rsidRPr="00EA6C7A">
        <w:rPr>
          <w:rFonts w:ascii="Verdana" w:eastAsia="Calibri" w:hAnsi="Verdana" w:cs="Tahoma"/>
          <w:bCs/>
          <w:color w:val="000000"/>
          <w:sz w:val="20"/>
          <w:szCs w:val="20"/>
          <w:shd w:val="clear" w:color="auto" w:fill="FFFFFF"/>
          <w:lang w:val="en-US"/>
        </w:rPr>
        <w:t>it</w:t>
      </w:r>
      <w:r w:rsidR="00CD0B6E" w:rsidRPr="00EA6C7A">
        <w:rPr>
          <w:rFonts w:ascii="Verdana" w:eastAsia="Calibri" w:hAnsi="Verdana" w:cs="Tahoma"/>
          <w:bCs/>
          <w:color w:val="000000"/>
          <w:sz w:val="20"/>
          <w:szCs w:val="20"/>
          <w:shd w:val="clear" w:color="auto" w:fill="FFFFFF"/>
          <w:lang w:val="en-US"/>
        </w:rPr>
        <w:t xml:space="preserve"> must ensure that </w:t>
      </w:r>
      <w:r w:rsidR="00877FE2" w:rsidRPr="00EA6C7A">
        <w:rPr>
          <w:rFonts w:ascii="Verdana" w:eastAsia="Calibri" w:hAnsi="Verdana" w:cs="Tahoma"/>
          <w:bCs/>
          <w:color w:val="000000"/>
          <w:sz w:val="20"/>
          <w:szCs w:val="20"/>
          <w:shd w:val="clear" w:color="auto" w:fill="FFFFFF"/>
          <w:lang w:val="en-US"/>
        </w:rPr>
        <w:t>such measure or action</w:t>
      </w:r>
      <w:r w:rsidR="00CD0B6E" w:rsidRPr="00EA6C7A">
        <w:rPr>
          <w:rFonts w:ascii="Verdana" w:eastAsia="Calibri" w:hAnsi="Verdana" w:cs="Tahoma"/>
          <w:bCs/>
          <w:color w:val="000000"/>
          <w:sz w:val="20"/>
          <w:szCs w:val="20"/>
          <w:shd w:val="clear" w:color="auto" w:fill="FFFFFF"/>
          <w:lang w:val="en-US"/>
        </w:rPr>
        <w:t xml:space="preserve"> effectively has the purpose of preventing, </w:t>
      </w:r>
      <w:r w:rsidR="00CD0B6E" w:rsidRPr="00EA6C7A">
        <w:rPr>
          <w:rFonts w:ascii="Verdana" w:eastAsia="Calibri" w:hAnsi="Verdana" w:cs="Tahoma"/>
          <w:bCs/>
          <w:color w:val="000000"/>
          <w:sz w:val="20"/>
          <w:szCs w:val="20"/>
          <w:u w:val="single"/>
          <w:shd w:val="clear" w:color="auto" w:fill="FFFFFF"/>
          <w:lang w:val="en-US"/>
        </w:rPr>
        <w:t xml:space="preserve">as of </w:t>
      </w:r>
      <w:r w:rsidR="00877FE2" w:rsidRPr="00EA6C7A">
        <w:rPr>
          <w:rFonts w:ascii="Verdana" w:eastAsia="Calibri" w:hAnsi="Verdana" w:cs="Tahoma"/>
          <w:bCs/>
          <w:color w:val="000000"/>
          <w:sz w:val="20"/>
          <w:szCs w:val="20"/>
          <w:u w:val="single"/>
          <w:shd w:val="clear" w:color="auto" w:fill="FFFFFF"/>
          <w:lang w:val="en-US"/>
        </w:rPr>
        <w:t>the</w:t>
      </w:r>
      <w:r w:rsidR="00CD0B6E" w:rsidRPr="00EA6C7A">
        <w:rPr>
          <w:rFonts w:ascii="Verdana" w:eastAsia="Calibri" w:hAnsi="Verdana" w:cs="Tahoma"/>
          <w:bCs/>
          <w:color w:val="000000"/>
          <w:sz w:val="20"/>
          <w:szCs w:val="20"/>
          <w:u w:val="single"/>
          <w:shd w:val="clear" w:color="auto" w:fill="FFFFFF"/>
          <w:lang w:val="en-US"/>
        </w:rPr>
        <w:t xml:space="preserve"> first moment and in general, the specific danger that women and girls in the region may face</w:t>
      </w:r>
      <w:r w:rsidR="00CD0B6E" w:rsidRPr="00EA6C7A">
        <w:rPr>
          <w:rFonts w:ascii="Verdana" w:eastAsia="Calibri" w:hAnsi="Verdana" w:cs="Tahoma"/>
          <w:bCs/>
          <w:color w:val="000000"/>
          <w:sz w:val="20"/>
          <w:szCs w:val="20"/>
          <w:shd w:val="clear" w:color="auto" w:fill="FFFFFF"/>
          <w:lang w:val="en-US"/>
        </w:rPr>
        <w:t>. In sum, this represents a fundamental question</w:t>
      </w:r>
      <w:r w:rsidR="00DD20A9" w:rsidRPr="00EA6C7A">
        <w:rPr>
          <w:rFonts w:ascii="Verdana" w:eastAsia="Calibri" w:hAnsi="Verdana" w:cs="Tahoma"/>
          <w:bCs/>
          <w:color w:val="000000"/>
          <w:sz w:val="20"/>
          <w:szCs w:val="20"/>
          <w:shd w:val="clear" w:color="auto" w:fill="FFFFFF"/>
          <w:lang w:val="en-US"/>
        </w:rPr>
        <w:t xml:space="preserve"> to which</w:t>
      </w:r>
      <w:r w:rsidR="00CD0B6E" w:rsidRPr="00EA6C7A">
        <w:rPr>
          <w:rFonts w:ascii="Verdana" w:eastAsia="Calibri" w:hAnsi="Verdana" w:cs="Tahoma"/>
          <w:bCs/>
          <w:color w:val="000000"/>
          <w:sz w:val="20"/>
          <w:szCs w:val="20"/>
          <w:shd w:val="clear" w:color="auto" w:fill="FFFFFF"/>
          <w:lang w:val="en-US"/>
        </w:rPr>
        <w:t xml:space="preserve"> the States </w:t>
      </w:r>
      <w:r w:rsidR="00DD20A9" w:rsidRPr="00EA6C7A">
        <w:rPr>
          <w:rFonts w:ascii="Verdana" w:eastAsia="Calibri" w:hAnsi="Verdana" w:cs="Tahoma"/>
          <w:bCs/>
          <w:color w:val="000000"/>
          <w:sz w:val="20"/>
          <w:szCs w:val="20"/>
          <w:shd w:val="clear" w:color="auto" w:fill="FFFFFF"/>
          <w:lang w:val="en-US"/>
        </w:rPr>
        <w:t xml:space="preserve">should give special consideration in contexts of </w:t>
      </w:r>
      <w:r w:rsidR="00C12C08" w:rsidRPr="00EA6C7A">
        <w:rPr>
          <w:rFonts w:ascii="Verdana" w:eastAsia="Calibri" w:hAnsi="Verdana" w:cs="Tahoma"/>
          <w:bCs/>
          <w:color w:val="000000"/>
          <w:sz w:val="20"/>
          <w:szCs w:val="20"/>
          <w:shd w:val="clear" w:color="auto" w:fill="FFFFFF"/>
          <w:lang w:val="en-US"/>
        </w:rPr>
        <w:t>violence against women</w:t>
      </w:r>
      <w:r w:rsidR="00DD20A9" w:rsidRPr="00EA6C7A">
        <w:rPr>
          <w:rFonts w:ascii="Verdana" w:eastAsia="Calibri" w:hAnsi="Verdana" w:cs="Tahoma"/>
          <w:bCs/>
          <w:color w:val="000000"/>
          <w:sz w:val="20"/>
          <w:szCs w:val="20"/>
          <w:shd w:val="clear" w:color="auto" w:fill="FFFFFF"/>
          <w:lang w:val="en-US"/>
        </w:rPr>
        <w:t xml:space="preserve"> – as seen in the instant case – because the eradication of femicide and, in general, of violence against women, a social burden that regrettably continues to afflict the region, depends to a large extent on compliance with the said “obligation of prevention.</w:t>
      </w:r>
    </w:p>
    <w:p w14:paraId="3C3542B4" w14:textId="77777777" w:rsidR="00175ABB" w:rsidRPr="00EA6C7A" w:rsidRDefault="00175ABB" w:rsidP="00DD20A9">
      <w:pPr>
        <w:contextualSpacing/>
        <w:rPr>
          <w:rFonts w:ascii="Verdana" w:eastAsia="Calibri" w:hAnsi="Verdana" w:cs="Tahoma"/>
          <w:bCs/>
          <w:color w:val="000000"/>
          <w:shd w:val="clear" w:color="auto" w:fill="FFFFFF"/>
          <w:lang w:val="en-US"/>
        </w:rPr>
      </w:pPr>
    </w:p>
    <w:p w14:paraId="624CCC67" w14:textId="77777777" w:rsidR="00175ABB" w:rsidRPr="00EA6C7A" w:rsidRDefault="00175ABB" w:rsidP="00175ABB">
      <w:pPr>
        <w:ind w:left="720"/>
        <w:contextualSpacing/>
        <w:rPr>
          <w:rFonts w:ascii="Verdana" w:eastAsia="Calibri" w:hAnsi="Verdana" w:cs="Tahoma"/>
          <w:bCs/>
          <w:color w:val="000000"/>
          <w:shd w:val="clear" w:color="auto" w:fill="FFFFFF"/>
          <w:lang w:val="en-US"/>
        </w:rPr>
      </w:pPr>
    </w:p>
    <w:p w14:paraId="374A8387" w14:textId="77777777" w:rsidR="00175ABB" w:rsidRPr="00EA6C7A" w:rsidRDefault="00175ABB" w:rsidP="00175ABB">
      <w:pPr>
        <w:ind w:left="720"/>
        <w:contextualSpacing/>
        <w:rPr>
          <w:rFonts w:ascii="Verdana" w:eastAsia="Calibri" w:hAnsi="Verdana" w:cs="Tahoma"/>
          <w:bCs/>
          <w:color w:val="000000"/>
          <w:shd w:val="clear" w:color="auto" w:fill="FFFFFF"/>
          <w:lang w:val="en-US"/>
        </w:rPr>
      </w:pPr>
    </w:p>
    <w:p w14:paraId="40A4B267" w14:textId="77777777" w:rsidR="00175ABB" w:rsidRPr="00EA6C7A" w:rsidRDefault="00175ABB" w:rsidP="00175ABB">
      <w:pPr>
        <w:ind w:left="720"/>
        <w:contextualSpacing/>
        <w:rPr>
          <w:rFonts w:ascii="Verdana" w:eastAsia="Calibri" w:hAnsi="Verdana" w:cs="Tahoma"/>
          <w:bCs/>
          <w:color w:val="000000"/>
          <w:shd w:val="clear" w:color="auto" w:fill="FFFFFF"/>
          <w:lang w:val="en-US"/>
        </w:rPr>
      </w:pPr>
    </w:p>
    <w:p w14:paraId="095CE387" w14:textId="77777777" w:rsidR="00175ABB" w:rsidRPr="00EA6C7A" w:rsidRDefault="00175ABB" w:rsidP="00175ABB">
      <w:pPr>
        <w:spacing w:after="0" w:line="240" w:lineRule="auto"/>
        <w:ind w:left="3600" w:right="96" w:firstLine="720"/>
        <w:jc w:val="center"/>
        <w:rPr>
          <w:rFonts w:ascii="Verdana" w:eastAsia="Calibri" w:hAnsi="Verdana"/>
          <w:sz w:val="20"/>
          <w:szCs w:val="20"/>
          <w:lang w:val="en-US"/>
        </w:rPr>
      </w:pPr>
      <w:r w:rsidRPr="00EA6C7A">
        <w:rPr>
          <w:rFonts w:ascii="Verdana" w:eastAsia="Calibri" w:hAnsi="Verdana"/>
          <w:sz w:val="20"/>
          <w:szCs w:val="20"/>
          <w:lang w:val="en-US"/>
        </w:rPr>
        <w:t>Eduardo Ferrer Mac-Gregor Poisot</w:t>
      </w:r>
    </w:p>
    <w:p w14:paraId="4B9157CE" w14:textId="77777777" w:rsidR="00175ABB" w:rsidRPr="00EA6C7A" w:rsidRDefault="0096418F" w:rsidP="00175ABB">
      <w:pPr>
        <w:spacing w:after="0" w:line="240" w:lineRule="auto"/>
        <w:ind w:left="3960" w:right="96" w:firstLine="360"/>
        <w:jc w:val="center"/>
        <w:rPr>
          <w:rFonts w:ascii="Verdana" w:eastAsia="Calibri" w:hAnsi="Verdana"/>
          <w:sz w:val="20"/>
          <w:szCs w:val="20"/>
          <w:lang w:val="en-US"/>
        </w:rPr>
      </w:pPr>
      <w:r w:rsidRPr="00EA6C7A">
        <w:rPr>
          <w:rFonts w:ascii="Verdana" w:eastAsia="Calibri" w:hAnsi="Verdana"/>
          <w:sz w:val="20"/>
          <w:szCs w:val="20"/>
          <w:lang w:val="en-US"/>
        </w:rPr>
        <w:t>Judge</w:t>
      </w:r>
    </w:p>
    <w:p w14:paraId="21E268A8" w14:textId="77777777" w:rsidR="00175ABB" w:rsidRPr="00EA6C7A" w:rsidRDefault="00175ABB" w:rsidP="00175ABB">
      <w:pPr>
        <w:rPr>
          <w:rFonts w:ascii="Verdana" w:eastAsia="Calibri" w:hAnsi="Verdana"/>
          <w:lang w:val="en-US"/>
        </w:rPr>
      </w:pPr>
    </w:p>
    <w:p w14:paraId="05D5C150" w14:textId="77777777" w:rsidR="00175ABB" w:rsidRPr="00EA6C7A" w:rsidRDefault="00175ABB" w:rsidP="00175ABB">
      <w:pPr>
        <w:spacing w:after="0" w:line="240" w:lineRule="auto"/>
        <w:rPr>
          <w:rFonts w:ascii="Verdana" w:eastAsia="Calibri" w:hAnsi="Verdana"/>
          <w:sz w:val="20"/>
          <w:szCs w:val="20"/>
          <w:lang w:val="en-US"/>
        </w:rPr>
      </w:pPr>
      <w:r w:rsidRPr="00EA6C7A">
        <w:rPr>
          <w:rFonts w:ascii="Verdana" w:eastAsia="Calibri" w:hAnsi="Verdana"/>
          <w:sz w:val="20"/>
          <w:szCs w:val="20"/>
          <w:lang w:val="en-US"/>
        </w:rPr>
        <w:t>Pablo Saavedra Alessandri</w:t>
      </w:r>
    </w:p>
    <w:p w14:paraId="7465CA17" w14:textId="77777777" w:rsidR="00175ABB" w:rsidRPr="00576E40" w:rsidRDefault="00175ABB" w:rsidP="00175ABB">
      <w:pPr>
        <w:spacing w:after="0" w:line="240" w:lineRule="auto"/>
        <w:rPr>
          <w:rFonts w:ascii="Verdana" w:eastAsia="Calibri" w:hAnsi="Verdana"/>
          <w:sz w:val="20"/>
          <w:szCs w:val="20"/>
          <w:lang w:val="en-US"/>
        </w:rPr>
      </w:pPr>
      <w:r w:rsidRPr="00EA6C7A">
        <w:rPr>
          <w:rFonts w:ascii="Verdana" w:eastAsia="Calibri" w:hAnsi="Verdana"/>
          <w:sz w:val="20"/>
          <w:szCs w:val="20"/>
          <w:lang w:val="en-US"/>
        </w:rPr>
        <w:tab/>
      </w:r>
      <w:r w:rsidR="0096418F" w:rsidRPr="00EA6C7A">
        <w:rPr>
          <w:rFonts w:ascii="Verdana" w:eastAsia="Calibri" w:hAnsi="Verdana"/>
          <w:sz w:val="20"/>
          <w:szCs w:val="20"/>
          <w:lang w:val="en-US"/>
        </w:rPr>
        <w:t>Secretary</w:t>
      </w:r>
    </w:p>
    <w:sectPr w:rsidR="00175ABB" w:rsidRPr="00576E40" w:rsidSect="00DA35B6">
      <w:footerReference w:type="even" r:id="rId16"/>
      <w:footerReference w:type="default" r:id="rId17"/>
      <w:footnotePr>
        <w:numRestart w:val="eachSect"/>
      </w:footnotePr>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DFC0E" w14:textId="77777777" w:rsidR="00CE657E" w:rsidRDefault="00CE657E" w:rsidP="006701FF">
      <w:pPr>
        <w:spacing w:after="0" w:line="240" w:lineRule="auto"/>
      </w:pPr>
      <w:r>
        <w:separator/>
      </w:r>
    </w:p>
  </w:endnote>
  <w:endnote w:type="continuationSeparator" w:id="0">
    <w:p w14:paraId="3A214B88" w14:textId="77777777" w:rsidR="00CE657E" w:rsidRDefault="00CE657E" w:rsidP="006701FF">
      <w:pPr>
        <w:spacing w:after="0" w:line="240" w:lineRule="auto"/>
      </w:pPr>
      <w:r>
        <w:continuationSeparator/>
      </w:r>
    </w:p>
  </w:endnote>
  <w:endnote w:type="continuationNotice" w:id="1">
    <w:p w14:paraId="11F7B9DD" w14:textId="77777777" w:rsidR="00CE657E" w:rsidRDefault="00CE6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FPNLKG+TimesNewRoman">
    <w:altName w:val="Times New Roman"/>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Verdana-Italic">
    <w:panose1 w:val="00000000000000000000"/>
    <w:charset w:val="4D"/>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FE84" w14:textId="77777777" w:rsidR="00576E40" w:rsidRPr="00C61B23" w:rsidRDefault="00576E40">
    <w:pPr>
      <w:pStyle w:val="Piedepgina"/>
      <w:jc w:val="center"/>
      <w:rPr>
        <w:rFonts w:ascii="Verdana" w:hAnsi="Verdana"/>
        <w:sz w:val="20"/>
      </w:rPr>
    </w:pPr>
    <w:r>
      <w:fldChar w:fldCharType="begin"/>
    </w:r>
    <w:r>
      <w:instrText xml:space="preserve"> PAGE   \* MERGEFORMAT </w:instrText>
    </w:r>
    <w:r>
      <w:fldChar w:fldCharType="separate"/>
    </w:r>
    <w:r w:rsidRPr="00D347B7">
      <w:rPr>
        <w:rFonts w:ascii="Verdana" w:hAnsi="Verdana"/>
        <w:noProof/>
        <w:sz w:val="20"/>
      </w:rPr>
      <w:t>13</w:t>
    </w:r>
    <w:r>
      <w:fldChar w:fldCharType="end"/>
    </w:r>
  </w:p>
  <w:p w14:paraId="42CFF701" w14:textId="77777777" w:rsidR="00576E40" w:rsidRDefault="00576E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ADF2" w14:textId="77777777" w:rsidR="00576E40" w:rsidRPr="00C61B23" w:rsidRDefault="00576E40">
    <w:pPr>
      <w:pStyle w:val="Piedepgina"/>
      <w:jc w:val="center"/>
      <w:rPr>
        <w:rFonts w:ascii="Verdana" w:hAnsi="Verdana"/>
        <w:sz w:val="20"/>
      </w:rPr>
    </w:pPr>
    <w:r>
      <w:fldChar w:fldCharType="begin"/>
    </w:r>
    <w:r>
      <w:instrText xml:space="preserve"> PAGE   \* MERGEFORMAT </w:instrText>
    </w:r>
    <w:r>
      <w:fldChar w:fldCharType="separate"/>
    </w:r>
    <w:r w:rsidRPr="002E4F20">
      <w:rPr>
        <w:rFonts w:ascii="Verdana" w:hAnsi="Verdana"/>
        <w:noProof/>
        <w:sz w:val="20"/>
      </w:rPr>
      <w:t>6</w:t>
    </w:r>
    <w:r>
      <w:fldChar w:fldCharType="end"/>
    </w:r>
  </w:p>
  <w:p w14:paraId="6860FA7F" w14:textId="77777777" w:rsidR="00576E40" w:rsidRDefault="00576E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75F1" w14:textId="77777777" w:rsidR="00576E40" w:rsidRDefault="00576E40">
    <w:pPr>
      <w:pStyle w:val="Piedepgina"/>
      <w:jc w:val="center"/>
    </w:pPr>
    <w:r>
      <w:fldChar w:fldCharType="begin"/>
    </w:r>
    <w:r>
      <w:instrText xml:space="preserve"> PAGE   \* MERGEFORMAT </w:instrText>
    </w:r>
    <w:r>
      <w:fldChar w:fldCharType="separate"/>
    </w:r>
    <w:r>
      <w:rPr>
        <w:noProof/>
      </w:rPr>
      <w:t>2</w:t>
    </w:r>
    <w:r>
      <w:fldChar w:fldCharType="end"/>
    </w:r>
  </w:p>
  <w:p w14:paraId="32D37F96" w14:textId="77777777" w:rsidR="00576E40" w:rsidRDefault="00576E4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9CE4" w14:textId="77777777" w:rsidR="00576E40" w:rsidRDefault="00576E40" w:rsidP="00E11A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66C918" w14:textId="77777777" w:rsidR="00576E40" w:rsidRDefault="00576E4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3A5E" w14:textId="77777777" w:rsidR="00576E40" w:rsidRDefault="00576E40" w:rsidP="00E11A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4999D2EF" w14:textId="77777777" w:rsidR="00576E40" w:rsidRDefault="00576E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6BEC2" w14:textId="77777777" w:rsidR="00CE657E" w:rsidRDefault="00CE657E" w:rsidP="006701FF">
      <w:pPr>
        <w:spacing w:after="0" w:line="240" w:lineRule="auto"/>
      </w:pPr>
      <w:r>
        <w:separator/>
      </w:r>
    </w:p>
  </w:footnote>
  <w:footnote w:type="continuationSeparator" w:id="0">
    <w:p w14:paraId="6DC5A5F8" w14:textId="77777777" w:rsidR="00CE657E" w:rsidRDefault="00CE657E" w:rsidP="006701FF">
      <w:pPr>
        <w:spacing w:after="0" w:line="240" w:lineRule="auto"/>
      </w:pPr>
      <w:r>
        <w:continuationSeparator/>
      </w:r>
    </w:p>
  </w:footnote>
  <w:footnote w:type="continuationNotice" w:id="1">
    <w:p w14:paraId="2003B89B" w14:textId="77777777" w:rsidR="00CE657E" w:rsidRDefault="00CE657E">
      <w:pPr>
        <w:spacing w:after="0" w:line="240" w:lineRule="auto"/>
      </w:pPr>
    </w:p>
  </w:footnote>
  <w:footnote w:id="2">
    <w:p w14:paraId="000F2E35"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The order of the President of the Court of March 19, 2015 is available at: </w:t>
      </w:r>
      <w:hyperlink r:id="rId1" w:history="1">
        <w:r w:rsidRPr="007D3F3C">
          <w:rPr>
            <w:rStyle w:val="Hipervnculo"/>
            <w:rFonts w:ascii="Verdana" w:hAnsi="Verdana"/>
            <w:color w:val="auto"/>
            <w:sz w:val="16"/>
            <w:szCs w:val="16"/>
            <w:u w:val="none"/>
            <w:lang w:val="en-US"/>
          </w:rPr>
          <w:t>http://www.corteidh.or.cr/docs/asuntos/velasquez_19_03_15.pdf</w:t>
        </w:r>
      </w:hyperlink>
      <w:r w:rsidRPr="007D3F3C">
        <w:rPr>
          <w:rFonts w:ascii="Verdana" w:hAnsi="Verdana"/>
          <w:sz w:val="16"/>
          <w:szCs w:val="16"/>
          <w:lang w:val="en-US"/>
        </w:rPr>
        <w:t xml:space="preserve"> </w:t>
      </w:r>
    </w:p>
  </w:footnote>
  <w:footnote w:id="3">
    <w:p w14:paraId="616C6585"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There appeared at this hearing: (a) for the Inter-American Commission on Human Rights: James Cavallaro, Commissioner; Silvia Serrano Guzmán and Jorge Meza, Executive Secretariat lawyers; (b) for the representatives of the presumed victims: Carlos Antonio Pop, Kerry Kennedy, Santiago A. Canton, Angelita Baeyens, Wade McMullen and Christina Fetterhoff, and (c) for the State: Rodrigo José Villagrán Sandoval, Agent; César Javier Moreira Cabrera, Legal Advisory, and Steffany Rebeca Vásquez Barillas, Deputy Agent.</w:t>
      </w:r>
    </w:p>
  </w:footnote>
  <w:footnote w:id="4">
    <w:p w14:paraId="167F76FD"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cs="Tahoma"/>
          <w:color w:val="000000"/>
          <w:sz w:val="16"/>
          <w:szCs w:val="16"/>
          <w:shd w:val="clear" w:color="auto" w:fill="FFFFFF"/>
          <w:lang w:val="en-US"/>
        </w:rPr>
        <w:tab/>
        <w:t>Article 12 of the Convention of Belém do Pará stipulates: “</w:t>
      </w:r>
      <w:r w:rsidRPr="007D3F3C">
        <w:rPr>
          <w:rFonts w:ascii="Verdana" w:hAnsi="Verdana" w:cs="Arial"/>
          <w:sz w:val="16"/>
          <w:szCs w:val="16"/>
          <w:lang w:val="en-US"/>
        </w:rPr>
        <w:t>Any person or group of persons, or any nongovernmental entity legally recognized in one or more member states of the Organization, may lodge petitions with the Inter-American Commission on Human Rights containing denunciations or complaints of violations of Article 7 of this Convention by a State Party, and the Commission shall consider such claims in accordance with the norms and procedures established by the American Convention on Human Rights and the Statutes and Regulations of the Inter-American Commission on Human Rights for lodging and considering petitions.”</w:t>
      </w:r>
    </w:p>
  </w:footnote>
  <w:footnote w:id="5">
    <w:p w14:paraId="33047697" w14:textId="77777777" w:rsidR="00576E40" w:rsidRPr="007D3F3C" w:rsidRDefault="00576E40" w:rsidP="00551CA7">
      <w:pPr>
        <w:spacing w:after="0" w:line="240" w:lineRule="auto"/>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Tahoma"/>
          <w:color w:val="000000"/>
          <w:sz w:val="16"/>
          <w:szCs w:val="16"/>
          <w:shd w:val="clear" w:color="auto" w:fill="FFFFFF"/>
          <w:lang w:val="en-US"/>
        </w:rPr>
        <w:t xml:space="preserve">Article 7 of the Convention of Belém do Pará establishes: </w:t>
      </w:r>
      <w:r w:rsidRPr="007D3F3C">
        <w:rPr>
          <w:rFonts w:ascii="Verdana" w:hAnsi="Verdana"/>
          <w:sz w:val="16"/>
          <w:szCs w:val="16"/>
          <w:lang w:val="en-US"/>
        </w:rPr>
        <w:t>“</w:t>
      </w:r>
      <w:r w:rsidRPr="007D3F3C">
        <w:rPr>
          <w:rFonts w:ascii="Verdana" w:hAnsi="Verdana" w:cs="Arial"/>
          <w:sz w:val="16"/>
          <w:szCs w:val="16"/>
          <w:lang w:val="en-US"/>
        </w:rPr>
        <w:t xml:space="preserve">The States Parties condemn all forms of violence against women and agree to pursue, by all appropriate means and without delay, policies to prevent, punish and eradicate such violence and undertake to: </w:t>
      </w:r>
    </w:p>
    <w:p w14:paraId="4D465EEA"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(a) refrain from engaging in any act or practice of violence against women and to ensure that their authorities, officials, personnel, agents, and institutions act in conformity with this obligation; </w:t>
      </w:r>
    </w:p>
    <w:p w14:paraId="1FB40B9B"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(b) apply due diligence to prevent, investigate and impose penalties for violence against women; </w:t>
      </w:r>
    </w:p>
    <w:p w14:paraId="592DEF8E"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(c) include in their domestic legislation penal, civil, administrative and any other type of provisions that may be needed to prevent, punish and eradicate violence against women and to adopt appropriate administrative measures where necessary; </w:t>
      </w:r>
    </w:p>
    <w:p w14:paraId="524C07E8"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(d) adopt legal measures to require the perpetrator to refrain from harassing, intimidating or threatening the woman or using any method that harms or endangers her life or integrity, or damages her property; </w:t>
      </w:r>
    </w:p>
    <w:p w14:paraId="49D829A5"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(e) take all appropriate measures, including legislative measures, to amend or repeal existing laws and regulations or to modify legal or customary practices which sustain the persistence and tolerance of violence against women; (f) establish fair and effective legal procedures for women who have been subjected to violence which include, among others, protective measures, a timely hearing and effective access to such procedures; </w:t>
      </w:r>
    </w:p>
    <w:p w14:paraId="04C27B08"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(g) establish the necessary legal and administrative mechanisms to ensure that women subjected to violence have effective access to restitution, reparations or other just and effective remedies; and </w:t>
      </w:r>
    </w:p>
    <w:p w14:paraId="33F69E73" w14:textId="77777777" w:rsidR="00576E40" w:rsidRPr="007D3F3C" w:rsidRDefault="00576E40" w:rsidP="00551CA7">
      <w:pPr>
        <w:spacing w:after="0" w:line="240" w:lineRule="auto"/>
        <w:jc w:val="both"/>
        <w:rPr>
          <w:rFonts w:ascii="Verdana" w:hAnsi="Verdana"/>
          <w:sz w:val="16"/>
          <w:szCs w:val="16"/>
          <w:lang w:val="en-US"/>
        </w:rPr>
      </w:pPr>
      <w:r w:rsidRPr="007D3F3C">
        <w:rPr>
          <w:rFonts w:ascii="Verdana" w:hAnsi="Verdana" w:cs="Arial"/>
          <w:sz w:val="16"/>
          <w:szCs w:val="16"/>
          <w:lang w:val="en-US"/>
        </w:rPr>
        <w:t>(h) adopt such legislative or other measures as may be necessary to give effect to this Convention.”</w:t>
      </w:r>
    </w:p>
  </w:footnote>
  <w:footnote w:id="6">
    <w:p w14:paraId="172972A1" w14:textId="77777777" w:rsidR="00576E40" w:rsidRPr="007D3F3C" w:rsidRDefault="00576E40" w:rsidP="00551CA7">
      <w:pPr>
        <w:pStyle w:val="Textonotapie"/>
        <w:tabs>
          <w:tab w:val="left" w:pos="720"/>
        </w:tabs>
        <w:contextualSpacing/>
        <w:jc w:val="both"/>
        <w:rPr>
          <w:rFonts w:ascii="Verdana" w:hAnsi="Verdana" w:cs="Microsoft Sans Serif"/>
          <w:spacing w:val="-4"/>
          <w:sz w:val="16"/>
          <w:szCs w:val="16"/>
          <w:lang w:val="en-US"/>
        </w:rPr>
      </w:pPr>
      <w:r w:rsidRPr="007D3F3C">
        <w:rPr>
          <w:rStyle w:val="Refdenotaalpie"/>
          <w:rFonts w:ascii="Verdana" w:hAnsi="Verdana" w:cs="Microsoft Sans Serif"/>
          <w:spacing w:val="-4"/>
          <w:sz w:val="16"/>
          <w:szCs w:val="16"/>
          <w:lang w:val="en-US"/>
        </w:rPr>
        <w:footnoteRef/>
      </w:r>
      <w:r w:rsidRPr="007D3F3C">
        <w:rPr>
          <w:rFonts w:ascii="Verdana" w:hAnsi="Verdana" w:cs="Microsoft Sans Serif"/>
          <w:spacing w:val="-4"/>
          <w:sz w:val="16"/>
          <w:szCs w:val="16"/>
          <w:lang w:val="en-US"/>
        </w:rPr>
        <w:t xml:space="preserve"> </w:t>
      </w:r>
      <w:r w:rsidRPr="007D3F3C">
        <w:rPr>
          <w:rFonts w:ascii="Verdana" w:hAnsi="Verdana" w:cs="Microsoft Sans Serif"/>
          <w:spacing w:val="-4"/>
          <w:sz w:val="16"/>
          <w:szCs w:val="16"/>
          <w:lang w:val="en-US"/>
        </w:rPr>
        <w:tab/>
      </w:r>
      <w:r w:rsidRPr="007D3F3C">
        <w:rPr>
          <w:rFonts w:ascii="Verdana" w:hAnsi="Verdana" w:cs="Microsoft Sans Serif"/>
          <w:i/>
          <w:spacing w:val="-4"/>
          <w:sz w:val="16"/>
          <w:szCs w:val="16"/>
          <w:lang w:val="en-US"/>
        </w:rPr>
        <w:t>Cf. Case of González et al. (“Cotton Field”) v. Mexico. Preliminary objection, merits, reparations and costs.</w:t>
      </w:r>
      <w:r w:rsidRPr="007D3F3C">
        <w:rPr>
          <w:rFonts w:ascii="Verdana" w:hAnsi="Verdana" w:cs="Microsoft Sans Serif"/>
          <w:spacing w:val="-4"/>
          <w:sz w:val="16"/>
          <w:szCs w:val="16"/>
          <w:lang w:val="en-US"/>
        </w:rPr>
        <w:t xml:space="preserve"> Judgment of November 16, 2009. Series C No. 205, para. 41. In this regard, the Court indicated that the “wording” of Article 12 of the Convention of Belém de Pará “does not exclude any provision </w:t>
      </w:r>
      <w:r w:rsidRPr="007D3F3C">
        <w:rPr>
          <w:rFonts w:ascii="Verdana" w:hAnsi="Verdana" w:cs="Microsoft Sans Serif"/>
          <w:spacing w:val="-4"/>
          <w:sz w:val="16"/>
          <w:szCs w:val="16"/>
          <w:lang w:val="en-US" w:bidi="en-US"/>
        </w:rPr>
        <w:t>of the American Convention; consequently it must be concluded that the Commission</w:t>
      </w:r>
      <w:r w:rsidRPr="007D3F3C">
        <w:rPr>
          <w:rFonts w:ascii="Verdana" w:hAnsi="Verdana" w:cs="Microsoft Sans Serif"/>
          <w:spacing w:val="-4"/>
          <w:sz w:val="16"/>
          <w:szCs w:val="16"/>
          <w:lang w:val="en-US"/>
        </w:rPr>
        <w:t xml:space="preserve"> will act in petitions relating to Article 7 of the Belém do Pará Convention ‘in accordance with the provisions of Articles 44 to 51 of [the American Convention],’ as established in Article 41 of this Convention. Article 51 of the Convention […] refers […] expressly to the submission of cases to the Court,” Similarly, see, </w:t>
      </w:r>
      <w:r w:rsidRPr="007D3F3C">
        <w:rPr>
          <w:rFonts w:ascii="Verdana" w:hAnsi="Verdana" w:cs="Microsoft Sans Serif"/>
          <w:i/>
          <w:spacing w:val="-4"/>
          <w:sz w:val="16"/>
          <w:szCs w:val="16"/>
          <w:lang w:val="en-US"/>
        </w:rPr>
        <w:t xml:space="preserve">Case of Veliz Franco et al. v. Guatemala. Preliminary objections, merits, reparations and costs. </w:t>
      </w:r>
      <w:r w:rsidRPr="007D3F3C">
        <w:rPr>
          <w:rFonts w:ascii="Verdana" w:hAnsi="Verdana" w:cs="Microsoft Sans Serif"/>
          <w:spacing w:val="-4"/>
          <w:sz w:val="16"/>
          <w:szCs w:val="16"/>
          <w:lang w:val="en-US"/>
        </w:rPr>
        <w:t xml:space="preserve">Judgment of May 19, 2014. Series C No. 277, footnote 22, and </w:t>
      </w:r>
      <w:r w:rsidRPr="007D3F3C">
        <w:rPr>
          <w:rFonts w:ascii="Verdana" w:hAnsi="Verdana" w:cs="Microsoft Sans Serif"/>
          <w:i/>
          <w:spacing w:val="-4"/>
          <w:sz w:val="16"/>
          <w:szCs w:val="16"/>
          <w:lang w:val="en-US"/>
        </w:rPr>
        <w:t>Case of Espinoza Gonzáles v. Peru. Preliminary objections, merits, reparations and costs</w:t>
      </w:r>
      <w:r w:rsidRPr="007D3F3C">
        <w:rPr>
          <w:rFonts w:ascii="Verdana" w:hAnsi="Verdana" w:cs="Microsoft Sans Serif"/>
          <w:spacing w:val="-4"/>
          <w:sz w:val="16"/>
          <w:szCs w:val="16"/>
          <w:lang w:val="en-US"/>
        </w:rPr>
        <w:t xml:space="preserve">. Judgment of November 20, 2014. Series C No. 289, </w:t>
      </w:r>
      <w:r w:rsidRPr="007D3F3C">
        <w:rPr>
          <w:rFonts w:ascii="Verdana" w:hAnsi="Verdana"/>
          <w:sz w:val="16"/>
          <w:szCs w:val="16"/>
          <w:lang w:val="en-US"/>
        </w:rPr>
        <w:t>footnote 5</w:t>
      </w:r>
      <w:r w:rsidRPr="007D3F3C">
        <w:rPr>
          <w:rFonts w:ascii="Verdana" w:hAnsi="Verdana" w:cs="Microsoft Sans Serif"/>
          <w:spacing w:val="-4"/>
          <w:sz w:val="16"/>
          <w:szCs w:val="16"/>
          <w:lang w:val="en-US"/>
        </w:rPr>
        <w:t>.</w:t>
      </w:r>
    </w:p>
  </w:footnote>
  <w:footnote w:id="7">
    <w:p w14:paraId="2C1F3D97" w14:textId="77777777" w:rsidR="00576E40" w:rsidRPr="007D3F3C" w:rsidRDefault="00576E40" w:rsidP="00551CA7">
      <w:pPr>
        <w:pStyle w:val="Textonotapie"/>
        <w:tabs>
          <w:tab w:val="left" w:pos="720"/>
        </w:tabs>
        <w:contextualSpacing/>
        <w:jc w:val="both"/>
        <w:rPr>
          <w:rFonts w:ascii="Verdana" w:hAnsi="Verdana" w:cs="Microsoft Sans Serif"/>
          <w:b/>
          <w:spacing w:val="-4"/>
          <w:sz w:val="16"/>
          <w:szCs w:val="16"/>
          <w:lang w:val="en-US"/>
        </w:rPr>
      </w:pPr>
      <w:r w:rsidRPr="007D3F3C">
        <w:rPr>
          <w:rStyle w:val="Refdenotaalpie"/>
          <w:rFonts w:ascii="Verdana" w:hAnsi="Verdana" w:cs="Microsoft Sans Serif"/>
          <w:spacing w:val="-4"/>
          <w:sz w:val="16"/>
          <w:szCs w:val="16"/>
          <w:lang w:val="en-US"/>
        </w:rPr>
        <w:footnoteRef/>
      </w:r>
      <w:r w:rsidRPr="007D3F3C">
        <w:rPr>
          <w:rFonts w:ascii="Verdana" w:hAnsi="Verdana" w:cs="Microsoft Sans Serif"/>
          <w:spacing w:val="-4"/>
          <w:sz w:val="16"/>
          <w:szCs w:val="16"/>
          <w:lang w:val="en-US"/>
        </w:rPr>
        <w:t xml:space="preserve"> </w:t>
      </w:r>
      <w:r w:rsidRPr="007D3F3C">
        <w:rPr>
          <w:rFonts w:ascii="Verdana" w:hAnsi="Verdana" w:cs="Microsoft Sans Serif"/>
          <w:spacing w:val="-4"/>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i/>
          <w:sz w:val="16"/>
          <w:szCs w:val="16"/>
          <w:lang w:val="en-US"/>
        </w:rPr>
        <w:t xml:space="preserve">Case of the Río Negro Massacres v. Guatemala. Preliminary objection, merits, reparations and costs. </w:t>
      </w:r>
      <w:r w:rsidRPr="007D3F3C">
        <w:rPr>
          <w:rFonts w:ascii="Verdana" w:hAnsi="Verdana"/>
          <w:sz w:val="16"/>
          <w:szCs w:val="16"/>
          <w:lang w:val="en-US"/>
        </w:rPr>
        <w:t>Judgment of September 4, 2012. Series C No. 250, para. 17;</w:t>
      </w:r>
      <w:r w:rsidRPr="007D3F3C">
        <w:rPr>
          <w:rFonts w:ascii="Verdana" w:hAnsi="Verdana"/>
          <w:i/>
          <w:sz w:val="16"/>
          <w:szCs w:val="16"/>
          <w:lang w:val="en-US"/>
        </w:rPr>
        <w:t xml:space="preserve"> Case of Gudiel Álvarez (Diario Militar) v. Guatemala. Merits, reparations and costs. </w:t>
      </w:r>
      <w:r w:rsidRPr="007D3F3C">
        <w:rPr>
          <w:rFonts w:ascii="Verdana" w:hAnsi="Verdana"/>
          <w:sz w:val="16"/>
          <w:szCs w:val="16"/>
          <w:lang w:val="en-US"/>
        </w:rPr>
        <w:t xml:space="preserve">Judgment of November 20, 2012. Series C No. 253, para. 17, and </w:t>
      </w:r>
      <w:r w:rsidRPr="007D3F3C">
        <w:rPr>
          <w:rFonts w:ascii="Verdana" w:hAnsi="Verdana" w:cs="Microsoft Sans Serif"/>
          <w:i/>
          <w:spacing w:val="-4"/>
          <w:sz w:val="16"/>
          <w:szCs w:val="16"/>
          <w:lang w:val="en-US"/>
        </w:rPr>
        <w:t>Case of Veliz Franco et al. v. Guatemala, supra</w:t>
      </w:r>
      <w:r w:rsidRPr="007D3F3C">
        <w:rPr>
          <w:rFonts w:ascii="Verdana" w:hAnsi="Verdana" w:cs="Microsoft Sans Serif"/>
          <w:spacing w:val="-4"/>
          <w:sz w:val="16"/>
          <w:szCs w:val="16"/>
          <w:lang w:val="en-US"/>
        </w:rPr>
        <w:t>, para. 36.</w:t>
      </w:r>
    </w:p>
  </w:footnote>
  <w:footnote w:id="8">
    <w:p w14:paraId="458A9F0D" w14:textId="77777777" w:rsidR="00576E40" w:rsidRPr="007D3F3C" w:rsidRDefault="00576E40" w:rsidP="00551CA7">
      <w:pPr>
        <w:pStyle w:val="NormalWeb"/>
        <w:spacing w:after="0" w:line="240" w:lineRule="auto"/>
        <w:jc w:val="both"/>
        <w:rPr>
          <w:rFonts w:ascii="Verdana" w:hAnsi="Verdana"/>
          <w:sz w:val="16"/>
          <w:szCs w:val="16"/>
        </w:rPr>
      </w:pPr>
      <w:r w:rsidRPr="007D3F3C">
        <w:rPr>
          <w:rStyle w:val="Refdenotaalpie"/>
          <w:rFonts w:ascii="Verdana" w:hAnsi="Verdana"/>
          <w:sz w:val="16"/>
          <w:szCs w:val="16"/>
        </w:rPr>
        <w:footnoteRef/>
      </w:r>
      <w:r w:rsidRPr="007D3F3C">
        <w:rPr>
          <w:rFonts w:ascii="Verdana" w:hAnsi="Verdana"/>
          <w:sz w:val="16"/>
          <w:szCs w:val="16"/>
        </w:rPr>
        <w:t xml:space="preserve"> </w:t>
      </w:r>
      <w:r w:rsidRPr="007D3F3C">
        <w:rPr>
          <w:rFonts w:ascii="Verdana" w:hAnsi="Verdana"/>
          <w:sz w:val="16"/>
          <w:szCs w:val="16"/>
        </w:rPr>
        <w:tab/>
        <w:t xml:space="preserve">Paragraphs (a), (b) and (c) of </w:t>
      </w:r>
      <w:r w:rsidRPr="007D3F3C">
        <w:rPr>
          <w:rFonts w:ascii="Verdana" w:hAnsi="Verdana" w:cs="Tahoma"/>
          <w:sz w:val="16"/>
          <w:szCs w:val="16"/>
        </w:rPr>
        <w:t>Article 46(2) of the American Convention indicate that: “</w:t>
      </w:r>
      <w:r w:rsidRPr="007D3F3C">
        <w:rPr>
          <w:rFonts w:ascii="Verdana" w:hAnsi="Verdana"/>
          <w:sz w:val="16"/>
          <w:szCs w:val="16"/>
        </w:rPr>
        <w:t>The provisions of paragraphs 1(a) and 1(b) of this article shall not be applicable when:</w:t>
      </w:r>
    </w:p>
    <w:p w14:paraId="72047D5A" w14:textId="77777777" w:rsidR="00576E40" w:rsidRPr="007D3F3C" w:rsidRDefault="00576E40" w:rsidP="00551CA7">
      <w:pPr>
        <w:pStyle w:val="NormalWeb"/>
        <w:spacing w:after="0" w:line="240" w:lineRule="auto"/>
        <w:jc w:val="both"/>
        <w:rPr>
          <w:rFonts w:ascii="Verdana" w:hAnsi="Verdana"/>
          <w:sz w:val="16"/>
          <w:szCs w:val="16"/>
        </w:rPr>
      </w:pPr>
      <w:r w:rsidRPr="007D3F3C">
        <w:rPr>
          <w:rFonts w:ascii="Verdana" w:hAnsi="Verdana"/>
          <w:sz w:val="16"/>
          <w:szCs w:val="16"/>
        </w:rPr>
        <w:t>(a) the domestic legislation of the state concerned does not afford due process of law for the protection of the right or rights that have allegedly been violated;</w:t>
      </w:r>
    </w:p>
    <w:p w14:paraId="3149D869" w14:textId="77777777" w:rsidR="00576E40" w:rsidRPr="007D3F3C" w:rsidRDefault="00576E40" w:rsidP="00551CA7">
      <w:pPr>
        <w:pStyle w:val="NormalWeb"/>
        <w:spacing w:after="0" w:line="240" w:lineRule="auto"/>
        <w:jc w:val="both"/>
        <w:rPr>
          <w:rFonts w:ascii="Verdana" w:hAnsi="Verdana"/>
          <w:sz w:val="16"/>
          <w:szCs w:val="16"/>
        </w:rPr>
      </w:pPr>
      <w:r w:rsidRPr="007D3F3C">
        <w:rPr>
          <w:rFonts w:ascii="Verdana" w:hAnsi="Verdana"/>
          <w:sz w:val="16"/>
          <w:szCs w:val="16"/>
        </w:rPr>
        <w:t>(b) the party alleging violation of his rights has been denied access to the remedies under domestic law or has been prevented from exhausting them; or</w:t>
      </w:r>
    </w:p>
    <w:p w14:paraId="79001194" w14:textId="77777777" w:rsidR="00576E40" w:rsidRPr="007D3F3C" w:rsidRDefault="00576E40" w:rsidP="00551CA7">
      <w:pPr>
        <w:pStyle w:val="NormalWeb"/>
        <w:tabs>
          <w:tab w:val="left" w:pos="720"/>
        </w:tabs>
        <w:spacing w:after="0" w:line="240" w:lineRule="auto"/>
        <w:jc w:val="both"/>
        <w:rPr>
          <w:rFonts w:ascii="Verdana" w:hAnsi="Verdana"/>
          <w:sz w:val="16"/>
          <w:szCs w:val="16"/>
        </w:rPr>
      </w:pPr>
      <w:r w:rsidRPr="007D3F3C">
        <w:rPr>
          <w:rFonts w:ascii="Verdana" w:hAnsi="Verdana"/>
          <w:sz w:val="16"/>
          <w:szCs w:val="16"/>
        </w:rPr>
        <w:t>(c) there has been unwarranted delay in rendering a final judgment under the aforementioned remedies.”</w:t>
      </w:r>
    </w:p>
  </w:footnote>
  <w:footnote w:id="9">
    <w:p w14:paraId="12AF4804" w14:textId="77777777" w:rsidR="00576E40" w:rsidRPr="007D3F3C" w:rsidRDefault="00576E40" w:rsidP="00551CA7">
      <w:pPr>
        <w:tabs>
          <w:tab w:val="left" w:pos="720"/>
        </w:tabs>
        <w:spacing w:after="0" w:line="240" w:lineRule="auto"/>
        <w:jc w:val="both"/>
        <w:rPr>
          <w:rFonts w:ascii="Verdana" w:hAnsi="Verdana"/>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z w:val="16"/>
          <w:szCs w:val="16"/>
          <w:lang w:val="en-US"/>
        </w:rPr>
        <w:t xml:space="preserve"> The State’s brief of May 17, 2010 (evidence file, folio 603).</w:t>
      </w:r>
    </w:p>
  </w:footnote>
  <w:footnote w:id="10">
    <w:p w14:paraId="696A6EA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Admissibility Report No. 110/10 of October 4, 2010 (evidence file, folio 590).</w:t>
      </w:r>
    </w:p>
  </w:footnote>
  <w:footnote w:id="11">
    <w:p w14:paraId="33232AFF"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 xml:space="preserve">Case of Velásquez Rodríguez v. Honduras. </w:t>
      </w:r>
      <w:r w:rsidRPr="007D3F3C">
        <w:rPr>
          <w:rStyle w:val="Textoennegrita"/>
          <w:rFonts w:ascii="Verdana" w:hAnsi="Verdana"/>
          <w:b w:val="0"/>
          <w:i/>
          <w:color w:val="000000"/>
          <w:sz w:val="16"/>
          <w:szCs w:val="16"/>
          <w:shd w:val="clear" w:color="auto" w:fill="FFFFFF"/>
          <w:lang w:val="en-US"/>
        </w:rPr>
        <w:t>Preliminary objections</w:t>
      </w:r>
      <w:r w:rsidRPr="007D3F3C">
        <w:rPr>
          <w:rStyle w:val="Textoennegrita"/>
          <w:rFonts w:ascii="Verdana" w:hAnsi="Verdana"/>
          <w:b w:val="0"/>
          <w:color w:val="000000"/>
          <w:sz w:val="16"/>
          <w:szCs w:val="16"/>
          <w:shd w:val="clear" w:color="auto" w:fill="FFFFFF"/>
          <w:lang w:val="en-US"/>
        </w:rPr>
        <w:t>. Judgment of June 26, 1987. Series C No. 1</w:t>
      </w:r>
      <w:r w:rsidRPr="007D3F3C">
        <w:rPr>
          <w:rFonts w:ascii="Verdana" w:hAnsi="Verdana"/>
          <w:sz w:val="16"/>
          <w:szCs w:val="16"/>
          <w:lang w:val="en-US"/>
        </w:rPr>
        <w:t xml:space="preserve">, paras. 88 and 91, and </w:t>
      </w:r>
      <w:r w:rsidRPr="007D3F3C">
        <w:rPr>
          <w:rStyle w:val="Textoennegrita"/>
          <w:rFonts w:ascii="Verdana" w:hAnsi="Verdana"/>
          <w:b w:val="0"/>
          <w:i/>
          <w:color w:val="000000"/>
          <w:sz w:val="16"/>
          <w:szCs w:val="16"/>
          <w:shd w:val="clear" w:color="auto" w:fill="FFFFFF"/>
          <w:lang w:val="en-US"/>
        </w:rPr>
        <w:t>Case of López Lone et al. v. Honduras. Preliminary objection, merits, reparations and costs</w:t>
      </w:r>
      <w:r w:rsidRPr="007D3F3C">
        <w:rPr>
          <w:rStyle w:val="Textoennegrita"/>
          <w:rFonts w:ascii="Verdana" w:hAnsi="Verdana"/>
          <w:b w:val="0"/>
          <w:color w:val="000000"/>
          <w:sz w:val="16"/>
          <w:szCs w:val="16"/>
          <w:shd w:val="clear" w:color="auto" w:fill="FFFFFF"/>
          <w:lang w:val="en-US"/>
        </w:rPr>
        <w:t>. Judgment of October 5, 2015. Series C No. 302</w:t>
      </w:r>
      <w:r w:rsidRPr="007D3F3C">
        <w:rPr>
          <w:rFonts w:ascii="Verdana" w:hAnsi="Verdana"/>
          <w:sz w:val="16"/>
          <w:szCs w:val="16"/>
          <w:lang w:val="en-US"/>
        </w:rPr>
        <w:t>, para. 21.</w:t>
      </w:r>
    </w:p>
  </w:footnote>
  <w:footnote w:id="12">
    <w:p w14:paraId="673552EC"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 Case of Reverón Trujillo v. Venezuela. Preliminary objection, merits, reparations and costs</w:t>
      </w:r>
      <w:r w:rsidRPr="007D3F3C">
        <w:rPr>
          <w:rFonts w:ascii="Verdana" w:hAnsi="Verdana"/>
          <w:spacing w:val="-4"/>
          <w:sz w:val="16"/>
          <w:szCs w:val="16"/>
          <w:lang w:val="en-US"/>
        </w:rPr>
        <w:t xml:space="preserve">. Judgment of June 30, 2009. Series C No. 197, para. 23, and </w:t>
      </w:r>
      <w:r w:rsidRPr="007D3F3C">
        <w:rPr>
          <w:rStyle w:val="Textoennegrita"/>
          <w:rFonts w:ascii="Verdana" w:hAnsi="Verdana"/>
          <w:b w:val="0"/>
          <w:i/>
          <w:color w:val="000000"/>
          <w:sz w:val="16"/>
          <w:szCs w:val="16"/>
          <w:shd w:val="clear" w:color="auto" w:fill="FFFFFF"/>
          <w:lang w:val="en-US"/>
        </w:rPr>
        <w:t>Case of López Lone et al. v. Honduras</w:t>
      </w:r>
      <w:r w:rsidRPr="007D3F3C">
        <w:rPr>
          <w:rFonts w:ascii="Verdana" w:hAnsi="Verdana"/>
          <w:i/>
          <w:spacing w:val="-4"/>
          <w:sz w:val="16"/>
          <w:szCs w:val="16"/>
          <w:lang w:val="en-US"/>
        </w:rPr>
        <w:t>, supra</w:t>
      </w:r>
      <w:r w:rsidRPr="007D3F3C">
        <w:rPr>
          <w:rFonts w:ascii="Verdana" w:hAnsi="Verdana"/>
          <w:spacing w:val="-4"/>
          <w:sz w:val="16"/>
          <w:szCs w:val="16"/>
          <w:lang w:val="en-US"/>
        </w:rPr>
        <w:t>, para. 21.</w:t>
      </w:r>
    </w:p>
  </w:footnote>
  <w:footnote w:id="13">
    <w:p w14:paraId="03BB2338" w14:textId="77777777" w:rsidR="00576E40" w:rsidRPr="007D3F3C" w:rsidRDefault="00576E40" w:rsidP="00551CA7">
      <w:pPr>
        <w:pStyle w:val="Textonotapie"/>
        <w:tabs>
          <w:tab w:val="left" w:pos="720"/>
        </w:tabs>
        <w:jc w:val="both"/>
        <w:rPr>
          <w:rFonts w:ascii="Verdana" w:hAnsi="Verdana"/>
          <w:i/>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Style w:val="Textoennegrita"/>
          <w:rFonts w:ascii="Verdana" w:hAnsi="Verdana"/>
          <w:b w:val="0"/>
          <w:i/>
          <w:color w:val="000000"/>
          <w:sz w:val="16"/>
          <w:szCs w:val="16"/>
          <w:shd w:val="clear" w:color="auto" w:fill="FFFFFF"/>
          <w:lang w:val="en-US"/>
        </w:rPr>
        <w:t>Judicial Guarantees in States of Emergency (Arts. 27.2, 25 and 8 American Convention on Human Rights)</w:t>
      </w:r>
      <w:r w:rsidRPr="007D3F3C">
        <w:rPr>
          <w:rStyle w:val="Textoennegrita"/>
          <w:rFonts w:ascii="Verdana" w:hAnsi="Verdana"/>
          <w:b w:val="0"/>
          <w:color w:val="000000"/>
          <w:sz w:val="16"/>
          <w:szCs w:val="16"/>
          <w:shd w:val="clear" w:color="auto" w:fill="FFFFFF"/>
          <w:lang w:val="en-US"/>
        </w:rPr>
        <w:t>. Advisory Opinion OC-9/87 of October 6, 1987. Series A No. 9,</w:t>
      </w:r>
      <w:r w:rsidRPr="007D3F3C">
        <w:rPr>
          <w:rFonts w:ascii="Verdana" w:hAnsi="Verdana"/>
          <w:sz w:val="16"/>
          <w:szCs w:val="16"/>
          <w:lang w:val="en-US"/>
        </w:rPr>
        <w:t xml:space="preserve"> para. 24. See, also: </w:t>
      </w:r>
      <w:r w:rsidRPr="007D3F3C">
        <w:rPr>
          <w:rFonts w:ascii="Verdana" w:hAnsi="Verdana"/>
          <w:bCs/>
          <w:i/>
          <w:color w:val="000000"/>
          <w:sz w:val="16"/>
          <w:szCs w:val="16"/>
          <w:lang w:val="en-US"/>
        </w:rPr>
        <w:t xml:space="preserve">Case of Baldeón García v. Peru. </w:t>
      </w:r>
      <w:r w:rsidRPr="007D3F3C">
        <w:rPr>
          <w:rFonts w:ascii="Verdana" w:hAnsi="Verdana"/>
          <w:i/>
          <w:color w:val="000000"/>
          <w:sz w:val="16"/>
          <w:szCs w:val="16"/>
          <w:lang w:val="en-US"/>
        </w:rPr>
        <w:t>Merits, reparations and costs</w:t>
      </w:r>
      <w:r w:rsidRPr="007D3F3C">
        <w:rPr>
          <w:rFonts w:ascii="Verdana" w:hAnsi="Verdana"/>
          <w:color w:val="000000"/>
          <w:sz w:val="16"/>
          <w:szCs w:val="16"/>
          <w:lang w:val="en-US"/>
        </w:rPr>
        <w:t>. Judgment of April 6, 2006. Series C No. 147</w:t>
      </w:r>
      <w:r w:rsidRPr="007D3F3C">
        <w:rPr>
          <w:rFonts w:ascii="Verdana" w:hAnsi="Verdana" w:cs="Verdana"/>
          <w:sz w:val="16"/>
          <w:szCs w:val="16"/>
          <w:lang w:val="en-US" w:bidi="en-US"/>
        </w:rPr>
        <w:t xml:space="preserve">, para. 145; </w:t>
      </w:r>
      <w:r w:rsidRPr="007D3F3C">
        <w:rPr>
          <w:rFonts w:ascii="Verdana" w:hAnsi="Verdana" w:cs="Verdana-Bold"/>
          <w:bCs/>
          <w:sz w:val="16"/>
          <w:szCs w:val="16"/>
          <w:lang w:val="en-US" w:bidi="en-US"/>
        </w:rPr>
        <w:t>Case of</w:t>
      </w:r>
      <w:r w:rsidRPr="007D3F3C">
        <w:rPr>
          <w:rFonts w:ascii="Verdana" w:hAnsi="Verdana" w:cs="Verdana-Bold"/>
          <w:bCs/>
          <w:i/>
          <w:sz w:val="16"/>
          <w:szCs w:val="16"/>
          <w:lang w:val="en-US" w:bidi="en-US"/>
        </w:rPr>
        <w:t xml:space="preserve"> Almonacid Arellano et al. v. Chile. </w:t>
      </w:r>
      <w:r w:rsidRPr="007D3F3C">
        <w:rPr>
          <w:rFonts w:ascii="Verdana" w:hAnsi="Verdana" w:cs="Verdana"/>
          <w:i/>
          <w:sz w:val="16"/>
          <w:szCs w:val="16"/>
          <w:lang w:val="en-US" w:bidi="en-US"/>
        </w:rPr>
        <w:t>Preliminary objections, merits, reparations and costs.</w:t>
      </w:r>
      <w:r w:rsidRPr="007D3F3C">
        <w:rPr>
          <w:rFonts w:ascii="Verdana" w:hAnsi="Verdana" w:cs="Verdana"/>
          <w:sz w:val="16"/>
          <w:szCs w:val="16"/>
          <w:lang w:val="en-US" w:bidi="en-US"/>
        </w:rPr>
        <w:t xml:space="preserve"> Judgment of September 26, 2006. Series C No. 154, para. 111, and </w:t>
      </w:r>
      <w:r w:rsidRPr="007D3F3C">
        <w:rPr>
          <w:rFonts w:ascii="Verdana" w:hAnsi="Verdana"/>
          <w:i/>
          <w:sz w:val="16"/>
          <w:szCs w:val="16"/>
          <w:lang w:val="en-US"/>
        </w:rPr>
        <w:t>Case of Reverón Trujillo v. Venezuela, supra</w:t>
      </w:r>
      <w:r w:rsidRPr="007D3F3C">
        <w:rPr>
          <w:rFonts w:ascii="Verdana" w:hAnsi="Verdana"/>
          <w:sz w:val="16"/>
          <w:szCs w:val="16"/>
          <w:lang w:val="en-US"/>
        </w:rPr>
        <w:t>, para. 61.</w:t>
      </w:r>
    </w:p>
  </w:footnote>
  <w:footnote w:id="14">
    <w:p w14:paraId="3D42DC02"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i/>
          <w:sz w:val="16"/>
          <w:szCs w:val="16"/>
          <w:lang w:val="en-US"/>
        </w:rPr>
        <w:t xml:space="preserve"> </w:t>
      </w:r>
      <w:r w:rsidRPr="007D3F3C">
        <w:rPr>
          <w:rFonts w:ascii="Verdana" w:hAnsi="Verdana"/>
          <w:i/>
          <w:sz w:val="16"/>
          <w:szCs w:val="16"/>
          <w:lang w:val="en-US"/>
        </w:rPr>
        <w:tab/>
        <w:t>Cf.</w:t>
      </w:r>
      <w:r w:rsidRPr="007D3F3C">
        <w:rPr>
          <w:rFonts w:ascii="Verdana" w:hAnsi="Verdana"/>
          <w:sz w:val="16"/>
          <w:szCs w:val="16"/>
          <w:lang w:val="en-US"/>
        </w:rPr>
        <w:t xml:space="preserve"> </w:t>
      </w:r>
      <w:r w:rsidRPr="007D3F3C">
        <w:rPr>
          <w:rFonts w:ascii="Verdana" w:hAnsi="Verdana"/>
          <w:i/>
          <w:sz w:val="16"/>
          <w:szCs w:val="16"/>
          <w:lang w:val="en-US"/>
        </w:rPr>
        <w:t>Judicial Guarantees in States of Emergency (Arts. 27.2, 25 and 8 American Convention on Human Rights), supra,</w:t>
      </w:r>
      <w:r w:rsidRPr="007D3F3C">
        <w:rPr>
          <w:rFonts w:ascii="Verdana" w:hAnsi="Verdana"/>
          <w:sz w:val="16"/>
          <w:szCs w:val="16"/>
          <w:lang w:val="en-US"/>
        </w:rPr>
        <w:t xml:space="preserve"> para. 24, and </w:t>
      </w:r>
      <w:r w:rsidRPr="007D3F3C">
        <w:rPr>
          <w:rFonts w:ascii="Verdana" w:hAnsi="Verdana"/>
          <w:i/>
          <w:sz w:val="16"/>
          <w:szCs w:val="16"/>
          <w:lang w:val="en-US"/>
        </w:rPr>
        <w:t>Case of Abrill Alosilla et al. v. Peru. Merits, reparations and costs</w:t>
      </w:r>
      <w:r w:rsidRPr="007D3F3C">
        <w:rPr>
          <w:rFonts w:ascii="Verdana" w:hAnsi="Verdana"/>
          <w:sz w:val="16"/>
          <w:szCs w:val="16"/>
          <w:lang w:val="en-US"/>
        </w:rPr>
        <w:t xml:space="preserve">. Judgment of March 4, 2011 Series C No. 223, para. 75. </w:t>
      </w:r>
    </w:p>
  </w:footnote>
  <w:footnote w:id="15">
    <w:p w14:paraId="48FF0933"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Resolution of July 20, 2006 (evidence file, folios 3255 and 3259).</w:t>
      </w:r>
    </w:p>
  </w:footnote>
  <w:footnote w:id="16">
    <w:p w14:paraId="7B10C683" w14:textId="77777777" w:rsidR="00576E40" w:rsidRPr="007D3F3C" w:rsidRDefault="00576E40" w:rsidP="00551CA7">
      <w:pPr>
        <w:tabs>
          <w:tab w:val="left" w:pos="720"/>
        </w:tabs>
        <w:spacing w:after="0" w:line="240" w:lineRule="auto"/>
        <w:jc w:val="both"/>
        <w:rPr>
          <w:rFonts w:ascii="Verdana" w:hAnsi="Verdana"/>
          <w:color w:val="1F497D"/>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In a communication of March 30, 2015, the representatives withdrew the offer of the expert opinions of Otto Dany León Oliva and Daniela Galindez Arias. </w:t>
      </w:r>
    </w:p>
  </w:footnote>
  <w:footnote w:id="17">
    <w:p w14:paraId="4D9C7963"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On April 21, 2015, expert witness Claudia González Orellana presented in writing the expert opinion she had provided before this Court during the public hearing that day. The Commission and the State had the opportunity to comment on this brief. </w:t>
      </w:r>
    </w:p>
  </w:footnote>
  <w:footnote w:id="18">
    <w:p w14:paraId="06E9B717"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Cf.</w:t>
      </w:r>
      <w:r w:rsidRPr="007D3F3C">
        <w:rPr>
          <w:rFonts w:ascii="Verdana" w:hAnsi="Verdana"/>
          <w:spacing w:val="-4"/>
          <w:sz w:val="16"/>
          <w:szCs w:val="16"/>
          <w:lang w:val="es-CR"/>
        </w:rPr>
        <w:t xml:space="preserve"> </w:t>
      </w:r>
      <w:r w:rsidRPr="007D3F3C">
        <w:rPr>
          <w:rFonts w:ascii="Verdana" w:hAnsi="Verdana"/>
          <w:i/>
          <w:spacing w:val="-4"/>
          <w:sz w:val="16"/>
          <w:szCs w:val="16"/>
          <w:lang w:val="es-CR"/>
        </w:rPr>
        <w:t xml:space="preserve">Case of Velásquez Rodríguez v. Honduras. </w:t>
      </w:r>
      <w:r w:rsidRPr="007D3F3C">
        <w:rPr>
          <w:rFonts w:ascii="Verdana" w:hAnsi="Verdana"/>
          <w:i/>
          <w:spacing w:val="-4"/>
          <w:sz w:val="16"/>
          <w:szCs w:val="16"/>
          <w:lang w:val="en-US"/>
        </w:rPr>
        <w:t xml:space="preserve">Merits. </w:t>
      </w:r>
      <w:r w:rsidRPr="007D3F3C">
        <w:rPr>
          <w:rFonts w:ascii="Verdana" w:hAnsi="Verdana"/>
          <w:spacing w:val="-4"/>
          <w:sz w:val="16"/>
          <w:szCs w:val="16"/>
          <w:lang w:val="en-US"/>
        </w:rPr>
        <w:t>Judgment of July 29, 1988. Series C No. 4</w:t>
      </w:r>
      <w:r w:rsidRPr="007D3F3C">
        <w:rPr>
          <w:rFonts w:ascii="Verdana" w:hAnsi="Verdana"/>
          <w:i/>
          <w:spacing w:val="-4"/>
          <w:sz w:val="16"/>
          <w:szCs w:val="16"/>
          <w:lang w:val="en-US"/>
        </w:rPr>
        <w:t>,</w:t>
      </w:r>
      <w:r w:rsidRPr="007D3F3C">
        <w:rPr>
          <w:rFonts w:ascii="Verdana" w:hAnsi="Verdana"/>
          <w:spacing w:val="-4"/>
          <w:sz w:val="16"/>
          <w:szCs w:val="16"/>
          <w:lang w:val="en-US"/>
        </w:rPr>
        <w:t xml:space="preserve"> para. 140, and </w:t>
      </w:r>
      <w:r w:rsidRPr="007D3F3C">
        <w:rPr>
          <w:rFonts w:ascii="Verdana" w:hAnsi="Verdana"/>
          <w:i/>
          <w:spacing w:val="-4"/>
          <w:sz w:val="16"/>
          <w:szCs w:val="16"/>
          <w:lang w:val="en-US"/>
        </w:rPr>
        <w:t>Case of Omar Humberto Maldonado Vargas et al. v. Chile. Merits, reparations and costs</w:t>
      </w:r>
      <w:r w:rsidRPr="007D3F3C">
        <w:rPr>
          <w:rFonts w:ascii="Verdana" w:hAnsi="Verdana"/>
          <w:spacing w:val="-4"/>
          <w:sz w:val="16"/>
          <w:szCs w:val="16"/>
          <w:lang w:val="en-US"/>
        </w:rPr>
        <w:t>. Judgment of September 2, 2015. Series C No. 300, para. 12.</w:t>
      </w:r>
    </w:p>
  </w:footnote>
  <w:footnote w:id="19">
    <w:p w14:paraId="4F21A4F4"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In this case, the Court considered the following documents, on its own motion: the Guatemalan Ombudsman</w:t>
      </w:r>
      <w:r w:rsidRPr="007D3F3C">
        <w:rPr>
          <w:rFonts w:ascii="Verdana" w:hAnsi="Verdana"/>
          <w:spacing w:val="-4"/>
          <w:sz w:val="16"/>
          <w:szCs w:val="16"/>
          <w:lang w:val="en-US"/>
        </w:rPr>
        <w:t>, Compendium “</w:t>
      </w:r>
      <w:r w:rsidRPr="007D3F3C">
        <w:rPr>
          <w:rFonts w:ascii="Verdana" w:hAnsi="Verdana"/>
          <w:i/>
          <w:iCs/>
          <w:spacing w:val="-4"/>
          <w:sz w:val="16"/>
          <w:szCs w:val="16"/>
          <w:lang w:val="en-US"/>
        </w:rPr>
        <w:t>Muertes Violentas de Mujeres</w:t>
      </w:r>
      <w:r w:rsidRPr="007D3F3C">
        <w:rPr>
          <w:rFonts w:ascii="Verdana" w:hAnsi="Verdana"/>
          <w:spacing w:val="-4"/>
          <w:sz w:val="16"/>
          <w:szCs w:val="16"/>
          <w:lang w:val="en-US"/>
        </w:rPr>
        <w:t xml:space="preserve">, </w:t>
      </w:r>
      <w:r w:rsidRPr="007D3F3C">
        <w:rPr>
          <w:rFonts w:ascii="Verdana" w:hAnsi="Verdana"/>
          <w:i/>
          <w:iCs/>
          <w:spacing w:val="-4"/>
          <w:sz w:val="16"/>
          <w:szCs w:val="16"/>
          <w:lang w:val="en-US"/>
        </w:rPr>
        <w:t>2003 a 2005</w:t>
      </w:r>
      <w:r w:rsidRPr="007D3F3C">
        <w:rPr>
          <w:rFonts w:ascii="Verdana" w:hAnsi="Verdana"/>
          <w:spacing w:val="-4"/>
          <w:sz w:val="16"/>
          <w:szCs w:val="16"/>
          <w:lang w:val="en-US"/>
        </w:rPr>
        <w:t xml:space="preserve">”; National Report to the Working Group of the Universal Periodic Review of the United Nations Human Rights Council, dated August 7, 2012; bill advocating the approval of the Law on the immediate search for missing women. Available at: http://www.congreso.gob.gt/manager/images/4097B3FD-E522-0547-3042-D05791A99602.pdf, and Report No. 03-2014, Bill 4588, Law on the immediate search for missing women, submitted to the Legislative Director of the Congress of the Republic in a note of March 25, 2014, by the Congressional Committee on Legislation and Constitutional Matters. Available at: </w:t>
      </w:r>
      <w:hyperlink r:id="rId2" w:history="1">
        <w:r w:rsidRPr="007D3F3C">
          <w:rPr>
            <w:rStyle w:val="Hipervnculo"/>
            <w:rFonts w:ascii="Verdana" w:hAnsi="Verdana"/>
            <w:color w:val="auto"/>
            <w:spacing w:val="-4"/>
            <w:sz w:val="16"/>
            <w:szCs w:val="16"/>
            <w:u w:val="none"/>
            <w:lang w:val="en-US"/>
          </w:rPr>
          <w:t>http://www.congreso.gob.gt/manager/images/91E9DEF7-5D94-7146-29A0-8AB105E3FC92.PDF</w:t>
        </w:r>
      </w:hyperlink>
      <w:r w:rsidRPr="007D3F3C">
        <w:rPr>
          <w:rFonts w:ascii="Verdana" w:hAnsi="Verdana"/>
          <w:spacing w:val="-4"/>
          <w:sz w:val="16"/>
          <w:szCs w:val="16"/>
          <w:lang w:val="en-US"/>
        </w:rPr>
        <w:t xml:space="preserve"> </w:t>
      </w:r>
    </w:p>
  </w:footnote>
  <w:footnote w:id="20">
    <w:p w14:paraId="58C1F5F0" w14:textId="77777777" w:rsidR="00576E40" w:rsidRPr="007D3F3C" w:rsidRDefault="00576E40" w:rsidP="00551CA7">
      <w:pPr>
        <w:tabs>
          <w:tab w:val="left" w:pos="720"/>
        </w:tabs>
        <w:spacing w:after="0" w:line="240" w:lineRule="auto"/>
        <w:jc w:val="both"/>
        <w:rPr>
          <w:rFonts w:ascii="Verdana" w:hAnsi="Verdana"/>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eastAsia="x-none"/>
        </w:rPr>
        <w:tab/>
      </w:r>
      <w:r w:rsidRPr="007D3F3C">
        <w:rPr>
          <w:rFonts w:ascii="Verdana" w:hAnsi="Verdana"/>
          <w:i/>
          <w:spacing w:val="-4"/>
          <w:sz w:val="16"/>
          <w:szCs w:val="16"/>
          <w:lang w:val="en-US" w:eastAsia="x-none"/>
        </w:rPr>
        <w:t>Cf. Case of Escué Zapata v. Colombia. Merits, reparations and costs</w:t>
      </w:r>
      <w:r w:rsidRPr="007D3F3C">
        <w:rPr>
          <w:rFonts w:ascii="Verdana" w:hAnsi="Verdana"/>
          <w:spacing w:val="-4"/>
          <w:sz w:val="16"/>
          <w:szCs w:val="16"/>
          <w:lang w:val="en-US" w:eastAsia="x-none"/>
        </w:rPr>
        <w:t xml:space="preserve">. Judgment of July 4, 2007. Series C No. 165, para. 26, and </w:t>
      </w:r>
      <w:r w:rsidRPr="007D3F3C">
        <w:rPr>
          <w:rFonts w:ascii="Verdana" w:hAnsi="Verdana"/>
          <w:i/>
          <w:spacing w:val="-4"/>
          <w:sz w:val="16"/>
          <w:szCs w:val="16"/>
          <w:lang w:val="en-US" w:eastAsia="x-none"/>
        </w:rPr>
        <w:t>Case of López Lone et al. v. Honduras, supra</w:t>
      </w:r>
      <w:r w:rsidRPr="007D3F3C">
        <w:rPr>
          <w:rFonts w:ascii="Verdana" w:hAnsi="Verdana"/>
          <w:spacing w:val="-4"/>
          <w:sz w:val="16"/>
          <w:szCs w:val="16"/>
          <w:lang w:val="en-US" w:eastAsia="x-none"/>
        </w:rPr>
        <w:t>, para. 33.</w:t>
      </w:r>
    </w:p>
  </w:footnote>
  <w:footnote w:id="21">
    <w:p w14:paraId="2404D51A"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Fonts w:ascii="Verdana" w:hAnsi="Verdana" w:cs="Arial"/>
          <w:spacing w:val="-4"/>
          <w:sz w:val="16"/>
          <w:szCs w:val="16"/>
          <w:shd w:val="clear" w:color="auto" w:fill="FFFFFF"/>
          <w:vertAlign w:val="superscript"/>
          <w:lang w:val="en-US"/>
        </w:rPr>
        <w:footnoteRef/>
      </w:r>
      <w:r w:rsidRPr="007D3F3C">
        <w:rPr>
          <w:rFonts w:ascii="Verdana" w:hAnsi="Verdana" w:cs="Arial"/>
          <w:spacing w:val="-4"/>
          <w:sz w:val="16"/>
          <w:szCs w:val="16"/>
          <w:shd w:val="clear" w:color="auto" w:fill="FFFFFF"/>
          <w:lang w:val="en-US"/>
        </w:rPr>
        <w:t xml:space="preserve"> </w:t>
      </w:r>
      <w:r w:rsidRPr="007D3F3C">
        <w:rPr>
          <w:rFonts w:ascii="Verdana" w:hAnsi="Verdana" w:cs="Arial"/>
          <w:spacing w:val="-4"/>
          <w:sz w:val="16"/>
          <w:szCs w:val="16"/>
          <w:shd w:val="clear" w:color="auto" w:fill="FFFFFF"/>
          <w:lang w:val="en-US"/>
        </w:rPr>
        <w:tab/>
        <w:t xml:space="preserve">In particular, the State contested Annexes 33, 34.a and 34.b, 35, 36 and 37 to the Commission’s Merits Report. </w:t>
      </w:r>
    </w:p>
  </w:footnote>
  <w:footnote w:id="22">
    <w:p w14:paraId="687002E9" w14:textId="77777777" w:rsidR="00576E40" w:rsidRPr="007D3F3C" w:rsidRDefault="00576E40" w:rsidP="00551CA7">
      <w:pPr>
        <w:pStyle w:val="Textonotapie"/>
        <w:tabs>
          <w:tab w:val="left" w:pos="720"/>
        </w:tabs>
        <w:jc w:val="both"/>
        <w:rPr>
          <w:rFonts w:ascii="Verdana" w:eastAsia="Batang" w:hAnsi="Verdana" w:cs="Times"/>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eastAsia="Verdana" w:hAnsi="Verdana" w:cs="Verdana"/>
          <w:i/>
          <w:sz w:val="16"/>
          <w:szCs w:val="16"/>
          <w:lang w:val="es-CR"/>
        </w:rPr>
        <w:t>Cf.</w:t>
      </w:r>
      <w:r w:rsidRPr="007D3F3C">
        <w:rPr>
          <w:rFonts w:ascii="Verdana" w:eastAsia="Verdana" w:hAnsi="Verdana" w:cs="Verdana"/>
          <w:i/>
          <w:spacing w:val="2"/>
          <w:sz w:val="16"/>
          <w:szCs w:val="16"/>
          <w:lang w:val="es-CR"/>
        </w:rPr>
        <w:t xml:space="preserve"> </w:t>
      </w:r>
      <w:r w:rsidRPr="007D3F3C">
        <w:rPr>
          <w:rFonts w:ascii="Verdana" w:eastAsia="Verdana" w:hAnsi="Verdana" w:cs="Verdana"/>
          <w:i/>
          <w:sz w:val="16"/>
          <w:szCs w:val="16"/>
          <w:lang w:val="es-CR"/>
        </w:rPr>
        <w:t>Case of</w:t>
      </w:r>
      <w:r w:rsidRPr="007D3F3C">
        <w:rPr>
          <w:rFonts w:ascii="Verdana" w:eastAsia="Verdana" w:hAnsi="Verdana" w:cs="Verdana"/>
          <w:i/>
          <w:spacing w:val="4"/>
          <w:sz w:val="16"/>
          <w:szCs w:val="16"/>
          <w:lang w:val="es-CR"/>
        </w:rPr>
        <w:t xml:space="preserve"> </w:t>
      </w:r>
      <w:r w:rsidRPr="007D3F3C">
        <w:rPr>
          <w:rFonts w:ascii="Verdana" w:eastAsia="Verdana" w:hAnsi="Verdana" w:cs="Verdana"/>
          <w:i/>
          <w:spacing w:val="-2"/>
          <w:sz w:val="16"/>
          <w:szCs w:val="16"/>
          <w:lang w:val="es-CR"/>
        </w:rPr>
        <w:t>V</w:t>
      </w:r>
      <w:r w:rsidRPr="007D3F3C">
        <w:rPr>
          <w:rFonts w:ascii="Verdana" w:eastAsia="Verdana" w:hAnsi="Verdana" w:cs="Verdana"/>
          <w:i/>
          <w:sz w:val="16"/>
          <w:szCs w:val="16"/>
          <w:lang w:val="es-CR"/>
        </w:rPr>
        <w:t>e</w:t>
      </w:r>
      <w:r w:rsidRPr="007D3F3C">
        <w:rPr>
          <w:rFonts w:ascii="Verdana" w:eastAsia="Verdana" w:hAnsi="Verdana" w:cs="Verdana"/>
          <w:i/>
          <w:spacing w:val="-1"/>
          <w:sz w:val="16"/>
          <w:szCs w:val="16"/>
          <w:lang w:val="es-CR"/>
        </w:rPr>
        <w:t>lá</w:t>
      </w:r>
      <w:r w:rsidRPr="007D3F3C">
        <w:rPr>
          <w:rFonts w:ascii="Verdana" w:eastAsia="Verdana" w:hAnsi="Verdana" w:cs="Verdana"/>
          <w:i/>
          <w:sz w:val="16"/>
          <w:szCs w:val="16"/>
          <w:lang w:val="es-CR"/>
        </w:rPr>
        <w:t>s</w:t>
      </w:r>
      <w:r w:rsidRPr="007D3F3C">
        <w:rPr>
          <w:rFonts w:ascii="Verdana" w:eastAsia="Verdana" w:hAnsi="Verdana" w:cs="Verdana"/>
          <w:i/>
          <w:spacing w:val="1"/>
          <w:sz w:val="16"/>
          <w:szCs w:val="16"/>
          <w:lang w:val="es-CR"/>
        </w:rPr>
        <w:t>q</w:t>
      </w:r>
      <w:r w:rsidRPr="007D3F3C">
        <w:rPr>
          <w:rFonts w:ascii="Verdana" w:eastAsia="Verdana" w:hAnsi="Verdana" w:cs="Verdana"/>
          <w:i/>
          <w:spacing w:val="-1"/>
          <w:sz w:val="16"/>
          <w:szCs w:val="16"/>
          <w:lang w:val="es-CR"/>
        </w:rPr>
        <w:t>u</w:t>
      </w:r>
      <w:r w:rsidRPr="007D3F3C">
        <w:rPr>
          <w:rFonts w:ascii="Verdana" w:eastAsia="Verdana" w:hAnsi="Verdana" w:cs="Verdana"/>
          <w:i/>
          <w:sz w:val="16"/>
          <w:szCs w:val="16"/>
          <w:lang w:val="es-CR"/>
        </w:rPr>
        <w:t xml:space="preserve">ez </w:t>
      </w:r>
      <w:r w:rsidRPr="007D3F3C">
        <w:rPr>
          <w:rFonts w:ascii="Verdana" w:eastAsia="Verdana" w:hAnsi="Verdana" w:cs="Verdana"/>
          <w:i/>
          <w:spacing w:val="-1"/>
          <w:sz w:val="16"/>
          <w:szCs w:val="16"/>
          <w:lang w:val="es-CR"/>
        </w:rPr>
        <w:t>R</w:t>
      </w:r>
      <w:r w:rsidRPr="007D3F3C">
        <w:rPr>
          <w:rFonts w:ascii="Verdana" w:eastAsia="Verdana" w:hAnsi="Verdana" w:cs="Verdana"/>
          <w:i/>
          <w:spacing w:val="1"/>
          <w:sz w:val="16"/>
          <w:szCs w:val="16"/>
          <w:lang w:val="es-CR"/>
        </w:rPr>
        <w:t>o</w:t>
      </w:r>
      <w:r w:rsidRPr="007D3F3C">
        <w:rPr>
          <w:rFonts w:ascii="Verdana" w:eastAsia="Verdana" w:hAnsi="Verdana" w:cs="Verdana"/>
          <w:i/>
          <w:spacing w:val="-2"/>
          <w:sz w:val="16"/>
          <w:szCs w:val="16"/>
          <w:lang w:val="es-CR"/>
        </w:rPr>
        <w:t>d</w:t>
      </w:r>
      <w:r w:rsidRPr="007D3F3C">
        <w:rPr>
          <w:rFonts w:ascii="Verdana" w:eastAsia="Verdana" w:hAnsi="Verdana" w:cs="Verdana"/>
          <w:i/>
          <w:spacing w:val="1"/>
          <w:sz w:val="16"/>
          <w:szCs w:val="16"/>
          <w:lang w:val="es-CR"/>
        </w:rPr>
        <w:t>r</w:t>
      </w:r>
      <w:r w:rsidRPr="007D3F3C">
        <w:rPr>
          <w:rFonts w:ascii="Verdana" w:eastAsia="Verdana" w:hAnsi="Verdana" w:cs="Verdana"/>
          <w:i/>
          <w:spacing w:val="-1"/>
          <w:sz w:val="16"/>
          <w:szCs w:val="16"/>
          <w:lang w:val="es-CR"/>
        </w:rPr>
        <w:t>í</w:t>
      </w:r>
      <w:r w:rsidRPr="007D3F3C">
        <w:rPr>
          <w:rFonts w:ascii="Verdana" w:eastAsia="Verdana" w:hAnsi="Verdana" w:cs="Verdana"/>
          <w:i/>
          <w:spacing w:val="1"/>
          <w:sz w:val="16"/>
          <w:szCs w:val="16"/>
          <w:lang w:val="es-CR"/>
        </w:rPr>
        <w:t>g</w:t>
      </w:r>
      <w:r w:rsidRPr="007D3F3C">
        <w:rPr>
          <w:rFonts w:ascii="Verdana" w:eastAsia="Verdana" w:hAnsi="Verdana" w:cs="Verdana"/>
          <w:i/>
          <w:spacing w:val="-1"/>
          <w:sz w:val="16"/>
          <w:szCs w:val="16"/>
          <w:lang w:val="es-CR"/>
        </w:rPr>
        <w:t>u</w:t>
      </w:r>
      <w:r w:rsidRPr="007D3F3C">
        <w:rPr>
          <w:rFonts w:ascii="Verdana" w:eastAsia="Verdana" w:hAnsi="Verdana" w:cs="Verdana"/>
          <w:i/>
          <w:spacing w:val="-2"/>
          <w:sz w:val="16"/>
          <w:szCs w:val="16"/>
          <w:lang w:val="es-CR"/>
        </w:rPr>
        <w:t>e</w:t>
      </w:r>
      <w:r w:rsidRPr="007D3F3C">
        <w:rPr>
          <w:rFonts w:ascii="Verdana" w:eastAsia="Verdana" w:hAnsi="Verdana" w:cs="Verdana"/>
          <w:i/>
          <w:sz w:val="16"/>
          <w:szCs w:val="16"/>
          <w:lang w:val="es-CR"/>
        </w:rPr>
        <w:t>z</w:t>
      </w:r>
      <w:r w:rsidRPr="007D3F3C">
        <w:rPr>
          <w:rFonts w:ascii="Verdana" w:eastAsia="Verdana" w:hAnsi="Verdana" w:cs="Verdana"/>
          <w:i/>
          <w:spacing w:val="3"/>
          <w:sz w:val="16"/>
          <w:szCs w:val="16"/>
          <w:lang w:val="es-CR"/>
        </w:rPr>
        <w:t xml:space="preserve"> </w:t>
      </w:r>
      <w:r w:rsidRPr="007D3F3C">
        <w:rPr>
          <w:rFonts w:ascii="Verdana" w:eastAsia="Verdana" w:hAnsi="Verdana" w:cs="Verdana"/>
          <w:i/>
          <w:spacing w:val="1"/>
          <w:sz w:val="16"/>
          <w:szCs w:val="16"/>
          <w:lang w:val="es-CR"/>
        </w:rPr>
        <w:t>v.</w:t>
      </w:r>
      <w:r w:rsidRPr="007D3F3C">
        <w:rPr>
          <w:rFonts w:ascii="Verdana" w:eastAsia="Verdana" w:hAnsi="Verdana" w:cs="Verdana"/>
          <w:i/>
          <w:spacing w:val="3"/>
          <w:sz w:val="16"/>
          <w:szCs w:val="16"/>
          <w:lang w:val="es-CR"/>
        </w:rPr>
        <w:t xml:space="preserve"> </w:t>
      </w:r>
      <w:r w:rsidRPr="007D3F3C">
        <w:rPr>
          <w:rFonts w:ascii="Verdana" w:eastAsia="Verdana" w:hAnsi="Verdana" w:cs="Verdana"/>
          <w:i/>
          <w:spacing w:val="-1"/>
          <w:sz w:val="16"/>
          <w:szCs w:val="16"/>
          <w:lang w:val="es-CR"/>
        </w:rPr>
        <w:t>H</w:t>
      </w:r>
      <w:r w:rsidRPr="007D3F3C">
        <w:rPr>
          <w:rFonts w:ascii="Verdana" w:eastAsia="Verdana" w:hAnsi="Verdana" w:cs="Verdana"/>
          <w:i/>
          <w:spacing w:val="1"/>
          <w:sz w:val="16"/>
          <w:szCs w:val="16"/>
          <w:lang w:val="es-CR"/>
        </w:rPr>
        <w:t>o</w:t>
      </w:r>
      <w:r w:rsidRPr="007D3F3C">
        <w:rPr>
          <w:rFonts w:ascii="Verdana" w:eastAsia="Verdana" w:hAnsi="Verdana" w:cs="Verdana"/>
          <w:i/>
          <w:spacing w:val="-3"/>
          <w:sz w:val="16"/>
          <w:szCs w:val="16"/>
          <w:lang w:val="es-CR"/>
        </w:rPr>
        <w:t>n</w:t>
      </w:r>
      <w:r w:rsidRPr="007D3F3C">
        <w:rPr>
          <w:rFonts w:ascii="Verdana" w:eastAsia="Verdana" w:hAnsi="Verdana" w:cs="Verdana"/>
          <w:i/>
          <w:sz w:val="16"/>
          <w:szCs w:val="16"/>
          <w:lang w:val="es-CR"/>
        </w:rPr>
        <w:t>d</w:t>
      </w:r>
      <w:r w:rsidRPr="007D3F3C">
        <w:rPr>
          <w:rFonts w:ascii="Verdana" w:eastAsia="Verdana" w:hAnsi="Verdana" w:cs="Verdana"/>
          <w:i/>
          <w:spacing w:val="-1"/>
          <w:sz w:val="16"/>
          <w:szCs w:val="16"/>
          <w:lang w:val="es-CR"/>
        </w:rPr>
        <w:t>u</w:t>
      </w:r>
      <w:r w:rsidRPr="007D3F3C">
        <w:rPr>
          <w:rFonts w:ascii="Verdana" w:eastAsia="Verdana" w:hAnsi="Verdana" w:cs="Verdana"/>
          <w:i/>
          <w:spacing w:val="1"/>
          <w:sz w:val="16"/>
          <w:szCs w:val="16"/>
          <w:lang w:val="es-CR"/>
        </w:rPr>
        <w:t>r</w:t>
      </w:r>
      <w:r w:rsidRPr="007D3F3C">
        <w:rPr>
          <w:rFonts w:ascii="Verdana" w:eastAsia="Verdana" w:hAnsi="Verdana" w:cs="Verdana"/>
          <w:i/>
          <w:spacing w:val="-1"/>
          <w:sz w:val="16"/>
          <w:szCs w:val="16"/>
          <w:lang w:val="es-CR"/>
        </w:rPr>
        <w:t>a</w:t>
      </w:r>
      <w:r w:rsidRPr="007D3F3C">
        <w:rPr>
          <w:rFonts w:ascii="Verdana" w:eastAsia="Verdana" w:hAnsi="Verdana" w:cs="Verdana"/>
          <w:i/>
          <w:sz w:val="16"/>
          <w:szCs w:val="16"/>
          <w:lang w:val="es-CR"/>
        </w:rPr>
        <w:t xml:space="preserve">s. </w:t>
      </w:r>
      <w:r w:rsidRPr="007D3F3C">
        <w:rPr>
          <w:rFonts w:ascii="Verdana" w:eastAsia="Verdana" w:hAnsi="Verdana" w:cs="Verdana"/>
          <w:i/>
          <w:spacing w:val="1"/>
          <w:sz w:val="16"/>
          <w:szCs w:val="16"/>
          <w:lang w:val="es-CR"/>
        </w:rPr>
        <w:t>Merits,</w:t>
      </w:r>
      <w:r w:rsidRPr="007D3F3C">
        <w:rPr>
          <w:rFonts w:ascii="Verdana" w:eastAsia="Verdana" w:hAnsi="Verdana" w:cs="Verdana"/>
          <w:i/>
          <w:spacing w:val="2"/>
          <w:sz w:val="16"/>
          <w:szCs w:val="16"/>
          <w:lang w:val="es-CR"/>
        </w:rPr>
        <w:t xml:space="preserve"> </w:t>
      </w:r>
      <w:r w:rsidRPr="007D3F3C">
        <w:rPr>
          <w:rFonts w:ascii="Verdana" w:eastAsia="Verdana" w:hAnsi="Verdana" w:cs="Verdana"/>
          <w:i/>
          <w:sz w:val="16"/>
          <w:szCs w:val="16"/>
          <w:lang w:val="es-CR"/>
        </w:rPr>
        <w:t>s</w:t>
      </w:r>
      <w:r w:rsidRPr="007D3F3C">
        <w:rPr>
          <w:rFonts w:ascii="Verdana" w:eastAsia="Verdana" w:hAnsi="Verdana" w:cs="Verdana"/>
          <w:i/>
          <w:spacing w:val="-3"/>
          <w:sz w:val="16"/>
          <w:szCs w:val="16"/>
          <w:lang w:val="es-CR"/>
        </w:rPr>
        <w:t>u</w:t>
      </w:r>
      <w:r w:rsidRPr="007D3F3C">
        <w:rPr>
          <w:rFonts w:ascii="Verdana" w:eastAsia="Verdana" w:hAnsi="Verdana" w:cs="Verdana"/>
          <w:i/>
          <w:sz w:val="16"/>
          <w:szCs w:val="16"/>
          <w:lang w:val="es-CR"/>
        </w:rPr>
        <w:t>p</w:t>
      </w:r>
      <w:r w:rsidRPr="007D3F3C">
        <w:rPr>
          <w:rFonts w:ascii="Verdana" w:eastAsia="Verdana" w:hAnsi="Verdana" w:cs="Verdana"/>
          <w:i/>
          <w:spacing w:val="1"/>
          <w:sz w:val="16"/>
          <w:szCs w:val="16"/>
          <w:lang w:val="es-CR"/>
        </w:rPr>
        <w:t>r</w:t>
      </w:r>
      <w:r w:rsidRPr="007D3F3C">
        <w:rPr>
          <w:rFonts w:ascii="Verdana" w:eastAsia="Verdana" w:hAnsi="Verdana" w:cs="Verdana"/>
          <w:i/>
          <w:spacing w:val="-3"/>
          <w:sz w:val="16"/>
          <w:szCs w:val="16"/>
          <w:lang w:val="es-CR"/>
        </w:rPr>
        <w:t>a</w:t>
      </w:r>
      <w:r w:rsidRPr="007D3F3C">
        <w:rPr>
          <w:rFonts w:ascii="Verdana" w:eastAsia="Verdana" w:hAnsi="Verdana" w:cs="Verdana"/>
          <w:i/>
          <w:sz w:val="16"/>
          <w:szCs w:val="16"/>
          <w:lang w:val="es-CR"/>
        </w:rPr>
        <w:t>,</w:t>
      </w:r>
      <w:r w:rsidRPr="007D3F3C">
        <w:rPr>
          <w:rFonts w:ascii="Verdana" w:eastAsia="Verdana" w:hAnsi="Verdana" w:cs="Verdana"/>
          <w:i/>
          <w:spacing w:val="7"/>
          <w:sz w:val="16"/>
          <w:szCs w:val="16"/>
          <w:lang w:val="es-CR"/>
        </w:rPr>
        <w:t xml:space="preserve"> </w:t>
      </w:r>
      <w:r w:rsidRPr="007D3F3C">
        <w:rPr>
          <w:rFonts w:ascii="Verdana" w:eastAsia="Verdana" w:hAnsi="Verdana" w:cs="Verdana"/>
          <w:sz w:val="16"/>
          <w:szCs w:val="16"/>
          <w:lang w:val="es-CR"/>
        </w:rPr>
        <w:t xml:space="preserve">para. </w:t>
      </w:r>
      <w:r w:rsidRPr="007D3F3C">
        <w:rPr>
          <w:rFonts w:ascii="Verdana" w:eastAsia="Verdana" w:hAnsi="Verdana" w:cs="Verdana"/>
          <w:spacing w:val="-1"/>
          <w:sz w:val="16"/>
          <w:szCs w:val="16"/>
          <w:lang w:val="es-CR"/>
        </w:rPr>
        <w:t>1</w:t>
      </w:r>
      <w:r w:rsidRPr="007D3F3C">
        <w:rPr>
          <w:rFonts w:ascii="Verdana" w:eastAsia="Verdana" w:hAnsi="Verdana" w:cs="Verdana"/>
          <w:spacing w:val="1"/>
          <w:sz w:val="16"/>
          <w:szCs w:val="16"/>
          <w:lang w:val="es-CR"/>
        </w:rPr>
        <w:t>46</w:t>
      </w:r>
      <w:r w:rsidRPr="007D3F3C">
        <w:rPr>
          <w:rFonts w:ascii="Verdana" w:eastAsia="Verdana" w:hAnsi="Verdana" w:cs="Verdana"/>
          <w:sz w:val="16"/>
          <w:szCs w:val="16"/>
          <w:lang w:val="es-CR"/>
        </w:rPr>
        <w:t>,</w:t>
      </w:r>
      <w:r w:rsidRPr="007D3F3C">
        <w:rPr>
          <w:rFonts w:ascii="Verdana" w:eastAsia="Verdana" w:hAnsi="Verdana" w:cs="Verdana"/>
          <w:spacing w:val="1"/>
          <w:sz w:val="16"/>
          <w:szCs w:val="16"/>
          <w:lang w:val="es-CR"/>
        </w:rPr>
        <w:t xml:space="preserve"> and </w:t>
      </w:r>
      <w:r w:rsidRPr="007D3F3C">
        <w:rPr>
          <w:rFonts w:ascii="Verdana" w:eastAsia="Verdana" w:hAnsi="Verdana" w:cs="Verdana"/>
          <w:i/>
          <w:spacing w:val="4"/>
          <w:sz w:val="16"/>
          <w:szCs w:val="16"/>
          <w:lang w:val="es-CR"/>
        </w:rPr>
        <w:t>Case of López Lone et al. v. Honduras, supra</w:t>
      </w:r>
      <w:r w:rsidRPr="007D3F3C">
        <w:rPr>
          <w:rFonts w:ascii="Verdana" w:eastAsia="Verdana" w:hAnsi="Verdana" w:cs="Verdana"/>
          <w:spacing w:val="4"/>
          <w:sz w:val="16"/>
          <w:szCs w:val="16"/>
          <w:lang w:val="es-CR"/>
        </w:rPr>
        <w:t xml:space="preserve">, para. </w:t>
      </w:r>
      <w:r w:rsidRPr="007D3F3C">
        <w:rPr>
          <w:rFonts w:ascii="Verdana" w:eastAsia="Verdana" w:hAnsi="Verdana" w:cs="Verdana"/>
          <w:spacing w:val="4"/>
          <w:sz w:val="16"/>
          <w:szCs w:val="16"/>
          <w:lang w:val="en-US"/>
        </w:rPr>
        <w:t>32.</w:t>
      </w:r>
    </w:p>
  </w:footnote>
  <w:footnote w:id="23">
    <w:p w14:paraId="2C2C94E3" w14:textId="77777777" w:rsidR="00576E40" w:rsidRPr="007D3F3C" w:rsidRDefault="00576E40" w:rsidP="00551CA7">
      <w:pPr>
        <w:pStyle w:val="Footnotes"/>
        <w:tabs>
          <w:tab w:val="clear" w:pos="567"/>
          <w:tab w:val="left" w:pos="720"/>
        </w:tabs>
        <w:rPr>
          <w:lang w:val="en-US"/>
        </w:rPr>
      </w:pPr>
      <w:r w:rsidRPr="007D3F3C">
        <w:rPr>
          <w:rStyle w:val="Refdenotaalpie"/>
          <w:lang w:val="en-US"/>
        </w:rPr>
        <w:footnoteRef/>
      </w:r>
      <w:r w:rsidRPr="007D3F3C">
        <w:rPr>
          <w:lang w:val="en-US"/>
        </w:rPr>
        <w:t xml:space="preserve"> </w:t>
      </w:r>
      <w:r w:rsidRPr="007D3F3C">
        <w:rPr>
          <w:lang w:val="en-US"/>
        </w:rPr>
        <w:tab/>
      </w:r>
      <w:r w:rsidRPr="007D3F3C">
        <w:rPr>
          <w:i/>
          <w:lang w:val="en-US"/>
        </w:rPr>
        <w:t>Cf. Case of the “White Van” (Paniagua Morales et al.) v. Guatemala. Merits.</w:t>
      </w:r>
      <w:r w:rsidRPr="007D3F3C">
        <w:rPr>
          <w:lang w:val="en-US"/>
        </w:rPr>
        <w:t xml:space="preserve"> Judgment of March 8, 1998. Series C No 37, paras. 69 al 76, and </w:t>
      </w:r>
      <w:r w:rsidRPr="007D3F3C">
        <w:rPr>
          <w:i/>
          <w:lang w:val="en-US"/>
        </w:rPr>
        <w:t xml:space="preserve">Case of López Lone et al. v. Honduras, supra, </w:t>
      </w:r>
      <w:r w:rsidRPr="007D3F3C">
        <w:rPr>
          <w:lang w:val="en-US"/>
        </w:rPr>
        <w:t>para. 40.</w:t>
      </w:r>
    </w:p>
  </w:footnote>
  <w:footnote w:id="24">
    <w:p w14:paraId="4558A60D" w14:textId="77777777" w:rsidR="00576E40" w:rsidRPr="007D3F3C" w:rsidRDefault="00576E40" w:rsidP="00551CA7">
      <w:pPr>
        <w:pStyle w:val="Footnotes"/>
        <w:tabs>
          <w:tab w:val="clear" w:pos="567"/>
        </w:tabs>
        <w:rPr>
          <w:lang w:val="en-US"/>
        </w:rPr>
      </w:pPr>
      <w:r w:rsidRPr="007D3F3C">
        <w:rPr>
          <w:rStyle w:val="Refdenotaalpie"/>
          <w:lang w:val="en-US"/>
        </w:rPr>
        <w:footnoteRef/>
      </w:r>
      <w:r w:rsidRPr="007D3F3C">
        <w:rPr>
          <w:lang w:val="en-US"/>
        </w:rPr>
        <w:t xml:space="preserve"> </w:t>
      </w:r>
      <w:r w:rsidRPr="007D3F3C">
        <w:rPr>
          <w:lang w:val="en-US"/>
        </w:rPr>
        <w:tab/>
      </w:r>
      <w:r w:rsidRPr="007D3F3C">
        <w:rPr>
          <w:i/>
          <w:lang w:val="en-US"/>
        </w:rPr>
        <w:t>Cf. Case of Loayza Tamayo v. Peru. Merits.</w:t>
      </w:r>
      <w:r w:rsidRPr="007D3F3C">
        <w:rPr>
          <w:lang w:val="en-US"/>
        </w:rPr>
        <w:t xml:space="preserve"> Judgment of September 17, 1997. </w:t>
      </w:r>
      <w:r w:rsidRPr="007D3F3C">
        <w:rPr>
          <w:lang w:val="es-CR"/>
        </w:rPr>
        <w:t xml:space="preserve">Series C No 33, para. 43, and </w:t>
      </w:r>
      <w:r w:rsidRPr="007D3F3C">
        <w:rPr>
          <w:i/>
          <w:lang w:val="es-CR"/>
        </w:rPr>
        <w:t xml:space="preserve">Case of López </w:t>
      </w:r>
      <w:r w:rsidRPr="007D3F3C">
        <w:rPr>
          <w:i/>
          <w:lang w:val="es-CR"/>
        </w:rPr>
        <w:t xml:space="preserve">Lone et al. v. Honduras, supra, </w:t>
      </w:r>
      <w:r w:rsidRPr="007D3F3C">
        <w:rPr>
          <w:lang w:val="es-CR"/>
        </w:rPr>
        <w:t xml:space="preserve">para. </w:t>
      </w:r>
      <w:r w:rsidRPr="007D3F3C">
        <w:rPr>
          <w:lang w:val="en-US"/>
        </w:rPr>
        <w:t>41.</w:t>
      </w:r>
    </w:p>
  </w:footnote>
  <w:footnote w:id="25">
    <w:p w14:paraId="74E7158A" w14:textId="77777777" w:rsidR="00576E40" w:rsidRPr="007D3F3C" w:rsidRDefault="00576E40" w:rsidP="00551CA7">
      <w:pPr>
        <w:pStyle w:val="Textonotapie"/>
        <w:jc w:val="both"/>
        <w:rPr>
          <w:rStyle w:val="Textoennegrita"/>
          <w:rFonts w:ascii="Verdana" w:hAnsi="Verdana"/>
          <w:b w:val="0"/>
          <w:color w:val="000000"/>
          <w:sz w:val="16"/>
          <w:szCs w:val="16"/>
          <w:shd w:val="clear" w:color="auto" w:fill="FFFFFF"/>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b/>
          <w:sz w:val="16"/>
          <w:szCs w:val="16"/>
          <w:lang w:val="en-US"/>
        </w:rPr>
        <w:t xml:space="preserve"> </w:t>
      </w:r>
      <w:r w:rsidRPr="007D3F3C">
        <w:rPr>
          <w:rStyle w:val="Textoennegrita"/>
          <w:rFonts w:ascii="Verdana" w:hAnsi="Verdan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b w:val="0"/>
          <w:color w:val="000000"/>
          <w:sz w:val="16"/>
          <w:szCs w:val="16"/>
          <w:shd w:val="clear" w:color="auto" w:fill="FFFFFF"/>
          <w:lang w:val="en-US"/>
        </w:rPr>
        <w:t xml:space="preserve">. Judgment of November 20, 2014. Series C No. 289, para. 49, and </w:t>
      </w:r>
      <w:r w:rsidRPr="007D3F3C">
        <w:rPr>
          <w:rStyle w:val="Textoennegrita"/>
          <w:rFonts w:ascii="Verdana" w:hAnsi="Verdana"/>
          <w:b w:val="0"/>
          <w:i/>
          <w:color w:val="000000"/>
          <w:sz w:val="16"/>
          <w:szCs w:val="16"/>
          <w:shd w:val="clear" w:color="auto" w:fill="FFFFFF"/>
          <w:lang w:val="en-US"/>
        </w:rPr>
        <w:t>Case of</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b w:val="0"/>
          <w:i/>
          <w:color w:val="000000"/>
          <w:sz w:val="16"/>
          <w:szCs w:val="16"/>
          <w:shd w:val="clear" w:color="auto" w:fill="FFFFFF"/>
          <w:lang w:val="en-US"/>
        </w:rPr>
        <w:t>López Lone et al. v. Honduras. Preliminary objection, merits, reparations and costs</w:t>
      </w:r>
      <w:r w:rsidRPr="007D3F3C">
        <w:rPr>
          <w:rStyle w:val="Textoennegrita"/>
          <w:rFonts w:ascii="Verdana" w:hAnsi="Verdana"/>
          <w:b w:val="0"/>
          <w:color w:val="000000"/>
          <w:sz w:val="16"/>
          <w:szCs w:val="16"/>
          <w:shd w:val="clear" w:color="auto" w:fill="FFFFFF"/>
          <w:lang w:val="en-US"/>
        </w:rPr>
        <w:t>. Judgment of October 5, 2015. Series C No. 302, para. 43.</w:t>
      </w:r>
    </w:p>
  </w:footnote>
  <w:footnote w:id="26">
    <w:p w14:paraId="603240A6" w14:textId="77777777" w:rsidR="00576E40" w:rsidRPr="007D3F3C" w:rsidRDefault="00576E40" w:rsidP="00551CA7">
      <w:pPr>
        <w:pStyle w:val="Textonotapie"/>
        <w:tabs>
          <w:tab w:val="left" w:pos="720"/>
          <w:tab w:val="left" w:pos="8280"/>
        </w:tabs>
        <w:jc w:val="both"/>
        <w:rPr>
          <w:rFonts w:ascii="Verdana" w:hAnsi="Verdana"/>
          <w:bCs/>
          <w:sz w:val="16"/>
          <w:szCs w:val="16"/>
          <w:shd w:val="clear" w:color="auto" w:fill="FFFFFF"/>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Style w:val="Textoennegrita"/>
          <w:rFonts w:ascii="Verdana" w:hAnsi="Verdana"/>
          <w:b w:val="0"/>
          <w:i/>
          <w:color w:val="000000"/>
          <w:sz w:val="16"/>
          <w:szCs w:val="16"/>
          <w:shd w:val="clear" w:color="auto" w:fill="FFFFFF"/>
          <w:lang w:val="en-US"/>
        </w:rPr>
        <w:t xml:space="preserve">Case of Veliz Franco et al. v. Guatemala. </w:t>
      </w:r>
      <w:r w:rsidRPr="007D3F3C">
        <w:rPr>
          <w:rFonts w:ascii="Verdana" w:hAnsi="Verdana"/>
          <w:bCs/>
          <w:i/>
          <w:sz w:val="16"/>
          <w:szCs w:val="16"/>
          <w:lang w:val="en-US"/>
        </w:rPr>
        <w:t>Preliminary objections, merits, reparations and costs.</w:t>
      </w:r>
      <w:r w:rsidRPr="007D3F3C">
        <w:rPr>
          <w:rFonts w:ascii="Verdana" w:hAnsi="Verdana"/>
          <w:bCs/>
          <w:sz w:val="16"/>
          <w:szCs w:val="16"/>
          <w:lang w:val="en-US"/>
        </w:rPr>
        <w:t xml:space="preserve"> Judgment of May 19, 2014. Series C No. 277</w:t>
      </w:r>
      <w:r w:rsidRPr="007D3F3C">
        <w:rPr>
          <w:rStyle w:val="Textoennegrita"/>
          <w:rFonts w:ascii="Verdana" w:hAnsi="Verdana"/>
          <w:b w:val="0"/>
          <w:color w:val="000000"/>
          <w:sz w:val="16"/>
          <w:szCs w:val="16"/>
          <w:shd w:val="clear" w:color="auto" w:fill="FFFFFF"/>
          <w:lang w:val="en-US"/>
        </w:rPr>
        <w:t xml:space="preserve">, para. 68. </w:t>
      </w:r>
      <w:r w:rsidRPr="007D3F3C">
        <w:rPr>
          <w:rStyle w:val="Textoennegrita"/>
          <w:rFonts w:ascii="Verdana" w:hAnsi="Verdana"/>
          <w:b w:val="0"/>
          <w:i/>
          <w:color w:val="000000"/>
          <w:sz w:val="16"/>
          <w:szCs w:val="16"/>
          <w:shd w:val="clear" w:color="auto" w:fill="FFFFFF"/>
          <w:lang w:val="en-US"/>
        </w:rPr>
        <w:t>Citing,</w:t>
      </w:r>
      <w:r w:rsidRPr="007D3F3C">
        <w:rPr>
          <w:rStyle w:val="Textoennegrita"/>
          <w:rFonts w:ascii="Verdana" w:hAnsi="Verdana"/>
          <w:b w:val="0"/>
          <w:color w:val="000000"/>
          <w:sz w:val="16"/>
          <w:szCs w:val="16"/>
          <w:shd w:val="clear" w:color="auto" w:fill="FFFFFF"/>
          <w:lang w:val="en-US"/>
        </w:rPr>
        <w:t xml:space="preserve"> </w:t>
      </w:r>
      <w:r w:rsidRPr="007D3F3C">
        <w:rPr>
          <w:rFonts w:ascii="Verdana" w:hAnsi="Verdana"/>
          <w:sz w:val="16"/>
          <w:szCs w:val="16"/>
          <w:lang w:val="en-US" w:eastAsia="es-CR"/>
        </w:rPr>
        <w:t>CEH, “</w:t>
      </w:r>
      <w:r w:rsidRPr="007D3F3C">
        <w:rPr>
          <w:rFonts w:ascii="Verdana" w:hAnsi="Verdana"/>
          <w:i/>
          <w:iCs/>
          <w:sz w:val="16"/>
          <w:szCs w:val="16"/>
          <w:lang w:val="en-US" w:eastAsia="es-CR"/>
        </w:rPr>
        <w:t>Guatemala: Memoria del Silencio,</w:t>
      </w:r>
      <w:r w:rsidRPr="007D3F3C">
        <w:rPr>
          <w:rFonts w:ascii="Verdana" w:hAnsi="Verdana"/>
          <w:sz w:val="16"/>
          <w:szCs w:val="16"/>
          <w:lang w:val="en-US" w:eastAsia="es-CR"/>
        </w:rPr>
        <w:t>” volume III, June 1999,</w:t>
      </w:r>
      <w:r w:rsidRPr="007D3F3C">
        <w:rPr>
          <w:rFonts w:ascii="Verdana" w:hAnsi="Verdana"/>
          <w:sz w:val="16"/>
          <w:szCs w:val="16"/>
          <w:lang w:val="en-US"/>
        </w:rPr>
        <w:t xml:space="preserve"> pp. 13 and 27.</w:t>
      </w:r>
      <w:r w:rsidRPr="007D3F3C">
        <w:rPr>
          <w:rFonts w:ascii="Verdana" w:hAnsi="Verdana"/>
          <w:sz w:val="16"/>
          <w:szCs w:val="16"/>
          <w:lang w:val="en-US" w:eastAsia="es-CR"/>
        </w:rPr>
        <w:t xml:space="preserve"> Available at: </w:t>
      </w:r>
      <w:hyperlink r:id="rId3" w:history="1">
        <w:r w:rsidRPr="007D3F3C">
          <w:rPr>
            <w:rStyle w:val="Hipervnculo"/>
            <w:rFonts w:ascii="Verdana" w:hAnsi="Verdana"/>
            <w:color w:val="auto"/>
            <w:sz w:val="16"/>
            <w:szCs w:val="16"/>
            <w:u w:val="none"/>
            <w:lang w:val="en-US" w:eastAsia="es-CR"/>
          </w:rPr>
          <w:t>http://www.iom.int/seguridad-fronteriza/lit/land/cap2_2.pdf</w:t>
        </w:r>
      </w:hyperlink>
      <w:r w:rsidRPr="007D3F3C">
        <w:rPr>
          <w:rFonts w:ascii="Verdana" w:hAnsi="Verdana"/>
          <w:sz w:val="16"/>
          <w:szCs w:val="16"/>
          <w:lang w:val="en-US" w:eastAsia="es-CR"/>
        </w:rPr>
        <w:t xml:space="preserve"> </w:t>
      </w:r>
    </w:p>
  </w:footnote>
  <w:footnote w:id="27">
    <w:p w14:paraId="02E7015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b/>
          <w:sz w:val="16"/>
          <w:szCs w:val="16"/>
          <w:lang w:val="es-CR"/>
        </w:rPr>
        <w:t xml:space="preserve"> </w:t>
      </w:r>
      <w:r w:rsidRPr="007D3F3C">
        <w:rPr>
          <w:rStyle w:val="Textoennegrita"/>
          <w:rFonts w:ascii="Verdana" w:hAnsi="Verdana"/>
          <w:b w:val="0"/>
          <w:i/>
          <w:color w:val="000000"/>
          <w:sz w:val="16"/>
          <w:szCs w:val="16"/>
          <w:shd w:val="clear" w:color="auto" w:fill="FFFFFF"/>
          <w:lang w:val="es-CR"/>
        </w:rPr>
        <w:t>Case of Veliz Franco et al. v. Guatemala</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xml:space="preserve">, paras. </w:t>
      </w:r>
      <w:r w:rsidRPr="007D3F3C">
        <w:rPr>
          <w:rStyle w:val="Textoennegrita"/>
          <w:rFonts w:ascii="Verdana" w:hAnsi="Verdana"/>
          <w:b w:val="0"/>
          <w:color w:val="000000"/>
          <w:sz w:val="16"/>
          <w:szCs w:val="16"/>
          <w:shd w:val="clear" w:color="auto" w:fill="FFFFFF"/>
          <w:lang w:val="en-US"/>
        </w:rPr>
        <w:t xml:space="preserve">73, 81 and 152. </w:t>
      </w:r>
      <w:r w:rsidRPr="007D3F3C">
        <w:rPr>
          <w:rFonts w:ascii="Verdana" w:hAnsi="Verdana"/>
          <w:sz w:val="16"/>
          <w:szCs w:val="16"/>
          <w:lang w:val="en-US"/>
        </w:rPr>
        <w:t xml:space="preserve">The Court notes that, in May 2008, Guatemala adopted Decree No. 22-2008 or the Law against Femicide and other forms of violence against women, which defined actionable offenses, including that of “femicide.” Article 3 of the law states that this offense consists in the “[v]iolent death of a woman in the context of unequal power relations between men and women, in the exercise of the power of gender against women.” Furthermore, in the judgment in the case of </w:t>
      </w:r>
      <w:r w:rsidRPr="007D3F3C">
        <w:rPr>
          <w:rFonts w:ascii="Verdana" w:hAnsi="Verdana"/>
          <w:i/>
          <w:iCs/>
          <w:sz w:val="16"/>
          <w:szCs w:val="16"/>
          <w:lang w:val="en-US"/>
        </w:rPr>
        <w:t>González et al. (“Cotton Field”) v. Mexico</w:t>
      </w:r>
      <w:r w:rsidRPr="007D3F3C">
        <w:rPr>
          <w:rFonts w:ascii="Verdana" w:hAnsi="Verdana"/>
          <w:sz w:val="16"/>
          <w:szCs w:val="16"/>
          <w:lang w:val="en-US"/>
        </w:rPr>
        <w:t xml:space="preserve">, this Court used the expression “’gender-based murder of a woman,’ also known as femicide.” </w:t>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i/>
          <w:iCs/>
          <w:sz w:val="16"/>
          <w:szCs w:val="16"/>
          <w:lang w:val="en-US"/>
        </w:rPr>
        <w:t xml:space="preserve">Case of González et al. (“Cotton Field”) v. Mexico. Preliminary objection, merits, reparations and costs. </w:t>
      </w:r>
      <w:r w:rsidRPr="007D3F3C">
        <w:rPr>
          <w:rFonts w:ascii="Verdana" w:hAnsi="Verdana"/>
          <w:iCs/>
          <w:sz w:val="16"/>
          <w:szCs w:val="16"/>
          <w:lang w:val="en-US"/>
        </w:rPr>
        <w:t>Judgment of November 16, 2009. Series C No. 205,</w:t>
      </w:r>
      <w:r w:rsidRPr="007D3F3C">
        <w:rPr>
          <w:rFonts w:ascii="Verdana" w:hAnsi="Verdana"/>
          <w:i/>
          <w:iCs/>
          <w:sz w:val="16"/>
          <w:szCs w:val="16"/>
          <w:lang w:val="en-US"/>
        </w:rPr>
        <w:t xml:space="preserve"> </w:t>
      </w:r>
      <w:r w:rsidRPr="007D3F3C">
        <w:rPr>
          <w:rFonts w:ascii="Verdana" w:hAnsi="Verdana"/>
          <w:sz w:val="16"/>
          <w:szCs w:val="16"/>
          <w:lang w:val="en-US"/>
        </w:rPr>
        <w:t>para. 143. The Court clarifies that, for the purposes of this judgment, it will use the expression “gender-based murder of a woman” to refer to “femicide.”</w:t>
      </w:r>
    </w:p>
  </w:footnote>
  <w:footnote w:id="28">
    <w:p w14:paraId="732B22B2" w14:textId="77777777" w:rsidR="00576E40" w:rsidRPr="007D3F3C" w:rsidRDefault="00576E40" w:rsidP="00551CA7">
      <w:pPr>
        <w:pStyle w:val="Textonotapie"/>
        <w:jc w:val="both"/>
        <w:rPr>
          <w:rFonts w:ascii="Verdana" w:eastAsia="Calibri"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b/>
          <w:sz w:val="16"/>
          <w:szCs w:val="16"/>
          <w:lang w:val="en-US"/>
        </w:rPr>
        <w:tab/>
      </w:r>
      <w:r w:rsidRPr="007D3F3C">
        <w:rPr>
          <w:rFonts w:ascii="Verdana" w:hAnsi="Verdana" w:cs="Calibri"/>
          <w:i/>
          <w:sz w:val="16"/>
          <w:szCs w:val="16"/>
          <w:lang w:val="en-US"/>
        </w:rPr>
        <w:t>Cf.</w:t>
      </w:r>
      <w:r w:rsidRPr="007D3F3C">
        <w:rPr>
          <w:rFonts w:ascii="Verdana" w:hAnsi="Verdana" w:cs="Calibri"/>
          <w:sz w:val="16"/>
          <w:szCs w:val="16"/>
          <w:lang w:val="en-US"/>
        </w:rPr>
        <w:t xml:space="preserve"> </w:t>
      </w:r>
      <w:r w:rsidRPr="007D3F3C">
        <w:rPr>
          <w:rFonts w:ascii="Verdana" w:hAnsi="Verdana"/>
          <w:sz w:val="16"/>
          <w:szCs w:val="16"/>
          <w:lang w:val="en-US"/>
        </w:rPr>
        <w:t xml:space="preserve">Economic and Social Council, “Report of the Special Rapporteur on violence against women, its causes and consequences,” Mission to Guatemala, E/CN.4/2005/72/Add.3, February 10, 2005, paras. 28 and 29. Available at: </w:t>
      </w:r>
      <w:hyperlink r:id="rId4" w:history="1">
        <w:r w:rsidRPr="007D3F3C">
          <w:rPr>
            <w:rStyle w:val="Hipervnculo"/>
            <w:rFonts w:ascii="Verdana" w:eastAsia="Calibri" w:hAnsi="Verdana"/>
            <w:sz w:val="16"/>
            <w:szCs w:val="16"/>
            <w:lang w:val="en-US"/>
          </w:rPr>
          <w:t>https://documents-dds-ny.un.org/doc/UNDOC/GEN/G05/108/17/PDF/G0510817.pdf?OpenElement</w:t>
        </w:r>
      </w:hyperlink>
      <w:r w:rsidRPr="007D3F3C">
        <w:rPr>
          <w:rStyle w:val="Hipervnculo"/>
          <w:rFonts w:ascii="Verdana" w:hAnsi="Verdana"/>
          <w:sz w:val="16"/>
          <w:szCs w:val="16"/>
          <w:u w:val="none"/>
          <w:lang w:val="en-US"/>
        </w:rPr>
        <w:t xml:space="preserve">; </w:t>
      </w:r>
      <w:r w:rsidRPr="007D3F3C">
        <w:rPr>
          <w:rFonts w:ascii="Verdana" w:hAnsi="Verdana"/>
          <w:sz w:val="16"/>
          <w:szCs w:val="16"/>
          <w:lang w:val="en-US"/>
        </w:rPr>
        <w:t xml:space="preserve">Office of the United Nations High Commissioner for Human Rights, Press release on the official visit to Guatemala, May 27, 2006. Available at: </w:t>
      </w:r>
      <w:hyperlink r:id="rId5" w:history="1">
        <w:r w:rsidRPr="007D3F3C">
          <w:rPr>
            <w:rStyle w:val="Hipervnculo"/>
            <w:rFonts w:ascii="Verdana" w:hAnsi="Verdana" w:cs="Calibri"/>
            <w:sz w:val="16"/>
            <w:szCs w:val="16"/>
            <w:lang w:val="en-US"/>
          </w:rPr>
          <w:t>http://www.unhchr.ch/huricane/huricane.nsf/view01/C7F2A41A172BC438C125717D0056605A?opendocument</w:t>
        </w:r>
      </w:hyperlink>
      <w:r w:rsidRPr="007D3F3C">
        <w:rPr>
          <w:rFonts w:ascii="Verdana" w:hAnsi="Verdana"/>
          <w:sz w:val="16"/>
          <w:szCs w:val="16"/>
          <w:lang w:val="en-US"/>
        </w:rPr>
        <w:t>; United Nations, Human Rights Council, Report of the Working Group on the Universal Periodic Review, Guatemala, December 31, 2012, A/HRC/22/8, paras. 23 and 36. Available at: https://www.refworld.org/docid/50f91f3a2.html</w:t>
      </w:r>
      <w:r w:rsidRPr="007D3F3C">
        <w:rPr>
          <w:rFonts w:ascii="Verdana" w:hAnsi="Verdana" w:cs="Calibri"/>
          <w:sz w:val="16"/>
          <w:szCs w:val="16"/>
          <w:lang w:val="en-US"/>
        </w:rPr>
        <w:t xml:space="preserve">; </w:t>
      </w:r>
      <w:r w:rsidRPr="007D3F3C">
        <w:rPr>
          <w:rFonts w:ascii="Verdana" w:hAnsi="Verdana" w:cs="Calibri"/>
          <w:bCs/>
          <w:sz w:val="16"/>
          <w:szCs w:val="16"/>
          <w:lang w:val="en-US"/>
        </w:rPr>
        <w:t>United Nations</w:t>
      </w:r>
      <w:r w:rsidRPr="007D3F3C">
        <w:rPr>
          <w:rFonts w:ascii="Verdana" w:hAnsi="Verdana"/>
          <w:bCs/>
          <w:sz w:val="16"/>
          <w:szCs w:val="16"/>
          <w:lang w:val="en-US"/>
        </w:rPr>
        <w:t>,</w:t>
      </w:r>
      <w:r w:rsidRPr="007D3F3C">
        <w:rPr>
          <w:rFonts w:ascii="Verdana" w:hAnsi="Verdana"/>
          <w:sz w:val="16"/>
          <w:szCs w:val="16"/>
          <w:lang w:val="en-US"/>
        </w:rPr>
        <w:t xml:space="preserve"> Committee against Torture, Final observations on the combined fifth and sixth periodic reports of Guatemala, June 24, 2013, para. 13. Available at: </w:t>
      </w:r>
      <w:hyperlink r:id="rId6" w:history="1">
        <w:r w:rsidRPr="007D3F3C">
          <w:rPr>
            <w:rStyle w:val="Hipervnculo"/>
            <w:rFonts w:ascii="Verdana" w:hAnsi="Verdana"/>
            <w:sz w:val="16"/>
            <w:szCs w:val="16"/>
            <w:lang w:val="en-US"/>
          </w:rPr>
          <w:t>http://docstore.ohchr.org/SelfServices/Files</w:t>
        </w:r>
      </w:hyperlink>
      <w:r w:rsidRPr="007D3F3C">
        <w:rPr>
          <w:rFonts w:ascii="Verdana" w:hAnsi="Verdana"/>
          <w:sz w:val="16"/>
          <w:szCs w:val="16"/>
          <w:lang w:val="en-US"/>
        </w:rPr>
        <w:t xml:space="preserve"> Handler.ashx?enc=6QkG1d%2FPPRiCAqhKb7yhsiqfk8caYZRrn8MoNjn4orHkCGqxO6Nu%2FXAFc4v8YxseJsuRAp9DK4NbYNjwWByJiwtUJ7gGgcNMsEqzDozUWk9ryKPF6m2PO72hWIelmE%2F9, and Expert opinion provided by Karen Musalo</w:t>
      </w:r>
      <w:r w:rsidRPr="007D3F3C">
        <w:rPr>
          <w:rFonts w:ascii="Verdana" w:eastAsia="Calibri" w:hAnsi="Verdana"/>
          <w:sz w:val="16"/>
          <w:szCs w:val="16"/>
          <w:lang w:val="en-US"/>
        </w:rPr>
        <w:t xml:space="preserve"> </w:t>
      </w:r>
      <w:r w:rsidRPr="007D3F3C">
        <w:rPr>
          <w:rFonts w:ascii="Verdana" w:hAnsi="Verdana"/>
          <w:sz w:val="16"/>
          <w:szCs w:val="16"/>
          <w:lang w:val="en-US"/>
        </w:rPr>
        <w:t>by affidavit dated April 13, 2015 (evidence file, folio 6660).</w:t>
      </w:r>
    </w:p>
  </w:footnote>
  <w:footnote w:id="29">
    <w:p w14:paraId="58DEFA6E" w14:textId="77777777" w:rsidR="00576E40" w:rsidRPr="007D3F3C" w:rsidRDefault="00576E40" w:rsidP="00551CA7">
      <w:pPr>
        <w:pStyle w:val="Textonotapie"/>
        <w:jc w:val="both"/>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cs="Calibri"/>
          <w:i/>
          <w:sz w:val="16"/>
          <w:szCs w:val="16"/>
          <w:lang w:val="es-CR"/>
        </w:rPr>
        <w:t>Cf.</w:t>
      </w:r>
      <w:r w:rsidRPr="007D3F3C">
        <w:rPr>
          <w:rFonts w:ascii="Verdana" w:hAnsi="Verdana" w:cs="Calibri"/>
          <w:sz w:val="16"/>
          <w:szCs w:val="16"/>
          <w:lang w:val="es-CR"/>
        </w:rPr>
        <w:t xml:space="preserve"> </w:t>
      </w:r>
      <w:r w:rsidRPr="007D3F3C">
        <w:rPr>
          <w:rStyle w:val="Textoennegrita"/>
          <w:rFonts w:ascii="Verdana" w:hAnsi="Verdana"/>
          <w:b w:val="0"/>
          <w:i/>
          <w:color w:val="000000"/>
          <w:sz w:val="16"/>
          <w:szCs w:val="16"/>
          <w:shd w:val="clear" w:color="auto" w:fill="FFFFFF"/>
          <w:lang w:val="es-CR"/>
        </w:rPr>
        <w:t>Case of Veliz Franco et al. v. Guatemala</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xml:space="preserve"> para.</w:t>
      </w:r>
      <w:r w:rsidRPr="007D3F3C">
        <w:rPr>
          <w:rStyle w:val="Textoennegrita"/>
          <w:rFonts w:ascii="Verdana" w:hAnsi="Verdana"/>
          <w:color w:val="000000"/>
          <w:sz w:val="16"/>
          <w:szCs w:val="16"/>
          <w:shd w:val="clear" w:color="auto" w:fill="FFFFFF"/>
          <w:lang w:val="es-CR"/>
        </w:rPr>
        <w:t xml:space="preserve"> </w:t>
      </w:r>
      <w:r w:rsidRPr="007D3F3C">
        <w:rPr>
          <w:rStyle w:val="Textoennegrita"/>
          <w:rFonts w:ascii="Verdana" w:hAnsi="Verdana"/>
          <w:b w:val="0"/>
          <w:color w:val="000000"/>
          <w:sz w:val="16"/>
          <w:szCs w:val="16"/>
          <w:shd w:val="clear" w:color="auto" w:fill="FFFFFF"/>
          <w:lang w:val="es-CR"/>
        </w:rPr>
        <w:t>75.</w:t>
      </w:r>
    </w:p>
  </w:footnote>
  <w:footnote w:id="30">
    <w:p w14:paraId="7D3A30CA" w14:textId="77777777" w:rsidR="00576E40" w:rsidRPr="007D3F3C" w:rsidRDefault="00576E40" w:rsidP="00551CA7">
      <w:pPr>
        <w:pStyle w:val="Textonotapie"/>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cs="Calibri"/>
          <w:i/>
          <w:sz w:val="16"/>
          <w:szCs w:val="16"/>
          <w:lang w:val="es-CR"/>
        </w:rPr>
        <w:t>Cf.</w:t>
      </w:r>
      <w:r w:rsidRPr="007D3F3C">
        <w:rPr>
          <w:rFonts w:ascii="Verdana" w:hAnsi="Verdana" w:cs="Calibri"/>
          <w:sz w:val="16"/>
          <w:szCs w:val="16"/>
          <w:lang w:val="es-CR"/>
        </w:rPr>
        <w:t xml:space="preserve"> </w:t>
      </w:r>
      <w:r w:rsidRPr="007D3F3C">
        <w:rPr>
          <w:rStyle w:val="Textoennegrita"/>
          <w:rFonts w:ascii="Verdana" w:hAnsi="Verdana"/>
          <w:b w:val="0"/>
          <w:i/>
          <w:color w:val="000000"/>
          <w:sz w:val="16"/>
          <w:szCs w:val="16"/>
          <w:shd w:val="clear" w:color="auto" w:fill="FFFFFF"/>
          <w:lang w:val="es-CR"/>
        </w:rPr>
        <w:t>Case of Veliz Franco et al. v. Guatemala</w:t>
      </w:r>
      <w:r w:rsidRPr="007D3F3C">
        <w:rPr>
          <w:rStyle w:val="Textoennegrita"/>
          <w:rFonts w:ascii="Verdana" w:hAnsi="Verdana"/>
          <w:b w:val="0"/>
          <w:color w:val="000000"/>
          <w:sz w:val="16"/>
          <w:szCs w:val="16"/>
          <w:shd w:val="clear" w:color="auto" w:fill="FFFFFF"/>
          <w:lang w:val="es-CR"/>
        </w:rPr>
        <w:t>,</w:t>
      </w:r>
      <w:r w:rsidRPr="007D3F3C">
        <w:rPr>
          <w:rStyle w:val="Textoennegrita"/>
          <w:rFonts w:ascii="Verdana" w:hAnsi="Verdana"/>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xml:space="preserve"> para. </w:t>
      </w:r>
      <w:r w:rsidRPr="007D3F3C">
        <w:rPr>
          <w:rStyle w:val="Textoennegrita"/>
          <w:rFonts w:ascii="Verdana" w:hAnsi="Verdana"/>
          <w:b w:val="0"/>
          <w:color w:val="000000"/>
          <w:sz w:val="16"/>
          <w:szCs w:val="16"/>
          <w:shd w:val="clear" w:color="auto" w:fill="FFFFFF"/>
          <w:lang w:val="en-US"/>
        </w:rPr>
        <w:t>76.</w:t>
      </w:r>
    </w:p>
  </w:footnote>
  <w:footnote w:id="31">
    <w:p w14:paraId="3C6EA5A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Calibri"/>
          <w:i/>
          <w:sz w:val="16"/>
          <w:szCs w:val="16"/>
          <w:lang w:val="en-US"/>
        </w:rPr>
        <w:t>Cf.</w:t>
      </w:r>
      <w:r w:rsidRPr="007D3F3C">
        <w:rPr>
          <w:rFonts w:ascii="Verdana" w:hAnsi="Verdana" w:cs="Calibri"/>
          <w:sz w:val="16"/>
          <w:szCs w:val="16"/>
          <w:lang w:val="en-US"/>
        </w:rPr>
        <w:t xml:space="preserve"> </w:t>
      </w:r>
      <w:r w:rsidRPr="007D3F3C">
        <w:rPr>
          <w:rFonts w:ascii="Verdana" w:hAnsi="Verdana"/>
          <w:sz w:val="16"/>
          <w:szCs w:val="16"/>
          <w:lang w:val="en-US"/>
        </w:rPr>
        <w:t>Statistical table on the overall number of murders from 2005 to April 2015 of the Department for Strategic Analysis of Crime, Crime Analysis Department, Public Prosecution Service (evidence file, folio 6841).</w:t>
      </w:r>
    </w:p>
  </w:footnote>
  <w:footnote w:id="32">
    <w:p w14:paraId="7BD4C8DB" w14:textId="77777777" w:rsidR="00576E40" w:rsidRPr="007D3F3C" w:rsidRDefault="00576E40" w:rsidP="00551CA7">
      <w:pPr>
        <w:pStyle w:val="Textonotapie"/>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b/>
          <w:sz w:val="16"/>
          <w:szCs w:val="16"/>
          <w:lang w:val="es-CR"/>
        </w:rPr>
        <w:t xml:space="preserve"> </w:t>
      </w:r>
      <w:r w:rsidRPr="007D3F3C">
        <w:rPr>
          <w:rFonts w:ascii="Verdana" w:hAnsi="Verdana"/>
          <w:b/>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Style w:val="Textoennegrita"/>
          <w:rFonts w:ascii="Verdana" w:hAnsi="Verdana"/>
          <w:b w:val="0"/>
          <w:i/>
          <w:color w:val="000000"/>
          <w:sz w:val="16"/>
          <w:szCs w:val="16"/>
          <w:shd w:val="clear" w:color="auto" w:fill="FFFFFF"/>
          <w:lang w:val="es-CR"/>
        </w:rPr>
        <w:t>Case of Veliz Franco et al. v. Guatemala</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xml:space="preserve"> para.</w:t>
      </w:r>
      <w:r w:rsidRPr="007D3F3C">
        <w:rPr>
          <w:rFonts w:ascii="Verdana" w:hAnsi="Verdana"/>
          <w:sz w:val="16"/>
          <w:szCs w:val="16"/>
          <w:lang w:val="es-CR"/>
        </w:rPr>
        <w:t xml:space="preserve"> </w:t>
      </w:r>
      <w:r w:rsidRPr="007D3F3C">
        <w:rPr>
          <w:rFonts w:ascii="Verdana" w:hAnsi="Verdana"/>
          <w:sz w:val="16"/>
          <w:szCs w:val="16"/>
          <w:lang w:val="en-US"/>
        </w:rPr>
        <w:t>77.</w:t>
      </w:r>
    </w:p>
  </w:footnote>
  <w:footnote w:id="33">
    <w:p w14:paraId="2D2A82AE"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In the case of</w:t>
      </w:r>
      <w:r w:rsidRPr="007D3F3C">
        <w:rPr>
          <w:rFonts w:ascii="Verdana" w:hAnsi="Verdana"/>
          <w:i/>
          <w:sz w:val="16"/>
          <w:szCs w:val="16"/>
          <w:lang w:val="en-US"/>
        </w:rPr>
        <w:t xml:space="preserve"> Veliz Franco et al.,</w:t>
      </w:r>
      <w:r w:rsidRPr="007D3F3C">
        <w:rPr>
          <w:rFonts w:ascii="Verdana" w:hAnsi="Verdana"/>
          <w:sz w:val="16"/>
          <w:szCs w:val="16"/>
          <w:lang w:val="en-US"/>
        </w:rPr>
        <w:t xml:space="preserve"> the Court stated that it had been indicated that a characteristic of many of the cases of women victims of murder was the “brutality of the violence used,” the presence of “signs of sexual violence” on the corpses or “their mutilation.” </w:t>
      </w:r>
      <w:r w:rsidRPr="007D3F3C">
        <w:rPr>
          <w:rFonts w:ascii="Verdana" w:eastAsia="Calibri" w:hAnsi="Verdana"/>
          <w:i/>
          <w:sz w:val="16"/>
          <w:szCs w:val="16"/>
        </w:rPr>
        <w:t>Cf.</w:t>
      </w:r>
      <w:r w:rsidRPr="007D3F3C">
        <w:rPr>
          <w:rFonts w:ascii="Verdana" w:eastAsia="Calibri" w:hAnsi="Verdana"/>
          <w:sz w:val="16"/>
          <w:szCs w:val="16"/>
        </w:rPr>
        <w:t xml:space="preserve"> </w:t>
      </w:r>
      <w:r w:rsidRPr="007D3F3C">
        <w:rPr>
          <w:rStyle w:val="Textoennegrita"/>
          <w:rFonts w:ascii="Verdana" w:hAnsi="Verdana"/>
          <w:b w:val="0"/>
          <w:i/>
          <w:color w:val="000000"/>
          <w:sz w:val="16"/>
          <w:szCs w:val="16"/>
          <w:shd w:val="clear" w:color="auto" w:fill="FFFFFF"/>
        </w:rPr>
        <w:t>Case of Veliz Franco et al. v. Guatemala, supra</w:t>
      </w:r>
      <w:r w:rsidRPr="007D3F3C">
        <w:rPr>
          <w:rStyle w:val="Textoennegrita"/>
          <w:rFonts w:ascii="Verdana" w:hAnsi="Verdana"/>
          <w:b w:val="0"/>
          <w:color w:val="000000"/>
          <w:sz w:val="16"/>
          <w:szCs w:val="16"/>
          <w:shd w:val="clear" w:color="auto" w:fill="FFFFFF"/>
        </w:rPr>
        <w:t>, para.</w:t>
      </w:r>
      <w:r w:rsidRPr="007D3F3C">
        <w:rPr>
          <w:rFonts w:ascii="Verdana" w:hAnsi="Verdana"/>
          <w:sz w:val="16"/>
          <w:szCs w:val="16"/>
        </w:rPr>
        <w:t xml:space="preserve"> </w:t>
      </w:r>
      <w:r w:rsidRPr="007D3F3C">
        <w:rPr>
          <w:rFonts w:ascii="Verdana" w:hAnsi="Verdana"/>
          <w:sz w:val="16"/>
          <w:szCs w:val="16"/>
          <w:lang w:val="en-US"/>
        </w:rPr>
        <w:t xml:space="preserve">78. </w:t>
      </w:r>
      <w:r w:rsidRPr="007D3F3C">
        <w:rPr>
          <w:rFonts w:ascii="Verdana" w:hAnsi="Verdana"/>
          <w:i/>
          <w:sz w:val="16"/>
          <w:szCs w:val="16"/>
          <w:lang w:val="en-US"/>
        </w:rPr>
        <w:t>Citing</w:t>
      </w:r>
      <w:r w:rsidRPr="007D3F3C">
        <w:rPr>
          <w:rFonts w:ascii="Verdana" w:hAnsi="Verdana"/>
          <w:sz w:val="16"/>
          <w:szCs w:val="16"/>
          <w:lang w:val="en-US"/>
        </w:rPr>
        <w:t>, Amnesty International, “Guatemala. No protection no justice: Killings of women in Guatemala,” June 2005, p. 8; Report of the Special Rapporteur on extrajudicial, summary or arbitrary executions</w:t>
      </w:r>
      <w:r w:rsidRPr="007D3F3C">
        <w:rPr>
          <w:rFonts w:ascii="Verdana" w:hAnsi="Verdana" w:cs="Arial"/>
          <w:sz w:val="16"/>
          <w:szCs w:val="16"/>
          <w:lang w:val="en-US"/>
        </w:rPr>
        <w:t>, Philip Alston. Mission to Guatemala, UN Doc. A/HRC/4/20/Add.2, February 19, 2007, paras. 22 and 26, and Guatemalan Ombudsman, Compendium</w:t>
      </w:r>
      <w:r w:rsidRPr="007D3F3C">
        <w:rPr>
          <w:rFonts w:ascii="Verdana" w:hAnsi="Verdana" w:cs="Arial"/>
          <w:i/>
          <w:iCs/>
          <w:sz w:val="16"/>
          <w:szCs w:val="16"/>
          <w:lang w:val="en-US"/>
        </w:rPr>
        <w:t xml:space="preserve"> “Muertes Violentas de Mujeres 2003 a 2005,</w:t>
      </w:r>
      <w:r w:rsidRPr="007D3F3C">
        <w:rPr>
          <w:rFonts w:ascii="Verdana" w:hAnsi="Verdana" w:cs="Arial"/>
          <w:sz w:val="16"/>
          <w:szCs w:val="16"/>
          <w:lang w:val="en-US"/>
        </w:rPr>
        <w:t>” p. 22.</w:t>
      </w:r>
      <w:r w:rsidRPr="007D3F3C">
        <w:rPr>
          <w:rFonts w:ascii="Verdana" w:eastAsia="Calibri" w:hAnsi="Verdana"/>
          <w:sz w:val="16"/>
          <w:szCs w:val="16"/>
          <w:lang w:val="en-US"/>
        </w:rPr>
        <w:t xml:space="preserve"> Expert witness Paloma Soria Montañez explained that in the “context of the justification and normalization of violence, we see that, in Guatemala, the figures for domestic violence, sexual violence, and violent deaths of women are very high. In this regard, the murders are committed with increasingly extreme violence and are generally accompanied by other types of injuries that reveal the misogyny with which they are  perpetrated: sexual violence, mutilations, dismemberment, decapitation and injuries.” The expert witness observed that, at the present time, there is a situation of structural violence against women in Guatemala. </w:t>
      </w:r>
      <w:r w:rsidRPr="007D3F3C">
        <w:rPr>
          <w:rFonts w:ascii="Verdana" w:hAnsi="Verdana"/>
          <w:i/>
          <w:sz w:val="16"/>
          <w:szCs w:val="16"/>
          <w:lang w:val="en-US"/>
        </w:rPr>
        <w:t>Cf.</w:t>
      </w:r>
      <w:r w:rsidRPr="007D3F3C">
        <w:rPr>
          <w:rFonts w:ascii="Verdana" w:hAnsi="Verdana"/>
          <w:sz w:val="16"/>
          <w:szCs w:val="16"/>
          <w:lang w:val="en-US"/>
        </w:rPr>
        <w:t xml:space="preserve"> Expert opinion of Paloma Soria Montañez provided by affidavit on April 16, 2015 (evidence file, folios 6764 and 6765). </w:t>
      </w:r>
      <w:r w:rsidRPr="007D3F3C">
        <w:rPr>
          <w:rFonts w:ascii="Verdana" w:eastAsia="Calibri" w:hAnsi="Verdana"/>
          <w:sz w:val="16"/>
          <w:szCs w:val="16"/>
          <w:lang w:val="en-US"/>
        </w:rPr>
        <w:t xml:space="preserve">Expert witness </w:t>
      </w:r>
      <w:r w:rsidRPr="007D3F3C">
        <w:rPr>
          <w:rFonts w:ascii="Verdana" w:hAnsi="Verdana"/>
          <w:sz w:val="16"/>
          <w:szCs w:val="16"/>
          <w:lang w:val="en-US"/>
        </w:rPr>
        <w:t>Karen Musalo</w:t>
      </w:r>
      <w:r w:rsidRPr="007D3F3C">
        <w:rPr>
          <w:rFonts w:ascii="Verdana" w:eastAsia="Calibri" w:hAnsi="Verdana"/>
          <w:sz w:val="16"/>
          <w:szCs w:val="16"/>
          <w:lang w:val="en-US"/>
        </w:rPr>
        <w:t xml:space="preserve"> indicated that “[i]n 2005, femicides in Guatemala were perpetrated in the context of many other forms of violence that occurred at a shocking level; the killings did not represent isolated incidents, but reflected the greater context of omnipresent violence against women. The violence extended over all sectors of society and included domestic violence and other forms of violence within the family: sexual violence, incest, trafficking in women for sexual exploitation, and sexual harassment. Although there are no official statistics, the few that do exist reveal a high incidence of violence in the home, in the community and among the public in general.” </w:t>
      </w:r>
      <w:r w:rsidRPr="007D3F3C">
        <w:rPr>
          <w:rFonts w:ascii="Verdana" w:hAnsi="Verdana"/>
          <w:i/>
          <w:sz w:val="16"/>
          <w:szCs w:val="16"/>
          <w:lang w:val="en-US"/>
        </w:rPr>
        <w:t>Cf.</w:t>
      </w:r>
      <w:r w:rsidRPr="007D3F3C">
        <w:rPr>
          <w:rFonts w:ascii="Verdana" w:hAnsi="Verdana"/>
          <w:sz w:val="16"/>
          <w:szCs w:val="16"/>
          <w:lang w:val="en-US"/>
        </w:rPr>
        <w:t xml:space="preserve"> Expert opinion of Karen Musalo</w:t>
      </w:r>
      <w:r w:rsidRPr="007D3F3C">
        <w:rPr>
          <w:rFonts w:ascii="Verdana" w:eastAsia="Calibri" w:hAnsi="Verdana"/>
          <w:sz w:val="16"/>
          <w:szCs w:val="16"/>
          <w:lang w:val="en-US"/>
        </w:rPr>
        <w:t xml:space="preserve"> </w:t>
      </w:r>
      <w:r w:rsidRPr="007D3F3C">
        <w:rPr>
          <w:rFonts w:ascii="Verdana" w:hAnsi="Verdana"/>
          <w:sz w:val="16"/>
          <w:szCs w:val="16"/>
          <w:lang w:val="en-US"/>
        </w:rPr>
        <w:t>provided by affidavit on April 13, 2015 (evidence file, folio 6655). In 2006, the</w:t>
      </w:r>
      <w:r w:rsidRPr="007D3F3C">
        <w:rPr>
          <w:rFonts w:ascii="Verdana" w:eastAsia="Calibri" w:hAnsi="Verdana"/>
          <w:sz w:val="16"/>
          <w:szCs w:val="16"/>
          <w:lang w:val="en-US"/>
        </w:rPr>
        <w:t xml:space="preserve"> Committee against Torture expressed its concern regarding “the increase in violent killings of women, which often involve sexual violence, mutilations and torture.” </w:t>
      </w:r>
      <w:r w:rsidRPr="007D3F3C">
        <w:rPr>
          <w:rFonts w:ascii="Verdana" w:hAnsi="Verdana"/>
          <w:i/>
          <w:sz w:val="16"/>
          <w:szCs w:val="16"/>
          <w:lang w:val="en-US"/>
        </w:rPr>
        <w:t xml:space="preserve">Cf. </w:t>
      </w:r>
      <w:r w:rsidRPr="007D3F3C">
        <w:rPr>
          <w:rFonts w:ascii="Verdana" w:hAnsi="Verdana"/>
          <w:sz w:val="16"/>
          <w:szCs w:val="16"/>
          <w:lang w:val="en-US"/>
        </w:rPr>
        <w:t xml:space="preserve">United Nations, Committee against Torture, Consideration of reports submitted by States Parties under Article 19 of the Convention, CAT/C/GTM/CO/4, July 25, 2006, para. 16. Available at: </w:t>
      </w:r>
      <w:hyperlink r:id="rId7" w:history="1">
        <w:r w:rsidRPr="007D3F3C">
          <w:rPr>
            <w:rStyle w:val="Hipervnculo"/>
            <w:rFonts w:ascii="Verdana" w:hAnsi="Verdana"/>
            <w:sz w:val="16"/>
            <w:szCs w:val="16"/>
            <w:lang w:val="en-US"/>
          </w:rPr>
          <w:t>https://undocs.org/CAT/C/GTM/CO/4</w:t>
        </w:r>
      </w:hyperlink>
      <w:r w:rsidRPr="007D3F3C">
        <w:rPr>
          <w:rFonts w:ascii="Verdana" w:hAnsi="Verdana"/>
          <w:sz w:val="16"/>
          <w:szCs w:val="16"/>
          <w:lang w:val="en-US"/>
        </w:rPr>
        <w:t xml:space="preserve">. In 2004, the Special Rapporteur on the rights of women </w:t>
      </w:r>
      <w:r w:rsidRPr="007D3F3C">
        <w:rPr>
          <w:rFonts w:ascii="Verdana" w:hAnsi="Verdana"/>
          <w:color w:val="000000"/>
          <w:sz w:val="16"/>
          <w:szCs w:val="16"/>
          <w:lang w:val="en-US"/>
        </w:rPr>
        <w:t>of the Inter-American Commission</w:t>
      </w:r>
      <w:r w:rsidRPr="007D3F3C">
        <w:rPr>
          <w:rFonts w:ascii="Verdana" w:hAnsi="Verdana"/>
          <w:sz w:val="16"/>
          <w:szCs w:val="16"/>
          <w:lang w:val="en-US"/>
        </w:rPr>
        <w:t xml:space="preserve"> had received reports consistent with murders “to set an example,” in which the abuse reflected by the state of the victim’s body and the areas in which the corpses were left, is designed to send a message of terror and intimidation. She reported that she had “also received information and evidence on other forms of violence affecting women such as family and domestic violence, rape, sexual harassment and abduction, amongst others.” </w:t>
      </w:r>
      <w:r w:rsidRPr="007D3F3C">
        <w:rPr>
          <w:rFonts w:ascii="Verdana" w:hAnsi="Verdana"/>
          <w:i/>
          <w:sz w:val="16"/>
          <w:szCs w:val="16"/>
          <w:lang w:val="en-US"/>
        </w:rPr>
        <w:t>Cf.</w:t>
      </w:r>
      <w:r w:rsidRPr="007D3F3C">
        <w:rPr>
          <w:rFonts w:ascii="Verdana" w:hAnsi="Verdana"/>
          <w:sz w:val="16"/>
          <w:szCs w:val="16"/>
          <w:lang w:val="en-US"/>
        </w:rPr>
        <w:t xml:space="preserve"> IACHR, Press release, No. 20/04, September 18, 2004, paras. 7 and 10. Available at </w:t>
      </w:r>
      <w:hyperlink r:id="rId8" w:history="1">
        <w:r w:rsidRPr="007D3F3C">
          <w:rPr>
            <w:rStyle w:val="Hipervnculo"/>
            <w:rFonts w:ascii="Verdana" w:hAnsi="Verdana"/>
            <w:sz w:val="16"/>
            <w:szCs w:val="16"/>
            <w:lang w:val="en-US"/>
          </w:rPr>
          <w:t>http://www.IACHR.oas.org/Comunicados/English/2004/20.04.htm</w:t>
        </w:r>
      </w:hyperlink>
      <w:r w:rsidRPr="007D3F3C">
        <w:rPr>
          <w:rFonts w:ascii="Verdana" w:hAnsi="Verdana"/>
          <w:sz w:val="16"/>
          <w:szCs w:val="16"/>
          <w:lang w:val="en-US"/>
        </w:rPr>
        <w:t>, and United Nations, Economic and Social Council, “Report of the Special Rapporteur on violence against women, its causes and consequences,” Mission to Guatemala, E/CN.4/2005/72/Add.3, February 10, 2005, paras. 33 and 34. Available at: https://documents-dds-ny.un.org/doc/UNDOC/GEN/G05/108/17/PDF/G0510817.pdf?OpenElement.</w:t>
      </w:r>
    </w:p>
  </w:footnote>
  <w:footnote w:id="34">
    <w:p w14:paraId="52E41045" w14:textId="77777777" w:rsidR="00576E40" w:rsidRPr="00B42CA4"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In the case of</w:t>
      </w:r>
      <w:r w:rsidRPr="007D3F3C">
        <w:rPr>
          <w:rFonts w:ascii="Verdana" w:hAnsi="Verdana"/>
          <w:i/>
          <w:sz w:val="16"/>
          <w:szCs w:val="16"/>
          <w:lang w:val="en-US"/>
        </w:rPr>
        <w:t xml:space="preserve"> Veliz Franco et al.,</w:t>
      </w:r>
      <w:r w:rsidRPr="007D3F3C">
        <w:rPr>
          <w:rFonts w:ascii="Verdana" w:hAnsi="Verdana"/>
          <w:sz w:val="16"/>
          <w:szCs w:val="16"/>
          <w:lang w:val="en-US"/>
        </w:rPr>
        <w:t xml:space="preserve"> </w:t>
      </w:r>
      <w:r w:rsidRPr="007D3F3C">
        <w:rPr>
          <w:rFonts w:ascii="Verdana" w:eastAsia="Calibri" w:hAnsi="Verdana"/>
          <w:sz w:val="16"/>
          <w:szCs w:val="16"/>
          <w:lang w:val="en-US"/>
        </w:rPr>
        <w:t>the State provided specific and detailed information on the measures adopted before and after December</w:t>
      </w:r>
      <w:r w:rsidRPr="007D3F3C">
        <w:rPr>
          <w:rFonts w:ascii="Verdana" w:hAnsi="Verdana" w:cs="Calibri"/>
          <w:sz w:val="16"/>
          <w:szCs w:val="16"/>
          <w:lang w:val="en-US"/>
        </w:rPr>
        <w:t xml:space="preserve"> 2001, aimed at addressing discrimination and violence against women. </w:t>
      </w:r>
      <w:r w:rsidRPr="007D3F3C">
        <w:rPr>
          <w:rFonts w:ascii="Verdana" w:hAnsi="Verdana"/>
          <w:i/>
          <w:sz w:val="16"/>
          <w:szCs w:val="16"/>
        </w:rPr>
        <w:t>Cf.</w:t>
      </w:r>
      <w:r w:rsidRPr="007D3F3C">
        <w:rPr>
          <w:rFonts w:ascii="Verdana" w:hAnsi="Verdana"/>
          <w:sz w:val="16"/>
          <w:szCs w:val="16"/>
        </w:rPr>
        <w:t xml:space="preserve"> </w:t>
      </w:r>
      <w:r w:rsidRPr="007D3F3C">
        <w:rPr>
          <w:rFonts w:ascii="Verdana" w:hAnsi="Verdana"/>
          <w:bCs/>
          <w:i/>
          <w:color w:val="000000"/>
          <w:sz w:val="16"/>
          <w:szCs w:val="16"/>
          <w:shd w:val="clear" w:color="auto" w:fill="FFFFFF"/>
        </w:rPr>
        <w:t>Case of Veliz Franco et al. v. Guatemala</w:t>
      </w:r>
      <w:r w:rsidRPr="007D3F3C">
        <w:rPr>
          <w:rFonts w:ascii="Verdana" w:hAnsi="Verdana"/>
          <w:bCs/>
          <w:color w:val="000000"/>
          <w:sz w:val="16"/>
          <w:szCs w:val="16"/>
          <w:shd w:val="clear" w:color="auto" w:fill="FFFFFF"/>
        </w:rPr>
        <w:t>,</w:t>
      </w:r>
      <w:r w:rsidRPr="007D3F3C">
        <w:rPr>
          <w:rFonts w:ascii="Verdana" w:hAnsi="Verdana"/>
          <w:bCs/>
          <w:i/>
          <w:color w:val="000000"/>
          <w:sz w:val="16"/>
          <w:szCs w:val="16"/>
          <w:shd w:val="clear" w:color="auto" w:fill="FFFFFF"/>
        </w:rPr>
        <w:t xml:space="preserve"> supra,</w:t>
      </w:r>
      <w:r w:rsidRPr="007D3F3C">
        <w:rPr>
          <w:rFonts w:ascii="Verdana" w:hAnsi="Verdana"/>
          <w:bCs/>
          <w:color w:val="000000"/>
          <w:sz w:val="16"/>
          <w:szCs w:val="16"/>
          <w:shd w:val="clear" w:color="auto" w:fill="FFFFFF"/>
        </w:rPr>
        <w:t xml:space="preserve"> paras. </w:t>
      </w:r>
      <w:r w:rsidRPr="007D3F3C">
        <w:rPr>
          <w:rFonts w:ascii="Verdana" w:hAnsi="Verdana"/>
          <w:bCs/>
          <w:color w:val="000000"/>
          <w:sz w:val="16"/>
          <w:szCs w:val="16"/>
          <w:shd w:val="clear" w:color="auto" w:fill="FFFFFF"/>
          <w:lang w:val="en-US"/>
        </w:rPr>
        <w:t>82 to 84 and 264.</w:t>
      </w:r>
      <w:r w:rsidRPr="007D3F3C">
        <w:rPr>
          <w:rFonts w:ascii="Verdana" w:hAnsi="Verdana" w:cs="Calibri"/>
          <w:b/>
          <w:sz w:val="16"/>
          <w:szCs w:val="16"/>
          <w:lang w:val="en-US"/>
        </w:rPr>
        <w:t xml:space="preserve"> </w:t>
      </w:r>
      <w:r w:rsidRPr="007D3F3C">
        <w:rPr>
          <w:rFonts w:ascii="Verdana" w:hAnsi="Verdana" w:cs="Calibri"/>
          <w:sz w:val="16"/>
          <w:szCs w:val="16"/>
          <w:lang w:val="en-US"/>
        </w:rPr>
        <w:t>The Court has noted that, in addition to the information provided on that occasion, in this case information has been submitted on State actions in the investigation of murders of women</w:t>
      </w:r>
      <w:r w:rsidRPr="007D3F3C">
        <w:rPr>
          <w:rFonts w:ascii="Verdana" w:eastAsia="Batang" w:hAnsi="Verdana"/>
          <w:sz w:val="16"/>
          <w:szCs w:val="16"/>
          <w:lang w:val="en-US"/>
        </w:rPr>
        <w:t>.</w:t>
      </w:r>
      <w:r w:rsidRPr="007D3F3C">
        <w:rPr>
          <w:rFonts w:ascii="Verdana" w:hAnsi="Verdana"/>
          <w:i/>
          <w:sz w:val="16"/>
          <w:szCs w:val="16"/>
          <w:lang w:val="en-US"/>
        </w:rPr>
        <w:t xml:space="preserve"> Cf.</w:t>
      </w:r>
      <w:r w:rsidRPr="007D3F3C">
        <w:rPr>
          <w:rFonts w:ascii="Verdana" w:hAnsi="Verdana"/>
          <w:sz w:val="16"/>
          <w:szCs w:val="16"/>
          <w:lang w:val="en-US"/>
        </w:rPr>
        <w:t xml:space="preserve"> Expert opinion of Paloma Soria Montañez provided by affidavit on April 16, 2015 (evidence file, folio 6765); Expert opinion of Karen Musalo provided by affidavit on April 13, 2015 (evidence file, folios 6658 </w:t>
      </w:r>
      <w:r w:rsidR="00B42CA4">
        <w:rPr>
          <w:rFonts w:ascii="Verdana" w:hAnsi="Verdana"/>
          <w:sz w:val="16"/>
          <w:szCs w:val="16"/>
          <w:lang w:val="en-US"/>
        </w:rPr>
        <w:t>to</w:t>
      </w:r>
      <w:r w:rsidRPr="007D3F3C">
        <w:rPr>
          <w:rFonts w:ascii="Verdana" w:hAnsi="Verdana"/>
          <w:sz w:val="16"/>
          <w:szCs w:val="16"/>
          <w:lang w:val="en-US"/>
        </w:rPr>
        <w:t xml:space="preserve"> 6660), and Inter-American Commission on Human Rights, “Access to Justice for Women Victims of Violence in the Americas,” January 20, 2007, paras. 18 and 130. Available at:</w:t>
      </w:r>
      <w:r w:rsidRPr="007D3F3C">
        <w:rPr>
          <w:rFonts w:ascii="Verdana" w:hAnsi="Verdana" w:cs="Calibri"/>
          <w:b/>
          <w:sz w:val="16"/>
          <w:szCs w:val="16"/>
          <w:lang w:val="en-US"/>
        </w:rPr>
        <w:t xml:space="preserve"> </w:t>
      </w:r>
      <w:hyperlink r:id="rId9" w:history="1">
        <w:r w:rsidRPr="007D3F3C">
          <w:rPr>
            <w:rStyle w:val="Hipervnculo"/>
            <w:rFonts w:ascii="Verdana" w:hAnsi="Verdana" w:cs="Calibri"/>
            <w:bCs/>
            <w:sz w:val="16"/>
            <w:szCs w:val="16"/>
            <w:lang w:val="en-US"/>
          </w:rPr>
          <w:t>http://www.cidh.org/women/Access07/tocaccess.htm</w:t>
        </w:r>
      </w:hyperlink>
      <w:r w:rsidRPr="007D3F3C">
        <w:rPr>
          <w:rFonts w:ascii="Verdana" w:hAnsi="Verdana" w:cs="Calibri"/>
          <w:bCs/>
          <w:sz w:val="16"/>
          <w:szCs w:val="16"/>
          <w:lang w:val="en-US"/>
        </w:rPr>
        <w:t>.</w:t>
      </w:r>
    </w:p>
  </w:footnote>
  <w:footnote w:id="35">
    <w:p w14:paraId="125116B6" w14:textId="77777777" w:rsidR="00576E40" w:rsidRPr="007D3F3C" w:rsidRDefault="00576E40" w:rsidP="00551CA7">
      <w:pPr>
        <w:pStyle w:val="Textonotapie"/>
        <w:jc w:val="both"/>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Style w:val="Textoennegrita"/>
          <w:rFonts w:ascii="Verdana" w:hAnsi="Verdana"/>
          <w:b w:val="0"/>
          <w:i/>
          <w:color w:val="000000"/>
          <w:sz w:val="16"/>
          <w:szCs w:val="16"/>
          <w:shd w:val="clear" w:color="auto" w:fill="FFFFFF"/>
          <w:lang w:val="es-CR"/>
        </w:rPr>
        <w:t>Case of Veliz Franco et al. v. Guatemala, supra</w:t>
      </w:r>
      <w:r w:rsidRPr="007D3F3C">
        <w:rPr>
          <w:rFonts w:ascii="Verdana" w:hAnsi="Verdana"/>
          <w:sz w:val="16"/>
          <w:szCs w:val="16"/>
          <w:lang w:val="es-CR"/>
        </w:rPr>
        <w:t>, para. 87.</w:t>
      </w:r>
    </w:p>
  </w:footnote>
  <w:footnote w:id="36">
    <w:p w14:paraId="4BE11052" w14:textId="77777777" w:rsidR="00576E40" w:rsidRPr="007D3F3C" w:rsidRDefault="00576E40" w:rsidP="00551CA7">
      <w:pPr>
        <w:pStyle w:val="Textonotapie"/>
        <w:jc w:val="both"/>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Style w:val="Textoennegrita"/>
          <w:rFonts w:ascii="Verdana" w:hAnsi="Verdana"/>
          <w:b w:val="0"/>
          <w:i/>
          <w:color w:val="000000"/>
          <w:sz w:val="16"/>
          <w:szCs w:val="16"/>
          <w:shd w:val="clear" w:color="auto" w:fill="FFFFFF"/>
          <w:lang w:val="es-CR"/>
        </w:rPr>
        <w:t xml:space="preserve">Case of Veliz Franco et al. v. Guatemala, supra, </w:t>
      </w:r>
      <w:r w:rsidRPr="007D3F3C">
        <w:rPr>
          <w:rStyle w:val="Textoennegrita"/>
          <w:rFonts w:ascii="Verdana" w:hAnsi="Verdana"/>
          <w:b w:val="0"/>
          <w:color w:val="000000"/>
          <w:sz w:val="16"/>
          <w:szCs w:val="16"/>
          <w:shd w:val="clear" w:color="auto" w:fill="FFFFFF"/>
          <w:lang w:val="es-CR"/>
        </w:rPr>
        <w:t xml:space="preserve">para. 89. </w:t>
      </w:r>
    </w:p>
  </w:footnote>
  <w:footnote w:id="37">
    <w:p w14:paraId="143BE93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Style w:val="Textoennegrita"/>
          <w:rFonts w:ascii="Verdana" w:hAnsi="Verdana"/>
          <w:b w:val="0"/>
          <w:i/>
          <w:color w:val="000000"/>
          <w:sz w:val="16"/>
          <w:szCs w:val="16"/>
          <w:shd w:val="clear" w:color="auto" w:fill="FFFFFF"/>
          <w:lang w:val="es-CR"/>
        </w:rPr>
        <w:t xml:space="preserve">Case of Veliz Franco et al. v. Guatemala, supra, </w:t>
      </w:r>
      <w:r w:rsidRPr="007D3F3C">
        <w:rPr>
          <w:rStyle w:val="Textoennegrita"/>
          <w:rFonts w:ascii="Verdana" w:hAnsi="Verdana"/>
          <w:b w:val="0"/>
          <w:color w:val="000000"/>
          <w:sz w:val="16"/>
          <w:szCs w:val="16"/>
          <w:shd w:val="clear" w:color="auto" w:fill="FFFFFF"/>
          <w:lang w:val="es-CR"/>
        </w:rPr>
        <w:t>paras.</w:t>
      </w:r>
      <w:r w:rsidRPr="007D3F3C">
        <w:rPr>
          <w:rStyle w:val="Textoennegrita"/>
          <w:rFonts w:ascii="Verdana" w:hAnsi="Verdana"/>
          <w:b w:val="0"/>
          <w:i/>
          <w:color w:val="000000"/>
          <w:sz w:val="16"/>
          <w:szCs w:val="16"/>
          <w:shd w:val="clear" w:color="auto" w:fill="FFFFFF"/>
          <w:lang w:val="es-CR"/>
        </w:rPr>
        <w:t xml:space="preserve"> </w:t>
      </w:r>
      <w:r w:rsidRPr="007D3F3C">
        <w:rPr>
          <w:rStyle w:val="Textoennegrita"/>
          <w:rFonts w:ascii="Verdana" w:hAnsi="Verdana"/>
          <w:b w:val="0"/>
          <w:color w:val="000000"/>
          <w:sz w:val="16"/>
          <w:szCs w:val="16"/>
          <w:shd w:val="clear" w:color="auto" w:fill="FFFFFF"/>
          <w:lang w:val="en-US"/>
        </w:rPr>
        <w:t>90 and 212.</w:t>
      </w:r>
    </w:p>
  </w:footnote>
  <w:footnote w:id="38">
    <w:p w14:paraId="596EAB2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eastAsia="Calibri" w:hAnsi="Verdana" w:cs="Univers"/>
          <w:color w:val="000000"/>
          <w:sz w:val="16"/>
          <w:szCs w:val="16"/>
          <w:lang w:val="en-US"/>
        </w:rPr>
        <w:t xml:space="preserve">Expert witness Karen Musalo explained that </w:t>
      </w:r>
      <w:r w:rsidRPr="007D3F3C">
        <w:rPr>
          <w:rFonts w:ascii="Verdana" w:eastAsia="Calibri" w:hAnsi="Verdana"/>
          <w:sz w:val="16"/>
          <w:szCs w:val="16"/>
          <w:lang w:val="en-US"/>
        </w:rPr>
        <w:t xml:space="preserve">“[t]he fact that violence could be inflicted on women and girls with an almost certainty that it would not be punished, increased the levels of violence. The deficiencies in the legal system were documented at each stage of the investigation process; ranging from failure to respond to a missing person report, to contamination of the crime scenes in order to prejudice the case as a result of discrimination and gender stereotyping by the courts.” </w:t>
      </w:r>
      <w:r w:rsidRPr="007D3F3C">
        <w:rPr>
          <w:rFonts w:ascii="Verdana" w:eastAsia="Calibri" w:hAnsi="Verdana"/>
          <w:i/>
          <w:sz w:val="16"/>
          <w:szCs w:val="16"/>
          <w:lang w:val="en-US"/>
        </w:rPr>
        <w:t xml:space="preserve">Cf. </w:t>
      </w:r>
      <w:r w:rsidRPr="007D3F3C">
        <w:rPr>
          <w:rFonts w:ascii="Verdana" w:hAnsi="Verdana"/>
          <w:sz w:val="16"/>
          <w:szCs w:val="16"/>
          <w:lang w:val="en-US"/>
        </w:rPr>
        <w:t xml:space="preserve">Expert opinion of Karen Musalo provided by affidavit on April 13, 2015 (evidence file, folio 6656). In this regard, expert witness Paloma Soria Montañez emphasized that “[t]he actual situation of violence is also accompanied by a context of impunity. Thus, violence against women is neither investigated nor condemned, and this allows us to affirm that the institutions responsible for security and justice have not reacted with due diligence.” </w:t>
      </w:r>
      <w:r w:rsidRPr="007D3F3C">
        <w:rPr>
          <w:rFonts w:ascii="Verdana" w:hAnsi="Verdana"/>
          <w:i/>
          <w:sz w:val="16"/>
          <w:szCs w:val="16"/>
          <w:lang w:val="en-US"/>
        </w:rPr>
        <w:t>Cf.</w:t>
      </w:r>
      <w:r w:rsidRPr="007D3F3C">
        <w:rPr>
          <w:rFonts w:ascii="Verdana" w:hAnsi="Verdana"/>
          <w:sz w:val="16"/>
          <w:szCs w:val="16"/>
          <w:lang w:val="en-US"/>
        </w:rPr>
        <w:t xml:space="preserve"> Expert opinion of Paloma Soria Montañez provided by affidavit on April 16, 2015 (evidence file, folio 6765).</w:t>
      </w:r>
      <w:r w:rsidRPr="007D3F3C">
        <w:rPr>
          <w:rStyle w:val="Hipervnculo"/>
          <w:rFonts w:ascii="Verdana" w:hAnsi="Verdana"/>
          <w:sz w:val="16"/>
          <w:szCs w:val="16"/>
          <w:u w:val="none"/>
          <w:lang w:val="en-US"/>
        </w:rPr>
        <w:t xml:space="preserve"> </w:t>
      </w:r>
      <w:r w:rsidRPr="007D3F3C">
        <w:rPr>
          <w:rFonts w:ascii="Verdana" w:hAnsi="Verdana"/>
          <w:sz w:val="16"/>
          <w:szCs w:val="16"/>
          <w:lang w:val="en-US"/>
        </w:rPr>
        <w:t>In 2007, the Inter-American Commission observed the existence of delays when women victims of violence are reported to have disappeared and that the authorities commit two types of violation: (1) they fail to launch an immediate search for the victim, and (2) they discredit and blame the victim for what happened , thereby indicating that the missing woman does not deserve State efforts to locate and protect her</w:t>
      </w:r>
      <w:r w:rsidRPr="007D3F3C">
        <w:rPr>
          <w:rFonts w:ascii="Verdana" w:eastAsia="Calibri" w:hAnsi="Verdana" w:cs="Univers"/>
          <w:color w:val="000000"/>
          <w:sz w:val="16"/>
          <w:szCs w:val="16"/>
          <w:lang w:val="en-US"/>
        </w:rPr>
        <w:t>.</w:t>
      </w:r>
      <w:r w:rsidRPr="007D3F3C">
        <w:rPr>
          <w:rFonts w:ascii="Verdana" w:eastAsia="Calibri" w:hAnsi="Verdana"/>
          <w:sz w:val="16"/>
          <w:szCs w:val="16"/>
          <w:lang w:val="en-US"/>
        </w:rPr>
        <w:t xml:space="preserve"> </w:t>
      </w:r>
      <w:r w:rsidRPr="007D3F3C">
        <w:rPr>
          <w:rFonts w:ascii="Verdana" w:eastAsia="Calibri" w:hAnsi="Verdana"/>
          <w:i/>
          <w:sz w:val="16"/>
          <w:szCs w:val="16"/>
          <w:lang w:val="en-US"/>
        </w:rPr>
        <w:t>Cf.</w:t>
      </w:r>
      <w:r w:rsidRPr="007D3F3C">
        <w:rPr>
          <w:rFonts w:ascii="Verdana" w:eastAsia="Calibri" w:hAnsi="Verdana"/>
          <w:sz w:val="16"/>
          <w:szCs w:val="16"/>
          <w:lang w:val="en-US"/>
        </w:rPr>
        <w:t xml:space="preserve"> </w:t>
      </w:r>
      <w:r w:rsidRPr="007D3F3C">
        <w:rPr>
          <w:rFonts w:ascii="Verdana" w:hAnsi="Verdana"/>
          <w:sz w:val="16"/>
          <w:szCs w:val="16"/>
          <w:lang w:val="en-US"/>
        </w:rPr>
        <w:t>IACHR, “Access to Justice for Women Victims of Violence in the Americas,” January 20, 2007, para. 135. Available at:</w:t>
      </w:r>
      <w:r w:rsidRPr="007D3F3C">
        <w:rPr>
          <w:rFonts w:ascii="Verdana" w:hAnsi="Verdana" w:cs="Calibri"/>
          <w:b/>
          <w:sz w:val="16"/>
          <w:szCs w:val="16"/>
          <w:lang w:val="en-US"/>
        </w:rPr>
        <w:t xml:space="preserve"> </w:t>
      </w:r>
      <w:hyperlink r:id="rId10" w:history="1">
        <w:r w:rsidRPr="007D3F3C">
          <w:rPr>
            <w:rStyle w:val="Hipervnculo"/>
            <w:rFonts w:ascii="Verdana" w:hAnsi="Verdana" w:cs="Calibri"/>
            <w:bCs/>
            <w:sz w:val="16"/>
            <w:szCs w:val="16"/>
            <w:lang w:val="en-US"/>
          </w:rPr>
          <w:t>http://www.cidh.org/women/Access07/tocaccess.htm</w:t>
        </w:r>
      </w:hyperlink>
      <w:r w:rsidRPr="007D3F3C">
        <w:rPr>
          <w:rFonts w:ascii="Verdana" w:hAnsi="Verdana" w:cs="Calibri"/>
          <w:bCs/>
          <w:sz w:val="16"/>
          <w:szCs w:val="16"/>
          <w:lang w:val="en-US"/>
        </w:rPr>
        <w:t>.</w:t>
      </w:r>
      <w:r w:rsidRPr="007D3F3C">
        <w:rPr>
          <w:rFonts w:ascii="Verdana" w:hAnsi="Verdana"/>
          <w:sz w:val="16"/>
          <w:szCs w:val="16"/>
          <w:lang w:val="en-US"/>
        </w:rPr>
        <w:t xml:space="preserve"> </w:t>
      </w:r>
      <w:r w:rsidRPr="007D3F3C">
        <w:rPr>
          <w:rFonts w:ascii="Verdana" w:eastAsia="Calibri" w:hAnsi="Verdana"/>
          <w:sz w:val="16"/>
          <w:szCs w:val="16"/>
          <w:lang w:val="en-US"/>
        </w:rPr>
        <w:t xml:space="preserve">In 2004, the </w:t>
      </w:r>
      <w:r w:rsidRPr="007D3F3C">
        <w:rPr>
          <w:rFonts w:ascii="Verdana" w:hAnsi="Verdana"/>
          <w:color w:val="000000"/>
          <w:sz w:val="16"/>
          <w:szCs w:val="16"/>
          <w:lang w:val="en-US"/>
        </w:rPr>
        <w:t>Special Rapporteur for the rights of Women of the Inter-American Commission</w:t>
      </w:r>
      <w:r w:rsidRPr="007D3F3C">
        <w:rPr>
          <w:rFonts w:ascii="Verdana" w:hAnsi="Verdana"/>
          <w:sz w:val="16"/>
          <w:szCs w:val="16"/>
          <w:lang w:val="en-US"/>
        </w:rPr>
        <w:t xml:space="preserve"> “heard evidence from victims in many cases that the different agencies responsible for investigating and pursuing the crime treated them in a disrespectful manner. These reports show how discriminatory stereotypes operate in practice. These attitudes range from a lack of sensitivity to the situation of the person concerned, to openly hostile and discriminatory attitudes that devalue the person. They may, for example, blame the victim and her family for the way they live, the clothes they wear, or the time they spend outside their home; further, the definition of many of these crimes as “crimes of passion” without due investigation reflects a pattern of discrimination. This lack of respect for the dignity of the victims or their families has the effect of “re-victimizing” them.” </w:t>
      </w:r>
      <w:r w:rsidRPr="007D3F3C">
        <w:rPr>
          <w:rFonts w:ascii="Verdana" w:eastAsia="Calibri" w:hAnsi="Verdana"/>
          <w:i/>
          <w:sz w:val="16"/>
          <w:szCs w:val="16"/>
          <w:lang w:val="en-US"/>
        </w:rPr>
        <w:t xml:space="preserve">Cf. </w:t>
      </w:r>
      <w:r w:rsidRPr="007D3F3C">
        <w:rPr>
          <w:rFonts w:ascii="Verdana" w:hAnsi="Verdana"/>
          <w:sz w:val="16"/>
          <w:szCs w:val="16"/>
          <w:lang w:val="en-US"/>
        </w:rPr>
        <w:t xml:space="preserve">IACHR, Press release No. 20/04, September 18, 2004, para. 26. Available at: http://www.cidh.oas.org/Comunicados/English/2004/20.04.htm </w:t>
      </w:r>
    </w:p>
  </w:footnote>
  <w:footnote w:id="39">
    <w:p w14:paraId="05A8347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color w:val="000000"/>
          <w:sz w:val="16"/>
          <w:szCs w:val="16"/>
          <w:lang w:val="en-US"/>
        </w:rPr>
        <w:t>Birth registration on December 2, 1985 (evidence file, folio 3047).</w:t>
      </w:r>
    </w:p>
  </w:footnote>
  <w:footnote w:id="40">
    <w:p w14:paraId="20F23990" w14:textId="77777777" w:rsidR="00576E40" w:rsidRPr="007D3F3C" w:rsidRDefault="00576E40" w:rsidP="00551CA7">
      <w:pPr>
        <w:pStyle w:val="Textonotapie"/>
        <w:jc w:val="both"/>
        <w:rPr>
          <w:rFonts w:ascii="Verdana" w:hAnsi="Verdana"/>
          <w:color w:val="000000"/>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color w:val="000000"/>
          <w:sz w:val="16"/>
          <w:szCs w:val="16"/>
          <w:lang w:val="en-US"/>
        </w:rPr>
        <w:t xml:space="preserve">Certification of notes in the Faculty of Social and Legal Sciences of the </w:t>
      </w:r>
      <w:r w:rsidRPr="007D3F3C">
        <w:rPr>
          <w:rFonts w:ascii="Verdana" w:hAnsi="Verdana"/>
          <w:sz w:val="16"/>
          <w:szCs w:val="16"/>
          <w:lang w:val="en-US"/>
        </w:rPr>
        <w:t>Universidad de San Carlos de Guatemala</w:t>
      </w:r>
      <w:r w:rsidRPr="007D3F3C">
        <w:rPr>
          <w:rFonts w:ascii="Verdana" w:hAnsi="Verdana"/>
          <w:color w:val="000000"/>
          <w:sz w:val="16"/>
          <w:szCs w:val="16"/>
          <w:lang w:val="en-US"/>
        </w:rPr>
        <w:t xml:space="preserve"> (evidence file, folio 2629).</w:t>
      </w:r>
    </w:p>
  </w:footnote>
  <w:footnote w:id="41">
    <w:p w14:paraId="07970BD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by Jorge Rolando Velásquez Durán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9); Statement by Elsa Claudina Paiz Vidal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16); Statement by Jorge Rolando Velásquez Durán of January 24, 2006, before the assistant prosecutor of the Public Prosecution Service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3868 to 3869); Interview of Elsa Claudina Paiz Vidal, Investigation report dated October 24,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51).</w:t>
      </w:r>
    </w:p>
  </w:footnote>
  <w:footnote w:id="42">
    <w:p w14:paraId="48AE690F"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by Elsa Claudina Paiz Vidal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16); Psychiatric assessment of Jorge Rolando Velásquez Durán of October 21, 2009 (</w:t>
      </w:r>
      <w:r w:rsidRPr="007D3F3C">
        <w:rPr>
          <w:rFonts w:ascii="Verdana" w:hAnsi="Verdana"/>
          <w:color w:val="000000"/>
          <w:sz w:val="16"/>
          <w:szCs w:val="16"/>
          <w:lang w:val="en-US"/>
        </w:rPr>
        <w:t>evidence file, folio 198</w:t>
      </w:r>
      <w:r w:rsidRPr="007D3F3C">
        <w:rPr>
          <w:rFonts w:ascii="Verdana" w:hAnsi="Verdana"/>
          <w:sz w:val="16"/>
          <w:szCs w:val="16"/>
          <w:lang w:val="en-US"/>
        </w:rPr>
        <w:t>), and Statement by expert witness Álvaro Rodrigo Castellanos Howell during the hearing before the Inter-American Commission of March 27, 2012 (evidence file, folio 2723).</w:t>
      </w:r>
    </w:p>
  </w:footnote>
  <w:footnote w:id="43">
    <w:p w14:paraId="66014D7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by Jorge Rolando Velásquez Durán of January 24, 2006,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3871), and Psychiatric assessment of Jorge Rolando Velásquez Durán of October 21, 2009 (</w:t>
      </w:r>
      <w:r w:rsidRPr="007D3F3C">
        <w:rPr>
          <w:rFonts w:ascii="Verdana" w:hAnsi="Verdana"/>
          <w:color w:val="000000"/>
          <w:sz w:val="16"/>
          <w:szCs w:val="16"/>
          <w:lang w:val="en-US"/>
        </w:rPr>
        <w:t>evidence file, folio 198</w:t>
      </w:r>
      <w:r w:rsidRPr="007D3F3C">
        <w:rPr>
          <w:rFonts w:ascii="Verdana" w:hAnsi="Verdana"/>
          <w:sz w:val="16"/>
          <w:szCs w:val="16"/>
          <w:lang w:val="en-US"/>
        </w:rPr>
        <w:t>).</w:t>
      </w:r>
    </w:p>
  </w:footnote>
  <w:footnote w:id="44">
    <w:p w14:paraId="5B06F44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Record of the reported disappearance of August 13,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21), and Resolution of the Ombudsman of July 20, 2006 (evidence file, folio 124).</w:t>
      </w:r>
    </w:p>
  </w:footnote>
  <w:footnote w:id="45">
    <w:p w14:paraId="34D70EC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No. 2544/2005 of August 13, 2005, PNC Station 142, Zone 11, Guatemala City (evidence file, folio 23).</w:t>
      </w:r>
    </w:p>
  </w:footnote>
  <w:footnote w:id="46">
    <w:p w14:paraId="395EDC3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Record No. 828.09.2005 of the Guatemalan Voluntary Fire Service (evidence file, folio 33), and Statement of December 6, 2005 (evidence file, folio</w:t>
      </w:r>
      <w:r w:rsidRPr="007D3F3C">
        <w:rPr>
          <w:rFonts w:ascii="Verdana" w:hAnsi="Verdana"/>
          <w:bCs/>
          <w:sz w:val="16"/>
          <w:szCs w:val="16"/>
          <w:lang w:val="en-US"/>
        </w:rPr>
        <w:t xml:space="preserve"> 3859).</w:t>
      </w:r>
    </w:p>
  </w:footnote>
  <w:footnote w:id="47">
    <w:p w14:paraId="0732B70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No. 2544/2005 of August 13, 2005, PNC Station 142, Zone 11, Guatemala City (evidence file, folio 23); Report of August 16, 2005, of the Criminal Investigations Expert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56), and Report of August 19, 2005, of the Criminal Investigation Experts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40).</w:t>
      </w:r>
    </w:p>
  </w:footnote>
  <w:footnote w:id="48">
    <w:p w14:paraId="3FA4058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Photographic album of the actions taken on August 13, 2005, at the place where the body of Claudina Velásquez was discovered (evidence file, folio 2797); Statement of the forensic physician of January 20, 2009,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2880), and Video of the actions taken at the scene on August 13, 2005.</w:t>
      </w:r>
    </w:p>
  </w:footnote>
  <w:footnote w:id="49">
    <w:p w14:paraId="12749CD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No. 2544/2005 of August 13, 2005, PNC Station 142, Zone 11, Guatemala City (evidence file, folio 23), and Form on the Removal and Transfer of Corpses dated August 13, 2005, Public Prosecution Service (evidence file, folio 25).</w:t>
      </w:r>
    </w:p>
  </w:footnote>
  <w:footnote w:id="50">
    <w:p w14:paraId="1EB13ED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on external medical examination and forensic processing of the crime scene dated August 30, 2005 (evidence file, folio 35).</w:t>
      </w:r>
    </w:p>
  </w:footnote>
  <w:footnote w:id="51">
    <w:p w14:paraId="10C599E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No. 2544/2005 of August 13, 2005, PNC Station 142, Zone 11, Guatemala City (evidence file, folio 23);</w:t>
      </w:r>
      <w:r w:rsidRPr="007D3F3C">
        <w:rPr>
          <w:rFonts w:ascii="Verdana" w:hAnsi="Verdana"/>
          <w:i/>
          <w:sz w:val="16"/>
          <w:szCs w:val="16"/>
          <w:lang w:val="en-US"/>
        </w:rPr>
        <w:t xml:space="preserve"> </w:t>
      </w:r>
      <w:r w:rsidRPr="007D3F3C">
        <w:rPr>
          <w:rFonts w:ascii="Verdana" w:hAnsi="Verdana"/>
          <w:sz w:val="16"/>
          <w:szCs w:val="16"/>
          <w:lang w:val="en-US"/>
        </w:rPr>
        <w:t>Form on the Removal and Transfer of Corpses of August 13, 2005, Public Prosecution Service (evidence file, folio 27), and Record No. 828.09.2005, of the Guatemalan Voluntary Fire Service (evidence file, folio 33); Report of August 16, 2005, of the Criminal Investigations Expert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56), and Photographic album of the actions taken at the scene on August 13, 2005 (evidence file, folios 2796 to 2805).</w:t>
      </w:r>
    </w:p>
  </w:footnote>
  <w:footnote w:id="52">
    <w:p w14:paraId="07AED35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August 19, 2005, of the Criminal Investigation Experts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40), and Report on external medical examination and forensic processing of the crime scene of August 30, 2005 (evidence file, folio 35).</w:t>
      </w:r>
    </w:p>
  </w:footnote>
  <w:footnote w:id="53">
    <w:p w14:paraId="58EDA96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the investigator of the Unit to Combat Murders of Women of the PNC Criminal Investigation Service of August 13, 2005 (evidence file, folio 71); Report of August 16, 2005, of the Criminal Investigations Expert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56); Autopsy report of August 16, 2005 (evidence file, folios 30 and 31); Photographic album of the actions taken at the scene on August 13, 2005 (evidence file, folio 2802), and Statement of the forensic physician of January 20, 2009,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2880).</w:t>
      </w:r>
    </w:p>
  </w:footnote>
  <w:footnote w:id="54">
    <w:p w14:paraId="3089ED7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 objects collected as evidence were: (1) a bullet casing of unknown caliber; (2) a bullet of unknown caliber; (3) a packet of dehydrated vegetables marked “Ramen Cup,” and (4) the pink sweater she wore with possible blood stains.</w:t>
      </w:r>
      <w:r w:rsidRPr="007D3F3C">
        <w:rPr>
          <w:rFonts w:ascii="Verdana" w:hAnsi="Verdana"/>
          <w:i/>
          <w:sz w:val="16"/>
          <w:szCs w:val="16"/>
          <w:lang w:val="en-US"/>
        </w:rPr>
        <w:t xml:space="preserve"> Cf.</w:t>
      </w:r>
      <w:r w:rsidRPr="007D3F3C">
        <w:rPr>
          <w:rFonts w:ascii="Verdana" w:hAnsi="Verdana"/>
          <w:sz w:val="16"/>
          <w:szCs w:val="16"/>
          <w:lang w:val="en-US"/>
        </w:rPr>
        <w:t xml:space="preserve"> Communication MP-001-2005-69430 of the Criminal Investigations Department of the Public Prosecution Service of September 23, 2005 (evidence file, folio 4613); Report No. 2242-05 of the Technical and Scientific Department of the Public Prosecution Service (evidence file, folio 4615), and Photographic album of the actions taken at the scene on August 13, 2005 (evidence file, folio 2804).</w:t>
      </w:r>
      <w:r w:rsidRPr="007D3F3C">
        <w:rPr>
          <w:rFonts w:ascii="Verdana" w:hAnsi="Verdana"/>
          <w:sz w:val="16"/>
          <w:szCs w:val="16"/>
          <w:lang w:val="en-US" w:eastAsia="es-CR"/>
        </w:rPr>
        <w:t xml:space="preserve"> It was recorded that the following accessories that she was wearing were also collected: </w:t>
      </w:r>
      <w:r w:rsidRPr="007D3F3C">
        <w:rPr>
          <w:rFonts w:ascii="Verdana" w:hAnsi="Verdana"/>
          <w:sz w:val="16"/>
          <w:szCs w:val="16"/>
          <w:lang w:val="en-US"/>
        </w:rPr>
        <w:t>(5) a small silver earring for pierced ear with a rose-colored pearl, and (6) a pink choker-type necklace with a medal portraying Osiris.</w:t>
      </w:r>
      <w:r w:rsidRPr="007D3F3C">
        <w:rPr>
          <w:rFonts w:ascii="Verdana" w:hAnsi="Verdana"/>
          <w:i/>
          <w:sz w:val="16"/>
          <w:szCs w:val="16"/>
          <w:lang w:val="en-US"/>
        </w:rPr>
        <w:t xml:space="preserve"> Cf. </w:t>
      </w:r>
      <w:r w:rsidRPr="007D3F3C">
        <w:rPr>
          <w:rFonts w:ascii="Verdana" w:hAnsi="Verdana"/>
          <w:sz w:val="16"/>
          <w:szCs w:val="16"/>
          <w:lang w:val="en-US"/>
        </w:rPr>
        <w:t>Communication No. 2544/2005 of August 13, 2005, PNC Station 142, Zone 11, Guatemala City (evidence file, folio 23), and Report of the investigator of the Unit to Combat Murders of Women of the PNC Criminal Investigation Service of August 13, 2005 (evidence file, folios 69 and 70).</w:t>
      </w:r>
    </w:p>
  </w:footnote>
  <w:footnote w:id="55">
    <w:p w14:paraId="366744B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No. 2544/2005 of August 13, 2005, PNC Station 142, Zone 11, Guatemala City (evidence file, folio 23).</w:t>
      </w:r>
    </w:p>
  </w:footnote>
  <w:footnote w:id="56">
    <w:p w14:paraId="32C42EE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No. 2544/2005 of August 13, 2005, PNC Station 142, Zone 11, Guatemala City (evidence file, folio 23), and Form on the Removal and Transfer of Corpses of August 13, 2005, Public Prosecution Service (evidence file, folio 26).</w:t>
      </w:r>
    </w:p>
  </w:footnote>
  <w:footnote w:id="57">
    <w:p w14:paraId="2B48D2A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by Jorge Rolando Velásquez Durán of September 22, 2005, before the assistant prosecutor of the Public Prosecution Service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10 and 11); Statement by Jorge Rolando Velásquez Durán of January 24, 2006, before the assistant prosecutor of the Public Prosecution Service (</w:t>
      </w:r>
      <w:r w:rsidRPr="007D3F3C">
        <w:rPr>
          <w:rFonts w:ascii="Verdana" w:hAnsi="Verdana"/>
          <w:color w:val="000000"/>
          <w:sz w:val="16"/>
          <w:szCs w:val="16"/>
          <w:lang w:val="en-US"/>
        </w:rPr>
        <w:t>evidence file, folio 3874</w:t>
      </w:r>
      <w:r w:rsidRPr="007D3F3C">
        <w:rPr>
          <w:rFonts w:ascii="Verdana" w:hAnsi="Verdana"/>
          <w:sz w:val="16"/>
          <w:szCs w:val="16"/>
          <w:lang w:val="en-US"/>
        </w:rPr>
        <w:t>); Psychiatric assessment of Jorge Rolando Velásquez Durán of October 21, 2009 (</w:t>
      </w:r>
      <w:r w:rsidRPr="007D3F3C">
        <w:rPr>
          <w:rFonts w:ascii="Verdana" w:hAnsi="Verdana"/>
          <w:color w:val="000000"/>
          <w:sz w:val="16"/>
          <w:szCs w:val="16"/>
          <w:lang w:val="en-US"/>
        </w:rPr>
        <w:t>evidence file, folio 198</w:t>
      </w:r>
      <w:r w:rsidRPr="007D3F3C">
        <w:rPr>
          <w:rFonts w:ascii="Verdana" w:hAnsi="Verdana"/>
          <w:sz w:val="16"/>
          <w:szCs w:val="16"/>
          <w:lang w:val="en-US"/>
        </w:rPr>
        <w:t>), and Interview with Elsa Claudina Paiz Vidal on August 15, 2005, by the investigator of the PNC Criminal Investigation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2903).</w:t>
      </w:r>
    </w:p>
  </w:footnote>
  <w:footnote w:id="58">
    <w:p w14:paraId="23C7008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Identification record of the Forensic Medicine Service of August 13,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77), and Resolution of the Ombudsman of July 20, 2006 (evidence file, folio 124).</w:t>
      </w:r>
    </w:p>
  </w:footnote>
  <w:footnote w:id="59">
    <w:p w14:paraId="246B1D8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Death certificate of October 17, 2005 (evidence file, folio 3016).</w:t>
      </w:r>
    </w:p>
  </w:footnote>
  <w:footnote w:id="60">
    <w:p w14:paraId="3C593EA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Communications of November 10, 2005, July 5, 2006, and June 22, 2009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 xml:space="preserve">4264, 4734 and 4977). See also </w:t>
      </w:r>
      <w:r w:rsidRPr="007D3F3C">
        <w:rPr>
          <w:rFonts w:ascii="Verdana" w:hAnsi="Verdana"/>
          <w:i/>
          <w:sz w:val="16"/>
          <w:szCs w:val="16"/>
          <w:lang w:val="en-US"/>
        </w:rPr>
        <w:t>infra</w:t>
      </w:r>
      <w:r w:rsidRPr="007D3F3C">
        <w:rPr>
          <w:rFonts w:ascii="Verdana" w:hAnsi="Verdana"/>
          <w:sz w:val="16"/>
          <w:szCs w:val="16"/>
          <w:lang w:val="en-US"/>
        </w:rPr>
        <w:t xml:space="preserve"> para. 67.</w:t>
      </w:r>
    </w:p>
  </w:footnote>
  <w:footnote w:id="61">
    <w:p w14:paraId="46C6633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on external medical examination and forensic processing of the crime scene</w:t>
      </w:r>
      <w:r w:rsidRPr="007D3F3C">
        <w:rPr>
          <w:rFonts w:ascii="Verdana" w:eastAsia="Batang" w:hAnsi="Verdana"/>
          <w:i/>
          <w:iCs/>
          <w:sz w:val="16"/>
          <w:szCs w:val="16"/>
          <w:lang w:val="en-US" w:eastAsia="es-MX"/>
        </w:rPr>
        <w:t xml:space="preserve"> </w:t>
      </w:r>
      <w:r w:rsidRPr="007D3F3C">
        <w:rPr>
          <w:rFonts w:ascii="Verdana" w:hAnsi="Verdana"/>
          <w:sz w:val="16"/>
          <w:szCs w:val="16"/>
          <w:lang w:val="en-US"/>
        </w:rPr>
        <w:t>of August 30, 2005 (evidence file, folios 35 and 36).</w:t>
      </w:r>
    </w:p>
  </w:footnote>
  <w:footnote w:id="62">
    <w:p w14:paraId="43DA06A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Letter of the assistant prosecutor addressed to the Criminal Investigations Department of the Public Prosecution Service of June 7, 2006 (evidence file, folio 193).</w:t>
      </w:r>
    </w:p>
  </w:footnote>
  <w:footnote w:id="63">
    <w:p w14:paraId="1E3F342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Letter of the forensic physician addressed to the assistant prosecutor of June 21, 2006 (evidence file, folio 38).</w:t>
      </w:r>
    </w:p>
  </w:footnote>
  <w:footnote w:id="64">
    <w:p w14:paraId="79C0881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of the forensic physician of January 20, 2009, before the assistant prosecutor of the Public Prosecution Service (</w:t>
      </w:r>
      <w:r w:rsidRPr="007D3F3C">
        <w:rPr>
          <w:rFonts w:ascii="Verdana" w:hAnsi="Verdana"/>
          <w:color w:val="000000"/>
          <w:sz w:val="16"/>
          <w:szCs w:val="16"/>
          <w:lang w:val="en-US"/>
        </w:rPr>
        <w:t xml:space="preserve">evidence file, folios 2879 </w:t>
      </w:r>
      <w:r w:rsidR="00B42CA4">
        <w:rPr>
          <w:rFonts w:ascii="Verdana" w:hAnsi="Verdana"/>
          <w:color w:val="000000"/>
          <w:sz w:val="16"/>
          <w:szCs w:val="16"/>
          <w:lang w:val="en-US"/>
        </w:rPr>
        <w:t>to</w:t>
      </w:r>
      <w:r w:rsidRPr="007D3F3C">
        <w:rPr>
          <w:rFonts w:ascii="Verdana" w:hAnsi="Verdana"/>
          <w:color w:val="000000"/>
          <w:sz w:val="16"/>
          <w:szCs w:val="16"/>
          <w:lang w:val="en-US"/>
        </w:rPr>
        <w:t xml:space="preserve"> </w:t>
      </w:r>
      <w:r w:rsidRPr="007D3F3C">
        <w:rPr>
          <w:rFonts w:ascii="Verdana" w:hAnsi="Verdana"/>
          <w:sz w:val="16"/>
          <w:szCs w:val="16"/>
          <w:lang w:val="en-US"/>
        </w:rPr>
        <w:t>2883).</w:t>
      </w:r>
    </w:p>
  </w:footnote>
  <w:footnote w:id="65">
    <w:p w14:paraId="6A30F47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Autopsy report sent to the assistant prosecutor on August 16, 2005 (evidence file, folios 30 and 31).</w:t>
      </w:r>
    </w:p>
  </w:footnote>
  <w:footnote w:id="66">
    <w:p w14:paraId="731EDEC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Letters of the assistant prosecutor of October 5 and 13, 2005, June 7, 2006, and October 11 and 26, 2007, addressed to the Forensic Medicine Service (evidence file, folios 4221, 4243, 3277, 4363, 4364, 4519 and 4514).</w:t>
      </w:r>
    </w:p>
  </w:footnote>
  <w:footnote w:id="67">
    <w:p w14:paraId="025573E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Reports of the forensic physician of October 7, 2005, June 7, 2006, and December 3, 2007 (evidence file, folios 2976 to 2977, 3278 and 5073).</w:t>
      </w:r>
    </w:p>
  </w:footnote>
  <w:footnote w:id="68">
    <w:p w14:paraId="234D19D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the Criminal Investigations Expert of the Public Prosecution Service of August 16, 2005 (evidence file, folio 59), and Resolution of the Ombudsman of July 20, 2006 (evidence file, folio 124).</w:t>
      </w:r>
    </w:p>
  </w:footnote>
  <w:footnote w:id="69">
    <w:p w14:paraId="5FE5700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Statement made by Jorge Rolando Velásquez Durán during the public hearing held on April 21 and 22, 2015, before the Inter-American Court; Statement by Jorge Rolando Velásquez Durán of January 24, 2006, before the assistant prosecutor of the Public Prosecution Service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3875 and 3876); Psychiatric assessment of Jorge Rolando Velásquez Durán of October 21, 2009 (</w:t>
      </w:r>
      <w:r w:rsidRPr="007D3F3C">
        <w:rPr>
          <w:rFonts w:ascii="Verdana" w:hAnsi="Verdana"/>
          <w:color w:val="000000"/>
          <w:sz w:val="16"/>
          <w:szCs w:val="16"/>
          <w:lang w:val="en-US"/>
        </w:rPr>
        <w:t>evidence file, folio 199</w:t>
      </w:r>
      <w:r w:rsidRPr="007D3F3C">
        <w:rPr>
          <w:rFonts w:ascii="Verdana" w:hAnsi="Verdana"/>
          <w:sz w:val="16"/>
          <w:szCs w:val="16"/>
          <w:lang w:val="en-US"/>
        </w:rPr>
        <w:t>); Psychiatric assessment of Elsa Claudina Paiz Vidal of December 2, 2010 (</w:t>
      </w:r>
      <w:r w:rsidRPr="007D3F3C">
        <w:rPr>
          <w:rFonts w:ascii="Verdana" w:hAnsi="Verdana"/>
          <w:color w:val="000000"/>
          <w:sz w:val="16"/>
          <w:szCs w:val="16"/>
          <w:lang w:val="en-US"/>
        </w:rPr>
        <w:t>evidence file, folio 206</w:t>
      </w:r>
      <w:r w:rsidRPr="007D3F3C">
        <w:rPr>
          <w:rFonts w:ascii="Verdana" w:hAnsi="Verdana"/>
          <w:sz w:val="16"/>
          <w:szCs w:val="16"/>
          <w:lang w:val="en-US"/>
        </w:rPr>
        <w:t>).</w:t>
      </w:r>
    </w:p>
  </w:footnote>
  <w:footnote w:id="70">
    <w:p w14:paraId="00069C8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Record No. 828.09.2005, of the Guatemalan Voluntary Fire Service of September 6, 2005 (evidence file, folio 33).</w:t>
      </w:r>
    </w:p>
  </w:footnote>
  <w:footnote w:id="71">
    <w:p w14:paraId="18AE8E9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by a volunteer firefighter before the assistant prosecutor on December 6, 2005 (evidence file, folio</w:t>
      </w:r>
      <w:r w:rsidRPr="007D3F3C">
        <w:rPr>
          <w:rFonts w:ascii="Verdana" w:hAnsi="Verdana"/>
          <w:bCs/>
          <w:sz w:val="16"/>
          <w:szCs w:val="16"/>
          <w:lang w:val="en-US"/>
        </w:rPr>
        <w:t xml:space="preserve"> 3859).</w:t>
      </w:r>
    </w:p>
  </w:footnote>
  <w:footnote w:id="72">
    <w:p w14:paraId="7BA0807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Reports of the investigator of the Unit to Combat Murders of Women of the PNC Criminal Investigation Service of August 13, 22 and 25, 2005 (evidence file, folios 68 to 71, 2901 to 2905 and 4986 to 4993).</w:t>
      </w:r>
    </w:p>
  </w:footnote>
  <w:footnote w:id="73">
    <w:p w14:paraId="576CF4F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Letters of the Criminal Investigations Expert of August 23 and September 19, 2005, and July 18, 2008 (evidence file, folios 2795 to 2805, 4611 to 4612, and 4153 to 4158).</w:t>
      </w:r>
    </w:p>
  </w:footnote>
  <w:footnote w:id="74">
    <w:p w14:paraId="09FDB3A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Reports of the Criminal Investigations Expert of the Public Prosecution Service of 2005, 2008, 2010, 2011 and 2012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 xml:space="preserve">56 to 57, 2893 to 2895, 4636, </w:t>
      </w:r>
      <w:r w:rsidRPr="007D3F3C">
        <w:rPr>
          <w:rFonts w:ascii="Verdana" w:hAnsi="Verdana"/>
          <w:color w:val="000000"/>
          <w:sz w:val="16"/>
          <w:szCs w:val="16"/>
          <w:lang w:val="en-US"/>
        </w:rPr>
        <w:t xml:space="preserve">4641 to 4644, 4877 to 4883, </w:t>
      </w:r>
      <w:r w:rsidRPr="007D3F3C">
        <w:rPr>
          <w:rFonts w:ascii="Verdana" w:hAnsi="Verdana"/>
          <w:sz w:val="16"/>
          <w:szCs w:val="16"/>
          <w:lang w:val="en-US"/>
        </w:rPr>
        <w:t xml:space="preserve">3216 to 3217, 5308 to 5310, 5318 to 5322, 5339, 5340 to 5342, 5348 to 5377, 5465 to 5469, 5673 to 5676, 5685 to 5686, </w:t>
      </w:r>
      <w:r w:rsidRPr="007D3F3C">
        <w:rPr>
          <w:rFonts w:ascii="Verdana" w:hAnsi="Verdana"/>
          <w:color w:val="000000"/>
          <w:sz w:val="16"/>
          <w:szCs w:val="16"/>
          <w:lang w:val="en-US"/>
        </w:rPr>
        <w:t>5695, 6152, 6153, 6165 to 6166, 6204 to 6211 and 6274 to 6283</w:t>
      </w:r>
      <w:r w:rsidRPr="007D3F3C">
        <w:rPr>
          <w:rFonts w:ascii="Verdana" w:hAnsi="Verdana"/>
          <w:sz w:val="16"/>
          <w:szCs w:val="16"/>
          <w:lang w:val="en-US"/>
        </w:rPr>
        <w:t>).</w:t>
      </w:r>
    </w:p>
  </w:footnote>
  <w:footnote w:id="75">
    <w:p w14:paraId="64E2731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Reports of the investigator of the Criminal Investigations Department of the Public Prosecution Service of 2005, 2006 and 2007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3002 to 3013, 3052 to 3055, 4760 to 4766, 4767 to 4778, 4688 to 4712, 4781 to 4784, 4805 to 4810, 4825 to 4827 and 4828 to 4831).</w:t>
      </w:r>
    </w:p>
  </w:footnote>
  <w:footnote w:id="76">
    <w:p w14:paraId="5E6666F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the investigators of the Criminal Investigation Division of the PNC of 2006, 2011 and 2012 (</w:t>
      </w:r>
      <w:r w:rsidRPr="007D3F3C">
        <w:rPr>
          <w:rFonts w:ascii="Verdana" w:hAnsi="Verdana"/>
          <w:color w:val="000000"/>
          <w:sz w:val="16"/>
          <w:szCs w:val="16"/>
          <w:lang w:val="en-US"/>
        </w:rPr>
        <w:t xml:space="preserve">evidence file, folios 4996 to 4997, </w:t>
      </w:r>
      <w:r w:rsidRPr="007D3F3C">
        <w:rPr>
          <w:rFonts w:ascii="Verdana" w:hAnsi="Verdana"/>
          <w:sz w:val="16"/>
          <w:szCs w:val="16"/>
          <w:lang w:val="en-US"/>
        </w:rPr>
        <w:t>4998 to 5003, 5305 to 5307, 5334 to 5336, 5457 to 5670, 5679 to 5682, 5696 to 5697 and 5754 to 5756).</w:t>
      </w:r>
    </w:p>
  </w:footnote>
  <w:footnote w:id="77">
    <w:p w14:paraId="1988E64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Form on the Removal and Transfer of Corpses of August 13, 2005, Public Prosecution Service (evidence file, folio 27), and Letter of the forensic physician of the Public Prosecution Service of August 30, 2005 (evidence file, folio 35).</w:t>
      </w:r>
    </w:p>
  </w:footnote>
  <w:footnote w:id="78">
    <w:p w14:paraId="33F5FAE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Expert report TOXI-05-2620 of September 16, 2005 (evidence file, folios 93 and 94), and Request for an expert opinion of August 26, 2005 (evidence file, folio 4182).</w:t>
      </w:r>
    </w:p>
  </w:footnote>
  <w:footnote w:id="79">
    <w:p w14:paraId="7EA6EE4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Report TOXI-11-11371 INACIF-11-30730 of the National Institute of Forensic Science of November 18, 2011  (evidence file, folios 4172 and 5648 to 5649).</w:t>
      </w:r>
    </w:p>
  </w:footnote>
  <w:footnote w:id="80">
    <w:p w14:paraId="650FA70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BIOL-05-1455 of the Criminal Investigations Department of September 29, 2005 (evidence file, folio 90).</w:t>
      </w:r>
    </w:p>
  </w:footnote>
  <w:footnote w:id="81">
    <w:p w14:paraId="2488A3C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Criminalistic report GU-C03/06 of February 3, 2006 (evidence file, folios 4678 to 4680); Criminalistic report GU-C12/06 of June 26, 2006 (evidence file, folios 4791 to 4793); Criminalistic report GU-C07/08 of March 28, 2008 (evidence file, folios 4871 to 4873); Criminalistic report GU-C72/09 of October 23, 2009 (evidence file, folios 4900 to 4902); Criminalistic report GU-C61/09 of October 5, 2009 (evidence file, folios 4904 to 4906), and Prosecutor’s Report of March 12, 2012 (evidence file, folio 5865). </w:t>
      </w:r>
    </w:p>
  </w:footnote>
  <w:footnote w:id="82">
    <w:p w14:paraId="28FF94A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the INACIF addressed to the assistant prosecutor on July 3, 2012 (evidence file, folios 6139 to 6141), and Report on interpretive analysis of the Guatemalan Forensic Anthropology Foundation of June 11, 2012 (evidence file, folios 6143 to 6145).</w:t>
      </w:r>
    </w:p>
  </w:footnote>
  <w:footnote w:id="83">
    <w:p w14:paraId="6FF7C86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Criminalistic report GU-C20/06 of September 29, 2006 (evidence file, folios 4796 to 4799); Report of the Guatemalan National Institute of Forensic Science of April 7, 2008 (evidence file, folios 4946 to 4948), and Criminalistic report GU-C25/09 of May 20, 2009 (evidence file, folios 4913 to 4915).</w:t>
      </w:r>
    </w:p>
  </w:footnote>
  <w:footnote w:id="84">
    <w:p w14:paraId="0FD0E90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BIOL-05-1455 of the Criminal Investigations Department of September 29, 2005, (evidence file, folio 90).</w:t>
      </w:r>
    </w:p>
  </w:footnote>
  <w:footnote w:id="85">
    <w:p w14:paraId="5C89371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DT.281.08.2011 of the Toxicology Department of the Universidad de San Carlos de Guatemala of August 23, 2011 (evidence file, folio 5332).</w:t>
      </w:r>
    </w:p>
  </w:footnote>
  <w:footnote w:id="86">
    <w:p w14:paraId="171457D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SEG-ESP-0854-2011 of the Guatemalan National Institute of Forensic Science of September 6, 2011 (evidence file, folio 5406).</w:t>
      </w:r>
    </w:p>
  </w:footnote>
  <w:footnote w:id="87">
    <w:p w14:paraId="027B643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 of the assistant prosecutor addressed to the Administrator of the Roosevelt Market on August 11, 2011 (evidence file, folio 5793), and Letter from the Markets Directorate addressed to the assistant prosecutor on October 13, 2011 (evidence file, folios 5480 and 54819).</w:t>
      </w:r>
    </w:p>
  </w:footnote>
  <w:footnote w:id="88">
    <w:p w14:paraId="52C0954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MP-001-2005-69430 of the Criminal Investigations Department of the Public Prosecution Service of September 23, 2005 (evidence file, folio 4613), and Analysis request, Report No. 2242-05 of the Technical and Scientific Department of the Public Prosecution Service (evidence file, folio 4615).</w:t>
      </w:r>
    </w:p>
  </w:footnote>
  <w:footnote w:id="89">
    <w:p w14:paraId="412AC17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BIOL-05-1458 of the Public Prosecution Service of September 26, 2005 (evidence file, folio 4628)</w:t>
      </w:r>
    </w:p>
  </w:footnote>
  <w:footnote w:id="90">
    <w:p w14:paraId="204C134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Record of the assistant prosecutor of September 6, 2005 (evidence file, folio 2986).</w:t>
      </w:r>
    </w:p>
  </w:footnote>
  <w:footnote w:id="91">
    <w:p w14:paraId="218D1F2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BIOL-05-1827 of November 3, (evidence file, folio 4637).</w:t>
      </w:r>
    </w:p>
  </w:footnote>
  <w:footnote w:id="92">
    <w:p w14:paraId="3DF00AA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MP001-2005-69430-C.A. of June 8, 2006 (evidence file, folio 4365), and Expanded Report No. BIOL-06-01273 of June 12, 2006 (evidence file, folio 4748).</w:t>
      </w:r>
    </w:p>
  </w:footnote>
  <w:footnote w:id="93">
    <w:p w14:paraId="3CD4B3E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MP-001-2005-69430 of the assistant prosecutor of June 6, 2006 (evidence file, folios 4394 and 4395).</w:t>
      </w:r>
    </w:p>
  </w:footnote>
  <w:footnote w:id="94">
    <w:p w14:paraId="47078B7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DACT-06-0466 RDC-06-14692 of the Criminal Investigations Department of July 20, 2006 (evidence file, folio 4720).</w:t>
      </w:r>
    </w:p>
  </w:footnote>
  <w:footnote w:id="95">
    <w:p w14:paraId="077D9A6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BAL-05-1308/1639 of the Criminal Investigations Department of October 14, 2005 (evidence file, folios 4803 and 4804), and Communication MP001/2005/6930 of the Ballistics Laboratory of the PNC General Directorate of December 6, 2005 (evidence file, folios 4994 and 4995).</w:t>
      </w:r>
    </w:p>
  </w:footnote>
  <w:footnote w:id="96">
    <w:p w14:paraId="7898991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Resolution of the judge of the case of November 3, (evidence file, folios 3677 and 3680).</w:t>
      </w:r>
    </w:p>
  </w:footnote>
  <w:footnote w:id="97">
    <w:p w14:paraId="1136BC83" w14:textId="77777777" w:rsidR="00576E40" w:rsidRPr="007D3F3C" w:rsidRDefault="00576E40" w:rsidP="00551CA7">
      <w:pPr>
        <w:pStyle w:val="Textonotapie"/>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vertAlign w:val="superscript"/>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 of November 7, 2005, forwarding the records of the search, inspection, registration and seizure of weapons (evidence file, folios 3027 to 3029).</w:t>
      </w:r>
    </w:p>
  </w:footnote>
  <w:footnote w:id="98">
    <w:p w14:paraId="7BEAB272" w14:textId="77777777" w:rsidR="00576E40" w:rsidRPr="007D3F3C" w:rsidRDefault="00576E40" w:rsidP="00551CA7">
      <w:pPr>
        <w:pStyle w:val="Textonotapie"/>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vertAlign w:val="superscript"/>
          <w:lang w:val="en-US"/>
        </w:rPr>
        <w:t xml:space="preserve"> </w:t>
      </w:r>
      <w:r w:rsidRPr="007D3F3C">
        <w:rPr>
          <w:rFonts w:ascii="Verdana" w:hAnsi="Verdana"/>
          <w:sz w:val="16"/>
          <w:szCs w:val="16"/>
          <w:vertAlign w:val="superscript"/>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BAL-05-1836 of the Criminal Investigations Department of January 19, 2006 (evidence file, folio 4659).</w:t>
      </w:r>
    </w:p>
  </w:footnote>
  <w:footnote w:id="99">
    <w:p w14:paraId="75CCBCD7" w14:textId="77777777" w:rsidR="00576E40" w:rsidRPr="007D3F3C" w:rsidRDefault="00576E40" w:rsidP="00551CA7">
      <w:pPr>
        <w:pStyle w:val="Textonotapie"/>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vertAlign w:val="superscript"/>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 of November 10, 2005, forwarding the records of the search, inspection, registration and seizure of weapons (evidence file, folios 3227 to 3231).</w:t>
      </w:r>
    </w:p>
  </w:footnote>
  <w:footnote w:id="100">
    <w:p w14:paraId="4A75870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requesting valid gun licenses issued by the assistant prosecutor (evidence file, folios 4195 to 4197, 4239, 4295 to 4296, 4332 to 4344, 4390, 4401, 4424, 4429, 4439, 4458, 4459, 4461 to 4463, 4532, 5016 to 5035, 5046 to 5047, 5049 to 5051, 5064 to 5068 and 5311).</w:t>
      </w:r>
    </w:p>
  </w:footnote>
  <w:footnote w:id="101">
    <w:p w14:paraId="19C917CB"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Communications addressed to the assistant prosecutor on valid gun licenses (evidence file, folios 5016 to 5035, 5046 to 5047, 5049 to 5051, 5064 to 5068, 5076, 5260, 5298, 5311, 6288 and 6515).</w:t>
      </w:r>
    </w:p>
  </w:footnote>
  <w:footnote w:id="102">
    <w:p w14:paraId="52A285D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Communications of the section prosecutor of June 5 and July 5, 2006 (evidence file, folios 4387 to 4389).</w:t>
      </w:r>
    </w:p>
  </w:footnote>
  <w:footnote w:id="103">
    <w:p w14:paraId="3FF53A5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Communications of the assistant prosecutor addressed to the head of the Department for the Control of Weapons and Ammunition (evidence file, folios 4425 and 4426).</w:t>
      </w:r>
    </w:p>
  </w:footnote>
  <w:footnote w:id="104">
    <w:p w14:paraId="3DCBB5A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Reports addressed to the assistant prosecutor dated September 14 and 20, 2006 (evidence file, folios 5066 and 5067).</w:t>
      </w:r>
    </w:p>
  </w:footnote>
  <w:footnote w:id="105">
    <w:p w14:paraId="4B05B624" w14:textId="77777777" w:rsidR="00576E40" w:rsidRPr="007D3F3C" w:rsidRDefault="00576E40" w:rsidP="00551CA7">
      <w:pPr>
        <w:pStyle w:val="Textonotapie"/>
        <w:jc w:val="both"/>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of the Sub-Directorate General of Criminal Investigation of June 30, 2006 (evidence file, folios 5004 and 5005); Communication BAL-06-1226/1674/1938 of August 18, 2006 (evidence file, folios 4787 to 4789), and Communication BAL-06-2480 of October 5, 2006 (evidence file, folios 4801 and 4802).</w:t>
      </w:r>
    </w:p>
  </w:footnote>
  <w:footnote w:id="106">
    <w:p w14:paraId="35296C6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BAL-06-3144 of August 20, 2008 (evidence file, folios 4885 to 4890), and Communication BAL-11-0882 INACIF-114964 of January 31, 2011 (evidence file, folios 5768 to 5771).</w:t>
      </w:r>
    </w:p>
  </w:footnote>
  <w:footnote w:id="107">
    <w:p w14:paraId="11317A4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the Department for the Control of Weapons and Ammunition of the Ministry of National Defense of November 7, 2006 (evidence file, folios 5607 and 5608).</w:t>
      </w:r>
    </w:p>
  </w:footnote>
  <w:footnote w:id="108">
    <w:p w14:paraId="322C9FC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the National Institute of Forensic Science of September 16, 2008 (evidence file, folios 5609 and 5610).</w:t>
      </w:r>
    </w:p>
  </w:footnote>
  <w:footnote w:id="109">
    <w:p w14:paraId="74F97E2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the National Institute of Forensic Science of October 25, 2011 (evidence file, folio 5611).</w:t>
      </w:r>
    </w:p>
  </w:footnote>
  <w:footnote w:id="110">
    <w:p w14:paraId="2269DCF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the National Institute of Forensic Science of November 15, 2012 (evidence file, folio 6269).</w:t>
      </w:r>
    </w:p>
  </w:footnote>
  <w:footnote w:id="111">
    <w:p w14:paraId="524DA858"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b/>
          <w:sz w:val="16"/>
          <w:szCs w:val="16"/>
          <w:lang w:val="en-US"/>
        </w:rPr>
        <w:t xml:space="preserve"> </w:t>
      </w:r>
      <w:r w:rsidRPr="007D3F3C">
        <w:rPr>
          <w:rFonts w:ascii="Verdana" w:hAnsi="Verdana"/>
          <w:b/>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Statements before the prosecutor and the assistant prosecutor (evidence file, folios 2671 to 2675, 2879 to 2883, 2906 to 2932, 2935 to 2952, 2984 to 2985, 2987 to 2989, 3219 to 3221, 3786 to 3805, 3808 to 3853, 3859 to 3879, 3890 to 3901, 4007, 4012 to 4143, 4949 to 4953, 5653 to 5664, 5677 to 5766, 5772 to 5775, 6146 to 6151, 6194 to 6196, 6183 to 6196, and 6264 to 6268).</w:t>
      </w:r>
    </w:p>
  </w:footnote>
  <w:footnote w:id="112">
    <w:p w14:paraId="08402AE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Statement of September 4, 2005, of the administrator of the Texaco “Millennium” Gas Station (evidence file, folio 3806).</w:t>
      </w:r>
    </w:p>
  </w:footnote>
  <w:footnote w:id="113">
    <w:p w14:paraId="20BAF88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MP001/2005/69430 of October 30, 2007, addressed to the Texaco “Millennium” Gas Station” (evidence file, folios 4522 and 4524).</w:t>
      </w:r>
    </w:p>
  </w:footnote>
  <w:footnote w:id="114">
    <w:p w14:paraId="3FDDECC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MP001/2005/69430 of April 23, 2008, addressed to Star Plus, Sociedad Anónima (evidence file, folio 4550).</w:t>
      </w:r>
    </w:p>
  </w:footnote>
  <w:footnote w:id="115">
    <w:p w14:paraId="3FD14092" w14:textId="77777777" w:rsidR="00576E40" w:rsidRPr="007D3F3C" w:rsidRDefault="00576E40" w:rsidP="00551CA7">
      <w:pPr>
        <w:pStyle w:val="Textonotapie"/>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vertAlign w:val="superscript"/>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Requests during 2005, 2008, 2011 and 2013 (evidence file, folios 4187, 4188, 4189, 4192 to 4194, 4220, 4238, 4261, 4294, 4391, 4419, 4545, 4553, 5476, 5479 and 6284).</w:t>
      </w:r>
    </w:p>
  </w:footnote>
  <w:footnote w:id="116">
    <w:p w14:paraId="59A6F64E" w14:textId="77777777" w:rsidR="00576E40" w:rsidRPr="007D3F3C" w:rsidRDefault="00576E40" w:rsidP="00551CA7">
      <w:pPr>
        <w:pStyle w:val="Textonotapie"/>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during 2005, 2006, 2008, 2011 and 2013 (evidence file, folios 4161, 4391, 5010 to 5014, 5019, 5040 to 5045, 5077 to 5122, 5454, 5476, 6221 to 6230 and 6258), and Records of driving license data from 2005, 2006, 2011, and </w:t>
      </w:r>
      <w:r w:rsidRPr="007D3F3C">
        <w:rPr>
          <w:rFonts w:ascii="Verdana" w:eastAsia="Batang" w:hAnsi="Verdana"/>
          <w:sz w:val="16"/>
          <w:szCs w:val="16"/>
          <w:lang w:val="en-US" w:eastAsia="es-MX"/>
        </w:rPr>
        <w:t xml:space="preserve">2013 </w:t>
      </w:r>
      <w:r w:rsidRPr="007D3F3C">
        <w:rPr>
          <w:rFonts w:ascii="Verdana" w:hAnsi="Verdana"/>
          <w:sz w:val="16"/>
          <w:szCs w:val="16"/>
          <w:lang w:val="en-US"/>
        </w:rPr>
        <w:t>(evidence file, folios 4984, 5244 to 5253, 5630 to 5647, 6537 to 6543 and 6517 to 6519).</w:t>
      </w:r>
    </w:p>
  </w:footnote>
  <w:footnote w:id="117">
    <w:p w14:paraId="7544034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MP001/2005/69430 of October 24, 2005, addressed to the judge of the case (evidence file, folio 2970), and Communication of the Second Criminal Trial Judge for Drug-trafficking and Environmental Crimes of October 3, 2005 (evidence file, folios 3675 and 3676).</w:t>
      </w:r>
    </w:p>
  </w:footnote>
  <w:footnote w:id="118">
    <w:p w14:paraId="4D3F6934" w14:textId="77777777" w:rsidR="00576E40" w:rsidRPr="007D3F3C" w:rsidRDefault="00576E40" w:rsidP="00551CA7">
      <w:pPr>
        <w:pStyle w:val="Textonotapie"/>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of the Second Criminal Trial Judge for Drug-trafficking and Environmental Crimes of August 10, 2006 (evidence file, folios 3155 to 3158 and 3759 to 3762).</w:t>
      </w:r>
    </w:p>
  </w:footnote>
  <w:footnote w:id="119">
    <w:p w14:paraId="14B3CDA1"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of the assistant prosecutor 2005, 2006, 2007, 2008, 2009 and 2012 (evidence file, folios 4240, 4242, 4244, 4250, 4257 to 4260, 4420, 4421, 4414 to 4418, 4445 to 4456, 4437, 4491 to 4493, 4546, 4588 to 4597, 4601 to 4604 and 5776).</w:t>
      </w:r>
    </w:p>
  </w:footnote>
  <w:footnote w:id="120">
    <w:p w14:paraId="50E455E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of 2005, 2006, 2007, 2008, 2009 and 2012 (evidence file, folios 2783 to 2792, 4957 to 4970, 4976, 5127 to 5242, 5688 to 5694, 5698, 5731 to 5752 and 5757).</w:t>
      </w:r>
    </w:p>
  </w:footnote>
  <w:footnote w:id="121">
    <w:p w14:paraId="62BF820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of the assistant prosecutor of October 27, 2006, addressed to the judge of the case (evidence file, folio 4436).</w:t>
      </w:r>
    </w:p>
  </w:footnote>
  <w:footnote w:id="122">
    <w:p w14:paraId="67EB8EC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 of November 15, 2005 (evidence file, folios 3043 to 3046), and Decision of the judge of the case of November 28, 2005 (evidence file, folio 3050).</w:t>
      </w:r>
    </w:p>
  </w:footnote>
  <w:footnote w:id="123">
    <w:p w14:paraId="52D1FC8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Letters of July 19, August 3 and 25 and October 12, 2006, January 12, 2007, July 18, 2008, and February 5, 2009 (evidence file, folios 2648 to 2663, 2759 to 2770, and 2773 to 2776).</w:t>
      </w:r>
    </w:p>
  </w:footnote>
  <w:footnote w:id="124">
    <w:p w14:paraId="5CD2A24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Procedures for the reconstruction of the events on June 26, 2006 (evidence file, folios 4008 to 4011).</w:t>
      </w:r>
    </w:p>
  </w:footnote>
  <w:footnote w:id="125">
    <w:p w14:paraId="17A7B38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Communications regarding individuals who were released from prison on August 12 and 13, 2005, issued by 15 prisons on July 12 and 13, 2006 (evidence file, folios 5262 to 5297). </w:t>
      </w:r>
      <w:r w:rsidRPr="007D3F3C">
        <w:rPr>
          <w:rFonts w:ascii="Verdana" w:hAnsi="Verdana"/>
          <w:iCs/>
          <w:sz w:val="16"/>
          <w:szCs w:val="16"/>
          <w:lang w:val="en-US"/>
        </w:rPr>
        <w:t>See, also</w:t>
      </w:r>
      <w:r w:rsidRPr="007D3F3C">
        <w:rPr>
          <w:rFonts w:ascii="Verdana" w:hAnsi="Verdana"/>
          <w:sz w:val="16"/>
          <w:szCs w:val="16"/>
          <w:lang w:val="en-US"/>
        </w:rPr>
        <w:t>: Communication of the Directorate General of the Prison System of June 28, 2006 (evidence file, folios 4756 to 4759).</w:t>
      </w:r>
    </w:p>
  </w:footnote>
  <w:footnote w:id="126">
    <w:p w14:paraId="179F8EC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MP001-2005-69430 of February 25, 2008 (evidence file, folios 5301 to 5303), and Decision of the Ministry of the Interior of September 25, 2008 (evidence file, folios 5346 and 5347).</w:t>
      </w:r>
    </w:p>
  </w:footnote>
  <w:footnote w:id="127">
    <w:p w14:paraId="5F34188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REF. 23-2012 of March 6, 2012 (evidence file, folio 5753).</w:t>
      </w:r>
    </w:p>
  </w:footnote>
  <w:footnote w:id="128">
    <w:p w14:paraId="6C9D65B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January 12, 2012 (evidence file, folios 5671 and 5672).</w:t>
      </w:r>
    </w:p>
  </w:footnote>
  <w:footnote w:id="129">
    <w:p w14:paraId="6D539DD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before the Public Prosecution Service on April 20, 2012 (evidence file, folio 5772)</w:t>
      </w:r>
    </w:p>
  </w:footnote>
  <w:footnote w:id="130">
    <w:p w14:paraId="3BDBB0F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Copy of report to the 110 number of August 13, 2005, sent by the 110 Division Coordinator of the PNC on September 13, 2007 (evidence file, folios 96 to 98).</w:t>
      </w:r>
    </w:p>
  </w:footnote>
  <w:footnote w:id="131">
    <w:p w14:paraId="762044B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MP001-2005-69430 requesting evidence, dated June 26, 2008 (evidence file, folios 4558 and 4560).</w:t>
      </w:r>
    </w:p>
  </w:footnote>
  <w:footnote w:id="132">
    <w:p w14:paraId="4EFA57D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MP001-2005-69430 with answers dated July 18 and 28, 2008 (evidence file, folios 5007 and 5008).</w:t>
      </w:r>
    </w:p>
  </w:footnote>
  <w:footnote w:id="133">
    <w:p w14:paraId="7509722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of the assistant prosecutor of July 23, 2008 (evidence file, folios 4564 and 4565).</w:t>
      </w:r>
    </w:p>
  </w:footnote>
  <w:footnote w:id="134">
    <w:p w14:paraId="066D3D3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Undated letter from the Ballistics Expert to the PNC Criminalistics Bureau (evidence file, folio 5009).</w:t>
      </w:r>
    </w:p>
  </w:footnote>
  <w:footnote w:id="135">
    <w:p w14:paraId="27D1B14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 of the National Institute of Forensic Science of June 9, 2009 (evidence file, folios 4921 to 4923).</w:t>
      </w:r>
    </w:p>
  </w:footnote>
  <w:footnote w:id="136">
    <w:p w14:paraId="328A01C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Psychiatric profile of victim, perpetrator and crime scene in the case of the violent death of Claudina Isabel Velásquez Paiz (evidence file, folios 4875 and 4876).</w:t>
      </w:r>
    </w:p>
  </w:footnote>
  <w:footnote w:id="137">
    <w:p w14:paraId="7371F53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He requested that the report be expanded as follows: (1) develop the psychiatric profile of the perpetrator, because this is not included in the report of November 24, 2008; (2) from a psychiatric perspective, how do you perceive the actions of the perpetrator in relation to the victim’s clothes and position? (3) based on the background information, indicate if it is possible to establish whether or not the act was perpetrated by a person who was known to the victim; (4) establish whether trying to hide the victim’s brassiere in her jeans indicated that the perpetrator was male; (5) determine whether the crime scene was orderly or disorderly, and (6) determine, based on the perpetrator’s profile, whether he was an organized or disorganized criminal. </w:t>
      </w:r>
      <w:r w:rsidRPr="007D3F3C">
        <w:rPr>
          <w:rFonts w:ascii="Verdana" w:hAnsi="Verdana"/>
          <w:i/>
          <w:sz w:val="16"/>
          <w:szCs w:val="16"/>
          <w:lang w:val="en-US"/>
        </w:rPr>
        <w:t>Cf.</w:t>
      </w:r>
      <w:r w:rsidRPr="007D3F3C">
        <w:rPr>
          <w:rFonts w:ascii="Verdana" w:hAnsi="Verdana"/>
          <w:sz w:val="16"/>
          <w:szCs w:val="16"/>
          <w:lang w:val="en-US"/>
        </w:rPr>
        <w:t xml:space="preserve"> Communication of the assistant prosecutor of January 15, 2009 (evidence file, folio 4582).</w:t>
      </w:r>
    </w:p>
  </w:footnote>
  <w:footnote w:id="138">
    <w:p w14:paraId="75DA4B3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of August 24, September 9, and October 19 and 21, 2011 (evidence file, folios 5378 to 5402,  5484, to 5542 and 5809).</w:t>
      </w:r>
    </w:p>
  </w:footnote>
  <w:footnote w:id="139">
    <w:p w14:paraId="5283D126"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Communications of the Municipal Land Registration and Nomenclature Section of the IUSI Land Registration and Administration Directorate of September 5 and November 4, 2011 (evidence file, folios </w:t>
      </w:r>
      <w:r w:rsidRPr="007D3F3C">
        <w:rPr>
          <w:rFonts w:ascii="Verdana" w:hAnsi="Verdana" w:cs="Arial"/>
          <w:color w:val="000000"/>
          <w:sz w:val="16"/>
          <w:szCs w:val="16"/>
          <w:lang w:val="en-US"/>
        </w:rPr>
        <w:t>5407 to 5447, 5618 and 5619).</w:t>
      </w:r>
    </w:p>
  </w:footnote>
  <w:footnote w:id="140">
    <w:p w14:paraId="25FB6EC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Resolution of the Ombudsman of July 20, 2006 (evidence file, folios 3255 to 3262).</w:t>
      </w:r>
    </w:p>
  </w:footnote>
  <w:footnote w:id="141">
    <w:p w14:paraId="39D4B4A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SUPGMP-953-2011 of the General Supervision Unit of the Public Prosecution Service of August 19, 2011 (evidence file, folio 5331).</w:t>
      </w:r>
    </w:p>
  </w:footnote>
  <w:footnote w:id="142">
    <w:p w14:paraId="30247DD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Prosecutor for Crimes against Life and Personal Integrity of February 11, 2009 (evidence file, folios 6176 to 6179).</w:t>
      </w:r>
    </w:p>
  </w:footnote>
  <w:footnote w:id="143">
    <w:p w14:paraId="02FD241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Communication of the Criminal Investigations Department of July 5, 2012 (evidence file, folio 6142).</w:t>
      </w:r>
    </w:p>
  </w:footnote>
  <w:footnote w:id="144">
    <w:p w14:paraId="445D23B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Detailed investigation report of the Judiciary’s Internal Audit Assistant of November 6, 2006 (evidence file, folios 3265 to 3270).</w:t>
      </w:r>
    </w:p>
  </w:footnote>
  <w:footnote w:id="145">
    <w:p w14:paraId="442F521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Disciplinary Regime Unit of the Judiciary’s Human Resources System of November 8, 2006 (evidence file, folio 3281).</w:t>
      </w:r>
    </w:p>
  </w:footnote>
  <w:footnote w:id="146">
    <w:p w14:paraId="666DE2F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Disciplinary Regime Unit of the Judiciary’s Human Resources System of November 29, 2006 (evidence file, folios 3325 to 3331).</w:t>
      </w:r>
    </w:p>
  </w:footnote>
  <w:footnote w:id="147">
    <w:p w14:paraId="20A94C6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Briefs of the appeal for review of November 9 and December 8, 2006 (evidence file, folios 3337 to 3340 and 3346 to 3349).</w:t>
      </w:r>
    </w:p>
  </w:footnote>
  <w:footnote w:id="148">
    <w:p w14:paraId="19E45B5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Office pf General Management of the Judiciary of January 17, 2007 (evidence file, folios 3377 to 3380).</w:t>
      </w:r>
    </w:p>
  </w:footnote>
  <w:footnote w:id="149">
    <w:p w14:paraId="688FF4B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 of the appeal for annulment of January 25, 2007 (evidence file, folios 3394 to 3396).</w:t>
      </w:r>
    </w:p>
  </w:footnote>
  <w:footnote w:id="150">
    <w:p w14:paraId="75ACC6F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Office of General Management of the Judiciary of February 1, 2007 (evidence file, folios 3403 and 3404).</w:t>
      </w:r>
    </w:p>
  </w:footnote>
  <w:footnote w:id="151">
    <w:p w14:paraId="005A809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 of the appeal for annulment of February 12, 2007 (evidence file, folios 3424 and 3425).</w:t>
      </w:r>
    </w:p>
  </w:footnote>
  <w:footnote w:id="152">
    <w:p w14:paraId="2B04395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Office of General Management of the Judiciary of March 12, 2007 (evidence file, folio 3437).</w:t>
      </w:r>
    </w:p>
  </w:footnote>
  <w:footnote w:id="153">
    <w:p w14:paraId="5C18643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Decision of the Disciplinary Regime Unit of the Judiciary’s Human Resources System of February 12, 2007 (evidence file, folios 3406 to 3410).</w:t>
      </w:r>
    </w:p>
  </w:footnote>
  <w:footnote w:id="154">
    <w:p w14:paraId="2EC9A79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Briefs of the appeal for annulment of February 21 and October 2, 2007 (evidence file, folios 3442 to 3448 and 3500 to 3510).</w:t>
      </w:r>
    </w:p>
  </w:footnote>
  <w:footnote w:id="155">
    <w:p w14:paraId="093001C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President of the Judiciary of September 5, 2007 (evidence file, folio 3494).</w:t>
      </w:r>
    </w:p>
  </w:footnote>
  <w:footnote w:id="156">
    <w:p w14:paraId="11C0538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Disciplinary Regime Unit of the Judiciary’s Human Resources System of October 16, 2007 (evidence file, folios 3515 to 3519).</w:t>
      </w:r>
    </w:p>
  </w:footnote>
  <w:footnote w:id="157">
    <w:p w14:paraId="1A50688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 requesting an amendment of the proceeding of October 30, 2007 (evidence file, folios 3527 to 3529).</w:t>
      </w:r>
    </w:p>
  </w:footnote>
  <w:footnote w:id="158">
    <w:p w14:paraId="19C62B9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President of the Judiciary of October 31, 2007 (evidence file, folio 3530).</w:t>
      </w:r>
    </w:p>
  </w:footnote>
  <w:footnote w:id="159">
    <w:p w14:paraId="62838DC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Briefs of the appeal for annulment of October 30 and 31, 2007 (evidence file, folios 3533 to 3539).</w:t>
      </w:r>
    </w:p>
  </w:footnote>
  <w:footnote w:id="160">
    <w:p w14:paraId="6BE22B0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President of the Judiciary of February 25, 2008 (evidence file, folios 3568 to 3570).</w:t>
      </w:r>
    </w:p>
  </w:footnote>
  <w:footnote w:id="161">
    <w:p w14:paraId="5E98DC4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Brief of the appeal of March 13, 2008 (evidence file, folios 3577 to 3579).</w:t>
      </w:r>
    </w:p>
  </w:footnote>
  <w:footnote w:id="162">
    <w:p w14:paraId="2947165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Decision of the </w:t>
      </w:r>
      <w:r w:rsidRPr="007D3F3C">
        <w:rPr>
          <w:rFonts w:ascii="Verdana" w:eastAsia="Batang" w:hAnsi="Verdana"/>
          <w:sz w:val="16"/>
          <w:szCs w:val="16"/>
          <w:lang w:val="en-US" w:eastAsia="es-MX"/>
        </w:rPr>
        <w:t xml:space="preserve">Pre-trial and Amparo </w:t>
      </w:r>
      <w:r w:rsidRPr="007D3F3C">
        <w:rPr>
          <w:rFonts w:ascii="Verdana" w:hAnsi="Verdana"/>
          <w:sz w:val="16"/>
          <w:szCs w:val="16"/>
          <w:lang w:val="en-US"/>
        </w:rPr>
        <w:t>Chamber of the Supreme Court of Justice of February 25, 2008 (evidence file, folios 3584 to 3588).</w:t>
      </w:r>
    </w:p>
  </w:footnote>
  <w:footnote w:id="163">
    <w:p w14:paraId="272FCD5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Constitutional Court acting as a Special Court of Amparo of April 30, 2009 (evidence file, folios 3595 to 3601).</w:t>
      </w:r>
    </w:p>
  </w:footnote>
  <w:footnote w:id="164">
    <w:p w14:paraId="6FE520A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Decision of the Disciplinary Regime Unit of the Judiciary’s Human Resources System of July 1, 2009 (evidence file, folio 3607).</w:t>
      </w:r>
    </w:p>
  </w:footnote>
  <w:footnote w:id="165">
    <w:p w14:paraId="44227A4A" w14:textId="77777777" w:rsidR="00576E40" w:rsidRPr="007D3F3C" w:rsidRDefault="00576E40" w:rsidP="00551CA7">
      <w:pPr>
        <w:tabs>
          <w:tab w:val="left" w:pos="72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Article 4(1) of the Convention establishes: “</w:t>
      </w:r>
      <w:r w:rsidRPr="007D3F3C">
        <w:rPr>
          <w:rFonts w:ascii="Verdana" w:hAnsi="Verdana"/>
          <w:spacing w:val="-3"/>
          <w:sz w:val="16"/>
          <w:szCs w:val="16"/>
          <w:lang w:val="en-US"/>
        </w:rPr>
        <w:t>Every person has the right to have his life respected.  This right shall be protected by law and, in general, from the moment of conception.  No one shall be arbitrarily deprived of his life.</w:t>
      </w:r>
      <w:r w:rsidRPr="007D3F3C">
        <w:rPr>
          <w:rFonts w:ascii="Verdana" w:hAnsi="Verdana" w:cs="Arial"/>
          <w:sz w:val="16"/>
          <w:szCs w:val="16"/>
          <w:lang w:val="en-US"/>
        </w:rPr>
        <w:t>”.</w:t>
      </w:r>
    </w:p>
  </w:footnote>
  <w:footnote w:id="166">
    <w:p w14:paraId="79BA37A1"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Article 5(1) of the Convention establishes: “</w:t>
      </w:r>
      <w:r w:rsidRPr="007D3F3C">
        <w:rPr>
          <w:rFonts w:ascii="Verdana" w:hAnsi="Verdana"/>
          <w:spacing w:val="-3"/>
          <w:sz w:val="16"/>
          <w:szCs w:val="16"/>
          <w:lang w:val="en-US"/>
        </w:rPr>
        <w:t>Every person has the right to have his physical, mental, and moral integrity respected</w:t>
      </w:r>
      <w:r w:rsidRPr="007D3F3C">
        <w:rPr>
          <w:rFonts w:ascii="Verdana" w:hAnsi="Verdana"/>
          <w:sz w:val="16"/>
          <w:szCs w:val="16"/>
          <w:lang w:val="en-US"/>
        </w:rPr>
        <w:t>”.</w:t>
      </w:r>
    </w:p>
  </w:footnote>
  <w:footnote w:id="167">
    <w:p w14:paraId="77F51804"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Article 1(1) of the Convention establishes: “</w:t>
      </w:r>
      <w:r w:rsidRPr="007D3F3C">
        <w:rPr>
          <w:rFonts w:ascii="Verdana" w:hAnsi="Verdana"/>
          <w:spacing w:val="-3"/>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7D3F3C">
        <w:rPr>
          <w:rFonts w:ascii="Verdana" w:hAnsi="Verdana"/>
          <w:sz w:val="16"/>
          <w:szCs w:val="16"/>
          <w:lang w:val="en-US"/>
        </w:rPr>
        <w:t>”</w:t>
      </w:r>
    </w:p>
  </w:footnote>
  <w:footnote w:id="168">
    <w:p w14:paraId="10A74D76"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Article 2 of the Convention establishes: “</w:t>
      </w:r>
      <w:r w:rsidRPr="007D3F3C">
        <w:rPr>
          <w:rFonts w:ascii="Verdana" w:hAnsi="Verdana"/>
          <w:spacing w:val="-3"/>
          <w:sz w:val="16"/>
          <w:szCs w:val="16"/>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7D3F3C">
        <w:rPr>
          <w:rFonts w:ascii="Verdana" w:hAnsi="Verdana"/>
          <w:sz w:val="16"/>
          <w:szCs w:val="16"/>
          <w:lang w:val="en-US"/>
        </w:rPr>
        <w:t>”.</w:t>
      </w:r>
    </w:p>
  </w:footnote>
  <w:footnote w:id="169">
    <w:p w14:paraId="7D537304" w14:textId="77777777" w:rsidR="00576E40" w:rsidRPr="007D3F3C" w:rsidRDefault="00576E40" w:rsidP="00551CA7">
      <w:pPr>
        <w:tabs>
          <w:tab w:val="left" w:pos="720"/>
        </w:tabs>
        <w:spacing w:after="0" w:line="240" w:lineRule="auto"/>
        <w:jc w:val="both"/>
        <w:rPr>
          <w:rFonts w:ascii="Verdana" w:hAnsi="Verdana"/>
          <w:i/>
          <w:iCs/>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Tahoma"/>
          <w:sz w:val="16"/>
          <w:szCs w:val="16"/>
          <w:lang w:val="en-US"/>
        </w:rPr>
        <w:t>Guatemala ratified the Convention of Belém do Pará on January 4, 1995, and deposited its instrument of ratification with the General Secretariat of the Organization of American States on April 4, 1995, without reservations or limitations. Article 7 of this instrument establishes: “</w:t>
      </w:r>
      <w:r w:rsidRPr="007D3F3C">
        <w:rPr>
          <w:rFonts w:ascii="Verdana" w:hAnsi="Verdana" w:cs="Arial"/>
          <w:sz w:val="16"/>
          <w:szCs w:val="16"/>
          <w:lang w:val="en-US"/>
        </w:rPr>
        <w:t>The States Parties condemn all forms of violence against women and agree to pursue, by all appropriate means and without delay, policies to prevent, punish and eradicate such violence and undertake to: (a) refrain from engaging in any act or practice of violence against women and to ensure that their authorities, officials, personnel, agents, and institutions act in conformity with this obligation; (b) apply due diligence to prevent, investigate and impose penalties for violence against women; (c) include in their domestic legislation penal, civil, administrative and any other type of provisions that may be needed to prevent, punish and eradicate violence against women and to adopt appropriate administrative measures where necessary; (d) adopt legal measures to require the perpetrator to refrain from harassing, intimidating or threatening the woman or using any method that harms or endangers her life or integrity, or damages her property; (e) take all appropriate measures, including legislative measures, to amend or repeal existing laws and regulations or to modify legal or customary practices which sustain the persistence and tolerance of violence against women; (f) establish fair and effective legal procedures for women who have been subjected to violence which include, among others, protective measures, a timely hearing and effective access to such procedures; (g) establish the necessary legal and administrative mechanisms to ensure that women subjected to violence have effective access to restitution, reparations or other just and effective remedies, and (h) adopt such legislative or other measures as may be necessary to give effect to this Convention.</w:t>
      </w:r>
      <w:r w:rsidRPr="007D3F3C">
        <w:rPr>
          <w:rFonts w:ascii="Verdana" w:hAnsi="Verdana" w:cs="Tahoma"/>
          <w:sz w:val="16"/>
          <w:szCs w:val="16"/>
          <w:lang w:val="en-US"/>
        </w:rPr>
        <w:t>”</w:t>
      </w:r>
    </w:p>
  </w:footnote>
  <w:footnote w:id="170">
    <w:p w14:paraId="057067C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In this regard, in their final written arguments, they argued that, regarding the programs that the State said it had adopted to combat femicide, only six measures were established before 2005, when the death of Claudina Velásquez occurred. Added to this, those programs “achieved almost nothing,” because “[t]he Government did not provide the necessary funding to enable them to fulfill their mandates.” </w:t>
      </w:r>
    </w:p>
  </w:footnote>
  <w:footnote w:id="171">
    <w:p w14:paraId="4449F29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In their final written arguments, they alleged, for the first time, that the State authorities told the parents of Claudina Velásquez that “she’s undoubtedly with her boyfriend,” and that these comments were a direct reflection of the gender stereotypes held by State officials and reveal how they did not taken her disappearance seriously. These arguments will not be considered as they were time-barred.</w:t>
      </w:r>
    </w:p>
  </w:footnote>
  <w:footnote w:id="172">
    <w:p w14:paraId="63EB8422" w14:textId="77777777" w:rsidR="00576E40" w:rsidRPr="007D3F3C" w:rsidRDefault="00576E40" w:rsidP="00551CA7">
      <w:pPr>
        <w:pStyle w:val="Textonotapie"/>
        <w:jc w:val="both"/>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According  the representatives, there are strong indications that Claudina Velásquez was a victim of sexual violence, such as the position of the clothes on the corpse and the semen found in her body. </w:t>
      </w:r>
    </w:p>
  </w:footnote>
  <w:footnote w:id="173">
    <w:p w14:paraId="5D38F5E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In their final written arguments, the representatives argued, for the first time, that the sexual violence of which Claudina Velásquez was allegedly a victim, together with the fact that there was a high probability that she had been transferred from one place to another while still alive, constituted cruel, inhuman and degrading treatment that the State failed to prevent. These arguments will not be considered as they were time-barred. </w:t>
      </w:r>
    </w:p>
  </w:footnote>
  <w:footnote w:id="174">
    <w:p w14:paraId="6D3F5C50" w14:textId="77777777" w:rsidR="00576E40" w:rsidRPr="007D3F3C" w:rsidRDefault="00576E40" w:rsidP="00551CA7">
      <w:pPr>
        <w:pStyle w:val="Textonotapie"/>
        <w:jc w:val="both"/>
        <w:rPr>
          <w:rFonts w:ascii="Verdana" w:eastAsia="Calibri" w:hAnsi="Verdana"/>
          <w:sz w:val="16"/>
          <w:szCs w:val="16"/>
          <w:lang w:val="en-US" w:eastAsia="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eastAsia="Calibri" w:hAnsi="Verdana"/>
          <w:sz w:val="16"/>
          <w:szCs w:val="16"/>
          <w:lang w:val="en-US" w:eastAsia="en-US"/>
        </w:rPr>
        <w:t xml:space="preserve">Regarding the alleged violation of the right to honor and dignity, the State also indicated that it had not taken a position that discriminated against the victim or her family, and no order had been issued that a victim should be categorized in order to determine the subsequent investigation procedure. These arguments will be examined in the following chapter on the State’s obligation to investigate. </w:t>
      </w:r>
    </w:p>
  </w:footnote>
  <w:footnote w:id="175">
    <w:p w14:paraId="32C55363" w14:textId="77777777" w:rsidR="00576E40" w:rsidRPr="007D3F3C" w:rsidRDefault="00576E40" w:rsidP="00551CA7">
      <w:pPr>
        <w:pStyle w:val="Textonotapie"/>
        <w:jc w:val="both"/>
        <w:rPr>
          <w:rFonts w:ascii="Verdana" w:hAnsi="Verdana"/>
          <w:spacing w:val="-4"/>
          <w:sz w:val="16"/>
          <w:szCs w:val="16"/>
          <w:lang w:val="es-CR"/>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Cf. Case of Velásquez Rodríguez</w:t>
      </w:r>
      <w:r w:rsidRPr="007D3F3C">
        <w:rPr>
          <w:rFonts w:ascii="Verdana" w:eastAsia="Calibri" w:hAnsi="Verdana"/>
          <w:i/>
          <w:spacing w:val="-4"/>
          <w:sz w:val="16"/>
          <w:szCs w:val="16"/>
          <w:lang w:val="es-CR"/>
        </w:rPr>
        <w:t xml:space="preserve"> </w:t>
      </w:r>
      <w:r w:rsidRPr="007D3F3C">
        <w:rPr>
          <w:rFonts w:ascii="Verdana" w:hAnsi="Verdana"/>
          <w:i/>
          <w:spacing w:val="-4"/>
          <w:sz w:val="16"/>
          <w:szCs w:val="16"/>
          <w:lang w:val="es-CR"/>
        </w:rPr>
        <w:t xml:space="preserve">v. Honduras. </w:t>
      </w:r>
      <w:r w:rsidRPr="007D3F3C">
        <w:rPr>
          <w:rFonts w:ascii="Verdana" w:hAnsi="Verdana"/>
          <w:i/>
          <w:spacing w:val="-4"/>
          <w:sz w:val="16"/>
          <w:szCs w:val="16"/>
          <w:lang w:val="en-US"/>
        </w:rPr>
        <w:t xml:space="preserve">Merits. </w:t>
      </w:r>
      <w:r w:rsidRPr="007D3F3C">
        <w:rPr>
          <w:rFonts w:ascii="Verdana" w:hAnsi="Verdana"/>
          <w:spacing w:val="-4"/>
          <w:sz w:val="16"/>
          <w:szCs w:val="16"/>
          <w:lang w:val="en-US"/>
        </w:rPr>
        <w:t xml:space="preserve">Judgment of July 29, 1988. Series C No. 4, para. 163, and </w:t>
      </w:r>
      <w:r w:rsidRPr="007D3F3C">
        <w:rPr>
          <w:rFonts w:ascii="Verdana" w:hAnsi="Verdana"/>
          <w:i/>
          <w:spacing w:val="-4"/>
          <w:sz w:val="16"/>
          <w:szCs w:val="16"/>
          <w:lang w:val="en-US"/>
        </w:rPr>
        <w:t xml:space="preserve">Case of the Human Rights Defender et al. v. Guatemala. Preliminary objections, merits, reparations and costs. </w:t>
      </w:r>
      <w:r w:rsidRPr="007D3F3C">
        <w:rPr>
          <w:rFonts w:ascii="Verdana" w:hAnsi="Verdana"/>
          <w:spacing w:val="-4"/>
          <w:sz w:val="16"/>
          <w:szCs w:val="16"/>
          <w:lang w:val="en-US"/>
        </w:rPr>
        <w:t xml:space="preserve">Judgment of August 28, 2014. Series C No. 283, para. </w:t>
      </w:r>
      <w:r w:rsidRPr="007D3F3C">
        <w:rPr>
          <w:rFonts w:ascii="Verdana" w:hAnsi="Verdana"/>
          <w:spacing w:val="-4"/>
          <w:sz w:val="16"/>
          <w:szCs w:val="16"/>
          <w:lang w:val="es-CR"/>
        </w:rPr>
        <w:t>138.</w:t>
      </w:r>
    </w:p>
  </w:footnote>
  <w:footnote w:id="176">
    <w:p w14:paraId="571CCD36" w14:textId="77777777" w:rsidR="00576E40" w:rsidRPr="007D3F3C" w:rsidRDefault="00576E40" w:rsidP="00551CA7">
      <w:pPr>
        <w:pStyle w:val="Textonotapie1"/>
        <w:jc w:val="both"/>
        <w:rPr>
          <w:rFonts w:ascii="Verdana" w:hAnsi="Verdana"/>
          <w:i/>
          <w:spacing w:val="-4"/>
          <w:sz w:val="16"/>
          <w:szCs w:val="16"/>
          <w:lang w:val="es-CR"/>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i/>
          <w:spacing w:val="-4"/>
          <w:sz w:val="16"/>
          <w:szCs w:val="16"/>
          <w:lang w:val="es-CR"/>
        </w:rPr>
        <w:tab/>
        <w:t xml:space="preserve">Cf. Case of Velásquez Rodríguez v. Honduras. </w:t>
      </w:r>
      <w:r w:rsidRPr="007D3F3C">
        <w:rPr>
          <w:rFonts w:ascii="Verdana" w:hAnsi="Verdana"/>
          <w:i/>
          <w:spacing w:val="-4"/>
          <w:sz w:val="16"/>
          <w:szCs w:val="16"/>
          <w:lang w:val="es-CR"/>
        </w:rPr>
        <w:t xml:space="preserve">Merits, supra, </w:t>
      </w:r>
      <w:r w:rsidRPr="007D3F3C">
        <w:rPr>
          <w:rFonts w:ascii="Verdana" w:hAnsi="Verdana"/>
          <w:spacing w:val="-4"/>
          <w:sz w:val="16"/>
          <w:szCs w:val="16"/>
          <w:lang w:val="es-CR"/>
        </w:rPr>
        <w:t xml:space="preserve">paras. </w:t>
      </w:r>
      <w:r w:rsidRPr="007D3F3C">
        <w:rPr>
          <w:rFonts w:ascii="Verdana" w:hAnsi="Verdana"/>
          <w:spacing w:val="-4"/>
          <w:sz w:val="16"/>
          <w:szCs w:val="16"/>
          <w:lang w:val="en-US"/>
        </w:rPr>
        <w:t xml:space="preserve">165 and 166, and </w:t>
      </w:r>
      <w:r w:rsidRPr="007D3F3C">
        <w:rPr>
          <w:rFonts w:ascii="Verdana" w:eastAsia="MS Mincho" w:hAnsi="Verdana" w:cs="Verdana"/>
          <w:i/>
          <w:spacing w:val="-4"/>
          <w:sz w:val="16"/>
          <w:szCs w:val="16"/>
          <w:lang w:val="en-US" w:eastAsia="en-US"/>
        </w:rPr>
        <w:t>Case of Gonzales Lluy et al. v. Ecuador. Preliminary objections, merits, reparations and costs.</w:t>
      </w:r>
      <w:r w:rsidRPr="007D3F3C">
        <w:rPr>
          <w:rFonts w:ascii="Verdana" w:eastAsia="MS Mincho" w:hAnsi="Verdana" w:cs="Verdana"/>
          <w:spacing w:val="-4"/>
          <w:sz w:val="16"/>
          <w:szCs w:val="16"/>
          <w:lang w:val="en-US" w:eastAsia="en-US"/>
        </w:rPr>
        <w:t xml:space="preserve"> Judgment of September 1, 2015. Series C No. 298, para. </w:t>
      </w:r>
      <w:r w:rsidRPr="007D3F3C">
        <w:rPr>
          <w:rFonts w:ascii="Verdana" w:eastAsia="MS Mincho" w:hAnsi="Verdana" w:cs="Verdana"/>
          <w:spacing w:val="-4"/>
          <w:sz w:val="16"/>
          <w:szCs w:val="16"/>
          <w:lang w:val="es-CR" w:eastAsia="en-US"/>
        </w:rPr>
        <w:t xml:space="preserve">168. </w:t>
      </w:r>
    </w:p>
  </w:footnote>
  <w:footnote w:id="177">
    <w:p w14:paraId="06F97F11" w14:textId="77777777" w:rsidR="00576E40" w:rsidRPr="007D3F3C" w:rsidRDefault="00576E40" w:rsidP="00551CA7">
      <w:pPr>
        <w:pStyle w:val="Textonotapie"/>
        <w:jc w:val="both"/>
        <w:rPr>
          <w:rFonts w:ascii="Verdana" w:hAnsi="Verdana"/>
          <w:i/>
          <w:spacing w:val="-4"/>
          <w:sz w:val="16"/>
          <w:szCs w:val="16"/>
          <w:lang w:val="en-US"/>
        </w:rPr>
      </w:pPr>
      <w:r w:rsidRPr="007D3F3C">
        <w:rPr>
          <w:rStyle w:val="Refdenotaalpie"/>
          <w:rFonts w:ascii="Verdana" w:eastAsia="MS Gothic"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 xml:space="preserve">Cf. Case of Velásquez Rodríguez v. Honduras. </w:t>
      </w:r>
      <w:r w:rsidRPr="007D3F3C">
        <w:rPr>
          <w:rFonts w:ascii="Verdana" w:hAnsi="Verdana"/>
          <w:i/>
          <w:spacing w:val="-4"/>
          <w:sz w:val="16"/>
          <w:szCs w:val="16"/>
          <w:lang w:val="es-CR"/>
        </w:rPr>
        <w:t xml:space="preserve">Merits, supra, </w:t>
      </w:r>
      <w:r w:rsidRPr="007D3F3C">
        <w:rPr>
          <w:rFonts w:ascii="Verdana" w:hAnsi="Verdana"/>
          <w:spacing w:val="-4"/>
          <w:sz w:val="16"/>
          <w:szCs w:val="16"/>
          <w:lang w:val="es-CR"/>
        </w:rPr>
        <w:t xml:space="preserve">para. </w:t>
      </w:r>
      <w:r w:rsidRPr="007D3F3C">
        <w:rPr>
          <w:rFonts w:ascii="Verdana" w:hAnsi="Verdana"/>
          <w:spacing w:val="-4"/>
          <w:sz w:val="16"/>
          <w:szCs w:val="16"/>
          <w:lang w:val="en-US"/>
        </w:rPr>
        <w:t xml:space="preserve">166, and </w:t>
      </w:r>
      <w:r w:rsidRPr="007D3F3C">
        <w:rPr>
          <w:rFonts w:ascii="Verdana" w:hAnsi="Verdana"/>
          <w:i/>
          <w:spacing w:val="-4"/>
          <w:sz w:val="16"/>
          <w:szCs w:val="16"/>
          <w:lang w:val="en-US"/>
        </w:rPr>
        <w:t xml:space="preserve">Case of Rodríguez Vera et al. (Disappeared of the Palace of Justice)v. Colombia. Preliminary objections, merits, reparations and costs. </w:t>
      </w:r>
      <w:r w:rsidRPr="007D3F3C">
        <w:rPr>
          <w:rFonts w:ascii="Verdana" w:hAnsi="Verdana"/>
          <w:spacing w:val="-4"/>
          <w:sz w:val="16"/>
          <w:szCs w:val="16"/>
          <w:lang w:val="en-US"/>
        </w:rPr>
        <w:t>Judgment of November 14, 2014. Series C No. 287, para. 519.</w:t>
      </w:r>
    </w:p>
  </w:footnote>
  <w:footnote w:id="178">
    <w:p w14:paraId="2C8C589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 Convention of Belém do Pará defines violence against women in its Article 1 as “</w:t>
      </w:r>
      <w:r w:rsidRPr="007D3F3C">
        <w:rPr>
          <w:rFonts w:ascii="Verdana" w:hAnsi="Verdana" w:cs="Arial"/>
          <w:sz w:val="16"/>
          <w:szCs w:val="16"/>
          <w:lang w:val="en-US"/>
        </w:rPr>
        <w:t>any act or conduct, based on gender, which causes death or physical, sexual or psychological harm or suffering to women, whether in the public or the private sphere.</w:t>
      </w:r>
      <w:r w:rsidRPr="007D3F3C">
        <w:rPr>
          <w:rFonts w:ascii="Verdana" w:hAnsi="Verdana"/>
          <w:sz w:val="16"/>
          <w:szCs w:val="16"/>
          <w:lang w:val="en-US"/>
        </w:rPr>
        <w:t>”</w:t>
      </w:r>
    </w:p>
  </w:footnote>
  <w:footnote w:id="179">
    <w:p w14:paraId="1F3043A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Case of the Miguel Castro Castro v. Peru. Merits, reparations and costs. </w:t>
      </w:r>
      <w:r w:rsidRPr="007D3F3C">
        <w:rPr>
          <w:rFonts w:ascii="Verdana" w:hAnsi="Verdana"/>
          <w:sz w:val="16"/>
          <w:szCs w:val="16"/>
          <w:lang w:val="en-US"/>
        </w:rPr>
        <w:t xml:space="preserve">Judgment of November 25, 2006. Series C No. 160, para. 346, and </w:t>
      </w:r>
      <w:r w:rsidRPr="007D3F3C">
        <w:rPr>
          <w:rFonts w:ascii="Verdana" w:hAnsi="Verdana"/>
          <w:i/>
          <w:sz w:val="16"/>
          <w:szCs w:val="16"/>
          <w:lang w:val="en-US"/>
        </w:rPr>
        <w:t>Case of Veliz Franco et al. v. Guatemala. Preliminary objections, merits, reparations and costs.</w:t>
      </w:r>
      <w:r w:rsidRPr="007D3F3C">
        <w:rPr>
          <w:rFonts w:ascii="Verdana" w:hAnsi="Verdana"/>
          <w:sz w:val="16"/>
          <w:szCs w:val="16"/>
          <w:lang w:val="en-US"/>
        </w:rPr>
        <w:t xml:space="preserve"> Judgment of May 19, 2014. Series C No. 277, para. 133.</w:t>
      </w:r>
    </w:p>
  </w:footnote>
  <w:footnote w:id="180">
    <w:p w14:paraId="19A0DFA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Case of González et al. (“Cotton Field”) v. Mexico. Preliminary objection, merits, reparations and costs. </w:t>
      </w:r>
      <w:r w:rsidRPr="007D3F3C">
        <w:rPr>
          <w:rFonts w:ascii="Verdana" w:hAnsi="Verdana"/>
          <w:sz w:val="16"/>
          <w:szCs w:val="16"/>
          <w:lang w:val="en-US"/>
        </w:rPr>
        <w:t>Judgment of November 16, 2009. Series C No. 205, para. 258.</w:t>
      </w:r>
    </w:p>
  </w:footnote>
  <w:footnote w:id="181">
    <w:p w14:paraId="4BB0A5B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Case of González et al. </w:t>
      </w:r>
      <w:r w:rsidRPr="007D3F3C">
        <w:rPr>
          <w:rFonts w:ascii="Verdana" w:hAnsi="Verdana"/>
          <w:i/>
          <w:sz w:val="16"/>
          <w:szCs w:val="16"/>
          <w:lang w:val="es-CR"/>
        </w:rPr>
        <w:t xml:space="preserve">(“Cotton Field”) v. </w:t>
      </w:r>
      <w:r w:rsidRPr="007D3F3C">
        <w:rPr>
          <w:rFonts w:ascii="Verdana" w:hAnsi="Verdana"/>
          <w:i/>
          <w:sz w:val="16"/>
          <w:szCs w:val="16"/>
          <w:lang w:val="es-CR"/>
        </w:rPr>
        <w:t xml:space="preserve">Mexico, supra, </w:t>
      </w:r>
      <w:r w:rsidRPr="007D3F3C">
        <w:rPr>
          <w:rFonts w:ascii="Verdana" w:hAnsi="Verdana"/>
          <w:sz w:val="16"/>
          <w:szCs w:val="16"/>
          <w:lang w:val="es-CR"/>
        </w:rPr>
        <w:t xml:space="preserve">para. </w:t>
      </w:r>
      <w:r w:rsidRPr="007D3F3C">
        <w:rPr>
          <w:rFonts w:ascii="Verdana" w:hAnsi="Verdana"/>
          <w:sz w:val="16"/>
          <w:szCs w:val="16"/>
          <w:lang w:val="en-US"/>
        </w:rPr>
        <w:t xml:space="preserve">258, and </w:t>
      </w:r>
      <w:r w:rsidRPr="007D3F3C">
        <w:rPr>
          <w:rFonts w:ascii="Verdana" w:hAnsi="Verdana"/>
          <w:i/>
          <w:sz w:val="16"/>
          <w:szCs w:val="16"/>
          <w:lang w:val="en-US"/>
        </w:rPr>
        <w:t xml:space="preserve">Case of Veliz Franco et al. v. Guatemala, supra, </w:t>
      </w:r>
      <w:r w:rsidRPr="007D3F3C">
        <w:rPr>
          <w:rFonts w:ascii="Verdana" w:hAnsi="Verdana"/>
          <w:sz w:val="16"/>
          <w:szCs w:val="16"/>
          <w:lang w:val="en-US"/>
        </w:rPr>
        <w:t>para. 136.</w:t>
      </w:r>
    </w:p>
  </w:footnote>
  <w:footnote w:id="182">
    <w:p w14:paraId="52D14E97" w14:textId="77777777" w:rsidR="00576E40" w:rsidRPr="007D3F3C" w:rsidRDefault="00576E40" w:rsidP="00551CA7">
      <w:pPr>
        <w:pStyle w:val="NormalWeb"/>
        <w:spacing w:after="0" w:line="240" w:lineRule="auto"/>
        <w:jc w:val="both"/>
        <w:rPr>
          <w:rFonts w:ascii="Verdana" w:hAnsi="Verdana"/>
          <w:sz w:val="16"/>
          <w:szCs w:val="16"/>
        </w:rPr>
      </w:pPr>
      <w:r w:rsidRPr="007D3F3C">
        <w:rPr>
          <w:rStyle w:val="Refdenotaalpie"/>
          <w:rFonts w:ascii="Verdana" w:hAnsi="Verdana"/>
          <w:spacing w:val="-4"/>
          <w:sz w:val="16"/>
          <w:szCs w:val="16"/>
        </w:rPr>
        <w:footnoteRef/>
      </w:r>
      <w:r w:rsidRPr="007D3F3C">
        <w:rPr>
          <w:rFonts w:ascii="Verdana" w:hAnsi="Verdana"/>
          <w:spacing w:val="-4"/>
          <w:sz w:val="16"/>
          <w:szCs w:val="16"/>
        </w:rPr>
        <w:t xml:space="preserve"> </w:t>
      </w:r>
      <w:r w:rsidRPr="007D3F3C">
        <w:rPr>
          <w:rFonts w:ascii="Verdana" w:hAnsi="Verdana"/>
          <w:spacing w:val="-4"/>
          <w:sz w:val="16"/>
          <w:szCs w:val="16"/>
        </w:rPr>
        <w:tab/>
      </w:r>
      <w:r w:rsidRPr="007D3F3C">
        <w:rPr>
          <w:rFonts w:ascii="Verdana" w:hAnsi="Verdana"/>
          <w:i/>
          <w:spacing w:val="-4"/>
          <w:sz w:val="16"/>
          <w:szCs w:val="16"/>
        </w:rPr>
        <w:t>Cf.</w:t>
      </w:r>
      <w:r w:rsidRPr="007D3F3C">
        <w:rPr>
          <w:rFonts w:ascii="Verdana" w:hAnsi="Verdana"/>
          <w:spacing w:val="-4"/>
          <w:sz w:val="16"/>
          <w:szCs w:val="16"/>
        </w:rPr>
        <w:t xml:space="preserve"> </w:t>
      </w:r>
      <w:r w:rsidRPr="007D3F3C">
        <w:rPr>
          <w:rFonts w:ascii="Verdana" w:hAnsi="Verdana"/>
          <w:i/>
          <w:spacing w:val="-4"/>
          <w:sz w:val="16"/>
          <w:szCs w:val="16"/>
        </w:rPr>
        <w:t>Case of the Pueblo Bello Massacre v. Colombia</w:t>
      </w:r>
      <w:r w:rsidRPr="007D3F3C">
        <w:rPr>
          <w:rFonts w:ascii="Verdana" w:hAnsi="Verdana"/>
          <w:spacing w:val="-4"/>
          <w:sz w:val="16"/>
          <w:szCs w:val="16"/>
        </w:rPr>
        <w:t xml:space="preserve">, </w:t>
      </w:r>
      <w:r w:rsidRPr="007D3F3C">
        <w:rPr>
          <w:rFonts w:ascii="Verdana" w:hAnsi="Verdana"/>
          <w:i/>
          <w:spacing w:val="-4"/>
          <w:sz w:val="16"/>
          <w:szCs w:val="16"/>
        </w:rPr>
        <w:t xml:space="preserve">Merits, reparations and costs. </w:t>
      </w:r>
      <w:r w:rsidRPr="007D3F3C">
        <w:rPr>
          <w:rFonts w:ascii="Verdana" w:hAnsi="Verdana"/>
          <w:bCs/>
          <w:spacing w:val="-4"/>
          <w:sz w:val="16"/>
          <w:szCs w:val="16"/>
        </w:rPr>
        <w:t>Judgment of January 31, 2006. Series C No. 140</w:t>
      </w:r>
      <w:r w:rsidRPr="007D3F3C">
        <w:rPr>
          <w:rFonts w:ascii="Verdana" w:hAnsi="Verdana"/>
          <w:i/>
          <w:spacing w:val="-4"/>
          <w:sz w:val="16"/>
          <w:szCs w:val="16"/>
        </w:rPr>
        <w:t xml:space="preserve">, </w:t>
      </w:r>
      <w:r w:rsidRPr="007D3F3C">
        <w:rPr>
          <w:rFonts w:ascii="Verdana" w:hAnsi="Verdana"/>
          <w:spacing w:val="-4"/>
          <w:sz w:val="16"/>
          <w:szCs w:val="16"/>
        </w:rPr>
        <w:t xml:space="preserve">para. 123, and </w:t>
      </w:r>
      <w:r w:rsidRPr="007D3F3C">
        <w:rPr>
          <w:rFonts w:ascii="Verdana" w:hAnsi="Verdana"/>
          <w:i/>
          <w:spacing w:val="-4"/>
          <w:sz w:val="16"/>
          <w:szCs w:val="16"/>
        </w:rPr>
        <w:t>Case of the Human Rights Defender et al. v. Guatemala</w:t>
      </w:r>
      <w:r w:rsidRPr="007D3F3C">
        <w:rPr>
          <w:rFonts w:ascii="Verdana" w:hAnsi="Verdana"/>
          <w:spacing w:val="-4"/>
          <w:sz w:val="16"/>
          <w:szCs w:val="16"/>
        </w:rPr>
        <w:t xml:space="preserve">, </w:t>
      </w:r>
      <w:r w:rsidRPr="007D3F3C">
        <w:rPr>
          <w:rFonts w:ascii="Verdana" w:hAnsi="Verdana"/>
          <w:i/>
          <w:spacing w:val="-4"/>
          <w:sz w:val="16"/>
          <w:szCs w:val="16"/>
        </w:rPr>
        <w:t>supra</w:t>
      </w:r>
      <w:r w:rsidRPr="007D3F3C">
        <w:rPr>
          <w:rFonts w:ascii="Verdana" w:hAnsi="Verdana"/>
          <w:spacing w:val="-4"/>
          <w:sz w:val="16"/>
          <w:szCs w:val="16"/>
        </w:rPr>
        <w:t xml:space="preserve">, para. 140. In this regard, the European Court of Human Rights has understood that: “[…] </w:t>
      </w:r>
      <w:bookmarkStart w:id="67" w:name="_Hlk24914676"/>
      <w:r w:rsidRPr="007D3F3C">
        <w:rPr>
          <w:rFonts w:ascii="Verdana" w:hAnsi="Verdana"/>
          <w:sz w:val="16"/>
          <w:szCs w:val="16"/>
        </w:rPr>
        <w:t>not every claimed risk to life can entail for the authorities a Convention requirement to take operational measures to prevent that risk from materializing. For a positive obligation to arise, it must be established that the authorities knew or ought to have known at the time of the existence of a real and immediate risk to the life of an identified individual […] from the criminal acts of a third party and that they failed to take measures within the scope of their powers which, judged reasonably, might have been expected to avoid that risk.”</w:t>
      </w:r>
    </w:p>
    <w:bookmarkEnd w:id="67"/>
    <w:p w14:paraId="42C0E826" w14:textId="77777777" w:rsidR="00576E40" w:rsidRPr="007D3F3C" w:rsidRDefault="00576E40" w:rsidP="00551CA7">
      <w:pPr>
        <w:pStyle w:val="Textonotapie"/>
        <w:jc w:val="both"/>
        <w:rPr>
          <w:rFonts w:ascii="Verdana" w:hAnsi="Verdana"/>
          <w:spacing w:val="-4"/>
          <w:sz w:val="16"/>
          <w:szCs w:val="16"/>
          <w:lang w:val="en-US"/>
        </w:rPr>
      </w:pPr>
      <w:r w:rsidRPr="007D3F3C">
        <w:rPr>
          <w:rFonts w:ascii="Verdana" w:hAnsi="Verdana"/>
          <w:i/>
          <w:spacing w:val="-4"/>
          <w:sz w:val="16"/>
          <w:szCs w:val="16"/>
          <w:lang w:val="en-US"/>
        </w:rPr>
        <w:t xml:space="preserve">Cf. </w:t>
      </w:r>
      <w:r w:rsidRPr="007D3F3C">
        <w:rPr>
          <w:rFonts w:ascii="Verdana" w:hAnsi="Verdana"/>
          <w:spacing w:val="-4"/>
          <w:sz w:val="16"/>
          <w:szCs w:val="16"/>
          <w:lang w:val="en-US"/>
        </w:rPr>
        <w:t>ECHR</w:t>
      </w:r>
      <w:r w:rsidRPr="007D3F3C">
        <w:rPr>
          <w:rFonts w:ascii="Verdana" w:hAnsi="Verdana"/>
          <w:i/>
          <w:spacing w:val="-4"/>
          <w:sz w:val="16"/>
          <w:szCs w:val="16"/>
          <w:lang w:val="en-US"/>
        </w:rPr>
        <w:t>, Case of Kiliç v. Turkey</w:t>
      </w:r>
      <w:r w:rsidRPr="007D3F3C">
        <w:rPr>
          <w:rFonts w:ascii="Verdana" w:hAnsi="Verdana"/>
          <w:spacing w:val="-4"/>
          <w:sz w:val="16"/>
          <w:szCs w:val="16"/>
          <w:lang w:val="en-US"/>
        </w:rPr>
        <w:t xml:space="preserve">, No. 22492/93, Judgment of March 28, 2000, paras. 62 and 63, and ECHR, </w:t>
      </w:r>
      <w:r w:rsidRPr="007D3F3C">
        <w:rPr>
          <w:rFonts w:ascii="Verdana" w:hAnsi="Verdana"/>
          <w:i/>
          <w:spacing w:val="-4"/>
          <w:sz w:val="16"/>
          <w:szCs w:val="16"/>
          <w:lang w:val="en-US"/>
        </w:rPr>
        <w:t>Osman v. the United Kingdom</w:t>
      </w:r>
      <w:r w:rsidRPr="007D3F3C">
        <w:rPr>
          <w:rFonts w:ascii="Verdana" w:hAnsi="Verdana"/>
          <w:spacing w:val="-4"/>
          <w:sz w:val="16"/>
          <w:szCs w:val="16"/>
          <w:lang w:val="en-US"/>
        </w:rPr>
        <w:t>, No. 23452/94, Judgment of October 28, 1998, paras. 115 and 116.</w:t>
      </w:r>
    </w:p>
  </w:footnote>
  <w:footnote w:id="183">
    <w:p w14:paraId="7D96C5DA" w14:textId="77777777" w:rsidR="00576E40" w:rsidRPr="007D3F3C" w:rsidRDefault="00576E40" w:rsidP="00551CA7">
      <w:pPr>
        <w:pStyle w:val="Textonotapie"/>
        <w:jc w:val="both"/>
        <w:rPr>
          <w:rFonts w:ascii="Verdana" w:hAnsi="Verdana"/>
          <w:spacing w:val="-4"/>
          <w:sz w:val="16"/>
          <w:szCs w:val="16"/>
          <w:lang w:val="es-CR"/>
        </w:rPr>
      </w:pPr>
      <w:r w:rsidRPr="007D3F3C">
        <w:rPr>
          <w:rStyle w:val="Refdenotaalpie"/>
          <w:rFonts w:ascii="Verdana" w:eastAsia="MS Gothic"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 xml:space="preserve">Cf. </w:t>
      </w:r>
      <w:r w:rsidRPr="007D3F3C">
        <w:rPr>
          <w:rFonts w:ascii="Verdana" w:hAnsi="Verdana"/>
          <w:bCs/>
          <w:i/>
          <w:spacing w:val="-4"/>
          <w:sz w:val="16"/>
          <w:szCs w:val="16"/>
          <w:lang w:val="en-US"/>
        </w:rPr>
        <w:t xml:space="preserve">Case of the Pueblo Bello Massacre v. Colombia, </w:t>
      </w:r>
      <w:r w:rsidRPr="007D3F3C">
        <w:rPr>
          <w:rFonts w:ascii="Verdana" w:hAnsi="Verdana"/>
          <w:i/>
          <w:spacing w:val="-4"/>
          <w:sz w:val="16"/>
          <w:szCs w:val="16"/>
          <w:lang w:val="en-US"/>
        </w:rPr>
        <w:t xml:space="preserve">supra, </w:t>
      </w:r>
      <w:r w:rsidRPr="007D3F3C">
        <w:rPr>
          <w:rFonts w:ascii="Verdana" w:hAnsi="Verdana"/>
          <w:spacing w:val="-4"/>
          <w:sz w:val="16"/>
          <w:szCs w:val="16"/>
          <w:lang w:val="en-US"/>
        </w:rPr>
        <w:t xml:space="preserve">para. 123, and </w:t>
      </w:r>
      <w:r w:rsidRPr="007D3F3C">
        <w:rPr>
          <w:rFonts w:ascii="Verdana" w:hAnsi="Verdana"/>
          <w:i/>
          <w:spacing w:val="-4"/>
          <w:sz w:val="16"/>
          <w:szCs w:val="16"/>
          <w:lang w:val="en-US"/>
        </w:rPr>
        <w:t>Case of the Human Rights Defender et al. v. Guatemala, supra,</w:t>
      </w:r>
      <w:r w:rsidRPr="007D3F3C">
        <w:rPr>
          <w:rFonts w:ascii="Verdana" w:hAnsi="Verdana"/>
          <w:spacing w:val="-4"/>
          <w:sz w:val="16"/>
          <w:szCs w:val="16"/>
          <w:lang w:val="en-US"/>
        </w:rPr>
        <w:t xml:space="preserve"> para. </w:t>
      </w:r>
      <w:r w:rsidRPr="007D3F3C">
        <w:rPr>
          <w:rFonts w:ascii="Verdana" w:hAnsi="Verdana"/>
          <w:spacing w:val="-4"/>
          <w:sz w:val="16"/>
          <w:szCs w:val="16"/>
          <w:lang w:val="es-CR"/>
        </w:rPr>
        <w:t>140</w:t>
      </w:r>
      <w:r w:rsidRPr="007D3F3C">
        <w:rPr>
          <w:rFonts w:ascii="Verdana" w:hAnsi="Verdana"/>
          <w:color w:val="000000"/>
          <w:spacing w:val="-4"/>
          <w:sz w:val="16"/>
          <w:szCs w:val="16"/>
          <w:lang w:val="es-CR"/>
        </w:rPr>
        <w:t>.</w:t>
      </w:r>
      <w:r w:rsidRPr="007D3F3C">
        <w:rPr>
          <w:rFonts w:ascii="Verdana" w:hAnsi="Verdana"/>
          <w:spacing w:val="-4"/>
          <w:sz w:val="16"/>
          <w:szCs w:val="16"/>
          <w:lang w:val="es-CR"/>
        </w:rPr>
        <w:t xml:space="preserve"> </w:t>
      </w:r>
    </w:p>
  </w:footnote>
  <w:footnote w:id="184">
    <w:p w14:paraId="1C314A69" w14:textId="77777777" w:rsidR="00576E40" w:rsidRPr="007D3F3C" w:rsidRDefault="00576E40" w:rsidP="00551CA7">
      <w:pPr>
        <w:pStyle w:val="Textonotapie"/>
        <w:jc w:val="both"/>
        <w:rPr>
          <w:rFonts w:ascii="Verdana" w:hAnsi="Verdana"/>
          <w:spacing w:val="-4"/>
          <w:sz w:val="16"/>
          <w:szCs w:val="16"/>
          <w:lang w:val="es-CR"/>
        </w:rPr>
      </w:pPr>
      <w:r w:rsidRPr="007D3F3C">
        <w:rPr>
          <w:rStyle w:val="Refdenotaalpie"/>
          <w:rFonts w:ascii="Verdana" w:eastAsia="MS Gothic"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 xml:space="preserve">Cf. Case of the Pueblo Bello </w:t>
      </w:r>
      <w:r w:rsidRPr="007D3F3C">
        <w:rPr>
          <w:rFonts w:ascii="Verdana" w:hAnsi="Verdana"/>
          <w:i/>
          <w:spacing w:val="-4"/>
          <w:sz w:val="16"/>
          <w:szCs w:val="16"/>
          <w:lang w:val="es-CR"/>
        </w:rPr>
        <w:t>Massacre v. Colombia, supra</w:t>
      </w:r>
      <w:r w:rsidRPr="007D3F3C">
        <w:rPr>
          <w:rFonts w:ascii="Verdana" w:hAnsi="Verdana"/>
          <w:spacing w:val="-4"/>
          <w:sz w:val="16"/>
          <w:szCs w:val="16"/>
          <w:lang w:val="es-CR"/>
        </w:rPr>
        <w:t xml:space="preserve">, para. </w:t>
      </w:r>
      <w:r w:rsidRPr="007D3F3C">
        <w:rPr>
          <w:rFonts w:ascii="Verdana" w:hAnsi="Verdana"/>
          <w:spacing w:val="-4"/>
          <w:sz w:val="16"/>
          <w:szCs w:val="16"/>
          <w:lang w:val="en-US"/>
        </w:rPr>
        <w:t xml:space="preserve">123, and </w:t>
      </w:r>
      <w:r w:rsidRPr="007D3F3C">
        <w:rPr>
          <w:rFonts w:ascii="Verdana" w:hAnsi="Verdana"/>
          <w:i/>
          <w:spacing w:val="-4"/>
          <w:sz w:val="16"/>
          <w:szCs w:val="16"/>
          <w:lang w:val="en-US"/>
        </w:rPr>
        <w:t>Case of the Human Rights Defender et al. v. Guatemala, supra,</w:t>
      </w:r>
      <w:r w:rsidRPr="007D3F3C">
        <w:rPr>
          <w:rFonts w:ascii="Verdana" w:hAnsi="Verdana"/>
          <w:spacing w:val="-4"/>
          <w:sz w:val="16"/>
          <w:szCs w:val="16"/>
          <w:lang w:val="en-US"/>
        </w:rPr>
        <w:t xml:space="preserve"> para. </w:t>
      </w:r>
      <w:r w:rsidRPr="007D3F3C">
        <w:rPr>
          <w:rFonts w:ascii="Verdana" w:hAnsi="Verdana"/>
          <w:spacing w:val="-4"/>
          <w:sz w:val="16"/>
          <w:szCs w:val="16"/>
          <w:lang w:val="es-CR"/>
        </w:rPr>
        <w:t xml:space="preserve">143. </w:t>
      </w:r>
    </w:p>
  </w:footnote>
  <w:footnote w:id="185">
    <w:p w14:paraId="2A006EB2" w14:textId="77777777" w:rsidR="00576E40" w:rsidRPr="007D3F3C" w:rsidRDefault="00576E40" w:rsidP="00551CA7">
      <w:pPr>
        <w:spacing w:after="0" w:line="240" w:lineRule="auto"/>
        <w:jc w:val="both"/>
        <w:rPr>
          <w:rFonts w:ascii="Verdana" w:hAnsi="Verdana"/>
          <w:b/>
          <w:bCs/>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rPr>
        <w:t xml:space="preserve"> </w:t>
      </w:r>
      <w:r w:rsidRPr="007D3F3C">
        <w:rPr>
          <w:rFonts w:ascii="Verdana" w:hAnsi="Verdana"/>
          <w:sz w:val="16"/>
          <w:szCs w:val="16"/>
        </w:rPr>
        <w:tab/>
      </w:r>
      <w:r w:rsidRPr="007D3F3C">
        <w:rPr>
          <w:rFonts w:ascii="Verdana" w:hAnsi="Verdana"/>
          <w:i/>
          <w:spacing w:val="-4"/>
          <w:sz w:val="16"/>
          <w:szCs w:val="16"/>
        </w:rPr>
        <w:t xml:space="preserve">Cf. Case of the Pueblo Bello </w:t>
      </w:r>
      <w:r w:rsidRPr="007D3F3C">
        <w:rPr>
          <w:rFonts w:ascii="Verdana" w:hAnsi="Verdana"/>
          <w:i/>
          <w:spacing w:val="-4"/>
          <w:sz w:val="16"/>
          <w:szCs w:val="16"/>
        </w:rPr>
        <w:t>Massacre v. Colombia, supra</w:t>
      </w:r>
      <w:r w:rsidRPr="007D3F3C">
        <w:rPr>
          <w:rFonts w:ascii="Verdana" w:hAnsi="Verdana"/>
          <w:spacing w:val="-4"/>
          <w:sz w:val="16"/>
          <w:szCs w:val="16"/>
        </w:rPr>
        <w:t xml:space="preserve">, </w:t>
      </w:r>
      <w:r w:rsidRPr="007D3F3C">
        <w:rPr>
          <w:rFonts w:ascii="Verdana" w:hAnsi="Verdana"/>
          <w:sz w:val="16"/>
          <w:szCs w:val="16"/>
        </w:rPr>
        <w:t xml:space="preserve">paras. </w:t>
      </w:r>
      <w:r w:rsidRPr="007D3F3C">
        <w:rPr>
          <w:rFonts w:ascii="Verdana" w:hAnsi="Verdana"/>
          <w:sz w:val="16"/>
          <w:szCs w:val="16"/>
          <w:lang w:val="en-US"/>
        </w:rPr>
        <w:t xml:space="preserve">123 and 124, </w:t>
      </w:r>
      <w:r w:rsidRPr="007D3F3C">
        <w:rPr>
          <w:rFonts w:ascii="Verdana" w:hAnsi="Verdana"/>
          <w:i/>
          <w:sz w:val="16"/>
          <w:szCs w:val="16"/>
          <w:lang w:val="en-US"/>
        </w:rPr>
        <w:t>citing</w:t>
      </w:r>
      <w:r w:rsidRPr="007D3F3C">
        <w:rPr>
          <w:rFonts w:ascii="Verdana" w:hAnsi="Verdana"/>
          <w:sz w:val="16"/>
          <w:szCs w:val="16"/>
          <w:lang w:val="en-US"/>
        </w:rPr>
        <w:t xml:space="preserve"> </w:t>
      </w:r>
      <w:r w:rsidRPr="007D3F3C">
        <w:rPr>
          <w:rFonts w:ascii="Verdana" w:hAnsi="Verdana"/>
          <w:spacing w:val="-4"/>
          <w:sz w:val="16"/>
          <w:szCs w:val="16"/>
          <w:lang w:val="en-US"/>
        </w:rPr>
        <w:t>ECHR</w:t>
      </w:r>
      <w:r w:rsidRPr="007D3F3C">
        <w:rPr>
          <w:rFonts w:ascii="Verdana" w:hAnsi="Verdana"/>
          <w:i/>
          <w:spacing w:val="-4"/>
          <w:sz w:val="16"/>
          <w:szCs w:val="16"/>
          <w:lang w:val="en-US"/>
        </w:rPr>
        <w:t>, Case of Kiliç v. Turkey</w:t>
      </w:r>
      <w:r w:rsidRPr="007D3F3C">
        <w:rPr>
          <w:rFonts w:ascii="Verdana" w:hAnsi="Verdana"/>
          <w:spacing w:val="-4"/>
          <w:sz w:val="16"/>
          <w:szCs w:val="16"/>
          <w:lang w:val="en-US"/>
        </w:rPr>
        <w:t xml:space="preserve">, No. 22492/93, Judgment of March 28, 2000, paras. 62 and 63, and ECHR, </w:t>
      </w:r>
      <w:r w:rsidRPr="007D3F3C">
        <w:rPr>
          <w:rFonts w:ascii="Verdana" w:hAnsi="Verdana"/>
          <w:i/>
          <w:spacing w:val="-4"/>
          <w:sz w:val="16"/>
          <w:szCs w:val="16"/>
          <w:lang w:val="en-US"/>
        </w:rPr>
        <w:t>Osman v. the United Kingdom</w:t>
      </w:r>
      <w:r w:rsidRPr="007D3F3C">
        <w:rPr>
          <w:rFonts w:ascii="Verdana" w:hAnsi="Verdana"/>
          <w:spacing w:val="-4"/>
          <w:sz w:val="16"/>
          <w:szCs w:val="16"/>
          <w:lang w:val="en-US"/>
        </w:rPr>
        <w:t xml:space="preserve"> No. 23452/94, Judgment of October 28. 1998, paras. 115 and 116</w:t>
      </w:r>
      <w:r w:rsidRPr="007D3F3C">
        <w:rPr>
          <w:rFonts w:ascii="Verdana" w:hAnsi="Verdana"/>
          <w:sz w:val="16"/>
          <w:szCs w:val="16"/>
          <w:lang w:val="en-US"/>
        </w:rPr>
        <w:t xml:space="preserve">. The original text of paragraph 116 of the case of </w:t>
      </w:r>
      <w:r w:rsidRPr="007D3F3C">
        <w:rPr>
          <w:rFonts w:ascii="Verdana" w:hAnsi="Verdana"/>
          <w:i/>
          <w:sz w:val="16"/>
          <w:szCs w:val="16"/>
          <w:lang w:val="en-US"/>
        </w:rPr>
        <w:t>Osman</w:t>
      </w:r>
      <w:r w:rsidRPr="007D3F3C">
        <w:rPr>
          <w:rFonts w:ascii="Verdana" w:hAnsi="Verdana"/>
          <w:sz w:val="16"/>
          <w:szCs w:val="16"/>
          <w:lang w:val="en-US"/>
        </w:rPr>
        <w:t xml:space="preserve"> indicates: “[…] In the opinion of the Court where there is an allegation that the authorities have violated their positive obligation to protect the right to life in the context of their above-mentioned duty to prevent and suppress offences against the person (see paragraph 115 above), it must be established to its satisfaction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 […] For the Court, and having regard to the nature of the right protected by Article 2, a right fundamental in the scheme of the Convention, it is sufficient for an applicant to show that the authorities did not do all that could be reasonably expected of them to avoid a real and immediate risk to life of which they have or ought to have knowledge.”</w:t>
      </w:r>
    </w:p>
  </w:footnote>
  <w:footnote w:id="186">
    <w:p w14:paraId="6DA36041" w14:textId="77777777" w:rsidR="00576E40" w:rsidRPr="007D3F3C" w:rsidRDefault="00576E40" w:rsidP="00551CA7">
      <w:pPr>
        <w:pStyle w:val="Textonotapie"/>
        <w:jc w:val="both"/>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Cs/>
          <w:sz w:val="16"/>
          <w:szCs w:val="16"/>
          <w:lang w:val="en-US"/>
        </w:rPr>
        <w:t>See</w:t>
      </w:r>
      <w:r w:rsidRPr="007D3F3C">
        <w:rPr>
          <w:rFonts w:ascii="Verdana" w:hAnsi="Verdana"/>
          <w:i/>
          <w:sz w:val="16"/>
          <w:szCs w:val="16"/>
          <w:lang w:val="en-US"/>
        </w:rPr>
        <w:t>, Case of</w:t>
      </w:r>
      <w:r w:rsidRPr="007D3F3C">
        <w:rPr>
          <w:rFonts w:ascii="Verdana" w:hAnsi="Verdana"/>
          <w:sz w:val="16"/>
          <w:szCs w:val="16"/>
          <w:lang w:val="en-US"/>
        </w:rPr>
        <w:t xml:space="preserve"> </w:t>
      </w:r>
      <w:r w:rsidRPr="007D3F3C">
        <w:rPr>
          <w:rFonts w:ascii="Verdana" w:hAnsi="Verdana"/>
          <w:i/>
          <w:sz w:val="16"/>
          <w:szCs w:val="16"/>
          <w:lang w:val="en-US"/>
        </w:rPr>
        <w:t xml:space="preserve">González et al. </w:t>
      </w:r>
      <w:r w:rsidRPr="007D3F3C">
        <w:rPr>
          <w:rFonts w:ascii="Verdana" w:hAnsi="Verdana"/>
          <w:i/>
          <w:sz w:val="16"/>
          <w:szCs w:val="16"/>
          <w:lang w:val="es-CR"/>
        </w:rPr>
        <w:t xml:space="preserve">(“Cotton Field”) v. </w:t>
      </w:r>
      <w:r w:rsidRPr="007D3F3C">
        <w:rPr>
          <w:rFonts w:ascii="Verdana" w:hAnsi="Verdana"/>
          <w:i/>
          <w:sz w:val="16"/>
          <w:szCs w:val="16"/>
          <w:lang w:val="es-CR"/>
        </w:rPr>
        <w:t xml:space="preserve">Mexico, supra, </w:t>
      </w:r>
      <w:r w:rsidRPr="007D3F3C">
        <w:rPr>
          <w:rFonts w:ascii="Verdana" w:hAnsi="Verdana"/>
          <w:sz w:val="16"/>
          <w:szCs w:val="16"/>
          <w:lang w:val="es-CR"/>
        </w:rPr>
        <w:t xml:space="preserve">paras. </w:t>
      </w:r>
      <w:r w:rsidRPr="007D3F3C">
        <w:rPr>
          <w:rFonts w:ascii="Verdana" w:hAnsi="Verdana"/>
          <w:sz w:val="16"/>
          <w:szCs w:val="16"/>
          <w:lang w:val="en-US"/>
        </w:rPr>
        <w:t>283 and 284;</w:t>
      </w:r>
      <w:r w:rsidRPr="007D3F3C">
        <w:rPr>
          <w:rFonts w:ascii="Verdana" w:hAnsi="Verdana"/>
          <w:i/>
          <w:sz w:val="16"/>
          <w:szCs w:val="16"/>
          <w:lang w:val="en-US"/>
        </w:rPr>
        <w:t xml:space="preserve"> Case of the Sawhoyamaxa Indigenous Community v. Paraguay. Merits, reparations and costs. </w:t>
      </w:r>
      <w:r w:rsidRPr="007D3F3C">
        <w:rPr>
          <w:rFonts w:ascii="Verdana" w:hAnsi="Verdana"/>
          <w:sz w:val="16"/>
          <w:szCs w:val="16"/>
          <w:lang w:val="en-US"/>
        </w:rPr>
        <w:t>Judgment of March 29, 2006. Series C No. 146</w:t>
      </w:r>
      <w:r w:rsidRPr="007D3F3C">
        <w:rPr>
          <w:rFonts w:ascii="Verdana" w:hAnsi="Verdana"/>
          <w:i/>
          <w:sz w:val="16"/>
          <w:szCs w:val="16"/>
          <w:lang w:val="en-US"/>
        </w:rPr>
        <w:t xml:space="preserve">, </w:t>
      </w:r>
      <w:r w:rsidRPr="007D3F3C">
        <w:rPr>
          <w:rFonts w:ascii="Verdana" w:hAnsi="Verdana"/>
          <w:sz w:val="16"/>
          <w:szCs w:val="16"/>
          <w:lang w:val="en-US"/>
        </w:rPr>
        <w:t>para. 155;</w:t>
      </w:r>
      <w:r w:rsidRPr="007D3F3C">
        <w:rPr>
          <w:rFonts w:ascii="Verdana" w:hAnsi="Verdana"/>
          <w:i/>
          <w:sz w:val="16"/>
          <w:szCs w:val="16"/>
          <w:lang w:val="en-US"/>
        </w:rPr>
        <w:t xml:space="preserve"> Case of the Xákmok Kásek Indigenous Community. v. Paraguay. Merits, reparations and costs. </w:t>
      </w:r>
      <w:r w:rsidRPr="007D3F3C">
        <w:rPr>
          <w:rFonts w:ascii="Verdana" w:hAnsi="Verdana"/>
          <w:sz w:val="16"/>
          <w:szCs w:val="16"/>
          <w:lang w:val="en-US"/>
        </w:rPr>
        <w:t>Judgment of August 24, 2010. Series C No. 214, para. 188;</w:t>
      </w:r>
      <w:r w:rsidRPr="007D3F3C">
        <w:rPr>
          <w:rFonts w:ascii="Verdana" w:hAnsi="Verdana"/>
          <w:i/>
          <w:sz w:val="16"/>
          <w:szCs w:val="16"/>
          <w:lang w:val="en-US"/>
        </w:rPr>
        <w:t xml:space="preserve"> Case of Castillo González et al. v. Venezuela. Merits. </w:t>
      </w:r>
      <w:r w:rsidRPr="007D3F3C">
        <w:rPr>
          <w:rFonts w:ascii="Verdana" w:hAnsi="Verdana"/>
          <w:sz w:val="16"/>
          <w:szCs w:val="16"/>
          <w:lang w:val="en-US"/>
        </w:rPr>
        <w:t xml:space="preserve">Judgment of November 27, 2012. </w:t>
      </w:r>
      <w:r w:rsidRPr="007D3F3C">
        <w:rPr>
          <w:rFonts w:ascii="Verdana" w:hAnsi="Verdana"/>
          <w:sz w:val="16"/>
          <w:szCs w:val="16"/>
          <w:lang w:val="es-CR"/>
        </w:rPr>
        <w:t>Series C No. 256, para. 128;</w:t>
      </w:r>
      <w:r w:rsidRPr="007D3F3C">
        <w:rPr>
          <w:rFonts w:ascii="Verdana" w:hAnsi="Verdana"/>
          <w:i/>
          <w:sz w:val="16"/>
          <w:szCs w:val="16"/>
          <w:lang w:val="es-CR"/>
        </w:rPr>
        <w:t xml:space="preserve"> Case of Luna López v. Honduras. </w:t>
      </w:r>
      <w:r w:rsidRPr="007D3F3C">
        <w:rPr>
          <w:rFonts w:ascii="Verdana" w:hAnsi="Verdana"/>
          <w:i/>
          <w:sz w:val="16"/>
          <w:szCs w:val="16"/>
          <w:lang w:val="en-US"/>
        </w:rPr>
        <w:t xml:space="preserve">Merits, reparations and costs. </w:t>
      </w:r>
      <w:r w:rsidRPr="007D3F3C">
        <w:rPr>
          <w:rFonts w:ascii="Verdana" w:hAnsi="Verdana"/>
          <w:sz w:val="16"/>
          <w:szCs w:val="16"/>
          <w:lang w:val="en-US"/>
        </w:rPr>
        <w:t xml:space="preserve">Judgment of October 10, 2013. Series C No. 269, para. 124; </w:t>
      </w:r>
      <w:r w:rsidRPr="007D3F3C">
        <w:rPr>
          <w:rFonts w:ascii="Verdana" w:hAnsi="Verdana"/>
          <w:i/>
          <w:spacing w:val="-4"/>
          <w:sz w:val="16"/>
          <w:szCs w:val="16"/>
          <w:lang w:val="en-US"/>
        </w:rPr>
        <w:t>Case of the Human Rights Defender et al. v. Guatemala</w:t>
      </w:r>
      <w:r w:rsidRPr="007D3F3C">
        <w:rPr>
          <w:rFonts w:ascii="Verdana" w:hAnsi="Verdana"/>
          <w:spacing w:val="-4"/>
          <w:sz w:val="16"/>
          <w:szCs w:val="16"/>
          <w:lang w:val="en-US"/>
        </w:rPr>
        <w:t xml:space="preserve">, </w:t>
      </w:r>
      <w:r w:rsidRPr="007D3F3C">
        <w:rPr>
          <w:rFonts w:ascii="Verdana" w:hAnsi="Verdana"/>
          <w:i/>
          <w:spacing w:val="-4"/>
          <w:sz w:val="16"/>
          <w:szCs w:val="16"/>
          <w:lang w:val="en-US"/>
        </w:rPr>
        <w:t>supra</w:t>
      </w:r>
      <w:r w:rsidRPr="007D3F3C">
        <w:rPr>
          <w:rFonts w:ascii="Verdana" w:hAnsi="Verdana"/>
          <w:spacing w:val="-4"/>
          <w:sz w:val="16"/>
          <w:szCs w:val="16"/>
          <w:lang w:val="en-US"/>
        </w:rPr>
        <w:t xml:space="preserve">, para. </w:t>
      </w:r>
      <w:r w:rsidRPr="007D3F3C">
        <w:rPr>
          <w:rFonts w:ascii="Verdana" w:hAnsi="Verdana"/>
          <w:sz w:val="16"/>
          <w:szCs w:val="16"/>
          <w:lang w:val="en-US"/>
        </w:rPr>
        <w:t xml:space="preserve">143, and </w:t>
      </w:r>
      <w:r w:rsidRPr="007D3F3C">
        <w:rPr>
          <w:rFonts w:ascii="Verdana" w:hAnsi="Verdana"/>
          <w:i/>
          <w:spacing w:val="-4"/>
          <w:sz w:val="16"/>
          <w:szCs w:val="16"/>
          <w:lang w:val="en-US"/>
        </w:rPr>
        <w:t xml:space="preserve">Case of Rodríguez Vera et al. (Disappeared of the Palace of Justice) v. Colombia, supra, </w:t>
      </w:r>
      <w:r w:rsidRPr="007D3F3C">
        <w:rPr>
          <w:rFonts w:ascii="Verdana" w:hAnsi="Verdana"/>
          <w:spacing w:val="-4"/>
          <w:sz w:val="16"/>
          <w:szCs w:val="16"/>
          <w:lang w:val="en-US"/>
        </w:rPr>
        <w:t xml:space="preserve">para. </w:t>
      </w:r>
      <w:r w:rsidRPr="007D3F3C">
        <w:rPr>
          <w:rFonts w:ascii="Verdana" w:hAnsi="Verdana"/>
          <w:spacing w:val="-4"/>
          <w:sz w:val="16"/>
          <w:szCs w:val="16"/>
          <w:lang w:val="es-CR"/>
        </w:rPr>
        <w:t>527.</w:t>
      </w:r>
    </w:p>
  </w:footnote>
  <w:footnote w:id="187">
    <w:p w14:paraId="2FB0834B" w14:textId="77777777" w:rsidR="00576E40" w:rsidRPr="007D3F3C" w:rsidRDefault="00576E40" w:rsidP="00551CA7">
      <w:pPr>
        <w:pStyle w:val="Textonotapie"/>
        <w:jc w:val="both"/>
        <w:rPr>
          <w:rFonts w:ascii="Verdana" w:hAnsi="Verdana" w:cs="Calibri"/>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 Case of Veliz Franco et al. v. Guatemala, supra,</w:t>
      </w:r>
      <w:r w:rsidRPr="007D3F3C">
        <w:rPr>
          <w:rFonts w:ascii="Verdana" w:hAnsi="Verdana"/>
          <w:sz w:val="16"/>
          <w:szCs w:val="16"/>
          <w:lang w:val="es-CR"/>
        </w:rPr>
        <w:t xml:space="preserve"> paras. </w:t>
      </w:r>
      <w:r w:rsidRPr="007D3F3C">
        <w:rPr>
          <w:rFonts w:ascii="Verdana" w:hAnsi="Verdana"/>
          <w:sz w:val="16"/>
          <w:szCs w:val="16"/>
          <w:lang w:val="en-US"/>
        </w:rPr>
        <w:t xml:space="preserve">75, 76 and 78 to 80, citing, </w:t>
      </w:r>
      <w:r w:rsidRPr="007D3F3C">
        <w:rPr>
          <w:rFonts w:ascii="Verdana" w:hAnsi="Verdana"/>
          <w:i/>
          <w:iCs/>
          <w:sz w:val="16"/>
          <w:szCs w:val="16"/>
          <w:lang w:val="en-US"/>
        </w:rPr>
        <w:t>inter alia</w:t>
      </w:r>
      <w:r w:rsidRPr="007D3F3C">
        <w:rPr>
          <w:rFonts w:ascii="Verdana" w:hAnsi="Verdana"/>
          <w:sz w:val="16"/>
          <w:szCs w:val="16"/>
          <w:lang w:val="en-US"/>
        </w:rPr>
        <w:t xml:space="preserve">: (i) (footnote 88) Inter-American Commission on Human Rights, “Fifth Report on the Situation of Human Rights in Guatemala”, OEA/Ser.L/V/II. 111, Doc. Rev., April 6, 2001, Chapter XIII, para. 41. Available at: </w:t>
      </w:r>
      <w:hyperlink r:id="rId11" w:history="1">
        <w:r w:rsidRPr="007D3F3C">
          <w:rPr>
            <w:rStyle w:val="Hipervnculo"/>
            <w:rFonts w:ascii="Verdana" w:hAnsi="Verdana"/>
            <w:sz w:val="16"/>
            <w:szCs w:val="16"/>
            <w:lang w:val="en-US"/>
          </w:rPr>
          <w:t>http://www.cidh.org/countryrep/Guate01eng/chap.13.htm</w:t>
        </w:r>
      </w:hyperlink>
      <w:r w:rsidRPr="007D3F3C">
        <w:rPr>
          <w:rFonts w:ascii="Verdana" w:hAnsi="Verdana"/>
          <w:sz w:val="16"/>
          <w:szCs w:val="16"/>
          <w:lang w:val="en-US"/>
        </w:rPr>
        <w:t xml:space="preserve">; (ii) (footnote 89) The Guatemalan Ombudsman, </w:t>
      </w:r>
      <w:r w:rsidRPr="007D3F3C">
        <w:rPr>
          <w:rFonts w:ascii="Verdana" w:hAnsi="Verdana" w:cs="Arial"/>
          <w:sz w:val="16"/>
          <w:szCs w:val="16"/>
          <w:lang w:val="en-US"/>
        </w:rPr>
        <w:t>“</w:t>
      </w:r>
      <w:r w:rsidRPr="007D3F3C">
        <w:rPr>
          <w:rFonts w:ascii="Verdana" w:hAnsi="Verdana" w:cs="Arial"/>
          <w:i/>
          <w:iCs/>
          <w:sz w:val="16"/>
          <w:szCs w:val="16"/>
          <w:lang w:val="en-US"/>
        </w:rPr>
        <w:t>Informe Anual Circunstanciado 2001</w:t>
      </w:r>
      <w:r w:rsidRPr="007D3F3C">
        <w:rPr>
          <w:rFonts w:ascii="Verdana" w:hAnsi="Verdana"/>
          <w:sz w:val="16"/>
          <w:szCs w:val="16"/>
          <w:lang w:val="en-US"/>
        </w:rPr>
        <w:t>,” Guatemala, January 2002, pp. 44 to 46; (iii) (footnote 89) Amnesty International, “</w:t>
      </w:r>
      <w:r w:rsidRPr="007D3F3C">
        <w:rPr>
          <w:rFonts w:ascii="Verdana" w:hAnsi="Verdana"/>
          <w:i/>
          <w:iCs/>
          <w:sz w:val="16"/>
          <w:szCs w:val="16"/>
          <w:lang w:val="en-US"/>
        </w:rPr>
        <w:t>Informe de crímenes contra mujeres in Guatemala,”</w:t>
      </w:r>
      <w:r w:rsidRPr="007D3F3C">
        <w:rPr>
          <w:rFonts w:ascii="Verdana" w:hAnsi="Verdana"/>
          <w:sz w:val="16"/>
          <w:szCs w:val="16"/>
          <w:lang w:val="en-US"/>
        </w:rPr>
        <w:t xml:space="preserve"> August 2004, pp. 11 and 13; (iv) (footnote 75) </w:t>
      </w:r>
      <w:r w:rsidRPr="007D3F3C">
        <w:rPr>
          <w:rFonts w:ascii="Verdana" w:hAnsi="Verdana" w:cs="TimesNewRoman"/>
          <w:sz w:val="16"/>
          <w:szCs w:val="16"/>
          <w:lang w:val="en-US"/>
        </w:rPr>
        <w:t xml:space="preserve">Inter-American Commission on Human Rights, </w:t>
      </w:r>
      <w:r w:rsidRPr="007D3F3C">
        <w:rPr>
          <w:rFonts w:ascii="Verdana" w:hAnsi="Verdana" w:cs="Arial"/>
          <w:sz w:val="16"/>
          <w:szCs w:val="16"/>
          <w:lang w:val="en-US"/>
        </w:rPr>
        <w:t>Press Release 20/04, “The IACHR Special Rapporteur evaluates the effectiveness of the right of women in Guatemala to live free from violence and discrimination,” September 18, 2004, para. 7; (</w:t>
      </w:r>
      <w:r w:rsidRPr="007D3F3C">
        <w:rPr>
          <w:rFonts w:ascii="Verdana" w:hAnsi="Verdana" w:cs="TimesNewRoman"/>
          <w:sz w:val="16"/>
          <w:szCs w:val="16"/>
          <w:lang w:val="en-US"/>
        </w:rPr>
        <w:t>v)</w:t>
      </w:r>
      <w:r w:rsidRPr="007D3F3C">
        <w:rPr>
          <w:rFonts w:ascii="Verdana" w:hAnsi="Verdana"/>
          <w:sz w:val="16"/>
          <w:szCs w:val="16"/>
          <w:lang w:val="en-US"/>
        </w:rPr>
        <w:t xml:space="preserve"> (footnotes 85 and 86) Amnesty International, “</w:t>
      </w:r>
      <w:r w:rsidRPr="007D3F3C">
        <w:rPr>
          <w:rFonts w:ascii="Verdana" w:hAnsi="Verdana" w:cs="Arial"/>
          <w:sz w:val="16"/>
          <w:szCs w:val="16"/>
          <w:lang w:val="en-US"/>
        </w:rPr>
        <w:t>“Guatemala. No protection, no justice: killings of women,”</w:t>
      </w:r>
      <w:r w:rsidRPr="007D3F3C">
        <w:rPr>
          <w:rFonts w:ascii="Verdana" w:hAnsi="Verdana"/>
          <w:sz w:val="16"/>
          <w:szCs w:val="16"/>
          <w:lang w:val="en-US"/>
        </w:rPr>
        <w:t xml:space="preserve"> June 2005, p. 8, and (vi)</w:t>
      </w:r>
      <w:r w:rsidRPr="007D3F3C">
        <w:rPr>
          <w:rFonts w:ascii="Verdana" w:hAnsi="Verdana" w:cs="TimesNewRoman"/>
          <w:sz w:val="16"/>
          <w:szCs w:val="16"/>
          <w:lang w:val="en-US"/>
        </w:rPr>
        <w:t xml:space="preserve"> </w:t>
      </w:r>
      <w:r w:rsidRPr="007D3F3C">
        <w:rPr>
          <w:rFonts w:ascii="Verdana" w:hAnsi="Verdana"/>
          <w:sz w:val="16"/>
          <w:szCs w:val="16"/>
          <w:lang w:val="en-US"/>
        </w:rPr>
        <w:t>(footnote 74) United Nations Economic and Social Council. Co</w:t>
      </w:r>
      <w:r w:rsidRPr="007D3F3C">
        <w:rPr>
          <w:rFonts w:ascii="Verdana" w:hAnsi="Verdana" w:cs="Arial"/>
          <w:sz w:val="16"/>
          <w:szCs w:val="16"/>
          <w:lang w:val="en-US"/>
        </w:rPr>
        <w:t>mmission on Human Rights, sixty-first session, Report of the Special Rapporteur on violence against women, its causes and consequences, Yakin Ertürk. Mission to Guatemala</w:t>
      </w:r>
      <w:r w:rsidRPr="007D3F3C">
        <w:rPr>
          <w:rFonts w:ascii="Verdana" w:hAnsi="Verdana"/>
          <w:bCs/>
          <w:sz w:val="16"/>
          <w:szCs w:val="16"/>
          <w:lang w:val="en-US"/>
        </w:rPr>
        <w:t xml:space="preserve">. UN Doc. </w:t>
      </w:r>
      <w:r w:rsidRPr="007D3F3C">
        <w:rPr>
          <w:rFonts w:ascii="Verdana" w:hAnsi="Verdana"/>
          <w:sz w:val="16"/>
          <w:szCs w:val="16"/>
          <w:lang w:val="en-US"/>
        </w:rPr>
        <w:t xml:space="preserve">E/CN.4/2005/72/Add.3, February 10, 2005, para. 28. </w:t>
      </w:r>
      <w:r w:rsidRPr="007D3F3C">
        <w:rPr>
          <w:rFonts w:ascii="Verdana" w:hAnsi="Verdana" w:cs="Calibri"/>
          <w:sz w:val="16"/>
          <w:szCs w:val="16"/>
          <w:lang w:val="en-US"/>
        </w:rPr>
        <w:t xml:space="preserve">The report of the Inter-American Commission of April 2001 states that, at that time, violence against women was “a serious problem in the country,” and that </w:t>
      </w:r>
      <w:r w:rsidRPr="007D3F3C">
        <w:rPr>
          <w:rFonts w:ascii="Verdana" w:hAnsi="Verdana" w:cs="Arial"/>
          <w:sz w:val="16"/>
          <w:szCs w:val="16"/>
          <w:lang w:val="en-US"/>
        </w:rPr>
        <w:t>“although [at that time it was] difficult to estimate the depth and breadth of the problem with precision, it [was] reported that violence based on gender [was] a leading cause of death and disability among women between 15 and 44 years of age.</w:t>
      </w:r>
      <w:r w:rsidRPr="007D3F3C">
        <w:rPr>
          <w:rFonts w:ascii="Verdana" w:hAnsi="Verdana"/>
          <w:sz w:val="16"/>
          <w:szCs w:val="16"/>
          <w:lang w:val="en-US"/>
        </w:rPr>
        <w:t>”</w:t>
      </w:r>
      <w:r w:rsidRPr="007D3F3C">
        <w:rPr>
          <w:rStyle w:val="Refdenotaalpie"/>
          <w:rFonts w:ascii="Verdana" w:hAnsi="Verdana" w:cs="Calibri"/>
          <w:sz w:val="16"/>
          <w:szCs w:val="16"/>
          <w:lang w:val="en-US"/>
        </w:rPr>
        <w:t xml:space="preserve"> </w:t>
      </w:r>
      <w:r w:rsidRPr="007D3F3C">
        <w:rPr>
          <w:rFonts w:ascii="Verdana" w:hAnsi="Verdana" w:cs="Calibri"/>
          <w:sz w:val="16"/>
          <w:szCs w:val="16"/>
          <w:lang w:val="en-US"/>
        </w:rPr>
        <w:t xml:space="preserve">The State indicated that the “statistics may be correct.” </w:t>
      </w:r>
      <w:r w:rsidRPr="007D3F3C">
        <w:rPr>
          <w:rFonts w:ascii="Verdana" w:hAnsi="Verdana"/>
          <w:i/>
          <w:sz w:val="16"/>
          <w:szCs w:val="16"/>
          <w:lang w:val="en-US"/>
        </w:rPr>
        <w:t>Cf. Case of Veliz Franco et al. v. Guatemala, supra,</w:t>
      </w:r>
      <w:r w:rsidRPr="007D3F3C">
        <w:rPr>
          <w:rFonts w:ascii="Verdana" w:hAnsi="Verdana"/>
          <w:sz w:val="16"/>
          <w:szCs w:val="16"/>
          <w:lang w:val="en-US"/>
        </w:rPr>
        <w:t xml:space="preserve"> para. </w:t>
      </w:r>
      <w:r w:rsidRPr="007D3F3C">
        <w:rPr>
          <w:rFonts w:ascii="Verdana" w:hAnsi="Verdana"/>
          <w:sz w:val="16"/>
          <w:szCs w:val="16"/>
          <w:lang w:val="es-CR"/>
        </w:rPr>
        <w:t>79.</w:t>
      </w:r>
    </w:p>
  </w:footnote>
  <w:footnote w:id="188">
    <w:p w14:paraId="21A99A75" w14:textId="77777777" w:rsidR="00576E40" w:rsidRPr="007D3F3C" w:rsidRDefault="00576E40" w:rsidP="00551CA7">
      <w:pPr>
        <w:pStyle w:val="Textonotapie"/>
        <w:jc w:val="both"/>
        <w:rPr>
          <w:rFonts w:ascii="Verdana" w:hAnsi="Verdana"/>
          <w:b/>
          <w:bCs/>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 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80, citing, the Guatemalan Ombudsman, “</w:t>
      </w:r>
      <w:r w:rsidRPr="007D3F3C">
        <w:rPr>
          <w:rFonts w:ascii="Verdana" w:hAnsi="Verdana"/>
          <w:i/>
          <w:iCs/>
          <w:sz w:val="16"/>
          <w:szCs w:val="16"/>
          <w:lang w:val="en-US"/>
        </w:rPr>
        <w:t>Report Anual Circunstanciado 2001</w:t>
      </w:r>
      <w:r w:rsidRPr="007D3F3C">
        <w:rPr>
          <w:rFonts w:ascii="Verdana" w:hAnsi="Verdana"/>
          <w:sz w:val="16"/>
          <w:szCs w:val="16"/>
          <w:lang w:val="en-US"/>
        </w:rPr>
        <w:t>”, Guatemala, January 2002, pp. 44 to 46. This documents indicates that discrimination had “historically […] excluded [women] from the enjoyment of fundamental rights and, therefore, they are victims of abuse, ill-treatment and violence.” Similarly, in a document with data from 2000 to 2003, Amnesty International, considered “the patriarchal culture as a specific cause [of the] phenomenon [of violence]” in Guatemala, explaining that “[t]he patriarchal system constructed under a pattern of a mainly masculine exercise of power and domination easily places women in a situation of vulnerability.”</w:t>
      </w:r>
      <w:r w:rsidRPr="007D3F3C">
        <w:rPr>
          <w:rFonts w:ascii="Verdana" w:hAnsi="Verdana"/>
          <w:b/>
          <w:bCs/>
          <w:sz w:val="16"/>
          <w:szCs w:val="16"/>
          <w:lang w:val="en-US"/>
        </w:rPr>
        <w:t xml:space="preserve"> </w:t>
      </w:r>
      <w:r w:rsidRPr="007D3F3C">
        <w:rPr>
          <w:rFonts w:ascii="Verdana" w:hAnsi="Verdana"/>
          <w:sz w:val="16"/>
          <w:szCs w:val="16"/>
          <w:lang w:val="es-CR"/>
        </w:rPr>
        <w:t>Amnesty International, “</w:t>
      </w:r>
      <w:r w:rsidRPr="007D3F3C">
        <w:rPr>
          <w:rFonts w:ascii="Verdana" w:hAnsi="Verdana"/>
          <w:i/>
          <w:iCs/>
          <w:sz w:val="16"/>
          <w:szCs w:val="16"/>
          <w:lang w:val="es-CR"/>
        </w:rPr>
        <w:t>Informe de crímenes contra mujeres in Guatemala”,</w:t>
      </w:r>
      <w:r w:rsidRPr="007D3F3C">
        <w:rPr>
          <w:rFonts w:ascii="Verdana" w:hAnsi="Verdana"/>
          <w:sz w:val="16"/>
          <w:szCs w:val="16"/>
          <w:lang w:val="es-CR"/>
        </w:rPr>
        <w:t xml:space="preserve"> August 2004, pp. 11 and 13. </w:t>
      </w:r>
    </w:p>
  </w:footnote>
  <w:footnote w:id="189">
    <w:p w14:paraId="0297358D" w14:textId="77777777" w:rsidR="00576E40" w:rsidRPr="007D3F3C" w:rsidRDefault="00576E40" w:rsidP="00551CA7">
      <w:pPr>
        <w:pStyle w:val="Textonotapie"/>
        <w:jc w:val="both"/>
        <w:rPr>
          <w:rFonts w:ascii="Verdana" w:hAnsi="Verdana" w:cs="Arial"/>
          <w:iCs/>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 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 xml:space="preserve">82 and footnote 93. The Court noted that, prior to December 2001, the State had taken steps related to the problem of violence against women. In 1996, </w:t>
      </w:r>
      <w:r w:rsidRPr="007D3F3C">
        <w:rPr>
          <w:rFonts w:ascii="Verdana" w:hAnsi="Verdana" w:cs="Arial"/>
          <w:sz w:val="16"/>
          <w:szCs w:val="16"/>
          <w:lang w:val="en-US"/>
        </w:rPr>
        <w:t xml:space="preserve">the Law to Prevent, Punish and Eradicate Domestic Violence was enacted, Decree No. </w:t>
      </w:r>
      <w:r w:rsidRPr="007D3F3C">
        <w:rPr>
          <w:rFonts w:ascii="Verdana" w:hAnsi="Verdana"/>
          <w:sz w:val="16"/>
          <w:szCs w:val="16"/>
          <w:lang w:val="en-US"/>
        </w:rPr>
        <w:t>97-1996, November 28, 1996, Guatemala. In 2000 and 2001, this was supplemented by regulations and by the creation of Coordinating Body for the Prevention, Punishment and Eradication of Domestic Violence and Violence against Women (CONAPREVI). In 2000, the Presidential Secretariat for Women (SEPREM) was created and, over the period 2001-2006, the National Policy for the Promotion and Development of Guatemalan Women was established, together with its Equal Opportunities Plan. Also, the Law on the Comprehensive Promotion and Dignification of Women was enacted in March 1999 and, in 2001, the Social Development Law was promulgated, by means of congressional Decrees No. 7-99 and No. 42-2001, respectively. In its article 16, the latter law establishes that “social development” and “population” policies shall include measures and actions aimed,</w:t>
      </w:r>
      <w:r w:rsidRPr="007D3F3C">
        <w:rPr>
          <w:rFonts w:ascii="Verdana" w:hAnsi="Verdana"/>
          <w:i/>
          <w:sz w:val="16"/>
          <w:szCs w:val="16"/>
          <w:lang w:val="en-US"/>
        </w:rPr>
        <w:t xml:space="preserve"> inter alia, </w:t>
      </w:r>
      <w:r w:rsidRPr="007D3F3C">
        <w:rPr>
          <w:rFonts w:ascii="Verdana" w:hAnsi="Verdana"/>
          <w:iCs/>
          <w:sz w:val="16"/>
          <w:szCs w:val="16"/>
          <w:lang w:val="en-US"/>
        </w:rPr>
        <w:t xml:space="preserve">at punishing and eradicating any kind of individual or collective violence, abuse and discrimination against women, in observance of the international conventions and treaties ratified by Guatemala. </w:t>
      </w:r>
      <w:r w:rsidRPr="007D3F3C">
        <w:rPr>
          <w:rFonts w:ascii="Verdana" w:hAnsi="Verdana"/>
          <w:sz w:val="16"/>
          <w:szCs w:val="16"/>
          <w:lang w:val="en-US"/>
        </w:rPr>
        <w:t>Coordinating Body for the Prevention, Punishment and Eradication of Domestic Violence and Violence against Women (CONAPREVI), “PLANOVI 2004-2014: National Plan for the Prevention and Eradication of Domestic Violence and Violence against Women.”</w:t>
      </w:r>
      <w:r w:rsidRPr="007D3F3C">
        <w:rPr>
          <w:rFonts w:ascii="Verdana" w:hAnsi="Verdana"/>
          <w:bCs/>
          <w:w w:val="95"/>
          <w:sz w:val="16"/>
          <w:szCs w:val="16"/>
          <w:lang w:val="en-US"/>
        </w:rPr>
        <w:t xml:space="preserve"> </w:t>
      </w:r>
    </w:p>
  </w:footnote>
  <w:footnote w:id="190">
    <w:p w14:paraId="7DEE1AC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 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82.</w:t>
      </w:r>
    </w:p>
  </w:footnote>
  <w:footnote w:id="191">
    <w:p w14:paraId="3286BCE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Public policies:</w:t>
      </w:r>
      <w:r w:rsidRPr="007D3F3C">
        <w:rPr>
          <w:rFonts w:ascii="Verdana" w:hAnsi="Verdana"/>
          <w:sz w:val="16"/>
          <w:szCs w:val="16"/>
          <w:lang w:val="en-US"/>
        </w:rPr>
        <w:t xml:space="preserve"> National Policy for the Comprehensive Promotion and Development of Women (PNPDIM) and Equal Opportunities Plan (PEO) 2008-2023.</w:t>
      </w:r>
    </w:p>
    <w:p w14:paraId="7609F50F" w14:textId="77777777" w:rsidR="00576E40" w:rsidRPr="007D3F3C" w:rsidRDefault="00576E40" w:rsidP="00551CA7">
      <w:pPr>
        <w:pStyle w:val="Textonotapie"/>
        <w:ind w:firstLine="720"/>
        <w:jc w:val="both"/>
        <w:rPr>
          <w:rFonts w:ascii="Verdana" w:hAnsi="Verdana"/>
          <w:sz w:val="16"/>
          <w:szCs w:val="16"/>
          <w:lang w:val="en-US"/>
        </w:rPr>
      </w:pPr>
      <w:r w:rsidRPr="007D3F3C">
        <w:rPr>
          <w:rFonts w:ascii="Verdana" w:hAnsi="Verdana"/>
          <w:i/>
          <w:sz w:val="16"/>
          <w:szCs w:val="16"/>
          <w:lang w:val="en-US"/>
        </w:rPr>
        <w:t>The Judiciary</w:t>
      </w:r>
      <w:r w:rsidRPr="007D3F3C">
        <w:rPr>
          <w:rFonts w:ascii="Verdana" w:hAnsi="Verdana"/>
          <w:sz w:val="16"/>
          <w:szCs w:val="16"/>
          <w:lang w:val="en-US"/>
        </w:rPr>
        <w:t xml:space="preserve">: Courts with competence for femicide and other forms of violence against women in the departments of Guatemala, Quetzaltenango and Chiquimula (Supreme Court of Justice, Ruling No. 1-2010); Unit/Secretariat for Women and Gender Analysis, Decision No. 69-2012 (April 30, 2012); Criminal Trial Courts and Criminal Sentencing Courts for crimes of femicide and other forms of violence against women in the departments of Huehuetenango and Alta Verapaz; transformation of the Criminal Trial Court and Criminal Sentencing Courts for crimes of femicide and other forms of violence against women of the department of Guatemala into a multi-person court; creation of the Chamber of the Criminal Appeals Court for crimes of femicide and other forms of violence against women of the department of Guatemala (Ruling 12-2012 of the Supreme Court of Justice of March 8, 2012); Criminal Trial Court for crimes of femicide and other forms of violence against women (October 2012); Specialized court for women and child victims (2012); Protocol for initial care in cases of violence against women and sexual crimes in Guatemala City (2008); Protocol for judicial actions in cases of gender-based violence against women (April 2014). </w:t>
      </w:r>
    </w:p>
    <w:p w14:paraId="770B260D" w14:textId="77777777" w:rsidR="00576E40" w:rsidRPr="007D3F3C" w:rsidRDefault="00576E40" w:rsidP="00551CA7">
      <w:pPr>
        <w:pStyle w:val="Textonotapie"/>
        <w:ind w:firstLine="720"/>
        <w:jc w:val="both"/>
        <w:rPr>
          <w:rFonts w:ascii="Verdana" w:hAnsi="Verdana"/>
          <w:sz w:val="16"/>
          <w:szCs w:val="16"/>
          <w:lang w:val="en-US"/>
        </w:rPr>
      </w:pPr>
      <w:r w:rsidRPr="007D3F3C">
        <w:rPr>
          <w:rFonts w:ascii="Verdana" w:hAnsi="Verdana"/>
          <w:i/>
          <w:sz w:val="16"/>
          <w:szCs w:val="16"/>
          <w:lang w:val="en-US"/>
        </w:rPr>
        <w:t>The Public Prosecution Service</w:t>
      </w:r>
      <w:r w:rsidRPr="007D3F3C">
        <w:rPr>
          <w:rFonts w:ascii="Verdana" w:hAnsi="Verdana"/>
          <w:sz w:val="16"/>
          <w:szCs w:val="16"/>
          <w:lang w:val="en-US"/>
        </w:rPr>
        <w:t xml:space="preserve">: Specific Protocol entitled “General instructions for the criminal investigation of the crime of femicide” (General Instruction No. 06-2013); </w:t>
      </w:r>
      <w:r w:rsidRPr="007D3F3C">
        <w:rPr>
          <w:rFonts w:ascii="Verdana" w:hAnsi="Verdana"/>
          <w:sz w:val="16"/>
          <w:szCs w:val="16"/>
          <w:lang w:val="en-US" w:eastAsia="es-CR"/>
        </w:rPr>
        <w:t xml:space="preserve">the Office for Attention to Victims and the Special Prosecutor’s Office for Women’s Affairs of the Public Prosecution Service, and the National Institute of Forensic Science (INACIF) have established a network to expedite and facilitate care for women who have been assaulted; Comprehensive Support Centers for Women Survivors of Violence (CAIMUS); the Public Criminal Defense Institute provides support during legal proceedings; use of the </w:t>
      </w:r>
      <w:r w:rsidRPr="007D3F3C">
        <w:rPr>
          <w:rFonts w:ascii="Verdana" w:hAnsi="Verdana"/>
          <w:sz w:val="16"/>
          <w:szCs w:val="16"/>
          <w:lang w:val="en-US"/>
        </w:rPr>
        <w:t>Gesell Chamber to avoid re-victimization, safeguard victims, control the evidence and ensure the right to defense of the accused (December 2, 2009); Unit for Investigating Sexual Offenses (August 1, 2012); Professional analyst to make a criminological analysis of violence against women with emphasis on sexual violence (July 2015).</w:t>
      </w:r>
    </w:p>
    <w:p w14:paraId="01BFA641" w14:textId="77777777" w:rsidR="00576E40" w:rsidRPr="007D3F3C" w:rsidRDefault="00576E40" w:rsidP="00551CA7">
      <w:pPr>
        <w:pStyle w:val="Textonotapie"/>
        <w:ind w:firstLine="720"/>
        <w:jc w:val="both"/>
        <w:rPr>
          <w:rFonts w:ascii="Verdana" w:hAnsi="Verdana"/>
          <w:sz w:val="16"/>
          <w:szCs w:val="16"/>
          <w:lang w:val="en-US" w:eastAsia="es-CR"/>
        </w:rPr>
      </w:pPr>
      <w:r w:rsidRPr="007D3F3C">
        <w:rPr>
          <w:rFonts w:ascii="Verdana" w:hAnsi="Verdana"/>
          <w:i/>
          <w:sz w:val="16"/>
          <w:szCs w:val="16"/>
          <w:lang w:val="en-US"/>
        </w:rPr>
        <w:t xml:space="preserve">The Executive: </w:t>
      </w:r>
      <w:r w:rsidRPr="007D3F3C">
        <w:rPr>
          <w:rFonts w:ascii="Verdana" w:hAnsi="Verdana"/>
          <w:sz w:val="16"/>
          <w:szCs w:val="16"/>
          <w:lang w:val="en-US"/>
        </w:rPr>
        <w:t>The Educational Directorate of the Presidential Human Rights Commission</w:t>
      </w:r>
      <w:r w:rsidRPr="007D3F3C">
        <w:rPr>
          <w:rFonts w:ascii="Verdana" w:hAnsi="Verdana"/>
          <w:sz w:val="16"/>
          <w:szCs w:val="16"/>
          <w:lang w:val="en-US" w:eastAsia="es-CR"/>
        </w:rPr>
        <w:t xml:space="preserve"> (COPREDEH), which coordinates the Executive’s human rights policies, has implemented diploma courses for public officials and employees from the Executive and other institutions on the issue of </w:t>
      </w:r>
      <w:r w:rsidRPr="007D3F3C">
        <w:rPr>
          <w:rFonts w:ascii="Verdana" w:hAnsi="Verdana"/>
          <w:sz w:val="16"/>
          <w:szCs w:val="16"/>
          <w:lang w:val="en-US"/>
        </w:rPr>
        <w:t>violence against women</w:t>
      </w:r>
      <w:r w:rsidRPr="007D3F3C">
        <w:rPr>
          <w:rFonts w:ascii="Verdana" w:hAnsi="Verdana"/>
          <w:sz w:val="16"/>
          <w:szCs w:val="16"/>
          <w:lang w:val="en-US" w:eastAsia="es-CR"/>
        </w:rPr>
        <w:t xml:space="preserve"> </w:t>
      </w:r>
      <w:r w:rsidRPr="007D3F3C">
        <w:rPr>
          <w:rFonts w:ascii="Verdana" w:hAnsi="Verdana"/>
          <w:sz w:val="16"/>
          <w:szCs w:val="16"/>
          <w:lang w:val="en-US"/>
        </w:rPr>
        <w:t>(2012-2015)</w:t>
      </w:r>
      <w:r w:rsidRPr="007D3F3C">
        <w:rPr>
          <w:rFonts w:ascii="Verdana" w:hAnsi="Verdana"/>
          <w:sz w:val="16"/>
          <w:szCs w:val="16"/>
          <w:lang w:val="en-US" w:eastAsia="es-CR"/>
        </w:rPr>
        <w:t>.</w:t>
      </w:r>
    </w:p>
    <w:p w14:paraId="3059C3E3" w14:textId="77777777" w:rsidR="00576E40" w:rsidRPr="007D3F3C" w:rsidRDefault="00576E40" w:rsidP="00551CA7">
      <w:pPr>
        <w:pStyle w:val="Textonotapie"/>
        <w:ind w:firstLine="720"/>
        <w:jc w:val="both"/>
        <w:rPr>
          <w:rFonts w:ascii="Verdana" w:hAnsi="Verdana"/>
          <w:sz w:val="16"/>
          <w:szCs w:val="16"/>
          <w:lang w:val="en-US"/>
        </w:rPr>
      </w:pPr>
      <w:r w:rsidRPr="007D3F3C">
        <w:rPr>
          <w:rFonts w:ascii="Verdana" w:hAnsi="Verdana"/>
          <w:i/>
          <w:sz w:val="16"/>
          <w:szCs w:val="16"/>
          <w:lang w:val="en-US"/>
        </w:rPr>
        <w:t xml:space="preserve">The National Civil Police: </w:t>
      </w:r>
      <w:r w:rsidRPr="007D3F3C">
        <w:rPr>
          <w:rFonts w:ascii="Verdana" w:hAnsi="Verdana"/>
          <w:sz w:val="16"/>
          <w:szCs w:val="16"/>
          <w:lang w:val="en-US"/>
        </w:rPr>
        <w:t>The Gender Equality Department has organized workshops for members of the institution on the Law on femicide and other forms of violence against women (2012 to 2014); the Sub-General Directorate for the Prevention of Crime has organized workshops for members of civil society on PNC actions to address violence against women (2012 to 2014); Basic Guidelines for addressing the gender perspective, training for instructors of the PNC Academy, and the Training Manual on Security and Gender for members of the PNC (2014); Training for members of the Crime Prevention Committees on violence against women, domestic violence, and gender equality and equity, among other issues (2014).</w:t>
      </w:r>
    </w:p>
    <w:p w14:paraId="7EBC9EC0" w14:textId="77777777" w:rsidR="00576E40" w:rsidRPr="007D3F3C" w:rsidRDefault="00576E40" w:rsidP="00551CA7">
      <w:pPr>
        <w:pStyle w:val="Textonotapie"/>
        <w:ind w:firstLine="720"/>
        <w:jc w:val="both"/>
        <w:rPr>
          <w:rFonts w:ascii="Verdana" w:hAnsi="Verdana"/>
          <w:sz w:val="16"/>
          <w:szCs w:val="16"/>
          <w:lang w:val="en-US"/>
        </w:rPr>
      </w:pPr>
      <w:r w:rsidRPr="007D3F3C">
        <w:rPr>
          <w:rFonts w:ascii="Verdana" w:hAnsi="Verdana"/>
          <w:bCs/>
          <w:i/>
          <w:sz w:val="16"/>
          <w:szCs w:val="16"/>
          <w:lang w:val="en-US" w:eastAsia="es-CR"/>
        </w:rPr>
        <w:t xml:space="preserve">The Ministry of the Interior: </w:t>
      </w:r>
      <w:r w:rsidRPr="007D3F3C">
        <w:rPr>
          <w:rFonts w:ascii="Verdana" w:hAnsi="Verdana"/>
          <w:sz w:val="16"/>
          <w:szCs w:val="16"/>
          <w:lang w:val="en-US" w:eastAsia="es-CR"/>
        </w:rPr>
        <w:t>Special Office for the area of violence against women (October 2013)</w:t>
      </w:r>
      <w:r w:rsidRPr="007D3F3C">
        <w:rPr>
          <w:rFonts w:ascii="Verdana" w:hAnsi="Verdana"/>
          <w:bCs/>
          <w:sz w:val="16"/>
          <w:szCs w:val="16"/>
          <w:lang w:val="en-US" w:eastAsia="es-CR"/>
        </w:rPr>
        <w:t>; National policy for the prevention of violence and crime, public safety and peaceful coexistence (2014-2034).</w:t>
      </w:r>
    </w:p>
  </w:footnote>
  <w:footnote w:id="192">
    <w:p w14:paraId="252320F1" w14:textId="77777777" w:rsidR="00576E40" w:rsidRPr="007D3F3C" w:rsidRDefault="00576E40" w:rsidP="00551CA7">
      <w:pPr>
        <w:pStyle w:val="Textonotapie"/>
        <w:jc w:val="both"/>
        <w:rPr>
          <w:rFonts w:ascii="Verdana" w:hAnsi="Verdana"/>
          <w:sz w:val="16"/>
          <w:szCs w:val="16"/>
          <w:lang w:val="en-US" w:eastAsia="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eastAsia="es-CR"/>
        </w:rPr>
        <w:t>Public policies</w:t>
      </w:r>
      <w:r w:rsidRPr="007D3F3C">
        <w:rPr>
          <w:rFonts w:ascii="Verdana" w:hAnsi="Verdana"/>
          <w:sz w:val="16"/>
          <w:szCs w:val="16"/>
          <w:lang w:val="en-US" w:eastAsia="es-CR"/>
        </w:rPr>
        <w:t>:</w:t>
      </w:r>
      <w:r w:rsidRPr="007D3F3C">
        <w:rPr>
          <w:rFonts w:ascii="Verdana" w:hAnsi="Verdana"/>
          <w:b/>
          <w:sz w:val="16"/>
          <w:szCs w:val="16"/>
          <w:lang w:val="en-US" w:eastAsia="es-CR"/>
        </w:rPr>
        <w:t xml:space="preserve"> </w:t>
      </w:r>
      <w:r w:rsidRPr="007D3F3C">
        <w:rPr>
          <w:rFonts w:ascii="Verdana" w:hAnsi="Verdana"/>
          <w:sz w:val="16"/>
          <w:szCs w:val="16"/>
          <w:lang w:val="en-US"/>
        </w:rPr>
        <w:t xml:space="preserve">National agreement to promote safety and justice; Public policy against people-trafficking and for the protection of victims; inter-institutional coordination for the implementation of public policies to prevent, punish and eradicate </w:t>
      </w:r>
      <w:r w:rsidRPr="007D3F3C">
        <w:rPr>
          <w:rFonts w:ascii="Verdana" w:hAnsi="Verdana"/>
          <w:bCs/>
          <w:sz w:val="16"/>
          <w:szCs w:val="16"/>
          <w:lang w:val="en-US" w:eastAsia="es-CR"/>
        </w:rPr>
        <w:t xml:space="preserve">violence against women. In this regard, the National </w:t>
      </w:r>
      <w:r w:rsidRPr="007D3F3C">
        <w:rPr>
          <w:rFonts w:ascii="Verdana" w:hAnsi="Verdana"/>
          <w:sz w:val="16"/>
          <w:szCs w:val="16"/>
          <w:lang w:val="en-US" w:eastAsia="es-CR"/>
        </w:rPr>
        <w:t>Coordinating Body for the Prevention, Punishment and Eradication of Domestic Violence and Violence against Women (CONAPREVI), the Presidential Secretariat for Women (SEPREM) and the Office for the Defense of Indigenous Women’s Rights (DEMI), in coordination with the Ministry of the Interior and the congressional Committee for Women’s Affairs have set up the “Technical Group for the life and safety of women” to coordinate actions and operational plans on the issue; CONAPREVI, SEPREM and DEMI are promoting training actions and activities to disseminate the Law against Femicide among the population; they are also training agents of justice, and organizing awareness-raising campaigns on the issue.</w:t>
      </w:r>
    </w:p>
    <w:p w14:paraId="4FB37453" w14:textId="77777777" w:rsidR="00576E40" w:rsidRPr="007D3F3C" w:rsidRDefault="00576E40" w:rsidP="00551CA7">
      <w:pPr>
        <w:pStyle w:val="Textonotapie"/>
        <w:ind w:firstLine="720"/>
        <w:jc w:val="both"/>
        <w:rPr>
          <w:rFonts w:ascii="Verdana" w:hAnsi="Verdana"/>
          <w:bCs/>
          <w:sz w:val="16"/>
          <w:szCs w:val="16"/>
          <w:lang w:val="en-US" w:eastAsia="es-CR"/>
        </w:rPr>
      </w:pPr>
      <w:r w:rsidRPr="007D3F3C">
        <w:rPr>
          <w:rFonts w:ascii="Verdana" w:hAnsi="Verdana"/>
          <w:i/>
          <w:sz w:val="16"/>
          <w:szCs w:val="16"/>
          <w:lang w:val="en-US" w:eastAsia="es-CR"/>
        </w:rPr>
        <w:t>The Judiciary:</w:t>
      </w:r>
      <w:r w:rsidRPr="007D3F3C">
        <w:rPr>
          <w:rFonts w:ascii="Verdana" w:hAnsi="Verdana"/>
          <w:b/>
          <w:sz w:val="16"/>
          <w:szCs w:val="16"/>
          <w:lang w:val="en-US" w:eastAsia="es-CR"/>
        </w:rPr>
        <w:t xml:space="preserve"> </w:t>
      </w:r>
      <w:r w:rsidRPr="007D3F3C">
        <w:rPr>
          <w:rFonts w:ascii="Verdana" w:hAnsi="Verdana"/>
          <w:bCs/>
          <w:sz w:val="16"/>
          <w:szCs w:val="16"/>
          <w:lang w:val="en-US" w:eastAsia="es-CR"/>
        </w:rPr>
        <w:t xml:space="preserve">Institutional policy of gender equality and promotion of women’s human rights; childcare centers for the children of women involved in court cases on the premises of the Judiciary; Commission for Women’s Affairs; Unit for the control, monitoring and evaluation of the special courts for the crime of </w:t>
      </w:r>
      <w:r w:rsidRPr="007D3F3C">
        <w:rPr>
          <w:rFonts w:ascii="Verdana" w:hAnsi="Verdana"/>
          <w:sz w:val="16"/>
          <w:szCs w:val="16"/>
          <w:lang w:val="en-US" w:eastAsia="es-CR"/>
        </w:rPr>
        <w:t xml:space="preserve">femicide and other forms of violence against women. </w:t>
      </w:r>
    </w:p>
    <w:p w14:paraId="32826587" w14:textId="77777777" w:rsidR="00576E40" w:rsidRPr="007D3F3C" w:rsidRDefault="00576E40" w:rsidP="00551CA7">
      <w:pPr>
        <w:pStyle w:val="Textonotapie"/>
        <w:tabs>
          <w:tab w:val="left" w:pos="720"/>
          <w:tab w:val="left" w:pos="2970"/>
        </w:tabs>
        <w:jc w:val="both"/>
        <w:rPr>
          <w:rFonts w:ascii="Verdana" w:hAnsi="Verdana"/>
          <w:sz w:val="16"/>
          <w:szCs w:val="16"/>
          <w:lang w:val="en-US" w:eastAsia="es-CR"/>
        </w:rPr>
      </w:pPr>
      <w:r w:rsidRPr="007D3F3C">
        <w:rPr>
          <w:rFonts w:ascii="Verdana" w:hAnsi="Verdana"/>
          <w:i/>
          <w:sz w:val="16"/>
          <w:szCs w:val="16"/>
          <w:lang w:val="en-US" w:eastAsia="es-CR"/>
        </w:rPr>
        <w:tab/>
        <w:t>The Public Prosecution Service</w:t>
      </w:r>
      <w:r w:rsidRPr="007D3F3C">
        <w:rPr>
          <w:rFonts w:ascii="Verdana" w:hAnsi="Verdana"/>
          <w:sz w:val="16"/>
          <w:szCs w:val="16"/>
          <w:lang w:val="en-US" w:eastAsia="es-CR"/>
        </w:rPr>
        <w:t>:</w:t>
      </w:r>
      <w:r w:rsidRPr="007D3F3C">
        <w:rPr>
          <w:rFonts w:ascii="Verdana" w:hAnsi="Verdana"/>
          <w:b/>
          <w:bCs/>
          <w:sz w:val="16"/>
          <w:szCs w:val="16"/>
          <w:lang w:val="en-US" w:eastAsia="es-CR"/>
        </w:rPr>
        <w:t xml:space="preserve"> </w:t>
      </w:r>
      <w:r w:rsidRPr="007D3F3C">
        <w:rPr>
          <w:rFonts w:ascii="Verdana" w:hAnsi="Verdana"/>
          <w:bCs/>
          <w:sz w:val="16"/>
          <w:szCs w:val="16"/>
          <w:lang w:val="en-US" w:eastAsia="es-CR"/>
        </w:rPr>
        <w:t>Special prosecutors exclusively dedicated to the crimes of femicide with a gender-based crime scene protocol</w:t>
      </w:r>
      <w:r w:rsidRPr="007D3F3C">
        <w:rPr>
          <w:rFonts w:ascii="Verdana" w:hAnsi="Verdana"/>
          <w:sz w:val="16"/>
          <w:szCs w:val="16"/>
          <w:lang w:val="en-US" w:eastAsia="es-CR"/>
        </w:rPr>
        <w:t>; Regulations for the Comprehensive Care Model (MAI) for cases of domestic violence and sexual offenses in the metropolitan area; implementation of the Protocol</w:t>
      </w:r>
      <w:r w:rsidRPr="007D3F3C">
        <w:rPr>
          <w:rFonts w:ascii="Verdana" w:hAnsi="Verdana"/>
          <w:sz w:val="16"/>
          <w:szCs w:val="16"/>
          <w:lang w:val="en-US"/>
        </w:rPr>
        <w:t xml:space="preserve"> for attending victims of crimes against sexual liberty, safety and decency in the Offices for Attention to Victims;</w:t>
      </w:r>
      <w:r w:rsidRPr="007D3F3C">
        <w:rPr>
          <w:rFonts w:ascii="Verdana" w:hAnsi="Verdana"/>
          <w:sz w:val="16"/>
          <w:szCs w:val="16"/>
          <w:lang w:val="en-US" w:eastAsia="es-CR"/>
        </w:rPr>
        <w:t xml:space="preserve"> Prosecutor for Women and Child Victims in other departments with ethnic and cultural relevance; constant training for the staff of the Public Prosecution Service on the issue of violence against women and sexual violence; Program of free legal aid for victims of violence and their families;  the Public Defender’s Office; offices that provide legal support to indigenous women, such as the Office for the Defense of Indigenous Women’s Rights and the National Commission against Racism and Discrimination; incorporation of interpreters into offices involved in applying justice.</w:t>
      </w:r>
    </w:p>
    <w:p w14:paraId="4F7DA98F" w14:textId="77777777" w:rsidR="00576E40" w:rsidRPr="007D3F3C" w:rsidRDefault="00576E40" w:rsidP="00551CA7">
      <w:pPr>
        <w:pStyle w:val="Textonotapie"/>
        <w:ind w:firstLine="720"/>
        <w:jc w:val="both"/>
        <w:rPr>
          <w:rFonts w:ascii="Verdana" w:hAnsi="Verdana"/>
          <w:sz w:val="16"/>
          <w:szCs w:val="16"/>
          <w:lang w:val="en-US" w:eastAsia="es-CR"/>
        </w:rPr>
      </w:pPr>
      <w:r w:rsidRPr="007D3F3C">
        <w:rPr>
          <w:rFonts w:ascii="Verdana" w:hAnsi="Verdana"/>
          <w:i/>
          <w:sz w:val="16"/>
          <w:szCs w:val="16"/>
          <w:lang w:val="en-US" w:eastAsia="es-CR"/>
        </w:rPr>
        <w:t xml:space="preserve">The Executive: </w:t>
      </w:r>
      <w:r w:rsidRPr="007D3F3C">
        <w:rPr>
          <w:rFonts w:ascii="Verdana" w:hAnsi="Verdana"/>
          <w:sz w:val="16"/>
          <w:szCs w:val="16"/>
          <w:lang w:val="en-US" w:eastAsia="es-CR"/>
        </w:rPr>
        <w:t xml:space="preserve">The Special Office for Women’s Affairs (GEM) articulates, coordinates and promotes public policies and programs focused on the holistic development of Guatemalan women. </w:t>
      </w:r>
    </w:p>
    <w:p w14:paraId="22DEB1A9" w14:textId="77777777" w:rsidR="00576E40" w:rsidRPr="007D3F3C" w:rsidRDefault="00576E40" w:rsidP="00551CA7">
      <w:pPr>
        <w:pStyle w:val="Textonotapie"/>
        <w:ind w:firstLine="720"/>
        <w:jc w:val="both"/>
        <w:rPr>
          <w:rFonts w:ascii="Verdana" w:hAnsi="Verdana"/>
          <w:sz w:val="16"/>
          <w:szCs w:val="16"/>
          <w:lang w:val="en-US" w:eastAsia="es-CR"/>
        </w:rPr>
      </w:pPr>
      <w:r w:rsidRPr="007D3F3C">
        <w:rPr>
          <w:rFonts w:ascii="Verdana" w:hAnsi="Verdana"/>
          <w:bCs/>
          <w:i/>
          <w:sz w:val="16"/>
          <w:szCs w:val="16"/>
          <w:lang w:val="en-US" w:eastAsia="es-CR"/>
        </w:rPr>
        <w:t>The Ministry of the Interior:</w:t>
      </w:r>
      <w:r w:rsidRPr="007D3F3C">
        <w:rPr>
          <w:rFonts w:ascii="Verdana" w:hAnsi="Verdana"/>
          <w:b/>
          <w:bCs/>
          <w:sz w:val="16"/>
          <w:szCs w:val="16"/>
          <w:lang w:val="en-US" w:eastAsia="es-CR"/>
        </w:rPr>
        <w:t xml:space="preserve"> </w:t>
      </w:r>
      <w:r w:rsidRPr="007D3F3C">
        <w:rPr>
          <w:rFonts w:ascii="Verdana" w:hAnsi="Verdana"/>
          <w:sz w:val="16"/>
          <w:szCs w:val="16"/>
          <w:lang w:val="en-US" w:eastAsia="es-CR"/>
        </w:rPr>
        <w:t>the Working Group against Femicide identifies and provides evidence to prove the criminal responsibility for the perpetration of crimes against life and integrity; the Attorney General’s Office (PGN) coordinates the Alba-Keneth Law alert system and has a Unit for the protection of the rights of women, the elderly and people with disabilities in order to prevent violence against them, and provide care when this occurs.</w:t>
      </w:r>
    </w:p>
    <w:p w14:paraId="54526AA6" w14:textId="77777777" w:rsidR="00576E40" w:rsidRPr="007D3F3C" w:rsidRDefault="00576E40" w:rsidP="00551CA7">
      <w:pPr>
        <w:pStyle w:val="Textonotapie"/>
        <w:ind w:firstLine="720"/>
        <w:jc w:val="both"/>
        <w:rPr>
          <w:rFonts w:ascii="Verdana" w:hAnsi="Verdana"/>
          <w:sz w:val="16"/>
          <w:szCs w:val="16"/>
          <w:lang w:val="en-US" w:eastAsia="es-CR"/>
        </w:rPr>
      </w:pPr>
      <w:r w:rsidRPr="007D3F3C">
        <w:rPr>
          <w:rFonts w:ascii="Verdana" w:hAnsi="Verdana"/>
          <w:bCs/>
          <w:i/>
          <w:sz w:val="16"/>
          <w:szCs w:val="16"/>
          <w:lang w:val="en-US" w:eastAsia="es-CR"/>
        </w:rPr>
        <w:t>The National Civil Police:</w:t>
      </w:r>
      <w:r w:rsidRPr="007D3F3C">
        <w:rPr>
          <w:rFonts w:ascii="Verdana" w:hAnsi="Verdana"/>
          <w:sz w:val="16"/>
          <w:szCs w:val="16"/>
          <w:lang w:val="en-US" w:eastAsia="es-CR"/>
        </w:rPr>
        <w:t xml:space="preserve"> </w:t>
      </w:r>
      <w:r w:rsidRPr="007D3F3C">
        <w:rPr>
          <w:rFonts w:ascii="Verdana" w:hAnsi="Verdana"/>
          <w:bCs/>
          <w:sz w:val="16"/>
          <w:szCs w:val="16"/>
          <w:lang w:val="en-US" w:eastAsia="es-CR"/>
        </w:rPr>
        <w:t xml:space="preserve">Protocol for dealing with violence against women; </w:t>
      </w:r>
      <w:r w:rsidRPr="007D3F3C">
        <w:rPr>
          <w:rFonts w:ascii="Verdana" w:hAnsi="Verdana"/>
          <w:sz w:val="16"/>
          <w:szCs w:val="16"/>
          <w:lang w:val="en-US" w:eastAsia="es-CR"/>
        </w:rPr>
        <w:t>organization of communities, through Rural and Urban Development Councils, to establish Crime Prevention Committees in coordination with the Municipal Offices for Women’s Affairs; elaboration of local prevention plans with a gender and multicultural perspective, and organization of training sessions on projects and programs to encourage the participation of women.</w:t>
      </w:r>
    </w:p>
    <w:p w14:paraId="78D23C5E" w14:textId="77777777" w:rsidR="00576E40" w:rsidRPr="007D3F3C" w:rsidRDefault="00576E40" w:rsidP="00551CA7">
      <w:pPr>
        <w:pStyle w:val="Textonotapie"/>
        <w:ind w:firstLine="720"/>
        <w:jc w:val="both"/>
        <w:rPr>
          <w:rFonts w:ascii="Verdana" w:hAnsi="Verdana"/>
          <w:sz w:val="16"/>
          <w:szCs w:val="16"/>
          <w:lang w:val="en-US" w:eastAsia="es-CR"/>
        </w:rPr>
      </w:pPr>
      <w:r w:rsidRPr="007D3F3C">
        <w:rPr>
          <w:rFonts w:ascii="Verdana" w:hAnsi="Verdana"/>
          <w:i/>
          <w:sz w:val="16"/>
          <w:szCs w:val="16"/>
          <w:lang w:val="en-US" w:eastAsia="es-CR"/>
        </w:rPr>
        <w:t xml:space="preserve">The Legislature: </w:t>
      </w:r>
      <w:r w:rsidRPr="007D3F3C">
        <w:rPr>
          <w:rFonts w:ascii="Verdana" w:hAnsi="Verdana"/>
          <w:sz w:val="16"/>
          <w:szCs w:val="16"/>
          <w:lang w:val="en-US" w:eastAsia="es-CR"/>
        </w:rPr>
        <w:t xml:space="preserve">The Commission for Women’s Affairs designs and promotes bills for the protection of “vulnerable populations such as women and girls.” </w:t>
      </w:r>
    </w:p>
  </w:footnote>
  <w:footnote w:id="193">
    <w:p w14:paraId="3462C8B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Cs/>
          <w:sz w:val="16"/>
          <w:szCs w:val="16"/>
          <w:lang w:val="es-CR"/>
        </w:rPr>
        <w:t>See</w:t>
      </w:r>
      <w:r w:rsidRPr="007D3F3C">
        <w:rPr>
          <w:rFonts w:ascii="Verdana" w:hAnsi="Verdana"/>
          <w:i/>
          <w:sz w:val="16"/>
          <w:szCs w:val="16"/>
          <w:lang w:val="es-CR"/>
        </w:rPr>
        <w:t>,</w:t>
      </w:r>
      <w:r w:rsidRPr="007D3F3C">
        <w:rPr>
          <w:rFonts w:ascii="Verdana" w:hAnsi="Verdana"/>
          <w:sz w:val="16"/>
          <w:szCs w:val="16"/>
          <w:lang w:val="es-CR"/>
        </w:rPr>
        <w:t xml:space="preserve"> </w:t>
      </w:r>
      <w:r w:rsidRPr="007D3F3C">
        <w:rPr>
          <w:rFonts w:ascii="Verdana" w:hAnsi="Verdana"/>
          <w:i/>
          <w:sz w:val="16"/>
          <w:szCs w:val="16"/>
          <w:lang w:val="es-CR"/>
        </w:rPr>
        <w:t>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82, footnote 93.</w:t>
      </w:r>
    </w:p>
  </w:footnote>
  <w:footnote w:id="194">
    <w:p w14:paraId="4CBB54A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National Plan for the Prevention and Eradication of Domestic Violence and Violence against Women (PLANOVI) 2004-2014 (evidence file, folios 2542 to 2599).</w:t>
      </w:r>
    </w:p>
  </w:footnote>
  <w:footnote w:id="195">
    <w:p w14:paraId="49AC20C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Cs/>
          <w:sz w:val="16"/>
          <w:szCs w:val="16"/>
          <w:lang w:val="es-CR"/>
        </w:rPr>
        <w:t>See</w:t>
      </w:r>
      <w:r w:rsidRPr="007D3F3C">
        <w:rPr>
          <w:rFonts w:ascii="Verdana" w:hAnsi="Verdana"/>
          <w:i/>
          <w:sz w:val="16"/>
          <w:szCs w:val="16"/>
          <w:lang w:val="es-CR"/>
        </w:rPr>
        <w:t>,</w:t>
      </w:r>
      <w:r w:rsidRPr="007D3F3C">
        <w:rPr>
          <w:rFonts w:ascii="Verdana" w:hAnsi="Verdana"/>
          <w:sz w:val="16"/>
          <w:szCs w:val="16"/>
          <w:lang w:val="es-CR"/>
        </w:rPr>
        <w:t xml:space="preserve"> </w:t>
      </w:r>
      <w:r w:rsidRPr="007D3F3C">
        <w:rPr>
          <w:rFonts w:ascii="Verdana" w:hAnsi="Verdana"/>
          <w:i/>
          <w:sz w:val="16"/>
          <w:szCs w:val="16"/>
          <w:lang w:val="es-CR"/>
        </w:rPr>
        <w:t>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82, footnote 93.</w:t>
      </w:r>
    </w:p>
  </w:footnote>
  <w:footnote w:id="196">
    <w:p w14:paraId="6B733BE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It is worth noting that, although the Inter-American Commission indicated that, in 2005, the State had created the National Commission</w:t>
      </w:r>
      <w:r w:rsidRPr="007D3F3C">
        <w:rPr>
          <w:rFonts w:ascii="Verdana" w:eastAsia="Calibri" w:hAnsi="Verdana" w:cs="Arial"/>
          <w:sz w:val="16"/>
          <w:szCs w:val="16"/>
          <w:lang w:val="en-US" w:eastAsia="en-US"/>
        </w:rPr>
        <w:t xml:space="preserve"> for Addressing Femicide, composed of representatives of the Attorney General’s Office, the Public Prosecution Service and the Ombudsman</w:t>
      </w:r>
      <w:r w:rsidRPr="007D3F3C">
        <w:rPr>
          <w:rFonts w:ascii="Verdana" w:eastAsia="Calibri" w:hAnsi="Verdana"/>
          <w:sz w:val="16"/>
          <w:szCs w:val="16"/>
          <w:lang w:val="en-US" w:eastAsia="en-US"/>
        </w:rPr>
        <w:t xml:space="preserve">, it also indicated that it was only recently, on </w:t>
      </w:r>
      <w:r w:rsidRPr="007D3F3C">
        <w:rPr>
          <w:rFonts w:ascii="Verdana" w:eastAsia="Calibri" w:hAnsi="Verdana" w:cs="Arial"/>
          <w:sz w:val="16"/>
          <w:szCs w:val="16"/>
          <w:lang w:val="en-US" w:eastAsia="en-US"/>
        </w:rPr>
        <w:t xml:space="preserve">March 8, 2006, that </w:t>
      </w:r>
      <w:r w:rsidRPr="007D3F3C">
        <w:rPr>
          <w:rFonts w:ascii="Verdana" w:hAnsi="Verdana"/>
          <w:sz w:val="16"/>
          <w:szCs w:val="16"/>
          <w:lang w:val="en-US"/>
        </w:rPr>
        <w:t>the “Special Commission for Addressing Femicide in Guatemala was officially launched.</w:t>
      </w:r>
      <w:r w:rsidRPr="007D3F3C">
        <w:rPr>
          <w:rFonts w:ascii="Verdana" w:eastAsia="Calibri" w:hAnsi="Verdana" w:cs="Arial"/>
          <w:sz w:val="16"/>
          <w:szCs w:val="16"/>
          <w:lang w:val="en-US" w:eastAsia="en-US"/>
        </w:rPr>
        <w:t xml:space="preserve">” However, in the National Report it presented to the Working Group on the Universal Periodic Review </w:t>
      </w:r>
      <w:r w:rsidRPr="007D3F3C">
        <w:rPr>
          <w:rFonts w:ascii="Verdana" w:hAnsi="Verdana"/>
          <w:sz w:val="16"/>
          <w:szCs w:val="16"/>
          <w:lang w:val="en-US"/>
        </w:rPr>
        <w:t xml:space="preserve">of the UN Human Rights Council on August 7, 2012, Guatemala indicated that this commission had been established by Government Decision No. 46-2012. Available at: </w:t>
      </w:r>
      <w:hyperlink r:id="rId12" w:history="1">
        <w:r w:rsidRPr="007D3F3C">
          <w:rPr>
            <w:rStyle w:val="Hipervnculo"/>
            <w:rFonts w:ascii="Verdana" w:hAnsi="Verdana"/>
            <w:sz w:val="16"/>
            <w:szCs w:val="16"/>
            <w:lang w:val="en-US"/>
          </w:rPr>
          <w:t>https://documents-dds-ny.un.org/doc/UNDOC/GEN/G12/157/60/PDF/G1215760.pdf?OpenElement</w:t>
        </w:r>
      </w:hyperlink>
      <w:r w:rsidRPr="007D3F3C">
        <w:rPr>
          <w:rFonts w:ascii="Verdana" w:hAnsi="Verdana"/>
          <w:sz w:val="16"/>
          <w:szCs w:val="16"/>
          <w:lang w:val="en-US"/>
        </w:rPr>
        <w:t>.</w:t>
      </w:r>
    </w:p>
  </w:footnote>
  <w:footnote w:id="197">
    <w:p w14:paraId="3ECDE82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the United Nations Special Rapporteur on violence against women, its causes and consequences, </w:t>
      </w:r>
      <w:r w:rsidR="00437292" w:rsidRPr="007D3F3C">
        <w:rPr>
          <w:rFonts w:ascii="Verdana" w:hAnsi="Verdana"/>
          <w:sz w:val="16"/>
          <w:szCs w:val="16"/>
          <w:lang w:val="en-US"/>
        </w:rPr>
        <w:t>Yakin Ertürk</w:t>
      </w:r>
      <w:r w:rsidRPr="007D3F3C">
        <w:rPr>
          <w:rFonts w:ascii="Verdana" w:hAnsi="Verdana"/>
          <w:sz w:val="16"/>
          <w:szCs w:val="16"/>
          <w:lang w:val="en-US"/>
        </w:rPr>
        <w:t xml:space="preserve">, Mission to Guatemala, E/CN.4/2005/72/Add.3, February 10, 2005, paras. 49 and 53. Available at: </w:t>
      </w:r>
      <w:hyperlink r:id="rId13" w:history="1">
        <w:r w:rsidRPr="007D3F3C">
          <w:rPr>
            <w:rStyle w:val="Hipervnculo"/>
            <w:rFonts w:ascii="Verdana" w:hAnsi="Verdana"/>
            <w:sz w:val="16"/>
            <w:szCs w:val="16"/>
            <w:lang w:val="en-US"/>
          </w:rPr>
          <w:t>https://documents-dds-ny.un.org/doc/UNDOC/GEN/G05/108/17/PDF/G0510817.pdf?OpenElement</w:t>
        </w:r>
      </w:hyperlink>
      <w:r w:rsidRPr="007D3F3C">
        <w:rPr>
          <w:rFonts w:ascii="Verdana" w:hAnsi="Verdana"/>
          <w:sz w:val="16"/>
          <w:szCs w:val="16"/>
          <w:lang w:val="en-US"/>
        </w:rPr>
        <w:t>.</w:t>
      </w:r>
    </w:p>
  </w:footnote>
  <w:footnote w:id="198">
    <w:p w14:paraId="7C510FD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pacing w:val="-4"/>
          <w:sz w:val="16"/>
          <w:szCs w:val="16"/>
          <w:lang w:val="en-US"/>
        </w:rPr>
        <w:t>Cf.</w:t>
      </w:r>
      <w:r w:rsidRPr="007D3F3C">
        <w:rPr>
          <w:rFonts w:ascii="Verdana" w:hAnsi="Verdana"/>
          <w:sz w:val="16"/>
          <w:szCs w:val="16"/>
          <w:lang w:val="en-US"/>
        </w:rPr>
        <w:t xml:space="preserve"> Report of the United Nations High Commission for Human Rights</w:t>
      </w:r>
      <w:r w:rsidRPr="007D3F3C">
        <w:rPr>
          <w:rFonts w:ascii="Verdana" w:hAnsi="Verdana" w:cs="Calibri"/>
          <w:sz w:val="16"/>
          <w:szCs w:val="16"/>
          <w:lang w:val="en-US"/>
        </w:rPr>
        <w:t xml:space="preserve"> on the situation of human rights</w:t>
      </w:r>
      <w:r w:rsidRPr="007D3F3C">
        <w:rPr>
          <w:rFonts w:ascii="Verdana" w:hAnsi="Verdana"/>
          <w:sz w:val="16"/>
          <w:szCs w:val="16"/>
          <w:lang w:val="en-US"/>
        </w:rPr>
        <w:t xml:space="preserve"> in Guatemala, E/CN.4/2006/10/Add.1, February 1, 2006, para. 22. Available at: </w:t>
      </w:r>
      <w:hyperlink r:id="rId14" w:history="1">
        <w:r w:rsidRPr="007D3F3C">
          <w:rPr>
            <w:rStyle w:val="Hipervnculo"/>
            <w:rFonts w:ascii="Verdana" w:hAnsi="Verdana"/>
            <w:sz w:val="16"/>
            <w:szCs w:val="16"/>
            <w:lang w:val="en-US"/>
          </w:rPr>
          <w:t>https://documents-dds-ny.un.org/doc/UNDOC/GEN/G06/105/38/PDF/G0610538.pdf?OpenElement</w:t>
        </w:r>
      </w:hyperlink>
      <w:r w:rsidRPr="007D3F3C">
        <w:rPr>
          <w:rFonts w:ascii="Verdana" w:hAnsi="Verdana"/>
          <w:sz w:val="16"/>
          <w:szCs w:val="16"/>
          <w:lang w:val="en-US"/>
        </w:rPr>
        <w:t>.</w:t>
      </w:r>
    </w:p>
  </w:footnote>
  <w:footnote w:id="199">
    <w:p w14:paraId="4CD990D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CEDAW Concluding comments: Guatemala, CEDAW/C/GUA/CO/6, June 2, 2006, paras. 17 and 26 (evidence file, folio 1413).</w:t>
      </w:r>
    </w:p>
  </w:footnote>
  <w:footnote w:id="200">
    <w:p w14:paraId="5197152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Press release 20/04, “The IACHR Special Rapporteur evaluates the effectiveness of the right of women in Guatemala to live free from violence and discrimination,</w:t>
      </w:r>
      <w:r w:rsidRPr="007D3F3C">
        <w:rPr>
          <w:rFonts w:ascii="Verdana" w:hAnsi="Verdana"/>
          <w:bCs/>
          <w:sz w:val="16"/>
          <w:szCs w:val="16"/>
          <w:lang w:val="en-US"/>
        </w:rPr>
        <w:t xml:space="preserve">” </w:t>
      </w:r>
      <w:r w:rsidRPr="007D3F3C">
        <w:rPr>
          <w:rFonts w:ascii="Verdana" w:hAnsi="Verdana" w:cs="Tahoma"/>
          <w:sz w:val="16"/>
          <w:szCs w:val="16"/>
          <w:lang w:val="en-US"/>
        </w:rPr>
        <w:t xml:space="preserve">September 18, 2004, </w:t>
      </w:r>
      <w:r w:rsidRPr="007D3F3C">
        <w:rPr>
          <w:rFonts w:ascii="Verdana" w:hAnsi="Verdana"/>
          <w:bCs/>
          <w:sz w:val="16"/>
          <w:szCs w:val="16"/>
          <w:lang w:val="en-US"/>
        </w:rPr>
        <w:t>para. 13. Available at:</w:t>
      </w:r>
      <w:r w:rsidRPr="007D3F3C">
        <w:rPr>
          <w:rFonts w:ascii="Verdana" w:hAnsi="Verdana"/>
          <w:sz w:val="16"/>
          <w:szCs w:val="16"/>
          <w:lang w:val="en-US"/>
        </w:rPr>
        <w:t xml:space="preserve"> </w:t>
      </w:r>
      <w:hyperlink r:id="rId15" w:history="1">
        <w:r w:rsidRPr="007D3F3C">
          <w:rPr>
            <w:rStyle w:val="Hipervnculo"/>
            <w:rFonts w:ascii="Verdana" w:hAnsi="Verdana"/>
            <w:sz w:val="16"/>
            <w:szCs w:val="16"/>
            <w:lang w:val="en-US"/>
          </w:rPr>
          <w:t>http://www.cidh.oas.org/Comunicados/English/2004/20.04.htm</w:t>
        </w:r>
      </w:hyperlink>
      <w:r w:rsidRPr="007D3F3C">
        <w:rPr>
          <w:rFonts w:ascii="Verdana" w:hAnsi="Verdana"/>
          <w:sz w:val="16"/>
          <w:szCs w:val="16"/>
          <w:lang w:val="en-US"/>
        </w:rPr>
        <w:t>.</w:t>
      </w:r>
    </w:p>
  </w:footnote>
  <w:footnote w:id="201">
    <w:p w14:paraId="2C141D3D" w14:textId="77777777" w:rsidR="00576E40" w:rsidRPr="007D3F3C" w:rsidRDefault="00576E40" w:rsidP="00551CA7">
      <w:pPr>
        <w:autoSpaceDE w:val="0"/>
        <w:autoSpaceDN w:val="0"/>
        <w:adjustRightInd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rPr>
        <w:t xml:space="preserve"> </w:t>
      </w:r>
      <w:r w:rsidRPr="007D3F3C">
        <w:rPr>
          <w:rFonts w:ascii="Verdana" w:hAnsi="Verdana"/>
          <w:sz w:val="16"/>
          <w:szCs w:val="16"/>
        </w:rPr>
        <w:tab/>
      </w:r>
      <w:r w:rsidRPr="007D3F3C">
        <w:rPr>
          <w:rFonts w:ascii="Verdana" w:hAnsi="Verdana"/>
          <w:i/>
          <w:sz w:val="16"/>
          <w:szCs w:val="16"/>
        </w:rPr>
        <w:t>Cf.</w:t>
      </w:r>
      <w:r w:rsidRPr="007D3F3C">
        <w:rPr>
          <w:rFonts w:ascii="Verdana" w:hAnsi="Verdana"/>
          <w:sz w:val="16"/>
          <w:szCs w:val="16"/>
        </w:rPr>
        <w:t xml:space="preserve"> The </w:t>
      </w:r>
      <w:r w:rsidRPr="007D3F3C">
        <w:rPr>
          <w:rFonts w:ascii="Verdana" w:hAnsi="Verdana"/>
          <w:sz w:val="16"/>
          <w:szCs w:val="16"/>
        </w:rPr>
        <w:t>Guatemalan Ombudsman, Compendium “</w:t>
      </w:r>
      <w:r w:rsidRPr="007D3F3C">
        <w:rPr>
          <w:rFonts w:ascii="Verdana" w:hAnsi="Verdana"/>
          <w:i/>
          <w:iCs/>
          <w:sz w:val="16"/>
          <w:szCs w:val="16"/>
        </w:rPr>
        <w:t>Muertes Violentas de Mujeres, 2003 a 2005,</w:t>
      </w:r>
      <w:r w:rsidRPr="007D3F3C">
        <w:rPr>
          <w:rFonts w:ascii="Verdana" w:hAnsi="Verdana"/>
          <w:sz w:val="16"/>
          <w:szCs w:val="16"/>
        </w:rPr>
        <w:t xml:space="preserve">” p. 93. </w:t>
      </w:r>
      <w:r w:rsidRPr="007D3F3C">
        <w:rPr>
          <w:rFonts w:ascii="Verdana" w:hAnsi="Verdana"/>
          <w:sz w:val="16"/>
          <w:szCs w:val="16"/>
          <w:lang w:val="en-US"/>
        </w:rPr>
        <w:t>Available at: http://www.acnur.org/t3/uploads/media/COI_1343.pdf?view=1</w:t>
      </w:r>
    </w:p>
  </w:footnote>
  <w:footnote w:id="202">
    <w:p w14:paraId="1AB2885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Amnesty International, </w:t>
      </w:r>
      <w:r w:rsidRPr="007D3F3C">
        <w:rPr>
          <w:rFonts w:ascii="Verdana" w:eastAsia="Calibri" w:hAnsi="Verdana"/>
          <w:sz w:val="16"/>
          <w:szCs w:val="16"/>
          <w:lang w:val="en-US"/>
        </w:rPr>
        <w:t>“Guatemala. No protection no justice: Killings of women in Guatemala,” June 2005 (</w:t>
      </w:r>
      <w:r w:rsidRPr="007D3F3C">
        <w:rPr>
          <w:rFonts w:ascii="Verdana" w:hAnsi="Verdana"/>
          <w:sz w:val="16"/>
          <w:szCs w:val="16"/>
          <w:lang w:val="en-US"/>
        </w:rPr>
        <w:t>evidence file, folio 1365).</w:t>
      </w:r>
    </w:p>
  </w:footnote>
  <w:footnote w:id="203">
    <w:p w14:paraId="4E259A58" w14:textId="77777777" w:rsidR="00576E40" w:rsidRPr="007D3F3C" w:rsidRDefault="00576E40" w:rsidP="00551CA7">
      <w:pPr>
        <w:spacing w:after="0" w:line="240" w:lineRule="auto"/>
        <w:jc w:val="both"/>
        <w:rPr>
          <w:rFonts w:ascii="Verdana" w:eastAsia="Calibri"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eastAsia="Calibri" w:hAnsi="Verdana"/>
          <w:sz w:val="16"/>
          <w:szCs w:val="16"/>
          <w:lang w:val="en-US"/>
        </w:rPr>
        <w:t xml:space="preserve">“Even though the Guatemala Government </w:t>
      </w:r>
      <w:r w:rsidRPr="007D3F3C">
        <w:rPr>
          <w:rFonts w:ascii="Verdana" w:hAnsi="Verdana"/>
          <w:sz w:val="16"/>
          <w:szCs w:val="16"/>
          <w:lang w:val="en-US"/>
        </w:rPr>
        <w:t xml:space="preserve">had launched some initiatives to address violence against women between 2000 and 2005 – including the </w:t>
      </w:r>
      <w:r w:rsidRPr="007D3F3C">
        <w:rPr>
          <w:rFonts w:ascii="Verdana" w:eastAsia="Calibri" w:hAnsi="Verdana"/>
          <w:sz w:val="16"/>
          <w:szCs w:val="16"/>
          <w:lang w:val="en-US"/>
        </w:rPr>
        <w:t xml:space="preserve">Presidential Secretariat for Women (SEPREM) and the </w:t>
      </w:r>
      <w:r w:rsidRPr="007D3F3C">
        <w:rPr>
          <w:rFonts w:ascii="Verdana" w:hAnsi="Verdana"/>
          <w:sz w:val="16"/>
          <w:szCs w:val="16"/>
          <w:lang w:val="en-US" w:eastAsia="es-CR"/>
        </w:rPr>
        <w:t xml:space="preserve">Coordinating Body for the Prevention, Punishment and Eradication of Domestic Violence and Violence against Women </w:t>
      </w:r>
      <w:r w:rsidRPr="007D3F3C">
        <w:rPr>
          <w:rFonts w:ascii="Verdana" w:eastAsia="Calibri" w:hAnsi="Verdana"/>
          <w:sz w:val="16"/>
          <w:szCs w:val="16"/>
          <w:lang w:val="en-US"/>
        </w:rPr>
        <w:t xml:space="preserve">(CONAPREVI) – all of these initiatives </w:t>
      </w:r>
      <w:r w:rsidRPr="007D3F3C">
        <w:rPr>
          <w:rFonts w:ascii="Verdana" w:hAnsi="Verdana"/>
          <w:sz w:val="16"/>
          <w:szCs w:val="16"/>
          <w:lang w:val="en-US"/>
        </w:rPr>
        <w:t xml:space="preserve">were limited or somewhat ineffective, mainly owing to the failure to allocate the funds required to meet their objectives. The lack of funds should not be seen merely as the Guatemalan Government’s lack of resources, but also as a reflection of the absence of political will; if the will had existed, the Government would have made this issue an absolute priority and would have found and allocated adequate funds within the national budget.” </w:t>
      </w:r>
      <w:r w:rsidRPr="007D3F3C">
        <w:rPr>
          <w:rFonts w:ascii="Verdana" w:hAnsi="Verdana"/>
          <w:i/>
          <w:spacing w:val="-4"/>
          <w:sz w:val="16"/>
          <w:szCs w:val="16"/>
          <w:lang w:val="en-US"/>
        </w:rPr>
        <w:t>Cf.</w:t>
      </w:r>
      <w:r w:rsidRPr="007D3F3C">
        <w:rPr>
          <w:rFonts w:ascii="Verdana" w:hAnsi="Verdana"/>
          <w:sz w:val="16"/>
          <w:szCs w:val="16"/>
          <w:lang w:val="en-US"/>
        </w:rPr>
        <w:t xml:space="preserve"> </w:t>
      </w:r>
      <w:r w:rsidRPr="007D3F3C">
        <w:rPr>
          <w:rFonts w:ascii="Verdana" w:hAnsi="Verdana"/>
          <w:spacing w:val="-4"/>
          <w:sz w:val="16"/>
          <w:szCs w:val="16"/>
          <w:lang w:val="en-US"/>
        </w:rPr>
        <w:t xml:space="preserve">Expert opinion of </w:t>
      </w:r>
      <w:r w:rsidRPr="007D3F3C">
        <w:rPr>
          <w:rFonts w:ascii="Verdana" w:hAnsi="Verdana"/>
          <w:sz w:val="16"/>
          <w:szCs w:val="16"/>
          <w:lang w:val="en-US"/>
        </w:rPr>
        <w:t>Karen Musalo</w:t>
      </w:r>
      <w:r w:rsidRPr="007D3F3C">
        <w:rPr>
          <w:rFonts w:ascii="Verdana" w:eastAsia="Calibri" w:hAnsi="Verdana"/>
          <w:spacing w:val="-2"/>
          <w:sz w:val="16"/>
          <w:szCs w:val="16"/>
          <w:lang w:val="en-US"/>
        </w:rPr>
        <w:t xml:space="preserve"> </w:t>
      </w:r>
      <w:r w:rsidRPr="007D3F3C">
        <w:rPr>
          <w:rFonts w:ascii="Verdana" w:hAnsi="Verdana"/>
          <w:spacing w:val="-4"/>
          <w:sz w:val="16"/>
          <w:szCs w:val="16"/>
          <w:lang w:val="en-US"/>
        </w:rPr>
        <w:t>provided by affidavit on April 13, 2015 (evidence file, folio</w:t>
      </w:r>
      <w:r w:rsidRPr="007D3F3C">
        <w:rPr>
          <w:rFonts w:ascii="Verdana" w:hAnsi="Verdana"/>
          <w:spacing w:val="-2"/>
          <w:sz w:val="16"/>
          <w:szCs w:val="16"/>
          <w:lang w:val="en-US"/>
        </w:rPr>
        <w:t xml:space="preserve"> 6658</w:t>
      </w:r>
      <w:r w:rsidRPr="007D3F3C">
        <w:rPr>
          <w:rFonts w:ascii="Verdana" w:hAnsi="Verdana"/>
          <w:spacing w:val="-4"/>
          <w:sz w:val="16"/>
          <w:szCs w:val="16"/>
          <w:lang w:val="en-US"/>
        </w:rPr>
        <w:t>)</w:t>
      </w:r>
      <w:r w:rsidRPr="007D3F3C">
        <w:rPr>
          <w:rFonts w:ascii="Verdana" w:hAnsi="Verdana"/>
          <w:spacing w:val="-2"/>
          <w:sz w:val="16"/>
          <w:szCs w:val="16"/>
          <w:lang w:val="en-US"/>
        </w:rPr>
        <w:t xml:space="preserve">. </w:t>
      </w:r>
    </w:p>
  </w:footnote>
  <w:footnote w:id="204">
    <w:p w14:paraId="139EFDE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spacing w:val="-4"/>
          <w:sz w:val="16"/>
          <w:szCs w:val="16"/>
          <w:lang w:val="en-US"/>
        </w:rPr>
        <w:t>National Report submitted to the Working Group on the Universal Periodic Review of the UN Human Rights Council dated August 7, 2012</w:t>
      </w:r>
      <w:r w:rsidRPr="007D3F3C">
        <w:rPr>
          <w:rFonts w:ascii="Verdana" w:hAnsi="Verdana"/>
          <w:sz w:val="16"/>
          <w:szCs w:val="16"/>
          <w:lang w:val="en-US"/>
        </w:rPr>
        <w:t>, A/HRC/WG.6/14/GTM/1 para. 58.</w:t>
      </w:r>
      <w:r w:rsidRPr="007D3F3C">
        <w:rPr>
          <w:rFonts w:ascii="Verdana" w:hAnsi="Verdana"/>
          <w:spacing w:val="-4"/>
          <w:sz w:val="16"/>
          <w:szCs w:val="16"/>
          <w:lang w:val="en-US"/>
        </w:rPr>
        <w:t xml:space="preserve"> </w:t>
      </w:r>
      <w:r w:rsidRPr="007D3F3C">
        <w:rPr>
          <w:rFonts w:ascii="Verdana" w:hAnsi="Verdana"/>
          <w:sz w:val="16"/>
          <w:szCs w:val="16"/>
          <w:lang w:val="en-US"/>
        </w:rPr>
        <w:t xml:space="preserve">Available at: </w:t>
      </w:r>
      <w:hyperlink r:id="rId16" w:history="1">
        <w:r w:rsidRPr="007D3F3C">
          <w:rPr>
            <w:rStyle w:val="Hipervnculo"/>
            <w:rFonts w:ascii="Verdana" w:hAnsi="Verdana"/>
            <w:sz w:val="16"/>
            <w:szCs w:val="16"/>
            <w:lang w:val="en-US"/>
          </w:rPr>
          <w:t>https://documents-dds-ny.un.org/doc/UNDOC/GEN/G12/157/60/PDF/G1215760.pdf?OpenElement</w:t>
        </w:r>
      </w:hyperlink>
      <w:r w:rsidRPr="007D3F3C">
        <w:rPr>
          <w:rFonts w:ascii="Verdana" w:hAnsi="Verdana"/>
          <w:sz w:val="16"/>
          <w:szCs w:val="16"/>
          <w:lang w:val="en-US"/>
        </w:rPr>
        <w:t>.</w:t>
      </w:r>
    </w:p>
  </w:footnote>
  <w:footnote w:id="205">
    <w:p w14:paraId="557F824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Jorge Velásquez stated during the public hearing: “We advised them of what had happened; we told them that a woman who had been with us had come and told us that Claudina was in danger; we stressed that she was in danger; we begged them to receive the report in order to start the search.” </w:t>
      </w:r>
      <w:r w:rsidRPr="007D3F3C">
        <w:rPr>
          <w:rFonts w:ascii="Verdana" w:hAnsi="Verdana"/>
          <w:i/>
          <w:sz w:val="16"/>
          <w:szCs w:val="16"/>
          <w:lang w:val="en-US"/>
        </w:rPr>
        <w:t xml:space="preserve">Cf. </w:t>
      </w:r>
      <w:r w:rsidRPr="007D3F3C">
        <w:rPr>
          <w:rFonts w:ascii="Verdana" w:hAnsi="Verdana"/>
          <w:sz w:val="16"/>
          <w:szCs w:val="16"/>
          <w:lang w:val="en-US"/>
        </w:rPr>
        <w:t>Statement made before the Inter-American Court by Jorge Rolando Velásquez Durán during the public hearing held on April 21, 2015. See also,</w:t>
      </w:r>
      <w:r w:rsidRPr="007D3F3C">
        <w:rPr>
          <w:rFonts w:ascii="Verdana" w:hAnsi="Verdana"/>
          <w:i/>
          <w:sz w:val="16"/>
          <w:szCs w:val="16"/>
          <w:lang w:val="en-US"/>
        </w:rPr>
        <w:t xml:space="preserve"> </w:t>
      </w:r>
      <w:r w:rsidRPr="007D3F3C">
        <w:rPr>
          <w:rFonts w:ascii="Verdana" w:hAnsi="Verdana"/>
          <w:sz w:val="16"/>
          <w:szCs w:val="16"/>
          <w:lang w:val="en-US"/>
        </w:rPr>
        <w:t>Statement by Jorge Rolando Velásquez Durán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9); Statement by Jorge Rolando Velásquez Durán of January 24, 2006, before the assistant prosecutor of the Public Prosecution Service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3868 to 3869), and Statement by Elsa Claudina Paiz Vidal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16).</w:t>
      </w:r>
    </w:p>
  </w:footnote>
  <w:footnote w:id="206">
    <w:p w14:paraId="17B4AA5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Case of González et al. </w:t>
      </w:r>
      <w:r w:rsidRPr="007D3F3C">
        <w:rPr>
          <w:rFonts w:ascii="Verdana" w:hAnsi="Verdana"/>
          <w:i/>
          <w:sz w:val="16"/>
          <w:szCs w:val="16"/>
          <w:lang w:val="es-CR"/>
        </w:rPr>
        <w:t xml:space="preserve">(“Cotton Field”) v. </w:t>
      </w:r>
      <w:r w:rsidRPr="007D3F3C">
        <w:rPr>
          <w:rFonts w:ascii="Verdana" w:hAnsi="Verdana"/>
          <w:i/>
          <w:sz w:val="16"/>
          <w:szCs w:val="16"/>
          <w:lang w:val="es-CR"/>
        </w:rPr>
        <w:t>Mexico, supra</w:t>
      </w:r>
      <w:r w:rsidRPr="007D3F3C">
        <w:rPr>
          <w:rFonts w:ascii="Verdana" w:hAnsi="Verdana"/>
          <w:sz w:val="16"/>
          <w:szCs w:val="16"/>
          <w:lang w:val="es-CR"/>
        </w:rPr>
        <w:t xml:space="preserve">, para. </w:t>
      </w:r>
      <w:r w:rsidRPr="007D3F3C">
        <w:rPr>
          <w:rFonts w:ascii="Verdana" w:hAnsi="Verdana"/>
          <w:sz w:val="16"/>
          <w:szCs w:val="16"/>
          <w:lang w:val="en-US"/>
        </w:rPr>
        <w:t xml:space="preserve">283, and </w:t>
      </w:r>
      <w:r w:rsidRPr="007D3F3C">
        <w:rPr>
          <w:rFonts w:ascii="Verdana" w:hAnsi="Verdana"/>
          <w:i/>
          <w:sz w:val="16"/>
          <w:szCs w:val="16"/>
          <w:lang w:val="en-US"/>
        </w:rPr>
        <w:t>Case of</w:t>
      </w:r>
      <w:r w:rsidRPr="007D3F3C">
        <w:rPr>
          <w:rFonts w:ascii="Verdana" w:hAnsi="Verdana"/>
          <w:sz w:val="16"/>
          <w:szCs w:val="16"/>
          <w:lang w:val="en-US"/>
        </w:rPr>
        <w:t xml:space="preserve"> </w:t>
      </w:r>
      <w:r w:rsidRPr="007D3F3C">
        <w:rPr>
          <w:rFonts w:ascii="Verdana" w:hAnsi="Verdana"/>
          <w:i/>
          <w:sz w:val="16"/>
          <w:szCs w:val="16"/>
          <w:lang w:val="en-US"/>
        </w:rPr>
        <w:t>Veliz Franco et al. v. Guatemala, supra,</w:t>
      </w:r>
      <w:r w:rsidRPr="007D3F3C">
        <w:rPr>
          <w:rFonts w:ascii="Verdana" w:hAnsi="Verdana"/>
          <w:sz w:val="16"/>
          <w:szCs w:val="16"/>
          <w:lang w:val="en-US"/>
        </w:rPr>
        <w:t xml:space="preserve"> para. 141.</w:t>
      </w:r>
    </w:p>
  </w:footnote>
  <w:footnote w:id="207">
    <w:p w14:paraId="08F7A45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before the Inter-American Court by Jorge Rolando Velásquez Durán during the public hearing held on April 21, 2015; Statement by Jorge Rolando Velásquez Durán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9); Statement by Elsa Claudina Paiz Vidal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16); Statement by Jorge Rolando Velásquez Durán of January 24, 2006, before the assistant prosecutor of the Public Prosecution Service (</w:t>
      </w:r>
      <w:r w:rsidRPr="007D3F3C">
        <w:rPr>
          <w:rFonts w:ascii="Verdana" w:hAnsi="Verdana"/>
          <w:color w:val="000000"/>
          <w:sz w:val="16"/>
          <w:szCs w:val="16"/>
          <w:lang w:val="en-US"/>
        </w:rPr>
        <w:t>evidence file, folio</w:t>
      </w:r>
      <w:r w:rsidRPr="007D3F3C">
        <w:rPr>
          <w:rFonts w:ascii="Verdana" w:hAnsi="Verdana"/>
          <w:sz w:val="16"/>
          <w:szCs w:val="16"/>
          <w:lang w:val="en-US"/>
        </w:rPr>
        <w:t xml:space="preserve"> 3869), and Interview of Elsa Claudina Paiz Vidal, Investigation report dated October 24,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51).</w:t>
      </w:r>
    </w:p>
  </w:footnote>
  <w:footnote w:id="208">
    <w:p w14:paraId="1F67BA0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Statement made before the Inter-American Court by Jorge Rolando Velásquez Durán during the public hearing held on April 21, 2015; </w:t>
      </w:r>
      <w:r w:rsidRPr="007D3F3C">
        <w:rPr>
          <w:rFonts w:ascii="Verdana" w:hAnsi="Verdana" w:cs="Arial"/>
          <w:sz w:val="16"/>
          <w:szCs w:val="16"/>
          <w:lang w:val="en-US"/>
        </w:rPr>
        <w:t xml:space="preserve">Statement by Elsa Claudina Paiz Vidal of September 22, 2005, before the Prosecutor for Crimes against Life and Integrity (evidence file, folio 3811); </w:t>
      </w:r>
      <w:r w:rsidRPr="007D3F3C">
        <w:rPr>
          <w:rFonts w:ascii="Verdana" w:hAnsi="Verdana"/>
          <w:sz w:val="16"/>
          <w:szCs w:val="16"/>
          <w:lang w:val="en-US"/>
        </w:rPr>
        <w:t>Statement by Elsa Claudina Paiz Vidal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16), and Psychiatric assessment of Jorge Rolando Velásquez Durán of October 21, 2009 (</w:t>
      </w:r>
      <w:r w:rsidRPr="007D3F3C">
        <w:rPr>
          <w:rFonts w:ascii="Verdana" w:hAnsi="Verdana"/>
          <w:color w:val="000000"/>
          <w:sz w:val="16"/>
          <w:szCs w:val="16"/>
          <w:lang w:val="en-US"/>
        </w:rPr>
        <w:t>evidence file, folio 198</w:t>
      </w:r>
      <w:r w:rsidRPr="007D3F3C">
        <w:rPr>
          <w:rFonts w:ascii="Verdana" w:hAnsi="Verdana"/>
          <w:sz w:val="16"/>
          <w:szCs w:val="16"/>
          <w:lang w:val="en-US"/>
        </w:rPr>
        <w:t>).</w:t>
      </w:r>
    </w:p>
  </w:footnote>
  <w:footnote w:id="209">
    <w:p w14:paraId="6958690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by Jorge Rolando Velásquez Durán of January 24, 2006,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3871), Psychiatric assessment of Jorge Rolando Velásquez (evidence file, folio 198); Resolution of the Ombudsman of July 20, 2006 (evidence file, folio 124), and the Ombudsman’s Report on verification of violations of the obligation to investigate in the case of Claudina Isabel Velásquez Paiz (evidence file, folio 102).</w:t>
      </w:r>
    </w:p>
  </w:footnote>
  <w:footnote w:id="210">
    <w:p w14:paraId="7FC1D3C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Missing person report of August 13,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 xml:space="preserve">21); Resolution of the Ombudsman of July 20, 2006 (evidence file, folio 124), and Statement of Jorge Rolando Velásquez Durán before the </w:t>
      </w:r>
      <w:r w:rsidRPr="007D3F3C">
        <w:rPr>
          <w:rFonts w:ascii="Verdana" w:eastAsia="Batang" w:hAnsi="Verdana"/>
          <w:sz w:val="16"/>
          <w:szCs w:val="16"/>
          <w:lang w:val="en-US"/>
        </w:rPr>
        <w:t xml:space="preserve">Head Office for the Prosecution of Crimes against Life and Integrity </w:t>
      </w:r>
      <w:r w:rsidRPr="007D3F3C">
        <w:rPr>
          <w:rFonts w:ascii="Verdana" w:hAnsi="Verdana"/>
          <w:sz w:val="16"/>
          <w:szCs w:val="16"/>
          <w:lang w:val="en-US"/>
        </w:rPr>
        <w:t>of January 24, 2006 (evidence file, folio 3872).</w:t>
      </w:r>
    </w:p>
  </w:footnote>
  <w:footnote w:id="211">
    <w:p w14:paraId="49E6A03C" w14:textId="77777777" w:rsidR="00576E40" w:rsidRPr="007D3F3C" w:rsidRDefault="00576E40" w:rsidP="00077D21">
      <w:pPr>
        <w:pStyle w:val="PrrafodeSentencia"/>
        <w:numPr>
          <w:ilvl w:val="0"/>
          <w:numId w:val="0"/>
        </w:numPr>
        <w:rPr>
          <w:sz w:val="16"/>
          <w:szCs w:val="16"/>
          <w:lang w:val="en-US"/>
        </w:rPr>
      </w:pPr>
      <w:r w:rsidRPr="007D3F3C">
        <w:rPr>
          <w:rStyle w:val="Refdenotaalpie"/>
          <w:sz w:val="16"/>
          <w:szCs w:val="16"/>
          <w:lang w:val="en-US"/>
        </w:rPr>
        <w:footnoteRef/>
      </w:r>
      <w:r w:rsidRPr="007D3F3C">
        <w:rPr>
          <w:sz w:val="16"/>
          <w:szCs w:val="16"/>
          <w:lang w:val="en-US"/>
        </w:rPr>
        <w:t xml:space="preserve"> </w:t>
      </w:r>
      <w:r w:rsidRPr="007D3F3C">
        <w:rPr>
          <w:sz w:val="16"/>
          <w:szCs w:val="16"/>
          <w:lang w:val="en-US"/>
        </w:rPr>
        <w:tab/>
        <w:t xml:space="preserve">First, they went to the home of MTG, one of Claudina Velásquez’s girlfriends, because, before losing contact with their daughter, she had indicated that she was with her. MTG then put them in touch with an unknown individual who apparently had lent a cell phone to Claudina Velásquez at around 1.30 a.m., and had then seen her crossing Boulevard San Cristóbal. Subsequently, Mr. Velásquez returned home and contacted several friends asking them to help search hospitals and morgues, while Mrs. Paiz stayed at MTG’s home. After Mrs. Paiz returned home, several friends of the family came </w:t>
      </w:r>
      <w:r w:rsidRPr="007D3F3C">
        <w:rPr>
          <w:sz w:val="16"/>
          <w:szCs w:val="16"/>
          <w:lang w:val="en-US"/>
        </w:rPr>
        <w:t>round and, thereafter, helped them inquire about their daughter’s whereabouts.</w:t>
      </w:r>
    </w:p>
    <w:p w14:paraId="2F9DEBF3" w14:textId="77777777" w:rsidR="00576E40" w:rsidRPr="007D3F3C" w:rsidRDefault="00576E40" w:rsidP="00551CA7">
      <w:pPr>
        <w:pStyle w:val="ColorfulList-Accent11"/>
        <w:spacing w:after="0" w:line="240" w:lineRule="auto"/>
        <w:ind w:left="0"/>
        <w:jc w:val="both"/>
        <w:rPr>
          <w:rFonts w:ascii="Verdana" w:hAnsi="Verdana"/>
          <w:bCs/>
          <w:sz w:val="16"/>
          <w:szCs w:val="16"/>
          <w:lang w:val="en-US"/>
        </w:rPr>
      </w:pPr>
      <w:r w:rsidRPr="007D3F3C">
        <w:rPr>
          <w:rFonts w:ascii="Verdana" w:hAnsi="Verdana"/>
          <w:b/>
          <w:sz w:val="16"/>
          <w:szCs w:val="16"/>
          <w:lang w:val="en-US"/>
        </w:rPr>
        <w:tab/>
      </w:r>
      <w:r w:rsidRPr="007D3F3C">
        <w:rPr>
          <w:rFonts w:ascii="Verdana" w:hAnsi="Verdana"/>
          <w:bCs/>
          <w:sz w:val="16"/>
          <w:szCs w:val="16"/>
          <w:lang w:val="en-US"/>
        </w:rPr>
        <w:t>Following the attempt to file the report at 5 a.m., Claudina Velásquez’s parents drove round the main streets of Ciudad San Cristóbal as far as “Ciudad Peronia.” At approximately 6.30 a.m., they went to the home of one of her main university friends, AUM, to inquire about their daughter’s whereabouts. She undertook to help them look for Claudina by calling everyone with whom Claudina Velásquez had been in contact that night. Subsequently, her parents returned home and remained there, contacting family members and friends to ask them to help in the search and to pray for their daughter to appear.</w:t>
      </w:r>
    </w:p>
    <w:p w14:paraId="58718E0F" w14:textId="77777777" w:rsidR="00576E40" w:rsidRPr="007D3F3C" w:rsidRDefault="00576E40" w:rsidP="00551CA7">
      <w:pPr>
        <w:pStyle w:val="ColorfulList-Accent11"/>
        <w:spacing w:after="0" w:line="240" w:lineRule="auto"/>
        <w:ind w:left="0" w:firstLine="720"/>
        <w:jc w:val="both"/>
        <w:rPr>
          <w:rFonts w:ascii="Verdana" w:hAnsi="Verdana"/>
          <w:bCs/>
          <w:sz w:val="16"/>
          <w:szCs w:val="16"/>
          <w:lang w:val="en-US"/>
        </w:rPr>
      </w:pPr>
      <w:r w:rsidRPr="007D3F3C">
        <w:rPr>
          <w:rFonts w:ascii="Verdana" w:hAnsi="Verdana"/>
          <w:bCs/>
          <w:sz w:val="16"/>
          <w:szCs w:val="16"/>
          <w:lang w:val="en-US"/>
        </w:rPr>
        <w:t>In one of these calls, Jorge Velásquez spoke to his cousin and told him what had happened and that he was waiting to file the missing person report with the Police. He also asked his cousin to do him the favor of inquiring in hospitals and morgues whether they had received anyone with his daughter’s characteristics.</w:t>
      </w:r>
    </w:p>
    <w:p w14:paraId="1763CBEA" w14:textId="77777777" w:rsidR="00576E40" w:rsidRPr="007D3F3C" w:rsidRDefault="00576E40" w:rsidP="00551CA7">
      <w:pPr>
        <w:pStyle w:val="ColorfulList-Accent11"/>
        <w:spacing w:after="0" w:line="240" w:lineRule="auto"/>
        <w:ind w:left="0"/>
        <w:jc w:val="both"/>
        <w:rPr>
          <w:rFonts w:ascii="Verdana" w:hAnsi="Verdana"/>
          <w:bCs/>
          <w:sz w:val="16"/>
          <w:szCs w:val="16"/>
          <w:lang w:val="en-US"/>
        </w:rPr>
      </w:pPr>
      <w:r w:rsidRPr="007D3F3C">
        <w:rPr>
          <w:rFonts w:ascii="Verdana" w:hAnsi="Verdana"/>
          <w:bCs/>
          <w:sz w:val="16"/>
          <w:szCs w:val="16"/>
          <w:lang w:val="en-US"/>
        </w:rPr>
        <w:tab/>
        <w:t xml:space="preserve">In addition, that same day, August 14, between 8.30 and 9 a.m., and in order to exhaust every possibility, Claudina Velásquez’s parents went to Mariscal Zone 11, where they had lived for a long time. Mr. Velásquez went to the home of his daughter’s former boyfriend, while Mrs. Paiz went to the home of a friend of both her daughter’s former boyfriend and the presumed current boyfriend. </w:t>
      </w:r>
    </w:p>
    <w:p w14:paraId="6A928A26" w14:textId="77777777" w:rsidR="00576E40" w:rsidRPr="007D3F3C" w:rsidRDefault="00576E40" w:rsidP="00551CA7">
      <w:pPr>
        <w:pStyle w:val="ColorfulList-Accent11"/>
        <w:spacing w:after="0" w:line="240" w:lineRule="auto"/>
        <w:ind w:left="0" w:firstLine="720"/>
        <w:jc w:val="both"/>
        <w:rPr>
          <w:rFonts w:ascii="Verdana" w:hAnsi="Verdana"/>
          <w:bCs/>
          <w:sz w:val="16"/>
          <w:szCs w:val="16"/>
          <w:lang w:val="en-US"/>
        </w:rPr>
      </w:pPr>
      <w:r w:rsidRPr="007D3F3C">
        <w:rPr>
          <w:rFonts w:ascii="Verdana" w:hAnsi="Verdana"/>
          <w:bCs/>
          <w:sz w:val="16"/>
          <w:szCs w:val="16"/>
          <w:lang w:val="en-US"/>
        </w:rPr>
        <w:t xml:space="preserve">At around 9 a.m., Claudina Velásquez’s parents and their friends met up with Jorge Rolando Velásquez’s cousin, who told them that he had not found anyone of the description of Claudina Velásquez in either the public or the private hospitals. Then, Jorge Rolando Velásquez decided to call his daughter’s presumed boyfriend, who told him that on leaving a party he had had an argument with Claudina Velásquez; that she had got out of his car and that he had tried to follow her, but this was not possible because she took a pedestrian street. Finally, at around 10.30 a.m., they decided to return to the home of MTG. However, before arriving there, they received a call from a friend of Elsa Paiz’s cousin who told them that they were in the Zone 3 morgue and that there was a corpse with their daughter’s characteristics. At around 11 a.m. Claudina Velásquez’s parents arrived at the morgue and identified the corpse. </w:t>
      </w:r>
    </w:p>
    <w:p w14:paraId="12CAD236" w14:textId="77777777" w:rsidR="00576E40" w:rsidRPr="007D3F3C" w:rsidRDefault="00576E40" w:rsidP="00077D21">
      <w:pPr>
        <w:pStyle w:val="PrrafodeSentencia"/>
        <w:numPr>
          <w:ilvl w:val="0"/>
          <w:numId w:val="0"/>
        </w:numPr>
        <w:rPr>
          <w:sz w:val="16"/>
          <w:szCs w:val="16"/>
          <w:lang w:val="en-US"/>
        </w:rPr>
      </w:pPr>
      <w:r w:rsidRPr="007D3F3C">
        <w:rPr>
          <w:i/>
          <w:sz w:val="16"/>
          <w:szCs w:val="16"/>
          <w:lang w:val="en-US"/>
        </w:rPr>
        <w:t>Cf.</w:t>
      </w:r>
      <w:r w:rsidRPr="007D3F3C">
        <w:rPr>
          <w:sz w:val="16"/>
          <w:szCs w:val="16"/>
          <w:lang w:val="en-US"/>
        </w:rPr>
        <w:t xml:space="preserve"> Statement of Elsa Claudina Paiz Vidal before the Prosecutor for Crimes against Life and Integrity of September 22, 2005 (evidence file, folios 16 and 17); Statement of LFOZ before the Prosecutor for Crimes against Life and Integrity of August 22, 2005 (evidence file, folio 6321); Statement of MTG before the Prosecutor for Crimes against Life and Integrity of August 22, 2005 (evidence file, folio 6325); </w:t>
      </w:r>
      <w:r w:rsidRPr="007D3F3C">
        <w:rPr>
          <w:rFonts w:eastAsia="Calibri" w:cs="Arial"/>
          <w:sz w:val="16"/>
          <w:szCs w:val="16"/>
          <w:lang w:val="en-US" w:eastAsia="en-US"/>
        </w:rPr>
        <w:t xml:space="preserve">Interview of </w:t>
      </w:r>
      <w:r w:rsidRPr="007D3F3C">
        <w:rPr>
          <w:sz w:val="16"/>
          <w:szCs w:val="16"/>
          <w:lang w:val="en-US"/>
        </w:rPr>
        <w:t>Elsa Claudina Paiz Vidal,</w:t>
      </w:r>
      <w:r w:rsidRPr="007D3F3C">
        <w:rPr>
          <w:rFonts w:eastAsia="Calibri" w:cs="Arial"/>
          <w:sz w:val="16"/>
          <w:szCs w:val="16"/>
          <w:lang w:val="en-US" w:eastAsia="en-US"/>
        </w:rPr>
        <w:t xml:space="preserve"> Investigation report dated October 24, 2005</w:t>
      </w:r>
      <w:r w:rsidRPr="007D3F3C">
        <w:rPr>
          <w:sz w:val="16"/>
          <w:szCs w:val="16"/>
          <w:lang w:val="en-US"/>
        </w:rPr>
        <w:t xml:space="preserve"> (evidence file, folio 51); Interview of</w:t>
      </w:r>
      <w:r w:rsidRPr="007D3F3C">
        <w:rPr>
          <w:rFonts w:eastAsia="Calibri" w:cs="Arial"/>
          <w:sz w:val="16"/>
          <w:szCs w:val="16"/>
          <w:lang w:val="en-US" w:eastAsia="en-US"/>
        </w:rPr>
        <w:t xml:space="preserve"> </w:t>
      </w:r>
      <w:r w:rsidRPr="007D3F3C">
        <w:rPr>
          <w:sz w:val="16"/>
          <w:szCs w:val="16"/>
          <w:lang w:val="en-US"/>
        </w:rPr>
        <w:t xml:space="preserve">Elsa Claudina Paiz Vidal, </w:t>
      </w:r>
      <w:r w:rsidRPr="007D3F3C">
        <w:rPr>
          <w:rFonts w:eastAsia="Calibri" w:cs="Arial"/>
          <w:sz w:val="16"/>
          <w:szCs w:val="16"/>
          <w:lang w:val="en-US" w:eastAsia="en-US"/>
        </w:rPr>
        <w:t xml:space="preserve">Report of the investigator </w:t>
      </w:r>
      <w:r w:rsidRPr="007D3F3C">
        <w:rPr>
          <w:rFonts w:eastAsia="Calibri"/>
          <w:sz w:val="16"/>
          <w:szCs w:val="16"/>
          <w:lang w:val="en-US" w:eastAsia="en-US"/>
        </w:rPr>
        <w:t>Carolina Elizabeth Ruiz Hernández of August 22, 2005 (evidence file, folios 6304 and 6305);</w:t>
      </w:r>
      <w:r w:rsidRPr="007D3F3C">
        <w:rPr>
          <w:sz w:val="16"/>
          <w:szCs w:val="16"/>
          <w:lang w:val="en-US"/>
        </w:rPr>
        <w:t xml:space="preserve"> Statement of Jorge Rolando Velásquez before the Head Office for the Prosecution of Crimes against Life and Integrity of January 24, 2006 (evidence file, folios 3869 to 3874); Statement of AUM before the Prosecutor for Crimes against Life and Integrity of December 5, 2005 (evidence file, folios 3842 and 3843); Statement of Jorge Rolando Velásquez before the Prosecutor for Crimes against Life and Integrity of September 22, 2005 (evidence file, folios 9 and 10);</w:t>
      </w:r>
      <w:r w:rsidRPr="007D3F3C">
        <w:rPr>
          <w:rFonts w:eastAsia="Calibri" w:cs="Arial"/>
          <w:sz w:val="16"/>
          <w:szCs w:val="16"/>
          <w:lang w:val="en-US" w:eastAsia="en-US"/>
        </w:rPr>
        <w:t xml:space="preserve"> </w:t>
      </w:r>
      <w:r w:rsidRPr="007D3F3C">
        <w:rPr>
          <w:sz w:val="16"/>
          <w:szCs w:val="16"/>
          <w:lang w:val="en-US"/>
        </w:rPr>
        <w:t>Statement of JRLB before the Prosecutor for Crimes against Life and Integrity of December 2, 2005 (evidence file, folio 3839), and Statement of PJSM before the Prosecutor for Crimes against Life and Integrity of August 18, 2005 (evidence file, folio 6316).</w:t>
      </w:r>
    </w:p>
  </w:footnote>
  <w:footnote w:id="212">
    <w:p w14:paraId="09EF258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by Jorge Rolando Velásquez Durán of January 24, 2006,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 xml:space="preserve">3871). </w:t>
      </w:r>
    </w:p>
  </w:footnote>
  <w:footnote w:id="213">
    <w:p w14:paraId="367E8F1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Psychiatric assessment of Jorge Rolando Velásquez Durán of October 21, 2009 (</w:t>
      </w:r>
      <w:r w:rsidRPr="007D3F3C">
        <w:rPr>
          <w:rFonts w:ascii="Verdana" w:hAnsi="Verdana"/>
          <w:color w:val="000000"/>
          <w:sz w:val="16"/>
          <w:szCs w:val="16"/>
          <w:lang w:val="en-US"/>
        </w:rPr>
        <w:t>evidence file, folio 198</w:t>
      </w:r>
      <w:r w:rsidRPr="007D3F3C">
        <w:rPr>
          <w:rFonts w:ascii="Verdana" w:hAnsi="Verdana"/>
          <w:sz w:val="16"/>
          <w:szCs w:val="16"/>
          <w:lang w:val="en-US"/>
        </w:rPr>
        <w:t>).</w:t>
      </w:r>
    </w:p>
  </w:footnote>
  <w:footnote w:id="214">
    <w:p w14:paraId="30436AC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The Ombudsman’s Report on verification of violations of the obligation to investigate in the case of Claudina Isabel Velásquez Paiz (evidence file, folio 102); Statement by Jorge Rolando Velásquez Durán of September 22, 2005,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6); Statement of Elsa Claudina Paiz Vidal before the Prosecutor for Crimes against Life and Integrity of September 22, 2005 (evidence file, folios 13 and 17)</w:t>
      </w:r>
      <w:r w:rsidRPr="007D3F3C">
        <w:rPr>
          <w:rFonts w:ascii="Verdana" w:eastAsia="Calibri" w:hAnsi="Verdana" w:cs="Arial"/>
          <w:sz w:val="16"/>
          <w:szCs w:val="16"/>
          <w:lang w:val="en-US"/>
        </w:rPr>
        <w:t xml:space="preserve">, and </w:t>
      </w:r>
      <w:r w:rsidRPr="007D3F3C">
        <w:rPr>
          <w:rFonts w:ascii="Verdana" w:hAnsi="Verdana"/>
          <w:sz w:val="16"/>
          <w:szCs w:val="16"/>
          <w:lang w:val="en-US"/>
        </w:rPr>
        <w:t>Interview of Elsa Claudina Paiz Vidal, Investigation report dated October 24,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50).</w:t>
      </w:r>
    </w:p>
  </w:footnote>
  <w:footnote w:id="215">
    <w:p w14:paraId="2564017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The Ombudsman’s Report on verification of violations of the obligation to investigate in the case of Claudina Isabel Velásquez Paiz (evidence file, folio 3306).</w:t>
      </w:r>
    </w:p>
  </w:footnote>
  <w:footnote w:id="216">
    <w:p w14:paraId="08996D1B" w14:textId="77777777" w:rsidR="00576E40" w:rsidRPr="007D3F3C" w:rsidRDefault="00576E40" w:rsidP="00551CA7">
      <w:pPr>
        <w:pStyle w:val="NormalWeb"/>
        <w:spacing w:after="0" w:line="240" w:lineRule="auto"/>
        <w:jc w:val="both"/>
        <w:rPr>
          <w:rFonts w:ascii="Verdana" w:hAnsi="Verdana"/>
          <w:sz w:val="16"/>
          <w:szCs w:val="16"/>
        </w:rPr>
      </w:pPr>
      <w:r w:rsidRPr="007D3F3C">
        <w:rPr>
          <w:rStyle w:val="Refdenotaalpie"/>
          <w:rFonts w:ascii="Verdana" w:hAnsi="Verdana"/>
          <w:sz w:val="16"/>
          <w:szCs w:val="16"/>
        </w:rPr>
        <w:footnoteRef/>
      </w:r>
      <w:r w:rsidRPr="007D3F3C">
        <w:rPr>
          <w:rFonts w:ascii="Verdana" w:hAnsi="Verdana"/>
          <w:sz w:val="16"/>
          <w:szCs w:val="16"/>
        </w:rPr>
        <w:t xml:space="preserve"> </w:t>
      </w:r>
      <w:r w:rsidRPr="007D3F3C">
        <w:rPr>
          <w:rFonts w:ascii="Verdana" w:hAnsi="Verdana"/>
          <w:sz w:val="16"/>
          <w:szCs w:val="16"/>
        </w:rPr>
        <w:tab/>
        <w:t xml:space="preserve">Article 8(1) of the American Convention establishes: </w:t>
      </w:r>
      <w:r w:rsidRPr="007D3F3C">
        <w:rPr>
          <w:rFonts w:ascii="Verdana" w:hAnsi="Verdana" w:cs="Tahoma"/>
          <w:sz w:val="16"/>
          <w:szCs w:val="16"/>
        </w:rPr>
        <w:t>“</w:t>
      </w:r>
      <w:r w:rsidRPr="007D3F3C">
        <w:rPr>
          <w:rFonts w:ascii="Verdana" w:hAnsi="Verdana"/>
          <w:spacing w:val="-3"/>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7D3F3C">
        <w:rPr>
          <w:rFonts w:ascii="Verdana" w:hAnsi="Verdana" w:cs="Tahoma"/>
          <w:sz w:val="16"/>
          <w:szCs w:val="16"/>
        </w:rPr>
        <w:t xml:space="preserve">”. </w:t>
      </w:r>
    </w:p>
  </w:footnote>
  <w:footnote w:id="217">
    <w:p w14:paraId="00FB58BD" w14:textId="77777777" w:rsidR="00576E40" w:rsidRPr="007D3F3C" w:rsidRDefault="00576E40" w:rsidP="00551CA7">
      <w:pPr>
        <w:pStyle w:val="NormalWeb"/>
        <w:spacing w:after="0" w:line="240" w:lineRule="auto"/>
        <w:jc w:val="both"/>
        <w:rPr>
          <w:rFonts w:ascii="Verdana" w:hAnsi="Verdana"/>
          <w:sz w:val="16"/>
          <w:szCs w:val="16"/>
        </w:rPr>
      </w:pPr>
      <w:r w:rsidRPr="007D3F3C">
        <w:rPr>
          <w:rStyle w:val="Refdenotaalpie"/>
          <w:rFonts w:ascii="Verdana" w:hAnsi="Verdana"/>
          <w:sz w:val="16"/>
          <w:szCs w:val="16"/>
        </w:rPr>
        <w:footnoteRef/>
      </w:r>
      <w:r w:rsidRPr="007D3F3C">
        <w:rPr>
          <w:rFonts w:ascii="Verdana" w:hAnsi="Verdana"/>
          <w:sz w:val="16"/>
          <w:szCs w:val="16"/>
        </w:rPr>
        <w:t xml:space="preserve"> </w:t>
      </w:r>
      <w:r w:rsidRPr="007D3F3C">
        <w:rPr>
          <w:rFonts w:ascii="Verdana" w:hAnsi="Verdana"/>
          <w:sz w:val="16"/>
          <w:szCs w:val="16"/>
        </w:rPr>
        <w:tab/>
        <w:t xml:space="preserve">Article </w:t>
      </w:r>
      <w:r w:rsidRPr="007D3F3C">
        <w:rPr>
          <w:rFonts w:ascii="Verdana" w:hAnsi="Verdana" w:cs="Tahoma"/>
          <w:bCs/>
          <w:sz w:val="16"/>
          <w:szCs w:val="16"/>
        </w:rPr>
        <w:t xml:space="preserve">25 of the American Convention establishes: </w:t>
      </w:r>
      <w:r w:rsidRPr="007D3F3C">
        <w:rPr>
          <w:rFonts w:ascii="Verdana" w:hAnsi="Verdana" w:cs="Tahoma"/>
          <w:sz w:val="16"/>
          <w:szCs w:val="16"/>
        </w:rPr>
        <w:t xml:space="preserve">“1. </w:t>
      </w:r>
      <w:r w:rsidRPr="007D3F3C">
        <w:rPr>
          <w:rFonts w:ascii="Verdana" w:hAnsi="Verdana"/>
          <w:spacing w:val="-3"/>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7D3F3C">
        <w:rPr>
          <w:rFonts w:ascii="Verdana" w:hAnsi="Verdana" w:cs="Tahoma"/>
          <w:sz w:val="16"/>
          <w:szCs w:val="16"/>
        </w:rPr>
        <w:t xml:space="preserve">. </w:t>
      </w:r>
    </w:p>
    <w:p w14:paraId="4587F96A"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i/>
          <w:spacing w:val="-3"/>
          <w:sz w:val="16"/>
          <w:szCs w:val="16"/>
          <w:lang w:val="en-US"/>
        </w:rPr>
      </w:pPr>
      <w:r w:rsidRPr="007D3F3C">
        <w:rPr>
          <w:rFonts w:ascii="Verdana" w:hAnsi="Verdana" w:cs="Tahoma"/>
          <w:sz w:val="16"/>
          <w:szCs w:val="16"/>
          <w:lang w:val="en-US"/>
        </w:rPr>
        <w:t xml:space="preserve">2. </w:t>
      </w:r>
      <w:r w:rsidRPr="007D3F3C">
        <w:rPr>
          <w:rFonts w:ascii="Verdana" w:hAnsi="Verdana"/>
          <w:spacing w:val="-3"/>
          <w:sz w:val="16"/>
          <w:szCs w:val="16"/>
          <w:lang w:val="en-US"/>
        </w:rPr>
        <w:t>The States Parties undertake: (a) to ensure that any person claiming such remedy shall have his rights determined by the competent authority provided for by the legal system of the state; (b) to develop the possibilities of judicial remedy; and (c) to ensure that the competent authorities shall enforce such remedies when granted.</w:t>
      </w:r>
    </w:p>
  </w:footnote>
  <w:footnote w:id="218">
    <w:p w14:paraId="0C783E8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Article 24 of the American Convention establishes: </w:t>
      </w:r>
      <w:r w:rsidRPr="007D3F3C">
        <w:rPr>
          <w:rFonts w:ascii="Verdana" w:hAnsi="Verdana"/>
          <w:i/>
          <w:sz w:val="16"/>
          <w:szCs w:val="16"/>
          <w:lang w:val="en-US"/>
        </w:rPr>
        <w:t>“</w:t>
      </w:r>
      <w:r w:rsidRPr="007D3F3C">
        <w:rPr>
          <w:rFonts w:ascii="Verdana" w:hAnsi="Verdana"/>
          <w:spacing w:val="-3"/>
          <w:sz w:val="16"/>
          <w:szCs w:val="16"/>
          <w:lang w:val="en-US"/>
        </w:rPr>
        <w:t>All persons are equal before the law.  Consequently, they are entitled, without discrimination, to equal protection of the law.</w:t>
      </w:r>
      <w:r w:rsidRPr="007D3F3C">
        <w:rPr>
          <w:rFonts w:ascii="Verdana" w:hAnsi="Verdana" w:cs="Tahoma"/>
          <w:i/>
          <w:color w:val="000000"/>
          <w:sz w:val="16"/>
          <w:szCs w:val="16"/>
          <w:lang w:val="en-US"/>
        </w:rPr>
        <w:t>”</w:t>
      </w:r>
    </w:p>
  </w:footnote>
  <w:footnote w:id="219">
    <w:p w14:paraId="7C03E9B4" w14:textId="77777777" w:rsidR="00576E40" w:rsidRPr="007D3F3C" w:rsidRDefault="00576E40" w:rsidP="00551CA7">
      <w:pPr>
        <w:tabs>
          <w:tab w:val="left" w:pos="72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Article 11 of the American Convention establishes: </w:t>
      </w:r>
      <w:r w:rsidRPr="007D3F3C">
        <w:rPr>
          <w:rFonts w:ascii="Verdana" w:hAnsi="Verdana"/>
          <w:i/>
          <w:sz w:val="16"/>
          <w:szCs w:val="16"/>
          <w:lang w:val="en-US"/>
        </w:rPr>
        <w:t>“</w:t>
      </w:r>
      <w:r w:rsidRPr="007D3F3C">
        <w:rPr>
          <w:rFonts w:ascii="Verdana" w:hAnsi="Verdana" w:cs="Tahoma"/>
          <w:iCs/>
          <w:color w:val="000000"/>
          <w:sz w:val="16"/>
          <w:szCs w:val="16"/>
          <w:lang w:val="en-US"/>
        </w:rPr>
        <w:t>1.</w:t>
      </w:r>
      <w:r w:rsidRPr="007D3F3C">
        <w:rPr>
          <w:rFonts w:ascii="Verdana" w:hAnsi="Verdana" w:cs="Tahoma"/>
          <w:i/>
          <w:color w:val="000000"/>
          <w:sz w:val="16"/>
          <w:szCs w:val="16"/>
          <w:lang w:val="en-US"/>
        </w:rPr>
        <w:t xml:space="preserve"> </w:t>
      </w:r>
      <w:r w:rsidRPr="007D3F3C">
        <w:rPr>
          <w:rFonts w:ascii="Verdana" w:hAnsi="Verdana"/>
          <w:spacing w:val="-3"/>
          <w:sz w:val="16"/>
          <w:szCs w:val="16"/>
          <w:lang w:val="en-US"/>
        </w:rPr>
        <w:t>Everyone has the right to have his honor respected and his dignity recognized. (2) No one may be the object of arbitrary or abusive interference with his private life, his family, his home, or his correspondence, or of unlawful attacks on his honor or reputation. (3) Everyone has the right to the protection of the law against such interference or attacks.</w:t>
      </w:r>
      <w:r w:rsidRPr="007D3F3C">
        <w:rPr>
          <w:rFonts w:ascii="Verdana" w:hAnsi="Verdana"/>
          <w:sz w:val="16"/>
          <w:szCs w:val="16"/>
          <w:lang w:val="en-US"/>
        </w:rPr>
        <w:t xml:space="preserve">” </w:t>
      </w:r>
    </w:p>
  </w:footnote>
  <w:footnote w:id="220">
    <w:p w14:paraId="3D2999B9" w14:textId="77777777" w:rsidR="00576E40" w:rsidRPr="007D3F3C" w:rsidRDefault="00576E40" w:rsidP="00551CA7">
      <w:pPr>
        <w:tabs>
          <w:tab w:val="left" w:pos="72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cs="Tahoma"/>
          <w:sz w:val="16"/>
          <w:szCs w:val="16"/>
          <w:lang w:val="en-US" w:eastAsia="es-CL"/>
        </w:rPr>
        <w:t> </w:t>
      </w:r>
      <w:r w:rsidRPr="007D3F3C">
        <w:rPr>
          <w:rFonts w:ascii="Verdana" w:hAnsi="Verdana" w:cs="Tahoma"/>
          <w:sz w:val="16"/>
          <w:szCs w:val="16"/>
          <w:lang w:val="en-US" w:eastAsia="es-CL"/>
        </w:rPr>
        <w:tab/>
        <w:t>Article 13 of the American Convention establishes: “</w:t>
      </w:r>
      <w:r w:rsidRPr="007D3F3C">
        <w:rPr>
          <w:rFonts w:ascii="Verdana" w:hAnsi="Verdana"/>
          <w:spacing w:val="-3"/>
          <w:sz w:val="16"/>
          <w:szCs w:val="16"/>
          <w:lang w:val="en-US"/>
        </w:rPr>
        <w:t>1.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14:paraId="7FFB2771"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2.  The exercise of the right provided for in the foregoing paragraph shall not be subject to prior censorship but shall be subject to subsequent imposition of liability, which shall be expressly established by law to the extent necessary to ensure:</w:t>
      </w:r>
    </w:p>
    <w:p w14:paraId="61252710"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(a) respect for the rights or reputations of others; or</w:t>
      </w:r>
    </w:p>
    <w:p w14:paraId="69588B51"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(b) the protection of national security, public order, or public health or morals.</w:t>
      </w:r>
    </w:p>
    <w:p w14:paraId="04E5A1F5"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3.  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w:t>
      </w:r>
    </w:p>
    <w:p w14:paraId="7882ED52"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4.  Notwithstanding the provisions of paragraph 2 above, public entertainments may be subject by law to prior censorship for the sole purpose of regulating access to them for the moral protection of childhood and adolescence.</w:t>
      </w:r>
    </w:p>
    <w:p w14:paraId="51D76144"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5.  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
  </w:footnote>
  <w:footnote w:id="221">
    <w:p w14:paraId="4EBB5EEB"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Article 22 of the American Convention establishes: “</w:t>
      </w:r>
      <w:r w:rsidRPr="007D3F3C">
        <w:rPr>
          <w:rFonts w:ascii="Verdana" w:hAnsi="Verdana"/>
          <w:spacing w:val="-3"/>
          <w:sz w:val="16"/>
          <w:szCs w:val="16"/>
          <w:lang w:val="en-US"/>
        </w:rPr>
        <w:t>1.  Every person lawfully in the territory of a State Party has the right to move about in it, and to reside in it subject to the provisions of the law.</w:t>
      </w:r>
    </w:p>
    <w:p w14:paraId="053548D2"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2.  Every person has the right to leave any country freely, including his own.</w:t>
      </w:r>
    </w:p>
    <w:p w14:paraId="683765E5"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3.  The exercise of the foregoing rights may be restricted only pursuant to a law to the extent necessary in a democratic society to prevent crime or to protect national security, public safety, public order, public morals, public health, or the rights or freedoms of others.</w:t>
      </w:r>
    </w:p>
    <w:p w14:paraId="304CF894"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4.  The exercise of the rights recognized in paragraph 1 may also be restricted by law in designated zones for reasons of public interest.</w:t>
      </w:r>
    </w:p>
    <w:p w14:paraId="13E91F4F"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5.  No one can be expelled from the territory of the state of which he is a national or be deprived of the right to enter it.</w:t>
      </w:r>
    </w:p>
    <w:p w14:paraId="7162CF7F"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6.  An alien lawfully in the territory of a State Party to this Convention may be expelled from it only pursuant to a decision reached in accordance with law.</w:t>
      </w:r>
    </w:p>
    <w:p w14:paraId="76BF2502"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7.  Every person has the right to seek and be granted asylum in a foreign territory, in accordance with the legislation of the state and international conventions, in the event he is being pursued for political offenses or related common crimes.</w:t>
      </w:r>
    </w:p>
    <w:p w14:paraId="1DFBB0E5"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8.  In no case may an alien be deported or returned to a country, regardless of whether or not it is his country of origin, if in that country his right to life or personal freedom is in danger of being violated because of his race, nationality, religion, social status, or political opinions.</w:t>
      </w:r>
    </w:p>
    <w:p w14:paraId="5BBDFBB6"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9.  The collective expulsion of aliens is prohibited.</w:t>
      </w:r>
      <w:r w:rsidRPr="007D3F3C">
        <w:rPr>
          <w:rFonts w:ascii="Verdana" w:hAnsi="Verdana" w:cs="Tahoma"/>
          <w:i/>
          <w:sz w:val="16"/>
          <w:szCs w:val="16"/>
          <w:lang w:val="en-US" w:eastAsia="es-CL"/>
        </w:rPr>
        <w:t>”</w:t>
      </w:r>
    </w:p>
  </w:footnote>
  <w:footnote w:id="222">
    <w:p w14:paraId="226E49A3" w14:textId="77777777" w:rsidR="00576E40" w:rsidRPr="007D3F3C" w:rsidRDefault="00576E40" w:rsidP="00551CA7">
      <w:pPr>
        <w:spacing w:after="0" w:line="240" w:lineRule="auto"/>
        <w:contextualSpacing/>
        <w:jc w:val="both"/>
        <w:rPr>
          <w:rFonts w:ascii="Verdana" w:hAnsi="Verdana"/>
          <w:b/>
          <w:bCs/>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rPr>
        <w:t xml:space="preserve"> </w:t>
      </w:r>
      <w:r w:rsidRPr="007D3F3C">
        <w:rPr>
          <w:rFonts w:ascii="Verdana" w:hAnsi="Verdana"/>
          <w:spacing w:val="-4"/>
          <w:sz w:val="16"/>
          <w:szCs w:val="16"/>
        </w:rPr>
        <w:tab/>
      </w:r>
      <w:r w:rsidRPr="007D3F3C">
        <w:rPr>
          <w:rFonts w:ascii="Verdana" w:hAnsi="Verdana"/>
          <w:i/>
          <w:spacing w:val="-4"/>
          <w:sz w:val="16"/>
          <w:szCs w:val="16"/>
        </w:rPr>
        <w:t>Cf.</w:t>
      </w:r>
      <w:r w:rsidRPr="007D3F3C">
        <w:rPr>
          <w:rFonts w:ascii="Verdana" w:hAnsi="Verdana"/>
          <w:spacing w:val="-4"/>
          <w:sz w:val="16"/>
          <w:szCs w:val="16"/>
        </w:rPr>
        <w:t xml:space="preserve"> </w:t>
      </w:r>
      <w:r w:rsidRPr="007D3F3C">
        <w:rPr>
          <w:rFonts w:ascii="Verdana" w:hAnsi="Verdana"/>
          <w:bCs/>
          <w:i/>
          <w:spacing w:val="-4"/>
          <w:sz w:val="16"/>
          <w:szCs w:val="16"/>
        </w:rPr>
        <w:t xml:space="preserve">Case of Velásquez Rodríguez v. Honduras. </w:t>
      </w:r>
      <w:r w:rsidRPr="007D3F3C">
        <w:rPr>
          <w:rFonts w:ascii="Verdana" w:hAnsi="Verdana"/>
          <w:bCs/>
          <w:i/>
          <w:spacing w:val="-4"/>
          <w:sz w:val="16"/>
          <w:szCs w:val="16"/>
          <w:lang w:val="en-US"/>
        </w:rPr>
        <w:t xml:space="preserve">Preliminary objections. </w:t>
      </w:r>
      <w:r w:rsidRPr="007D3F3C">
        <w:rPr>
          <w:rFonts w:ascii="Verdana" w:hAnsi="Verdana"/>
          <w:sz w:val="16"/>
          <w:szCs w:val="16"/>
          <w:lang w:val="en-US"/>
        </w:rPr>
        <w:t>Judgment of June 26, 1987. Series C No. 1, para. 91,</w:t>
      </w:r>
      <w:r w:rsidRPr="007D3F3C">
        <w:rPr>
          <w:rFonts w:ascii="Verdana" w:hAnsi="Verdana"/>
          <w:spacing w:val="-4"/>
          <w:sz w:val="16"/>
          <w:szCs w:val="16"/>
          <w:lang w:val="en-US"/>
        </w:rPr>
        <w:t xml:space="preserve"> and </w:t>
      </w:r>
      <w:r w:rsidRPr="007D3F3C">
        <w:rPr>
          <w:rStyle w:val="Textoennegrita"/>
          <w:rFonts w:ascii="Verdana" w:hAnsi="Verdana"/>
          <w:b w:val="0"/>
          <w:i/>
          <w:sz w:val="16"/>
          <w:szCs w:val="16"/>
          <w:lang w:val="en-US"/>
        </w:rPr>
        <w:t>Case of Omar Humberto Maldonado Vargas et al. v. Chile. Merits, reparations and costs</w:t>
      </w:r>
      <w:r w:rsidRPr="007D3F3C">
        <w:rPr>
          <w:rStyle w:val="Textoennegrita"/>
          <w:rFonts w:ascii="Verdana" w:hAnsi="Verdana"/>
          <w:b w:val="0"/>
          <w:sz w:val="16"/>
          <w:szCs w:val="16"/>
          <w:lang w:val="en-US"/>
        </w:rPr>
        <w:t>. Judgment of September 2, 2015. Series C No. 300, para. 75.</w:t>
      </w:r>
    </w:p>
  </w:footnote>
  <w:footnote w:id="223">
    <w:p w14:paraId="7C0BC7DB" w14:textId="77777777" w:rsidR="00576E40" w:rsidRPr="007D3F3C" w:rsidRDefault="00576E40" w:rsidP="00551CA7">
      <w:pPr>
        <w:spacing w:after="0" w:line="240" w:lineRule="auto"/>
        <w:contextualSpacing/>
        <w:jc w:val="both"/>
        <w:rPr>
          <w:rFonts w:ascii="Verdana" w:hAnsi="Verdana"/>
          <w:i/>
          <w:spacing w:val="-4"/>
          <w:sz w:val="16"/>
          <w:szCs w:val="16"/>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pacing w:val="-4"/>
          <w:sz w:val="16"/>
          <w:szCs w:val="16"/>
          <w:lang w:val="en-US"/>
        </w:rPr>
        <w:t xml:space="preserve"> </w:t>
      </w:r>
      <w:r w:rsidRPr="007D3F3C">
        <w:rPr>
          <w:rFonts w:ascii="Verdana" w:hAnsi="Verdana"/>
          <w:i/>
          <w:iCs/>
          <w:spacing w:val="-4"/>
          <w:sz w:val="16"/>
          <w:szCs w:val="16"/>
          <w:lang w:val="en-US"/>
        </w:rPr>
        <w:t>Case of Bulacio v. Argentina. Merits, reparations and costs</w:t>
      </w:r>
      <w:r w:rsidRPr="007D3F3C">
        <w:rPr>
          <w:rFonts w:ascii="Verdana" w:hAnsi="Verdana"/>
          <w:spacing w:val="-4"/>
          <w:sz w:val="16"/>
          <w:szCs w:val="16"/>
          <w:lang w:val="en-US"/>
        </w:rPr>
        <w:t xml:space="preserve">. Judgment of September 18, 2003. </w:t>
      </w:r>
      <w:r w:rsidRPr="007D3F3C">
        <w:rPr>
          <w:rFonts w:ascii="Verdana" w:hAnsi="Verdana"/>
          <w:spacing w:val="-4"/>
          <w:sz w:val="16"/>
          <w:szCs w:val="16"/>
        </w:rPr>
        <w:t xml:space="preserve">Series C No. 100, para. 114, and </w:t>
      </w:r>
      <w:r w:rsidRPr="007D3F3C">
        <w:rPr>
          <w:rStyle w:val="Textoennegrita"/>
          <w:rFonts w:ascii="Verdana" w:hAnsi="Verdana"/>
          <w:b w:val="0"/>
          <w:i/>
          <w:sz w:val="16"/>
          <w:szCs w:val="16"/>
        </w:rPr>
        <w:t>Case of Omar Humberto Maldonado Vargas et al. v. Chile</w:t>
      </w:r>
      <w:r w:rsidRPr="007D3F3C">
        <w:rPr>
          <w:rFonts w:ascii="Verdana" w:hAnsi="Verdana"/>
          <w:bCs/>
          <w:i/>
          <w:spacing w:val="-4"/>
          <w:sz w:val="16"/>
          <w:szCs w:val="16"/>
        </w:rPr>
        <w:t xml:space="preserve">, supra, </w:t>
      </w:r>
      <w:r w:rsidRPr="007D3F3C">
        <w:rPr>
          <w:rFonts w:ascii="Verdana" w:hAnsi="Verdana"/>
          <w:bCs/>
          <w:spacing w:val="-4"/>
          <w:sz w:val="16"/>
          <w:szCs w:val="16"/>
        </w:rPr>
        <w:t>para. 75</w:t>
      </w:r>
      <w:r w:rsidRPr="007D3F3C">
        <w:rPr>
          <w:rFonts w:ascii="Verdana" w:hAnsi="Verdana"/>
          <w:bCs/>
          <w:i/>
          <w:spacing w:val="-4"/>
          <w:sz w:val="16"/>
          <w:szCs w:val="16"/>
        </w:rPr>
        <w:t>.</w:t>
      </w:r>
    </w:p>
  </w:footnote>
  <w:footnote w:id="224">
    <w:p w14:paraId="6AFF0DFF" w14:textId="77777777" w:rsidR="00576E40" w:rsidRPr="007D3F3C" w:rsidRDefault="00576E40" w:rsidP="00551CA7">
      <w:pPr>
        <w:pStyle w:val="Textonotapie"/>
        <w:jc w:val="both"/>
        <w:rPr>
          <w:rFonts w:ascii="Verdana" w:hAnsi="Verdana"/>
          <w:spacing w:val="-4"/>
          <w:sz w:val="16"/>
          <w:szCs w:val="16"/>
          <w:lang w:val="es-CR"/>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Cf.</w:t>
      </w:r>
      <w:r w:rsidRPr="007D3F3C">
        <w:rPr>
          <w:rFonts w:ascii="Verdana" w:hAnsi="Verdana"/>
          <w:spacing w:val="-4"/>
          <w:sz w:val="16"/>
          <w:szCs w:val="16"/>
          <w:lang w:val="es-CR"/>
        </w:rPr>
        <w:t xml:space="preserve"> </w:t>
      </w:r>
      <w:r w:rsidRPr="007D3F3C">
        <w:rPr>
          <w:rFonts w:ascii="Verdana" w:hAnsi="Verdana"/>
          <w:i/>
          <w:spacing w:val="-4"/>
          <w:sz w:val="16"/>
          <w:szCs w:val="16"/>
          <w:lang w:val="es-CR"/>
        </w:rPr>
        <w:t xml:space="preserve">Case of Velásquez Rodríguez. </w:t>
      </w:r>
      <w:r w:rsidRPr="007D3F3C">
        <w:rPr>
          <w:rFonts w:ascii="Verdana" w:hAnsi="Verdana"/>
          <w:i/>
          <w:spacing w:val="-4"/>
          <w:sz w:val="16"/>
          <w:szCs w:val="16"/>
          <w:lang w:val="es-CR"/>
        </w:rPr>
        <w:t>Merits,</w:t>
      </w:r>
      <w:r w:rsidRPr="007D3F3C">
        <w:rPr>
          <w:rFonts w:ascii="Verdana" w:hAnsi="Verdana"/>
          <w:spacing w:val="-4"/>
          <w:sz w:val="16"/>
          <w:szCs w:val="16"/>
          <w:lang w:val="es-CR"/>
        </w:rPr>
        <w:t xml:space="preserve"> </w:t>
      </w:r>
      <w:r w:rsidRPr="007D3F3C">
        <w:rPr>
          <w:rFonts w:ascii="Verdana" w:hAnsi="Verdana"/>
          <w:i/>
          <w:spacing w:val="-4"/>
          <w:sz w:val="16"/>
          <w:szCs w:val="16"/>
          <w:lang w:val="es-CR"/>
        </w:rPr>
        <w:t>supra</w:t>
      </w:r>
      <w:r w:rsidRPr="007D3F3C">
        <w:rPr>
          <w:rFonts w:ascii="Verdana" w:hAnsi="Verdana"/>
          <w:spacing w:val="-4"/>
          <w:sz w:val="16"/>
          <w:szCs w:val="16"/>
          <w:lang w:val="es-CR"/>
        </w:rPr>
        <w:t xml:space="preserve">, para. 177, and </w:t>
      </w:r>
      <w:r w:rsidRPr="007D3F3C">
        <w:rPr>
          <w:rStyle w:val="Textoennegrita"/>
          <w:rFonts w:ascii="Verdana" w:hAnsi="Verdana"/>
          <w:b w:val="0"/>
          <w:i/>
          <w:sz w:val="16"/>
          <w:szCs w:val="16"/>
          <w:lang w:val="es-CR"/>
        </w:rPr>
        <w:t>Case of Omar Humberto Maldonado Vargas et al. v. Chile</w:t>
      </w:r>
      <w:r w:rsidRPr="007D3F3C">
        <w:rPr>
          <w:rFonts w:ascii="Verdana" w:hAnsi="Verdana"/>
          <w:bCs/>
          <w:i/>
          <w:spacing w:val="-4"/>
          <w:sz w:val="16"/>
          <w:szCs w:val="16"/>
          <w:lang w:val="es-CR"/>
        </w:rPr>
        <w:t xml:space="preserve">, supra, </w:t>
      </w:r>
      <w:r w:rsidRPr="007D3F3C">
        <w:rPr>
          <w:rFonts w:ascii="Verdana" w:hAnsi="Verdana"/>
          <w:bCs/>
          <w:spacing w:val="-4"/>
          <w:sz w:val="16"/>
          <w:szCs w:val="16"/>
          <w:lang w:val="es-CR"/>
        </w:rPr>
        <w:t>para. 75</w:t>
      </w:r>
      <w:r w:rsidRPr="007D3F3C">
        <w:rPr>
          <w:rFonts w:ascii="Verdana" w:hAnsi="Verdana"/>
          <w:b/>
          <w:bCs/>
          <w:spacing w:val="-4"/>
          <w:sz w:val="16"/>
          <w:szCs w:val="16"/>
          <w:lang w:val="es-CR"/>
        </w:rPr>
        <w:t>.</w:t>
      </w:r>
    </w:p>
  </w:footnote>
  <w:footnote w:id="225">
    <w:p w14:paraId="55C8F023" w14:textId="77777777" w:rsidR="00576E40" w:rsidRPr="007D3F3C" w:rsidRDefault="00576E40" w:rsidP="00551CA7">
      <w:pPr>
        <w:pStyle w:val="Textonotapie"/>
        <w:jc w:val="both"/>
        <w:rPr>
          <w:rFonts w:ascii="Verdana" w:hAnsi="Verdana"/>
          <w:i/>
          <w:spacing w:val="-4"/>
          <w:sz w:val="16"/>
          <w:szCs w:val="16"/>
          <w:lang w:val="es-CR"/>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 xml:space="preserve">Cf. </w:t>
      </w:r>
      <w:r w:rsidRPr="007D3F3C">
        <w:rPr>
          <w:rFonts w:ascii="Verdana" w:hAnsi="Verdana" w:cs="Verdana"/>
          <w:i/>
          <w:iCs/>
          <w:spacing w:val="-4"/>
          <w:sz w:val="16"/>
          <w:szCs w:val="16"/>
          <w:lang w:val="es-CR"/>
        </w:rPr>
        <w:t>Case of Velásquez Rodríguez v. Honduras</w:t>
      </w:r>
      <w:r w:rsidRPr="007D3F3C">
        <w:rPr>
          <w:rFonts w:ascii="Verdana" w:hAnsi="Verdana" w:cs="Verdana"/>
          <w:spacing w:val="-4"/>
          <w:sz w:val="16"/>
          <w:szCs w:val="16"/>
          <w:lang w:val="es-CR"/>
        </w:rPr>
        <w:t xml:space="preserve">. </w:t>
      </w:r>
      <w:r w:rsidRPr="007D3F3C">
        <w:rPr>
          <w:rFonts w:ascii="Verdana" w:hAnsi="Verdana" w:cs="Verdana"/>
          <w:spacing w:val="-4"/>
          <w:sz w:val="16"/>
          <w:szCs w:val="16"/>
          <w:lang w:val="es-CR"/>
        </w:rPr>
        <w:t xml:space="preserve">Merits, </w:t>
      </w:r>
      <w:r w:rsidRPr="007D3F3C">
        <w:rPr>
          <w:rFonts w:ascii="Verdana" w:hAnsi="Verdana" w:cs="Verdana"/>
          <w:i/>
          <w:iCs/>
          <w:spacing w:val="-4"/>
          <w:sz w:val="16"/>
          <w:szCs w:val="16"/>
          <w:lang w:val="es-CR"/>
        </w:rPr>
        <w:t>supra</w:t>
      </w:r>
      <w:r w:rsidRPr="007D3F3C">
        <w:rPr>
          <w:rFonts w:ascii="Verdana" w:hAnsi="Verdana" w:cs="Verdana"/>
          <w:spacing w:val="-4"/>
          <w:sz w:val="16"/>
          <w:szCs w:val="16"/>
          <w:lang w:val="es-CR"/>
        </w:rPr>
        <w:t xml:space="preserve">, para. 177, and </w:t>
      </w:r>
      <w:r w:rsidRPr="007D3F3C">
        <w:rPr>
          <w:rStyle w:val="Textoennegrita"/>
          <w:rFonts w:ascii="Verdana" w:hAnsi="Verdana"/>
          <w:b w:val="0"/>
          <w:i/>
          <w:sz w:val="16"/>
          <w:szCs w:val="16"/>
          <w:lang w:val="es-CR"/>
        </w:rPr>
        <w:t>Case of Omar Humberto Maldonado Vargas et al. v. Chile</w:t>
      </w:r>
      <w:r w:rsidRPr="007D3F3C">
        <w:rPr>
          <w:rFonts w:ascii="Verdana" w:hAnsi="Verdana"/>
          <w:bCs/>
          <w:i/>
          <w:spacing w:val="-4"/>
          <w:sz w:val="16"/>
          <w:szCs w:val="16"/>
          <w:lang w:val="es-CR"/>
        </w:rPr>
        <w:t xml:space="preserve">, supra, </w:t>
      </w:r>
      <w:r w:rsidRPr="007D3F3C">
        <w:rPr>
          <w:rFonts w:ascii="Verdana" w:hAnsi="Verdana"/>
          <w:bCs/>
          <w:spacing w:val="-4"/>
          <w:sz w:val="16"/>
          <w:szCs w:val="16"/>
          <w:lang w:val="es-CR"/>
        </w:rPr>
        <w:t>para. 75.</w:t>
      </w:r>
    </w:p>
  </w:footnote>
  <w:footnote w:id="226">
    <w:p w14:paraId="18B15C56" w14:textId="77777777" w:rsidR="00576E40" w:rsidRPr="007D3F3C" w:rsidRDefault="00576E40" w:rsidP="00551CA7">
      <w:pPr>
        <w:widowControl w:val="0"/>
        <w:tabs>
          <w:tab w:val="left" w:pos="720"/>
        </w:tabs>
        <w:autoSpaceDE w:val="0"/>
        <w:autoSpaceDN w:val="0"/>
        <w:adjustRightInd w:val="0"/>
        <w:spacing w:after="0" w:line="240" w:lineRule="auto"/>
        <w:jc w:val="both"/>
        <w:rPr>
          <w:rFonts w:ascii="Verdana" w:hAnsi="Verdana" w:cs="Verdana"/>
          <w:spacing w:val="-4"/>
          <w:sz w:val="16"/>
          <w:szCs w:val="16"/>
        </w:rPr>
      </w:pPr>
      <w:r w:rsidRPr="007D3F3C">
        <w:rPr>
          <w:rStyle w:val="Refdenotaalpie"/>
          <w:rFonts w:ascii="Verdana" w:hAnsi="Verdana"/>
          <w:spacing w:val="-4"/>
          <w:sz w:val="16"/>
          <w:szCs w:val="16"/>
          <w:lang w:val="en-US"/>
        </w:rPr>
        <w:footnoteRef/>
      </w:r>
      <w:r w:rsidRPr="007D3F3C">
        <w:rPr>
          <w:rFonts w:ascii="Verdana" w:hAnsi="Verdana"/>
          <w:spacing w:val="-4"/>
          <w:sz w:val="16"/>
          <w:szCs w:val="16"/>
        </w:rPr>
        <w:t xml:space="preserve"> </w:t>
      </w:r>
      <w:r w:rsidRPr="007D3F3C">
        <w:rPr>
          <w:rFonts w:ascii="Verdana" w:hAnsi="Verdana"/>
          <w:spacing w:val="-4"/>
          <w:sz w:val="16"/>
          <w:szCs w:val="16"/>
        </w:rPr>
        <w:tab/>
      </w:r>
      <w:r w:rsidRPr="007D3F3C">
        <w:rPr>
          <w:rFonts w:ascii="Verdana" w:hAnsi="Verdana"/>
          <w:i/>
          <w:spacing w:val="-4"/>
          <w:sz w:val="16"/>
          <w:szCs w:val="16"/>
        </w:rPr>
        <w:t xml:space="preserve">Cf. Case of Juan Humberto Sánchez v. Honduras. </w:t>
      </w:r>
      <w:r w:rsidRPr="007D3F3C">
        <w:rPr>
          <w:rFonts w:ascii="Verdana" w:hAnsi="Verdana"/>
          <w:i/>
          <w:spacing w:val="-4"/>
          <w:sz w:val="16"/>
          <w:szCs w:val="16"/>
          <w:lang w:val="en-US"/>
        </w:rPr>
        <w:t xml:space="preserve">Preliminary objection, merits, reparations and costs. </w:t>
      </w:r>
      <w:r w:rsidRPr="007D3F3C">
        <w:rPr>
          <w:rFonts w:ascii="Verdana" w:hAnsi="Verdana"/>
          <w:spacing w:val="-4"/>
          <w:sz w:val="16"/>
          <w:szCs w:val="16"/>
          <w:lang w:val="en-US"/>
        </w:rPr>
        <w:t>Judgment of June 7, 2003. Series C No. 99</w:t>
      </w:r>
      <w:r w:rsidRPr="007D3F3C">
        <w:rPr>
          <w:rFonts w:ascii="Verdana" w:hAnsi="Verdana" w:cs="Verdana"/>
          <w:spacing w:val="-4"/>
          <w:sz w:val="16"/>
          <w:szCs w:val="16"/>
          <w:lang w:val="en-US"/>
        </w:rPr>
        <w:t xml:space="preserve">, para. 127, and </w:t>
      </w:r>
      <w:r w:rsidRPr="007D3F3C">
        <w:rPr>
          <w:rStyle w:val="Textoennegrita"/>
          <w:rFonts w:ascii="Verdana" w:hAnsi="Verdan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b w:val="0"/>
          <w:color w:val="000000"/>
          <w:sz w:val="16"/>
          <w:szCs w:val="16"/>
          <w:shd w:val="clear" w:color="auto" w:fill="FFFFFF"/>
          <w:lang w:val="en-US"/>
        </w:rPr>
        <w:t xml:space="preserve">. Judgment of November 20, 2014. Series C No. 289, para. </w:t>
      </w:r>
      <w:r w:rsidRPr="007D3F3C">
        <w:rPr>
          <w:rStyle w:val="Textoennegrita"/>
          <w:rFonts w:ascii="Verdana" w:hAnsi="Verdana"/>
          <w:b w:val="0"/>
          <w:color w:val="000000"/>
          <w:sz w:val="16"/>
          <w:szCs w:val="16"/>
          <w:shd w:val="clear" w:color="auto" w:fill="FFFFFF"/>
        </w:rPr>
        <w:t>238</w:t>
      </w:r>
      <w:r w:rsidRPr="007D3F3C">
        <w:rPr>
          <w:rFonts w:ascii="Verdana" w:hAnsi="Verdana"/>
          <w:bCs/>
          <w:spacing w:val="-4"/>
          <w:sz w:val="16"/>
          <w:szCs w:val="16"/>
        </w:rPr>
        <w:t>.</w:t>
      </w:r>
    </w:p>
  </w:footnote>
  <w:footnote w:id="227">
    <w:p w14:paraId="67301F1D"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Cf.</w:t>
      </w:r>
      <w:r w:rsidRPr="007D3F3C">
        <w:rPr>
          <w:rFonts w:ascii="Verdana" w:hAnsi="Verdana"/>
          <w:spacing w:val="-4"/>
          <w:sz w:val="16"/>
          <w:szCs w:val="16"/>
          <w:lang w:val="es-CR"/>
        </w:rPr>
        <w:t xml:space="preserve"> </w:t>
      </w:r>
      <w:r w:rsidRPr="007D3F3C">
        <w:rPr>
          <w:rFonts w:ascii="Verdana" w:hAnsi="Verdana"/>
          <w:i/>
          <w:spacing w:val="-4"/>
          <w:sz w:val="16"/>
          <w:szCs w:val="16"/>
          <w:lang w:val="es-CR"/>
        </w:rPr>
        <w:t xml:space="preserve">Case of Velásquez Rodríguez v. Honduras. </w:t>
      </w:r>
      <w:r w:rsidRPr="007D3F3C">
        <w:rPr>
          <w:rFonts w:ascii="Verdana" w:hAnsi="Verdana"/>
          <w:i/>
          <w:spacing w:val="-4"/>
          <w:sz w:val="16"/>
          <w:szCs w:val="16"/>
          <w:lang w:val="es-CR"/>
        </w:rPr>
        <w:t>Merits,</w:t>
      </w:r>
      <w:r w:rsidRPr="007D3F3C">
        <w:rPr>
          <w:rFonts w:ascii="Verdana" w:hAnsi="Verdana"/>
          <w:spacing w:val="-4"/>
          <w:sz w:val="16"/>
          <w:szCs w:val="16"/>
          <w:lang w:val="es-CR"/>
        </w:rPr>
        <w:t xml:space="preserve"> </w:t>
      </w:r>
      <w:r w:rsidRPr="007D3F3C">
        <w:rPr>
          <w:rFonts w:ascii="Verdana" w:hAnsi="Verdana"/>
          <w:i/>
          <w:spacing w:val="-4"/>
          <w:sz w:val="16"/>
          <w:szCs w:val="16"/>
          <w:lang w:val="es-CR"/>
        </w:rPr>
        <w:t>supra</w:t>
      </w:r>
      <w:r w:rsidRPr="007D3F3C">
        <w:rPr>
          <w:rFonts w:ascii="Verdana" w:hAnsi="Verdana"/>
          <w:spacing w:val="-4"/>
          <w:sz w:val="16"/>
          <w:szCs w:val="16"/>
          <w:lang w:val="es-CR"/>
        </w:rPr>
        <w:t xml:space="preserve">, para. </w:t>
      </w:r>
      <w:r w:rsidRPr="007D3F3C">
        <w:rPr>
          <w:rFonts w:ascii="Verdana" w:hAnsi="Verdana"/>
          <w:spacing w:val="-4"/>
          <w:sz w:val="16"/>
          <w:szCs w:val="16"/>
          <w:lang w:val="en-US"/>
        </w:rPr>
        <w:t xml:space="preserve">177,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b w:val="0"/>
          <w:i/>
          <w:color w:val="000000"/>
          <w:sz w:val="16"/>
          <w:szCs w:val="16"/>
          <w:shd w:val="clear" w:color="auto" w:fill="FFFFFF"/>
          <w:lang w:val="en-US"/>
        </w:rPr>
        <w:t>supra</w:t>
      </w:r>
      <w:r w:rsidRPr="007D3F3C">
        <w:rPr>
          <w:rStyle w:val="Textoennegrita"/>
          <w:rFonts w:ascii="Verdana" w:hAnsi="Verdana"/>
          <w:b w:val="0"/>
          <w:color w:val="000000"/>
          <w:sz w:val="16"/>
          <w:szCs w:val="16"/>
          <w:shd w:val="clear" w:color="auto" w:fill="FFFFFF"/>
          <w:lang w:val="en-US"/>
        </w:rPr>
        <w:t>, para. 238</w:t>
      </w:r>
      <w:r w:rsidRPr="007D3F3C">
        <w:rPr>
          <w:rFonts w:ascii="Verdana" w:hAnsi="Verdana"/>
          <w:bCs/>
          <w:spacing w:val="-4"/>
          <w:sz w:val="16"/>
          <w:szCs w:val="16"/>
          <w:lang w:val="en-US"/>
        </w:rPr>
        <w:t>.</w:t>
      </w:r>
    </w:p>
  </w:footnote>
  <w:footnote w:id="228">
    <w:p w14:paraId="3C268D80" w14:textId="77777777" w:rsidR="00576E40" w:rsidRPr="007D3F3C" w:rsidRDefault="00576E40" w:rsidP="00551CA7">
      <w:pPr>
        <w:spacing w:after="0" w:line="240" w:lineRule="auto"/>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pacing w:val="-4"/>
          <w:sz w:val="16"/>
          <w:szCs w:val="16"/>
          <w:lang w:val="en-US"/>
        </w:rPr>
        <w:t xml:space="preserve"> </w:t>
      </w:r>
      <w:r w:rsidRPr="007D3F3C">
        <w:rPr>
          <w:rFonts w:ascii="Verdana" w:hAnsi="Verdana"/>
          <w:bCs/>
          <w:i/>
          <w:spacing w:val="-4"/>
          <w:sz w:val="16"/>
          <w:szCs w:val="16"/>
          <w:lang w:val="en-US"/>
        </w:rPr>
        <w:t xml:space="preserve">Case of the Serrano Cruz Sisters v. El Salvador. </w:t>
      </w:r>
      <w:r w:rsidRPr="007D3F3C">
        <w:rPr>
          <w:rFonts w:ascii="Verdana" w:hAnsi="Verdana"/>
          <w:i/>
          <w:spacing w:val="-4"/>
          <w:sz w:val="16"/>
          <w:szCs w:val="16"/>
          <w:lang w:val="en-US"/>
        </w:rPr>
        <w:t>Merits, reparations and costs.</w:t>
      </w:r>
      <w:r w:rsidRPr="007D3F3C">
        <w:rPr>
          <w:rFonts w:ascii="Verdana" w:hAnsi="Verdana"/>
          <w:spacing w:val="-4"/>
          <w:sz w:val="16"/>
          <w:szCs w:val="16"/>
          <w:lang w:val="en-US"/>
        </w:rPr>
        <w:t xml:space="preserve"> Judgment of March 1, 2005. Series C No. 120, para. 83,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b w:val="0"/>
          <w:i/>
          <w:color w:val="000000"/>
          <w:sz w:val="16"/>
          <w:szCs w:val="16"/>
          <w:shd w:val="clear" w:color="auto" w:fill="FFFFFF"/>
          <w:lang w:val="en-US"/>
        </w:rPr>
        <w:t>supra</w:t>
      </w:r>
      <w:r w:rsidRPr="007D3F3C">
        <w:rPr>
          <w:rStyle w:val="Textoennegrita"/>
          <w:rFonts w:ascii="Verdana" w:hAnsi="Verdana"/>
          <w:b w:val="0"/>
          <w:color w:val="000000"/>
          <w:sz w:val="16"/>
          <w:szCs w:val="16"/>
          <w:shd w:val="clear" w:color="auto" w:fill="FFFFFF"/>
          <w:lang w:val="en-US"/>
        </w:rPr>
        <w:t>, para. 238</w:t>
      </w:r>
      <w:r w:rsidRPr="007D3F3C">
        <w:rPr>
          <w:rFonts w:ascii="Verdana" w:hAnsi="Verdana"/>
          <w:bCs/>
          <w:spacing w:val="-4"/>
          <w:sz w:val="16"/>
          <w:szCs w:val="16"/>
          <w:lang w:val="en-US"/>
        </w:rPr>
        <w:t>.</w:t>
      </w:r>
    </w:p>
  </w:footnote>
  <w:footnote w:id="229">
    <w:p w14:paraId="2E0F4BE8" w14:textId="77777777" w:rsidR="00576E40" w:rsidRPr="007D3F3C" w:rsidRDefault="00576E40" w:rsidP="00551CA7">
      <w:pPr>
        <w:pStyle w:val="Textonotapie"/>
        <w:jc w:val="both"/>
        <w:rPr>
          <w:rFonts w:ascii="Verdana" w:hAnsi="Verdana"/>
          <w:i/>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Style w:val="Textoennegrita"/>
          <w:rFonts w:ascii="Verdana" w:hAnsi="Verdana"/>
          <w:b w:val="0"/>
          <w:i/>
          <w:sz w:val="16"/>
          <w:szCs w:val="16"/>
          <w:lang w:val="en-US"/>
        </w:rPr>
        <w:t>Case of the “Street Children” (Villagrán Morales et al.) v. Guatemala. Merits.</w:t>
      </w:r>
      <w:r w:rsidRPr="007D3F3C">
        <w:rPr>
          <w:rStyle w:val="Textoennegrita"/>
          <w:rFonts w:ascii="Verdana" w:hAnsi="Verdana"/>
          <w:b w:val="0"/>
          <w:sz w:val="16"/>
          <w:szCs w:val="16"/>
          <w:lang w:val="en-US"/>
        </w:rPr>
        <w:t xml:space="preserve"> Judgment of November 19, 1999. Series C No. 63</w:t>
      </w:r>
      <w:r w:rsidRPr="007D3F3C">
        <w:rPr>
          <w:rFonts w:ascii="Verdana" w:hAnsi="Verdana"/>
          <w:sz w:val="16"/>
          <w:szCs w:val="16"/>
          <w:lang w:val="en-US"/>
        </w:rPr>
        <w:t xml:space="preserve">, para. 227, and </w:t>
      </w:r>
      <w:r w:rsidRPr="007D3F3C">
        <w:rPr>
          <w:rFonts w:ascii="Verdana" w:hAnsi="Verdana" w:cs="Microsoft Sans Serif"/>
          <w:i/>
          <w:spacing w:val="-4"/>
          <w:sz w:val="16"/>
          <w:szCs w:val="16"/>
          <w:lang w:val="en-US"/>
        </w:rPr>
        <w:t xml:space="preserve">Case of Veliz Franco et al. v. Guatemala. Preliminary objections, merits, reparations and costs. </w:t>
      </w:r>
      <w:r w:rsidRPr="007D3F3C">
        <w:rPr>
          <w:rFonts w:ascii="Verdana" w:hAnsi="Verdana" w:cs="Microsoft Sans Serif"/>
          <w:spacing w:val="-4"/>
          <w:sz w:val="16"/>
          <w:szCs w:val="16"/>
          <w:lang w:val="en-US"/>
        </w:rPr>
        <w:t>Judgment of May 19, 2014. Series C No. 277, para.</w:t>
      </w:r>
      <w:r w:rsidRPr="007D3F3C">
        <w:rPr>
          <w:rFonts w:ascii="Verdana" w:hAnsi="Verdana"/>
          <w:color w:val="000000"/>
          <w:spacing w:val="-4"/>
          <w:sz w:val="16"/>
          <w:szCs w:val="16"/>
          <w:lang w:val="en-US"/>
        </w:rPr>
        <w:t xml:space="preserve"> </w:t>
      </w:r>
      <w:r w:rsidRPr="007D3F3C">
        <w:rPr>
          <w:rFonts w:ascii="Verdana" w:hAnsi="Verdana"/>
          <w:color w:val="000000"/>
          <w:spacing w:val="-4"/>
          <w:sz w:val="16"/>
          <w:szCs w:val="16"/>
          <w:lang w:val="es-CR"/>
        </w:rPr>
        <w:t>184.</w:t>
      </w:r>
    </w:p>
  </w:footnote>
  <w:footnote w:id="230">
    <w:p w14:paraId="1BDFC60B" w14:textId="77777777" w:rsidR="00576E40" w:rsidRPr="007D3F3C" w:rsidRDefault="00576E40" w:rsidP="00551CA7">
      <w:pPr>
        <w:autoSpaceDE w:val="0"/>
        <w:autoSpaceDN w:val="0"/>
        <w:adjustRightInd w:val="0"/>
        <w:spacing w:after="0" w:line="240" w:lineRule="auto"/>
        <w:jc w:val="both"/>
        <w:rPr>
          <w:rFonts w:ascii="Verdana" w:hAnsi="Verdana"/>
          <w:sz w:val="16"/>
          <w:szCs w:val="16"/>
          <w:lang w:val="en-US" w:eastAsia="es-ES"/>
        </w:rPr>
      </w:pPr>
      <w:r w:rsidRPr="007D3F3C">
        <w:rPr>
          <w:rStyle w:val="Refdenotaalpie"/>
          <w:rFonts w:ascii="Verdana" w:hAnsi="Verdana"/>
          <w:sz w:val="16"/>
          <w:szCs w:val="16"/>
          <w:lang w:val="en-US"/>
        </w:rPr>
        <w:footnoteRef/>
      </w:r>
      <w:r w:rsidRPr="007D3F3C">
        <w:rPr>
          <w:rFonts w:ascii="Verdana" w:hAnsi="Verdana"/>
          <w:sz w:val="16"/>
          <w:szCs w:val="16"/>
        </w:rPr>
        <w:t xml:space="preserve"> </w:t>
      </w:r>
      <w:r w:rsidRPr="007D3F3C">
        <w:rPr>
          <w:rFonts w:ascii="Verdana" w:hAnsi="Verdana"/>
          <w:sz w:val="16"/>
          <w:szCs w:val="16"/>
        </w:rPr>
        <w:tab/>
      </w:r>
      <w:r w:rsidRPr="007D3F3C">
        <w:rPr>
          <w:rFonts w:ascii="Verdana" w:hAnsi="Verdana"/>
          <w:i/>
          <w:sz w:val="16"/>
          <w:szCs w:val="16"/>
        </w:rPr>
        <w:t>Cf.</w:t>
      </w:r>
      <w:r w:rsidRPr="007D3F3C">
        <w:rPr>
          <w:rFonts w:ascii="Verdana" w:hAnsi="Verdana"/>
          <w:sz w:val="16"/>
          <w:szCs w:val="16"/>
        </w:rPr>
        <w:t xml:space="preserve"> </w:t>
      </w:r>
      <w:r w:rsidRPr="007D3F3C">
        <w:rPr>
          <w:rFonts w:ascii="Verdana" w:hAnsi="Verdana"/>
          <w:i/>
          <w:sz w:val="16"/>
          <w:szCs w:val="16"/>
        </w:rPr>
        <w:t>Case of García Prieto et al. v.</w:t>
      </w:r>
      <w:r w:rsidRPr="007D3F3C">
        <w:rPr>
          <w:rStyle w:val="Textoennegrita"/>
          <w:rFonts w:ascii="Verdana" w:hAnsi="Verdana"/>
          <w:b w:val="0"/>
          <w:i/>
          <w:sz w:val="16"/>
          <w:szCs w:val="16"/>
        </w:rPr>
        <w:t xml:space="preserve"> El Salvador. </w:t>
      </w:r>
      <w:r w:rsidRPr="007D3F3C">
        <w:rPr>
          <w:rStyle w:val="Textoennegrita"/>
          <w:rFonts w:ascii="Verdana" w:hAnsi="Verdana"/>
          <w:b w:val="0"/>
          <w:i/>
          <w:sz w:val="16"/>
          <w:szCs w:val="16"/>
          <w:lang w:val="en-US"/>
        </w:rPr>
        <w:t>Preliminary objections, merits, reparations and costs.</w:t>
      </w:r>
      <w:r w:rsidRPr="007D3F3C">
        <w:rPr>
          <w:rStyle w:val="Textoennegrita"/>
          <w:rFonts w:ascii="Verdana" w:hAnsi="Verdana"/>
          <w:b w:val="0"/>
          <w:iCs/>
          <w:sz w:val="16"/>
          <w:szCs w:val="16"/>
          <w:lang w:val="en-US"/>
        </w:rPr>
        <w:t xml:space="preserve"> Judgment of November 20, 2007. Series C No. 168,</w:t>
      </w:r>
      <w:r w:rsidRPr="007D3F3C">
        <w:rPr>
          <w:rFonts w:ascii="Verdana" w:hAnsi="Verdana"/>
          <w:sz w:val="16"/>
          <w:szCs w:val="16"/>
          <w:lang w:val="en-US"/>
        </w:rPr>
        <w:t xml:space="preserve"> para. 104, and </w:t>
      </w:r>
      <w:r w:rsidRPr="007D3F3C">
        <w:rPr>
          <w:rFonts w:ascii="Verdana" w:hAnsi="Verdana"/>
          <w:i/>
          <w:color w:val="000000"/>
          <w:spacing w:val="-4"/>
          <w:sz w:val="16"/>
          <w:szCs w:val="16"/>
          <w:lang w:val="en-US"/>
        </w:rPr>
        <w:t>Case of Veliz Franco et al. v. Guatemala,</w:t>
      </w:r>
      <w:r w:rsidRPr="007D3F3C">
        <w:rPr>
          <w:rFonts w:ascii="Verdana" w:hAnsi="Verdana"/>
          <w:color w:val="000000"/>
          <w:spacing w:val="-4"/>
          <w:sz w:val="16"/>
          <w:szCs w:val="16"/>
          <w:lang w:val="en-US"/>
        </w:rPr>
        <w:t xml:space="preserve"> </w:t>
      </w:r>
      <w:r w:rsidRPr="007D3F3C">
        <w:rPr>
          <w:rFonts w:ascii="Verdana" w:hAnsi="Verdana"/>
          <w:i/>
          <w:spacing w:val="-4"/>
          <w:sz w:val="16"/>
          <w:szCs w:val="16"/>
          <w:lang w:val="en-US"/>
        </w:rPr>
        <w:t xml:space="preserve">supra, </w:t>
      </w:r>
      <w:r w:rsidRPr="007D3F3C">
        <w:rPr>
          <w:rFonts w:ascii="Verdana" w:hAnsi="Verdana"/>
          <w:spacing w:val="-4"/>
          <w:sz w:val="16"/>
          <w:szCs w:val="16"/>
          <w:lang w:val="en-US"/>
        </w:rPr>
        <w:t>para.</w:t>
      </w:r>
      <w:r w:rsidRPr="007D3F3C">
        <w:rPr>
          <w:rFonts w:ascii="Verdana" w:hAnsi="Verdana"/>
          <w:color w:val="000000"/>
          <w:spacing w:val="-4"/>
          <w:sz w:val="16"/>
          <w:szCs w:val="16"/>
          <w:lang w:val="en-US"/>
        </w:rPr>
        <w:t xml:space="preserve"> 184.</w:t>
      </w:r>
    </w:p>
  </w:footnote>
  <w:footnote w:id="231">
    <w:p w14:paraId="72BD67C3" w14:textId="77777777" w:rsidR="00576E40" w:rsidRPr="007D3F3C" w:rsidRDefault="00576E40" w:rsidP="00551CA7">
      <w:pPr>
        <w:pStyle w:val="Textonotapie"/>
        <w:jc w:val="both"/>
        <w:rPr>
          <w:rFonts w:ascii="Verdana" w:hAnsi="Verdana"/>
          <w:bCs/>
          <w:color w:val="000000"/>
          <w:sz w:val="16"/>
          <w:szCs w:val="16"/>
          <w:shd w:val="clear" w:color="auto" w:fill="FFFFFF"/>
          <w:lang w:val="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 Case of Fernández Ortega et al. v.</w:t>
      </w:r>
      <w:r w:rsidRPr="007D3F3C">
        <w:rPr>
          <w:rStyle w:val="Textoennegrita"/>
          <w:rFonts w:ascii="Verdana" w:hAnsi="Verdana"/>
          <w:b w:val="0"/>
          <w:i/>
          <w:sz w:val="16"/>
          <w:szCs w:val="16"/>
          <w:lang w:val="en-US"/>
        </w:rPr>
        <w:t xml:space="preserve"> Mexico. Preliminary objection, merits, reparations and costs.</w:t>
      </w:r>
      <w:r w:rsidRPr="007D3F3C">
        <w:rPr>
          <w:rStyle w:val="Textoennegrita"/>
          <w:rFonts w:ascii="Verdana" w:hAnsi="Verdana"/>
          <w:b w:val="0"/>
          <w:sz w:val="16"/>
          <w:szCs w:val="16"/>
          <w:lang w:val="en-US"/>
        </w:rPr>
        <w:t xml:space="preserve"> Judgment of August 30, 2010 Series C No. 215</w:t>
      </w:r>
      <w:r w:rsidRPr="007D3F3C">
        <w:rPr>
          <w:rFonts w:ascii="Verdana" w:hAnsi="Verdana"/>
          <w:sz w:val="16"/>
          <w:szCs w:val="16"/>
          <w:lang w:val="en-US"/>
        </w:rPr>
        <w:t xml:space="preserve">, para. 193, and </w:t>
      </w:r>
      <w:r w:rsidRPr="007D3F3C">
        <w:rPr>
          <w:rStyle w:val="Textoennegrita"/>
          <w:rFonts w:ascii="Verdana" w:hAnsi="Verdana"/>
          <w:b w:val="0"/>
          <w:i/>
          <w:color w:val="000000"/>
          <w:sz w:val="16"/>
          <w:szCs w:val="16"/>
          <w:shd w:val="clear" w:color="auto" w:fill="FFFFFF"/>
          <w:lang w:val="en-US"/>
        </w:rPr>
        <w:t>Case of Espinoza Gonzáles v. Peru, supra</w:t>
      </w:r>
      <w:r w:rsidRPr="007D3F3C">
        <w:rPr>
          <w:rStyle w:val="Textoennegrita"/>
          <w:rFonts w:ascii="Verdana" w:hAnsi="Verdana"/>
          <w:b w:val="0"/>
          <w:color w:val="000000"/>
          <w:sz w:val="16"/>
          <w:szCs w:val="16"/>
          <w:shd w:val="clear" w:color="auto" w:fill="FFFFFF"/>
          <w:lang w:val="en-US"/>
        </w:rPr>
        <w:t xml:space="preserve">, para. </w:t>
      </w:r>
      <w:r w:rsidRPr="007D3F3C">
        <w:rPr>
          <w:rStyle w:val="Textoennegrita"/>
          <w:rFonts w:ascii="Verdana" w:hAnsi="Verdana"/>
          <w:b w:val="0"/>
          <w:color w:val="000000"/>
          <w:sz w:val="16"/>
          <w:szCs w:val="16"/>
          <w:shd w:val="clear" w:color="auto" w:fill="FFFFFF"/>
          <w:lang w:val="es-CR"/>
        </w:rPr>
        <w:t>241.</w:t>
      </w:r>
    </w:p>
  </w:footnote>
  <w:footnote w:id="232">
    <w:p w14:paraId="6742A6E3" w14:textId="77777777" w:rsidR="00576E40" w:rsidRPr="007D3F3C" w:rsidRDefault="00576E40" w:rsidP="00551CA7">
      <w:pPr>
        <w:pStyle w:val="Textonotapie"/>
        <w:jc w:val="both"/>
        <w:rPr>
          <w:rFonts w:ascii="Verdana" w:hAnsi="Verdana"/>
          <w:bCs/>
          <w:i/>
          <w:color w:val="000000"/>
          <w:sz w:val="16"/>
          <w:szCs w:val="16"/>
          <w:shd w:val="clear" w:color="auto" w:fill="FFFFFF"/>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 xml:space="preserve">Cf. Case of Fernández Ortega et al. v. </w:t>
      </w:r>
      <w:r w:rsidRPr="007D3F3C">
        <w:rPr>
          <w:rFonts w:ascii="Verdana" w:hAnsi="Verdana"/>
          <w:i/>
          <w:sz w:val="16"/>
          <w:szCs w:val="16"/>
          <w:lang w:val="es-CR"/>
        </w:rPr>
        <w:t>Mexico, supra</w:t>
      </w:r>
      <w:r w:rsidRPr="007D3F3C">
        <w:rPr>
          <w:rFonts w:ascii="Verdana" w:hAnsi="Verdana"/>
          <w:sz w:val="16"/>
          <w:szCs w:val="16"/>
          <w:lang w:val="es-CR"/>
        </w:rPr>
        <w:t xml:space="preserve">, para. 193, and </w:t>
      </w:r>
      <w:r w:rsidRPr="007D3F3C">
        <w:rPr>
          <w:rStyle w:val="Textoennegrita"/>
          <w:rFonts w:ascii="Verdana" w:hAnsi="Verdana"/>
          <w:b w:val="0"/>
          <w:i/>
          <w:color w:val="000000"/>
          <w:sz w:val="16"/>
          <w:szCs w:val="16"/>
          <w:shd w:val="clear" w:color="auto" w:fill="FFFFFF"/>
          <w:lang w:val="es-CR"/>
        </w:rPr>
        <w:t>Case of Espinoza Gonzáles v. Peru</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para. 241.</w:t>
      </w:r>
    </w:p>
  </w:footnote>
  <w:footnote w:id="233">
    <w:p w14:paraId="030946D5" w14:textId="77777777" w:rsidR="00576E40" w:rsidRPr="007D3F3C" w:rsidRDefault="00576E40" w:rsidP="00551CA7">
      <w:pPr>
        <w:pStyle w:val="Textonotapie"/>
        <w:jc w:val="both"/>
        <w:rPr>
          <w:rFonts w:ascii="Verdana" w:hAnsi="Verdana"/>
          <w:bCs/>
          <w:color w:val="000000"/>
          <w:sz w:val="16"/>
          <w:szCs w:val="16"/>
          <w:shd w:val="clear" w:color="auto" w:fill="FFFFFF"/>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Fonts w:ascii="Verdana" w:hAnsi="Verdana"/>
          <w:i/>
          <w:sz w:val="16"/>
          <w:szCs w:val="16"/>
          <w:lang w:val="es-CR"/>
        </w:rPr>
        <w:t xml:space="preserve">Case of the Miguel Castro </w:t>
      </w:r>
      <w:r w:rsidRPr="007D3F3C">
        <w:rPr>
          <w:rFonts w:ascii="Verdana" w:hAnsi="Verdana"/>
          <w:i/>
          <w:sz w:val="16"/>
          <w:szCs w:val="16"/>
          <w:lang w:val="es-CR"/>
        </w:rPr>
        <w:t>Castro Prison, supra</w:t>
      </w:r>
      <w:r w:rsidRPr="007D3F3C">
        <w:rPr>
          <w:rFonts w:ascii="Verdana" w:hAnsi="Verdana"/>
          <w:sz w:val="16"/>
          <w:szCs w:val="16"/>
          <w:lang w:val="es-CR"/>
        </w:rPr>
        <w:t xml:space="preserve">, para. 344, and </w:t>
      </w:r>
      <w:r w:rsidRPr="007D3F3C">
        <w:rPr>
          <w:rStyle w:val="Textoennegrita"/>
          <w:rFonts w:ascii="Verdana" w:hAnsi="Verdana"/>
          <w:b w:val="0"/>
          <w:i/>
          <w:color w:val="000000"/>
          <w:sz w:val="16"/>
          <w:szCs w:val="16"/>
          <w:shd w:val="clear" w:color="auto" w:fill="FFFFFF"/>
          <w:lang w:val="es-CR"/>
        </w:rPr>
        <w:t>Case of Espinoza Gonzáles v. Peru</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xml:space="preserve">, para. </w:t>
      </w:r>
      <w:r w:rsidRPr="007D3F3C">
        <w:rPr>
          <w:rStyle w:val="Textoennegrita"/>
          <w:rFonts w:ascii="Verdana" w:hAnsi="Verdana"/>
          <w:b w:val="0"/>
          <w:color w:val="000000"/>
          <w:sz w:val="16"/>
          <w:szCs w:val="16"/>
          <w:shd w:val="clear" w:color="auto" w:fill="FFFFFF"/>
          <w:lang w:val="en-US"/>
        </w:rPr>
        <w:t>241.</w:t>
      </w:r>
    </w:p>
  </w:footnote>
  <w:footnote w:id="234">
    <w:p w14:paraId="15EF103B" w14:textId="77777777" w:rsidR="00576E40" w:rsidRPr="007D3F3C" w:rsidRDefault="00576E40" w:rsidP="00551CA7">
      <w:pPr>
        <w:pStyle w:val="Textonotapie"/>
        <w:jc w:val="both"/>
        <w:rPr>
          <w:rFonts w:ascii="Verdana" w:hAnsi="Verdana"/>
          <w:bCs/>
          <w:color w:val="000000"/>
          <w:sz w:val="16"/>
          <w:szCs w:val="16"/>
          <w:shd w:val="clear" w:color="auto" w:fill="FFFFFF"/>
          <w:lang w:val="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 Case of the Miguel Castro Castro Prison, supra</w:t>
      </w:r>
      <w:r w:rsidRPr="007D3F3C">
        <w:rPr>
          <w:rFonts w:ascii="Verdana" w:hAnsi="Verdana"/>
          <w:sz w:val="16"/>
          <w:szCs w:val="16"/>
          <w:lang w:val="en-US"/>
        </w:rPr>
        <w:t xml:space="preserve">, para. </w:t>
      </w:r>
      <w:r w:rsidRPr="007D3F3C">
        <w:rPr>
          <w:rFonts w:ascii="Verdana" w:hAnsi="Verdana"/>
          <w:sz w:val="16"/>
          <w:szCs w:val="16"/>
          <w:lang w:val="es-CR"/>
        </w:rPr>
        <w:t xml:space="preserve">378, and </w:t>
      </w:r>
      <w:r w:rsidRPr="007D3F3C">
        <w:rPr>
          <w:rStyle w:val="Textoennegrita"/>
          <w:rFonts w:ascii="Verdana" w:hAnsi="Verdana"/>
          <w:b w:val="0"/>
          <w:i/>
          <w:color w:val="000000"/>
          <w:sz w:val="16"/>
          <w:szCs w:val="16"/>
          <w:shd w:val="clear" w:color="auto" w:fill="FFFFFF"/>
          <w:lang w:val="es-CR"/>
        </w:rPr>
        <w:t xml:space="preserve">Case of Espinoza Gonzáles v. </w:t>
      </w:r>
      <w:r w:rsidRPr="007D3F3C">
        <w:rPr>
          <w:rStyle w:val="Textoennegrita"/>
          <w:rFonts w:ascii="Verdana" w:hAnsi="Verdana"/>
          <w:b w:val="0"/>
          <w:i/>
          <w:color w:val="000000"/>
          <w:sz w:val="16"/>
          <w:szCs w:val="16"/>
          <w:shd w:val="clear" w:color="auto" w:fill="FFFFFF"/>
          <w:lang w:val="es-CR"/>
        </w:rPr>
        <w:t>Peru</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para. 241</w:t>
      </w:r>
      <w:r w:rsidRPr="007D3F3C">
        <w:rPr>
          <w:rFonts w:ascii="Verdana" w:hAnsi="Verdana"/>
          <w:sz w:val="16"/>
          <w:szCs w:val="16"/>
          <w:lang w:val="es-CR"/>
        </w:rPr>
        <w:t xml:space="preserve">. </w:t>
      </w:r>
    </w:p>
  </w:footnote>
  <w:footnote w:id="235">
    <w:p w14:paraId="0F4E596B" w14:textId="77777777" w:rsidR="00576E40" w:rsidRPr="007D3F3C" w:rsidRDefault="00576E40" w:rsidP="00551CA7">
      <w:pPr>
        <w:pStyle w:val="Textonotapie"/>
        <w:jc w:val="both"/>
        <w:rPr>
          <w:rFonts w:ascii="Verdana" w:hAnsi="Verdana"/>
          <w:bCs/>
          <w:color w:val="000000"/>
          <w:sz w:val="16"/>
          <w:szCs w:val="16"/>
          <w:shd w:val="clear" w:color="auto" w:fill="FFFFFF"/>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 xml:space="preserve">Cf. Case of Fernández Ortega et al. v. </w:t>
      </w:r>
      <w:r w:rsidRPr="007D3F3C">
        <w:rPr>
          <w:rFonts w:ascii="Verdana" w:hAnsi="Verdana"/>
          <w:i/>
          <w:sz w:val="16"/>
          <w:szCs w:val="16"/>
          <w:lang w:val="es-CR"/>
        </w:rPr>
        <w:t xml:space="preserve">Mexico, supra, </w:t>
      </w:r>
      <w:r w:rsidRPr="007D3F3C">
        <w:rPr>
          <w:rFonts w:ascii="Verdana" w:hAnsi="Verdana"/>
          <w:sz w:val="16"/>
          <w:szCs w:val="16"/>
          <w:lang w:val="es-CR"/>
        </w:rPr>
        <w:t xml:space="preserve">para. 193, and </w:t>
      </w:r>
      <w:r w:rsidRPr="007D3F3C">
        <w:rPr>
          <w:rStyle w:val="Textoennegrita"/>
          <w:rFonts w:ascii="Verdana" w:hAnsi="Verdana"/>
          <w:b w:val="0"/>
          <w:i/>
          <w:color w:val="000000"/>
          <w:sz w:val="16"/>
          <w:szCs w:val="16"/>
          <w:shd w:val="clear" w:color="auto" w:fill="FFFFFF"/>
          <w:lang w:val="es-CR"/>
        </w:rPr>
        <w:t>Case of Espinoza Gonzáles v. Peru</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para. 241</w:t>
      </w:r>
      <w:r w:rsidRPr="007D3F3C">
        <w:rPr>
          <w:rFonts w:ascii="Verdana" w:hAnsi="Verdana"/>
          <w:color w:val="000000"/>
          <w:spacing w:val="-4"/>
          <w:sz w:val="16"/>
          <w:szCs w:val="16"/>
          <w:lang w:val="es-CR"/>
        </w:rPr>
        <w:t>.</w:t>
      </w:r>
    </w:p>
  </w:footnote>
  <w:footnote w:id="236">
    <w:p w14:paraId="4BC907E8" w14:textId="77777777" w:rsidR="00576E40" w:rsidRPr="007D3F3C" w:rsidRDefault="00576E40" w:rsidP="00551CA7">
      <w:pPr>
        <w:pStyle w:val="Textonotapie"/>
        <w:jc w:val="both"/>
        <w:rPr>
          <w:rFonts w:ascii="Verdana" w:hAnsi="Verdana"/>
          <w:bCs/>
          <w:color w:val="000000"/>
          <w:sz w:val="16"/>
          <w:szCs w:val="16"/>
          <w:shd w:val="clear" w:color="auto" w:fill="FFFFFF"/>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Fonts w:ascii="Verdana" w:hAnsi="Verdana"/>
          <w:i/>
          <w:sz w:val="16"/>
          <w:szCs w:val="16"/>
          <w:lang w:val="es-CR"/>
        </w:rPr>
        <w:t xml:space="preserve">Case of González et al. (“Cotton Field”), supra, </w:t>
      </w:r>
      <w:r w:rsidRPr="007D3F3C">
        <w:rPr>
          <w:rFonts w:ascii="Verdana" w:hAnsi="Verdana"/>
          <w:sz w:val="16"/>
          <w:szCs w:val="16"/>
          <w:lang w:val="es-CR"/>
        </w:rPr>
        <w:t xml:space="preserve">para. 293, and </w:t>
      </w:r>
      <w:r w:rsidRPr="007D3F3C">
        <w:rPr>
          <w:rStyle w:val="Textoennegrita"/>
          <w:rFonts w:ascii="Verdana" w:hAnsi="Verdana"/>
          <w:b w:val="0"/>
          <w:i/>
          <w:color w:val="000000"/>
          <w:sz w:val="16"/>
          <w:szCs w:val="16"/>
          <w:shd w:val="clear" w:color="auto" w:fill="FFFFFF"/>
          <w:lang w:val="es-CR"/>
        </w:rPr>
        <w:t xml:space="preserve">Case of Espinoza Gonzáles v. </w:t>
      </w:r>
      <w:r w:rsidRPr="007D3F3C">
        <w:rPr>
          <w:rStyle w:val="Textoennegrita"/>
          <w:rFonts w:ascii="Verdana" w:hAnsi="Verdana"/>
          <w:b w:val="0"/>
          <w:i/>
          <w:color w:val="000000"/>
          <w:sz w:val="16"/>
          <w:szCs w:val="16"/>
          <w:shd w:val="clear" w:color="auto" w:fill="FFFFFF"/>
          <w:lang w:val="es-CR"/>
        </w:rPr>
        <w:t>Peru</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i/>
          <w:color w:val="000000"/>
          <w:sz w:val="16"/>
          <w:szCs w:val="16"/>
          <w:shd w:val="clear" w:color="auto" w:fill="FFFFFF"/>
          <w:lang w:val="es-CR"/>
        </w:rPr>
        <w:t>supra</w:t>
      </w:r>
      <w:r w:rsidRPr="007D3F3C">
        <w:rPr>
          <w:rStyle w:val="Textoennegrita"/>
          <w:rFonts w:ascii="Verdana" w:hAnsi="Verdana"/>
          <w:b w:val="0"/>
          <w:color w:val="000000"/>
          <w:sz w:val="16"/>
          <w:szCs w:val="16"/>
          <w:shd w:val="clear" w:color="auto" w:fill="FFFFFF"/>
          <w:lang w:val="es-CR"/>
        </w:rPr>
        <w:t>, para. 242</w:t>
      </w:r>
      <w:r w:rsidRPr="007D3F3C">
        <w:rPr>
          <w:rFonts w:ascii="Verdana" w:hAnsi="Verdana"/>
          <w:sz w:val="16"/>
          <w:szCs w:val="16"/>
          <w:lang w:val="es-CR"/>
        </w:rPr>
        <w:t xml:space="preserve">. </w:t>
      </w:r>
    </w:p>
  </w:footnote>
  <w:footnote w:id="237">
    <w:p w14:paraId="7A41254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Fonts w:ascii="Verdana" w:hAnsi="Verdana" w:cs="Microsoft Sans Serif"/>
          <w:i/>
          <w:spacing w:val="-4"/>
          <w:sz w:val="16"/>
          <w:szCs w:val="16"/>
          <w:lang w:val="es-CR"/>
        </w:rPr>
        <w:t>Case of Veliz Franco et al. v. Guatemala, supra</w:t>
      </w:r>
      <w:r w:rsidRPr="007D3F3C">
        <w:rPr>
          <w:rFonts w:ascii="Verdana" w:hAnsi="Verdana" w:cs="Microsoft Sans Serif"/>
          <w:spacing w:val="-4"/>
          <w:sz w:val="16"/>
          <w:szCs w:val="16"/>
          <w:lang w:val="es-CR"/>
        </w:rPr>
        <w:t>, para.</w:t>
      </w:r>
      <w:r w:rsidRPr="007D3F3C">
        <w:rPr>
          <w:rFonts w:ascii="Verdana" w:hAnsi="Verdana"/>
          <w:color w:val="000000"/>
          <w:spacing w:val="-4"/>
          <w:sz w:val="16"/>
          <w:szCs w:val="16"/>
          <w:lang w:val="es-CR"/>
        </w:rPr>
        <w:t xml:space="preserve"> </w:t>
      </w:r>
      <w:r w:rsidRPr="007D3F3C">
        <w:rPr>
          <w:rFonts w:ascii="Verdana" w:hAnsi="Verdana"/>
          <w:color w:val="000000"/>
          <w:spacing w:val="-4"/>
          <w:sz w:val="16"/>
          <w:szCs w:val="16"/>
          <w:lang w:val="en-US"/>
        </w:rPr>
        <w:t>187.</w:t>
      </w:r>
    </w:p>
  </w:footnote>
  <w:footnote w:id="238">
    <w:p w14:paraId="3040C28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i/>
          <w:sz w:val="16"/>
          <w:szCs w:val="16"/>
          <w:lang w:val="en-US"/>
        </w:rPr>
        <w:t xml:space="preserve">Case of González et al. (“Cotton Field”), </w:t>
      </w:r>
      <w:r w:rsidRPr="007D3F3C">
        <w:rPr>
          <w:rFonts w:ascii="Verdana" w:hAnsi="Verdana"/>
          <w:sz w:val="16"/>
          <w:szCs w:val="16"/>
          <w:lang w:val="en-US"/>
        </w:rPr>
        <w:t xml:space="preserve">para. 455,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b w:val="0"/>
          <w:i/>
          <w:color w:val="000000"/>
          <w:sz w:val="16"/>
          <w:szCs w:val="16"/>
          <w:shd w:val="clear" w:color="auto" w:fill="FFFFFF"/>
          <w:lang w:val="en-US"/>
        </w:rPr>
        <w:t>supra</w:t>
      </w:r>
      <w:r w:rsidRPr="007D3F3C">
        <w:rPr>
          <w:rStyle w:val="Textoennegrita"/>
          <w:rFonts w:ascii="Verdana" w:hAnsi="Verdana"/>
          <w:b w:val="0"/>
          <w:color w:val="000000"/>
          <w:sz w:val="16"/>
          <w:szCs w:val="16"/>
          <w:shd w:val="clear" w:color="auto" w:fill="FFFFFF"/>
          <w:lang w:val="en-US"/>
        </w:rPr>
        <w:t>, para. 242</w:t>
      </w:r>
      <w:r w:rsidRPr="007D3F3C">
        <w:rPr>
          <w:rFonts w:ascii="Verdana" w:hAnsi="Verdana"/>
          <w:color w:val="000000"/>
          <w:spacing w:val="-4"/>
          <w:sz w:val="16"/>
          <w:szCs w:val="16"/>
          <w:lang w:val="en-US"/>
        </w:rPr>
        <w:t>.</w:t>
      </w:r>
      <w:r w:rsidRPr="007D3F3C">
        <w:rPr>
          <w:rFonts w:ascii="Verdana" w:hAnsi="Verdana"/>
          <w:sz w:val="16"/>
          <w:szCs w:val="16"/>
          <w:lang w:val="en-US"/>
        </w:rPr>
        <w:t xml:space="preserve"> </w:t>
      </w:r>
    </w:p>
  </w:footnote>
  <w:footnote w:id="239">
    <w:p w14:paraId="3F73A0DD" w14:textId="77777777" w:rsidR="00576E40" w:rsidRPr="007D3F3C" w:rsidRDefault="00576E40" w:rsidP="00551CA7">
      <w:pPr>
        <w:pStyle w:val="Textonotapie"/>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cs="Microsoft Sans Serif"/>
          <w:i/>
          <w:spacing w:val="-4"/>
          <w:sz w:val="16"/>
          <w:szCs w:val="16"/>
          <w:lang w:val="en-US"/>
        </w:rPr>
        <w:t>Case of Veliz Franco et al. v. Guatemala, supra</w:t>
      </w:r>
      <w:r w:rsidRPr="007D3F3C">
        <w:rPr>
          <w:rFonts w:ascii="Verdana" w:hAnsi="Verdana" w:cs="Microsoft Sans Serif"/>
          <w:spacing w:val="-4"/>
          <w:sz w:val="16"/>
          <w:szCs w:val="16"/>
          <w:lang w:val="en-US"/>
        </w:rPr>
        <w:t>, para.</w:t>
      </w:r>
      <w:r w:rsidRPr="007D3F3C">
        <w:rPr>
          <w:rFonts w:ascii="Verdana" w:hAnsi="Verdana"/>
          <w:color w:val="000000"/>
          <w:spacing w:val="-4"/>
          <w:sz w:val="16"/>
          <w:szCs w:val="16"/>
          <w:lang w:val="en-US"/>
        </w:rPr>
        <w:t xml:space="preserve"> </w:t>
      </w:r>
      <w:r w:rsidRPr="007D3F3C">
        <w:rPr>
          <w:rFonts w:ascii="Verdana" w:hAnsi="Verdana"/>
          <w:color w:val="000000"/>
          <w:spacing w:val="-4"/>
          <w:sz w:val="16"/>
          <w:szCs w:val="16"/>
          <w:lang w:val="es-CR"/>
        </w:rPr>
        <w:t>188.</w:t>
      </w:r>
    </w:p>
  </w:footnote>
  <w:footnote w:id="240">
    <w:p w14:paraId="51EF26B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iCs/>
          <w:sz w:val="16"/>
          <w:szCs w:val="16"/>
          <w:lang w:val="es-CR"/>
        </w:rPr>
        <w:t xml:space="preserve">Cf. Case of Fernández Ortega et al. v. </w:t>
      </w:r>
      <w:r w:rsidRPr="007D3F3C">
        <w:rPr>
          <w:rFonts w:ascii="Verdana" w:hAnsi="Verdana"/>
          <w:i/>
          <w:iCs/>
          <w:sz w:val="16"/>
          <w:szCs w:val="16"/>
          <w:lang w:val="es-CR"/>
        </w:rPr>
        <w:t>Mexico, supra</w:t>
      </w:r>
      <w:r w:rsidRPr="007D3F3C">
        <w:rPr>
          <w:rFonts w:ascii="Verdana" w:hAnsi="Verdana"/>
          <w:iCs/>
          <w:sz w:val="16"/>
          <w:szCs w:val="16"/>
          <w:lang w:val="es-CR"/>
        </w:rPr>
        <w:t xml:space="preserve">, para. </w:t>
      </w:r>
      <w:r w:rsidRPr="007D3F3C">
        <w:rPr>
          <w:rFonts w:ascii="Verdana" w:hAnsi="Verdana"/>
          <w:iCs/>
          <w:sz w:val="16"/>
          <w:szCs w:val="16"/>
          <w:lang w:val="en-US"/>
        </w:rPr>
        <w:t xml:space="preserve">194,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b w:val="0"/>
          <w:i/>
          <w:color w:val="000000"/>
          <w:sz w:val="16"/>
          <w:szCs w:val="16"/>
          <w:shd w:val="clear" w:color="auto" w:fill="FFFFFF"/>
          <w:lang w:val="en-US"/>
        </w:rPr>
        <w:t>supra</w:t>
      </w:r>
      <w:r w:rsidRPr="007D3F3C">
        <w:rPr>
          <w:rStyle w:val="Textoennegrita"/>
          <w:rFonts w:ascii="Verdana" w:hAnsi="Verdana"/>
          <w:b w:val="0"/>
          <w:color w:val="000000"/>
          <w:sz w:val="16"/>
          <w:szCs w:val="16"/>
          <w:shd w:val="clear" w:color="auto" w:fill="FFFFFF"/>
          <w:lang w:val="en-US"/>
        </w:rPr>
        <w:t>, para. 242</w:t>
      </w:r>
      <w:r w:rsidRPr="007D3F3C">
        <w:rPr>
          <w:rFonts w:ascii="Verdana" w:hAnsi="Verdana"/>
          <w:iCs/>
          <w:sz w:val="16"/>
          <w:szCs w:val="16"/>
          <w:lang w:val="en-US"/>
        </w:rPr>
        <w:t>.</w:t>
      </w:r>
    </w:p>
  </w:footnote>
  <w:footnote w:id="241">
    <w:p w14:paraId="5EADDC1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iCs/>
          <w:sz w:val="16"/>
          <w:szCs w:val="16"/>
          <w:lang w:val="en-US"/>
        </w:rPr>
        <w:t xml:space="preserve">Cf. Case of González et al. (“Cotton Field”) </w:t>
      </w:r>
      <w:r w:rsidRPr="007D3F3C">
        <w:rPr>
          <w:rFonts w:ascii="Verdana" w:hAnsi="Verdana" w:cs="Microsoft Sans Serif"/>
          <w:i/>
          <w:spacing w:val="-4"/>
          <w:sz w:val="16"/>
          <w:szCs w:val="16"/>
          <w:lang w:val="en-US"/>
        </w:rPr>
        <w:t>v. Mexico. Preliminary objection, merits, reparations and costs.</w:t>
      </w:r>
      <w:r w:rsidRPr="007D3F3C">
        <w:rPr>
          <w:rFonts w:ascii="Verdana" w:hAnsi="Verdana" w:cs="Microsoft Sans Serif"/>
          <w:spacing w:val="-4"/>
          <w:sz w:val="16"/>
          <w:szCs w:val="16"/>
          <w:lang w:val="en-US"/>
        </w:rPr>
        <w:t xml:space="preserve"> Judgment of November 16, 2009. Series C No. 205, </w:t>
      </w:r>
      <w:r w:rsidRPr="007D3F3C">
        <w:rPr>
          <w:rFonts w:ascii="Verdana" w:hAnsi="Verdana"/>
          <w:sz w:val="16"/>
          <w:szCs w:val="16"/>
          <w:lang w:val="en-US"/>
        </w:rPr>
        <w:t>para. 310;</w:t>
      </w:r>
      <w:r w:rsidRPr="007D3F3C">
        <w:rPr>
          <w:rFonts w:ascii="Verdana" w:hAnsi="Verdana"/>
          <w:i/>
          <w:color w:val="000000"/>
          <w:spacing w:val="-4"/>
          <w:sz w:val="16"/>
          <w:szCs w:val="16"/>
          <w:lang w:val="en-US"/>
        </w:rPr>
        <w:t xml:space="preserve"> Case of Veliz Franco et al. v. Guatemala,</w:t>
      </w:r>
      <w:r w:rsidRPr="007D3F3C">
        <w:rPr>
          <w:rFonts w:ascii="Verdana" w:hAnsi="Verdana"/>
          <w:color w:val="000000"/>
          <w:spacing w:val="-4"/>
          <w:sz w:val="16"/>
          <w:szCs w:val="16"/>
          <w:lang w:val="en-US"/>
        </w:rPr>
        <w:t xml:space="preserve"> </w:t>
      </w:r>
      <w:r w:rsidRPr="007D3F3C">
        <w:rPr>
          <w:rFonts w:ascii="Verdana" w:hAnsi="Verdana"/>
          <w:i/>
          <w:spacing w:val="-4"/>
          <w:sz w:val="16"/>
          <w:szCs w:val="16"/>
          <w:lang w:val="en-US"/>
        </w:rPr>
        <w:t>supra, para.</w:t>
      </w:r>
      <w:r w:rsidRPr="007D3F3C">
        <w:rPr>
          <w:rFonts w:ascii="Verdana" w:hAnsi="Verdana"/>
          <w:color w:val="000000"/>
          <w:spacing w:val="-4"/>
          <w:sz w:val="16"/>
          <w:szCs w:val="16"/>
          <w:lang w:val="en-US"/>
        </w:rPr>
        <w:t xml:space="preserve"> 188,</w:t>
      </w:r>
      <w:r w:rsidRPr="007D3F3C">
        <w:rPr>
          <w:rFonts w:ascii="Verdana" w:hAnsi="Verdana"/>
          <w:sz w:val="16"/>
          <w:szCs w:val="16"/>
          <w:lang w:val="en-US"/>
        </w:rPr>
        <w:t xml:space="preserve"> and </w:t>
      </w:r>
      <w:r w:rsidRPr="007D3F3C">
        <w:rPr>
          <w:rFonts w:ascii="Verdana" w:hAnsi="Verdana"/>
          <w:bCs/>
          <w:sz w:val="16"/>
          <w:szCs w:val="16"/>
          <w:lang w:val="en-US"/>
        </w:rPr>
        <w:t xml:space="preserve">United Nations </w:t>
      </w:r>
      <w:r w:rsidRPr="007D3F3C">
        <w:rPr>
          <w:rFonts w:ascii="Verdana" w:eastAsia="Batang" w:hAnsi="Verdana"/>
          <w:sz w:val="16"/>
          <w:szCs w:val="16"/>
          <w:lang w:val="en-US" w:eastAsia="es-MX"/>
        </w:rPr>
        <w:t>Manual on the Prevention and Investigation of Extra-Legal, Arbitrary and Summary Executions</w:t>
      </w:r>
      <w:r w:rsidRPr="007D3F3C">
        <w:rPr>
          <w:rFonts w:ascii="Verdana" w:hAnsi="Verdana"/>
          <w:sz w:val="16"/>
          <w:szCs w:val="16"/>
          <w:lang w:val="en-US"/>
        </w:rPr>
        <w:t xml:space="preserve"> </w:t>
      </w:r>
      <w:r w:rsidRPr="007D3F3C">
        <w:rPr>
          <w:rFonts w:ascii="Verdana" w:hAnsi="Verdana"/>
          <w:i/>
          <w:sz w:val="16"/>
          <w:szCs w:val="16"/>
          <w:lang w:val="en-US"/>
        </w:rPr>
        <w:t>(Minnesota Protocol )</w:t>
      </w:r>
      <w:r w:rsidRPr="007D3F3C">
        <w:rPr>
          <w:rFonts w:ascii="Verdana" w:hAnsi="Verdana"/>
          <w:sz w:val="16"/>
          <w:szCs w:val="16"/>
          <w:lang w:val="en-US"/>
        </w:rPr>
        <w:t>, UN Doc. E/ST/CSDHA/.12 (1991).</w:t>
      </w:r>
    </w:p>
  </w:footnote>
  <w:footnote w:id="242">
    <w:p w14:paraId="4EE0C6AD" w14:textId="77777777" w:rsidR="00576E40" w:rsidRPr="007D3F3C" w:rsidRDefault="00576E40" w:rsidP="00551CA7">
      <w:pPr>
        <w:pStyle w:val="Prrafodelista"/>
        <w:spacing w:after="0" w:line="240" w:lineRule="auto"/>
        <w:ind w:left="0"/>
        <w:contextualSpacing w:val="0"/>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iCs/>
          <w:sz w:val="16"/>
          <w:szCs w:val="16"/>
          <w:lang w:val="en-US"/>
        </w:rPr>
        <w:t xml:space="preserve">Cf. </w:t>
      </w:r>
      <w:r w:rsidRPr="007D3F3C">
        <w:rPr>
          <w:rFonts w:ascii="Verdana" w:hAnsi="Verdana"/>
          <w:i/>
          <w:sz w:val="16"/>
          <w:szCs w:val="16"/>
          <w:lang w:val="en-US"/>
        </w:rPr>
        <w:t xml:space="preserve">Case of González et al. (“Cotton Field”) v. Mexico, supra, </w:t>
      </w:r>
      <w:r w:rsidRPr="007D3F3C">
        <w:rPr>
          <w:rFonts w:ascii="Verdana" w:hAnsi="Verdana"/>
          <w:sz w:val="16"/>
          <w:szCs w:val="16"/>
          <w:lang w:val="en-US"/>
        </w:rPr>
        <w:t xml:space="preserve">para. 388, and </w:t>
      </w:r>
      <w:r w:rsidRPr="007D3F3C">
        <w:rPr>
          <w:rFonts w:ascii="Verdana" w:hAnsi="Verdana"/>
          <w:i/>
          <w:color w:val="000000"/>
          <w:spacing w:val="-4"/>
          <w:sz w:val="16"/>
          <w:szCs w:val="16"/>
          <w:lang w:val="en-US"/>
        </w:rPr>
        <w:t>Case of Veliz Franco et al. v. Guatemala,</w:t>
      </w:r>
      <w:r w:rsidRPr="007D3F3C">
        <w:rPr>
          <w:rFonts w:ascii="Verdana" w:hAnsi="Verdana"/>
          <w:color w:val="000000"/>
          <w:spacing w:val="-4"/>
          <w:sz w:val="16"/>
          <w:szCs w:val="16"/>
          <w:lang w:val="en-US"/>
        </w:rPr>
        <w:t xml:space="preserve"> </w:t>
      </w:r>
      <w:r w:rsidRPr="007D3F3C">
        <w:rPr>
          <w:rFonts w:ascii="Verdana" w:hAnsi="Verdana"/>
          <w:i/>
          <w:spacing w:val="-4"/>
          <w:sz w:val="16"/>
          <w:szCs w:val="16"/>
          <w:lang w:val="en-US"/>
        </w:rPr>
        <w:t>supra, para.</w:t>
      </w:r>
      <w:r w:rsidRPr="007D3F3C">
        <w:rPr>
          <w:rFonts w:ascii="Verdana" w:hAnsi="Verdana"/>
          <w:color w:val="000000"/>
          <w:spacing w:val="-4"/>
          <w:sz w:val="16"/>
          <w:szCs w:val="16"/>
          <w:lang w:val="en-US"/>
        </w:rPr>
        <w:t xml:space="preserve"> 189</w:t>
      </w:r>
      <w:r w:rsidRPr="007D3F3C">
        <w:rPr>
          <w:rFonts w:ascii="Verdana" w:hAnsi="Verdana"/>
          <w:sz w:val="16"/>
          <w:szCs w:val="16"/>
          <w:lang w:val="en-US"/>
        </w:rPr>
        <w:t xml:space="preserve">. This may be done by standardizing protocols, manuals, expert services and the administration of justice used for the investigation of all crimes related to disappearances, </w:t>
      </w:r>
      <w:r w:rsidRPr="007D3F3C">
        <w:rPr>
          <w:rFonts w:ascii="Verdana" w:hAnsi="Verdana"/>
          <w:bCs/>
          <w:sz w:val="16"/>
          <w:szCs w:val="16"/>
          <w:lang w:val="en-US"/>
        </w:rPr>
        <w:t xml:space="preserve">sexual violence and the murder of women in accordance with the Istanbul Protocol, the United Nations </w:t>
      </w:r>
      <w:r w:rsidRPr="007D3F3C">
        <w:rPr>
          <w:rFonts w:ascii="Verdana" w:eastAsia="Batang" w:hAnsi="Verdana"/>
          <w:sz w:val="16"/>
          <w:szCs w:val="16"/>
          <w:lang w:val="en-US" w:eastAsia="es-MX"/>
        </w:rPr>
        <w:t>Manual on the Prevention and Investigation of Extra-Legal, Arbitrary and Summary Executions,</w:t>
      </w:r>
      <w:r w:rsidRPr="007D3F3C">
        <w:rPr>
          <w:rFonts w:ascii="Verdana" w:hAnsi="Verdana"/>
          <w:bCs/>
          <w:sz w:val="16"/>
          <w:szCs w:val="16"/>
          <w:lang w:val="en-US"/>
        </w:rPr>
        <w:t xml:space="preserve"> and international standards for the search for missing persons based on a gender perspective.</w:t>
      </w:r>
    </w:p>
  </w:footnote>
  <w:footnote w:id="243">
    <w:p w14:paraId="2032CBC4"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iCs/>
          <w:spacing w:val="-4"/>
          <w:sz w:val="16"/>
          <w:szCs w:val="16"/>
          <w:lang w:val="en-US"/>
        </w:rPr>
        <w:t>Cf.</w:t>
      </w:r>
      <w:r w:rsidRPr="007D3F3C">
        <w:rPr>
          <w:rFonts w:ascii="Verdana" w:hAnsi="Verdana"/>
          <w:i/>
          <w:spacing w:val="-4"/>
          <w:sz w:val="16"/>
          <w:szCs w:val="16"/>
          <w:lang w:val="en-US"/>
        </w:rPr>
        <w:t xml:space="preserve"> </w:t>
      </w:r>
      <w:r w:rsidRPr="007D3F3C">
        <w:rPr>
          <w:rFonts w:ascii="Verdana" w:hAnsi="Verdana"/>
          <w:i/>
          <w:sz w:val="16"/>
          <w:szCs w:val="16"/>
          <w:lang w:val="en-US"/>
        </w:rPr>
        <w:t xml:space="preserve">Case of the Miguel Castro Castro Prison v. Peru. Merits, reparations and costs. </w:t>
      </w:r>
      <w:r w:rsidRPr="007D3F3C">
        <w:rPr>
          <w:rFonts w:ascii="Verdana" w:hAnsi="Verdana"/>
          <w:sz w:val="16"/>
          <w:szCs w:val="16"/>
          <w:lang w:val="en-US"/>
        </w:rPr>
        <w:t>Judgment of November 25, 2006. Series C No. 160,</w:t>
      </w:r>
      <w:r w:rsidRPr="007D3F3C">
        <w:rPr>
          <w:rFonts w:ascii="Verdana" w:hAnsi="Verdana" w:cs="Arial"/>
          <w:spacing w:val="-4"/>
          <w:sz w:val="16"/>
          <w:szCs w:val="16"/>
          <w:lang w:val="en-US"/>
        </w:rPr>
        <w:t xml:space="preserve"> para. 383, and </w:t>
      </w:r>
      <w:r w:rsidRPr="007D3F3C">
        <w:rPr>
          <w:rFonts w:ascii="Verdana" w:hAnsi="Verdana"/>
          <w:bCs/>
          <w:i/>
          <w:spacing w:val="-4"/>
          <w:sz w:val="16"/>
          <w:szCs w:val="16"/>
          <w:lang w:val="en-US"/>
        </w:rPr>
        <w:t>Case of the Human Rights Defender et al. v. Guatemala, supra</w:t>
      </w:r>
      <w:r w:rsidRPr="007D3F3C">
        <w:rPr>
          <w:rFonts w:ascii="Verdana" w:hAnsi="Verdana"/>
          <w:bCs/>
          <w:spacing w:val="-4"/>
          <w:sz w:val="16"/>
          <w:szCs w:val="16"/>
          <w:lang w:val="en-US"/>
        </w:rPr>
        <w:t>,</w:t>
      </w:r>
      <w:r w:rsidRPr="007D3F3C">
        <w:rPr>
          <w:rFonts w:ascii="Verdana" w:hAnsi="Verdana"/>
          <w:bCs/>
          <w:i/>
          <w:spacing w:val="-4"/>
          <w:sz w:val="16"/>
          <w:szCs w:val="16"/>
          <w:lang w:val="en-US"/>
        </w:rPr>
        <w:t xml:space="preserve"> </w:t>
      </w:r>
      <w:r w:rsidRPr="007D3F3C">
        <w:rPr>
          <w:rFonts w:ascii="Verdana" w:hAnsi="Verdana"/>
          <w:bCs/>
          <w:spacing w:val="-4"/>
          <w:sz w:val="16"/>
          <w:szCs w:val="16"/>
          <w:lang w:val="en-US"/>
        </w:rPr>
        <w:t>para. 204.</w:t>
      </w:r>
    </w:p>
  </w:footnote>
  <w:footnote w:id="244">
    <w:p w14:paraId="57BFEDC7"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 Inter alia,</w:t>
      </w:r>
      <w:r w:rsidRPr="007D3F3C">
        <w:rPr>
          <w:rFonts w:ascii="Verdana" w:hAnsi="Verdana"/>
          <w:i/>
          <w:iCs/>
          <w:sz w:val="16"/>
          <w:szCs w:val="16"/>
          <w:lang w:val="en-US"/>
        </w:rPr>
        <w:t xml:space="preserve"> Case of González et al. (“Cotton Field”), supra</w:t>
      </w:r>
      <w:r w:rsidRPr="007D3F3C">
        <w:rPr>
          <w:rFonts w:ascii="Verdana" w:hAnsi="Verdana"/>
          <w:sz w:val="16"/>
          <w:szCs w:val="16"/>
          <w:lang w:val="en-US"/>
        </w:rPr>
        <w:t xml:space="preserve">, paras. 301 and 310; </w:t>
      </w:r>
      <w:r w:rsidRPr="007D3F3C">
        <w:rPr>
          <w:rFonts w:ascii="Verdana" w:hAnsi="Verdana" w:cs="Arial"/>
          <w:i/>
          <w:spacing w:val="-4"/>
          <w:sz w:val="16"/>
          <w:szCs w:val="16"/>
          <w:shd w:val="clear" w:color="auto" w:fill="FFFFFF"/>
          <w:lang w:val="en-US"/>
        </w:rPr>
        <w:t xml:space="preserve">Case of Luna López v. Honduras. </w:t>
      </w:r>
      <w:r w:rsidRPr="007D3F3C">
        <w:rPr>
          <w:rStyle w:val="Textoennegrita"/>
          <w:rFonts w:ascii="Verdana" w:hAnsi="Verdana"/>
          <w:b w:val="0"/>
          <w:iCs/>
          <w:sz w:val="16"/>
          <w:szCs w:val="16"/>
          <w:lang w:val="en-US"/>
        </w:rPr>
        <w:t>Merits, reparations and costs. Judgment of October 10, 2013. Series C No. 269</w:t>
      </w:r>
      <w:r w:rsidRPr="007D3F3C">
        <w:rPr>
          <w:rFonts w:ascii="Verdana" w:hAnsi="Verdana"/>
          <w:iCs/>
          <w:spacing w:val="-4"/>
          <w:sz w:val="16"/>
          <w:szCs w:val="16"/>
          <w:lang w:val="en-US"/>
        </w:rPr>
        <w:t>,</w:t>
      </w:r>
      <w:r w:rsidRPr="007D3F3C">
        <w:rPr>
          <w:rFonts w:ascii="Verdana" w:hAnsi="Verdana"/>
          <w:spacing w:val="-4"/>
          <w:sz w:val="16"/>
          <w:szCs w:val="16"/>
          <w:lang w:val="en-US"/>
        </w:rPr>
        <w:t xml:space="preserve"> para. 164</w:t>
      </w:r>
      <w:r w:rsidRPr="007D3F3C">
        <w:rPr>
          <w:rFonts w:ascii="Verdana" w:hAnsi="Verdana"/>
          <w:bCs/>
          <w:spacing w:val="-4"/>
          <w:sz w:val="16"/>
          <w:szCs w:val="16"/>
          <w:lang w:val="en-US"/>
        </w:rPr>
        <w:t xml:space="preserve">; </w:t>
      </w:r>
      <w:r w:rsidRPr="007D3F3C">
        <w:rPr>
          <w:rFonts w:ascii="Verdana" w:hAnsi="Verdana"/>
          <w:bCs/>
          <w:i/>
          <w:spacing w:val="-4"/>
          <w:sz w:val="16"/>
          <w:szCs w:val="16"/>
          <w:lang w:val="en-US"/>
        </w:rPr>
        <w:t xml:space="preserve">Case of the Human Rights Defender et al., supra, </w:t>
      </w:r>
      <w:r w:rsidRPr="007D3F3C">
        <w:rPr>
          <w:rFonts w:ascii="Verdana" w:hAnsi="Verdana"/>
          <w:bCs/>
          <w:spacing w:val="-4"/>
          <w:sz w:val="16"/>
          <w:szCs w:val="16"/>
          <w:lang w:val="en-US"/>
        </w:rPr>
        <w:t xml:space="preserve">para. 204, and </w:t>
      </w:r>
      <w:r w:rsidRPr="007D3F3C">
        <w:rPr>
          <w:rStyle w:val="Textoennegrita"/>
          <w:rFonts w:ascii="Verdana" w:hAnsi="Verdana"/>
          <w:b w:val="0"/>
          <w:i/>
          <w:sz w:val="16"/>
          <w:szCs w:val="16"/>
          <w:lang w:val="en-US"/>
        </w:rPr>
        <w:t>Case of the Santa Bárbara Peasant Community v. Peru. Preliminary objections, merits, reparations and costs</w:t>
      </w:r>
      <w:r w:rsidRPr="007D3F3C">
        <w:rPr>
          <w:rStyle w:val="Textoennegrita"/>
          <w:rFonts w:ascii="Verdana" w:hAnsi="Verdana"/>
          <w:b w:val="0"/>
          <w:sz w:val="16"/>
          <w:szCs w:val="16"/>
          <w:lang w:val="en-US"/>
        </w:rPr>
        <w:t>. Judgment of September 1, 2015. Series C No. 299, para. 228</w:t>
      </w:r>
      <w:r w:rsidRPr="007D3F3C">
        <w:rPr>
          <w:rFonts w:ascii="Verdana" w:hAnsi="Verdana"/>
          <w:bCs/>
          <w:spacing w:val="-4"/>
          <w:sz w:val="16"/>
          <w:szCs w:val="16"/>
          <w:lang w:val="en-US"/>
        </w:rPr>
        <w:t>.</w:t>
      </w:r>
    </w:p>
  </w:footnote>
  <w:footnote w:id="245">
    <w:p w14:paraId="7911C16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bCs/>
          <w:i/>
          <w:spacing w:val="-4"/>
          <w:sz w:val="16"/>
          <w:szCs w:val="16"/>
          <w:lang w:val="en-US"/>
        </w:rPr>
        <w:t>Cf.</w:t>
      </w:r>
      <w:r w:rsidRPr="007D3F3C">
        <w:rPr>
          <w:rFonts w:ascii="Verdana" w:hAnsi="Verdana"/>
          <w:bCs/>
          <w:spacing w:val="-4"/>
          <w:sz w:val="16"/>
          <w:szCs w:val="16"/>
          <w:lang w:val="en-US"/>
        </w:rPr>
        <w:t xml:space="preserve"> </w:t>
      </w:r>
      <w:r w:rsidRPr="007D3F3C">
        <w:rPr>
          <w:rFonts w:ascii="Verdana" w:hAnsi="Verdana"/>
          <w:bCs/>
          <w:i/>
          <w:spacing w:val="-4"/>
          <w:sz w:val="16"/>
          <w:szCs w:val="16"/>
          <w:lang w:val="en-US"/>
        </w:rPr>
        <w:t xml:space="preserve">Case of the Human Rights Defender et al. v. Guatemala, supra, </w:t>
      </w:r>
      <w:r w:rsidRPr="007D3F3C">
        <w:rPr>
          <w:rFonts w:ascii="Verdana" w:hAnsi="Verdana"/>
          <w:bCs/>
          <w:spacing w:val="-4"/>
          <w:sz w:val="16"/>
          <w:szCs w:val="16"/>
          <w:lang w:val="en-US"/>
        </w:rPr>
        <w:t>para. 204.</w:t>
      </w:r>
    </w:p>
  </w:footnote>
  <w:footnote w:id="246">
    <w:p w14:paraId="3934C17E"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 xml:space="preserve">Cf. </w:t>
      </w:r>
      <w:r w:rsidRPr="007D3F3C">
        <w:rPr>
          <w:rFonts w:ascii="Verdana" w:hAnsi="Verdana"/>
          <w:i/>
          <w:iCs/>
          <w:spacing w:val="-4"/>
          <w:sz w:val="16"/>
          <w:szCs w:val="16"/>
          <w:lang w:val="en-US"/>
        </w:rPr>
        <w:t>Case of</w:t>
      </w:r>
      <w:r w:rsidRPr="007D3F3C">
        <w:rPr>
          <w:rFonts w:ascii="Verdana" w:hAnsi="Verdana" w:cs="Arial"/>
          <w:i/>
          <w:spacing w:val="-4"/>
          <w:sz w:val="16"/>
          <w:szCs w:val="16"/>
          <w:lang w:val="en-US"/>
        </w:rPr>
        <w:t xml:space="preserve"> Juan Humberto Sánchez </w:t>
      </w:r>
      <w:r w:rsidRPr="007D3F3C">
        <w:rPr>
          <w:rFonts w:ascii="Verdana" w:hAnsi="Verdana" w:cs="Arial"/>
          <w:bCs/>
          <w:i/>
          <w:spacing w:val="-4"/>
          <w:sz w:val="16"/>
          <w:szCs w:val="16"/>
          <w:lang w:val="en-US"/>
        </w:rPr>
        <w:t>v. Honduras</w:t>
      </w:r>
      <w:r w:rsidRPr="007D3F3C">
        <w:rPr>
          <w:rStyle w:val="Textoennegrita"/>
          <w:rFonts w:ascii="Verdana" w:hAnsi="Verdana"/>
          <w:sz w:val="16"/>
          <w:szCs w:val="16"/>
          <w:lang w:val="en-US"/>
        </w:rPr>
        <w:t xml:space="preserve">. </w:t>
      </w:r>
      <w:r w:rsidRPr="007D3F3C">
        <w:rPr>
          <w:rStyle w:val="Textoennegrita"/>
          <w:rFonts w:ascii="Verdana" w:hAnsi="Verdana"/>
          <w:b w:val="0"/>
          <w:i/>
          <w:sz w:val="16"/>
          <w:szCs w:val="16"/>
          <w:lang w:val="en-US"/>
        </w:rPr>
        <w:t>Preliminary objection, merits, reparations and costs</w:t>
      </w:r>
      <w:r w:rsidRPr="007D3F3C">
        <w:rPr>
          <w:rStyle w:val="Textoennegrita"/>
          <w:rFonts w:ascii="Verdana" w:hAnsi="Verdana"/>
          <w:b w:val="0"/>
          <w:sz w:val="16"/>
          <w:szCs w:val="16"/>
          <w:lang w:val="en-US"/>
        </w:rPr>
        <w:t xml:space="preserve">. Judgment of June 7, 2003. Series C No. 99, </w:t>
      </w:r>
      <w:r w:rsidRPr="007D3F3C">
        <w:rPr>
          <w:rFonts w:ascii="Verdana" w:hAnsi="Verdana"/>
          <w:spacing w:val="-4"/>
          <w:sz w:val="16"/>
          <w:szCs w:val="16"/>
          <w:lang w:val="en-US"/>
        </w:rPr>
        <w:t xml:space="preserve">para. 127, and </w:t>
      </w:r>
      <w:r w:rsidRPr="007D3F3C">
        <w:rPr>
          <w:rFonts w:ascii="Verdana" w:hAnsi="Verdana"/>
          <w:bCs/>
          <w:i/>
          <w:spacing w:val="-4"/>
          <w:sz w:val="16"/>
          <w:szCs w:val="16"/>
          <w:lang w:val="en-US"/>
        </w:rPr>
        <w:t xml:space="preserve">Case of the Human Rights Defender et al. v. Guatemala, supra, </w:t>
      </w:r>
      <w:r w:rsidRPr="007D3F3C">
        <w:rPr>
          <w:rFonts w:ascii="Verdana" w:hAnsi="Verdana"/>
          <w:bCs/>
          <w:spacing w:val="-4"/>
          <w:sz w:val="16"/>
          <w:szCs w:val="16"/>
          <w:lang w:val="en-US"/>
        </w:rPr>
        <w:t>para. 205</w:t>
      </w:r>
      <w:r w:rsidRPr="007D3F3C">
        <w:rPr>
          <w:rFonts w:ascii="Verdana" w:hAnsi="Verdana" w:cs="Verdana"/>
          <w:i/>
          <w:spacing w:val="-4"/>
          <w:sz w:val="16"/>
          <w:szCs w:val="16"/>
          <w:lang w:val="en-US"/>
        </w:rPr>
        <w:t>.</w:t>
      </w:r>
    </w:p>
  </w:footnote>
  <w:footnote w:id="247">
    <w:p w14:paraId="37EFC00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 Case of the Human Rights Defender et al. v. Guatemala</w:t>
      </w:r>
      <w:r w:rsidRPr="007D3F3C">
        <w:rPr>
          <w:rFonts w:ascii="Verdana" w:hAnsi="Verdana"/>
          <w:sz w:val="16"/>
          <w:szCs w:val="16"/>
          <w:lang w:val="en-US"/>
        </w:rPr>
        <w:t xml:space="preserve">, </w:t>
      </w:r>
      <w:r w:rsidRPr="007D3F3C">
        <w:rPr>
          <w:rFonts w:ascii="Verdana" w:hAnsi="Verdana"/>
          <w:i/>
          <w:sz w:val="16"/>
          <w:szCs w:val="16"/>
          <w:lang w:val="en-US"/>
        </w:rPr>
        <w:t>supra</w:t>
      </w:r>
      <w:r w:rsidRPr="007D3F3C">
        <w:rPr>
          <w:rFonts w:ascii="Verdana" w:hAnsi="Verdana"/>
          <w:sz w:val="16"/>
          <w:szCs w:val="16"/>
          <w:lang w:val="en-US"/>
        </w:rPr>
        <w:t xml:space="preserve"> para. 209.</w:t>
      </w:r>
    </w:p>
  </w:footnote>
  <w:footnote w:id="248">
    <w:p w14:paraId="03A6FB21" w14:textId="77777777" w:rsidR="00576E40" w:rsidRPr="007D3F3C" w:rsidRDefault="00576E40" w:rsidP="00551CA7">
      <w:pPr>
        <w:pStyle w:val="Textonotapie"/>
        <w:jc w:val="both"/>
        <w:rPr>
          <w:rFonts w:ascii="Verdana" w:hAnsi="Verdana"/>
          <w:bCs/>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iCs/>
          <w:sz w:val="16"/>
          <w:szCs w:val="16"/>
          <w:lang w:val="en-US"/>
        </w:rPr>
        <w:t xml:space="preserve">Case of the “Street Children” (Villagrán Morales et al.) v. Guatemala. </w:t>
      </w:r>
      <w:r w:rsidRPr="007D3F3C">
        <w:rPr>
          <w:rFonts w:ascii="Verdana" w:hAnsi="Verdana"/>
          <w:i/>
          <w:iCs/>
          <w:sz w:val="16"/>
          <w:szCs w:val="16"/>
          <w:lang w:val="es-CR"/>
        </w:rPr>
        <w:t>Merits, supra</w:t>
      </w:r>
      <w:r w:rsidRPr="007D3F3C">
        <w:rPr>
          <w:rFonts w:ascii="Verdana" w:hAnsi="Verdana"/>
          <w:iCs/>
          <w:sz w:val="16"/>
          <w:szCs w:val="16"/>
          <w:lang w:val="es-CR"/>
        </w:rPr>
        <w:t>,</w:t>
      </w:r>
      <w:r w:rsidRPr="007D3F3C">
        <w:rPr>
          <w:rFonts w:ascii="Verdana" w:hAnsi="Verdana"/>
          <w:sz w:val="16"/>
          <w:szCs w:val="16"/>
          <w:lang w:val="es-CR"/>
        </w:rPr>
        <w:t xml:space="preserve"> para. 230, and </w:t>
      </w:r>
      <w:r w:rsidRPr="007D3F3C">
        <w:rPr>
          <w:rFonts w:ascii="Verdana" w:hAnsi="Verdana" w:cs="Microsoft Sans Serif"/>
          <w:i/>
          <w:spacing w:val="-4"/>
          <w:sz w:val="16"/>
          <w:szCs w:val="16"/>
          <w:lang w:val="es-CR"/>
        </w:rPr>
        <w:t>Case of Veliz Franco et al. v. Guatemala, supra</w:t>
      </w:r>
      <w:r w:rsidRPr="007D3F3C">
        <w:rPr>
          <w:rFonts w:ascii="Verdana" w:hAnsi="Verdana" w:cs="Microsoft Sans Serif"/>
          <w:spacing w:val="-4"/>
          <w:sz w:val="16"/>
          <w:szCs w:val="16"/>
          <w:lang w:val="es-CR"/>
        </w:rPr>
        <w:t>, para.</w:t>
      </w:r>
      <w:r w:rsidRPr="007D3F3C">
        <w:rPr>
          <w:rFonts w:ascii="Verdana" w:hAnsi="Verdana"/>
          <w:color w:val="000000"/>
          <w:spacing w:val="-4"/>
          <w:sz w:val="16"/>
          <w:szCs w:val="16"/>
          <w:lang w:val="es-CR"/>
        </w:rPr>
        <w:t xml:space="preserve"> </w:t>
      </w:r>
      <w:r w:rsidRPr="007D3F3C">
        <w:rPr>
          <w:rFonts w:ascii="Verdana" w:hAnsi="Verdana"/>
          <w:color w:val="000000"/>
          <w:spacing w:val="-4"/>
          <w:sz w:val="16"/>
          <w:szCs w:val="16"/>
          <w:lang w:val="en-US"/>
        </w:rPr>
        <w:t>195</w:t>
      </w:r>
      <w:r w:rsidRPr="007D3F3C">
        <w:rPr>
          <w:rFonts w:ascii="Verdana" w:hAnsi="Verdana"/>
          <w:sz w:val="16"/>
          <w:szCs w:val="16"/>
          <w:lang w:val="en-US"/>
        </w:rPr>
        <w:t>.</w:t>
      </w:r>
    </w:p>
  </w:footnote>
  <w:footnote w:id="249">
    <w:p w14:paraId="37FCDD02" w14:textId="77777777" w:rsidR="00576E40" w:rsidRPr="007D3F3C" w:rsidRDefault="00576E40" w:rsidP="00551CA7">
      <w:pPr>
        <w:pStyle w:val="Textonotapie"/>
        <w:jc w:val="both"/>
        <w:rPr>
          <w:rFonts w:ascii="Verdana" w:hAnsi="Verdana" w:cs="Verdana"/>
          <w:spacing w:val="-4"/>
          <w:sz w:val="16"/>
          <w:szCs w:val="16"/>
          <w:lang w:val="en-US" w:eastAsia="es-E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iCs/>
          <w:spacing w:val="-4"/>
          <w:sz w:val="16"/>
          <w:szCs w:val="16"/>
          <w:lang w:val="en-US"/>
        </w:rPr>
        <w:t>Cf.</w:t>
      </w:r>
      <w:r w:rsidRPr="007D3F3C">
        <w:rPr>
          <w:rFonts w:ascii="Verdana" w:hAnsi="Verdana"/>
          <w:i/>
          <w:spacing w:val="-4"/>
          <w:sz w:val="16"/>
          <w:szCs w:val="16"/>
          <w:lang w:val="en-US"/>
        </w:rPr>
        <w:t xml:space="preserve"> Case of González et al. (“Cotton Field”) v. Mexico, supra, </w:t>
      </w:r>
      <w:r w:rsidRPr="007D3F3C">
        <w:rPr>
          <w:rFonts w:ascii="Verdana" w:hAnsi="Verdana"/>
          <w:spacing w:val="-4"/>
          <w:sz w:val="16"/>
          <w:szCs w:val="16"/>
          <w:lang w:val="en-US"/>
        </w:rPr>
        <w:t xml:space="preserve">para. 301, and </w:t>
      </w:r>
      <w:r w:rsidRPr="007D3F3C">
        <w:rPr>
          <w:rFonts w:ascii="Verdana" w:hAnsi="Verdana"/>
          <w:bCs/>
          <w:i/>
          <w:spacing w:val="-4"/>
          <w:sz w:val="16"/>
          <w:szCs w:val="16"/>
          <w:lang w:val="en-US"/>
        </w:rPr>
        <w:t xml:space="preserve">Case of the Human Rights Defender et al. v. Guatemala, supra, </w:t>
      </w:r>
      <w:r w:rsidRPr="007D3F3C">
        <w:rPr>
          <w:rFonts w:ascii="Verdana" w:hAnsi="Verdana"/>
          <w:bCs/>
          <w:spacing w:val="-4"/>
          <w:sz w:val="16"/>
          <w:szCs w:val="16"/>
          <w:lang w:val="en-US"/>
        </w:rPr>
        <w:t xml:space="preserve">para. 206, </w:t>
      </w:r>
      <w:r w:rsidRPr="007D3F3C">
        <w:rPr>
          <w:rFonts w:ascii="Verdana" w:hAnsi="Verdana"/>
          <w:spacing w:val="-4"/>
          <w:sz w:val="16"/>
          <w:szCs w:val="16"/>
          <w:lang w:val="en-US"/>
        </w:rPr>
        <w:t>citing the United Nations Manual on the Prevention and Investigation of Extra-Legal, Arbitrary and Summary Executions</w:t>
      </w:r>
      <w:r w:rsidRPr="007D3F3C">
        <w:rPr>
          <w:rFonts w:ascii="Verdana" w:hAnsi="Verdana"/>
          <w:i/>
          <w:spacing w:val="-4"/>
          <w:sz w:val="16"/>
          <w:szCs w:val="16"/>
          <w:lang w:val="en-US"/>
        </w:rPr>
        <w:t xml:space="preserve"> </w:t>
      </w:r>
      <w:r w:rsidRPr="007D3F3C">
        <w:rPr>
          <w:rFonts w:ascii="Verdana" w:hAnsi="Verdana"/>
          <w:iCs/>
          <w:sz w:val="16"/>
          <w:szCs w:val="16"/>
          <w:lang w:val="en-US"/>
        </w:rPr>
        <w:t>(Minnesota Protocol),</w:t>
      </w:r>
      <w:r w:rsidRPr="007D3F3C">
        <w:rPr>
          <w:rFonts w:ascii="Verdana" w:hAnsi="Verdana"/>
          <w:i/>
          <w:sz w:val="16"/>
          <w:szCs w:val="16"/>
          <w:lang w:val="en-US"/>
        </w:rPr>
        <w:t xml:space="preserve"> supra</w:t>
      </w:r>
      <w:r w:rsidRPr="007D3F3C">
        <w:rPr>
          <w:rFonts w:ascii="Verdana" w:hAnsi="Verdana" w:cs="Verdana"/>
          <w:spacing w:val="-4"/>
          <w:sz w:val="16"/>
          <w:szCs w:val="16"/>
          <w:lang w:val="en-US" w:eastAsia="es-ES"/>
        </w:rPr>
        <w:t>.</w:t>
      </w:r>
    </w:p>
  </w:footnote>
  <w:footnote w:id="250">
    <w:p w14:paraId="7AB75C28" w14:textId="77777777" w:rsidR="00576E40" w:rsidRPr="007D3F3C" w:rsidRDefault="00576E40" w:rsidP="00551CA7">
      <w:pPr>
        <w:pStyle w:val="Textonotapie"/>
        <w:jc w:val="both"/>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Fonts w:ascii="Verdana" w:hAnsi="Verdana" w:cs="Microsoft Sans Serif"/>
          <w:i/>
          <w:spacing w:val="-4"/>
          <w:sz w:val="16"/>
          <w:szCs w:val="16"/>
          <w:lang w:val="es-CR"/>
        </w:rPr>
        <w:t>Case of Veliz Franco et al. v. Guatemala</w:t>
      </w:r>
      <w:r w:rsidRPr="007D3F3C">
        <w:rPr>
          <w:rFonts w:ascii="Verdana" w:hAnsi="Verdana" w:cs="Microsoft Sans Serif"/>
          <w:spacing w:val="-4"/>
          <w:sz w:val="16"/>
          <w:szCs w:val="16"/>
          <w:lang w:val="es-CR"/>
        </w:rPr>
        <w:t xml:space="preserve">, </w:t>
      </w:r>
      <w:r w:rsidRPr="007D3F3C">
        <w:rPr>
          <w:rFonts w:ascii="Verdana" w:hAnsi="Verdana" w:cs="Microsoft Sans Serif"/>
          <w:i/>
          <w:spacing w:val="-4"/>
          <w:sz w:val="16"/>
          <w:szCs w:val="16"/>
          <w:lang w:val="es-CR"/>
        </w:rPr>
        <w:t>supra</w:t>
      </w:r>
      <w:r w:rsidRPr="007D3F3C">
        <w:rPr>
          <w:rFonts w:ascii="Verdana" w:hAnsi="Verdana" w:cs="Microsoft Sans Serif"/>
          <w:spacing w:val="-4"/>
          <w:sz w:val="16"/>
          <w:szCs w:val="16"/>
          <w:lang w:val="es-CR"/>
        </w:rPr>
        <w:t xml:space="preserve">, para. </w:t>
      </w:r>
      <w:r w:rsidRPr="007D3F3C">
        <w:rPr>
          <w:rFonts w:ascii="Verdana" w:hAnsi="Verdana" w:cs="Microsoft Sans Serif"/>
          <w:spacing w:val="-4"/>
          <w:sz w:val="16"/>
          <w:szCs w:val="16"/>
          <w:lang w:val="en-US"/>
        </w:rPr>
        <w:t>192, citing the United Nations Manual on the Prevention and Investigation of Extra-Legal, Arbitrary and Summary Executions</w:t>
      </w:r>
      <w:r w:rsidRPr="007D3F3C">
        <w:rPr>
          <w:rFonts w:ascii="Verdana" w:hAnsi="Verdana"/>
          <w:i/>
          <w:sz w:val="16"/>
          <w:szCs w:val="16"/>
          <w:lang w:val="en-US"/>
        </w:rPr>
        <w:t xml:space="preserve"> </w:t>
      </w:r>
      <w:r w:rsidRPr="007D3F3C">
        <w:rPr>
          <w:rFonts w:ascii="Verdana" w:hAnsi="Verdana"/>
          <w:iCs/>
          <w:sz w:val="16"/>
          <w:szCs w:val="16"/>
          <w:lang w:val="en-US"/>
        </w:rPr>
        <w:t>(Minnesota Protocol),</w:t>
      </w:r>
      <w:r w:rsidRPr="007D3F3C">
        <w:rPr>
          <w:rFonts w:ascii="Verdana" w:hAnsi="Verdana"/>
          <w:sz w:val="16"/>
          <w:szCs w:val="16"/>
          <w:lang w:val="en-US"/>
        </w:rPr>
        <w:t xml:space="preserve"> </w:t>
      </w:r>
      <w:r w:rsidRPr="007D3F3C">
        <w:rPr>
          <w:rFonts w:ascii="Verdana" w:hAnsi="Verdana"/>
          <w:i/>
          <w:sz w:val="16"/>
          <w:szCs w:val="16"/>
          <w:lang w:val="en-US"/>
        </w:rPr>
        <w:t xml:space="preserve">supra, and </w:t>
      </w:r>
      <w:r w:rsidRPr="007D3F3C">
        <w:rPr>
          <w:rFonts w:ascii="Verdana" w:hAnsi="Verdana"/>
          <w:sz w:val="16"/>
          <w:szCs w:val="16"/>
          <w:lang w:val="en-US"/>
        </w:rPr>
        <w:t xml:space="preserve">Office of the United Nations High Commissioner for Human Rights. </w:t>
      </w:r>
      <w:r w:rsidRPr="007D3F3C">
        <w:rPr>
          <w:rFonts w:ascii="Verdana" w:hAnsi="Verdana"/>
          <w:sz w:val="16"/>
          <w:szCs w:val="16"/>
          <w:lang w:val="es-CR"/>
        </w:rPr>
        <w:t xml:space="preserve">Office </w:t>
      </w:r>
      <w:r w:rsidRPr="007D3F3C">
        <w:rPr>
          <w:rFonts w:ascii="Verdana" w:hAnsi="Verdana"/>
          <w:sz w:val="16"/>
          <w:szCs w:val="16"/>
          <w:lang w:val="es-CR"/>
        </w:rPr>
        <w:t xml:space="preserve">for Mexico. </w:t>
      </w:r>
      <w:r w:rsidRPr="007D3F3C">
        <w:rPr>
          <w:rFonts w:ascii="Verdana" w:hAnsi="Verdana"/>
          <w:i/>
          <w:iCs/>
          <w:sz w:val="16"/>
          <w:szCs w:val="16"/>
          <w:lang w:val="es-CR"/>
        </w:rPr>
        <w:t>Protocolo Modelo para la investigación forense de muertes sospechosas de haberse producido por violación de los derechos humanos</w:t>
      </w:r>
      <w:r w:rsidRPr="007D3F3C">
        <w:rPr>
          <w:rFonts w:ascii="Verdana" w:hAnsi="Verdana"/>
          <w:sz w:val="16"/>
          <w:szCs w:val="16"/>
          <w:lang w:val="es-CR"/>
        </w:rPr>
        <w:t xml:space="preserve"> [Model Protocol for the forensic investigation of deaths suspected of having occured owing to human rights violations], Proyecto MEX/00/AH/10.</w:t>
      </w:r>
    </w:p>
  </w:footnote>
  <w:footnote w:id="251">
    <w:p w14:paraId="675760D7" w14:textId="77777777" w:rsidR="00576E40" w:rsidRPr="007D3F3C" w:rsidRDefault="00576E40" w:rsidP="00551CA7">
      <w:pPr>
        <w:pStyle w:val="Textonotapie"/>
        <w:jc w:val="both"/>
        <w:rPr>
          <w:rFonts w:ascii="Verdana" w:hAnsi="Verdana"/>
          <w:strike/>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Cf.</w:t>
      </w:r>
      <w:r w:rsidRPr="007D3F3C">
        <w:rPr>
          <w:rFonts w:ascii="Verdana" w:hAnsi="Verdana"/>
          <w:sz w:val="16"/>
          <w:szCs w:val="16"/>
          <w:lang w:val="es-CR"/>
        </w:rPr>
        <w:t xml:space="preserve"> </w:t>
      </w:r>
      <w:r w:rsidRPr="007D3F3C">
        <w:rPr>
          <w:rFonts w:ascii="Verdana" w:hAnsi="Verdana" w:cs="Microsoft Sans Serif"/>
          <w:i/>
          <w:spacing w:val="-4"/>
          <w:sz w:val="16"/>
          <w:szCs w:val="16"/>
          <w:lang w:val="es-CR"/>
        </w:rPr>
        <w:t>Case of Veliz Franco et al. v. Guatemala</w:t>
      </w:r>
      <w:r w:rsidRPr="007D3F3C">
        <w:rPr>
          <w:rFonts w:ascii="Verdana" w:hAnsi="Verdana" w:cs="Microsoft Sans Serif"/>
          <w:spacing w:val="-4"/>
          <w:sz w:val="16"/>
          <w:szCs w:val="16"/>
          <w:lang w:val="es-CR"/>
        </w:rPr>
        <w:t xml:space="preserve">, </w:t>
      </w:r>
      <w:r w:rsidRPr="007D3F3C">
        <w:rPr>
          <w:rFonts w:ascii="Verdana" w:hAnsi="Verdana" w:cs="Microsoft Sans Serif"/>
          <w:i/>
          <w:spacing w:val="-4"/>
          <w:sz w:val="16"/>
          <w:szCs w:val="16"/>
          <w:lang w:val="es-CR"/>
        </w:rPr>
        <w:t>supra</w:t>
      </w:r>
      <w:r w:rsidRPr="007D3F3C">
        <w:rPr>
          <w:rFonts w:ascii="Verdana" w:hAnsi="Verdana" w:cs="Microsoft Sans Serif"/>
          <w:spacing w:val="-4"/>
          <w:sz w:val="16"/>
          <w:szCs w:val="16"/>
          <w:lang w:val="es-CR"/>
        </w:rPr>
        <w:t xml:space="preserve">, para. </w:t>
      </w:r>
      <w:r w:rsidRPr="007D3F3C">
        <w:rPr>
          <w:rFonts w:ascii="Verdana" w:hAnsi="Verdana" w:cs="Microsoft Sans Serif"/>
          <w:spacing w:val="-4"/>
          <w:sz w:val="16"/>
          <w:szCs w:val="16"/>
          <w:lang w:val="en-US"/>
        </w:rPr>
        <w:t xml:space="preserve">192, citing </w:t>
      </w:r>
      <w:r w:rsidRPr="007D3F3C">
        <w:rPr>
          <w:rFonts w:ascii="Verdana" w:hAnsi="Verdana"/>
          <w:sz w:val="16"/>
          <w:szCs w:val="16"/>
          <w:lang w:val="en-US"/>
        </w:rPr>
        <w:t xml:space="preserve">Office of the United Nations High Commissioner for Human Rights. </w:t>
      </w:r>
      <w:r w:rsidRPr="007D3F3C">
        <w:rPr>
          <w:rFonts w:ascii="Verdana" w:hAnsi="Verdana"/>
          <w:sz w:val="16"/>
          <w:szCs w:val="16"/>
          <w:lang w:val="es-CR"/>
        </w:rPr>
        <w:t xml:space="preserve">Office </w:t>
      </w:r>
      <w:r w:rsidRPr="007D3F3C">
        <w:rPr>
          <w:rFonts w:ascii="Verdana" w:hAnsi="Verdana"/>
          <w:sz w:val="16"/>
          <w:szCs w:val="16"/>
          <w:lang w:val="es-CR"/>
        </w:rPr>
        <w:t xml:space="preserve">for Mexico. </w:t>
      </w:r>
      <w:r w:rsidRPr="007D3F3C">
        <w:rPr>
          <w:rFonts w:ascii="Verdana" w:hAnsi="Verdana"/>
          <w:i/>
          <w:iCs/>
          <w:sz w:val="16"/>
          <w:szCs w:val="16"/>
          <w:lang w:val="es-CR"/>
        </w:rPr>
        <w:t>Protocolo Modelo para la investigación forense de muertes sospechosas de haberse producido por violación de los derechos humanos,</w:t>
      </w:r>
      <w:r w:rsidRPr="007D3F3C">
        <w:rPr>
          <w:rFonts w:ascii="Verdana" w:hAnsi="Verdana"/>
          <w:sz w:val="16"/>
          <w:szCs w:val="16"/>
          <w:lang w:val="es-CR"/>
        </w:rPr>
        <w:t xml:space="preserve"> </w:t>
      </w:r>
      <w:r w:rsidRPr="007D3F3C">
        <w:rPr>
          <w:rFonts w:ascii="Verdana" w:hAnsi="Verdana"/>
          <w:i/>
          <w:sz w:val="16"/>
          <w:szCs w:val="16"/>
          <w:lang w:val="es-CR"/>
        </w:rPr>
        <w:t>supra</w:t>
      </w:r>
      <w:r w:rsidRPr="007D3F3C">
        <w:rPr>
          <w:rFonts w:ascii="Verdana" w:hAnsi="Verdana"/>
          <w:sz w:val="16"/>
          <w:szCs w:val="16"/>
          <w:lang w:val="es-CR"/>
        </w:rPr>
        <w:t xml:space="preserve">. </w:t>
      </w:r>
    </w:p>
  </w:footnote>
  <w:footnote w:id="252">
    <w:p w14:paraId="1E2B111E"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pacing w:val="-4"/>
          <w:sz w:val="16"/>
          <w:szCs w:val="16"/>
          <w:lang w:val="en-US"/>
        </w:rPr>
        <w:t xml:space="preserve"> </w:t>
      </w:r>
      <w:r w:rsidRPr="007D3F3C">
        <w:rPr>
          <w:rFonts w:ascii="Verdana" w:hAnsi="Verdana"/>
          <w:i/>
          <w:spacing w:val="-4"/>
          <w:sz w:val="16"/>
          <w:szCs w:val="16"/>
          <w:lang w:val="en-US"/>
        </w:rPr>
        <w:t xml:space="preserve">Case of González et al. </w:t>
      </w:r>
      <w:r w:rsidRPr="007D3F3C">
        <w:rPr>
          <w:rFonts w:ascii="Verdana" w:hAnsi="Verdana"/>
          <w:i/>
          <w:spacing w:val="-4"/>
          <w:sz w:val="16"/>
          <w:szCs w:val="16"/>
          <w:lang w:val="es-CR"/>
        </w:rPr>
        <w:t xml:space="preserve">(“Cotton Field”) v. </w:t>
      </w:r>
      <w:r w:rsidRPr="007D3F3C">
        <w:rPr>
          <w:rFonts w:ascii="Verdana" w:hAnsi="Verdana"/>
          <w:i/>
          <w:spacing w:val="-4"/>
          <w:sz w:val="16"/>
          <w:szCs w:val="16"/>
          <w:lang w:val="es-CR"/>
        </w:rPr>
        <w:t>Mexico, supra</w:t>
      </w:r>
      <w:r w:rsidRPr="007D3F3C">
        <w:rPr>
          <w:rFonts w:ascii="Verdana" w:hAnsi="Verdana"/>
          <w:spacing w:val="-4"/>
          <w:sz w:val="16"/>
          <w:szCs w:val="16"/>
          <w:lang w:val="es-CR"/>
        </w:rPr>
        <w:t xml:space="preserve">, para. </w:t>
      </w:r>
      <w:r w:rsidRPr="007D3F3C">
        <w:rPr>
          <w:rFonts w:ascii="Verdana" w:hAnsi="Verdana"/>
          <w:spacing w:val="-4"/>
          <w:sz w:val="16"/>
          <w:szCs w:val="16"/>
          <w:lang w:val="en-US"/>
        </w:rPr>
        <w:t xml:space="preserve">301, and </w:t>
      </w:r>
      <w:r w:rsidRPr="007D3F3C">
        <w:rPr>
          <w:rFonts w:ascii="Verdana" w:hAnsi="Verdana"/>
          <w:bCs/>
          <w:spacing w:val="-4"/>
          <w:sz w:val="16"/>
          <w:szCs w:val="16"/>
          <w:lang w:val="en-US"/>
        </w:rPr>
        <w:t xml:space="preserve">Case of the Human Rights Defender et al. v. Guatemala, </w:t>
      </w:r>
      <w:r w:rsidRPr="007D3F3C">
        <w:rPr>
          <w:rFonts w:ascii="Verdana" w:hAnsi="Verdana"/>
          <w:bCs/>
          <w:i/>
          <w:spacing w:val="-4"/>
          <w:sz w:val="16"/>
          <w:szCs w:val="16"/>
          <w:lang w:val="en-US"/>
        </w:rPr>
        <w:t xml:space="preserve">supra, </w:t>
      </w:r>
      <w:r w:rsidRPr="007D3F3C">
        <w:rPr>
          <w:rFonts w:ascii="Verdana" w:hAnsi="Verdana"/>
          <w:bCs/>
          <w:spacing w:val="-4"/>
          <w:sz w:val="16"/>
          <w:szCs w:val="16"/>
          <w:lang w:val="en-US"/>
        </w:rPr>
        <w:t xml:space="preserve">para. 207, </w:t>
      </w:r>
      <w:r w:rsidRPr="007D3F3C">
        <w:rPr>
          <w:rFonts w:ascii="Verdana" w:hAnsi="Verdana"/>
          <w:spacing w:val="-4"/>
          <w:sz w:val="16"/>
          <w:szCs w:val="16"/>
          <w:lang w:val="en-US"/>
        </w:rPr>
        <w:t>citing the United Nations Manual on the Prevention and Investigation of Extra-Legal, Arbitrary and Summary Executions</w:t>
      </w:r>
      <w:r w:rsidRPr="007D3F3C">
        <w:rPr>
          <w:rFonts w:ascii="Verdana" w:hAnsi="Verdana"/>
          <w:i/>
          <w:spacing w:val="-4"/>
          <w:sz w:val="16"/>
          <w:szCs w:val="16"/>
          <w:lang w:val="en-US"/>
        </w:rPr>
        <w:t xml:space="preserve"> </w:t>
      </w:r>
      <w:r w:rsidRPr="007D3F3C">
        <w:rPr>
          <w:rFonts w:ascii="Verdana" w:hAnsi="Verdana"/>
          <w:i/>
          <w:sz w:val="16"/>
          <w:szCs w:val="16"/>
          <w:lang w:val="en-US"/>
        </w:rPr>
        <w:t>(Minnesota Protocol)</w:t>
      </w:r>
      <w:r w:rsidRPr="007D3F3C">
        <w:rPr>
          <w:rFonts w:ascii="Verdana" w:hAnsi="Verdana"/>
          <w:sz w:val="16"/>
          <w:szCs w:val="16"/>
          <w:lang w:val="en-US"/>
        </w:rPr>
        <w:t xml:space="preserve">, </w:t>
      </w:r>
      <w:r w:rsidRPr="007D3F3C">
        <w:rPr>
          <w:rFonts w:ascii="Verdana" w:hAnsi="Verdana"/>
          <w:i/>
          <w:sz w:val="16"/>
          <w:szCs w:val="16"/>
          <w:lang w:val="en-US"/>
        </w:rPr>
        <w:t>supra</w:t>
      </w:r>
      <w:r w:rsidRPr="007D3F3C">
        <w:rPr>
          <w:rFonts w:ascii="Verdana" w:hAnsi="Verdana"/>
          <w:spacing w:val="-4"/>
          <w:sz w:val="16"/>
          <w:szCs w:val="16"/>
          <w:lang w:val="en-US"/>
        </w:rPr>
        <w:t xml:space="preserve">. </w:t>
      </w:r>
    </w:p>
  </w:footnote>
  <w:footnote w:id="253">
    <w:p w14:paraId="753C6CC9"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iCs/>
          <w:spacing w:val="-4"/>
          <w:sz w:val="16"/>
          <w:szCs w:val="16"/>
          <w:lang w:val="en-US"/>
        </w:rPr>
        <w:t>Cf.</w:t>
      </w:r>
      <w:r w:rsidRPr="007D3F3C">
        <w:rPr>
          <w:rFonts w:ascii="Verdana" w:hAnsi="Verdana"/>
          <w:i/>
          <w:spacing w:val="-4"/>
          <w:sz w:val="16"/>
          <w:szCs w:val="16"/>
          <w:lang w:val="en-US"/>
        </w:rPr>
        <w:t xml:space="preserve"> Case of González et al. </w:t>
      </w:r>
      <w:r w:rsidRPr="007D3F3C">
        <w:rPr>
          <w:rFonts w:ascii="Verdana" w:hAnsi="Verdana"/>
          <w:i/>
          <w:spacing w:val="-4"/>
          <w:sz w:val="16"/>
          <w:szCs w:val="16"/>
          <w:lang w:val="es-CR"/>
        </w:rPr>
        <w:t xml:space="preserve">(“Cotton Field”) v. </w:t>
      </w:r>
      <w:r w:rsidRPr="007D3F3C">
        <w:rPr>
          <w:rFonts w:ascii="Verdana" w:hAnsi="Verdana"/>
          <w:i/>
          <w:spacing w:val="-4"/>
          <w:sz w:val="16"/>
          <w:szCs w:val="16"/>
          <w:lang w:val="es-CR"/>
        </w:rPr>
        <w:t>Mexico, supra</w:t>
      </w:r>
      <w:r w:rsidRPr="007D3F3C">
        <w:rPr>
          <w:rFonts w:ascii="Verdana" w:hAnsi="Verdana"/>
          <w:spacing w:val="-4"/>
          <w:sz w:val="16"/>
          <w:szCs w:val="16"/>
          <w:lang w:val="es-CR"/>
        </w:rPr>
        <w:t xml:space="preserve">, para. </w:t>
      </w:r>
      <w:r w:rsidRPr="007D3F3C">
        <w:rPr>
          <w:rFonts w:ascii="Verdana" w:hAnsi="Verdana"/>
          <w:spacing w:val="-4"/>
          <w:sz w:val="16"/>
          <w:szCs w:val="16"/>
          <w:lang w:val="en-US"/>
        </w:rPr>
        <w:t xml:space="preserve">305, and </w:t>
      </w:r>
      <w:r w:rsidRPr="007D3F3C">
        <w:rPr>
          <w:rFonts w:ascii="Verdana" w:hAnsi="Verdana"/>
          <w:bCs/>
          <w:i/>
          <w:spacing w:val="-4"/>
          <w:sz w:val="16"/>
          <w:szCs w:val="16"/>
          <w:lang w:val="en-US"/>
        </w:rPr>
        <w:t>Case of the Human Rights Defender et al. v. Guatemala, supra</w:t>
      </w:r>
      <w:r w:rsidRPr="007D3F3C">
        <w:rPr>
          <w:rFonts w:ascii="Verdana" w:hAnsi="Verdana"/>
          <w:bCs/>
          <w:spacing w:val="-4"/>
          <w:sz w:val="16"/>
          <w:szCs w:val="16"/>
          <w:lang w:val="en-US"/>
        </w:rPr>
        <w:t>,</w:t>
      </w:r>
      <w:r w:rsidRPr="007D3F3C">
        <w:rPr>
          <w:rFonts w:ascii="Verdana" w:hAnsi="Verdana"/>
          <w:bCs/>
          <w:i/>
          <w:spacing w:val="-4"/>
          <w:sz w:val="16"/>
          <w:szCs w:val="16"/>
          <w:lang w:val="en-US"/>
        </w:rPr>
        <w:t xml:space="preserve"> </w:t>
      </w:r>
      <w:r w:rsidRPr="007D3F3C">
        <w:rPr>
          <w:rFonts w:ascii="Verdana" w:hAnsi="Verdana"/>
          <w:bCs/>
          <w:spacing w:val="-4"/>
          <w:sz w:val="16"/>
          <w:szCs w:val="16"/>
          <w:lang w:val="en-US"/>
        </w:rPr>
        <w:t>para. 207.</w:t>
      </w:r>
    </w:p>
  </w:footnote>
  <w:footnote w:id="254">
    <w:p w14:paraId="2A26406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i/>
          <w:sz w:val="16"/>
          <w:szCs w:val="16"/>
          <w:lang w:val="en-US"/>
        </w:rPr>
        <w:t>Case of González et al. (“Cotton Field”), supra</w:t>
      </w:r>
      <w:r w:rsidRPr="007D3F3C">
        <w:rPr>
          <w:rFonts w:ascii="Verdana" w:hAnsi="Verdana"/>
          <w:sz w:val="16"/>
          <w:szCs w:val="16"/>
          <w:lang w:val="en-US"/>
        </w:rPr>
        <w:t>,</w:t>
      </w:r>
      <w:r w:rsidRPr="007D3F3C">
        <w:rPr>
          <w:rFonts w:ascii="Verdana" w:hAnsi="Verdana"/>
          <w:i/>
          <w:sz w:val="16"/>
          <w:szCs w:val="16"/>
          <w:lang w:val="en-US"/>
        </w:rPr>
        <w:t xml:space="preserve"> </w:t>
      </w:r>
      <w:r w:rsidRPr="007D3F3C">
        <w:rPr>
          <w:rFonts w:ascii="Verdana" w:hAnsi="Verdana"/>
          <w:sz w:val="16"/>
          <w:szCs w:val="16"/>
          <w:lang w:val="en-US"/>
        </w:rPr>
        <w:t xml:space="preserve">para. 310, and </w:t>
      </w:r>
      <w:r w:rsidRPr="007D3F3C">
        <w:rPr>
          <w:rFonts w:ascii="Verdana" w:hAnsi="Verdana"/>
          <w:i/>
          <w:color w:val="000000"/>
          <w:spacing w:val="-4"/>
          <w:sz w:val="16"/>
          <w:szCs w:val="16"/>
          <w:lang w:val="en-US"/>
        </w:rPr>
        <w:t>Case of Veliz Franco et al. v. Guatemala,</w:t>
      </w:r>
      <w:r w:rsidRPr="007D3F3C">
        <w:rPr>
          <w:rFonts w:ascii="Verdana" w:hAnsi="Verdana"/>
          <w:color w:val="000000"/>
          <w:spacing w:val="-4"/>
          <w:sz w:val="16"/>
          <w:szCs w:val="16"/>
          <w:lang w:val="en-US"/>
        </w:rPr>
        <w:t xml:space="preserve"> </w:t>
      </w:r>
      <w:r w:rsidRPr="007D3F3C">
        <w:rPr>
          <w:rFonts w:ascii="Verdana" w:hAnsi="Verdana"/>
          <w:i/>
          <w:spacing w:val="-4"/>
          <w:sz w:val="16"/>
          <w:szCs w:val="16"/>
          <w:lang w:val="en-US"/>
        </w:rPr>
        <w:t xml:space="preserve">supra, </w:t>
      </w:r>
      <w:r w:rsidRPr="007D3F3C">
        <w:rPr>
          <w:rFonts w:ascii="Verdana" w:hAnsi="Verdana"/>
          <w:spacing w:val="-4"/>
          <w:sz w:val="16"/>
          <w:szCs w:val="16"/>
          <w:lang w:val="en-US"/>
        </w:rPr>
        <w:t>para.</w:t>
      </w:r>
      <w:r w:rsidRPr="007D3F3C">
        <w:rPr>
          <w:rFonts w:ascii="Verdana" w:hAnsi="Verdana"/>
          <w:color w:val="000000"/>
          <w:spacing w:val="-4"/>
          <w:sz w:val="16"/>
          <w:szCs w:val="16"/>
          <w:lang w:val="en-US"/>
        </w:rPr>
        <w:t xml:space="preserve"> 194, citing </w:t>
      </w:r>
      <w:r w:rsidRPr="007D3F3C">
        <w:rPr>
          <w:rFonts w:ascii="Verdana" w:hAnsi="Verdana"/>
          <w:i/>
          <w:color w:val="000000"/>
          <w:spacing w:val="-4"/>
          <w:sz w:val="16"/>
          <w:szCs w:val="16"/>
          <w:lang w:val="en-US"/>
        </w:rPr>
        <w:t>the United Nations Manual on the Prevention and Investigation of Extra-Legal, Arbitrary and Summary Executions</w:t>
      </w:r>
      <w:r w:rsidRPr="007D3F3C">
        <w:rPr>
          <w:rFonts w:ascii="Verdana" w:hAnsi="Verdana"/>
          <w:i/>
          <w:sz w:val="16"/>
          <w:szCs w:val="16"/>
          <w:lang w:val="en-US"/>
        </w:rPr>
        <w:t xml:space="preserve"> (Minnesota Protocol), supra</w:t>
      </w:r>
      <w:r w:rsidRPr="007D3F3C">
        <w:rPr>
          <w:rFonts w:ascii="Verdana" w:hAnsi="Verdana"/>
          <w:sz w:val="16"/>
          <w:szCs w:val="16"/>
          <w:lang w:val="en-US"/>
        </w:rPr>
        <w:t xml:space="preserve">. </w:t>
      </w:r>
    </w:p>
  </w:footnote>
  <w:footnote w:id="255">
    <w:p w14:paraId="188159C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Report of the investigator of the Unit to Combat Murders of Women of the PNC Criminal Investigation Service of August 13, 2005 (evidence file, folios 68 to 71), and Photographic album of the actions taken on August 13, 2005, at the place where the body of Claudina Velásquez was discovered (evidence file, folio 2802). </w:t>
      </w:r>
      <w:r w:rsidRPr="007D3F3C">
        <w:rPr>
          <w:rFonts w:ascii="Verdana" w:hAnsi="Verdana"/>
          <w:i/>
          <w:sz w:val="16"/>
          <w:szCs w:val="16"/>
          <w:lang w:val="en-US"/>
        </w:rPr>
        <w:t xml:space="preserve">See </w:t>
      </w:r>
      <w:r w:rsidRPr="007D3F3C">
        <w:rPr>
          <w:rFonts w:ascii="Verdana" w:hAnsi="Verdana"/>
          <w:iCs/>
          <w:sz w:val="16"/>
          <w:szCs w:val="16"/>
          <w:lang w:val="en-US"/>
        </w:rPr>
        <w:t>also,</w:t>
      </w:r>
      <w:r w:rsidRPr="007D3F3C">
        <w:rPr>
          <w:rFonts w:ascii="Verdana" w:hAnsi="Verdana"/>
          <w:i/>
          <w:sz w:val="16"/>
          <w:szCs w:val="16"/>
          <w:lang w:val="en-US"/>
        </w:rPr>
        <w:t xml:space="preserve"> </w:t>
      </w:r>
      <w:r w:rsidRPr="007D3F3C">
        <w:rPr>
          <w:rFonts w:ascii="Verdana" w:eastAsia="Calibri" w:hAnsi="Verdana"/>
          <w:sz w:val="16"/>
          <w:szCs w:val="16"/>
          <w:lang w:val="en-US"/>
        </w:rPr>
        <w:t>the Ombudsman’s Report on verification of violations of the obligation to investigate in the case of Claudina Isabel Velásquez Paiz (evidence file, folio 111).</w:t>
      </w:r>
    </w:p>
  </w:footnote>
  <w:footnote w:id="256">
    <w:p w14:paraId="355D0CA4" w14:textId="77777777" w:rsidR="00576E40" w:rsidRPr="007D3F3C" w:rsidRDefault="00576E40" w:rsidP="00551CA7">
      <w:pPr>
        <w:autoSpaceDE w:val="0"/>
        <w:autoSpaceDN w:val="0"/>
        <w:adjustRightInd w:val="0"/>
        <w:spacing w:after="0" w:line="240" w:lineRule="auto"/>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Cs/>
          <w:sz w:val="16"/>
          <w:szCs w:val="16"/>
          <w:lang w:val="en-US"/>
        </w:rPr>
        <w:t>See</w:t>
      </w:r>
      <w:r w:rsidRPr="007D3F3C">
        <w:rPr>
          <w:rFonts w:ascii="Verdana" w:hAnsi="Verdana"/>
          <w:sz w:val="16"/>
          <w:szCs w:val="16"/>
          <w:lang w:val="en-US"/>
        </w:rPr>
        <w:t>, t</w:t>
      </w:r>
      <w:r w:rsidRPr="007D3F3C">
        <w:rPr>
          <w:rFonts w:ascii="Verdana" w:eastAsia="Calibri" w:hAnsi="Verdana"/>
          <w:sz w:val="16"/>
          <w:szCs w:val="16"/>
          <w:lang w:val="en-US"/>
        </w:rPr>
        <w:t>he Ombudsman’s Report on verification of violations of the obligation to investigate in the case of Claudina Isabel Velásquez Paiz (evidence file, folio 111).</w:t>
      </w:r>
    </w:p>
  </w:footnote>
  <w:footnote w:id="257">
    <w:p w14:paraId="4DBACD0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Death certificate of Claudina Isabel Velásquez Paiz (evidence file, folio 3016). </w:t>
      </w:r>
    </w:p>
  </w:footnote>
  <w:footnote w:id="258">
    <w:p w14:paraId="1257D95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on the external medical examination and forensic processing of the crime scene dated August 30, 2005 (evidence file, folios 35 and 36).</w:t>
      </w:r>
    </w:p>
  </w:footnote>
  <w:footnote w:id="259">
    <w:p w14:paraId="4F398BA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Brief of June 21, 2006 (evidence file, folio 38).</w:t>
      </w:r>
    </w:p>
  </w:footnote>
  <w:footnote w:id="260">
    <w:p w14:paraId="6DAECC6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Report of the forensic physician of the Judiciary of December 3, 2007 (evidence file, folio 5073).</w:t>
      </w:r>
    </w:p>
  </w:footnote>
  <w:footnote w:id="261">
    <w:p w14:paraId="65E52DC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Autopsy report of August 16, 2005 (evidence file, folios 30 and 31); Report of August 16, 2005, of the Criminal Investigations Expert of the Public Prosecution Service (</w:t>
      </w:r>
      <w:r w:rsidRPr="007D3F3C">
        <w:rPr>
          <w:rFonts w:ascii="Verdana" w:hAnsi="Verdana"/>
          <w:color w:val="000000"/>
          <w:sz w:val="16"/>
          <w:szCs w:val="16"/>
          <w:lang w:val="en-US"/>
        </w:rPr>
        <w:t xml:space="preserve">evidence file, folio 3302); </w:t>
      </w:r>
      <w:r w:rsidRPr="007D3F3C">
        <w:rPr>
          <w:rFonts w:ascii="Verdana" w:hAnsi="Verdana"/>
          <w:sz w:val="16"/>
          <w:szCs w:val="16"/>
          <w:lang w:val="en-US"/>
        </w:rPr>
        <w:t>Brief of August 23, 2005, with which the Criminal Investigations Expert forwarded the photographic album of the processing of the crime scene to the assistant prosecutor (evidence file, folios 2795 to 2805); Report on the external medical examination and forensic processing of the crime scene of August 30, 2005 (evidence file, folio 35); Brief of September 19, 2005, in which the  Criminal Investigations Expert forwarded the sketch and video of the actions taken at the scene to the assistant prosecutor (evidence file, folios 4611 and 4612); Expert report TOXI-05-2620 of September 16, 2005 (evidence file, folios 93 and 94); Report BIOL-05-1455 of September 26, 2005 (evidence file, folios 90 and 91); Communication BAL-05-1308/1639 of the Criminal Investigations Department of October 14, 2005 (evidence file, folios 3014 and 3015); Brief correcting the autopsy report of June 7, 2006 (evidence file, folio 87); Briefs of June 7, 2006, of the assistant prosecutor, requesting clarifications on the report on the external medical examination and forensic processing of the crime scene (evidence file, folios 88 and 193); Brief of June 23, 2006, in which the forensic physician of the Public Prosecution Service corrected the report on the external medical examination and forensic processing of the crime scene (evidence file, folio 38); Brief of July 18, 2008, in which the Criminal Investigations Expert forwarded 10 discarded photographs and video of the actions taken at the scene to the assistant prosecutor (evidence file, folios 4153 to 4158).</w:t>
      </w:r>
    </w:p>
  </w:footnote>
  <w:footnote w:id="262">
    <w:p w14:paraId="24198CA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before the assistant prosecutor of the Public Prosecution Service on January 20, 2009, by the forensic physician who was present at the site where Claudina Velásquez’s body was found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2879 to 2883).</w:t>
      </w:r>
    </w:p>
  </w:footnote>
  <w:footnote w:id="263">
    <w:p w14:paraId="03358AFC" w14:textId="77777777" w:rsidR="00576E40" w:rsidRPr="007D3F3C" w:rsidRDefault="00576E40" w:rsidP="00551CA7">
      <w:pPr>
        <w:tabs>
          <w:tab w:val="left" w:pos="720"/>
        </w:tabs>
        <w:autoSpaceDE w:val="0"/>
        <w:autoSpaceDN w:val="0"/>
        <w:adjustRightInd w:val="0"/>
        <w:spacing w:after="0" w:line="240" w:lineRule="auto"/>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 xml:space="preserve">Cf. Case of the La Rochela Massacre v. Colombia. Merits, reparations and costs. </w:t>
      </w:r>
      <w:r w:rsidRPr="007D3F3C">
        <w:rPr>
          <w:rFonts w:ascii="Verdana" w:hAnsi="Verdana"/>
          <w:spacing w:val="-4"/>
          <w:sz w:val="16"/>
          <w:szCs w:val="16"/>
          <w:lang w:val="en-US"/>
        </w:rPr>
        <w:t xml:space="preserve">Judgment of May 11, 2007. Series C No. 163, para. 158, and </w:t>
      </w:r>
      <w:r w:rsidRPr="007D3F3C">
        <w:rPr>
          <w:rFonts w:ascii="Verdana" w:hAnsi="Verdana"/>
          <w:i/>
          <w:spacing w:val="-4"/>
          <w:sz w:val="16"/>
          <w:szCs w:val="16"/>
          <w:lang w:val="en-US"/>
        </w:rPr>
        <w:t xml:space="preserve">Case of the Human Rights Defender v. Guatemala, supra, </w:t>
      </w:r>
      <w:r w:rsidRPr="007D3F3C">
        <w:rPr>
          <w:rFonts w:ascii="Verdana" w:hAnsi="Verdana"/>
          <w:spacing w:val="-4"/>
          <w:sz w:val="16"/>
          <w:szCs w:val="16"/>
          <w:lang w:val="en-US"/>
        </w:rPr>
        <w:t>para. 214.</w:t>
      </w:r>
    </w:p>
  </w:footnote>
  <w:footnote w:id="264">
    <w:p w14:paraId="38218E62" w14:textId="77777777" w:rsidR="00576E40" w:rsidRPr="007D3F3C" w:rsidRDefault="00576E40" w:rsidP="00551CA7">
      <w:pPr>
        <w:pStyle w:val="Textonotapie"/>
        <w:jc w:val="both"/>
        <w:rPr>
          <w:rFonts w:ascii="Verdana" w:hAnsi="Verdana"/>
          <w:i/>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pacing w:val="-4"/>
          <w:sz w:val="16"/>
          <w:szCs w:val="16"/>
          <w:lang w:val="en-US"/>
        </w:rPr>
        <w:t xml:space="preserve"> </w:t>
      </w:r>
      <w:r w:rsidRPr="007D3F3C">
        <w:rPr>
          <w:rFonts w:ascii="Verdana" w:hAnsi="Verdana"/>
          <w:i/>
          <w:spacing w:val="-4"/>
          <w:sz w:val="16"/>
          <w:szCs w:val="16"/>
          <w:lang w:val="en-US"/>
        </w:rPr>
        <w:t>Case of Kawas Fernández v. Honduras</w:t>
      </w:r>
      <w:r w:rsidRPr="007D3F3C">
        <w:rPr>
          <w:rStyle w:val="Textoennegrita"/>
          <w:rFonts w:ascii="Verdana" w:hAnsi="Verdana"/>
          <w:b w:val="0"/>
          <w:i/>
          <w:sz w:val="16"/>
          <w:szCs w:val="16"/>
          <w:lang w:val="en-US"/>
        </w:rPr>
        <w:t>.</w:t>
      </w:r>
      <w:r w:rsidRPr="007D3F3C">
        <w:rPr>
          <w:rStyle w:val="Textoennegrita"/>
          <w:rFonts w:ascii="Verdana" w:hAnsi="Verdana"/>
          <w:sz w:val="16"/>
          <w:szCs w:val="16"/>
          <w:lang w:val="en-US"/>
        </w:rPr>
        <w:t xml:space="preserve"> </w:t>
      </w:r>
      <w:r w:rsidRPr="007D3F3C">
        <w:rPr>
          <w:rStyle w:val="Textoennegrita"/>
          <w:rFonts w:ascii="Verdana" w:hAnsi="Verdana"/>
          <w:b w:val="0"/>
          <w:i/>
          <w:sz w:val="16"/>
          <w:szCs w:val="16"/>
          <w:lang w:val="en-US"/>
        </w:rPr>
        <w:t>Merits, reparations and costs</w:t>
      </w:r>
      <w:r w:rsidRPr="007D3F3C">
        <w:rPr>
          <w:rStyle w:val="Textoennegrita"/>
          <w:rFonts w:ascii="Verdana" w:hAnsi="Verdana"/>
          <w:b w:val="0"/>
          <w:sz w:val="16"/>
          <w:szCs w:val="16"/>
          <w:lang w:val="en-US"/>
        </w:rPr>
        <w:t>. Judgment of April 3, 2009. Series C No. 196</w:t>
      </w:r>
      <w:r w:rsidRPr="007D3F3C">
        <w:rPr>
          <w:rFonts w:ascii="Verdana" w:hAnsi="Verdana"/>
          <w:spacing w:val="-4"/>
          <w:sz w:val="16"/>
          <w:szCs w:val="16"/>
          <w:lang w:val="en-US"/>
        </w:rPr>
        <w:t xml:space="preserve">, para. 96, and </w:t>
      </w:r>
      <w:r w:rsidRPr="007D3F3C">
        <w:rPr>
          <w:rFonts w:ascii="Verdana" w:hAnsi="Verdana"/>
          <w:i/>
          <w:spacing w:val="-4"/>
          <w:sz w:val="16"/>
          <w:szCs w:val="16"/>
          <w:lang w:val="en-US"/>
        </w:rPr>
        <w:t xml:space="preserve">Case of the Human Rights Defender v. Guatemala, supra, </w:t>
      </w:r>
      <w:r w:rsidRPr="007D3F3C">
        <w:rPr>
          <w:rFonts w:ascii="Verdana" w:hAnsi="Verdana"/>
          <w:spacing w:val="-4"/>
          <w:sz w:val="16"/>
          <w:szCs w:val="16"/>
          <w:lang w:val="en-US"/>
        </w:rPr>
        <w:t>para. 214.</w:t>
      </w:r>
    </w:p>
  </w:footnote>
  <w:footnote w:id="265">
    <w:p w14:paraId="7A601F37"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pacing w:val="-4"/>
          <w:sz w:val="16"/>
          <w:szCs w:val="16"/>
          <w:lang w:val="en-US"/>
        </w:rPr>
        <w:t xml:space="preserve"> </w:t>
      </w:r>
      <w:r w:rsidRPr="007D3F3C">
        <w:rPr>
          <w:rFonts w:ascii="Verdana" w:hAnsi="Verdana"/>
          <w:i/>
          <w:spacing w:val="-4"/>
          <w:sz w:val="16"/>
          <w:szCs w:val="16"/>
          <w:lang w:val="en-US"/>
        </w:rPr>
        <w:t>Case of Cantoral Huamaní and García Santa Cruz v. Peru</w:t>
      </w:r>
      <w:r w:rsidRPr="007D3F3C">
        <w:rPr>
          <w:rStyle w:val="Textoennegrita"/>
          <w:rFonts w:ascii="Verdana" w:hAnsi="Verdana"/>
          <w:b w:val="0"/>
          <w:i/>
          <w:sz w:val="16"/>
          <w:szCs w:val="16"/>
          <w:lang w:val="en-US"/>
        </w:rPr>
        <w:t>.</w:t>
      </w:r>
      <w:r w:rsidRPr="007D3F3C">
        <w:rPr>
          <w:rStyle w:val="Textoennegrita"/>
          <w:rFonts w:ascii="Verdana" w:hAnsi="Verdana"/>
          <w:i/>
          <w:sz w:val="16"/>
          <w:szCs w:val="16"/>
          <w:lang w:val="en-US"/>
        </w:rPr>
        <w:t xml:space="preserve"> </w:t>
      </w:r>
      <w:r w:rsidRPr="007D3F3C">
        <w:rPr>
          <w:rStyle w:val="Textoennegrita"/>
          <w:rFonts w:ascii="Verdana" w:hAnsi="Verdana"/>
          <w:b w:val="0"/>
          <w:i/>
          <w:sz w:val="16"/>
          <w:szCs w:val="16"/>
          <w:lang w:val="en-US"/>
        </w:rPr>
        <w:t>Preliminary objection, merits, reparations and costs</w:t>
      </w:r>
      <w:r w:rsidRPr="007D3F3C">
        <w:rPr>
          <w:rStyle w:val="Textoennegrita"/>
          <w:rFonts w:ascii="Verdana" w:hAnsi="Verdana"/>
          <w:b w:val="0"/>
          <w:sz w:val="16"/>
          <w:szCs w:val="16"/>
          <w:lang w:val="en-US"/>
        </w:rPr>
        <w:t>. Judgment of July 10, 2007. Series C No. 167</w:t>
      </w:r>
      <w:r w:rsidRPr="007D3F3C">
        <w:rPr>
          <w:rFonts w:ascii="Verdana" w:hAnsi="Verdana"/>
          <w:i/>
          <w:spacing w:val="-4"/>
          <w:sz w:val="16"/>
          <w:szCs w:val="16"/>
          <w:lang w:val="en-US"/>
        </w:rPr>
        <w:t xml:space="preserve">, </w:t>
      </w:r>
      <w:r w:rsidRPr="007D3F3C">
        <w:rPr>
          <w:rFonts w:ascii="Verdana" w:hAnsi="Verdana"/>
          <w:spacing w:val="-4"/>
          <w:sz w:val="16"/>
          <w:szCs w:val="16"/>
          <w:lang w:val="en-US"/>
        </w:rPr>
        <w:t xml:space="preserve">para. 87, and </w:t>
      </w:r>
      <w:r w:rsidRPr="007D3F3C">
        <w:rPr>
          <w:rFonts w:ascii="Verdana" w:hAnsi="Verdana"/>
          <w:i/>
          <w:spacing w:val="-4"/>
          <w:sz w:val="16"/>
          <w:szCs w:val="16"/>
          <w:lang w:val="en-US"/>
        </w:rPr>
        <w:t xml:space="preserve">Case of the Human Rights Defender v. Guatemala, supra, </w:t>
      </w:r>
      <w:r w:rsidRPr="007D3F3C">
        <w:rPr>
          <w:rFonts w:ascii="Verdana" w:hAnsi="Verdana"/>
          <w:spacing w:val="-4"/>
          <w:sz w:val="16"/>
          <w:szCs w:val="16"/>
          <w:lang w:val="en-US"/>
        </w:rPr>
        <w:t>para. 214.</w:t>
      </w:r>
    </w:p>
  </w:footnote>
  <w:footnote w:id="266">
    <w:p w14:paraId="549A7B1D" w14:textId="77777777" w:rsidR="00576E40" w:rsidRPr="007D3F3C" w:rsidRDefault="00576E40" w:rsidP="00551CA7">
      <w:pPr>
        <w:pStyle w:val="Textonotapie"/>
        <w:jc w:val="both"/>
        <w:rPr>
          <w:rFonts w:ascii="Verdana" w:hAnsi="Verdana"/>
          <w:i/>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 xml:space="preserve">Cf. </w:t>
      </w:r>
      <w:r w:rsidRPr="007D3F3C">
        <w:rPr>
          <w:rFonts w:ascii="Verdana" w:hAnsi="Verdana" w:cs="Arial"/>
          <w:i/>
          <w:spacing w:val="-4"/>
          <w:sz w:val="16"/>
          <w:szCs w:val="16"/>
          <w:shd w:val="clear" w:color="auto" w:fill="FFFFFF"/>
          <w:lang w:val="en-US"/>
        </w:rPr>
        <w:t>Case of Nogueira de Carvalho et al. v. Brazil</w:t>
      </w:r>
      <w:r w:rsidRPr="007D3F3C">
        <w:rPr>
          <w:rStyle w:val="Textoennegrita"/>
          <w:rFonts w:ascii="Verdana" w:hAnsi="Verdana"/>
          <w:b w:val="0"/>
          <w:sz w:val="16"/>
          <w:szCs w:val="16"/>
          <w:lang w:val="en-US"/>
        </w:rPr>
        <w:t>.</w:t>
      </w:r>
      <w:r w:rsidRPr="007D3F3C">
        <w:rPr>
          <w:rStyle w:val="Textoennegrita"/>
          <w:rFonts w:ascii="Verdana" w:hAnsi="Verdana"/>
          <w:sz w:val="16"/>
          <w:szCs w:val="16"/>
          <w:lang w:val="en-US"/>
        </w:rPr>
        <w:t xml:space="preserve"> </w:t>
      </w:r>
      <w:r w:rsidRPr="007D3F3C">
        <w:rPr>
          <w:rStyle w:val="Textoennegrita"/>
          <w:rFonts w:ascii="Verdana" w:hAnsi="Verdana"/>
          <w:b w:val="0"/>
          <w:i/>
          <w:sz w:val="16"/>
          <w:szCs w:val="16"/>
          <w:lang w:val="en-US"/>
        </w:rPr>
        <w:t>Preliminary objections and merits.</w:t>
      </w:r>
      <w:r w:rsidRPr="007D3F3C">
        <w:rPr>
          <w:rStyle w:val="Textoennegrita"/>
          <w:rFonts w:ascii="Verdana" w:hAnsi="Verdana"/>
          <w:b w:val="0"/>
          <w:sz w:val="16"/>
          <w:szCs w:val="16"/>
          <w:lang w:val="en-US"/>
        </w:rPr>
        <w:t xml:space="preserve"> Judgment of November 28, 2006. Series C No. 161</w:t>
      </w:r>
      <w:r w:rsidRPr="007D3F3C">
        <w:rPr>
          <w:rFonts w:ascii="Verdana" w:hAnsi="Verdana"/>
          <w:i/>
          <w:spacing w:val="-4"/>
          <w:sz w:val="16"/>
          <w:szCs w:val="16"/>
          <w:lang w:val="en-US"/>
        </w:rPr>
        <w:t>,</w:t>
      </w:r>
      <w:r w:rsidRPr="007D3F3C">
        <w:rPr>
          <w:rFonts w:ascii="Verdana" w:hAnsi="Verdana"/>
          <w:spacing w:val="-4"/>
          <w:sz w:val="16"/>
          <w:szCs w:val="16"/>
          <w:lang w:val="en-US"/>
        </w:rPr>
        <w:t xml:space="preserve"> para. 80, and </w:t>
      </w:r>
      <w:r w:rsidRPr="007D3F3C">
        <w:rPr>
          <w:rFonts w:ascii="Verdana" w:hAnsi="Verdana"/>
          <w:i/>
          <w:spacing w:val="-4"/>
          <w:sz w:val="16"/>
          <w:szCs w:val="16"/>
          <w:lang w:val="en-US"/>
        </w:rPr>
        <w:t xml:space="preserve">Case of the Human Rights Defender v. Guatemala, supra, </w:t>
      </w:r>
      <w:r w:rsidRPr="007D3F3C">
        <w:rPr>
          <w:rFonts w:ascii="Verdana" w:hAnsi="Verdana"/>
          <w:spacing w:val="-4"/>
          <w:sz w:val="16"/>
          <w:szCs w:val="16"/>
          <w:lang w:val="en-US"/>
        </w:rPr>
        <w:t>para. 214.</w:t>
      </w:r>
    </w:p>
  </w:footnote>
  <w:footnote w:id="267">
    <w:p w14:paraId="4571E45F" w14:textId="77777777" w:rsidR="00576E40" w:rsidRPr="007D3F3C" w:rsidRDefault="00576E40" w:rsidP="00551CA7">
      <w:pPr>
        <w:pStyle w:val="Textonotapie"/>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spacing w:val="-4"/>
          <w:sz w:val="16"/>
          <w:szCs w:val="16"/>
          <w:lang w:val="en-US"/>
        </w:rPr>
        <w:t>Cf.</w:t>
      </w:r>
      <w:r w:rsidRPr="007D3F3C">
        <w:rPr>
          <w:rFonts w:ascii="Verdana" w:hAnsi="Verdana"/>
          <w:spacing w:val="-4"/>
          <w:sz w:val="16"/>
          <w:szCs w:val="16"/>
          <w:lang w:val="en-US"/>
        </w:rPr>
        <w:t xml:space="preserve"> </w:t>
      </w:r>
      <w:r w:rsidRPr="007D3F3C">
        <w:rPr>
          <w:rFonts w:ascii="Verdana" w:hAnsi="Verdana" w:cs="Arial"/>
          <w:i/>
          <w:spacing w:val="-4"/>
          <w:sz w:val="16"/>
          <w:szCs w:val="16"/>
          <w:shd w:val="clear" w:color="auto" w:fill="FFFFFF"/>
          <w:lang w:val="en-US"/>
        </w:rPr>
        <w:t>Case of Ibsen Cárdenas and Ibsen Peña v. Bolivia. Merits, reparations and costs.</w:t>
      </w:r>
      <w:r w:rsidRPr="007D3F3C">
        <w:rPr>
          <w:rFonts w:ascii="Verdana" w:hAnsi="Verdana" w:cs="Arial"/>
          <w:spacing w:val="-4"/>
          <w:sz w:val="16"/>
          <w:szCs w:val="16"/>
          <w:shd w:val="clear" w:color="auto" w:fill="FFFFFF"/>
          <w:lang w:val="en-US"/>
        </w:rPr>
        <w:t xml:space="preserve"> Judgment of September 1, 2010. Series C No. 217</w:t>
      </w:r>
      <w:r w:rsidRPr="007D3F3C">
        <w:rPr>
          <w:rFonts w:ascii="Verdana" w:hAnsi="Verdana"/>
          <w:spacing w:val="-4"/>
          <w:sz w:val="16"/>
          <w:szCs w:val="16"/>
          <w:lang w:val="en-US"/>
        </w:rPr>
        <w:t xml:space="preserve">, para. 172, and </w:t>
      </w:r>
      <w:r w:rsidRPr="007D3F3C">
        <w:rPr>
          <w:rFonts w:ascii="Verdana" w:hAnsi="Verdana"/>
          <w:i/>
          <w:spacing w:val="-4"/>
          <w:sz w:val="16"/>
          <w:szCs w:val="16"/>
          <w:lang w:val="en-US"/>
        </w:rPr>
        <w:t xml:space="preserve">Case of the Human Rights Defender v. Guatemala, supra, </w:t>
      </w:r>
      <w:r w:rsidRPr="007D3F3C">
        <w:rPr>
          <w:rFonts w:ascii="Verdana" w:hAnsi="Verdana"/>
          <w:spacing w:val="-4"/>
          <w:sz w:val="16"/>
          <w:szCs w:val="16"/>
          <w:lang w:val="en-US"/>
        </w:rPr>
        <w:t xml:space="preserve">para. 214. The Court has defined impunity as the total failure to investigate, pursue, capture, prosecute and punish those responsible for human rights violations. </w:t>
      </w:r>
      <w:r w:rsidRPr="007D3F3C">
        <w:rPr>
          <w:rFonts w:ascii="Verdana" w:hAnsi="Verdana"/>
          <w:i/>
          <w:spacing w:val="-4"/>
          <w:sz w:val="16"/>
          <w:szCs w:val="16"/>
          <w:lang w:val="en-US"/>
        </w:rPr>
        <w:t>Cf. Case of the “White Van” (Paniagua Morales et al.) v. Guatemala. Preliminary objections.</w:t>
      </w:r>
      <w:r w:rsidRPr="007D3F3C">
        <w:rPr>
          <w:rFonts w:ascii="Verdana" w:hAnsi="Verdana"/>
          <w:spacing w:val="-4"/>
          <w:sz w:val="16"/>
          <w:szCs w:val="16"/>
          <w:lang w:val="en-US"/>
        </w:rPr>
        <w:t xml:space="preserve"> Judgment of January 25, 1996. Series C No. 23, para. 173, and </w:t>
      </w:r>
      <w:r w:rsidRPr="007D3F3C">
        <w:rPr>
          <w:rFonts w:ascii="Verdana" w:hAnsi="Verdana"/>
          <w:i/>
          <w:spacing w:val="-4"/>
          <w:sz w:val="16"/>
          <w:szCs w:val="16"/>
          <w:lang w:val="en-US"/>
        </w:rPr>
        <w:t>Case of Manuel Cepeda Vargas v. Colombia, supra,</w:t>
      </w:r>
      <w:r w:rsidRPr="007D3F3C">
        <w:rPr>
          <w:rFonts w:ascii="Verdana" w:hAnsi="Verdana"/>
          <w:spacing w:val="-4"/>
          <w:sz w:val="16"/>
          <w:szCs w:val="16"/>
          <w:lang w:val="en-US"/>
        </w:rPr>
        <w:t xml:space="preserve"> footnote 184. </w:t>
      </w:r>
    </w:p>
  </w:footnote>
  <w:footnote w:id="268">
    <w:p w14:paraId="3D52EC60" w14:textId="77777777" w:rsidR="00576E40" w:rsidRPr="007D3F3C" w:rsidRDefault="00576E40" w:rsidP="00551CA7">
      <w:pPr>
        <w:pStyle w:val="Textonotapie"/>
        <w:tabs>
          <w:tab w:val="left" w:pos="567"/>
        </w:tabs>
        <w:contextualSpacing/>
        <w:jc w:val="both"/>
        <w:rPr>
          <w:rFonts w:ascii="Verdana" w:hAnsi="Verdana" w:cs="Vrinda"/>
          <w:spacing w:val="-4"/>
          <w:sz w:val="16"/>
          <w:szCs w:val="16"/>
          <w:lang w:val="en-US"/>
        </w:rPr>
      </w:pPr>
      <w:r w:rsidRPr="007D3F3C">
        <w:rPr>
          <w:rStyle w:val="Refdenotaalpie"/>
          <w:rFonts w:ascii="Verdana" w:hAnsi="Verdana" w:cs="Vrinda"/>
          <w:spacing w:val="-4"/>
          <w:sz w:val="16"/>
          <w:szCs w:val="16"/>
          <w:lang w:val="en-US"/>
        </w:rPr>
        <w:footnoteRef/>
      </w:r>
      <w:r w:rsidRPr="007D3F3C">
        <w:rPr>
          <w:rFonts w:ascii="Verdana" w:hAnsi="Verdana" w:cs="Vrinda"/>
          <w:spacing w:val="-4"/>
          <w:sz w:val="16"/>
          <w:szCs w:val="16"/>
          <w:lang w:val="en-US"/>
        </w:rPr>
        <w:t xml:space="preserve"> </w:t>
      </w:r>
      <w:r w:rsidRPr="007D3F3C">
        <w:rPr>
          <w:rFonts w:ascii="Verdana" w:hAnsi="Verdana" w:cs="Vrinda"/>
          <w:spacing w:val="-4"/>
          <w:sz w:val="16"/>
          <w:szCs w:val="16"/>
          <w:lang w:val="en-US"/>
        </w:rPr>
        <w:tab/>
      </w:r>
      <w:r w:rsidRPr="007D3F3C">
        <w:rPr>
          <w:rFonts w:ascii="Verdana" w:hAnsi="Verdana" w:cs="Vrinda"/>
          <w:i/>
          <w:spacing w:val="-4"/>
          <w:sz w:val="16"/>
          <w:szCs w:val="16"/>
          <w:lang w:val="en-US"/>
        </w:rPr>
        <w:t>Cf.</w:t>
      </w:r>
      <w:r w:rsidRPr="007D3F3C">
        <w:rPr>
          <w:rStyle w:val="Textoennegrita"/>
          <w:rFonts w:ascii="Verdana" w:hAnsi="Verdana" w:cs="Vrinda"/>
          <w:b w:val="0"/>
          <w:i/>
          <w:color w:val="000000"/>
          <w:spacing w:val="-4"/>
          <w:sz w:val="16"/>
          <w:szCs w:val="16"/>
          <w:lang w:val="en-US"/>
        </w:rPr>
        <w:t xml:space="preserve"> Proposed Amendment to the Naturalization Provision of the Constitution of Costa Rica</w:t>
      </w:r>
      <w:r w:rsidRPr="007D3F3C">
        <w:rPr>
          <w:rFonts w:ascii="Verdana" w:hAnsi="Verdana" w:cs="Vrinda"/>
          <w:spacing w:val="-4"/>
          <w:sz w:val="16"/>
          <w:szCs w:val="16"/>
          <w:lang w:val="en-US"/>
        </w:rPr>
        <w:t xml:space="preserve">. Advisory Opinion OC-4/84 of January 19, 1984. </w:t>
      </w:r>
      <w:r w:rsidRPr="007D3F3C">
        <w:rPr>
          <w:rFonts w:ascii="Verdana" w:hAnsi="Verdana"/>
          <w:color w:val="000000"/>
          <w:spacing w:val="-4"/>
          <w:sz w:val="16"/>
          <w:szCs w:val="16"/>
          <w:lang w:val="en-US"/>
        </w:rPr>
        <w:t>Series A No. 4</w:t>
      </w:r>
      <w:r w:rsidRPr="007D3F3C">
        <w:rPr>
          <w:rFonts w:ascii="Verdana" w:hAnsi="Verdana" w:cs="Vrinda"/>
          <w:i/>
          <w:spacing w:val="-4"/>
          <w:sz w:val="16"/>
          <w:szCs w:val="16"/>
          <w:lang w:val="en-US"/>
        </w:rPr>
        <w:t>,</w:t>
      </w:r>
      <w:r w:rsidRPr="007D3F3C">
        <w:rPr>
          <w:rFonts w:ascii="Verdana" w:hAnsi="Verdana" w:cs="Vrinda"/>
          <w:spacing w:val="-4"/>
          <w:sz w:val="16"/>
          <w:szCs w:val="16"/>
          <w:lang w:val="en-US"/>
        </w:rPr>
        <w:t xml:space="preserve"> para. 55</w:t>
      </w:r>
      <w:r w:rsidRPr="007D3F3C">
        <w:rPr>
          <w:rStyle w:val="Textoennegrita"/>
          <w:rFonts w:ascii="Verdana" w:hAnsi="Verdana" w:cs="Vrinda"/>
          <w:b w:val="0"/>
          <w:color w:val="000000"/>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Espinoza Gonzáles v. Peru, supra</w:t>
      </w:r>
      <w:r w:rsidRPr="007D3F3C">
        <w:rPr>
          <w:rStyle w:val="Textoennegrita"/>
          <w:rFonts w:ascii="Verdana" w:hAnsi="Verdana"/>
          <w:b w:val="0"/>
          <w:color w:val="000000"/>
          <w:sz w:val="16"/>
          <w:szCs w:val="16"/>
          <w:shd w:val="clear" w:color="auto" w:fill="FFFFFF"/>
          <w:lang w:val="en-US"/>
        </w:rPr>
        <w:t>, para. 216.</w:t>
      </w:r>
    </w:p>
  </w:footnote>
  <w:footnote w:id="269">
    <w:p w14:paraId="3142ECE0" w14:textId="77777777" w:rsidR="00576E40" w:rsidRPr="007D3F3C" w:rsidRDefault="00576E40" w:rsidP="00551CA7">
      <w:pPr>
        <w:pStyle w:val="Textonotapie"/>
        <w:tabs>
          <w:tab w:val="left" w:pos="567"/>
        </w:tabs>
        <w:contextualSpacing/>
        <w:jc w:val="both"/>
        <w:rPr>
          <w:rStyle w:val="Refdenotaalpie"/>
          <w:rFonts w:ascii="Verdana" w:hAnsi="Verdana" w:cs="Vrinda"/>
          <w:spacing w:val="-4"/>
          <w:sz w:val="16"/>
          <w:szCs w:val="16"/>
          <w:lang w:val="en-US"/>
        </w:rPr>
      </w:pPr>
      <w:r w:rsidRPr="007D3F3C">
        <w:rPr>
          <w:rStyle w:val="Refdenotaalpie"/>
          <w:rFonts w:ascii="Verdana" w:hAnsi="Verdana" w:cs="Vrinda"/>
          <w:spacing w:val="-4"/>
          <w:sz w:val="16"/>
          <w:szCs w:val="16"/>
          <w:lang w:val="en-US"/>
        </w:rPr>
        <w:footnoteRef/>
      </w:r>
      <w:r w:rsidRPr="007D3F3C">
        <w:rPr>
          <w:rFonts w:ascii="Verdana" w:hAnsi="Verdana" w:cs="Vrinda"/>
          <w:spacing w:val="-4"/>
          <w:sz w:val="16"/>
          <w:szCs w:val="16"/>
          <w:lang w:val="en-US"/>
        </w:rPr>
        <w:tab/>
      </w:r>
      <w:r w:rsidRPr="007D3F3C">
        <w:rPr>
          <w:rFonts w:ascii="Verdana" w:hAnsi="Verdana" w:cs="Vrinda"/>
          <w:i/>
          <w:spacing w:val="-4"/>
          <w:sz w:val="16"/>
          <w:szCs w:val="16"/>
          <w:lang w:val="en-US"/>
        </w:rPr>
        <w:t xml:space="preserve">Cf. Juridical Status of Undocumented Migrants. </w:t>
      </w:r>
      <w:r w:rsidRPr="007D3F3C">
        <w:rPr>
          <w:rFonts w:ascii="Verdana" w:hAnsi="Verdana" w:cs="Vrinda"/>
          <w:spacing w:val="-4"/>
          <w:sz w:val="16"/>
          <w:szCs w:val="16"/>
          <w:lang w:val="en-US"/>
        </w:rPr>
        <w:t xml:space="preserve">Advisory Opinion OC-18/03 </w:t>
      </w:r>
      <w:r w:rsidRPr="007D3F3C">
        <w:rPr>
          <w:rFonts w:ascii="Verdana" w:hAnsi="Verdana"/>
          <w:color w:val="000000"/>
          <w:spacing w:val="-4"/>
          <w:sz w:val="16"/>
          <w:szCs w:val="16"/>
          <w:lang w:val="en-US"/>
        </w:rPr>
        <w:t>of September 17, 2013. Series A No. 18</w:t>
      </w:r>
      <w:r w:rsidRPr="007D3F3C">
        <w:rPr>
          <w:rFonts w:ascii="Verdana" w:hAnsi="Verdana" w:cs="Vrinda"/>
          <w:spacing w:val="-4"/>
          <w:sz w:val="16"/>
          <w:szCs w:val="16"/>
          <w:lang w:val="en-US"/>
        </w:rPr>
        <w:t xml:space="preserve">, paras. 101, </w:t>
      </w:r>
      <w:r w:rsidRPr="007D3F3C">
        <w:rPr>
          <w:rStyle w:val="sb8d990e2"/>
          <w:rFonts w:ascii="Verdana" w:hAnsi="Verdana" w:cs="Vrinda"/>
          <w:color w:val="000000"/>
          <w:spacing w:val="-4"/>
          <w:sz w:val="16"/>
          <w:szCs w:val="16"/>
          <w:lang w:val="en-US"/>
        </w:rPr>
        <w:t>103 and 104,</w:t>
      </w:r>
      <w:r w:rsidRPr="007D3F3C">
        <w:rPr>
          <w:rFonts w:ascii="Verdana" w:hAnsi="Verdana" w:cs="Vrinda"/>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cs="Vrinda"/>
          <w:b w:val="0"/>
          <w:i/>
          <w:color w:val="000000"/>
          <w:spacing w:val="-4"/>
          <w:sz w:val="16"/>
          <w:szCs w:val="16"/>
          <w:lang w:val="en-US"/>
        </w:rPr>
        <w:t>supra,</w:t>
      </w:r>
      <w:r w:rsidRPr="007D3F3C">
        <w:rPr>
          <w:rStyle w:val="Textoennegrita"/>
          <w:rFonts w:ascii="Verdana" w:hAnsi="Verdana" w:cs="Vrinda"/>
          <w:b w:val="0"/>
          <w:color w:val="000000"/>
          <w:spacing w:val="-4"/>
          <w:sz w:val="16"/>
          <w:szCs w:val="16"/>
          <w:lang w:val="en-US"/>
        </w:rPr>
        <w:t xml:space="preserve"> paras.</w:t>
      </w:r>
      <w:r w:rsidRPr="007D3F3C">
        <w:rPr>
          <w:rStyle w:val="Textoennegrita"/>
          <w:rFonts w:ascii="Verdana" w:hAnsi="Verdana"/>
          <w:b w:val="0"/>
          <w:color w:val="000000"/>
          <w:sz w:val="16"/>
          <w:szCs w:val="16"/>
          <w:shd w:val="clear" w:color="auto" w:fill="FFFFFF"/>
          <w:lang w:val="en-US"/>
        </w:rPr>
        <w:t xml:space="preserve"> 216 and 220.</w:t>
      </w:r>
    </w:p>
  </w:footnote>
  <w:footnote w:id="270">
    <w:p w14:paraId="6F862A95" w14:textId="77777777" w:rsidR="00576E40" w:rsidRPr="007D3F3C" w:rsidRDefault="00576E40" w:rsidP="00551CA7">
      <w:pPr>
        <w:pStyle w:val="Textonotapie"/>
        <w:tabs>
          <w:tab w:val="left" w:pos="567"/>
        </w:tabs>
        <w:contextualSpacing/>
        <w:jc w:val="both"/>
        <w:rPr>
          <w:rFonts w:ascii="Verdana" w:hAnsi="Verdana" w:cs="Vrinda"/>
          <w:spacing w:val="-4"/>
          <w:sz w:val="16"/>
          <w:szCs w:val="16"/>
          <w:lang w:val="en-US"/>
        </w:rPr>
      </w:pPr>
      <w:r w:rsidRPr="007D3F3C">
        <w:rPr>
          <w:rFonts w:ascii="Verdana" w:hAnsi="Verdana" w:cs="Vrinda"/>
          <w:spacing w:val="-4"/>
          <w:sz w:val="16"/>
          <w:szCs w:val="16"/>
          <w:vertAlign w:val="superscript"/>
          <w:lang w:val="en-US"/>
        </w:rPr>
        <w:footnoteRef/>
      </w:r>
      <w:r w:rsidRPr="007D3F3C">
        <w:rPr>
          <w:rFonts w:ascii="Verdana" w:hAnsi="Verdana" w:cs="Vrinda"/>
          <w:spacing w:val="-4"/>
          <w:sz w:val="16"/>
          <w:szCs w:val="16"/>
          <w:lang w:val="en-US"/>
        </w:rPr>
        <w:t xml:space="preserve"> </w:t>
      </w:r>
      <w:r w:rsidRPr="007D3F3C">
        <w:rPr>
          <w:rFonts w:ascii="Verdana" w:hAnsi="Verdana" w:cs="Vrinda"/>
          <w:spacing w:val="-4"/>
          <w:sz w:val="16"/>
          <w:szCs w:val="16"/>
          <w:lang w:val="en-US"/>
        </w:rPr>
        <w:tab/>
      </w:r>
      <w:r w:rsidRPr="007D3F3C">
        <w:rPr>
          <w:rFonts w:ascii="Verdana" w:hAnsi="Verdana" w:cs="Vrinda"/>
          <w:i/>
          <w:spacing w:val="-4"/>
          <w:sz w:val="16"/>
          <w:szCs w:val="16"/>
          <w:lang w:val="en-US"/>
        </w:rPr>
        <w:t xml:space="preserve">Cf. </w:t>
      </w:r>
      <w:r w:rsidRPr="007D3F3C">
        <w:rPr>
          <w:rFonts w:ascii="Verdana" w:hAnsi="Verdana"/>
          <w:i/>
          <w:spacing w:val="-4"/>
          <w:sz w:val="16"/>
          <w:szCs w:val="16"/>
          <w:lang w:val="en-US"/>
        </w:rPr>
        <w:t>Case of Apitz Barbera et al. (“First Administrative Contentious Court”) v. Venezuela</w:t>
      </w:r>
      <w:r w:rsidRPr="007D3F3C">
        <w:rPr>
          <w:rStyle w:val="Textoennegrita"/>
          <w:rFonts w:ascii="Verdana" w:hAnsi="Verdana"/>
          <w:b w:val="0"/>
          <w:sz w:val="16"/>
          <w:szCs w:val="16"/>
          <w:lang w:val="en-US"/>
        </w:rPr>
        <w:t>.</w:t>
      </w:r>
      <w:r w:rsidRPr="007D3F3C">
        <w:rPr>
          <w:rStyle w:val="Textoennegrita"/>
          <w:rFonts w:ascii="Verdana" w:hAnsi="Verdana"/>
          <w:sz w:val="16"/>
          <w:szCs w:val="16"/>
          <w:lang w:val="en-US"/>
        </w:rPr>
        <w:t xml:space="preserve"> </w:t>
      </w:r>
      <w:r w:rsidRPr="007D3F3C">
        <w:rPr>
          <w:rStyle w:val="Textoennegrita"/>
          <w:rFonts w:ascii="Verdana" w:hAnsi="Verdana"/>
          <w:b w:val="0"/>
          <w:i/>
          <w:sz w:val="16"/>
          <w:szCs w:val="16"/>
          <w:lang w:val="en-US"/>
        </w:rPr>
        <w:t>Preliminary objection, merits, reparations and costs</w:t>
      </w:r>
      <w:r w:rsidRPr="007D3F3C">
        <w:rPr>
          <w:rStyle w:val="Textoennegrita"/>
          <w:rFonts w:ascii="Verdana" w:hAnsi="Verdana"/>
          <w:b w:val="0"/>
          <w:sz w:val="16"/>
          <w:szCs w:val="16"/>
          <w:lang w:val="en-US"/>
        </w:rPr>
        <w:t>. Judgment of August 5, 2008. Series C No. 182</w:t>
      </w:r>
      <w:r w:rsidRPr="007D3F3C">
        <w:rPr>
          <w:rFonts w:ascii="Verdana" w:hAnsi="Verdana"/>
          <w:spacing w:val="-4"/>
          <w:sz w:val="16"/>
          <w:szCs w:val="16"/>
          <w:lang w:val="en-US"/>
        </w:rPr>
        <w:t>, para. 209</w:t>
      </w:r>
      <w:r w:rsidRPr="007D3F3C">
        <w:rPr>
          <w:rStyle w:val="Textoennegrita"/>
          <w:rFonts w:ascii="Verdana" w:hAnsi="Verdana" w:cs="Vrinda"/>
          <w:b w:val="0"/>
          <w:color w:val="000000"/>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cs="Vrinda"/>
          <w:b w:val="0"/>
          <w:i/>
          <w:color w:val="000000"/>
          <w:spacing w:val="-4"/>
          <w:sz w:val="16"/>
          <w:szCs w:val="16"/>
          <w:lang w:val="en-US"/>
        </w:rPr>
        <w:t>supra,</w:t>
      </w:r>
      <w:r w:rsidRPr="007D3F3C">
        <w:rPr>
          <w:rStyle w:val="Textoennegrita"/>
          <w:rFonts w:ascii="Verdana" w:hAnsi="Verdana" w:cs="Vrinda"/>
          <w:b w:val="0"/>
          <w:color w:val="000000"/>
          <w:spacing w:val="-4"/>
          <w:sz w:val="16"/>
          <w:szCs w:val="16"/>
          <w:lang w:val="en-US"/>
        </w:rPr>
        <w:t xml:space="preserve"> para.</w:t>
      </w:r>
      <w:r w:rsidRPr="007D3F3C">
        <w:rPr>
          <w:rStyle w:val="Textoennegrita"/>
          <w:rFonts w:ascii="Verdana" w:hAnsi="Verdana"/>
          <w:b w:val="0"/>
          <w:color w:val="000000"/>
          <w:sz w:val="16"/>
          <w:szCs w:val="16"/>
          <w:shd w:val="clear" w:color="auto" w:fill="FFFFFF"/>
          <w:lang w:val="en-US"/>
        </w:rPr>
        <w:t xml:space="preserve"> 217.</w:t>
      </w:r>
    </w:p>
  </w:footnote>
  <w:footnote w:id="271">
    <w:p w14:paraId="091C94D6" w14:textId="77777777" w:rsidR="00576E40" w:rsidRPr="007D3F3C" w:rsidRDefault="00576E40" w:rsidP="00551CA7">
      <w:pPr>
        <w:pStyle w:val="Textonotapie"/>
        <w:tabs>
          <w:tab w:val="left" w:pos="567"/>
        </w:tabs>
        <w:contextualSpacing/>
        <w:jc w:val="both"/>
        <w:rPr>
          <w:rFonts w:ascii="Verdana" w:hAnsi="Verdana" w:cs="Vrinda"/>
          <w:spacing w:val="-4"/>
          <w:sz w:val="16"/>
          <w:szCs w:val="16"/>
          <w:lang w:val="en-US"/>
        </w:rPr>
      </w:pPr>
      <w:r w:rsidRPr="007D3F3C">
        <w:rPr>
          <w:rStyle w:val="Refdenotaalpie"/>
          <w:rFonts w:ascii="Verdana" w:hAnsi="Verdana" w:cs="Vrinda"/>
          <w:spacing w:val="-4"/>
          <w:sz w:val="16"/>
          <w:szCs w:val="16"/>
          <w:lang w:val="en-US"/>
        </w:rPr>
        <w:footnoteRef/>
      </w:r>
      <w:r w:rsidRPr="007D3F3C">
        <w:rPr>
          <w:rFonts w:ascii="Verdana" w:hAnsi="Verdana" w:cs="Vrinda"/>
          <w:spacing w:val="-4"/>
          <w:sz w:val="16"/>
          <w:szCs w:val="16"/>
          <w:lang w:val="en-US"/>
        </w:rPr>
        <w:t xml:space="preserve"> </w:t>
      </w:r>
      <w:r w:rsidRPr="007D3F3C">
        <w:rPr>
          <w:rFonts w:ascii="Verdana" w:hAnsi="Verdana" w:cs="Vrinda"/>
          <w:spacing w:val="-4"/>
          <w:sz w:val="16"/>
          <w:szCs w:val="16"/>
          <w:lang w:val="en-US"/>
        </w:rPr>
        <w:tab/>
      </w:r>
      <w:r w:rsidRPr="007D3F3C">
        <w:rPr>
          <w:rFonts w:ascii="Verdana" w:hAnsi="Verdana" w:cs="Vrinda"/>
          <w:i/>
          <w:spacing w:val="-4"/>
          <w:sz w:val="16"/>
          <w:szCs w:val="16"/>
          <w:lang w:val="en-US"/>
        </w:rPr>
        <w:t>Cf. Case of Yatama v. Nicaragua.</w:t>
      </w:r>
      <w:r w:rsidRPr="007D3F3C">
        <w:rPr>
          <w:rFonts w:ascii="Verdana" w:hAnsi="Verdana" w:cs="Vrinda"/>
          <w:b/>
          <w:i/>
          <w:spacing w:val="-4"/>
          <w:sz w:val="16"/>
          <w:szCs w:val="16"/>
          <w:lang w:val="en-US"/>
        </w:rPr>
        <w:t xml:space="preserve"> </w:t>
      </w:r>
      <w:r w:rsidRPr="007D3F3C">
        <w:rPr>
          <w:rStyle w:val="Textoennegrita"/>
          <w:rFonts w:ascii="Verdana" w:hAnsi="Verdana"/>
          <w:b w:val="0"/>
          <w:i/>
          <w:sz w:val="16"/>
          <w:szCs w:val="16"/>
          <w:lang w:val="en-US"/>
        </w:rPr>
        <w:t>Preliminary objections, merits, reparations and costs</w:t>
      </w:r>
      <w:r w:rsidRPr="007D3F3C">
        <w:rPr>
          <w:rStyle w:val="Textoennegrita"/>
          <w:rFonts w:ascii="Verdana" w:hAnsi="Verdana"/>
          <w:b w:val="0"/>
          <w:sz w:val="16"/>
          <w:szCs w:val="16"/>
          <w:lang w:val="en-US"/>
        </w:rPr>
        <w:t>. Judgment of June 23, 2005. Series C No. 127</w:t>
      </w:r>
      <w:r w:rsidRPr="007D3F3C">
        <w:rPr>
          <w:rFonts w:ascii="Verdana" w:hAnsi="Verdana" w:cs="Vrinda"/>
          <w:spacing w:val="-4"/>
          <w:sz w:val="16"/>
          <w:szCs w:val="16"/>
          <w:lang w:val="en-US"/>
        </w:rPr>
        <w:t xml:space="preserve">, para. 186, and </w:t>
      </w:r>
      <w:r w:rsidRPr="007D3F3C">
        <w:rPr>
          <w:rStyle w:val="Textoennegrita"/>
          <w:rFonts w:ascii="Verdana" w:hAnsi="Verdana"/>
          <w:b w:val="0"/>
          <w:i/>
          <w:color w:val="000000"/>
          <w:sz w:val="16"/>
          <w:szCs w:val="16"/>
          <w:shd w:val="clear" w:color="auto" w:fill="FFFFFF"/>
          <w:lang w:val="en-US"/>
        </w:rPr>
        <w:t>Case of Espinoza Gonzáles v. Peru</w:t>
      </w:r>
      <w:r w:rsidRPr="007D3F3C">
        <w:rPr>
          <w:rStyle w:val="Textoennegrita"/>
          <w:rFonts w:ascii="Verdana" w:hAnsi="Verdana"/>
          <w:b w:val="0"/>
          <w:color w:val="000000"/>
          <w:sz w:val="16"/>
          <w:szCs w:val="16"/>
          <w:shd w:val="clear" w:color="auto" w:fill="FFFFFF"/>
          <w:lang w:val="en-US"/>
        </w:rPr>
        <w:t xml:space="preserve">, </w:t>
      </w:r>
      <w:r w:rsidRPr="007D3F3C">
        <w:rPr>
          <w:rStyle w:val="Textoennegrita"/>
          <w:rFonts w:ascii="Verdana" w:hAnsi="Verdana" w:cs="Vrinda"/>
          <w:b w:val="0"/>
          <w:i/>
          <w:color w:val="000000"/>
          <w:spacing w:val="-4"/>
          <w:sz w:val="16"/>
          <w:szCs w:val="16"/>
          <w:lang w:val="en-US"/>
        </w:rPr>
        <w:t>supra,</w:t>
      </w:r>
      <w:r w:rsidRPr="007D3F3C">
        <w:rPr>
          <w:rStyle w:val="Textoennegrita"/>
          <w:rFonts w:ascii="Verdana" w:hAnsi="Verdana" w:cs="Vrinda"/>
          <w:b w:val="0"/>
          <w:color w:val="000000"/>
          <w:spacing w:val="-4"/>
          <w:sz w:val="16"/>
          <w:szCs w:val="16"/>
          <w:lang w:val="en-US"/>
        </w:rPr>
        <w:t xml:space="preserve"> para.</w:t>
      </w:r>
      <w:r w:rsidRPr="007D3F3C">
        <w:rPr>
          <w:rStyle w:val="Textoennegrita"/>
          <w:rFonts w:ascii="Verdana" w:hAnsi="Verdana"/>
          <w:b w:val="0"/>
          <w:color w:val="000000"/>
          <w:sz w:val="16"/>
          <w:szCs w:val="16"/>
          <w:shd w:val="clear" w:color="auto" w:fill="FFFFFF"/>
          <w:lang w:val="en-US"/>
        </w:rPr>
        <w:t xml:space="preserve"> 217.</w:t>
      </w:r>
    </w:p>
  </w:footnote>
  <w:footnote w:id="272">
    <w:p w14:paraId="28868F37" w14:textId="77777777" w:rsidR="00576E40" w:rsidRPr="007D3F3C" w:rsidRDefault="00576E40" w:rsidP="00551CA7">
      <w:pPr>
        <w:pStyle w:val="Textonotapie"/>
        <w:tabs>
          <w:tab w:val="left" w:pos="567"/>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eastAsia="Calibri" w:hAnsi="Verdana"/>
          <w:i/>
          <w:sz w:val="16"/>
          <w:szCs w:val="16"/>
          <w:lang w:val="en-US" w:eastAsia="de-DE"/>
        </w:rPr>
        <w:t xml:space="preserve">Cf. </w:t>
      </w:r>
      <w:r w:rsidRPr="007D3F3C">
        <w:rPr>
          <w:rStyle w:val="apple-style-span"/>
          <w:rFonts w:ascii="Verdana" w:hAnsi="Verdana"/>
          <w:bCs/>
          <w:i/>
          <w:sz w:val="16"/>
          <w:szCs w:val="16"/>
          <w:lang w:val="en-US"/>
        </w:rPr>
        <w:t xml:space="preserve">Case of Apitz Barbera </w:t>
      </w:r>
      <w:r w:rsidRPr="007D3F3C">
        <w:rPr>
          <w:rFonts w:ascii="Verdana" w:hAnsi="Verdana"/>
          <w:i/>
          <w:spacing w:val="-4"/>
          <w:sz w:val="16"/>
          <w:szCs w:val="16"/>
          <w:lang w:val="en-US"/>
        </w:rPr>
        <w:t>et al. (“First Administrative Contentious Court”)</w:t>
      </w:r>
      <w:r w:rsidRPr="007D3F3C">
        <w:rPr>
          <w:rStyle w:val="apple-style-span"/>
          <w:rFonts w:ascii="Verdana" w:hAnsi="Verdana"/>
          <w:bCs/>
          <w:i/>
          <w:sz w:val="16"/>
          <w:szCs w:val="16"/>
          <w:lang w:val="en-US"/>
        </w:rPr>
        <w:t xml:space="preserve"> v. Venezuela, supra</w:t>
      </w:r>
      <w:r w:rsidRPr="007D3F3C">
        <w:rPr>
          <w:rStyle w:val="apple-style-span"/>
          <w:rFonts w:ascii="Verdana" w:hAnsi="Verdana"/>
          <w:bCs/>
          <w:sz w:val="16"/>
          <w:szCs w:val="16"/>
          <w:lang w:val="en-US"/>
        </w:rPr>
        <w:t xml:space="preserve">, </w:t>
      </w:r>
      <w:r w:rsidRPr="007D3F3C">
        <w:rPr>
          <w:rFonts w:ascii="Verdana" w:hAnsi="Verdana"/>
          <w:sz w:val="16"/>
          <w:szCs w:val="16"/>
          <w:lang w:val="en-US"/>
        </w:rPr>
        <w:t>para. 209</w:t>
      </w:r>
      <w:r w:rsidRPr="007D3F3C">
        <w:rPr>
          <w:rStyle w:val="Textoennegrita"/>
          <w:rFonts w:ascii="Verdana" w:hAnsi="Verdana"/>
          <w:b w:val="0"/>
          <w:color w:val="000000"/>
          <w:sz w:val="16"/>
          <w:szCs w:val="16"/>
          <w:shd w:val="clear" w:color="auto" w:fill="FFFFFF"/>
          <w:lang w:val="en-US"/>
        </w:rPr>
        <w:t xml:space="preserve">, and </w:t>
      </w:r>
      <w:r w:rsidRPr="007D3F3C">
        <w:rPr>
          <w:rStyle w:val="Textoennegrita"/>
          <w:rFonts w:ascii="Verdana" w:hAnsi="Verdana"/>
          <w:b w:val="0"/>
          <w:i/>
          <w:sz w:val="16"/>
          <w:szCs w:val="16"/>
          <w:lang w:val="en-US"/>
        </w:rPr>
        <w:t>Case of Gonzales Lluy et al. v. Ecuador. Preliminary objections, merits, reparations and costs</w:t>
      </w:r>
      <w:r w:rsidRPr="007D3F3C">
        <w:rPr>
          <w:rStyle w:val="Textoennegrita"/>
          <w:rFonts w:ascii="Verdana" w:hAnsi="Verdana"/>
          <w:b w:val="0"/>
          <w:sz w:val="16"/>
          <w:szCs w:val="16"/>
          <w:lang w:val="en-US"/>
        </w:rPr>
        <w:t>. Judgment of September 1, 2015. Series C No. 298</w:t>
      </w:r>
      <w:r w:rsidRPr="007D3F3C">
        <w:rPr>
          <w:rStyle w:val="Textoennegrita"/>
          <w:rFonts w:ascii="Verdana" w:hAnsi="Verdana"/>
          <w:b w:val="0"/>
          <w:color w:val="000000"/>
          <w:sz w:val="16"/>
          <w:szCs w:val="16"/>
          <w:shd w:val="clear" w:color="auto" w:fill="FFFFFF"/>
          <w:lang w:val="en-US"/>
        </w:rPr>
        <w:t xml:space="preserve">, para. 243. </w:t>
      </w:r>
    </w:p>
  </w:footnote>
  <w:footnote w:id="273">
    <w:p w14:paraId="4D30F0AB" w14:textId="77777777" w:rsidR="00576E40" w:rsidRPr="007D3F3C" w:rsidRDefault="00576E40" w:rsidP="00551CA7">
      <w:pPr>
        <w:pStyle w:val="Textonotapie"/>
        <w:tabs>
          <w:tab w:val="left" w:pos="567"/>
        </w:tabs>
        <w:contextualSpacing/>
        <w:jc w:val="both"/>
        <w:rPr>
          <w:rFonts w:ascii="Verdana" w:hAnsi="Verdana" w:cs="Vrinda"/>
          <w:i/>
          <w:spacing w:val="-4"/>
          <w:sz w:val="16"/>
          <w:szCs w:val="16"/>
          <w:lang w:val="en-US"/>
        </w:rPr>
      </w:pPr>
      <w:r w:rsidRPr="007D3F3C">
        <w:rPr>
          <w:rStyle w:val="Refdenotaalpie"/>
          <w:rFonts w:ascii="Verdana" w:hAnsi="Verdana" w:cs="Vrinda"/>
          <w:spacing w:val="-4"/>
          <w:sz w:val="16"/>
          <w:szCs w:val="16"/>
          <w:lang w:val="en-US"/>
        </w:rPr>
        <w:footnoteRef/>
      </w:r>
      <w:r w:rsidRPr="007D3F3C">
        <w:rPr>
          <w:rStyle w:val="Refdenotaalpie"/>
          <w:rFonts w:ascii="Verdana" w:hAnsi="Verdana" w:cs="Vrinda"/>
          <w:spacing w:val="-4"/>
          <w:sz w:val="16"/>
          <w:szCs w:val="16"/>
          <w:lang w:val="en-US"/>
        </w:rPr>
        <w:tab/>
      </w:r>
      <w:r w:rsidRPr="007D3F3C">
        <w:rPr>
          <w:rFonts w:ascii="Verdana" w:hAnsi="Verdana" w:cs="Vrinda"/>
          <w:i/>
          <w:color w:val="000000"/>
          <w:spacing w:val="-4"/>
          <w:sz w:val="16"/>
          <w:szCs w:val="16"/>
          <w:lang w:val="en-US"/>
        </w:rPr>
        <w:t>Cf.</w:t>
      </w:r>
      <w:r w:rsidRPr="007D3F3C">
        <w:rPr>
          <w:rFonts w:ascii="Verdana" w:hAnsi="Verdana" w:cs="Vrinda"/>
          <w:i/>
          <w:spacing w:val="-4"/>
          <w:sz w:val="16"/>
          <w:szCs w:val="16"/>
          <w:lang w:val="en-US"/>
        </w:rPr>
        <w:t xml:space="preserve"> </w:t>
      </w:r>
      <w:r w:rsidRPr="007D3F3C">
        <w:rPr>
          <w:rStyle w:val="Textoennegrita"/>
          <w:rFonts w:ascii="Verdana" w:hAnsi="Verdana"/>
          <w:b w:val="0"/>
          <w:i/>
          <w:color w:val="000000"/>
          <w:spacing w:val="-4"/>
          <w:sz w:val="16"/>
          <w:szCs w:val="16"/>
          <w:shd w:val="clear" w:color="auto" w:fill="FFFFFF"/>
          <w:lang w:val="en-US"/>
        </w:rPr>
        <w:t>Case of González et al. (“Cotton Field”) v. Mexico. Preliminary objection, merits, reparations and costs</w:t>
      </w:r>
      <w:r w:rsidRPr="007D3F3C">
        <w:rPr>
          <w:rStyle w:val="Textoennegrita"/>
          <w:rFonts w:ascii="Verdana" w:hAnsi="Verdana"/>
          <w:b w:val="0"/>
          <w:color w:val="000000"/>
          <w:spacing w:val="-4"/>
          <w:sz w:val="16"/>
          <w:szCs w:val="16"/>
          <w:shd w:val="clear" w:color="auto" w:fill="FFFFFF"/>
          <w:lang w:val="en-US"/>
        </w:rPr>
        <w:t xml:space="preserve">. Judgment of November 16, 2009. Series C No.205, </w:t>
      </w:r>
      <w:r w:rsidRPr="007D3F3C">
        <w:rPr>
          <w:rFonts w:ascii="Verdana" w:hAnsi="Verdana" w:cs="Vrinda"/>
          <w:spacing w:val="-4"/>
          <w:sz w:val="16"/>
          <w:szCs w:val="16"/>
          <w:lang w:val="en-US"/>
        </w:rPr>
        <w:t xml:space="preserve">para. 396, citing the Convention of Belém do Pará, preamble and Article 6. </w:t>
      </w:r>
    </w:p>
  </w:footnote>
  <w:footnote w:id="274">
    <w:p w14:paraId="698DB918" w14:textId="77777777" w:rsidR="00576E40" w:rsidRPr="007D3F3C" w:rsidRDefault="00576E40" w:rsidP="00551CA7">
      <w:pPr>
        <w:pStyle w:val="Textonotapie"/>
        <w:tabs>
          <w:tab w:val="left" w:pos="567"/>
        </w:tabs>
        <w:contextualSpacing/>
        <w:jc w:val="both"/>
        <w:rPr>
          <w:rFonts w:ascii="Verdana" w:hAnsi="Verdana" w:cs="Vrinda"/>
          <w:spacing w:val="-4"/>
          <w:sz w:val="16"/>
          <w:szCs w:val="16"/>
          <w:lang w:val="en-US"/>
        </w:rPr>
      </w:pPr>
      <w:r w:rsidRPr="007D3F3C">
        <w:rPr>
          <w:rStyle w:val="Refdenotaalpie"/>
          <w:rFonts w:ascii="Verdana" w:hAnsi="Verdana" w:cs="Vrinda"/>
          <w:spacing w:val="-4"/>
          <w:sz w:val="16"/>
          <w:szCs w:val="16"/>
          <w:lang w:val="en-US"/>
        </w:rPr>
        <w:footnoteRef/>
      </w:r>
      <w:r w:rsidRPr="007D3F3C">
        <w:rPr>
          <w:rFonts w:ascii="Verdana" w:hAnsi="Verdana" w:cs="Vrinda"/>
          <w:spacing w:val="-4"/>
          <w:sz w:val="16"/>
          <w:szCs w:val="16"/>
          <w:lang w:val="en-US"/>
        </w:rPr>
        <w:t xml:space="preserve"> </w:t>
      </w:r>
      <w:r w:rsidRPr="007D3F3C">
        <w:rPr>
          <w:rFonts w:ascii="Verdana" w:hAnsi="Verdana" w:cs="Vrinda"/>
          <w:spacing w:val="-4"/>
          <w:sz w:val="16"/>
          <w:szCs w:val="16"/>
          <w:lang w:val="en-US"/>
        </w:rPr>
        <w:tab/>
      </w:r>
      <w:r w:rsidRPr="007D3F3C">
        <w:rPr>
          <w:rFonts w:ascii="Verdana" w:hAnsi="Verdana" w:cs="Vrinda"/>
          <w:i/>
          <w:color w:val="000000"/>
          <w:spacing w:val="-4"/>
          <w:sz w:val="16"/>
          <w:szCs w:val="16"/>
          <w:lang w:val="en-US"/>
        </w:rPr>
        <w:t>Cf.</w:t>
      </w:r>
      <w:r w:rsidRPr="007D3F3C">
        <w:rPr>
          <w:rFonts w:ascii="Verdana" w:hAnsi="Verdana" w:cs="Vrinda"/>
          <w:i/>
          <w:spacing w:val="-4"/>
          <w:sz w:val="16"/>
          <w:szCs w:val="16"/>
          <w:lang w:val="en-US"/>
        </w:rPr>
        <w:t xml:space="preserve"> </w:t>
      </w:r>
      <w:r w:rsidRPr="007D3F3C">
        <w:rPr>
          <w:rStyle w:val="Textoennegrita"/>
          <w:rFonts w:ascii="Verdana" w:hAnsi="Verdana"/>
          <w:b w:val="0"/>
          <w:i/>
          <w:color w:val="000000"/>
          <w:spacing w:val="-4"/>
          <w:sz w:val="16"/>
          <w:szCs w:val="16"/>
          <w:shd w:val="clear" w:color="auto" w:fill="FFFFFF"/>
          <w:lang w:val="en-US"/>
        </w:rPr>
        <w:t xml:space="preserve">Case of González et al. </w:t>
      </w:r>
      <w:r w:rsidRPr="007D3F3C">
        <w:rPr>
          <w:rStyle w:val="Textoennegrita"/>
          <w:rFonts w:ascii="Verdana" w:hAnsi="Verdana"/>
          <w:b w:val="0"/>
          <w:i/>
          <w:color w:val="000000"/>
          <w:spacing w:val="-4"/>
          <w:sz w:val="16"/>
          <w:szCs w:val="16"/>
          <w:shd w:val="clear" w:color="auto" w:fill="FFFFFF"/>
          <w:lang w:val="es-CR"/>
        </w:rPr>
        <w:t xml:space="preserve">(“Cotton Field”) v. </w:t>
      </w:r>
      <w:r w:rsidRPr="007D3F3C">
        <w:rPr>
          <w:rStyle w:val="Textoennegrita"/>
          <w:rFonts w:ascii="Verdana" w:hAnsi="Verdana"/>
          <w:b w:val="0"/>
          <w:i/>
          <w:color w:val="000000"/>
          <w:spacing w:val="-4"/>
          <w:sz w:val="16"/>
          <w:szCs w:val="16"/>
          <w:shd w:val="clear" w:color="auto" w:fill="FFFFFF"/>
          <w:lang w:val="es-CR"/>
        </w:rPr>
        <w:t>Mexico, supra</w:t>
      </w:r>
      <w:r w:rsidRPr="007D3F3C">
        <w:rPr>
          <w:rStyle w:val="Textoennegrita"/>
          <w:rFonts w:ascii="Verdana" w:hAnsi="Verdana"/>
          <w:b w:val="0"/>
          <w:color w:val="000000"/>
          <w:spacing w:val="-4"/>
          <w:sz w:val="16"/>
          <w:szCs w:val="16"/>
          <w:shd w:val="clear" w:color="auto" w:fill="FFFFFF"/>
          <w:lang w:val="es-CR"/>
        </w:rPr>
        <w:t xml:space="preserve">, </w:t>
      </w:r>
      <w:r w:rsidRPr="007D3F3C">
        <w:rPr>
          <w:rFonts w:ascii="Verdana" w:hAnsi="Verdana" w:cs="Vrinda"/>
          <w:spacing w:val="-4"/>
          <w:sz w:val="16"/>
          <w:szCs w:val="16"/>
          <w:lang w:val="es-CR"/>
        </w:rPr>
        <w:t xml:space="preserve">para. </w:t>
      </w:r>
      <w:r w:rsidRPr="007D3F3C">
        <w:rPr>
          <w:rFonts w:ascii="Verdana" w:hAnsi="Verdana" w:cs="Vrinda"/>
          <w:spacing w:val="-4"/>
          <w:sz w:val="16"/>
          <w:szCs w:val="16"/>
          <w:lang w:val="en-US"/>
        </w:rPr>
        <w:t>394, citing the Convention on the Elimination of All Forms of Discrimination against Women of December 18, 1979, Article 1.</w:t>
      </w:r>
    </w:p>
  </w:footnote>
  <w:footnote w:id="275">
    <w:p w14:paraId="7D02B9E9" w14:textId="77777777" w:rsidR="00576E40" w:rsidRPr="007D3F3C" w:rsidRDefault="00576E40" w:rsidP="00551CA7">
      <w:pPr>
        <w:pStyle w:val="Textonotapie"/>
        <w:tabs>
          <w:tab w:val="left" w:pos="567"/>
        </w:tabs>
        <w:contextualSpacing/>
        <w:jc w:val="both"/>
        <w:rPr>
          <w:rFonts w:ascii="Verdana" w:hAnsi="Verdana" w:cs="Vrinda"/>
          <w:spacing w:val="-4"/>
          <w:sz w:val="16"/>
          <w:szCs w:val="16"/>
          <w:lang w:val="en-US"/>
        </w:rPr>
      </w:pPr>
      <w:r w:rsidRPr="007D3F3C">
        <w:rPr>
          <w:rStyle w:val="Refdenotaalpie"/>
          <w:rFonts w:ascii="Verdana" w:hAnsi="Verdana" w:cs="Vrinda"/>
          <w:spacing w:val="-4"/>
          <w:sz w:val="16"/>
          <w:szCs w:val="16"/>
          <w:lang w:val="en-US"/>
        </w:rPr>
        <w:footnoteRef/>
      </w:r>
      <w:r w:rsidRPr="007D3F3C">
        <w:rPr>
          <w:rFonts w:ascii="Verdana" w:hAnsi="Verdana" w:cs="Vrinda"/>
          <w:spacing w:val="-4"/>
          <w:sz w:val="16"/>
          <w:szCs w:val="16"/>
          <w:lang w:val="en-US"/>
        </w:rPr>
        <w:tab/>
      </w:r>
      <w:r w:rsidRPr="007D3F3C">
        <w:rPr>
          <w:rFonts w:ascii="Verdana" w:hAnsi="Verdana" w:cs="Vrinda"/>
          <w:i/>
          <w:color w:val="000000"/>
          <w:spacing w:val="-4"/>
          <w:sz w:val="16"/>
          <w:szCs w:val="16"/>
          <w:lang w:val="en-US"/>
        </w:rPr>
        <w:t>Cf.</w:t>
      </w:r>
      <w:r w:rsidRPr="007D3F3C">
        <w:rPr>
          <w:rFonts w:ascii="Verdana" w:hAnsi="Verdana" w:cs="Vrinda"/>
          <w:i/>
          <w:spacing w:val="-4"/>
          <w:sz w:val="16"/>
          <w:szCs w:val="16"/>
          <w:lang w:val="en-US"/>
        </w:rPr>
        <w:t xml:space="preserve"> </w:t>
      </w:r>
      <w:r w:rsidRPr="007D3F3C">
        <w:rPr>
          <w:rStyle w:val="Textoennegrita"/>
          <w:rFonts w:ascii="Verdana" w:hAnsi="Verdana"/>
          <w:b w:val="0"/>
          <w:i/>
          <w:color w:val="000000"/>
          <w:spacing w:val="-4"/>
          <w:sz w:val="16"/>
          <w:szCs w:val="16"/>
          <w:shd w:val="clear" w:color="auto" w:fill="FFFFFF"/>
          <w:lang w:val="en-US"/>
        </w:rPr>
        <w:t xml:space="preserve">Case of González et al. </w:t>
      </w:r>
      <w:r w:rsidRPr="007D3F3C">
        <w:rPr>
          <w:rStyle w:val="Textoennegrita"/>
          <w:rFonts w:ascii="Verdana" w:hAnsi="Verdana"/>
          <w:b w:val="0"/>
          <w:i/>
          <w:color w:val="000000"/>
          <w:spacing w:val="-4"/>
          <w:sz w:val="16"/>
          <w:szCs w:val="16"/>
          <w:shd w:val="clear" w:color="auto" w:fill="FFFFFF"/>
          <w:lang w:val="es-CR"/>
        </w:rPr>
        <w:t xml:space="preserve">(“Cotton Field”) v. </w:t>
      </w:r>
      <w:r w:rsidRPr="007D3F3C">
        <w:rPr>
          <w:rStyle w:val="Textoennegrita"/>
          <w:rFonts w:ascii="Verdana" w:hAnsi="Verdana"/>
          <w:b w:val="0"/>
          <w:i/>
          <w:color w:val="000000"/>
          <w:spacing w:val="-4"/>
          <w:sz w:val="16"/>
          <w:szCs w:val="16"/>
          <w:shd w:val="clear" w:color="auto" w:fill="FFFFFF"/>
          <w:lang w:val="es-CR"/>
        </w:rPr>
        <w:t>Mexico, supra</w:t>
      </w:r>
      <w:r w:rsidRPr="007D3F3C">
        <w:rPr>
          <w:rStyle w:val="Textoennegrita"/>
          <w:rFonts w:ascii="Verdana" w:hAnsi="Verdana"/>
          <w:b w:val="0"/>
          <w:color w:val="000000"/>
          <w:spacing w:val="-4"/>
          <w:sz w:val="16"/>
          <w:szCs w:val="16"/>
          <w:shd w:val="clear" w:color="auto" w:fill="FFFFFF"/>
          <w:lang w:val="es-CR"/>
        </w:rPr>
        <w:t xml:space="preserve">, </w:t>
      </w:r>
      <w:r w:rsidRPr="007D3F3C">
        <w:rPr>
          <w:rFonts w:ascii="Verdana" w:hAnsi="Verdana" w:cs="Vrinda"/>
          <w:spacing w:val="-4"/>
          <w:sz w:val="16"/>
          <w:szCs w:val="16"/>
          <w:lang w:val="es-CR"/>
        </w:rPr>
        <w:t xml:space="preserve">para. </w:t>
      </w:r>
      <w:r w:rsidRPr="007D3F3C">
        <w:rPr>
          <w:rFonts w:ascii="Verdana" w:hAnsi="Verdana" w:cs="Vrinda"/>
          <w:spacing w:val="-4"/>
          <w:sz w:val="16"/>
          <w:szCs w:val="16"/>
          <w:lang w:val="en-US"/>
        </w:rPr>
        <w:t>395, citing the Committee for the Elimination of Discrimination against Women</w:t>
      </w:r>
      <w:r w:rsidRPr="007D3F3C">
        <w:rPr>
          <w:rFonts w:ascii="Verdana" w:hAnsi="Verdana"/>
          <w:spacing w:val="-4"/>
          <w:sz w:val="16"/>
          <w:szCs w:val="16"/>
          <w:lang w:val="en-US"/>
        </w:rPr>
        <w:t>, General recommendation 19: Violence against women, 11</w:t>
      </w:r>
      <w:r w:rsidRPr="007D3F3C">
        <w:rPr>
          <w:rFonts w:ascii="Verdana" w:hAnsi="Verdana"/>
          <w:spacing w:val="-4"/>
          <w:sz w:val="16"/>
          <w:szCs w:val="16"/>
          <w:vertAlign w:val="superscript"/>
          <w:lang w:val="en-US"/>
        </w:rPr>
        <w:t>th</w:t>
      </w:r>
      <w:r w:rsidRPr="007D3F3C">
        <w:rPr>
          <w:rFonts w:ascii="Verdana" w:hAnsi="Verdana"/>
          <w:spacing w:val="-4"/>
          <w:sz w:val="16"/>
          <w:szCs w:val="16"/>
          <w:lang w:val="en-US"/>
        </w:rPr>
        <w:t xml:space="preserve"> session, 1992, UN Doc. HRI\GEN\1\Rev.1 at 84 (1994),</w:t>
      </w:r>
      <w:r w:rsidRPr="007D3F3C">
        <w:rPr>
          <w:rFonts w:ascii="Verdana" w:hAnsi="Verdana" w:cs="Vrinda"/>
          <w:spacing w:val="-4"/>
          <w:sz w:val="16"/>
          <w:szCs w:val="16"/>
          <w:lang w:val="en-US"/>
        </w:rPr>
        <w:t xml:space="preserve"> paras. 1 and 6.</w:t>
      </w:r>
    </w:p>
  </w:footnote>
  <w:footnote w:id="276">
    <w:p w14:paraId="6CA32AEF" w14:textId="77777777" w:rsidR="00576E40" w:rsidRPr="007D3F3C" w:rsidRDefault="00576E40" w:rsidP="00551CA7">
      <w:pPr>
        <w:pStyle w:val="Textonotapie"/>
        <w:tabs>
          <w:tab w:val="left" w:pos="720"/>
        </w:tabs>
        <w:jc w:val="both"/>
        <w:rPr>
          <w:rFonts w:ascii="Verdana" w:hAnsi="Verdana"/>
          <w:spacing w:val="-4"/>
          <w:sz w:val="16"/>
          <w:szCs w:val="16"/>
          <w:lang w:val="es-CR"/>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cs="Vrinda"/>
          <w:i/>
          <w:spacing w:val="-4"/>
          <w:sz w:val="16"/>
          <w:szCs w:val="16"/>
          <w:lang w:val="en-US"/>
        </w:rPr>
        <w:t xml:space="preserve">Cf. </w:t>
      </w:r>
      <w:r w:rsidRPr="007D3F3C">
        <w:rPr>
          <w:rFonts w:ascii="Verdana" w:hAnsi="Verdana"/>
          <w:i/>
          <w:spacing w:val="-4"/>
          <w:sz w:val="16"/>
          <w:szCs w:val="16"/>
          <w:lang w:val="en-US"/>
        </w:rPr>
        <w:t xml:space="preserve">Case of González et al. </w:t>
      </w:r>
      <w:r w:rsidRPr="007D3F3C">
        <w:rPr>
          <w:rFonts w:ascii="Verdana" w:hAnsi="Verdana"/>
          <w:i/>
          <w:spacing w:val="-4"/>
          <w:sz w:val="16"/>
          <w:szCs w:val="16"/>
          <w:lang w:val="es-CR"/>
        </w:rPr>
        <w:t xml:space="preserve">(“Cotton Field”) v. </w:t>
      </w:r>
      <w:r w:rsidRPr="007D3F3C">
        <w:rPr>
          <w:rFonts w:ascii="Verdana" w:hAnsi="Verdana"/>
          <w:i/>
          <w:spacing w:val="-4"/>
          <w:sz w:val="16"/>
          <w:szCs w:val="16"/>
          <w:lang w:val="es-CR"/>
        </w:rPr>
        <w:t>Mexico, supra,</w:t>
      </w:r>
      <w:r w:rsidRPr="007D3F3C">
        <w:rPr>
          <w:rFonts w:ascii="Verdana" w:hAnsi="Verdana"/>
          <w:spacing w:val="-4"/>
          <w:sz w:val="16"/>
          <w:szCs w:val="16"/>
          <w:lang w:val="es-CR"/>
        </w:rPr>
        <w:t xml:space="preserve"> paras. 388 and 400, and </w:t>
      </w:r>
      <w:r w:rsidRPr="007D3F3C">
        <w:rPr>
          <w:rFonts w:ascii="Verdana" w:hAnsi="Verdana"/>
          <w:i/>
          <w:spacing w:val="-4"/>
          <w:sz w:val="16"/>
          <w:szCs w:val="16"/>
          <w:lang w:val="es-CR"/>
        </w:rPr>
        <w:t xml:space="preserve">Case of Veliz Franco et al. v. Guatemala, supra, </w:t>
      </w:r>
      <w:r w:rsidRPr="007D3F3C">
        <w:rPr>
          <w:rFonts w:ascii="Verdana" w:hAnsi="Verdana"/>
          <w:spacing w:val="-4"/>
          <w:sz w:val="16"/>
          <w:szCs w:val="16"/>
          <w:lang w:val="es-CR"/>
        </w:rPr>
        <w:t>para. 208.</w:t>
      </w:r>
    </w:p>
  </w:footnote>
  <w:footnote w:id="277">
    <w:p w14:paraId="4AB30670"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Cf.</w:t>
      </w:r>
      <w:r w:rsidRPr="007D3F3C">
        <w:rPr>
          <w:rFonts w:ascii="Verdana" w:hAnsi="Verdana"/>
          <w:spacing w:val="-4"/>
          <w:sz w:val="16"/>
          <w:szCs w:val="16"/>
          <w:lang w:val="es-CR"/>
        </w:rPr>
        <w:t xml:space="preserve"> </w:t>
      </w:r>
      <w:r w:rsidRPr="007D3F3C">
        <w:rPr>
          <w:rFonts w:ascii="Verdana" w:hAnsi="Verdana"/>
          <w:i/>
          <w:spacing w:val="-4"/>
          <w:sz w:val="16"/>
          <w:szCs w:val="16"/>
          <w:lang w:val="es-CR"/>
        </w:rPr>
        <w:t xml:space="preserve">Case of Veliz Franco et al. v. Guatemala, supra, </w:t>
      </w:r>
      <w:r w:rsidRPr="007D3F3C">
        <w:rPr>
          <w:rFonts w:ascii="Verdana" w:hAnsi="Verdana"/>
          <w:spacing w:val="-4"/>
          <w:sz w:val="16"/>
          <w:szCs w:val="16"/>
          <w:lang w:val="es-CR"/>
        </w:rPr>
        <w:t xml:space="preserve">para. </w:t>
      </w:r>
      <w:r w:rsidRPr="007D3F3C">
        <w:rPr>
          <w:rFonts w:ascii="Verdana" w:hAnsi="Verdana"/>
          <w:spacing w:val="-4"/>
          <w:sz w:val="16"/>
          <w:szCs w:val="16"/>
          <w:lang w:val="en-US"/>
        </w:rPr>
        <w:t>208.</w:t>
      </w:r>
    </w:p>
  </w:footnote>
  <w:footnote w:id="278">
    <w:p w14:paraId="510ADB04"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Statement by Jorge Rolando Velásquez Durán </w:t>
      </w:r>
      <w:r w:rsidRPr="007D3F3C">
        <w:rPr>
          <w:rFonts w:ascii="Verdana" w:hAnsi="Verdana" w:cs="Arial"/>
          <w:sz w:val="16"/>
          <w:szCs w:val="16"/>
          <w:lang w:val="en-US"/>
        </w:rPr>
        <w:t>of January 24, 2006, before the assistant prosecutor of</w:t>
      </w:r>
      <w:r w:rsidRPr="007D3F3C">
        <w:rPr>
          <w:rFonts w:ascii="Verdana" w:hAnsi="Verdana"/>
          <w:sz w:val="16"/>
          <w:szCs w:val="16"/>
          <w:lang w:val="en-US"/>
        </w:rPr>
        <w:t xml:space="preserve"> the Public Prosecution Service</w:t>
      </w:r>
      <w:r w:rsidRPr="007D3F3C">
        <w:rPr>
          <w:rFonts w:ascii="Verdana" w:hAnsi="Verdana" w:cs="Arial"/>
          <w:sz w:val="16"/>
          <w:szCs w:val="16"/>
          <w:lang w:val="en-US"/>
        </w:rPr>
        <w:t xml:space="preserve"> </w:t>
      </w:r>
      <w:r w:rsidRPr="007D3F3C">
        <w:rPr>
          <w:rFonts w:ascii="Verdana" w:hAnsi="Verdana"/>
          <w:sz w:val="16"/>
          <w:szCs w:val="16"/>
          <w:lang w:val="en-US"/>
        </w:rPr>
        <w:t>(evidence file, folios 3877 and 3878); Psychiatric assessment of Jorge Rolando Velásquez Durán of October 21, 2009 (evidence file, folios 199 and 637); Statement made before the Inter-American Court by Jorge Rolando Velásquez Durán during the public hearing held on April 21, 2015; Affidavit prepared by</w:t>
      </w:r>
      <w:r w:rsidRPr="007D3F3C">
        <w:rPr>
          <w:rFonts w:ascii="Verdana" w:hAnsi="Verdana"/>
          <w:spacing w:val="-4"/>
          <w:sz w:val="16"/>
          <w:szCs w:val="16"/>
          <w:lang w:val="en-US"/>
        </w:rPr>
        <w:t xml:space="preserve"> </w:t>
      </w:r>
      <w:r w:rsidRPr="007D3F3C">
        <w:rPr>
          <w:rFonts w:ascii="Verdana" w:hAnsi="Verdana"/>
          <w:sz w:val="16"/>
          <w:szCs w:val="16"/>
          <w:lang w:val="en-US"/>
        </w:rPr>
        <w:t>Elsa Claudina Paiz Vidal on April 9, 2015 (evidence file, folio 6701);  Psychiatric assessment of Elsa Claudina Paiz Vidal of December 2, 2010 (evidence file, folio, 206). See also: Affidavit prepared by</w:t>
      </w:r>
      <w:r w:rsidRPr="007D3F3C">
        <w:rPr>
          <w:rFonts w:ascii="Verdana" w:hAnsi="Verdana"/>
          <w:spacing w:val="-4"/>
          <w:sz w:val="16"/>
          <w:szCs w:val="16"/>
          <w:lang w:val="en-US"/>
        </w:rPr>
        <w:t xml:space="preserve"> </w:t>
      </w:r>
      <w:r w:rsidRPr="007D3F3C">
        <w:rPr>
          <w:rFonts w:ascii="Verdana" w:hAnsi="Verdana"/>
          <w:sz w:val="16"/>
          <w:szCs w:val="16"/>
          <w:lang w:val="en-US"/>
        </w:rPr>
        <w:t xml:space="preserve">Pablo Andrés Velásquez Paiz on April 9, 2015 (evidence file, folio 6689); Affidavit made by expert witness Alberto Bovino on April 13, 2015 (evidence file, folio 6669); </w:t>
      </w:r>
      <w:r w:rsidRPr="007D3F3C">
        <w:rPr>
          <w:rFonts w:ascii="Verdana" w:eastAsia="Calibri" w:hAnsi="Verdana"/>
          <w:sz w:val="16"/>
          <w:szCs w:val="16"/>
          <w:lang w:val="en-US"/>
        </w:rPr>
        <w:t xml:space="preserve">the Ombudsman’s Report on verification of violations of the obligation to investigate in the case of Claudina Isabel Velásquez Paiz (evidence file, folios 105, 114, </w:t>
      </w:r>
      <w:r w:rsidRPr="007D3F3C">
        <w:rPr>
          <w:rFonts w:ascii="Verdana" w:hAnsi="Verdana"/>
          <w:sz w:val="16"/>
          <w:szCs w:val="16"/>
          <w:lang w:val="en-US"/>
        </w:rPr>
        <w:t xml:space="preserve">3308 and 3317). In this regard, during the hearing before the Inter-American Commission of March 27, 2012, expert witness Álvaro Rodrigo Castellanos Howell explained that the investigation reports mention a female “investigator in charge of the early investigation of the crime scene who basically commented that it was not worth dedicating more time to investigate the case because it involved an individual who, owing to the characteristics observed at that time at the scene of the crime, they considered, […] was not worth the effort, referring to someone who had […] a navel piercing and wore sandals, suggesting […] by her appearance that she was someone who had even provoked her own murder.” </w:t>
      </w:r>
      <w:r w:rsidRPr="007D3F3C">
        <w:rPr>
          <w:rFonts w:ascii="Verdana" w:hAnsi="Verdana"/>
          <w:i/>
          <w:sz w:val="16"/>
          <w:szCs w:val="16"/>
          <w:lang w:val="en-US"/>
        </w:rPr>
        <w:t>Cf.</w:t>
      </w:r>
      <w:r w:rsidRPr="007D3F3C">
        <w:rPr>
          <w:rFonts w:ascii="Verdana" w:hAnsi="Verdana"/>
          <w:sz w:val="16"/>
          <w:szCs w:val="16"/>
          <w:lang w:val="en-US"/>
        </w:rPr>
        <w:t xml:space="preserve"> Statement by expert witness Álvaro Rodrigo Castellanos Howell during the hearing before the Inter-American Commission of March 27, 2012 (evidence file, folios 266 and 2723). Investigator </w:t>
      </w:r>
      <w:r w:rsidRPr="007D3F3C">
        <w:rPr>
          <w:rFonts w:ascii="Verdana" w:eastAsia="Calibri" w:hAnsi="Verdana"/>
          <w:sz w:val="16"/>
          <w:szCs w:val="16"/>
          <w:lang w:val="en-US"/>
        </w:rPr>
        <w:t xml:space="preserve">Carolina Elizabeth Ruiz prepared an investigation report on August 22, 2005, in which she indicated that, on </w:t>
      </w:r>
      <w:r w:rsidRPr="007D3F3C">
        <w:rPr>
          <w:rFonts w:ascii="Verdana" w:hAnsi="Verdana"/>
          <w:sz w:val="16"/>
          <w:szCs w:val="16"/>
          <w:lang w:val="en-US"/>
        </w:rPr>
        <w:t>August 15, 2005, she had interviewed</w:t>
      </w:r>
      <w:r w:rsidRPr="007D3F3C">
        <w:rPr>
          <w:rFonts w:ascii="Verdana" w:eastAsia="Calibri" w:hAnsi="Verdana"/>
          <w:sz w:val="16"/>
          <w:szCs w:val="16"/>
          <w:lang w:val="en-US"/>
        </w:rPr>
        <w:t xml:space="preserve"> </w:t>
      </w:r>
      <w:r w:rsidRPr="007D3F3C">
        <w:rPr>
          <w:rFonts w:ascii="Verdana" w:hAnsi="Verdana"/>
          <w:sz w:val="16"/>
          <w:szCs w:val="16"/>
          <w:lang w:val="en-US"/>
        </w:rPr>
        <w:t xml:space="preserve">Elsa Claudina Paiz Vidal in her home. </w:t>
      </w:r>
      <w:r w:rsidRPr="007D3F3C">
        <w:rPr>
          <w:rFonts w:ascii="Verdana" w:hAnsi="Verdana"/>
          <w:i/>
          <w:sz w:val="16"/>
          <w:szCs w:val="16"/>
          <w:lang w:val="en-US"/>
        </w:rPr>
        <w:t>Cf.</w:t>
      </w:r>
      <w:r w:rsidRPr="007D3F3C">
        <w:rPr>
          <w:rFonts w:ascii="Verdana" w:hAnsi="Verdana"/>
          <w:sz w:val="16"/>
          <w:szCs w:val="16"/>
          <w:lang w:val="en-US"/>
        </w:rPr>
        <w:t xml:space="preserve"> Report </w:t>
      </w:r>
      <w:r w:rsidRPr="007D3F3C">
        <w:rPr>
          <w:rFonts w:ascii="Verdana" w:eastAsia="Calibri" w:hAnsi="Verdana"/>
          <w:sz w:val="16"/>
          <w:szCs w:val="16"/>
          <w:lang w:val="en-US"/>
        </w:rPr>
        <w:t xml:space="preserve">of the investigator of the Unit to Combat Murders of Women of the PNC Criminal Investigation Service of August 22, 2005 (evidence file, folios 2900 and 2901). </w:t>
      </w:r>
    </w:p>
  </w:footnote>
  <w:footnote w:id="279">
    <w:p w14:paraId="28810A9C" w14:textId="77777777" w:rsidR="00576E40" w:rsidRPr="007D3F3C" w:rsidRDefault="00576E40" w:rsidP="00551CA7">
      <w:pPr>
        <w:autoSpaceDE w:val="0"/>
        <w:autoSpaceDN w:val="0"/>
        <w:adjustRightInd w:val="0"/>
        <w:spacing w:after="0" w:line="240" w:lineRule="auto"/>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In this regard, it is on record that: (</w:t>
      </w:r>
      <w:r w:rsidRPr="007D3F3C">
        <w:rPr>
          <w:rFonts w:ascii="Verdana" w:hAnsi="Verdana" w:cs="Arial"/>
          <w:sz w:val="16"/>
          <w:szCs w:val="16"/>
          <w:lang w:val="en-US"/>
        </w:rPr>
        <w:t>i) on August 13, 2005, and having been tasked with this, she arrived at the crime scene, which was being processed by members of the National Police and the Public Prosecution Service; she interviewed a neighbor, and heard the versions of other neighbors who preferred not to identify themselves; (ii) on August 13, 2005, she drew up a report in which she advised the prosecutor of the Public Prosecution Service that the police had opened a preliminary investigation and forwarded information gathered at the crime scene; (iii) on August 15, 2005, she went to the home of Claudina Velásquez’s parents</w:t>
      </w:r>
      <w:r w:rsidRPr="007D3F3C">
        <w:rPr>
          <w:rFonts w:ascii="Verdana" w:hAnsi="Verdana"/>
          <w:sz w:val="16"/>
          <w:szCs w:val="16"/>
          <w:lang w:val="en-US"/>
        </w:rPr>
        <w:t xml:space="preserve"> and interviewed Elsa Claudina Paiz Vidal and </w:t>
      </w:r>
      <w:r w:rsidRPr="007D3F3C">
        <w:rPr>
          <w:rFonts w:ascii="Verdana" w:hAnsi="Verdana" w:cs="Arial"/>
          <w:sz w:val="16"/>
          <w:szCs w:val="16"/>
          <w:lang w:val="en-US"/>
        </w:rPr>
        <w:t xml:space="preserve">José Rodolfo López Barrientos; (iv) on August 18, 2005, </w:t>
      </w:r>
      <w:r w:rsidRPr="007D3F3C">
        <w:rPr>
          <w:rFonts w:ascii="Verdana" w:hAnsi="Verdana"/>
          <w:sz w:val="16"/>
          <w:szCs w:val="16"/>
          <w:lang w:val="en-US"/>
        </w:rPr>
        <w:t>Jorge Rolando Velásquez Durán gave her information, by telephone, on where Claudina Velásquez had been on the night of August 12, 2005; (v) on</w:t>
      </w:r>
      <w:r w:rsidRPr="007D3F3C">
        <w:rPr>
          <w:rFonts w:ascii="Verdana" w:hAnsi="Verdana" w:cs="Arial"/>
          <w:sz w:val="16"/>
          <w:szCs w:val="16"/>
          <w:lang w:val="en-US"/>
        </w:rPr>
        <w:t xml:space="preserve"> August 22, 2005, she drew up a report that she addressed to the prosecutor and in which she referred to the content of those interviews and to the said telephone call, and provided information on the victim’s personal data, the autopsy, the cause of death, and the identification of the victim at the morgue. In this report, she indicated that the motive for Claudina Velásquez’s death had been: “possibly a crime of passion under the effects of alcohol resulting in someone’s death”; (vi) On August 25 and 28, September 21 and 23, 2005, and March 7, 2006, she interviewed five individuals at their respective homes, and (vii) she advised the prosecutor in the respective report dated August 25, 2005 (</w:t>
      </w:r>
      <w:r w:rsidRPr="007D3F3C">
        <w:rPr>
          <w:rFonts w:ascii="Verdana" w:hAnsi="Verdana" w:cs="Arial"/>
          <w:i/>
          <w:sz w:val="16"/>
          <w:szCs w:val="16"/>
          <w:lang w:val="en-US"/>
        </w:rPr>
        <w:t>sic),</w:t>
      </w:r>
      <w:r w:rsidRPr="007D3F3C">
        <w:rPr>
          <w:rFonts w:ascii="Verdana" w:hAnsi="Verdana" w:cs="Arial"/>
          <w:sz w:val="16"/>
          <w:szCs w:val="16"/>
          <w:lang w:val="en-US"/>
        </w:rPr>
        <w:t xml:space="preserve"> about the information gathered during these interviews, and through the procedures conducted in the investigation up until that time. </w:t>
      </w:r>
      <w:r w:rsidRPr="007D3F3C">
        <w:rPr>
          <w:rFonts w:ascii="Verdana" w:hAnsi="Verdana"/>
          <w:i/>
          <w:sz w:val="16"/>
          <w:szCs w:val="16"/>
          <w:lang w:val="en-US"/>
        </w:rPr>
        <w:t>Cf.</w:t>
      </w:r>
      <w:r w:rsidRPr="007D3F3C">
        <w:rPr>
          <w:rFonts w:ascii="Verdana" w:hAnsi="Verdana"/>
          <w:sz w:val="16"/>
          <w:szCs w:val="16"/>
          <w:lang w:val="en-US"/>
        </w:rPr>
        <w:t xml:space="preserve"> Report of August 16, 2005, of the Criminal Investigations Expert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56); Reports of the investigator of the Unit to Combat Murders of Women of the PNC Criminal Investigation Service of August 13, 2005 (evidence file, folios, 68, 69, 2896, 2897, 3223 and 3224); Reports of the investigator of the Unit to Combat Murders of Women of the PNC Criminal Investigation Service of August 22, 2005 (evidence file, folios 2900 and 2901), and Report of the investigator of the Unit to Combat Murders of Women of the PNC Criminal Investigation Service of August 25, 2005 (evidence file, folios 4986 to 4993).</w:t>
      </w:r>
    </w:p>
  </w:footnote>
  <w:footnote w:id="280">
    <w:p w14:paraId="7980DA8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Article 304 (Police control) of the Code of Criminal Procedure in force at the time of the facts indicated that: “Police agents and officials who have information on a wrongful act subject to </w:t>
      </w:r>
      <w:r w:rsidRPr="007D3F3C">
        <w:rPr>
          <w:rFonts w:ascii="Verdana" w:hAnsi="Verdana"/>
          <w:i/>
          <w:iCs/>
          <w:sz w:val="16"/>
          <w:szCs w:val="16"/>
          <w:lang w:val="en-US"/>
        </w:rPr>
        <w:t>ex officio</w:t>
      </w:r>
      <w:r w:rsidRPr="007D3F3C">
        <w:rPr>
          <w:rFonts w:ascii="Verdana" w:hAnsi="Verdana"/>
          <w:sz w:val="16"/>
          <w:szCs w:val="16"/>
          <w:lang w:val="en-US"/>
        </w:rPr>
        <w:t xml:space="preserve"> prosecution, shall immediately provide detailed information to the Public Prosecution Service and shall conduct a preliminary investigation to urgently gather or secure the evidence and prevent the suspects from escaping or going into hiding. The magistrates shall exercise the same function in places where there are no officials of the Public Prosecution Service or police agents.”  Article 307 (Forwarding of procedures) indicated that: “The procedures and the objects seized shall be forwarded to the Public Prosecution Service within three days, without prejudice to the provisions in the case of arrests.”</w:t>
      </w:r>
    </w:p>
  </w:footnote>
  <w:footnote w:id="281">
    <w:p w14:paraId="5F4DA29F" w14:textId="77777777" w:rsidR="00576E40" w:rsidRPr="007D3F3C" w:rsidRDefault="00576E40" w:rsidP="00551CA7">
      <w:pPr>
        <w:pStyle w:val="Textonotapie"/>
        <w:tabs>
          <w:tab w:val="left" w:pos="720"/>
        </w:tabs>
        <w:contextualSpacing/>
        <w:jc w:val="both"/>
        <w:rPr>
          <w:rFonts w:ascii="Verdana" w:hAnsi="Verdana" w:cs="Vrinda"/>
          <w:sz w:val="16"/>
          <w:szCs w:val="16"/>
          <w:lang w:val="es-CR"/>
        </w:rPr>
      </w:pPr>
      <w:r w:rsidRPr="007D3F3C">
        <w:rPr>
          <w:rStyle w:val="Refdenotaalpie"/>
          <w:rFonts w:ascii="Verdana" w:hAnsi="Verdana" w:cs="Vrinda"/>
          <w:spacing w:val="-4"/>
          <w:sz w:val="16"/>
          <w:szCs w:val="16"/>
          <w:lang w:val="en-US"/>
        </w:rPr>
        <w:footnoteRef/>
      </w:r>
      <w:r w:rsidRPr="007D3F3C">
        <w:rPr>
          <w:rFonts w:ascii="Verdana" w:hAnsi="Verdana" w:cs="Vrinda"/>
          <w:spacing w:val="-4"/>
          <w:sz w:val="16"/>
          <w:szCs w:val="16"/>
          <w:lang w:val="en-US"/>
        </w:rPr>
        <w:t xml:space="preserve"> </w:t>
      </w:r>
      <w:r w:rsidRPr="007D3F3C">
        <w:rPr>
          <w:rFonts w:ascii="Verdana" w:hAnsi="Verdana" w:cs="Vrinda"/>
          <w:spacing w:val="-4"/>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i/>
          <w:sz w:val="16"/>
          <w:szCs w:val="16"/>
          <w:lang w:val="en-US"/>
        </w:rPr>
        <w:t xml:space="preserve">Case of González et al. </w:t>
      </w:r>
      <w:r w:rsidRPr="007D3F3C">
        <w:rPr>
          <w:rFonts w:ascii="Verdana" w:hAnsi="Verdana"/>
          <w:i/>
          <w:sz w:val="16"/>
          <w:szCs w:val="16"/>
          <w:lang w:val="es-CR"/>
        </w:rPr>
        <w:t xml:space="preserve">(“Cotton Field”) v. </w:t>
      </w:r>
      <w:r w:rsidRPr="007D3F3C">
        <w:rPr>
          <w:rFonts w:ascii="Verdana" w:hAnsi="Verdana"/>
          <w:i/>
          <w:sz w:val="16"/>
          <w:szCs w:val="16"/>
          <w:lang w:val="es-CR"/>
        </w:rPr>
        <w:t>Mexico, supra,</w:t>
      </w:r>
      <w:r w:rsidRPr="007D3F3C">
        <w:rPr>
          <w:rFonts w:ascii="Verdana" w:hAnsi="Verdana" w:cs="Vrinda"/>
          <w:sz w:val="16"/>
          <w:szCs w:val="16"/>
          <w:lang w:val="es-CR"/>
        </w:rPr>
        <w:t xml:space="preserve"> para. 401.</w:t>
      </w:r>
    </w:p>
  </w:footnote>
  <w:footnote w:id="282">
    <w:p w14:paraId="4064A593" w14:textId="77777777" w:rsidR="00576E40" w:rsidRPr="007D3F3C" w:rsidRDefault="00576E40" w:rsidP="00551CA7">
      <w:pPr>
        <w:pStyle w:val="Textonotapie"/>
        <w:tabs>
          <w:tab w:val="left" w:pos="720"/>
        </w:tabs>
        <w:contextualSpacing/>
        <w:jc w:val="both"/>
        <w:rPr>
          <w:rFonts w:ascii="Verdana" w:hAnsi="Verdana" w:cs="Vrinda"/>
          <w:sz w:val="16"/>
          <w:szCs w:val="16"/>
          <w:lang w:val="en-US"/>
        </w:rPr>
      </w:pPr>
      <w:r w:rsidRPr="007D3F3C">
        <w:rPr>
          <w:rStyle w:val="Refdenotaalpie"/>
          <w:rFonts w:ascii="Verdana" w:hAnsi="Verdana" w:cs="Vrinda"/>
          <w:sz w:val="16"/>
          <w:szCs w:val="16"/>
          <w:lang w:val="en-US"/>
        </w:rPr>
        <w:footnoteRef/>
      </w:r>
      <w:r w:rsidRPr="007D3F3C">
        <w:rPr>
          <w:rFonts w:ascii="Verdana" w:hAnsi="Verdana" w:cs="Vrinda"/>
          <w:sz w:val="16"/>
          <w:szCs w:val="16"/>
          <w:lang w:val="es-CR"/>
        </w:rPr>
        <w:t xml:space="preserve"> </w:t>
      </w:r>
      <w:r w:rsidRPr="007D3F3C">
        <w:rPr>
          <w:rFonts w:ascii="Verdana" w:hAnsi="Verdana" w:cs="Vrinda"/>
          <w:sz w:val="16"/>
          <w:szCs w:val="16"/>
          <w:lang w:val="es-CR"/>
        </w:rPr>
        <w:tab/>
      </w:r>
      <w:r w:rsidRPr="007D3F3C">
        <w:rPr>
          <w:rFonts w:ascii="Verdana" w:hAnsi="Verdana" w:cs="Vrinda"/>
          <w:i/>
          <w:sz w:val="16"/>
          <w:szCs w:val="16"/>
          <w:lang w:val="es-CR"/>
        </w:rPr>
        <w:t>Cf.</w:t>
      </w:r>
      <w:r w:rsidRPr="007D3F3C">
        <w:rPr>
          <w:rFonts w:ascii="Verdana" w:hAnsi="Verdana" w:cs="Vrinda"/>
          <w:sz w:val="16"/>
          <w:szCs w:val="16"/>
          <w:lang w:val="es-CR"/>
        </w:rPr>
        <w:t xml:space="preserve"> </w:t>
      </w:r>
      <w:r w:rsidRPr="007D3F3C">
        <w:rPr>
          <w:rFonts w:ascii="Verdana" w:hAnsi="Verdana" w:cs="Vrinda"/>
          <w:i/>
          <w:sz w:val="16"/>
          <w:szCs w:val="16"/>
          <w:lang w:val="es-CR"/>
        </w:rPr>
        <w:t xml:space="preserve">Mutatis mutandis, </w:t>
      </w:r>
      <w:r w:rsidRPr="007D3F3C">
        <w:rPr>
          <w:rFonts w:ascii="Verdana" w:hAnsi="Verdana"/>
          <w:i/>
          <w:sz w:val="16"/>
          <w:szCs w:val="16"/>
          <w:lang w:val="es-CR"/>
        </w:rPr>
        <w:t xml:space="preserve">Case of González et al. (“Cotton Field”) v. </w:t>
      </w:r>
      <w:r w:rsidRPr="007D3F3C">
        <w:rPr>
          <w:rFonts w:ascii="Verdana" w:hAnsi="Verdana"/>
          <w:i/>
          <w:sz w:val="16"/>
          <w:szCs w:val="16"/>
          <w:lang w:val="es-CR"/>
        </w:rPr>
        <w:t>Mexico, supra,</w:t>
      </w:r>
      <w:r w:rsidRPr="007D3F3C">
        <w:rPr>
          <w:rFonts w:ascii="Verdana" w:hAnsi="Verdana" w:cs="Vrinda"/>
          <w:sz w:val="16"/>
          <w:szCs w:val="16"/>
          <w:lang w:val="es-CR"/>
        </w:rPr>
        <w:t xml:space="preserve"> para. </w:t>
      </w:r>
      <w:r w:rsidRPr="007D3F3C">
        <w:rPr>
          <w:rFonts w:ascii="Verdana" w:hAnsi="Verdana" w:cs="Vrinda"/>
          <w:sz w:val="16"/>
          <w:szCs w:val="16"/>
          <w:lang w:val="en-US"/>
        </w:rPr>
        <w:t xml:space="preserve">401. In this regard, see </w:t>
      </w:r>
      <w:r w:rsidRPr="007D3F3C">
        <w:rPr>
          <w:rFonts w:ascii="Verdana" w:hAnsi="Verdana" w:cs="Vrinda"/>
          <w:i/>
          <w:sz w:val="16"/>
          <w:szCs w:val="16"/>
          <w:lang w:val="en-US"/>
        </w:rPr>
        <w:t>mutatis mutandis</w:t>
      </w:r>
      <w:r w:rsidRPr="007D3F3C">
        <w:rPr>
          <w:rFonts w:ascii="Verdana" w:hAnsi="Verdana" w:cs="Vrinda"/>
          <w:sz w:val="16"/>
          <w:szCs w:val="16"/>
          <w:lang w:val="en-US"/>
        </w:rPr>
        <w:t xml:space="preserve">, </w:t>
      </w:r>
      <w:r w:rsidRPr="007D3F3C">
        <w:rPr>
          <w:rFonts w:ascii="Verdana" w:hAnsi="Verdana"/>
          <w:sz w:val="16"/>
          <w:szCs w:val="16"/>
          <w:lang w:val="en-US"/>
        </w:rPr>
        <w:t>Opinion submitted by affidavit by Christiane Mary Chinkin dated April 13, 2015 (evidence file, folios</w:t>
      </w:r>
      <w:r w:rsidRPr="007D3F3C">
        <w:rPr>
          <w:rFonts w:ascii="Verdana" w:hAnsi="Verdana" w:cs="Arial"/>
          <w:bCs/>
          <w:color w:val="0F0F0F"/>
          <w:sz w:val="16"/>
          <w:szCs w:val="16"/>
          <w:lang w:val="en-US"/>
        </w:rPr>
        <w:t xml:space="preserve"> 6797 and 6798</w:t>
      </w:r>
      <w:r w:rsidRPr="007D3F3C">
        <w:rPr>
          <w:rFonts w:ascii="Verdana" w:hAnsi="Verdana"/>
          <w:sz w:val="16"/>
          <w:szCs w:val="16"/>
          <w:lang w:val="en-US"/>
        </w:rPr>
        <w:t>), and Opinion submitted by affidavit by Alberto Bovino dated April 13, 2015 (evidence file, folios 6666 and 6667).</w:t>
      </w:r>
    </w:p>
  </w:footnote>
  <w:footnote w:id="283">
    <w:p w14:paraId="7030BCE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sz w:val="16"/>
          <w:szCs w:val="16"/>
          <w:lang w:val="en-US"/>
        </w:rPr>
        <w:t>Opinion submitted by affidavit by Christiane Mary Chinkin dated April 13, 2015 (evidence file, folios 6782 to 6802).</w:t>
      </w:r>
      <w:r w:rsidRPr="007D3F3C">
        <w:rPr>
          <w:rFonts w:ascii="Verdana" w:hAnsi="Verdana"/>
          <w:color w:val="000000"/>
          <w:sz w:val="16"/>
          <w:szCs w:val="16"/>
          <w:lang w:val="en-US"/>
        </w:rPr>
        <w:t xml:space="preserve"> </w:t>
      </w:r>
    </w:p>
  </w:footnote>
  <w:footnote w:id="284">
    <w:p w14:paraId="18CB2B0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sz w:val="16"/>
          <w:szCs w:val="16"/>
          <w:lang w:val="en-US"/>
        </w:rPr>
        <w:t xml:space="preserve">Opinion submitted by affidavit by </w:t>
      </w:r>
      <w:r w:rsidRPr="007D3F3C">
        <w:rPr>
          <w:rFonts w:ascii="Verdana" w:hAnsi="Verdana" w:cs="Arial"/>
          <w:color w:val="000000"/>
          <w:sz w:val="16"/>
          <w:szCs w:val="16"/>
          <w:lang w:val="en-US"/>
        </w:rPr>
        <w:t>Paloma Soria Montañez</w:t>
      </w:r>
      <w:r w:rsidRPr="007D3F3C">
        <w:rPr>
          <w:rFonts w:ascii="Verdana" w:hAnsi="Verdana"/>
          <w:color w:val="000000"/>
          <w:sz w:val="16"/>
          <w:szCs w:val="16"/>
          <w:lang w:val="en-US"/>
        </w:rPr>
        <w:t xml:space="preserve"> dated April 16, 2015 (evidence file, folios 6744 to 6781).</w:t>
      </w:r>
    </w:p>
  </w:footnote>
  <w:footnote w:id="285">
    <w:p w14:paraId="453F82C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sz w:val="16"/>
          <w:szCs w:val="16"/>
          <w:lang w:val="en-US"/>
        </w:rPr>
        <w:t>Opinion submitted by affidavit by</w:t>
      </w:r>
      <w:r w:rsidRPr="007D3F3C">
        <w:rPr>
          <w:rFonts w:ascii="Verdana" w:hAnsi="Verdana"/>
          <w:spacing w:val="-4"/>
          <w:sz w:val="16"/>
          <w:szCs w:val="16"/>
          <w:lang w:val="en-US"/>
        </w:rPr>
        <w:t xml:space="preserve"> </w:t>
      </w:r>
      <w:r w:rsidRPr="007D3F3C">
        <w:rPr>
          <w:rFonts w:ascii="Verdana" w:hAnsi="Verdana"/>
          <w:sz w:val="16"/>
          <w:szCs w:val="16"/>
          <w:lang w:val="en-US"/>
        </w:rPr>
        <w:t>Christiane Mary Chinkin dated April 13, 2015 (evidence file, folios 6798 and 6799).</w:t>
      </w:r>
    </w:p>
  </w:footnote>
  <w:footnote w:id="286">
    <w:p w14:paraId="30895CE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Opinion submitted by affidavit by </w:t>
      </w:r>
      <w:r w:rsidRPr="007D3F3C">
        <w:rPr>
          <w:rFonts w:ascii="Verdana" w:hAnsi="Verdana" w:cs="Arial"/>
          <w:color w:val="000000"/>
          <w:sz w:val="16"/>
          <w:szCs w:val="16"/>
          <w:lang w:val="en-US"/>
        </w:rPr>
        <w:t>Paloma Soria Montañez</w:t>
      </w:r>
      <w:r w:rsidRPr="007D3F3C">
        <w:rPr>
          <w:rFonts w:ascii="Verdana" w:hAnsi="Verdana"/>
          <w:color w:val="000000"/>
          <w:sz w:val="16"/>
          <w:szCs w:val="16"/>
          <w:lang w:val="en-US"/>
        </w:rPr>
        <w:t xml:space="preserve"> dated April 16, 2015 (evidence file, folio</w:t>
      </w:r>
      <w:r w:rsidRPr="007D3F3C">
        <w:rPr>
          <w:rFonts w:ascii="Verdana" w:hAnsi="Verdana"/>
          <w:sz w:val="16"/>
          <w:szCs w:val="16"/>
          <w:lang w:val="en-US"/>
        </w:rPr>
        <w:t xml:space="preserve"> 6771).</w:t>
      </w:r>
    </w:p>
  </w:footnote>
  <w:footnote w:id="287">
    <w:p w14:paraId="20BD8B0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sz w:val="16"/>
          <w:szCs w:val="16"/>
          <w:lang w:val="en-US"/>
        </w:rPr>
        <w:t>Opinion submitted by affidavit by Christiane Mary Chinkin dated April 13, 2015 (evidence file, folios 6798 and 6799).</w:t>
      </w:r>
      <w:r w:rsidRPr="007D3F3C">
        <w:rPr>
          <w:rFonts w:ascii="Verdana" w:hAnsi="Verdana"/>
          <w:color w:val="000000"/>
          <w:sz w:val="16"/>
          <w:szCs w:val="16"/>
          <w:lang w:val="en-US"/>
        </w:rPr>
        <w:t xml:space="preserve"> </w:t>
      </w:r>
    </w:p>
  </w:footnote>
  <w:footnote w:id="288">
    <w:p w14:paraId="228BF44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sz w:val="16"/>
          <w:szCs w:val="16"/>
          <w:lang w:val="en-US"/>
        </w:rPr>
        <w:t xml:space="preserve">Opinion submitted by affidavit by </w:t>
      </w:r>
      <w:r w:rsidRPr="007D3F3C">
        <w:rPr>
          <w:rFonts w:ascii="Verdana" w:hAnsi="Verdana" w:cs="Arial"/>
          <w:color w:val="000000"/>
          <w:sz w:val="16"/>
          <w:szCs w:val="16"/>
          <w:lang w:val="en-US"/>
        </w:rPr>
        <w:t>Paloma Soria Montañez</w:t>
      </w:r>
      <w:r w:rsidRPr="007D3F3C">
        <w:rPr>
          <w:rFonts w:ascii="Verdana" w:hAnsi="Verdana"/>
          <w:color w:val="000000"/>
          <w:sz w:val="16"/>
          <w:szCs w:val="16"/>
          <w:lang w:val="en-US"/>
        </w:rPr>
        <w:t xml:space="preserve"> dated April 16, 2015 (evidence file, folio 6771).</w:t>
      </w:r>
    </w:p>
  </w:footnote>
  <w:footnote w:id="289">
    <w:p w14:paraId="6E26DBA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eastAsia="Calibri" w:hAnsi="Verdana"/>
          <w:i/>
          <w:sz w:val="16"/>
          <w:szCs w:val="16"/>
          <w:lang w:val="en-US"/>
        </w:rPr>
        <w:t>Cf.</w:t>
      </w:r>
      <w:r w:rsidRPr="007D3F3C">
        <w:rPr>
          <w:rFonts w:ascii="Verdana" w:eastAsia="Calibri" w:hAnsi="Verdana"/>
          <w:sz w:val="16"/>
          <w:szCs w:val="16"/>
          <w:lang w:val="en-US"/>
        </w:rPr>
        <w:t xml:space="preserve"> The Ombudsman’s Report on verification of violations of the obligation to investigate in the case of Claudina Isabel Velásquez Paiz (evidence file, folios</w:t>
      </w:r>
      <w:r w:rsidRPr="007D3F3C">
        <w:rPr>
          <w:rFonts w:ascii="Verdana" w:hAnsi="Verdana" w:cs="Arial"/>
          <w:sz w:val="16"/>
          <w:szCs w:val="16"/>
          <w:lang w:val="en-US"/>
        </w:rPr>
        <w:t xml:space="preserve"> 104, 105 and </w:t>
      </w:r>
      <w:r w:rsidRPr="007D3F3C">
        <w:rPr>
          <w:rFonts w:ascii="Verdana" w:hAnsi="Verdana"/>
          <w:sz w:val="16"/>
          <w:szCs w:val="16"/>
          <w:lang w:val="en-US"/>
        </w:rPr>
        <w:t xml:space="preserve">114). </w:t>
      </w:r>
    </w:p>
  </w:footnote>
  <w:footnote w:id="290">
    <w:p w14:paraId="63C54E5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rinda"/>
          <w:i/>
          <w:spacing w:val="-4"/>
          <w:sz w:val="16"/>
          <w:szCs w:val="16"/>
          <w:lang w:val="en-US"/>
        </w:rPr>
        <w:t>Cf.</w:t>
      </w:r>
      <w:r w:rsidRPr="007D3F3C">
        <w:rPr>
          <w:rFonts w:ascii="Verdana" w:hAnsi="Verdana" w:cs="Vrinda"/>
          <w:i/>
          <w:sz w:val="16"/>
          <w:szCs w:val="16"/>
          <w:lang w:val="en-US"/>
        </w:rPr>
        <w:t xml:space="preserve"> </w:t>
      </w:r>
      <w:r w:rsidRPr="007D3F3C">
        <w:rPr>
          <w:rFonts w:ascii="Verdana" w:hAnsi="Verdana"/>
          <w:sz w:val="16"/>
          <w:szCs w:val="16"/>
          <w:lang w:val="en-US"/>
        </w:rPr>
        <w:t xml:space="preserve">Opinion submitted by affidavit by </w:t>
      </w:r>
      <w:r w:rsidRPr="007D3F3C">
        <w:rPr>
          <w:rFonts w:ascii="Verdana" w:hAnsi="Verdana" w:cs="Arial"/>
          <w:color w:val="000000"/>
          <w:sz w:val="16"/>
          <w:szCs w:val="16"/>
          <w:lang w:val="en-US"/>
        </w:rPr>
        <w:t xml:space="preserve">Alberto Bovino </w:t>
      </w:r>
      <w:r w:rsidRPr="007D3F3C">
        <w:rPr>
          <w:rFonts w:ascii="Verdana" w:hAnsi="Verdana"/>
          <w:sz w:val="16"/>
          <w:szCs w:val="16"/>
          <w:lang w:val="en-US"/>
        </w:rPr>
        <w:t>dated April 13, 2015</w:t>
      </w:r>
      <w:r w:rsidRPr="007D3F3C">
        <w:rPr>
          <w:rFonts w:ascii="Verdana" w:hAnsi="Verdana" w:cs="Arial"/>
          <w:color w:val="000000"/>
          <w:sz w:val="16"/>
          <w:szCs w:val="16"/>
          <w:lang w:val="en-US"/>
        </w:rPr>
        <w:t xml:space="preserve"> </w:t>
      </w:r>
      <w:r w:rsidRPr="007D3F3C">
        <w:rPr>
          <w:rFonts w:ascii="Verdana" w:hAnsi="Verdana"/>
          <w:sz w:val="16"/>
          <w:szCs w:val="16"/>
          <w:lang w:val="en-US"/>
        </w:rPr>
        <w:t>(evidence file, folios 6670 and 6674).</w:t>
      </w:r>
    </w:p>
  </w:footnote>
  <w:footnote w:id="291">
    <w:p w14:paraId="235A393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The Report of the investigator of the Unit to Combat Murders of Women of the PNC Criminal Investigation Service of August 13, 2005, and the Report on the external medical examination and forensic processing of the crime scene of August 30, 2005, indicates that “a condom wrapper” was found. However, the photographic album of the actions taken at the scene on August 13, 2005, forwarded to the assistant prosecutor on August 23, 2005, records the finding of a packet with the description “Cup Ramen Vegetales apparently of a lemon-yellow color.” </w:t>
      </w:r>
      <w:r w:rsidRPr="007D3F3C">
        <w:rPr>
          <w:rFonts w:ascii="Verdana" w:hAnsi="Verdana"/>
          <w:i/>
          <w:sz w:val="16"/>
          <w:szCs w:val="16"/>
          <w:lang w:val="en-US"/>
        </w:rPr>
        <w:t>Cf.</w:t>
      </w:r>
      <w:r w:rsidRPr="007D3F3C">
        <w:rPr>
          <w:rFonts w:ascii="Verdana" w:hAnsi="Verdana"/>
          <w:sz w:val="16"/>
          <w:szCs w:val="16"/>
          <w:lang w:val="en-US"/>
        </w:rPr>
        <w:t xml:space="preserve"> Report of the investigator of the Unit to Combat Murders of Women of the PNC Criminal Investigation Service of August 13, 2005 (</w:t>
      </w:r>
      <w:r w:rsidRPr="007D3F3C">
        <w:rPr>
          <w:rFonts w:ascii="Verdana" w:hAnsi="Verdana"/>
          <w:color w:val="000000"/>
          <w:sz w:val="16"/>
          <w:szCs w:val="16"/>
          <w:lang w:val="en-US"/>
        </w:rPr>
        <w:t xml:space="preserve">evidence file, folios </w:t>
      </w:r>
      <w:r w:rsidRPr="007D3F3C">
        <w:rPr>
          <w:rFonts w:ascii="Verdana" w:hAnsi="Verdana"/>
          <w:sz w:val="16"/>
          <w:szCs w:val="16"/>
          <w:lang w:val="en-US"/>
        </w:rPr>
        <w:t>69 and 70); Report on external medical examination and forensic processing of the crime scene of August 30, 2005 (evidence file, folios 35 and 36), and Photographic album of the actions taken at the scene on August 13, 2005 (evidence file, folio 2804).</w:t>
      </w:r>
    </w:p>
  </w:footnote>
  <w:footnote w:id="292">
    <w:p w14:paraId="5750D66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Psychiatric profile of victim, perpetrator and crime scene in the case of the violent death of Claudina Isabel Velásquez Paiz (evidence file, folios 4875 and 4876).</w:t>
      </w:r>
    </w:p>
  </w:footnote>
  <w:footnote w:id="293">
    <w:p w14:paraId="533D2F5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cs="Vrinda"/>
          <w:i/>
          <w:spacing w:val="-4"/>
          <w:sz w:val="16"/>
          <w:szCs w:val="16"/>
          <w:lang w:val="es-CR"/>
        </w:rPr>
        <w:t>Cf.</w:t>
      </w:r>
      <w:r w:rsidRPr="007D3F3C">
        <w:rPr>
          <w:rFonts w:ascii="Verdana" w:hAnsi="Verdana" w:cs="Vrinda"/>
          <w:i/>
          <w:sz w:val="16"/>
          <w:szCs w:val="16"/>
          <w:lang w:val="es-CR"/>
        </w:rPr>
        <w:t xml:space="preserve"> </w:t>
      </w:r>
      <w:r w:rsidRPr="007D3F3C">
        <w:rPr>
          <w:rStyle w:val="Textoennegrita"/>
          <w:rFonts w:ascii="Verdana" w:hAnsi="Verdana"/>
          <w:b w:val="0"/>
          <w:bCs w:val="0"/>
          <w:i/>
          <w:iCs/>
          <w:color w:val="000000"/>
          <w:sz w:val="16"/>
          <w:szCs w:val="16"/>
          <w:lang w:val="es-CR"/>
        </w:rPr>
        <w:t>Case of Veliz Franco et al. v. Guatemala, supra,</w:t>
      </w:r>
      <w:r w:rsidRPr="007D3F3C">
        <w:rPr>
          <w:rStyle w:val="Textoennegrita"/>
          <w:rFonts w:ascii="Verdana" w:hAnsi="Verdana"/>
          <w:b w:val="0"/>
          <w:color w:val="000000"/>
          <w:sz w:val="16"/>
          <w:szCs w:val="16"/>
          <w:lang w:val="es-CR"/>
        </w:rPr>
        <w:t xml:space="preserve"> </w:t>
      </w:r>
      <w:r w:rsidRPr="007D3F3C">
        <w:rPr>
          <w:rFonts w:ascii="Verdana" w:hAnsi="Verdana"/>
          <w:sz w:val="16"/>
          <w:szCs w:val="16"/>
          <w:lang w:val="es-CR"/>
        </w:rPr>
        <w:t xml:space="preserve">paras. </w:t>
      </w:r>
      <w:r w:rsidRPr="007D3F3C">
        <w:rPr>
          <w:rFonts w:ascii="Verdana" w:hAnsi="Verdana"/>
          <w:sz w:val="16"/>
          <w:szCs w:val="16"/>
          <w:lang w:val="en-US"/>
        </w:rPr>
        <w:t>210 to 212.</w:t>
      </w:r>
    </w:p>
  </w:footnote>
  <w:footnote w:id="294">
    <w:p w14:paraId="6D4CF55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Article 1 of the Convention of Belém do Pará defines violence against women as: “</w:t>
      </w:r>
      <w:r w:rsidRPr="007D3F3C">
        <w:rPr>
          <w:rFonts w:ascii="Verdana" w:hAnsi="Verdana" w:cs="Arial"/>
          <w:sz w:val="16"/>
          <w:szCs w:val="16"/>
          <w:lang w:val="en-US"/>
        </w:rPr>
        <w:t>any act or conduct, based on gender, which causes death or physical, sexual or psychological harm or suffering to women, whether in the public or the private sphere.</w:t>
      </w:r>
      <w:r w:rsidRPr="007D3F3C">
        <w:rPr>
          <w:rFonts w:ascii="Verdana" w:hAnsi="Verdana"/>
          <w:sz w:val="16"/>
          <w:szCs w:val="16"/>
          <w:lang w:val="en-US"/>
        </w:rPr>
        <w:t xml:space="preserve">” The Court has established previously that “CEDAW […] has indicated that ‘violence against women is a form of discrimination </w:t>
      </w:r>
      <w:r w:rsidRPr="007D3F3C">
        <w:rPr>
          <w:rFonts w:ascii="Verdana" w:hAnsi="Verdana" w:cs="Arial"/>
          <w:sz w:val="16"/>
          <w:szCs w:val="16"/>
          <w:lang w:val="en-US"/>
        </w:rPr>
        <w:t xml:space="preserve">that seriously inhibits women’s ability to enjoy rights and freedoms on a basis of equality with men.’” </w:t>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i/>
          <w:iCs/>
          <w:sz w:val="16"/>
          <w:szCs w:val="16"/>
          <w:lang w:val="en-US"/>
        </w:rPr>
        <w:t>Case of González et al. (“Cotton Field”), supra</w:t>
      </w:r>
      <w:r w:rsidRPr="007D3F3C">
        <w:rPr>
          <w:rFonts w:ascii="Verdana" w:hAnsi="Verdana"/>
          <w:sz w:val="16"/>
          <w:szCs w:val="16"/>
          <w:lang w:val="en-US"/>
        </w:rPr>
        <w:t xml:space="preserve">, paras. 143, 401 and 395. In addition, the Court has indicated that “not every violation of a human right committed against a woman necessarily entails a violation of the provisions of the Convention of Belém do Pará.” </w:t>
      </w:r>
      <w:r w:rsidRPr="007D3F3C">
        <w:rPr>
          <w:rFonts w:ascii="Verdana" w:hAnsi="Verdana"/>
          <w:i/>
          <w:sz w:val="16"/>
          <w:szCs w:val="16"/>
          <w:lang w:val="en-US"/>
        </w:rPr>
        <w:t>Cf.</w:t>
      </w:r>
      <w:r w:rsidRPr="007D3F3C">
        <w:rPr>
          <w:rFonts w:ascii="Verdana" w:hAnsi="Verdana"/>
          <w:sz w:val="16"/>
          <w:szCs w:val="16"/>
          <w:lang w:val="en-US"/>
        </w:rPr>
        <w:t xml:space="preserve"> </w:t>
      </w:r>
      <w:r w:rsidRPr="007D3F3C">
        <w:rPr>
          <w:rFonts w:ascii="Verdana" w:hAnsi="Verdana"/>
          <w:i/>
          <w:iCs/>
          <w:sz w:val="16"/>
          <w:szCs w:val="16"/>
          <w:lang w:val="en-US"/>
        </w:rPr>
        <w:t>Case of Ríos et al. v. Venezuela. Preliminary objections, merits, reparations and costs</w:t>
      </w:r>
      <w:r w:rsidRPr="007D3F3C">
        <w:rPr>
          <w:rFonts w:ascii="Verdana" w:hAnsi="Verdana"/>
          <w:sz w:val="16"/>
          <w:szCs w:val="16"/>
          <w:lang w:val="en-US"/>
        </w:rPr>
        <w:t xml:space="preserve">. Judgment of January 28, 2009. Series C No. 194, para. 279. This does not mean that, in relation to the investigation of acts perpetrated against women, the application of the Convention of Belém do Pará depends on the absolute certainty that the act investigated constituted violence against women in the terms of that Convention. In this regard, it should be emphasized that it is by complying with the obligation to investigate established in Article 7 of the Convention of Belém do Pará that, in many cases, it can be ascertained whether or not the act investigated constituted violence against women. Consequently, compliance with this obligation cannot be dependent on that certainty and, in order to give rise to the obligation to investigate in the terms of the Convention of Belém do Pará, it is sufficient that the act in question has characteristics that, judged reasonably, indicate the possibility that it is an act of violence against women. </w:t>
      </w:r>
      <w:r w:rsidRPr="007D3F3C">
        <w:rPr>
          <w:rFonts w:ascii="Verdana" w:hAnsi="Verdana"/>
          <w:i/>
          <w:sz w:val="16"/>
          <w:szCs w:val="16"/>
          <w:lang w:val="en-US"/>
        </w:rPr>
        <w:t>Cf.</w:t>
      </w:r>
      <w:r w:rsidRPr="007D3F3C">
        <w:rPr>
          <w:rStyle w:val="Textoennegrita"/>
          <w:rFonts w:ascii="Verdana" w:hAnsi="Verdana"/>
          <w:b w:val="0"/>
          <w:bCs w:val="0"/>
          <w:i/>
          <w:iCs/>
          <w:color w:val="000000"/>
          <w:sz w:val="16"/>
          <w:szCs w:val="16"/>
          <w:lang w:val="en-US"/>
        </w:rPr>
        <w:t xml:space="preserve"> Case of Veliz Franco et al. v. Guatemala, supra, </w:t>
      </w:r>
      <w:r w:rsidRPr="007D3F3C">
        <w:rPr>
          <w:rStyle w:val="Textoennegrita"/>
          <w:rFonts w:ascii="Verdana" w:hAnsi="Verdana"/>
          <w:b w:val="0"/>
          <w:bCs w:val="0"/>
          <w:iCs/>
          <w:color w:val="000000"/>
          <w:sz w:val="16"/>
          <w:szCs w:val="16"/>
          <w:lang w:val="en-US"/>
        </w:rPr>
        <w:t>footnote 254</w:t>
      </w:r>
      <w:r w:rsidRPr="007D3F3C">
        <w:rPr>
          <w:rStyle w:val="Textoennegrita"/>
          <w:rFonts w:ascii="Verdana" w:hAnsi="Verdana"/>
          <w:b w:val="0"/>
          <w:bCs w:val="0"/>
          <w:i/>
          <w:iCs/>
          <w:color w:val="000000"/>
          <w:sz w:val="16"/>
          <w:szCs w:val="16"/>
          <w:lang w:val="en-US"/>
        </w:rPr>
        <w:t>.</w:t>
      </w:r>
      <w:r w:rsidRPr="007D3F3C">
        <w:rPr>
          <w:rFonts w:ascii="Verdana" w:hAnsi="Verdana"/>
          <w:sz w:val="16"/>
          <w:szCs w:val="16"/>
          <w:lang w:val="en-US"/>
        </w:rPr>
        <w:t xml:space="preserve"> </w:t>
      </w:r>
      <w:r w:rsidRPr="007D3F3C">
        <w:rPr>
          <w:rFonts w:ascii="Verdana" w:hAnsi="Verdana"/>
          <w:strike/>
          <w:sz w:val="16"/>
          <w:szCs w:val="16"/>
          <w:lang w:val="en-US"/>
        </w:rPr>
        <w:t xml:space="preserve"> </w:t>
      </w:r>
    </w:p>
  </w:footnote>
  <w:footnote w:id="295">
    <w:p w14:paraId="3C6DE0C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sz w:val="16"/>
          <w:szCs w:val="16"/>
          <w:lang w:val="en-US"/>
        </w:rPr>
        <w:t xml:space="preserve"> Interview with the two police agents who were present at the site where Claudina Velásquez’s body was found, Investigation report dated October 24, 2005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48).</w:t>
      </w:r>
    </w:p>
  </w:footnote>
  <w:footnote w:id="296">
    <w:p w14:paraId="5E560797"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iCs/>
          <w:sz w:val="16"/>
          <w:szCs w:val="16"/>
          <w:lang w:val="en-US"/>
        </w:rPr>
        <w:t xml:space="preserve">Cf. </w:t>
      </w:r>
      <w:r w:rsidRPr="007D3F3C">
        <w:rPr>
          <w:rFonts w:ascii="Verdana" w:eastAsia="Batang" w:hAnsi="Verdana"/>
          <w:iCs/>
          <w:sz w:val="16"/>
          <w:szCs w:val="16"/>
          <w:lang w:val="en-US" w:eastAsia="es-MX"/>
        </w:rPr>
        <w:t>Psychiatric profile of victim, perpetrator and crime scene</w:t>
      </w:r>
      <w:r w:rsidRPr="007D3F3C">
        <w:rPr>
          <w:rFonts w:ascii="Verdana" w:hAnsi="Verdana"/>
          <w:sz w:val="16"/>
          <w:szCs w:val="16"/>
          <w:lang w:val="en-US"/>
        </w:rPr>
        <w:t xml:space="preserve"> in the case of the violent death of Claudina Isabel Velásquez Paiz (evidence file, folio 4876).</w:t>
      </w:r>
    </w:p>
  </w:footnote>
  <w:footnote w:id="297">
    <w:p w14:paraId="256E140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on January 20, 2009, by the forensic physician who was present at the site where Claudina Velásquez’s body was found, before the assistant prosecutor of the Public Prosecution Service (</w:t>
      </w:r>
      <w:r w:rsidRPr="007D3F3C">
        <w:rPr>
          <w:rFonts w:ascii="Verdana" w:hAnsi="Verdana"/>
          <w:color w:val="000000"/>
          <w:sz w:val="16"/>
          <w:szCs w:val="16"/>
          <w:lang w:val="en-US"/>
        </w:rPr>
        <w:t xml:space="preserve">evidence file, folio </w:t>
      </w:r>
      <w:r w:rsidRPr="007D3F3C">
        <w:rPr>
          <w:rFonts w:ascii="Verdana" w:hAnsi="Verdana"/>
          <w:sz w:val="16"/>
          <w:szCs w:val="16"/>
          <w:lang w:val="en-US"/>
        </w:rPr>
        <w:t>2880).</w:t>
      </w:r>
    </w:p>
  </w:footnote>
  <w:footnote w:id="298">
    <w:p w14:paraId="0B0256A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Opinion submitted by affidavit by Christiane Mary Chinkin dated April 13, 2015 (evidence file, folios 6796 and 6797); Opinion submitted by affidavit by Claudia González Orellana dated March 19, 2015 (evidence file, folio 6813), and Opinion submitted by affidavit by Alberto Bovino dated April 13, 2015 (evidence file, folio 6674).</w:t>
      </w:r>
    </w:p>
  </w:footnote>
  <w:footnote w:id="299">
    <w:p w14:paraId="73C270BF" w14:textId="77777777" w:rsidR="00576E40" w:rsidRPr="007D3F3C" w:rsidRDefault="00576E40" w:rsidP="00551CA7">
      <w:pPr>
        <w:pStyle w:val="NormalWeb"/>
        <w:spacing w:after="0" w:line="207" w:lineRule="atLeast"/>
        <w:jc w:val="both"/>
        <w:rPr>
          <w:rFonts w:ascii="Verdana" w:hAnsi="Verdana"/>
          <w:sz w:val="16"/>
          <w:szCs w:val="16"/>
        </w:rPr>
      </w:pPr>
      <w:r w:rsidRPr="007D3F3C">
        <w:rPr>
          <w:rStyle w:val="Refdenotaalpie"/>
          <w:rFonts w:ascii="Verdana" w:hAnsi="Verdana"/>
          <w:sz w:val="16"/>
          <w:szCs w:val="16"/>
        </w:rPr>
        <w:footnoteRef/>
      </w:r>
      <w:r w:rsidRPr="007D3F3C">
        <w:rPr>
          <w:rFonts w:ascii="Verdana" w:hAnsi="Verdana"/>
          <w:sz w:val="16"/>
          <w:szCs w:val="16"/>
        </w:rPr>
        <w:t xml:space="preserve"> Article 5(1) of the Convention establishes: “</w:t>
      </w:r>
      <w:r w:rsidRPr="007D3F3C">
        <w:rPr>
          <w:rFonts w:ascii="Verdana" w:hAnsi="Verdana"/>
          <w:spacing w:val="-3"/>
          <w:sz w:val="16"/>
          <w:szCs w:val="16"/>
        </w:rPr>
        <w:t>Every person has the right to have his physical, mental, and moral integrity respected.</w:t>
      </w:r>
      <w:r w:rsidRPr="007D3F3C">
        <w:rPr>
          <w:rFonts w:ascii="Verdana" w:hAnsi="Verdana"/>
          <w:sz w:val="16"/>
          <w:szCs w:val="16"/>
        </w:rPr>
        <w:t>”</w:t>
      </w:r>
    </w:p>
  </w:footnote>
  <w:footnote w:id="300">
    <w:p w14:paraId="056C3ECF" w14:textId="77777777" w:rsidR="00576E40" w:rsidRPr="007D3F3C" w:rsidRDefault="00576E40" w:rsidP="00551CA7">
      <w:pPr>
        <w:pStyle w:val="NormalWeb"/>
        <w:spacing w:after="0" w:line="240" w:lineRule="auto"/>
        <w:jc w:val="both"/>
        <w:rPr>
          <w:rFonts w:ascii="Verdana" w:eastAsia="Times New Roman" w:hAnsi="Verdana" w:cs="Tahoma"/>
          <w:bCs/>
          <w:sz w:val="16"/>
          <w:szCs w:val="16"/>
          <w:lang w:eastAsia="es-CL"/>
        </w:rPr>
      </w:pPr>
      <w:r w:rsidRPr="007D3F3C">
        <w:rPr>
          <w:rStyle w:val="Refdenotaalpie"/>
          <w:rFonts w:ascii="Verdana" w:hAnsi="Verdana"/>
          <w:sz w:val="16"/>
          <w:szCs w:val="16"/>
        </w:rPr>
        <w:footnoteRef/>
      </w:r>
      <w:r w:rsidRPr="007D3F3C">
        <w:rPr>
          <w:rFonts w:ascii="Verdana" w:hAnsi="Verdana"/>
          <w:sz w:val="16"/>
          <w:szCs w:val="16"/>
        </w:rPr>
        <w:t xml:space="preserve"> </w:t>
      </w:r>
      <w:r w:rsidRPr="007D3F3C">
        <w:rPr>
          <w:rFonts w:ascii="Verdana" w:eastAsia="Times New Roman" w:hAnsi="Verdana" w:cs="Tahoma"/>
          <w:bCs/>
          <w:sz w:val="16"/>
          <w:szCs w:val="16"/>
          <w:lang w:eastAsia="es-CL"/>
        </w:rPr>
        <w:t xml:space="preserve">Article 11 of the Convention establishes that: </w:t>
      </w:r>
    </w:p>
    <w:p w14:paraId="24B24293"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cs="Tahoma"/>
          <w:bCs/>
          <w:sz w:val="16"/>
          <w:szCs w:val="16"/>
          <w:lang w:val="en-US" w:eastAsia="es-CL"/>
        </w:rPr>
        <w:t>“</w:t>
      </w:r>
      <w:r w:rsidRPr="007D3F3C">
        <w:rPr>
          <w:rFonts w:ascii="Verdana" w:hAnsi="Verdana" w:cs="Tahoma"/>
          <w:iCs/>
          <w:sz w:val="16"/>
          <w:szCs w:val="16"/>
          <w:lang w:val="en-US" w:eastAsia="es-CL"/>
        </w:rPr>
        <w:t>1.</w:t>
      </w:r>
      <w:r w:rsidRPr="007D3F3C">
        <w:rPr>
          <w:rFonts w:ascii="Verdana" w:hAnsi="Verdana" w:cs="Tahoma"/>
          <w:i/>
          <w:sz w:val="16"/>
          <w:szCs w:val="16"/>
          <w:lang w:val="en-US" w:eastAsia="es-CL"/>
        </w:rPr>
        <w:t xml:space="preserve"> </w:t>
      </w:r>
      <w:r w:rsidRPr="007D3F3C">
        <w:rPr>
          <w:rFonts w:ascii="Verdana" w:hAnsi="Verdana"/>
          <w:spacing w:val="-3"/>
          <w:sz w:val="16"/>
          <w:szCs w:val="16"/>
          <w:lang w:val="en-US"/>
        </w:rPr>
        <w:t>Everyone has the right to have his honor respected and his dignity recognized.</w:t>
      </w:r>
    </w:p>
    <w:p w14:paraId="65B0BDCB"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2. No one may be the object of arbitrary or abusive interference with his private life, his family, his home, or his correspondence, or of unlawful attacks on his honor or reputation.</w:t>
      </w:r>
    </w:p>
    <w:p w14:paraId="486DFE05" w14:textId="77777777" w:rsidR="00576E40" w:rsidRPr="007D3F3C" w:rsidRDefault="00576E40" w:rsidP="00551CA7">
      <w:pPr>
        <w:tabs>
          <w:tab w:val="left" w:pos="480"/>
          <w:tab w:val="left" w:pos="1080"/>
          <w:tab w:val="left" w:pos="1680"/>
          <w:tab w:val="left" w:pos="5400"/>
        </w:tabs>
        <w:suppressAutoHyphens/>
        <w:spacing w:after="0" w:line="240" w:lineRule="auto"/>
        <w:jc w:val="both"/>
        <w:rPr>
          <w:rFonts w:ascii="Verdana" w:hAnsi="Verdana"/>
          <w:spacing w:val="-3"/>
          <w:sz w:val="16"/>
          <w:szCs w:val="16"/>
          <w:lang w:val="en-US"/>
        </w:rPr>
      </w:pPr>
      <w:r w:rsidRPr="007D3F3C">
        <w:rPr>
          <w:rFonts w:ascii="Verdana" w:hAnsi="Verdana"/>
          <w:spacing w:val="-3"/>
          <w:sz w:val="16"/>
          <w:szCs w:val="16"/>
          <w:lang w:val="en-US"/>
        </w:rPr>
        <w:t>3. Everyone has the right to the protection of the law against such interference or attacks.”</w:t>
      </w:r>
    </w:p>
  </w:footnote>
  <w:footnote w:id="301">
    <w:p w14:paraId="3EB6E786" w14:textId="77777777" w:rsidR="00576E40" w:rsidRPr="007D3F3C" w:rsidRDefault="00576E40" w:rsidP="00551CA7">
      <w:pPr>
        <w:spacing w:after="0" w:line="240" w:lineRule="auto"/>
        <w:jc w:val="both"/>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i/>
          <w:spacing w:val="-4"/>
          <w:sz w:val="16"/>
          <w:szCs w:val="16"/>
          <w:lang w:val="en-US"/>
        </w:rPr>
        <w:t>Case of Castillo Páez v. Peru</w:t>
      </w:r>
      <w:r w:rsidRPr="007D3F3C">
        <w:rPr>
          <w:rFonts w:ascii="Verdana" w:hAnsi="Verdana"/>
          <w:spacing w:val="-4"/>
          <w:sz w:val="16"/>
          <w:szCs w:val="16"/>
          <w:lang w:val="en-US"/>
        </w:rPr>
        <w:t xml:space="preserve">. </w:t>
      </w:r>
      <w:r w:rsidRPr="007D3F3C">
        <w:rPr>
          <w:rFonts w:ascii="Verdana" w:hAnsi="Verdana"/>
          <w:i/>
          <w:spacing w:val="-4"/>
          <w:sz w:val="16"/>
          <w:szCs w:val="16"/>
          <w:lang w:val="en-US"/>
        </w:rPr>
        <w:t>Merits.</w:t>
      </w:r>
      <w:r w:rsidRPr="007D3F3C">
        <w:rPr>
          <w:rFonts w:ascii="Verdana" w:hAnsi="Verdana"/>
          <w:spacing w:val="-4"/>
          <w:sz w:val="16"/>
          <w:szCs w:val="16"/>
          <w:lang w:val="en-US"/>
        </w:rPr>
        <w:t xml:space="preserve"> Judgment of November 3, 1997. Series C No. 34, fourth operative paragraph, and </w:t>
      </w:r>
      <w:r w:rsidRPr="007D3F3C">
        <w:rPr>
          <w:rStyle w:val="Textoennegrita"/>
          <w:rFonts w:ascii="Verdana" w:hAnsi="Verdana"/>
          <w:b w:val="0"/>
          <w:i/>
          <w:color w:val="000000"/>
          <w:sz w:val="16"/>
          <w:szCs w:val="16"/>
          <w:shd w:val="clear" w:color="auto" w:fill="FFFFFF"/>
          <w:lang w:val="en-US"/>
        </w:rPr>
        <w:t>Case of Gonzales Lluy et al. v. Ecuador. Preliminary objections, merits, reparations and costs.</w:t>
      </w:r>
      <w:r w:rsidRPr="007D3F3C">
        <w:rPr>
          <w:rStyle w:val="Textoennegrita"/>
          <w:rFonts w:ascii="Verdana" w:hAnsi="Verdana"/>
          <w:b w:val="0"/>
          <w:color w:val="000000"/>
          <w:sz w:val="16"/>
          <w:szCs w:val="16"/>
          <w:shd w:val="clear" w:color="auto" w:fill="FFFFFF"/>
          <w:lang w:val="en-US"/>
        </w:rPr>
        <w:t xml:space="preserve"> Judgment of September 1, 2015. Series C No. 298, para. 211.</w:t>
      </w:r>
    </w:p>
  </w:footnote>
  <w:footnote w:id="302">
    <w:p w14:paraId="09DCD421" w14:textId="77777777" w:rsidR="00576E40" w:rsidRPr="007D3F3C" w:rsidRDefault="00576E40" w:rsidP="00551CA7">
      <w:pPr>
        <w:pStyle w:val="Piedepgina"/>
        <w:tabs>
          <w:tab w:val="left" w:pos="720"/>
        </w:tabs>
        <w:jc w:val="both"/>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Style w:val="Textoennegrita"/>
          <w:rFonts w:ascii="Verdana" w:hAnsi="Verdana"/>
          <w:b w:val="0"/>
          <w:i/>
          <w:color w:val="000000"/>
          <w:sz w:val="16"/>
          <w:szCs w:val="16"/>
          <w:shd w:val="clear" w:color="auto" w:fill="FFFFFF"/>
          <w:lang w:val="en-US"/>
        </w:rPr>
        <w:t>Case of Albán Cornejo et al. v. Ecuador. Interpretation of the judgment on merits, reparations and costs.</w:t>
      </w:r>
      <w:r w:rsidRPr="007D3F3C">
        <w:rPr>
          <w:rStyle w:val="Textoennegrita"/>
          <w:rFonts w:ascii="Verdana" w:hAnsi="Verdana"/>
          <w:b w:val="0"/>
          <w:color w:val="000000"/>
          <w:sz w:val="16"/>
          <w:szCs w:val="16"/>
          <w:shd w:val="clear" w:color="auto" w:fill="FFFFFF"/>
          <w:lang w:val="en-US"/>
        </w:rPr>
        <w:t xml:space="preserve"> Judgment of August 5, 2008. Series C No. 183, para. 46, and </w:t>
      </w:r>
      <w:r w:rsidRPr="007D3F3C">
        <w:rPr>
          <w:rStyle w:val="Textoennegrita"/>
          <w:rFonts w:ascii="Verdana" w:hAnsi="Verdana"/>
          <w:b w:val="0"/>
          <w:i/>
          <w:color w:val="000000"/>
          <w:sz w:val="16"/>
          <w:szCs w:val="16"/>
          <w:shd w:val="clear" w:color="auto" w:fill="FFFFFF"/>
          <w:lang w:val="en-US"/>
        </w:rPr>
        <w:t>Case of Gonzales Lluy et al. v. Ecuador, supra,</w:t>
      </w:r>
      <w:r w:rsidRPr="007D3F3C">
        <w:rPr>
          <w:rStyle w:val="Textoennegrita"/>
          <w:rFonts w:ascii="Verdana" w:hAnsi="Verdana"/>
          <w:b w:val="0"/>
          <w:color w:val="000000"/>
          <w:sz w:val="16"/>
          <w:szCs w:val="16"/>
          <w:shd w:val="clear" w:color="auto" w:fill="FFFFFF"/>
          <w:lang w:val="en-US"/>
        </w:rPr>
        <w:t xml:space="preserve"> para. 211.</w:t>
      </w:r>
    </w:p>
  </w:footnote>
  <w:footnote w:id="303">
    <w:p w14:paraId="77C29E4C" w14:textId="77777777" w:rsidR="00576E40" w:rsidRPr="007D3F3C" w:rsidRDefault="00576E40" w:rsidP="00551CA7">
      <w:pPr>
        <w:autoSpaceDE w:val="0"/>
        <w:autoSpaceDN w:val="0"/>
        <w:adjustRightInd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ab/>
      </w:r>
      <w:r w:rsidRPr="007D3F3C">
        <w:rPr>
          <w:rFonts w:ascii="Verdana" w:hAnsi="Verdana"/>
          <w:i/>
          <w:sz w:val="16"/>
          <w:szCs w:val="16"/>
          <w:lang w:val="en-US"/>
        </w:rPr>
        <w:t>Cf. Case of Bámaca Velásquez v. Guatemala. Merits.</w:t>
      </w:r>
      <w:r w:rsidRPr="007D3F3C">
        <w:rPr>
          <w:rFonts w:ascii="Verdana" w:hAnsi="Verdana"/>
          <w:sz w:val="16"/>
          <w:szCs w:val="16"/>
          <w:lang w:val="en-US"/>
        </w:rPr>
        <w:t xml:space="preserve"> Judgment of November 25, 2000. Series C No. 70, para. </w:t>
      </w:r>
      <w:r w:rsidRPr="007D3F3C">
        <w:rPr>
          <w:rFonts w:ascii="Verdana" w:hAnsi="Verdana"/>
          <w:sz w:val="16"/>
          <w:szCs w:val="16"/>
        </w:rPr>
        <w:t xml:space="preserve">163, and </w:t>
      </w:r>
      <w:r w:rsidRPr="007D3F3C">
        <w:rPr>
          <w:rStyle w:val="Textoennegrita"/>
          <w:rFonts w:ascii="Verdana" w:hAnsi="Verdana"/>
          <w:b w:val="0"/>
          <w:i/>
          <w:color w:val="000000"/>
          <w:sz w:val="16"/>
          <w:szCs w:val="16"/>
          <w:shd w:val="clear" w:color="auto" w:fill="FFFFFF"/>
        </w:rPr>
        <w:t xml:space="preserve">Case of Gonzales </w:t>
      </w:r>
      <w:r w:rsidRPr="007D3F3C">
        <w:rPr>
          <w:rStyle w:val="Textoennegrita"/>
          <w:rFonts w:ascii="Verdana" w:hAnsi="Verdana"/>
          <w:b w:val="0"/>
          <w:i/>
          <w:color w:val="000000"/>
          <w:sz w:val="16"/>
          <w:szCs w:val="16"/>
          <w:shd w:val="clear" w:color="auto" w:fill="FFFFFF"/>
        </w:rPr>
        <w:t>Lluy et al. v. Ecuador, supra,</w:t>
      </w:r>
      <w:r w:rsidRPr="007D3F3C">
        <w:rPr>
          <w:rStyle w:val="Textoennegrita"/>
          <w:rFonts w:ascii="Verdana" w:hAnsi="Verdana"/>
          <w:b w:val="0"/>
          <w:color w:val="000000"/>
          <w:sz w:val="16"/>
          <w:szCs w:val="16"/>
          <w:shd w:val="clear" w:color="auto" w:fill="FFFFFF"/>
        </w:rPr>
        <w:t xml:space="preserve"> para. </w:t>
      </w:r>
      <w:r w:rsidRPr="007D3F3C">
        <w:rPr>
          <w:rStyle w:val="Textoennegrita"/>
          <w:rFonts w:ascii="Verdana" w:hAnsi="Verdana"/>
          <w:b w:val="0"/>
          <w:color w:val="000000"/>
          <w:sz w:val="16"/>
          <w:szCs w:val="16"/>
          <w:shd w:val="clear" w:color="auto" w:fill="FFFFFF"/>
          <w:lang w:val="en-US"/>
        </w:rPr>
        <w:t>211.</w:t>
      </w:r>
    </w:p>
  </w:footnote>
  <w:footnote w:id="304">
    <w:p w14:paraId="003FBF2D"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Style w:val="Textoennegrita"/>
          <w:rFonts w:ascii="Verdana" w:hAnsi="Verdana"/>
          <w:b w:val="0"/>
          <w:i/>
          <w:color w:val="000000"/>
          <w:sz w:val="16"/>
          <w:szCs w:val="16"/>
          <w:shd w:val="clear" w:color="auto" w:fill="FFFFFF"/>
          <w:lang w:val="en-US"/>
        </w:rPr>
        <w:t>Case of Baldeón García v. Peru. Merits, reparations and costs.</w:t>
      </w:r>
      <w:r w:rsidRPr="007D3F3C">
        <w:rPr>
          <w:rStyle w:val="Textoennegrita"/>
          <w:rFonts w:ascii="Verdana" w:hAnsi="Verdana"/>
          <w:b w:val="0"/>
          <w:color w:val="000000"/>
          <w:sz w:val="16"/>
          <w:szCs w:val="16"/>
          <w:shd w:val="clear" w:color="auto" w:fill="FFFFFF"/>
          <w:lang w:val="en-US"/>
        </w:rPr>
        <w:t xml:space="preserve"> Judgment of April 6, 2006. Series C No. 147, para. 128</w:t>
      </w:r>
      <w:r w:rsidRPr="007D3F3C">
        <w:rPr>
          <w:rFonts w:ascii="Verdana" w:hAnsi="Verdana" w:cs="Verdana"/>
          <w:bCs/>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Gonzales Lluy et al. v. Ecuador, supra</w:t>
      </w:r>
      <w:r w:rsidRPr="007D3F3C">
        <w:rPr>
          <w:rStyle w:val="Textoennegrita"/>
          <w:rFonts w:ascii="Verdana" w:hAnsi="Verdana"/>
          <w:b w:val="0"/>
          <w:color w:val="000000"/>
          <w:sz w:val="16"/>
          <w:szCs w:val="16"/>
          <w:shd w:val="clear" w:color="auto" w:fill="FFFFFF"/>
          <w:lang w:val="en-US"/>
        </w:rPr>
        <w:t>, para. 211.</w:t>
      </w:r>
    </w:p>
  </w:footnote>
  <w:footnote w:id="305">
    <w:p w14:paraId="2895D4A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before the Inter-American Court by Jorge Rolando Velásquez Durán during the public hearing held on April 21 and 22, 2015.</w:t>
      </w:r>
    </w:p>
  </w:footnote>
  <w:footnote w:id="306">
    <w:p w14:paraId="170CB49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before the Inter-American Court by Jorge Rolando Velásquez Durán during the public hearing held on April 21 and 22, 2015.</w:t>
      </w:r>
    </w:p>
  </w:footnote>
  <w:footnote w:id="307">
    <w:p w14:paraId="5D78A82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Affidavit prepared by Elsa Claudina Paiz Vidal on April 9,  2015 (evidence file, folio</w:t>
      </w:r>
      <w:r w:rsidRPr="007D3F3C" w:rsidDel="00616C2C">
        <w:rPr>
          <w:rFonts w:ascii="Verdana" w:hAnsi="Verdana"/>
          <w:sz w:val="16"/>
          <w:szCs w:val="16"/>
          <w:lang w:val="en-US"/>
        </w:rPr>
        <w:t xml:space="preserve"> </w:t>
      </w:r>
      <w:r w:rsidRPr="007D3F3C">
        <w:rPr>
          <w:rFonts w:ascii="Verdana" w:hAnsi="Verdana"/>
          <w:sz w:val="16"/>
          <w:szCs w:val="16"/>
          <w:lang w:val="en-US"/>
        </w:rPr>
        <w:t>6701).</w:t>
      </w:r>
    </w:p>
  </w:footnote>
  <w:footnote w:id="308">
    <w:p w14:paraId="78D7827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Affidavit prepared by Elsa Claudina Paiz Vidal on April 9,  2015 (evidence file, folios</w:t>
      </w:r>
      <w:r w:rsidRPr="007D3F3C" w:rsidDel="00616C2C">
        <w:rPr>
          <w:rFonts w:ascii="Verdana" w:hAnsi="Verdana"/>
          <w:sz w:val="16"/>
          <w:szCs w:val="16"/>
          <w:lang w:val="en-US"/>
        </w:rPr>
        <w:t xml:space="preserve"> </w:t>
      </w:r>
      <w:r w:rsidRPr="007D3F3C">
        <w:rPr>
          <w:rFonts w:ascii="Verdana" w:hAnsi="Verdana"/>
          <w:sz w:val="16"/>
          <w:szCs w:val="16"/>
          <w:lang w:val="en-US"/>
        </w:rPr>
        <w:t>6700 and 6701).</w:t>
      </w:r>
    </w:p>
  </w:footnote>
  <w:footnote w:id="309">
    <w:p w14:paraId="7EB5B03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Affidavit prepared by Elsa Claudina Paiz Vidal on April 9,  2015 (evidence file, folio</w:t>
      </w:r>
      <w:r w:rsidRPr="007D3F3C" w:rsidDel="00616C2C">
        <w:rPr>
          <w:rFonts w:ascii="Verdana" w:hAnsi="Verdana"/>
          <w:sz w:val="16"/>
          <w:szCs w:val="16"/>
          <w:lang w:val="en-US"/>
        </w:rPr>
        <w:t xml:space="preserve"> </w:t>
      </w:r>
      <w:r w:rsidRPr="007D3F3C">
        <w:rPr>
          <w:rFonts w:ascii="Verdana" w:hAnsi="Verdana"/>
          <w:sz w:val="16"/>
          <w:szCs w:val="16"/>
          <w:lang w:val="en-US"/>
        </w:rPr>
        <w:t>6702).</w:t>
      </w:r>
    </w:p>
  </w:footnote>
  <w:footnote w:id="310">
    <w:p w14:paraId="1B36918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Affidavit prepared by Pablo Andrés Velásquez Paiz on April 9, 2015 (evidence file, folios</w:t>
      </w:r>
      <w:r w:rsidRPr="007D3F3C" w:rsidDel="00616C2C">
        <w:rPr>
          <w:rFonts w:ascii="Verdana" w:hAnsi="Verdana"/>
          <w:sz w:val="16"/>
          <w:szCs w:val="16"/>
          <w:lang w:val="en-US"/>
        </w:rPr>
        <w:t xml:space="preserve"> </w:t>
      </w:r>
      <w:r w:rsidRPr="007D3F3C">
        <w:rPr>
          <w:rFonts w:ascii="Verdana" w:hAnsi="Verdana"/>
          <w:sz w:val="16"/>
          <w:szCs w:val="16"/>
          <w:lang w:val="en-US"/>
        </w:rPr>
        <w:t>6690 and 6691).</w:t>
      </w:r>
    </w:p>
  </w:footnote>
  <w:footnote w:id="311">
    <w:p w14:paraId="177A275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Affidavit prepared by Elsa Claudina Paiz Vidal on April 9,  2015 (evidence file, folio</w:t>
      </w:r>
      <w:r w:rsidRPr="007D3F3C" w:rsidDel="00616C2C">
        <w:rPr>
          <w:rFonts w:ascii="Verdana" w:hAnsi="Verdana"/>
          <w:sz w:val="16"/>
          <w:szCs w:val="16"/>
          <w:lang w:val="en-US"/>
        </w:rPr>
        <w:t xml:space="preserve"> </w:t>
      </w:r>
      <w:r w:rsidRPr="007D3F3C">
        <w:rPr>
          <w:rFonts w:ascii="Verdana" w:hAnsi="Verdana"/>
          <w:sz w:val="16"/>
          <w:szCs w:val="16"/>
          <w:lang w:val="en-US"/>
        </w:rPr>
        <w:t>6702).</w:t>
      </w:r>
    </w:p>
  </w:footnote>
  <w:footnote w:id="312">
    <w:p w14:paraId="4443DDA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Affidavit prepared by Pablo Andrés Velásquez Paiz on April 9, 2015 (evidence file, folio 6689).</w:t>
      </w:r>
    </w:p>
  </w:footnote>
  <w:footnote w:id="313">
    <w:p w14:paraId="7A9BB14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eastAsia="Calibri" w:hAnsi="Verdana"/>
          <w:sz w:val="16"/>
          <w:szCs w:val="16"/>
          <w:lang w:val="en-US"/>
        </w:rPr>
        <w:t xml:space="preserve">The Ombudsman’s Report on verification of violations of the obligation to investigate in the case of Claudina Isabel Velásquez Paiz (evidence file, folios </w:t>
      </w:r>
      <w:r w:rsidRPr="007D3F3C">
        <w:rPr>
          <w:rFonts w:ascii="Verdana" w:hAnsi="Verdana"/>
          <w:sz w:val="16"/>
          <w:szCs w:val="16"/>
          <w:lang w:val="en-US"/>
        </w:rPr>
        <w:t>3319 and 3320).</w:t>
      </w:r>
    </w:p>
  </w:footnote>
  <w:footnote w:id="314">
    <w:p w14:paraId="41ECC78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psychiatrist Karen Denisse Peña Juárez provided during the proceeding before the Inter-American Commission (evidence file, folio</w:t>
      </w:r>
      <w:r w:rsidRPr="007D3F3C">
        <w:rPr>
          <w:rFonts w:ascii="Verdana" w:eastAsia="Calibri" w:hAnsi="Verdana" w:cs="Arial"/>
          <w:sz w:val="16"/>
          <w:szCs w:val="16"/>
          <w:lang w:val="en-US"/>
        </w:rPr>
        <w:t xml:space="preserve"> </w:t>
      </w:r>
      <w:r w:rsidRPr="007D3F3C">
        <w:rPr>
          <w:rFonts w:ascii="Verdana" w:hAnsi="Verdana"/>
          <w:sz w:val="16"/>
          <w:szCs w:val="16"/>
          <w:lang w:val="en-US"/>
        </w:rPr>
        <w:t>203).</w:t>
      </w:r>
    </w:p>
  </w:footnote>
  <w:footnote w:id="315">
    <w:p w14:paraId="33B09FF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Verdana"/>
          <w:i/>
          <w:iCs/>
          <w:sz w:val="16"/>
          <w:szCs w:val="16"/>
          <w:lang w:val="en-US"/>
        </w:rPr>
        <w:t xml:space="preserve">Cf. </w:t>
      </w:r>
      <w:r w:rsidRPr="007D3F3C">
        <w:rPr>
          <w:rStyle w:val="Textoennegrita"/>
          <w:rFonts w:ascii="Verdana" w:hAnsi="Verdana"/>
          <w:b w:val="0"/>
          <w:i/>
          <w:sz w:val="16"/>
          <w:szCs w:val="16"/>
          <w:lang w:val="en-US"/>
        </w:rPr>
        <w:t>Case of Tristán Donoso v. Panama. Preliminary objection, merits, reparations and costs</w:t>
      </w:r>
      <w:r w:rsidRPr="007D3F3C">
        <w:rPr>
          <w:rStyle w:val="Textoennegrita"/>
          <w:rFonts w:ascii="Verdana" w:hAnsi="Verdana"/>
          <w:b w:val="0"/>
          <w:sz w:val="16"/>
          <w:szCs w:val="16"/>
          <w:lang w:val="en-US"/>
        </w:rPr>
        <w:t>. Judgment of January 27, 2009. Series C No. 193,</w:t>
      </w:r>
      <w:r w:rsidRPr="007D3F3C">
        <w:rPr>
          <w:rFonts w:ascii="Verdana" w:hAnsi="Verdana"/>
          <w:sz w:val="16"/>
          <w:szCs w:val="16"/>
          <w:lang w:val="en-US"/>
        </w:rPr>
        <w:t xml:space="preserve"> </w:t>
      </w:r>
      <w:r w:rsidRPr="007D3F3C">
        <w:rPr>
          <w:rFonts w:ascii="Verdana" w:hAnsi="Verdana" w:cs="Verdana"/>
          <w:sz w:val="16"/>
          <w:szCs w:val="16"/>
          <w:lang w:val="en-US"/>
        </w:rPr>
        <w:t xml:space="preserve">para. 57, and </w:t>
      </w:r>
      <w:r w:rsidRPr="007D3F3C">
        <w:rPr>
          <w:rStyle w:val="Textoennegrita"/>
          <w:rFonts w:ascii="Verdana" w:hAnsi="Verdana"/>
          <w:b w:val="0"/>
          <w:color w:val="000000"/>
          <w:sz w:val="16"/>
          <w:szCs w:val="16"/>
          <w:shd w:val="clear" w:color="auto" w:fill="FFFFFF"/>
          <w:lang w:val="en-US"/>
        </w:rPr>
        <w:t xml:space="preserve">Case of </w:t>
      </w:r>
      <w:r w:rsidRPr="007D3F3C">
        <w:rPr>
          <w:rStyle w:val="Textoennegrita"/>
          <w:rFonts w:ascii="Verdana" w:hAnsi="Verdana"/>
          <w:b w:val="0"/>
          <w:i/>
          <w:color w:val="000000"/>
          <w:sz w:val="16"/>
          <w:szCs w:val="16"/>
          <w:shd w:val="clear" w:color="auto" w:fill="FFFFFF"/>
          <w:lang w:val="en-US"/>
        </w:rPr>
        <w:t>Mémoli v. Argentina. Preliminary objections, merits, reparations and costs.</w:t>
      </w:r>
      <w:r w:rsidRPr="007D3F3C">
        <w:rPr>
          <w:rStyle w:val="Textoennegrita"/>
          <w:rFonts w:ascii="Verdana" w:hAnsi="Verdana"/>
          <w:b w:val="0"/>
          <w:color w:val="000000"/>
          <w:sz w:val="16"/>
          <w:szCs w:val="16"/>
          <w:shd w:val="clear" w:color="auto" w:fill="FFFFFF"/>
          <w:lang w:val="en-US"/>
        </w:rPr>
        <w:t xml:space="preserve"> Judgment of August 22, 2013. Series C No. 265</w:t>
      </w:r>
      <w:r w:rsidRPr="007D3F3C">
        <w:rPr>
          <w:rFonts w:ascii="Verdana" w:hAnsi="Verdana" w:cs="Microsoft Sans Serif"/>
          <w:spacing w:val="-4"/>
          <w:sz w:val="16"/>
          <w:szCs w:val="16"/>
          <w:lang w:val="en-US"/>
        </w:rPr>
        <w:t>, para. 124.</w:t>
      </w:r>
    </w:p>
  </w:footnote>
  <w:footnote w:id="316">
    <w:p w14:paraId="19F60A4C" w14:textId="77777777" w:rsidR="00576E40" w:rsidRPr="007D3F3C" w:rsidRDefault="00576E40" w:rsidP="00551CA7">
      <w:pPr>
        <w:spacing w:after="0" w:line="240" w:lineRule="auto"/>
        <w:jc w:val="both"/>
        <w:rPr>
          <w:rFonts w:ascii="Verdana" w:hAnsi="Verdana" w:cs="Microsoft Sans Serif"/>
          <w:b/>
          <w:spacing w:val="-4"/>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Cf.</w:t>
      </w:r>
      <w:r w:rsidRPr="007D3F3C">
        <w:rPr>
          <w:rFonts w:ascii="Verdana" w:hAnsi="Verdana"/>
          <w:color w:val="000000"/>
          <w:sz w:val="16"/>
          <w:szCs w:val="16"/>
          <w:shd w:val="clear" w:color="auto" w:fill="FFFFFF"/>
          <w:lang w:val="en-US"/>
        </w:rPr>
        <w:t xml:space="preserve"> </w:t>
      </w:r>
      <w:r w:rsidRPr="007D3F3C">
        <w:rPr>
          <w:rStyle w:val="Textoennegrita"/>
          <w:rFonts w:ascii="Verdana" w:hAnsi="Verdana"/>
          <w:b w:val="0"/>
          <w:i/>
          <w:color w:val="000000"/>
          <w:sz w:val="16"/>
          <w:szCs w:val="16"/>
          <w:shd w:val="clear" w:color="auto" w:fill="FFFFFF"/>
          <w:lang w:val="en-US"/>
        </w:rPr>
        <w:t>Case of Bámaca Velásquez v. Guatemala. Reparations and costs</w:t>
      </w:r>
      <w:r w:rsidRPr="007D3F3C">
        <w:rPr>
          <w:rStyle w:val="Textoennegrita"/>
          <w:rFonts w:ascii="Verdana" w:hAnsi="Verdana"/>
          <w:b w:val="0"/>
          <w:color w:val="000000"/>
          <w:sz w:val="16"/>
          <w:szCs w:val="16"/>
          <w:shd w:val="clear" w:color="auto" w:fill="FFFFFF"/>
          <w:lang w:val="en-US"/>
        </w:rPr>
        <w:t xml:space="preserve">. Judgment of February 22, 2002. Series C No. 91, para. 81. </w:t>
      </w:r>
      <w:r w:rsidRPr="007D3F3C">
        <w:rPr>
          <w:rFonts w:ascii="Verdana" w:hAnsi="Verdana"/>
          <w:color w:val="000000"/>
          <w:sz w:val="16"/>
          <w:szCs w:val="16"/>
          <w:shd w:val="clear" w:color="auto" w:fill="FFFFFF"/>
          <w:lang w:val="en-US"/>
        </w:rPr>
        <w:t xml:space="preserve">In this regard, see also </w:t>
      </w:r>
      <w:r w:rsidRPr="007D3F3C">
        <w:rPr>
          <w:rFonts w:ascii="Verdana" w:hAnsi="Verdana"/>
          <w:i/>
          <w:color w:val="000000"/>
          <w:sz w:val="16"/>
          <w:szCs w:val="16"/>
          <w:shd w:val="clear" w:color="auto" w:fill="FFFFFF"/>
          <w:lang w:val="en-US"/>
        </w:rPr>
        <w:t xml:space="preserve">mutatis mutandis, </w:t>
      </w:r>
      <w:r w:rsidRPr="007D3F3C">
        <w:rPr>
          <w:rStyle w:val="Textoennegrita"/>
          <w:rFonts w:ascii="Verdana" w:hAnsi="Verdana"/>
          <w:b w:val="0"/>
          <w:i/>
          <w:color w:val="000000"/>
          <w:sz w:val="16"/>
          <w:szCs w:val="16"/>
          <w:shd w:val="clear" w:color="auto" w:fill="FFFFFF"/>
          <w:lang w:val="en-US"/>
        </w:rPr>
        <w:t>Case of Blake v. Guatemala. Merits.</w:t>
      </w:r>
      <w:r w:rsidRPr="007D3F3C">
        <w:rPr>
          <w:rStyle w:val="Textoennegrita"/>
          <w:rFonts w:ascii="Verdana" w:hAnsi="Verdana"/>
          <w:b w:val="0"/>
          <w:color w:val="000000"/>
          <w:sz w:val="16"/>
          <w:szCs w:val="16"/>
          <w:shd w:val="clear" w:color="auto" w:fill="FFFFFF"/>
          <w:lang w:val="en-US"/>
        </w:rPr>
        <w:t xml:space="preserve"> Judgment of January 24, 1998. Series C No. 36, para.</w:t>
      </w:r>
      <w:r w:rsidRPr="007D3F3C">
        <w:rPr>
          <w:rFonts w:ascii="Verdana" w:hAnsi="Verdana"/>
          <w:sz w:val="16"/>
          <w:szCs w:val="16"/>
          <w:lang w:val="en-US"/>
        </w:rPr>
        <w:t xml:space="preserve"> 115.</w:t>
      </w:r>
    </w:p>
  </w:footnote>
  <w:footnote w:id="317">
    <w:p w14:paraId="0EF5BC3C"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t xml:space="preserve">Article 63(1) of the American Convention establishes que: </w:t>
      </w:r>
      <w:r w:rsidRPr="007D3F3C">
        <w:rPr>
          <w:rFonts w:ascii="Verdana" w:hAnsi="Verdana"/>
          <w:i/>
          <w:spacing w:val="-4"/>
          <w:sz w:val="16"/>
          <w:szCs w:val="16"/>
          <w:lang w:val="en-US"/>
        </w:rPr>
        <w:t>“</w:t>
      </w:r>
      <w:r w:rsidRPr="007D3F3C">
        <w:rPr>
          <w:rFonts w:ascii="Verdana" w:hAnsi="Verdana"/>
          <w:spacing w:val="-3"/>
          <w:sz w:val="16"/>
          <w:szCs w:val="16"/>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318">
    <w:p w14:paraId="04430D3C"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s-CR"/>
        </w:rPr>
        <w:t xml:space="preserve"> </w:t>
      </w:r>
      <w:r w:rsidRPr="007D3F3C">
        <w:rPr>
          <w:rFonts w:ascii="Verdana" w:hAnsi="Verdana"/>
          <w:spacing w:val="-4"/>
          <w:sz w:val="16"/>
          <w:szCs w:val="16"/>
          <w:lang w:val="es-CR"/>
        </w:rPr>
        <w:tab/>
      </w:r>
      <w:r w:rsidRPr="007D3F3C">
        <w:rPr>
          <w:rFonts w:ascii="Verdana" w:hAnsi="Verdana"/>
          <w:i/>
          <w:spacing w:val="-4"/>
          <w:sz w:val="16"/>
          <w:szCs w:val="16"/>
          <w:lang w:val="es-CR"/>
        </w:rPr>
        <w:t>Cf. Case of Velásquez Rodríguez v. Hondur</w:t>
      </w:r>
      <w:r w:rsidRPr="007D3F3C">
        <w:rPr>
          <w:rFonts w:ascii="Verdana" w:hAnsi="Verdana"/>
          <w:spacing w:val="-4"/>
          <w:sz w:val="16"/>
          <w:szCs w:val="16"/>
          <w:lang w:val="es-CR"/>
        </w:rPr>
        <w:t xml:space="preserve">as. </w:t>
      </w:r>
      <w:r w:rsidRPr="007D3F3C">
        <w:rPr>
          <w:rFonts w:ascii="Verdana" w:hAnsi="Verdana"/>
          <w:i/>
          <w:spacing w:val="-4"/>
          <w:sz w:val="16"/>
          <w:szCs w:val="16"/>
          <w:lang w:val="en-US"/>
        </w:rPr>
        <w:t>Reparations and costs.</w:t>
      </w:r>
      <w:r w:rsidRPr="007D3F3C">
        <w:rPr>
          <w:rFonts w:ascii="Verdana" w:hAnsi="Verdana"/>
          <w:spacing w:val="-4"/>
          <w:sz w:val="16"/>
          <w:szCs w:val="16"/>
          <w:lang w:val="en-US"/>
        </w:rPr>
        <w:t xml:space="preserve"> Judgment of July 21, 1989. Series C No. 7, para. 25, and </w:t>
      </w:r>
      <w:r w:rsidRPr="007D3F3C">
        <w:rPr>
          <w:rStyle w:val="Textoennegrita"/>
          <w:rFonts w:ascii="Verdana" w:hAnsi="Verdana"/>
          <w:b w:val="0"/>
          <w:i/>
          <w:color w:val="000000"/>
          <w:sz w:val="16"/>
          <w:szCs w:val="16"/>
          <w:shd w:val="clear" w:color="auto" w:fill="FFFFFF"/>
          <w:lang w:val="en-US"/>
        </w:rPr>
        <w:t>Case of López Lone et al. v. Honduras. Preliminary objection, merits, reparations and costs</w:t>
      </w:r>
      <w:r w:rsidRPr="007D3F3C">
        <w:rPr>
          <w:rStyle w:val="Textoennegrita"/>
          <w:rFonts w:ascii="Verdana" w:hAnsi="Verdana"/>
          <w:b w:val="0"/>
          <w:color w:val="000000"/>
          <w:sz w:val="16"/>
          <w:szCs w:val="16"/>
          <w:shd w:val="clear" w:color="auto" w:fill="FFFFFF"/>
          <w:lang w:val="en-US"/>
        </w:rPr>
        <w:t>. Judgment of October 5, 2015. Series C No. 302</w:t>
      </w:r>
      <w:r w:rsidRPr="007D3F3C">
        <w:rPr>
          <w:rFonts w:ascii="Verdana" w:hAnsi="Verdana"/>
          <w:spacing w:val="-4"/>
          <w:sz w:val="16"/>
          <w:szCs w:val="16"/>
          <w:lang w:val="en-US"/>
        </w:rPr>
        <w:t>, para. 286.</w:t>
      </w:r>
    </w:p>
  </w:footnote>
  <w:footnote w:id="319">
    <w:p w14:paraId="1B5F7C8F" w14:textId="77777777" w:rsidR="00576E40" w:rsidRPr="007D3F3C" w:rsidRDefault="00576E40" w:rsidP="00551CA7">
      <w:pPr>
        <w:tabs>
          <w:tab w:val="left" w:pos="720"/>
        </w:tabs>
        <w:spacing w:after="0" w:line="240" w:lineRule="auto"/>
        <w:jc w:val="both"/>
        <w:rPr>
          <w:rFonts w:ascii="Verdana" w:hAnsi="Verdana"/>
          <w:spacing w:val="-4"/>
          <w:sz w:val="16"/>
          <w:szCs w:val="16"/>
          <w:lang w:val="en-US"/>
        </w:rPr>
      </w:pPr>
      <w:r w:rsidRPr="007D3F3C">
        <w:rPr>
          <w:rStyle w:val="Refdenotaalpie"/>
          <w:rFonts w:ascii="Verdana" w:eastAsia="MS Mincho"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iCs/>
          <w:spacing w:val="-4"/>
          <w:sz w:val="16"/>
          <w:szCs w:val="16"/>
          <w:lang w:val="en-US"/>
        </w:rPr>
        <w:t>Cf. Case of Velásquez Rodríguez v. Honduras. Reparations and costs, supra,</w:t>
      </w:r>
      <w:r w:rsidRPr="007D3F3C">
        <w:rPr>
          <w:rFonts w:ascii="Verdana" w:hAnsi="Verdana"/>
          <w:spacing w:val="-4"/>
          <w:sz w:val="16"/>
          <w:szCs w:val="16"/>
          <w:lang w:val="en-US"/>
        </w:rPr>
        <w:t xml:space="preserve"> para. </w:t>
      </w:r>
      <w:r w:rsidRPr="007D3F3C">
        <w:rPr>
          <w:rFonts w:ascii="Verdana" w:hAnsi="Verdana"/>
          <w:iCs/>
          <w:spacing w:val="-4"/>
          <w:sz w:val="16"/>
          <w:szCs w:val="16"/>
          <w:lang w:val="en-US"/>
        </w:rPr>
        <w:t>26</w:t>
      </w:r>
      <w:r w:rsidRPr="007D3F3C">
        <w:rPr>
          <w:rFonts w:ascii="Verdana" w:hAnsi="Verdana"/>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López Lone et al. v. Honduras, supra,</w:t>
      </w:r>
      <w:r w:rsidRPr="007D3F3C">
        <w:rPr>
          <w:rFonts w:ascii="Verdana" w:hAnsi="Verdana"/>
          <w:spacing w:val="-4"/>
          <w:sz w:val="16"/>
          <w:szCs w:val="16"/>
          <w:lang w:val="en-US"/>
        </w:rPr>
        <w:t xml:space="preserve"> para. 287.</w:t>
      </w:r>
    </w:p>
  </w:footnote>
  <w:footnote w:id="320">
    <w:p w14:paraId="393A318C"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iCs/>
          <w:spacing w:val="-4"/>
          <w:sz w:val="16"/>
          <w:szCs w:val="16"/>
          <w:lang w:val="en-US"/>
        </w:rPr>
        <w:t xml:space="preserve">Cf. </w:t>
      </w:r>
      <w:r w:rsidRPr="007D3F3C">
        <w:rPr>
          <w:rFonts w:ascii="Verdana" w:hAnsi="Verdana"/>
          <w:bCs/>
          <w:i/>
          <w:iCs/>
          <w:spacing w:val="-4"/>
          <w:sz w:val="16"/>
          <w:szCs w:val="16"/>
          <w:lang w:val="en-US"/>
        </w:rPr>
        <w:t>Case of the Las  Dos Erres Massacre v. Guatemala. Preliminary objection, merits, reparations and costs.</w:t>
      </w:r>
      <w:r w:rsidRPr="007D3F3C">
        <w:rPr>
          <w:rFonts w:ascii="Verdana" w:hAnsi="Verdana"/>
          <w:bCs/>
          <w:iCs/>
          <w:spacing w:val="-4"/>
          <w:sz w:val="16"/>
          <w:szCs w:val="16"/>
          <w:lang w:val="en-US"/>
        </w:rPr>
        <w:t xml:space="preserve"> Judgment of November 24, 2009. Series C No. 211, </w:t>
      </w:r>
      <w:r w:rsidRPr="007D3F3C">
        <w:rPr>
          <w:rFonts w:ascii="Verdana" w:hAnsi="Verdana"/>
          <w:iCs/>
          <w:spacing w:val="-4"/>
          <w:sz w:val="16"/>
          <w:szCs w:val="16"/>
          <w:lang w:val="en-US"/>
        </w:rPr>
        <w:t xml:space="preserve">para. 226, and </w:t>
      </w:r>
      <w:r w:rsidRPr="007D3F3C">
        <w:rPr>
          <w:rStyle w:val="Textoennegrita"/>
          <w:rFonts w:ascii="Verdana" w:hAnsi="Verdana"/>
          <w:b w:val="0"/>
          <w:i/>
          <w:color w:val="000000"/>
          <w:sz w:val="16"/>
          <w:szCs w:val="16"/>
          <w:shd w:val="clear" w:color="auto" w:fill="FFFFFF"/>
          <w:lang w:val="en-US"/>
        </w:rPr>
        <w:t>Case of López Lone et al. v. Honduras, supra,</w:t>
      </w:r>
      <w:r w:rsidRPr="007D3F3C">
        <w:rPr>
          <w:rFonts w:ascii="Verdana" w:hAnsi="Verdana"/>
          <w:spacing w:val="-4"/>
          <w:sz w:val="16"/>
          <w:szCs w:val="16"/>
          <w:lang w:val="en-US"/>
        </w:rPr>
        <w:t xml:space="preserve"> para. 287</w:t>
      </w:r>
      <w:r w:rsidRPr="007D3F3C">
        <w:rPr>
          <w:rFonts w:ascii="Verdana" w:hAnsi="Verdana"/>
          <w:iCs/>
          <w:spacing w:val="-4"/>
          <w:sz w:val="16"/>
          <w:szCs w:val="16"/>
          <w:lang w:val="en-US"/>
        </w:rPr>
        <w:t>.</w:t>
      </w:r>
    </w:p>
  </w:footnote>
  <w:footnote w:id="321">
    <w:p w14:paraId="088B9929" w14:textId="77777777" w:rsidR="00576E40" w:rsidRPr="007D3F3C" w:rsidRDefault="00576E40" w:rsidP="00551CA7">
      <w:pPr>
        <w:pStyle w:val="Textonotapie"/>
        <w:tabs>
          <w:tab w:val="left" w:pos="720"/>
        </w:tabs>
        <w:jc w:val="both"/>
        <w:rPr>
          <w:rFonts w:ascii="Verdana" w:hAnsi="Verdana"/>
          <w:bCs/>
          <w:i/>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i/>
          <w:spacing w:val="-4"/>
          <w:sz w:val="16"/>
          <w:szCs w:val="16"/>
          <w:lang w:val="en-US"/>
        </w:rPr>
        <w:tab/>
      </w:r>
      <w:r w:rsidRPr="007D3F3C">
        <w:rPr>
          <w:rFonts w:ascii="Verdana" w:hAnsi="Verdana" w:cs="Calibri"/>
          <w:i/>
          <w:spacing w:val="-4"/>
          <w:sz w:val="16"/>
          <w:szCs w:val="16"/>
          <w:lang w:val="en-US"/>
        </w:rPr>
        <w:t xml:space="preserve">Cf. </w:t>
      </w:r>
      <w:r w:rsidRPr="007D3F3C">
        <w:rPr>
          <w:rFonts w:ascii="Verdana" w:hAnsi="Verdana"/>
          <w:i/>
          <w:sz w:val="16"/>
          <w:szCs w:val="16"/>
          <w:lang w:val="en-US"/>
        </w:rPr>
        <w:t>Case of Ticona Estrada et al. v. Bolivia. Merits, reparations and costs</w:t>
      </w:r>
      <w:r w:rsidRPr="007D3F3C">
        <w:rPr>
          <w:rFonts w:ascii="Verdana" w:hAnsi="Verdana"/>
          <w:sz w:val="16"/>
          <w:szCs w:val="16"/>
          <w:lang w:val="en-US"/>
        </w:rPr>
        <w:t>. Judgment of November 27, 2008. Series C No. 191, para. 110</w:t>
      </w:r>
      <w:r w:rsidRPr="007D3F3C">
        <w:rPr>
          <w:rFonts w:ascii="Verdana" w:eastAsia="Calibri" w:hAnsi="Verdana" w:cs="Calibri"/>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López Lone et al. v. Honduras, supra,</w:t>
      </w:r>
      <w:r w:rsidRPr="007D3F3C">
        <w:rPr>
          <w:rFonts w:ascii="Verdana" w:hAnsi="Verdana"/>
          <w:spacing w:val="-4"/>
          <w:sz w:val="16"/>
          <w:szCs w:val="16"/>
          <w:lang w:val="en-US"/>
        </w:rPr>
        <w:t xml:space="preserve"> para. 288</w:t>
      </w:r>
      <w:r w:rsidRPr="007D3F3C">
        <w:rPr>
          <w:rFonts w:ascii="Verdana" w:hAnsi="Verdana"/>
          <w:iCs/>
          <w:spacing w:val="-4"/>
          <w:sz w:val="16"/>
          <w:szCs w:val="16"/>
          <w:lang w:val="en-US"/>
        </w:rPr>
        <w:t>.</w:t>
      </w:r>
    </w:p>
  </w:footnote>
  <w:footnote w:id="322">
    <w:p w14:paraId="6E7F7071"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spacing w:val="-4"/>
          <w:sz w:val="16"/>
          <w:szCs w:val="16"/>
          <w:lang w:val="en-US"/>
        </w:rPr>
        <w:tab/>
      </w:r>
      <w:r w:rsidRPr="007D3F3C">
        <w:rPr>
          <w:rFonts w:ascii="Verdana" w:hAnsi="Verdana"/>
          <w:i/>
          <w:iCs/>
          <w:spacing w:val="-4"/>
          <w:sz w:val="16"/>
          <w:szCs w:val="16"/>
          <w:lang w:val="en-US"/>
        </w:rPr>
        <w:t xml:space="preserve">Cf. </w:t>
      </w:r>
      <w:r w:rsidRPr="007D3F3C">
        <w:rPr>
          <w:rFonts w:ascii="Verdana" w:hAnsi="Verdana" w:cs="Calibri"/>
          <w:i/>
          <w:spacing w:val="-4"/>
          <w:sz w:val="16"/>
          <w:szCs w:val="16"/>
          <w:lang w:val="en-US"/>
        </w:rPr>
        <w:t>Case of Velásquez Rodríguez v. Honduras. Reparations and costs</w:t>
      </w:r>
      <w:r w:rsidRPr="007D3F3C">
        <w:rPr>
          <w:rFonts w:ascii="Verdana" w:hAnsi="Verdana" w:cs="Calibri"/>
          <w:spacing w:val="-4"/>
          <w:sz w:val="16"/>
          <w:szCs w:val="16"/>
          <w:lang w:val="en-US"/>
        </w:rPr>
        <w:t xml:space="preserve">, </w:t>
      </w:r>
      <w:r w:rsidRPr="007D3F3C">
        <w:rPr>
          <w:rFonts w:ascii="Verdana" w:hAnsi="Verdana" w:cs="Calibri"/>
          <w:i/>
          <w:spacing w:val="-4"/>
          <w:sz w:val="16"/>
          <w:szCs w:val="16"/>
          <w:lang w:val="en-US"/>
        </w:rPr>
        <w:t>supra</w:t>
      </w:r>
      <w:r w:rsidRPr="007D3F3C">
        <w:rPr>
          <w:rFonts w:ascii="Verdana" w:hAnsi="Verdana" w:cs="Calibri"/>
          <w:spacing w:val="-4"/>
          <w:sz w:val="16"/>
          <w:szCs w:val="16"/>
          <w:lang w:val="en-US"/>
        </w:rPr>
        <w:t>, paras.</w:t>
      </w:r>
      <w:r w:rsidRPr="007D3F3C">
        <w:rPr>
          <w:rFonts w:ascii="Verdana" w:hAnsi="Verdana" w:cs="Calibri"/>
          <w:i/>
          <w:spacing w:val="-4"/>
          <w:sz w:val="16"/>
          <w:szCs w:val="16"/>
          <w:lang w:val="en-US"/>
        </w:rPr>
        <w:t xml:space="preserve"> </w:t>
      </w:r>
      <w:r w:rsidRPr="007D3F3C">
        <w:rPr>
          <w:rFonts w:ascii="Verdana" w:hAnsi="Verdana" w:cs="Calibri"/>
          <w:spacing w:val="-4"/>
          <w:sz w:val="16"/>
          <w:szCs w:val="16"/>
          <w:lang w:val="en-US"/>
        </w:rPr>
        <w:t>25 to 27</w:t>
      </w:r>
      <w:r w:rsidRPr="007D3F3C">
        <w:rPr>
          <w:rFonts w:ascii="Verdana" w:hAnsi="Verdana"/>
          <w:iCs/>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López Lone et al. v. Honduras, supra,</w:t>
      </w:r>
      <w:r w:rsidRPr="007D3F3C">
        <w:rPr>
          <w:rFonts w:ascii="Verdana" w:hAnsi="Verdana"/>
          <w:spacing w:val="-4"/>
          <w:sz w:val="16"/>
          <w:szCs w:val="16"/>
          <w:lang w:val="en-US"/>
        </w:rPr>
        <w:t xml:space="preserve"> para. 289.</w:t>
      </w:r>
    </w:p>
  </w:footnote>
  <w:footnote w:id="323">
    <w:p w14:paraId="2A0981E2" w14:textId="77777777" w:rsidR="00576E40" w:rsidRPr="007D3F3C" w:rsidRDefault="00576E40" w:rsidP="00551CA7">
      <w:pPr>
        <w:pStyle w:val="Textonotapie"/>
        <w:tabs>
          <w:tab w:val="left" w:pos="720"/>
        </w:tabs>
        <w:jc w:val="both"/>
        <w:rPr>
          <w:rFonts w:ascii="Verdana" w:hAnsi="Verdana"/>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spacing w:val="-4"/>
          <w:sz w:val="16"/>
          <w:szCs w:val="16"/>
          <w:lang w:val="en-US"/>
        </w:rPr>
        <w:t xml:space="preserve"> </w:t>
      </w:r>
      <w:r w:rsidRPr="007D3F3C">
        <w:rPr>
          <w:rFonts w:ascii="Verdana" w:hAnsi="Verdana"/>
          <w:i/>
          <w:spacing w:val="-4"/>
          <w:sz w:val="16"/>
          <w:szCs w:val="16"/>
          <w:lang w:val="en-US"/>
        </w:rPr>
        <w:tab/>
        <w:t xml:space="preserve">Cf. Case of the La Rochela Massacre v. Colombia. Merits, reparations and costs. </w:t>
      </w:r>
      <w:r w:rsidRPr="007D3F3C">
        <w:rPr>
          <w:rFonts w:ascii="Verdana" w:hAnsi="Verdana"/>
          <w:spacing w:val="-4"/>
          <w:sz w:val="16"/>
          <w:szCs w:val="16"/>
          <w:lang w:val="en-US"/>
        </w:rPr>
        <w:t xml:space="preserve">Judgment of May 11, 2007. Series C No. 163, para. 233, and </w:t>
      </w:r>
      <w:r w:rsidRPr="007D3F3C">
        <w:rPr>
          <w:rStyle w:val="Textoennegrita"/>
          <w:rFonts w:ascii="Verdana" w:hAnsi="Verdana"/>
          <w:b w:val="0"/>
          <w:i/>
          <w:color w:val="000000"/>
          <w:sz w:val="16"/>
          <w:szCs w:val="16"/>
          <w:shd w:val="clear" w:color="auto" w:fill="FFFFFF"/>
          <w:lang w:val="en-US"/>
        </w:rPr>
        <w:t>Case of López Lone et al. v. Honduras, supra,</w:t>
      </w:r>
      <w:r w:rsidRPr="007D3F3C">
        <w:rPr>
          <w:rFonts w:ascii="Verdana" w:hAnsi="Verdana"/>
          <w:spacing w:val="-4"/>
          <w:sz w:val="16"/>
          <w:szCs w:val="16"/>
          <w:lang w:val="en-US"/>
        </w:rPr>
        <w:t xml:space="preserve"> para. 290.</w:t>
      </w:r>
    </w:p>
  </w:footnote>
  <w:footnote w:id="324">
    <w:p w14:paraId="49C8850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pacing w:val="-4"/>
          <w:sz w:val="16"/>
          <w:szCs w:val="16"/>
          <w:lang w:val="en-US"/>
        </w:rPr>
        <w:t xml:space="preserve">Cf. </w:t>
      </w:r>
      <w:r w:rsidRPr="007D3F3C">
        <w:rPr>
          <w:rFonts w:ascii="Verdana" w:hAnsi="Verdana"/>
          <w:i/>
          <w:iCs/>
          <w:spacing w:val="-4"/>
          <w:sz w:val="16"/>
          <w:szCs w:val="16"/>
          <w:lang w:val="en-US"/>
        </w:rPr>
        <w:t xml:space="preserve">Case of Cabrera García and Montiel Flores v. Mexico. Preliminary objection, merits, reparations and costs. </w:t>
      </w:r>
      <w:r w:rsidRPr="007D3F3C">
        <w:rPr>
          <w:rFonts w:ascii="Verdana" w:hAnsi="Verdana"/>
          <w:iCs/>
          <w:spacing w:val="-4"/>
          <w:sz w:val="16"/>
          <w:szCs w:val="16"/>
          <w:lang w:val="en-US"/>
        </w:rPr>
        <w:t xml:space="preserve">Judgment of November 26, 2010. Series C No. 220, </w:t>
      </w:r>
      <w:r w:rsidRPr="007D3F3C">
        <w:rPr>
          <w:rFonts w:ascii="Verdana" w:hAnsi="Verdana"/>
          <w:spacing w:val="-4"/>
          <w:sz w:val="16"/>
          <w:szCs w:val="16"/>
          <w:lang w:val="en-US"/>
        </w:rPr>
        <w:t>para. 215,</w:t>
      </w:r>
      <w:r w:rsidRPr="007D3F3C">
        <w:rPr>
          <w:rFonts w:ascii="Verdana" w:hAnsi="Verdana"/>
          <w:i/>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the Human Rights Defender et al. v. Guatemala. Preliminary objections, merits, reparations and costs</w:t>
      </w:r>
      <w:r w:rsidRPr="007D3F3C">
        <w:rPr>
          <w:rStyle w:val="Textoennegrita"/>
          <w:rFonts w:ascii="Verdana" w:hAnsi="Verdana"/>
          <w:b w:val="0"/>
          <w:color w:val="000000"/>
          <w:sz w:val="16"/>
          <w:szCs w:val="16"/>
          <w:shd w:val="clear" w:color="auto" w:fill="FFFFFF"/>
          <w:lang w:val="en-US"/>
        </w:rPr>
        <w:t>. Judgment of August 28, 2014. Series C No. 283,</w:t>
      </w:r>
      <w:r w:rsidRPr="007D3F3C">
        <w:rPr>
          <w:rFonts w:ascii="Verdana" w:hAnsi="Verdana"/>
          <w:i/>
          <w:iCs/>
          <w:spacing w:val="-4"/>
          <w:sz w:val="16"/>
          <w:szCs w:val="16"/>
          <w:lang w:val="en-US"/>
        </w:rPr>
        <w:t xml:space="preserve"> </w:t>
      </w:r>
      <w:r w:rsidRPr="007D3F3C">
        <w:rPr>
          <w:rFonts w:ascii="Verdana" w:hAnsi="Verdana"/>
          <w:iCs/>
          <w:spacing w:val="-4"/>
          <w:sz w:val="16"/>
          <w:szCs w:val="16"/>
          <w:lang w:val="en-US"/>
        </w:rPr>
        <w:t>para. 253.</w:t>
      </w:r>
    </w:p>
  </w:footnote>
  <w:footnote w:id="325">
    <w:p w14:paraId="2CA54EA4" w14:textId="77777777" w:rsidR="00576E40" w:rsidRPr="007D3F3C" w:rsidRDefault="00576E40" w:rsidP="00551CA7">
      <w:pPr>
        <w:pStyle w:val="Textonotapie"/>
        <w:tabs>
          <w:tab w:val="left" w:pos="720"/>
        </w:tabs>
        <w:contextualSpacing/>
        <w:jc w:val="both"/>
        <w:rPr>
          <w:rFonts w:ascii="Verdana" w:hAnsi="Verdana"/>
          <w:bCs/>
          <w:spacing w:val="-4"/>
          <w:sz w:val="16"/>
          <w:szCs w:val="16"/>
          <w:lang w:val="en-US"/>
        </w:rPr>
      </w:pPr>
      <w:r w:rsidRPr="007D3F3C">
        <w:rPr>
          <w:rStyle w:val="Refdenotaalpie"/>
          <w:rFonts w:ascii="Verdana" w:hAnsi="Verdana"/>
          <w:spacing w:val="-4"/>
          <w:sz w:val="16"/>
          <w:szCs w:val="16"/>
          <w:lang w:val="en-US"/>
        </w:rPr>
        <w:footnoteRef/>
      </w:r>
      <w:r w:rsidRPr="007D3F3C">
        <w:rPr>
          <w:rFonts w:ascii="Verdana" w:hAnsi="Verdana"/>
          <w:bCs/>
          <w:spacing w:val="-4"/>
          <w:sz w:val="16"/>
          <w:szCs w:val="16"/>
          <w:lang w:val="en-US"/>
        </w:rPr>
        <w:tab/>
      </w:r>
      <w:r w:rsidRPr="007D3F3C">
        <w:rPr>
          <w:rFonts w:ascii="Verdana" w:hAnsi="Verdana"/>
          <w:i/>
          <w:iCs/>
          <w:spacing w:val="-4"/>
          <w:sz w:val="16"/>
          <w:szCs w:val="16"/>
          <w:lang w:val="en-US"/>
        </w:rPr>
        <w:t xml:space="preserve">Cf. </w:t>
      </w:r>
      <w:r w:rsidRPr="007D3F3C">
        <w:rPr>
          <w:rStyle w:val="Textoennegrita"/>
          <w:rFonts w:ascii="Verdana" w:hAnsi="Verdana"/>
          <w:b w:val="0"/>
          <w:i/>
          <w:color w:val="000000"/>
          <w:sz w:val="16"/>
          <w:szCs w:val="16"/>
          <w:shd w:val="clear" w:color="auto" w:fill="FFFFFF"/>
          <w:lang w:val="en-US"/>
        </w:rPr>
        <w:t>Case of Barrios Altos v. Peru. Reparations and costs</w:t>
      </w:r>
      <w:r w:rsidRPr="007D3F3C">
        <w:rPr>
          <w:rStyle w:val="Textoennegrita"/>
          <w:rFonts w:ascii="Verdana" w:hAnsi="Verdana"/>
          <w:b w:val="0"/>
          <w:color w:val="000000"/>
          <w:sz w:val="16"/>
          <w:szCs w:val="16"/>
          <w:shd w:val="clear" w:color="auto" w:fill="FFFFFF"/>
          <w:lang w:val="en-US"/>
        </w:rPr>
        <w:t>. Judgment of November 30, 2001. Series C No. 87</w:t>
      </w:r>
      <w:r w:rsidRPr="007D3F3C">
        <w:rPr>
          <w:rFonts w:ascii="Verdana" w:hAnsi="Verdana"/>
          <w:b/>
          <w:i/>
          <w:iCs/>
          <w:spacing w:val="-4"/>
          <w:sz w:val="16"/>
          <w:szCs w:val="16"/>
          <w:lang w:val="en-US"/>
        </w:rPr>
        <w:t xml:space="preserve">, </w:t>
      </w:r>
      <w:r w:rsidRPr="007D3F3C">
        <w:rPr>
          <w:rFonts w:ascii="Verdana" w:hAnsi="Verdana"/>
          <w:spacing w:val="-4"/>
          <w:sz w:val="16"/>
          <w:szCs w:val="16"/>
          <w:lang w:val="en-US"/>
        </w:rPr>
        <w:t xml:space="preserve">paras. 42 and 45, and </w:t>
      </w:r>
      <w:r w:rsidRPr="007D3F3C">
        <w:rPr>
          <w:rStyle w:val="Textoennegrita"/>
          <w:rFonts w:ascii="Verdana" w:hAnsi="Verdana"/>
          <w:b w:val="0"/>
          <w:i/>
          <w:color w:val="000000"/>
          <w:sz w:val="16"/>
          <w:szCs w:val="16"/>
          <w:shd w:val="clear" w:color="auto" w:fill="FFFFFF"/>
          <w:lang w:val="en-US"/>
        </w:rPr>
        <w:t>Case of the Santa Bárbara Campesino Community v. Peru. Preliminary objections, merits, reparations and costs</w:t>
      </w:r>
      <w:r w:rsidRPr="007D3F3C">
        <w:rPr>
          <w:rStyle w:val="Textoennegrita"/>
          <w:rFonts w:ascii="Verdana" w:hAnsi="Verdana"/>
          <w:b w:val="0"/>
          <w:color w:val="000000"/>
          <w:sz w:val="16"/>
          <w:szCs w:val="16"/>
          <w:shd w:val="clear" w:color="auto" w:fill="FFFFFF"/>
          <w:lang w:val="en-US"/>
        </w:rPr>
        <w:t>. Judgment of September 1, 2015. Series C No. 299, para. 308.</w:t>
      </w:r>
    </w:p>
  </w:footnote>
  <w:footnote w:id="326">
    <w:p w14:paraId="5CC6BA46"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color w:val="000000"/>
          <w:spacing w:val="-4"/>
          <w:sz w:val="16"/>
          <w:szCs w:val="16"/>
          <w:lang w:val="en-US"/>
        </w:rPr>
        <w:t xml:space="preserve">Cf. </w:t>
      </w:r>
      <w:r w:rsidRPr="007D3F3C">
        <w:rPr>
          <w:rFonts w:ascii="Verdana" w:hAnsi="Verdana"/>
          <w:i/>
          <w:color w:val="000000"/>
          <w:sz w:val="16"/>
          <w:szCs w:val="16"/>
          <w:lang w:val="en-US"/>
        </w:rPr>
        <w:t xml:space="preserve">Case of Cantoral Benavides v. Peru. Reparations and costs. </w:t>
      </w:r>
      <w:r w:rsidRPr="007D3F3C">
        <w:rPr>
          <w:rFonts w:ascii="Verdana" w:hAnsi="Verdana"/>
          <w:color w:val="000000"/>
          <w:sz w:val="16"/>
          <w:szCs w:val="16"/>
          <w:lang w:val="en-US"/>
        </w:rPr>
        <w:t>Judgment of December 3, 2001. Series C No. 88, para. 79</w:t>
      </w:r>
      <w:r w:rsidRPr="007D3F3C">
        <w:rPr>
          <w:rFonts w:ascii="Verdana" w:hAnsi="Verdana"/>
          <w:color w:val="000000"/>
          <w:spacing w:val="-4"/>
          <w:sz w:val="16"/>
          <w:szCs w:val="16"/>
          <w:lang w:val="en-US"/>
        </w:rPr>
        <w:t xml:space="preserve">, and </w:t>
      </w:r>
      <w:r w:rsidRPr="007D3F3C">
        <w:rPr>
          <w:rStyle w:val="Textoennegrita"/>
          <w:rFonts w:ascii="Verdana" w:hAnsi="Verdana"/>
          <w:b w:val="0"/>
          <w:i/>
          <w:color w:val="000000"/>
          <w:sz w:val="16"/>
          <w:szCs w:val="16"/>
          <w:shd w:val="clear" w:color="auto" w:fill="FFFFFF"/>
          <w:lang w:val="en-US"/>
        </w:rPr>
        <w:t>Case of López Lone et al. v. Honduras, supra,</w:t>
      </w:r>
      <w:r w:rsidRPr="007D3F3C">
        <w:rPr>
          <w:rFonts w:ascii="Verdana" w:hAnsi="Verdana"/>
          <w:spacing w:val="-4"/>
          <w:sz w:val="16"/>
          <w:szCs w:val="16"/>
          <w:lang w:val="en-US"/>
        </w:rPr>
        <w:t xml:space="preserve"> para. 303.</w:t>
      </w:r>
    </w:p>
  </w:footnote>
  <w:footnote w:id="327">
    <w:p w14:paraId="4EE50152" w14:textId="77777777" w:rsidR="00576E40" w:rsidRPr="007D3F3C" w:rsidRDefault="00576E40" w:rsidP="00551CA7">
      <w:pPr>
        <w:pStyle w:val="Textonotapie"/>
        <w:tabs>
          <w:tab w:val="left" w:pos="720"/>
        </w:tabs>
        <w:jc w:val="both"/>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b/>
          <w:sz w:val="16"/>
          <w:szCs w:val="16"/>
          <w:lang w:val="en-US"/>
        </w:rPr>
        <w:tab/>
      </w:r>
      <w:r w:rsidRPr="007D3F3C">
        <w:rPr>
          <w:rFonts w:ascii="Verdana" w:hAnsi="Verdana"/>
          <w:i/>
          <w:spacing w:val="-6"/>
          <w:sz w:val="16"/>
          <w:szCs w:val="16"/>
          <w:lang w:val="en-US"/>
        </w:rPr>
        <w:t>Cf.</w:t>
      </w:r>
      <w:r w:rsidRPr="007D3F3C">
        <w:rPr>
          <w:rFonts w:ascii="Verdana" w:hAnsi="Verdana"/>
          <w:b/>
          <w:i/>
          <w:spacing w:val="-6"/>
          <w:sz w:val="16"/>
          <w:szCs w:val="16"/>
          <w:lang w:val="en-US"/>
        </w:rPr>
        <w:t xml:space="preserve"> </w:t>
      </w:r>
      <w:r w:rsidRPr="007D3F3C">
        <w:rPr>
          <w:rStyle w:val="Textoennegrita"/>
          <w:rFonts w:ascii="Verdana" w:hAnsi="Verdan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b w:val="0"/>
          <w:color w:val="000000"/>
          <w:sz w:val="16"/>
          <w:szCs w:val="16"/>
          <w:shd w:val="clear" w:color="auto" w:fill="FFFFFF"/>
          <w:lang w:val="en-US"/>
        </w:rPr>
        <w:t>. Judgment of November 16, 2009. Series C No.205,</w:t>
      </w:r>
      <w:r w:rsidRPr="007D3F3C">
        <w:rPr>
          <w:rFonts w:ascii="Verdana" w:hAnsi="Verdana"/>
          <w:b/>
          <w:sz w:val="16"/>
          <w:szCs w:val="16"/>
          <w:lang w:val="en-US"/>
        </w:rPr>
        <w:t xml:space="preserve"> </w:t>
      </w:r>
      <w:r w:rsidRPr="007D3F3C">
        <w:rPr>
          <w:rFonts w:ascii="Verdana" w:hAnsi="Verdana"/>
          <w:sz w:val="16"/>
          <w:szCs w:val="16"/>
          <w:lang w:val="en-US"/>
        </w:rPr>
        <w:t>para., 543.</w:t>
      </w:r>
    </w:p>
  </w:footnote>
  <w:footnote w:id="328">
    <w:p w14:paraId="4270843A"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According to the State, from the time INACIF came into operation, protocols and guidelines were created and implemented that updated autopsy practices and that go much further than the mere identification of corpses. The most significant change is that its main function is to obtain scientific evidence that subsequently serves to press charges and prove the possible link between the accused and the injuries to the corpse. The State indicated that the use of these protocols has been improved over the years. Accordingly, it considered that it had complied with the Commission’s recommendation regarding the adoption/adaptation of investigation protocols and expertise, and underscored that the Commission had not provided sufficient or specific elements as regards which part of the protocols implemented is not satisfactory.</w:t>
      </w:r>
    </w:p>
  </w:footnote>
  <w:footnote w:id="329">
    <w:p w14:paraId="718D6BF3"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This protocol is aimed at institutionalizing the working methodology to strengthen and guide the criminal investigation and prosecution of the crimes of femicide and attempted femicide by officials of the Public Prosecution Service, and its purpose is to ensure that every murder or attempted murder of a woman is investigated immediately, in an orderly and thorough manner, taking into consideration the legal framework for protection of the lives of women, female adolescents and girls.</w:t>
      </w:r>
    </w:p>
  </w:footnote>
  <w:footnote w:id="330">
    <w:p w14:paraId="59734309"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 purpose of these directives is as follows: (i) to reinforce the Crime Scene Unit; (ii) to create the Manual of norms and procedures for processing the crime scene, and (iii) to issue a series of general instructions during 2006, 2007, 2008 and 2013 that regulated and provided guidelines on criminal investigation and prosecution, processing the crime scene, collection and preservation of evidence, and enforcement of the Law against Femicide and other forms of violence against women.</w:t>
      </w:r>
    </w:p>
  </w:footnote>
  <w:footnote w:id="331">
    <w:p w14:paraId="35DF908E"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They include, the Model for the comprehensive care of the victim; implementation of the model for care of the victim (7-2008); implementation of the Protocol for stabilizing the victim during the first visit (8-2008); implementation of the Protocol for care of children and adolescents, direct and collateral victims, and implementation of the Protocol for attending victims of crimes against sexual liberty and safety and decency in the Offices for Attention to Victims (10-2008).</w:t>
      </w:r>
    </w:p>
  </w:footnote>
  <w:footnote w:id="332">
    <w:p w14:paraId="5CB95AB8" w14:textId="77777777" w:rsidR="00576E40" w:rsidRPr="007D3F3C" w:rsidRDefault="00576E40" w:rsidP="00551CA7">
      <w:pPr>
        <w:tabs>
          <w:tab w:val="left" w:pos="720"/>
        </w:tabs>
        <w:autoSpaceDE w:val="0"/>
        <w:autoSpaceDN w:val="0"/>
        <w:adjustRightInd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Style w:val="Textoennegrita"/>
          <w:rFonts w:ascii="Verdana" w:hAnsi="Verdana"/>
          <w:b w:val="0"/>
          <w:i/>
          <w:color w:val="000000"/>
          <w:sz w:val="16"/>
          <w:szCs w:val="16"/>
          <w:shd w:val="clear" w:color="auto" w:fill="FFFFFF"/>
          <w:lang w:val="en-US"/>
        </w:rPr>
        <w:t>Case of Veliz Franco et al. v. Guatemala. Preliminary objections, merits, reparations and costs</w:t>
      </w:r>
      <w:r w:rsidRPr="007D3F3C">
        <w:rPr>
          <w:rStyle w:val="Textoennegrita"/>
          <w:rFonts w:ascii="Verdana" w:hAnsi="Verdana"/>
          <w:b w:val="0"/>
          <w:color w:val="000000"/>
          <w:sz w:val="16"/>
          <w:szCs w:val="16"/>
          <w:shd w:val="clear" w:color="auto" w:fill="FFFFFF"/>
          <w:lang w:val="en-US"/>
        </w:rPr>
        <w:t>. Judgment of May 19, 2014. Series C No. 277</w:t>
      </w:r>
      <w:r w:rsidRPr="007D3F3C">
        <w:rPr>
          <w:rFonts w:ascii="Verdana" w:hAnsi="Verdana" w:cs="Calibri"/>
          <w:sz w:val="16"/>
          <w:szCs w:val="16"/>
          <w:lang w:val="en-US"/>
        </w:rPr>
        <w:t>, para. 264.</w:t>
      </w:r>
      <w:r w:rsidRPr="007D3F3C" w:rsidDel="00503FE4">
        <w:rPr>
          <w:rFonts w:ascii="Verdana" w:hAnsi="Verdana"/>
          <w:sz w:val="16"/>
          <w:szCs w:val="16"/>
          <w:lang w:val="en-US"/>
        </w:rPr>
        <w:t xml:space="preserve"> </w:t>
      </w:r>
    </w:p>
  </w:footnote>
  <w:footnote w:id="333">
    <w:p w14:paraId="4DDA3B74" w14:textId="77777777" w:rsidR="00576E40" w:rsidRPr="007D3F3C" w:rsidRDefault="00576E40" w:rsidP="00551CA7">
      <w:pPr>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iCs/>
          <w:spacing w:val="-4"/>
          <w:sz w:val="16"/>
          <w:szCs w:val="16"/>
          <w:lang w:val="en-US"/>
        </w:rPr>
        <w:t>Cf.</w:t>
      </w:r>
      <w:r w:rsidRPr="007D3F3C">
        <w:rPr>
          <w:rFonts w:ascii="Verdana" w:hAnsi="Verdana"/>
          <w:sz w:val="16"/>
          <w:szCs w:val="16"/>
          <w:lang w:val="en-US"/>
        </w:rPr>
        <w:t xml:space="preserve"> </w:t>
      </w:r>
      <w:r w:rsidRPr="007D3F3C">
        <w:rPr>
          <w:rFonts w:ascii="Verdana" w:hAnsi="Verdana"/>
          <w:spacing w:val="-4"/>
          <w:sz w:val="16"/>
          <w:szCs w:val="16"/>
          <w:lang w:val="en-US"/>
        </w:rPr>
        <w:t xml:space="preserve">Expert opinion of </w:t>
      </w:r>
      <w:r w:rsidRPr="007D3F3C">
        <w:rPr>
          <w:rFonts w:ascii="Verdana" w:hAnsi="Verdana"/>
          <w:sz w:val="16"/>
          <w:szCs w:val="16"/>
          <w:lang w:val="en-US"/>
        </w:rPr>
        <w:t>Karen Musalo</w:t>
      </w:r>
      <w:r w:rsidRPr="007D3F3C">
        <w:rPr>
          <w:rFonts w:ascii="Verdana" w:hAnsi="Verdana"/>
          <w:spacing w:val="-2"/>
          <w:sz w:val="16"/>
          <w:szCs w:val="16"/>
          <w:lang w:val="en-US"/>
        </w:rPr>
        <w:t xml:space="preserve"> </w:t>
      </w:r>
      <w:r w:rsidRPr="007D3F3C">
        <w:rPr>
          <w:rFonts w:ascii="Verdana" w:hAnsi="Verdana"/>
          <w:spacing w:val="-4"/>
          <w:sz w:val="16"/>
          <w:szCs w:val="16"/>
          <w:lang w:val="en-US"/>
        </w:rPr>
        <w:t>provided by affidavit on April 13, 2015 (evidence file, folios 6662 and 6663).</w:t>
      </w:r>
    </w:p>
  </w:footnote>
  <w:footnote w:id="334">
    <w:p w14:paraId="4827BF96"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She indicated the need to “improve investigation of the crime scene, chain of custody controls, training and coordination of police, investigators, prosecutors and judicial officials; develop systems that allow the authorities to respond more promptly and effectively to crimes against women; avoid contamination of important evidence, and facilitate the necessary follow-up. This also includes the establishment of laboratories for forensic crimes and programs to train forensic experts in collecting evidence in cases of femicide and other gender-related criminal cases and in collecting, processing and preserving DNA evidence to facilitate the identification and prosecution of perpetrators, and in preserving evidence for the future if necessary. In addition, this would include the adoption of relevant protocols such as the creation of a protocol to differentiate between femicide and the murder of women that does not meet the definition of femicide.” </w:t>
      </w:r>
      <w:r w:rsidRPr="007D3F3C">
        <w:rPr>
          <w:rFonts w:ascii="Verdana" w:hAnsi="Verdana"/>
          <w:spacing w:val="-4"/>
          <w:sz w:val="16"/>
          <w:szCs w:val="16"/>
          <w:lang w:val="en-US"/>
        </w:rPr>
        <w:t xml:space="preserve">Expert opinion of </w:t>
      </w:r>
      <w:r w:rsidRPr="007D3F3C">
        <w:rPr>
          <w:rFonts w:ascii="Verdana" w:hAnsi="Verdana"/>
          <w:sz w:val="16"/>
          <w:szCs w:val="16"/>
          <w:lang w:val="en-US"/>
        </w:rPr>
        <w:t>Karen Musalo</w:t>
      </w:r>
      <w:r w:rsidRPr="007D3F3C">
        <w:rPr>
          <w:rFonts w:ascii="Verdana" w:hAnsi="Verdana"/>
          <w:spacing w:val="-2"/>
          <w:sz w:val="16"/>
          <w:szCs w:val="16"/>
          <w:lang w:val="en-US"/>
        </w:rPr>
        <w:t xml:space="preserve"> </w:t>
      </w:r>
      <w:r w:rsidRPr="007D3F3C">
        <w:rPr>
          <w:rFonts w:ascii="Verdana" w:hAnsi="Verdana"/>
          <w:spacing w:val="-4"/>
          <w:sz w:val="16"/>
          <w:szCs w:val="16"/>
          <w:lang w:val="en-US"/>
        </w:rPr>
        <w:t>provided by affidavit on April 13, 2015 (evidence file, folio 6662).</w:t>
      </w:r>
    </w:p>
  </w:footnote>
  <w:footnote w:id="335">
    <w:p w14:paraId="37EDAD4B" w14:textId="77777777" w:rsidR="00576E40" w:rsidRPr="007D3F3C" w:rsidRDefault="00576E40" w:rsidP="00551CA7">
      <w:pPr>
        <w:tabs>
          <w:tab w:val="left" w:pos="720"/>
        </w:tabs>
        <w:autoSpaceDE w:val="0"/>
        <w:autoSpaceDN w:val="0"/>
        <w:adjustRightInd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She indicated the need to “provide adequate funding and other resources required to bring into operation the specialized courts for crimes against women and femicide, authorized by the 2008 Law. This would include the assessment of whether the number and distribution of the specialized courts was sufficient and whether or not the creation of additional courts should be authorized.” </w:t>
      </w:r>
      <w:r w:rsidRPr="007D3F3C">
        <w:rPr>
          <w:rFonts w:ascii="Verdana" w:hAnsi="Verdana"/>
          <w:spacing w:val="-4"/>
          <w:sz w:val="16"/>
          <w:szCs w:val="16"/>
          <w:lang w:val="en-US"/>
        </w:rPr>
        <w:t xml:space="preserve">Expert opinion of </w:t>
      </w:r>
      <w:r w:rsidRPr="007D3F3C">
        <w:rPr>
          <w:rFonts w:ascii="Verdana" w:hAnsi="Verdana"/>
          <w:sz w:val="16"/>
          <w:szCs w:val="16"/>
          <w:lang w:val="en-US"/>
        </w:rPr>
        <w:t>Karen Musalo</w:t>
      </w:r>
      <w:r w:rsidRPr="007D3F3C">
        <w:rPr>
          <w:rFonts w:ascii="Verdana" w:hAnsi="Verdana"/>
          <w:spacing w:val="-2"/>
          <w:sz w:val="16"/>
          <w:szCs w:val="16"/>
          <w:lang w:val="en-US"/>
        </w:rPr>
        <w:t xml:space="preserve"> </w:t>
      </w:r>
      <w:r w:rsidRPr="007D3F3C">
        <w:rPr>
          <w:rFonts w:ascii="Verdana" w:hAnsi="Verdana"/>
          <w:spacing w:val="-4"/>
          <w:sz w:val="16"/>
          <w:szCs w:val="16"/>
          <w:lang w:val="en-US"/>
        </w:rPr>
        <w:t>provided by affidavit on April 13, 2015 (evidence file, folio 6662).</w:t>
      </w:r>
    </w:p>
  </w:footnote>
  <w:footnote w:id="336">
    <w:p w14:paraId="341DDAE2"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 xml:space="preserve">Cf. </w:t>
      </w:r>
      <w:r w:rsidRPr="007D3F3C">
        <w:rPr>
          <w:rStyle w:val="Textoennegrita"/>
          <w:rFonts w:ascii="Verdana" w:hAnsi="Verdana"/>
          <w:b w:val="0"/>
          <w:i/>
          <w:color w:val="000000"/>
          <w:sz w:val="16"/>
          <w:szCs w:val="16"/>
          <w:shd w:val="clear" w:color="auto" w:fill="FFFFFF"/>
          <w:lang w:val="es-CR"/>
        </w:rPr>
        <w:t>Case of Veliz Franco et al. v. Guatemala, supra,</w:t>
      </w:r>
      <w:r w:rsidRPr="007D3F3C">
        <w:rPr>
          <w:rFonts w:ascii="Verdana" w:hAnsi="Verdana"/>
          <w:sz w:val="16"/>
          <w:szCs w:val="16"/>
          <w:lang w:val="es-CR"/>
        </w:rPr>
        <w:t xml:space="preserve"> paras. </w:t>
      </w:r>
      <w:r w:rsidRPr="007D3F3C">
        <w:rPr>
          <w:rFonts w:ascii="Verdana" w:hAnsi="Verdana"/>
          <w:sz w:val="16"/>
          <w:szCs w:val="16"/>
          <w:lang w:val="en-US"/>
        </w:rPr>
        <w:t>267 and 268.</w:t>
      </w:r>
    </w:p>
  </w:footnote>
  <w:footnote w:id="337">
    <w:p w14:paraId="7862D243"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Regarding the reinforcement of the INACIF, in its final written arguments the State merely referred to the existence of a postgraduate program for personnel of this entity, together with other agents of justice and State institutions, as well as “a coordinated effort among the three branches of State (Executive, Legislature and Judiciary)” to promote “a democratic State criminal policy,” “in order to tackle four basic aspects of crime: (1) prevention; (2) investigation; (3) punishment and (4) social rehabilitation.” The State did not provide any documentation in this regard.</w:t>
      </w:r>
    </w:p>
  </w:footnote>
  <w:footnote w:id="338">
    <w:p w14:paraId="02293D18" w14:textId="77777777" w:rsidR="00576E40" w:rsidRPr="007D3F3C" w:rsidRDefault="00576E40" w:rsidP="00551CA7">
      <w:pPr>
        <w:pStyle w:val="Textonotapie"/>
        <w:rPr>
          <w:rFonts w:ascii="Verdana" w:hAnsi="Verdana"/>
          <w:i/>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 xml:space="preserve">Cf. </w:t>
      </w:r>
      <w:r w:rsidRPr="007D3F3C">
        <w:rPr>
          <w:rStyle w:val="Textoennegrita"/>
          <w:rFonts w:ascii="Verdana" w:hAnsi="Verdana"/>
          <w:b w:val="0"/>
          <w:i/>
          <w:color w:val="000000"/>
          <w:sz w:val="16"/>
          <w:szCs w:val="16"/>
          <w:shd w:val="clear" w:color="auto" w:fill="FFFFFF"/>
          <w:lang w:val="es-CR"/>
        </w:rPr>
        <w:t>Case of Veliz Franco et al. v. Guatemala, supra,</w:t>
      </w:r>
      <w:r w:rsidRPr="007D3F3C">
        <w:rPr>
          <w:rFonts w:ascii="Verdana" w:hAnsi="Verdana"/>
          <w:sz w:val="16"/>
          <w:szCs w:val="16"/>
          <w:lang w:val="es-CR"/>
        </w:rPr>
        <w:t xml:space="preserve"> para. 269.</w:t>
      </w:r>
    </w:p>
  </w:footnote>
  <w:footnote w:id="339">
    <w:p w14:paraId="031972CD" w14:textId="77777777" w:rsidR="00576E40" w:rsidRPr="007D3F3C" w:rsidRDefault="00576E40" w:rsidP="00551CA7">
      <w:pPr>
        <w:pStyle w:val="Textonotapie"/>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 xml:space="preserve">Cf. </w:t>
      </w:r>
      <w:r w:rsidRPr="007D3F3C">
        <w:rPr>
          <w:rStyle w:val="Textoennegrita"/>
          <w:rFonts w:ascii="Verdana" w:hAnsi="Verdana"/>
          <w:b w:val="0"/>
          <w:i/>
          <w:color w:val="000000"/>
          <w:sz w:val="16"/>
          <w:szCs w:val="16"/>
          <w:shd w:val="clear" w:color="auto" w:fill="FFFFFF"/>
          <w:lang w:val="es-CR"/>
        </w:rPr>
        <w:t>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269 and footnote 354.</w:t>
      </w:r>
    </w:p>
  </w:footnote>
  <w:footnote w:id="340">
    <w:p w14:paraId="0255D4FB"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Fonts w:ascii="Verdana" w:hAnsi="Verdana"/>
          <w:sz w:val="16"/>
          <w:szCs w:val="16"/>
          <w:vertAlign w:val="superscript"/>
          <w:lang w:val="en-US"/>
        </w:rPr>
        <w:footnoteRef/>
      </w:r>
      <w:r w:rsidRPr="007D3F3C">
        <w:rPr>
          <w:rFonts w:ascii="Verdana" w:hAnsi="Verdana"/>
          <w:sz w:val="16"/>
          <w:szCs w:val="16"/>
          <w:vertAlign w:val="superscript"/>
          <w:lang w:val="en-US"/>
        </w:rPr>
        <w:t xml:space="preserve"> </w:t>
      </w:r>
      <w:r w:rsidRPr="007D3F3C">
        <w:rPr>
          <w:rFonts w:ascii="Verdana" w:hAnsi="Verdana"/>
          <w:sz w:val="16"/>
          <w:szCs w:val="16"/>
          <w:vertAlign w:val="superscript"/>
          <w:lang w:val="en-US"/>
        </w:rPr>
        <w:tab/>
      </w:r>
      <w:r w:rsidRPr="007D3F3C">
        <w:rPr>
          <w:rFonts w:ascii="Verdana" w:hAnsi="Verdana"/>
          <w:sz w:val="16"/>
          <w:szCs w:val="16"/>
          <w:lang w:val="en-US"/>
        </w:rPr>
        <w:t>According to the State, the specialized agencies are located as follows: Agencies 6 and 7 for Crimes against Life, in Guatemala City, Villa Nueva Municipal Prosecutor’s Office, Mixco Municipal Prosecutor’s Office, Chiquimula Departmental Prosecutor’s Office, Quetzaltenango Departmental Prosecutor’s Office, Coatepeque Departmental Prosecutor’s Office, Huehuetenango Departmental Prosecutor’s Office, Santa Catarina Pinula Municipal Prosecutor’s Office, Chimaltenango District Prosecutor’s Office, Escuintla District Prosecutor’s Office and Cobán District Prosecutor’s Office.</w:t>
      </w:r>
    </w:p>
  </w:footnote>
  <w:footnote w:id="341">
    <w:p w14:paraId="31D855A1" w14:textId="77777777" w:rsidR="00576E40" w:rsidRPr="007D3F3C" w:rsidRDefault="00576E40" w:rsidP="00551CA7">
      <w:pPr>
        <w:tabs>
          <w:tab w:val="left" w:pos="720"/>
        </w:tabs>
        <w:autoSpaceDE w:val="0"/>
        <w:autoSpaceDN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 State indicated that the Supreme Court of Justice had facilitated the created of various courts, as well as units to train judges on the issue of sexual violence against women and girls. This training was aimed at ensuring that the services offered by the Judiciary were provided efficiently, in complete compliance with the law and without any hint of discrimination. Specifically, the State referred to the Judiciary’s Unit for Women’s Affairs and Gender Analysis created to train and provide advisory services on the issue to the judges, legal assistants and administrative personnel of this entity, and to prosecute and punish crimes of domestic violence and violence against women. This Unit had supposedly implemented the following diploma training courses on gender: “Semi-virtual diploma on upgrading and specialization in relation to femicide and other forms of violence against women within the framework of human rights”;  Semi-virtual diploma on social work relating to justice, human rights and gender,” and program on “Gender mainstreaming and normative analysis in the Judiciary on violence against women.”</w:t>
      </w:r>
    </w:p>
  </w:footnote>
  <w:footnote w:id="342">
    <w:p w14:paraId="5359D965"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In October 2013, the Ministry of the Interior established the Special Committee on the issue of violence against women and offered a diploma course on “Gender equality, citizenship, security, and public policies; methodological contributions towards the work of the State.”</w:t>
      </w:r>
    </w:p>
  </w:footnote>
  <w:footnote w:id="343">
    <w:p w14:paraId="38F5DB89"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According to the State, PNC female staff have been given training on the laws in force in the country that protect them within and outside the institution. From 2012 to 2014, the PNC Gender Equality Department organized 82 workshops for 3,521 members of the institution on the Law against Femicide and other forms of violence against women, who also received training to improve the quality of attention to women victims and survivors of violence. From 2012 to 2014 also, the Sub-General Directorate for the Prevention of Crime organized 49 workshops on PNC actions when dealing with violence against women, and trained a total of 10,931 women and 11,647 men from civil society. In 2014, the members of the Committee for the Prevention of Crime in 13 departments, 115 municipalities and 280 communities were trained in their own language on issues relating to: public safety; public participation, participative planning, the process for filing complaints, violence against women, domestic violence, rights of the indigenous peoples, and gender equality and equity.</w:t>
      </w:r>
    </w:p>
  </w:footnote>
  <w:footnote w:id="344">
    <w:p w14:paraId="4AF3DEDA" w14:textId="77777777" w:rsidR="00576E40" w:rsidRPr="007D3F3C" w:rsidRDefault="00576E40" w:rsidP="00551CA7">
      <w:pPr>
        <w:tabs>
          <w:tab w:val="left" w:pos="720"/>
        </w:tabs>
        <w:autoSpaceDE w:val="0"/>
        <w:autoSpaceDN w:val="0"/>
        <w:adjustRightInd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It implemented diploma courses for employees and public officials from the Executive and other institutions on the issue of violence against women, including: in 2015, “The human rights and citizenship of indigenous women,” with the participation of the following institutions: the Attorney General’s Office (PGN), the National Indigenous and Campesino Coordinator (CONIC), the Ministry of Culture and Sport (MICUDE), the Ombudsperson for Indigenous Women (DEMI), the Ministry of the Interior (MINEGOB), the Solidarity Fund, the Ministry of Finance (MINFIN), the Ministry of Labor (MINTRAB), the Penitentiary System General Directorate, the National Disaster Reduction Coordinator (CONRED), the Ministry for Social Development (MIDES), the National Civil Service Office (ONSEC), and the National Institute of Tourism (INGUAT). Also, “Women’s human rights,” with the participation of the following institutions: the Ministry of Finance (MINFIN), the Ministry of Defense (MINDEF), the Ministry of Education; the Ministry for Social Development (MIDES), the Ministry of Culture and Sport (MICUDE), the Presidential Secretariat for Women (SEPREM), the Ministry of Labor (MINTRAB), the National Office for Women’s Affairs (ONAM), the Judiciary’s Unit for the Community Prevention of Violence, the Guatemalan Indigenous Development Fund (FODIGUA), the National Institute of Statistics (INE), the Public Criminal Defense Institute (IDPP), and the Office of the General Comptroller. Lastly, the State provided information on the postgraduate course for agents of justice and other State institutions, specifically the Attorney General’s Office (PGN), the </w:t>
      </w:r>
      <w:r w:rsidRPr="007D3F3C">
        <w:rPr>
          <w:rFonts w:ascii="Verdana" w:hAnsi="Verdana"/>
          <w:color w:val="000000"/>
          <w:sz w:val="16"/>
          <w:szCs w:val="16"/>
          <w:lang w:val="en-US"/>
        </w:rPr>
        <w:t xml:space="preserve">Public Prosecution Service (PM), the Ombudsman’s Office (PDH), </w:t>
      </w:r>
      <w:r w:rsidRPr="007D3F3C">
        <w:rPr>
          <w:rFonts w:ascii="Verdana" w:hAnsi="Verdana"/>
          <w:sz w:val="16"/>
          <w:szCs w:val="16"/>
          <w:lang w:val="en-US"/>
        </w:rPr>
        <w:t xml:space="preserve">the Ministry of Defense (MINDEF), the National Civil Police (PNC), the </w:t>
      </w:r>
      <w:r w:rsidRPr="007D3F3C">
        <w:rPr>
          <w:rFonts w:ascii="Verdana" w:hAnsi="Verdana"/>
          <w:color w:val="000000"/>
          <w:sz w:val="16"/>
          <w:szCs w:val="16"/>
          <w:lang w:val="en-US"/>
        </w:rPr>
        <w:t>Public Criminal Defense Institute (IDPP), the Judiciary(OJ), the Guatemalan National Forensic Instituted (INACIF), the Presidential Human Rights Commission (COPREDEH), and the Presidential Commission against Discrimination and Racism (CODISRA</w:t>
      </w:r>
      <w:r w:rsidRPr="007D3F3C">
        <w:rPr>
          <w:rFonts w:ascii="Verdana" w:hAnsi="Verdana"/>
          <w:sz w:val="16"/>
          <w:szCs w:val="16"/>
          <w:lang w:val="en-US"/>
        </w:rPr>
        <w:t>).</w:t>
      </w:r>
    </w:p>
  </w:footnote>
  <w:footnote w:id="345">
    <w:p w14:paraId="08B920FF" w14:textId="77777777" w:rsidR="00576E40" w:rsidRPr="007D3F3C" w:rsidRDefault="00576E40" w:rsidP="00551CA7">
      <w:pPr>
        <w:pStyle w:val="Textonotapie"/>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sz w:val="16"/>
          <w:szCs w:val="16"/>
          <w:lang w:val="es-CR"/>
        </w:rPr>
        <w:tab/>
      </w:r>
      <w:r w:rsidRPr="007D3F3C">
        <w:rPr>
          <w:rFonts w:ascii="Verdana" w:hAnsi="Verdana"/>
          <w:i/>
          <w:sz w:val="16"/>
          <w:szCs w:val="16"/>
          <w:lang w:val="es-CR"/>
        </w:rPr>
        <w:t xml:space="preserve">Cf. </w:t>
      </w:r>
      <w:r w:rsidRPr="007D3F3C">
        <w:rPr>
          <w:rStyle w:val="Textoennegrita"/>
          <w:rFonts w:ascii="Verdana" w:hAnsi="Verdana"/>
          <w:b w:val="0"/>
          <w:i/>
          <w:color w:val="000000"/>
          <w:sz w:val="16"/>
          <w:szCs w:val="16"/>
          <w:shd w:val="clear" w:color="auto" w:fill="FFFFFF"/>
          <w:lang w:val="es-CR"/>
        </w:rPr>
        <w:t>Case of 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275.</w:t>
      </w:r>
    </w:p>
  </w:footnote>
  <w:footnote w:id="346">
    <w:p w14:paraId="41339B45"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The indicated that, at a minimum, women and girls in all the departments should have prompt access to Government support structures and to emergency response mechanisms; to special courts that dealt with gender violence, and to shelters for victims of violence. Each program or law should receive adequate funding, and the Government should evaluate the progress made in the implementation of each program and law each year and publicize the data and statistics on this progress.</w:t>
      </w:r>
    </w:p>
  </w:footnote>
  <w:footnote w:id="347">
    <w:p w14:paraId="73D88E97" w14:textId="77777777" w:rsidR="00576E40" w:rsidRPr="007D3F3C" w:rsidRDefault="00576E40" w:rsidP="00551CA7">
      <w:pPr>
        <w:tabs>
          <w:tab w:val="left" w:pos="720"/>
        </w:tabs>
        <w:spacing w:after="0" w:line="240" w:lineRule="auto"/>
        <w:jc w:val="both"/>
        <w:rPr>
          <w:rFonts w:ascii="Verdana" w:hAnsi="Verdana" w:cs="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“11. </w:t>
      </w:r>
      <w:r w:rsidRPr="007D3F3C">
        <w:rPr>
          <w:rFonts w:ascii="Verdana" w:hAnsi="Verdana" w:cs="Verdana"/>
          <w:sz w:val="16"/>
          <w:szCs w:val="16"/>
          <w:lang w:val="en-US"/>
        </w:rPr>
        <w:t xml:space="preserve">The State </w:t>
      </w:r>
      <w:r w:rsidRPr="007D3F3C">
        <w:rPr>
          <w:rFonts w:ascii="Verdana" w:hAnsi="Verdana" w:cs="Arial"/>
          <w:sz w:val="16"/>
          <w:szCs w:val="16"/>
          <w:lang w:val="en-US"/>
        </w:rPr>
        <w:t xml:space="preserve">shall, within a reasonable time, bring into operation the “specialize jurisdictional organs” and the special prosecutor’s office, </w:t>
      </w:r>
      <w:r w:rsidRPr="007D3F3C">
        <w:rPr>
          <w:rFonts w:ascii="Verdana" w:hAnsi="Verdana" w:cs="Verdana"/>
          <w:sz w:val="16"/>
          <w:szCs w:val="16"/>
          <w:lang w:val="en-US"/>
        </w:rPr>
        <w:t>[…].</w:t>
      </w:r>
      <w:r w:rsidRPr="007D3F3C">
        <w:rPr>
          <w:rFonts w:ascii="Verdana" w:hAnsi="Verdana"/>
          <w:bCs/>
          <w:sz w:val="16"/>
          <w:szCs w:val="16"/>
          <w:lang w:val="en-US"/>
        </w:rPr>
        <w:t xml:space="preserve"> </w:t>
      </w:r>
      <w:r w:rsidRPr="007D3F3C">
        <w:rPr>
          <w:rFonts w:ascii="Verdana" w:hAnsi="Verdana" w:cs="Verdana"/>
          <w:sz w:val="16"/>
          <w:szCs w:val="16"/>
          <w:lang w:val="en-US"/>
        </w:rPr>
        <w:t xml:space="preserve">12. The State </w:t>
      </w:r>
      <w:r w:rsidRPr="007D3F3C">
        <w:rPr>
          <w:rFonts w:ascii="Verdana" w:hAnsi="Verdana" w:cs="Arial"/>
          <w:sz w:val="16"/>
          <w:szCs w:val="16"/>
          <w:lang w:val="en-US"/>
        </w:rPr>
        <w:t>shall, within a reasonable time, implement programs and courses for public officials, members of the Judiciary, the Public Prosecution Service and the National Civil Police, who are involved in the investigation of the murder of women on standards with regard to prevention, and the eventual punishment and eradication of the murder of women, and provide them with training on the proper enforcement of the relevant laws and regulations</w:t>
      </w:r>
      <w:r w:rsidRPr="007D3F3C">
        <w:rPr>
          <w:rFonts w:ascii="Verdana" w:hAnsi="Verdana"/>
          <w:sz w:val="16"/>
          <w:szCs w:val="16"/>
          <w:lang w:val="en-US"/>
        </w:rPr>
        <w:t xml:space="preserve"> […].</w:t>
      </w:r>
      <w:r w:rsidRPr="007D3F3C">
        <w:rPr>
          <w:rFonts w:ascii="Verdana" w:hAnsi="Verdana" w:cs="Verdana"/>
          <w:sz w:val="16"/>
          <w:szCs w:val="16"/>
          <w:lang w:val="en-US"/>
        </w:rPr>
        <w:t>”</w:t>
      </w:r>
      <w:r w:rsidRPr="007D3F3C">
        <w:rPr>
          <w:rFonts w:ascii="Verdana" w:hAnsi="Verdana"/>
          <w:sz w:val="16"/>
          <w:szCs w:val="16"/>
          <w:lang w:val="en-US"/>
        </w:rPr>
        <w:t xml:space="preserve"> </w:t>
      </w:r>
    </w:p>
  </w:footnote>
  <w:footnote w:id="348">
    <w:p w14:paraId="55E31F9B"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Law on the Alba-Keneth Early Warning System. Decree No. 28-2010. </w:t>
      </w:r>
      <w:r w:rsidRPr="007D3F3C">
        <w:rPr>
          <w:rFonts w:ascii="Verdana" w:hAnsi="Verdana"/>
          <w:i/>
          <w:sz w:val="16"/>
          <w:szCs w:val="16"/>
          <w:lang w:val="en-US"/>
        </w:rPr>
        <w:t xml:space="preserve">Cf. </w:t>
      </w:r>
      <w:r w:rsidRPr="007D3F3C">
        <w:rPr>
          <w:rStyle w:val="Textoennegrita"/>
          <w:rFonts w:ascii="Verdana" w:hAnsi="Verdana"/>
          <w:b w:val="0"/>
          <w:i/>
          <w:color w:val="000000"/>
          <w:sz w:val="16"/>
          <w:szCs w:val="16"/>
          <w:shd w:val="clear" w:color="auto" w:fill="FFFFFF"/>
          <w:lang w:val="en-US"/>
        </w:rPr>
        <w:t>Case of Veliz Franco et al. v. Guatemala, supra,</w:t>
      </w:r>
      <w:r w:rsidRPr="007D3F3C">
        <w:rPr>
          <w:rFonts w:ascii="Verdana" w:hAnsi="Verdana"/>
          <w:sz w:val="16"/>
          <w:szCs w:val="16"/>
          <w:lang w:val="en-US"/>
        </w:rPr>
        <w:t xml:space="preserve"> footnote 357.</w:t>
      </w:r>
    </w:p>
  </w:footnote>
  <w:footnote w:id="349">
    <w:p w14:paraId="054054C1" w14:textId="77777777" w:rsidR="00576E40" w:rsidRPr="007D3F3C" w:rsidRDefault="00576E40" w:rsidP="00551CA7">
      <w:pPr>
        <w:pStyle w:val="Textonotapie"/>
        <w:tabs>
          <w:tab w:val="left" w:pos="720"/>
        </w:tabs>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Bill on the immediate search for missing women”, p. 6. </w:t>
      </w:r>
      <w:r w:rsidRPr="007D3F3C">
        <w:rPr>
          <w:rFonts w:ascii="Verdana" w:hAnsi="Verdana" w:cs="Arial"/>
          <w:sz w:val="16"/>
          <w:szCs w:val="16"/>
          <w:lang w:val="en-US"/>
        </w:rPr>
        <w:t xml:space="preserve">Available at: </w:t>
      </w:r>
      <w:hyperlink r:id="rId17" w:history="1">
        <w:r w:rsidRPr="007D3F3C">
          <w:rPr>
            <w:rStyle w:val="Hipervnculo"/>
            <w:rFonts w:ascii="Verdana" w:hAnsi="Verdana" w:cs="Arial"/>
            <w:sz w:val="16"/>
            <w:szCs w:val="16"/>
            <w:lang w:val="en-US"/>
          </w:rPr>
          <w:t>http://www.congreso.gob.gt/manager/ images/4097B3FD-E522-0547-3042-D05791A99602.pdf</w:t>
        </w:r>
      </w:hyperlink>
      <w:r w:rsidRPr="007D3F3C">
        <w:rPr>
          <w:rFonts w:ascii="Verdana" w:hAnsi="Verdana" w:cs="Arial"/>
          <w:sz w:val="16"/>
          <w:szCs w:val="16"/>
          <w:lang w:val="en-US"/>
        </w:rPr>
        <w:t>.</w:t>
      </w:r>
    </w:p>
  </w:footnote>
  <w:footnote w:id="350">
    <w:p w14:paraId="1000229E" w14:textId="77777777" w:rsidR="00576E40" w:rsidRPr="007D3F3C" w:rsidRDefault="00576E40" w:rsidP="00551CA7">
      <w:pPr>
        <w:tabs>
          <w:tab w:val="left" w:pos="720"/>
        </w:tabs>
        <w:autoSpaceDE w:val="0"/>
        <w:autoSpaceDN w:val="0"/>
        <w:adjustRightInd w:val="0"/>
        <w:spacing w:after="0" w:line="240" w:lineRule="auto"/>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 xml:space="preserve">Report </w:t>
      </w:r>
      <w:r w:rsidRPr="007D3F3C">
        <w:rPr>
          <w:rFonts w:ascii="Verdana" w:hAnsi="Verdana" w:cs="Arial"/>
          <w:sz w:val="16"/>
          <w:szCs w:val="16"/>
          <w:lang w:val="en-US"/>
        </w:rPr>
        <w:t xml:space="preserve">No. 03-2014 of the </w:t>
      </w:r>
      <w:r w:rsidRPr="007D3F3C">
        <w:rPr>
          <w:rFonts w:ascii="Verdana" w:hAnsi="Verdana"/>
          <w:sz w:val="16"/>
          <w:szCs w:val="16"/>
          <w:lang w:val="en-US"/>
        </w:rPr>
        <w:t xml:space="preserve">congressional Committee on Legislation and Constitutional Matters on the “Law on the immediate search for missing women,” pp. </w:t>
      </w:r>
      <w:r w:rsidRPr="007D3F3C">
        <w:rPr>
          <w:rFonts w:ascii="Verdana" w:hAnsi="Verdana" w:cs="Arial"/>
          <w:sz w:val="16"/>
          <w:szCs w:val="16"/>
          <w:lang w:val="en-US"/>
        </w:rPr>
        <w:t xml:space="preserve">6, 8 and 10. Available at: </w:t>
      </w:r>
      <w:hyperlink r:id="rId18" w:history="1">
        <w:r w:rsidRPr="007D3F3C">
          <w:rPr>
            <w:rStyle w:val="Hipervnculo"/>
            <w:rFonts w:ascii="Verdana" w:hAnsi="Verdana" w:cs="Arial"/>
            <w:sz w:val="16"/>
            <w:szCs w:val="16"/>
            <w:lang w:val="en-US"/>
          </w:rPr>
          <w:t>http://www.congreso.gob.gt/manager/ images/91E9DEF7-5D94-7146-29A0-8AB105E3FC92.PDF</w:t>
        </w:r>
      </w:hyperlink>
      <w:r w:rsidRPr="007D3F3C">
        <w:rPr>
          <w:rStyle w:val="Hipervnculo"/>
          <w:rFonts w:ascii="Verdana" w:hAnsi="Verdana" w:cs="Arial"/>
          <w:color w:val="auto"/>
          <w:sz w:val="16"/>
          <w:szCs w:val="16"/>
          <w:u w:val="none"/>
          <w:lang w:val="en-US"/>
        </w:rPr>
        <w:t>.</w:t>
      </w:r>
    </w:p>
  </w:footnote>
  <w:footnote w:id="351">
    <w:p w14:paraId="703CCB35"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Cs/>
          <w:sz w:val="16"/>
          <w:szCs w:val="16"/>
          <w:lang w:val="en-US"/>
        </w:rPr>
        <w:t>See,</w:t>
      </w:r>
      <w:r w:rsidRPr="007D3F3C">
        <w:rPr>
          <w:rFonts w:ascii="Verdana" w:hAnsi="Verdana"/>
          <w:i/>
          <w:sz w:val="16"/>
          <w:szCs w:val="16"/>
          <w:lang w:val="en-US"/>
        </w:rPr>
        <w:t xml:space="preserve"> mutatis mutandis, </w:t>
      </w:r>
      <w:r w:rsidRPr="007D3F3C">
        <w:rPr>
          <w:rFonts w:ascii="Verdana" w:hAnsi="Verdana"/>
          <w:sz w:val="16"/>
          <w:szCs w:val="16"/>
          <w:lang w:val="en-US"/>
        </w:rPr>
        <w:t xml:space="preserve">Case of </w:t>
      </w:r>
      <w:r w:rsidRPr="007D3F3C">
        <w:rPr>
          <w:rStyle w:val="Textoennegrita"/>
          <w:rFonts w:ascii="Verdana" w:hAnsi="Verdana"/>
          <w:b w:val="0"/>
          <w:i/>
          <w:color w:val="000000"/>
          <w:sz w:val="16"/>
          <w:szCs w:val="16"/>
          <w:shd w:val="clear" w:color="auto" w:fill="FFFFFF"/>
          <w:lang w:val="en-US"/>
        </w:rPr>
        <w:t xml:space="preserve">González et al. </w:t>
      </w:r>
      <w:r w:rsidRPr="007D3F3C">
        <w:rPr>
          <w:rStyle w:val="Textoennegrita"/>
          <w:rFonts w:ascii="Verdana" w:hAnsi="Verdana"/>
          <w:b w:val="0"/>
          <w:i/>
          <w:color w:val="000000"/>
          <w:sz w:val="16"/>
          <w:szCs w:val="16"/>
          <w:shd w:val="clear" w:color="auto" w:fill="FFFFFF"/>
          <w:lang w:val="es-CR"/>
        </w:rPr>
        <w:t xml:space="preserve">(“Cotton Field”) v. </w:t>
      </w:r>
      <w:r w:rsidRPr="007D3F3C">
        <w:rPr>
          <w:rStyle w:val="Textoennegrita"/>
          <w:rFonts w:ascii="Verdana" w:hAnsi="Verdana"/>
          <w:b w:val="0"/>
          <w:i/>
          <w:color w:val="000000"/>
          <w:sz w:val="16"/>
          <w:szCs w:val="16"/>
          <w:shd w:val="clear" w:color="auto" w:fill="FFFFFF"/>
          <w:lang w:val="es-CR"/>
        </w:rPr>
        <w:t>Mexico</w:t>
      </w:r>
      <w:r w:rsidRPr="007D3F3C">
        <w:rPr>
          <w:rFonts w:ascii="Verdana" w:hAnsi="Verdana"/>
          <w:sz w:val="16"/>
          <w:szCs w:val="16"/>
          <w:lang w:val="es-CR"/>
        </w:rPr>
        <w:t xml:space="preserve">, </w:t>
      </w:r>
      <w:r w:rsidRPr="007D3F3C">
        <w:rPr>
          <w:rFonts w:ascii="Verdana" w:hAnsi="Verdana"/>
          <w:i/>
          <w:sz w:val="16"/>
          <w:szCs w:val="16"/>
          <w:lang w:val="es-CR"/>
        </w:rPr>
        <w:t>supra,</w:t>
      </w:r>
      <w:r w:rsidRPr="007D3F3C">
        <w:rPr>
          <w:rFonts w:ascii="Verdana" w:hAnsi="Verdana"/>
          <w:sz w:val="16"/>
          <w:szCs w:val="16"/>
          <w:lang w:val="es-CR"/>
        </w:rPr>
        <w:t xml:space="preserve"> para. </w:t>
      </w:r>
      <w:r w:rsidRPr="007D3F3C">
        <w:rPr>
          <w:rFonts w:ascii="Verdana" w:hAnsi="Verdana"/>
          <w:sz w:val="16"/>
          <w:szCs w:val="16"/>
          <w:lang w:val="en-US"/>
        </w:rPr>
        <w:t>506.</w:t>
      </w:r>
    </w:p>
  </w:footnote>
  <w:footnote w:id="352">
    <w:p w14:paraId="674C98DA"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See, Guatemalan National Institute of Statistics. Available at: </w:t>
      </w:r>
      <w:hyperlink r:id="rId19" w:history="1">
        <w:r w:rsidRPr="007D3F3C">
          <w:rPr>
            <w:rFonts w:ascii="Verdana" w:hAnsi="Verdana"/>
            <w:sz w:val="16"/>
            <w:szCs w:val="16"/>
            <w:lang w:val="en-US"/>
          </w:rPr>
          <w:t>http://www.ine.gob.gt</w:t>
        </w:r>
      </w:hyperlink>
      <w:r w:rsidRPr="007D3F3C">
        <w:rPr>
          <w:rFonts w:ascii="Verdana" w:hAnsi="Verdana"/>
          <w:sz w:val="16"/>
          <w:szCs w:val="16"/>
          <w:lang w:val="en-US"/>
        </w:rPr>
        <w:t xml:space="preserve"> </w:t>
      </w:r>
    </w:p>
  </w:footnote>
  <w:footnote w:id="353">
    <w:p w14:paraId="0090D2EB" w14:textId="77777777" w:rsidR="00576E40" w:rsidRPr="007D3F3C" w:rsidRDefault="00576E40" w:rsidP="00551CA7">
      <w:pPr>
        <w:pStyle w:val="Textonotapie"/>
        <w:tabs>
          <w:tab w:val="left" w:pos="0"/>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ab/>
      </w:r>
      <w:r w:rsidRPr="007D3F3C">
        <w:rPr>
          <w:rFonts w:ascii="Verdana" w:hAnsi="Verdana"/>
          <w:i/>
          <w:sz w:val="16"/>
          <w:szCs w:val="16"/>
          <w:lang w:val="es-CR"/>
        </w:rPr>
        <w:t xml:space="preserve">Cf. </w:t>
      </w:r>
      <w:r w:rsidRPr="007D3F3C">
        <w:rPr>
          <w:rFonts w:ascii="Verdana" w:hAnsi="Verdana"/>
          <w:sz w:val="16"/>
          <w:szCs w:val="16"/>
          <w:lang w:val="es-CR"/>
        </w:rPr>
        <w:t xml:space="preserve">Case of </w:t>
      </w:r>
      <w:r w:rsidRPr="007D3F3C">
        <w:rPr>
          <w:rFonts w:ascii="Verdana" w:hAnsi="Verdana"/>
          <w:i/>
          <w:sz w:val="16"/>
          <w:szCs w:val="16"/>
          <w:lang w:val="es-CR"/>
        </w:rPr>
        <w:t>Veliz Franco et al. v. Guatemala, supra,</w:t>
      </w:r>
      <w:r w:rsidRPr="007D3F3C">
        <w:rPr>
          <w:rFonts w:ascii="Verdana" w:hAnsi="Verdana"/>
          <w:sz w:val="16"/>
          <w:szCs w:val="16"/>
          <w:lang w:val="es-CR"/>
        </w:rPr>
        <w:t xml:space="preserve"> para. </w:t>
      </w:r>
      <w:r w:rsidRPr="007D3F3C">
        <w:rPr>
          <w:rFonts w:ascii="Verdana" w:hAnsi="Verdana"/>
          <w:sz w:val="16"/>
          <w:szCs w:val="16"/>
          <w:lang w:val="en-US"/>
        </w:rPr>
        <w:t>276.</w:t>
      </w:r>
    </w:p>
  </w:footnote>
  <w:footnote w:id="354">
    <w:p w14:paraId="4EF82E2D" w14:textId="77777777" w:rsidR="00576E40" w:rsidRPr="007D3F3C" w:rsidRDefault="00576E40" w:rsidP="00551CA7">
      <w:pPr>
        <w:tabs>
          <w:tab w:val="left" w:pos="720"/>
        </w:tabs>
        <w:spacing w:after="0" w:line="240" w:lineRule="auto"/>
        <w:jc w:val="both"/>
        <w:rPr>
          <w:rFonts w:ascii="Verdana" w:hAnsi="Verdana"/>
          <w:i/>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bCs/>
          <w:i/>
          <w:sz w:val="16"/>
          <w:szCs w:val="16"/>
          <w:lang w:val="en-US"/>
        </w:rPr>
        <w:t>Case of the “Street Children” (Villagrán Morales et al.)</w:t>
      </w:r>
      <w:r w:rsidRPr="007D3F3C">
        <w:rPr>
          <w:rStyle w:val="Textoennegrita"/>
          <w:rFonts w:ascii="Verdana" w:hAnsi="Verdana"/>
          <w:b w:val="0"/>
          <w:i/>
          <w:color w:val="000000"/>
          <w:sz w:val="16"/>
          <w:szCs w:val="16"/>
          <w:shd w:val="clear" w:color="auto" w:fill="FFFFFF"/>
          <w:lang w:val="en-US"/>
        </w:rPr>
        <w:t xml:space="preserve"> v. Guatemala. Reparations and costs</w:t>
      </w:r>
      <w:r w:rsidRPr="007D3F3C">
        <w:rPr>
          <w:rStyle w:val="Textoennegrita"/>
          <w:rFonts w:ascii="Verdana" w:hAnsi="Verdana"/>
          <w:b w:val="0"/>
          <w:color w:val="000000"/>
          <w:sz w:val="16"/>
          <w:szCs w:val="16"/>
          <w:shd w:val="clear" w:color="auto" w:fill="FFFFFF"/>
          <w:lang w:val="en-US"/>
        </w:rPr>
        <w:t>. Judgment of May 26, 2001. Series C No. 77</w:t>
      </w:r>
      <w:r w:rsidRPr="007D3F3C">
        <w:rPr>
          <w:rFonts w:ascii="Verdana" w:hAnsi="Verdana"/>
          <w:bCs/>
          <w:i/>
          <w:sz w:val="16"/>
          <w:szCs w:val="16"/>
          <w:lang w:val="en-US"/>
        </w:rPr>
        <w:t xml:space="preserve">, </w:t>
      </w:r>
      <w:r w:rsidRPr="007D3F3C">
        <w:rPr>
          <w:rFonts w:ascii="Verdana" w:hAnsi="Verdana"/>
          <w:sz w:val="16"/>
          <w:szCs w:val="16"/>
          <w:lang w:val="en-US"/>
        </w:rPr>
        <w:t xml:space="preserve">para. 84, and </w:t>
      </w:r>
      <w:r w:rsidRPr="007D3F3C">
        <w:rPr>
          <w:rStyle w:val="Textoennegrita"/>
          <w:rFonts w:ascii="Verdana" w:hAnsi="Verdana"/>
          <w:b w:val="0"/>
          <w:i/>
          <w:color w:val="000000"/>
          <w:sz w:val="16"/>
          <w:szCs w:val="16"/>
          <w:shd w:val="clear" w:color="auto" w:fill="FFFFFF"/>
          <w:lang w:val="en-US"/>
        </w:rPr>
        <w:t>Case of López Lone et al. v. Honduras</w:t>
      </w:r>
      <w:r w:rsidRPr="007D3F3C">
        <w:rPr>
          <w:rFonts w:ascii="Verdana" w:hAnsi="Verdana"/>
          <w:i/>
          <w:spacing w:val="-4"/>
          <w:sz w:val="16"/>
          <w:szCs w:val="16"/>
          <w:lang w:val="en-US"/>
        </w:rPr>
        <w:t>, supra</w:t>
      </w:r>
      <w:r w:rsidRPr="007D3F3C">
        <w:rPr>
          <w:rFonts w:ascii="Verdana" w:hAnsi="Verdana"/>
          <w:spacing w:val="-4"/>
          <w:sz w:val="16"/>
          <w:szCs w:val="16"/>
          <w:lang w:val="en-US"/>
        </w:rPr>
        <w:t>, para. 320.</w:t>
      </w:r>
    </w:p>
  </w:footnote>
  <w:footnote w:id="355">
    <w:p w14:paraId="22106604" w14:textId="77777777" w:rsidR="00576E40" w:rsidRPr="007D3F3C" w:rsidRDefault="00576E40" w:rsidP="00551CA7">
      <w:pPr>
        <w:pStyle w:val="Textonotapie"/>
        <w:tabs>
          <w:tab w:val="left" w:pos="720"/>
        </w:tabs>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bCs/>
          <w:i/>
          <w:sz w:val="16"/>
          <w:szCs w:val="16"/>
          <w:lang w:val="en-US"/>
        </w:rPr>
        <w:t xml:space="preserve">Case of Cantoral Benavides v. Peru. Reparations and costs. </w:t>
      </w:r>
      <w:r w:rsidRPr="007D3F3C">
        <w:rPr>
          <w:rFonts w:ascii="Verdana" w:hAnsi="Verdana"/>
          <w:sz w:val="16"/>
          <w:szCs w:val="16"/>
          <w:lang w:val="en-US"/>
        </w:rPr>
        <w:t xml:space="preserve">para. 53, and </w:t>
      </w:r>
      <w:r w:rsidRPr="007D3F3C">
        <w:rPr>
          <w:rStyle w:val="Textoennegrita"/>
          <w:rFonts w:ascii="Verdana" w:hAnsi="Verdana"/>
          <w:b w:val="0"/>
          <w:i/>
          <w:color w:val="000000"/>
          <w:sz w:val="16"/>
          <w:szCs w:val="16"/>
          <w:shd w:val="clear" w:color="auto" w:fill="FFFFFF"/>
          <w:lang w:val="en-US"/>
        </w:rPr>
        <w:t>Case of Argüelles et al. v. Argentina. Preliminary objections, merits, reparations and costs</w:t>
      </w:r>
      <w:r w:rsidRPr="007D3F3C">
        <w:rPr>
          <w:rStyle w:val="Textoennegrita"/>
          <w:rFonts w:ascii="Verdana" w:hAnsi="Verdana"/>
          <w:b w:val="0"/>
          <w:color w:val="000000"/>
          <w:sz w:val="16"/>
          <w:szCs w:val="16"/>
          <w:shd w:val="clear" w:color="auto" w:fill="FFFFFF"/>
          <w:lang w:val="en-US"/>
        </w:rPr>
        <w:t>. Judgment of November 20, 2014. Series C No. 288</w:t>
      </w:r>
      <w:r w:rsidRPr="007D3F3C">
        <w:rPr>
          <w:rFonts w:ascii="Verdana" w:hAnsi="Verdana" w:cs="Arial"/>
          <w:i/>
          <w:sz w:val="16"/>
          <w:szCs w:val="16"/>
          <w:lang w:val="en-US"/>
        </w:rPr>
        <w:t>,</w:t>
      </w:r>
      <w:r w:rsidRPr="007D3F3C">
        <w:rPr>
          <w:rFonts w:ascii="Verdana" w:hAnsi="Verdana" w:cs="Arial"/>
          <w:sz w:val="16"/>
          <w:szCs w:val="16"/>
          <w:lang w:val="en-US"/>
        </w:rPr>
        <w:t xml:space="preserve"> para. 286.</w:t>
      </w:r>
    </w:p>
  </w:footnote>
  <w:footnote w:id="356">
    <w:p w14:paraId="6A267B72"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cs="Arial"/>
          <w:i/>
          <w:sz w:val="16"/>
          <w:szCs w:val="16"/>
          <w:lang w:val="en-US"/>
        </w:rPr>
        <w:t>Case of Bámaca Velásquez v. Guatemala. Reparations and costs, supra,</w:t>
      </w:r>
      <w:r w:rsidRPr="007D3F3C">
        <w:rPr>
          <w:rFonts w:ascii="Verdana" w:hAnsi="Verdana" w:cs="Arial"/>
          <w:sz w:val="16"/>
          <w:szCs w:val="16"/>
          <w:lang w:val="en-US"/>
        </w:rPr>
        <w:t xml:space="preserve"> para. 43, and </w:t>
      </w:r>
      <w:r w:rsidRPr="007D3F3C">
        <w:rPr>
          <w:rStyle w:val="Textoennegrita"/>
          <w:rFonts w:ascii="Verdana" w:hAnsi="Verdana"/>
          <w:b w:val="0"/>
          <w:i/>
          <w:color w:val="000000"/>
          <w:sz w:val="16"/>
          <w:szCs w:val="16"/>
          <w:shd w:val="clear" w:color="auto" w:fill="FFFFFF"/>
          <w:lang w:val="en-US"/>
        </w:rPr>
        <w:t>Case of López Lone et al. v. Honduras. Preliminary objection, merits, reparations and costs.</w:t>
      </w:r>
      <w:r w:rsidRPr="007D3F3C">
        <w:rPr>
          <w:rStyle w:val="Textoennegrita"/>
          <w:rFonts w:ascii="Verdana" w:hAnsi="Verdana"/>
          <w:b w:val="0"/>
          <w:color w:val="000000"/>
          <w:sz w:val="16"/>
          <w:szCs w:val="16"/>
          <w:shd w:val="clear" w:color="auto" w:fill="FFFFFF"/>
          <w:lang w:val="en-US"/>
        </w:rPr>
        <w:t xml:space="preserve"> Judgment of October 5, 2015. Series C No. 302</w:t>
      </w:r>
      <w:r w:rsidRPr="007D3F3C">
        <w:rPr>
          <w:rFonts w:ascii="Verdana" w:hAnsi="Verdana" w:cs="Arial"/>
          <w:b/>
          <w:sz w:val="16"/>
          <w:szCs w:val="16"/>
          <w:lang w:val="en-US"/>
        </w:rPr>
        <w:t>,</w:t>
      </w:r>
      <w:r w:rsidRPr="007D3F3C">
        <w:rPr>
          <w:rFonts w:ascii="Verdana" w:hAnsi="Verdana" w:cs="Arial"/>
          <w:sz w:val="16"/>
          <w:szCs w:val="16"/>
          <w:lang w:val="en-US"/>
        </w:rPr>
        <w:t xml:space="preserve"> para. 314.</w:t>
      </w:r>
    </w:p>
  </w:footnote>
  <w:footnote w:id="357">
    <w:p w14:paraId="615AB601"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the Independent Actuary of July 31, 2014 (evidence file, folios, 2683 to 2685).</w:t>
      </w:r>
    </w:p>
  </w:footnote>
  <w:footnote w:id="358">
    <w:p w14:paraId="70052C49"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Report of the Independent Actuary of July 31, 2014 (evidence file, folios, 2679 to 2681).</w:t>
      </w:r>
    </w:p>
  </w:footnote>
  <w:footnote w:id="359">
    <w:p w14:paraId="1180EA41"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Statement made before the Inter-American Court by Jorge Rolando Velásquez Durán during the public hearing held on April 21 and 22, 2015; Affidavit prepared by Elsa Claudina Paiz Vidal on April 9, 2015 (evidence file, folio 6701), and Affidavit prepared by Pablo Andrés Velásquez Paiz on April 9, 2015 (evidence file, folio 6689).</w:t>
      </w:r>
    </w:p>
  </w:footnote>
  <w:footnote w:id="360">
    <w:p w14:paraId="19A76B4D"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i/>
          <w:sz w:val="16"/>
          <w:szCs w:val="16"/>
          <w:lang w:val="en-US"/>
        </w:rPr>
        <w:t xml:space="preserve">Cf. </w:t>
      </w:r>
      <w:r w:rsidRPr="007D3F3C">
        <w:rPr>
          <w:rFonts w:ascii="Verdana" w:hAnsi="Verdana"/>
          <w:sz w:val="16"/>
          <w:szCs w:val="16"/>
          <w:lang w:val="en-US"/>
        </w:rPr>
        <w:t>Psychiatric assessment of Jorge Rolando Velásquez Durán of October 21, 2009 (</w:t>
      </w:r>
      <w:r w:rsidRPr="007D3F3C">
        <w:rPr>
          <w:rFonts w:ascii="Verdana" w:hAnsi="Verdana"/>
          <w:color w:val="000000"/>
          <w:sz w:val="16"/>
          <w:szCs w:val="16"/>
          <w:lang w:val="en-US"/>
        </w:rPr>
        <w:t>evidence file, folios 197 to 204</w:t>
      </w:r>
      <w:r w:rsidRPr="007D3F3C">
        <w:rPr>
          <w:rFonts w:ascii="Verdana" w:hAnsi="Verdana"/>
          <w:sz w:val="16"/>
          <w:szCs w:val="16"/>
          <w:lang w:val="en-US"/>
        </w:rPr>
        <w:t>); Psychiatric assessment of Elsa Claudina Paiz Vidal of December 2, 2010 (</w:t>
      </w:r>
      <w:r w:rsidRPr="007D3F3C">
        <w:rPr>
          <w:rFonts w:ascii="Verdana" w:hAnsi="Verdana"/>
          <w:color w:val="000000"/>
          <w:sz w:val="16"/>
          <w:szCs w:val="16"/>
          <w:lang w:val="en-US"/>
        </w:rPr>
        <w:t>evidence file, folios 205 to 211).</w:t>
      </w:r>
    </w:p>
  </w:footnote>
  <w:footnote w:id="361">
    <w:p w14:paraId="46CC187A" w14:textId="77777777" w:rsidR="00576E40" w:rsidRPr="007D3F3C" w:rsidRDefault="00576E40" w:rsidP="00551CA7">
      <w:pPr>
        <w:pStyle w:val="Textonotapie"/>
        <w:tabs>
          <w:tab w:val="left" w:pos="720"/>
        </w:tabs>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Affidavit prepared by Elsa Claudina Paiz Vidal on April 9, 2015 (evidence file, folios 6702 and 6703), and Affidavit prepared by Pablo Andrés Velásquez Paiz on April 9, 2015 (evidence file, folios 6690 and 6691).</w:t>
      </w:r>
    </w:p>
  </w:footnote>
  <w:footnote w:id="362">
    <w:p w14:paraId="1ED3E04E" w14:textId="77777777" w:rsidR="00576E40" w:rsidRPr="007D3F3C" w:rsidRDefault="00576E40" w:rsidP="00551CA7">
      <w:pPr>
        <w:pStyle w:val="Textonotapie"/>
        <w:tabs>
          <w:tab w:val="left" w:pos="720"/>
        </w:tabs>
        <w:contextualSpacing/>
        <w:jc w:val="both"/>
        <w:rPr>
          <w:rFonts w:ascii="Verdana" w:hAnsi="Verdana"/>
          <w:spacing w:val="-6"/>
          <w:sz w:val="16"/>
          <w:szCs w:val="16"/>
          <w:lang w:val="en-US"/>
        </w:rPr>
      </w:pPr>
      <w:r w:rsidRPr="007D3F3C">
        <w:rPr>
          <w:rStyle w:val="Refdenotaalpie"/>
          <w:rFonts w:ascii="Verdana" w:hAnsi="Verdana"/>
          <w:spacing w:val="-6"/>
          <w:sz w:val="16"/>
          <w:szCs w:val="16"/>
          <w:lang w:val="en-US"/>
        </w:rPr>
        <w:footnoteRef/>
      </w:r>
      <w:r w:rsidRPr="007D3F3C">
        <w:rPr>
          <w:rFonts w:ascii="Verdana" w:hAnsi="Verdana"/>
          <w:spacing w:val="-6"/>
          <w:sz w:val="16"/>
          <w:szCs w:val="16"/>
          <w:lang w:val="en-US"/>
        </w:rPr>
        <w:t xml:space="preserve"> </w:t>
      </w:r>
      <w:r w:rsidRPr="007D3F3C">
        <w:rPr>
          <w:rFonts w:ascii="Verdana" w:hAnsi="Verdana"/>
          <w:spacing w:val="-6"/>
          <w:sz w:val="16"/>
          <w:szCs w:val="16"/>
          <w:lang w:val="en-US"/>
        </w:rPr>
        <w:tab/>
      </w:r>
      <w:r w:rsidRPr="007D3F3C">
        <w:rPr>
          <w:rFonts w:ascii="Verdana" w:hAnsi="Verdana"/>
          <w:bCs/>
          <w:i/>
          <w:spacing w:val="-6"/>
          <w:sz w:val="16"/>
          <w:szCs w:val="16"/>
          <w:lang w:val="en-US"/>
        </w:rPr>
        <w:t>Cf. Case of Garrido and Baigorria v. Argentina. Reparations and costs</w:t>
      </w:r>
      <w:r w:rsidRPr="007D3F3C">
        <w:rPr>
          <w:rFonts w:ascii="Verdana" w:hAnsi="Verdana"/>
          <w:b/>
          <w:bCs/>
          <w:i/>
          <w:spacing w:val="-6"/>
          <w:sz w:val="16"/>
          <w:szCs w:val="16"/>
          <w:lang w:val="en-US"/>
        </w:rPr>
        <w:t xml:space="preserve">. </w:t>
      </w:r>
      <w:r w:rsidRPr="007D3F3C">
        <w:rPr>
          <w:rStyle w:val="Textoennegrita"/>
          <w:rFonts w:ascii="Verdana" w:hAnsi="Verdana"/>
          <w:b w:val="0"/>
          <w:color w:val="000000"/>
          <w:sz w:val="16"/>
          <w:szCs w:val="16"/>
          <w:shd w:val="clear" w:color="auto" w:fill="FFFFFF"/>
          <w:lang w:val="en-US"/>
        </w:rPr>
        <w:t xml:space="preserve">Judgment of August 27, 1998. </w:t>
      </w:r>
      <w:r w:rsidRPr="007D3F3C">
        <w:rPr>
          <w:rStyle w:val="Textoennegrita"/>
          <w:rFonts w:ascii="Verdana" w:hAnsi="Verdana"/>
          <w:b w:val="0"/>
          <w:color w:val="000000"/>
          <w:sz w:val="16"/>
          <w:szCs w:val="16"/>
          <w:shd w:val="clear" w:color="auto" w:fill="FFFFFF"/>
          <w:lang w:val="es-CR"/>
        </w:rPr>
        <w:t>Series C No. 39</w:t>
      </w:r>
      <w:r w:rsidRPr="007D3F3C">
        <w:rPr>
          <w:rFonts w:ascii="Verdana" w:hAnsi="Verdana"/>
          <w:b/>
          <w:spacing w:val="-6"/>
          <w:sz w:val="16"/>
          <w:szCs w:val="16"/>
          <w:lang w:val="es-CR"/>
        </w:rPr>
        <w:t>,</w:t>
      </w:r>
      <w:r w:rsidRPr="007D3F3C">
        <w:rPr>
          <w:rFonts w:ascii="Verdana" w:hAnsi="Verdana"/>
          <w:spacing w:val="-6"/>
          <w:sz w:val="16"/>
          <w:szCs w:val="16"/>
          <w:lang w:val="es-CR"/>
        </w:rPr>
        <w:t xml:space="preserve"> para. 82</w:t>
      </w:r>
      <w:r w:rsidRPr="007D3F3C">
        <w:rPr>
          <w:rFonts w:ascii="Verdana" w:hAnsi="Verdana"/>
          <w:bCs/>
          <w:spacing w:val="-6"/>
          <w:sz w:val="16"/>
          <w:szCs w:val="16"/>
          <w:lang w:val="es-CR"/>
        </w:rPr>
        <w:t xml:space="preserve">, </w:t>
      </w:r>
      <w:r w:rsidRPr="007D3F3C">
        <w:rPr>
          <w:rFonts w:ascii="Verdana" w:hAnsi="Verdana"/>
          <w:bCs/>
          <w:i/>
          <w:spacing w:val="-6"/>
          <w:sz w:val="16"/>
          <w:szCs w:val="16"/>
          <w:lang w:val="es-CR"/>
        </w:rPr>
        <w:t xml:space="preserve">Case of </w:t>
      </w:r>
      <w:r w:rsidRPr="007D3F3C">
        <w:rPr>
          <w:rStyle w:val="Textoennegrita"/>
          <w:rFonts w:ascii="Verdana" w:hAnsi="Verdana"/>
          <w:b w:val="0"/>
          <w:i/>
          <w:color w:val="000000"/>
          <w:sz w:val="16"/>
          <w:szCs w:val="16"/>
          <w:shd w:val="clear" w:color="auto" w:fill="FFFFFF"/>
          <w:lang w:val="es-CR"/>
        </w:rPr>
        <w:t>Omar Humberto Maldonado Vargas et al. v. Chile.</w:t>
      </w:r>
      <w:r w:rsidRPr="007D3F3C">
        <w:rPr>
          <w:rStyle w:val="Textoennegrita"/>
          <w:rFonts w:ascii="Verdana" w:hAnsi="Verdana"/>
          <w:b w:val="0"/>
          <w:color w:val="000000"/>
          <w:sz w:val="16"/>
          <w:szCs w:val="16"/>
          <w:shd w:val="clear" w:color="auto" w:fill="FFFFFF"/>
          <w:lang w:val="es-CR"/>
        </w:rPr>
        <w:t xml:space="preserve"> </w:t>
      </w:r>
      <w:r w:rsidRPr="007D3F3C">
        <w:rPr>
          <w:rStyle w:val="Textoennegrita"/>
          <w:rFonts w:ascii="Verdana" w:hAnsi="Verdana"/>
          <w:b w:val="0"/>
          <w:color w:val="000000"/>
          <w:sz w:val="16"/>
          <w:szCs w:val="16"/>
          <w:shd w:val="clear" w:color="auto" w:fill="FFFFFF"/>
          <w:lang w:val="en-US"/>
        </w:rPr>
        <w:t>Merits, reparations and costs. Judgment of September 2, 2015. Series C No. 300</w:t>
      </w:r>
      <w:r w:rsidRPr="007D3F3C">
        <w:rPr>
          <w:rFonts w:ascii="Verdana" w:hAnsi="Verdana"/>
          <w:bCs/>
          <w:spacing w:val="-6"/>
          <w:sz w:val="16"/>
          <w:szCs w:val="16"/>
          <w:lang w:val="en-US"/>
        </w:rPr>
        <w:t>, para. 181.</w:t>
      </w:r>
    </w:p>
  </w:footnote>
  <w:footnote w:id="363">
    <w:p w14:paraId="4150DDF6" w14:textId="77777777" w:rsidR="00576E40" w:rsidRPr="007D3F3C" w:rsidRDefault="00576E40" w:rsidP="00551CA7">
      <w:pPr>
        <w:pStyle w:val="Textonotapie"/>
        <w:tabs>
          <w:tab w:val="left" w:pos="720"/>
        </w:tabs>
        <w:contextualSpacing/>
        <w:jc w:val="both"/>
        <w:rPr>
          <w:rFonts w:ascii="Verdana" w:hAnsi="Verdana"/>
          <w:spacing w:val="-6"/>
          <w:sz w:val="16"/>
          <w:szCs w:val="16"/>
          <w:lang w:val="en-US"/>
        </w:rPr>
      </w:pPr>
      <w:r w:rsidRPr="007D3F3C">
        <w:rPr>
          <w:rStyle w:val="Refdenotaalpie"/>
          <w:rFonts w:ascii="Verdana" w:hAnsi="Verdana"/>
          <w:spacing w:val="-6"/>
          <w:sz w:val="16"/>
          <w:szCs w:val="16"/>
          <w:lang w:val="en-US"/>
        </w:rPr>
        <w:footnoteRef/>
      </w:r>
      <w:r w:rsidRPr="007D3F3C">
        <w:rPr>
          <w:rFonts w:ascii="Verdana" w:hAnsi="Verdana"/>
          <w:spacing w:val="-6"/>
          <w:sz w:val="16"/>
          <w:szCs w:val="16"/>
          <w:lang w:val="en-US"/>
        </w:rPr>
        <w:t xml:space="preserve"> </w:t>
      </w:r>
      <w:r w:rsidRPr="007D3F3C">
        <w:rPr>
          <w:rFonts w:ascii="Verdana" w:hAnsi="Verdana"/>
          <w:spacing w:val="-6"/>
          <w:sz w:val="16"/>
          <w:szCs w:val="16"/>
          <w:lang w:val="en-US"/>
        </w:rPr>
        <w:tab/>
      </w:r>
      <w:r w:rsidRPr="007D3F3C">
        <w:rPr>
          <w:rFonts w:ascii="Verdana" w:hAnsi="Verdana"/>
          <w:i/>
          <w:spacing w:val="-6"/>
          <w:sz w:val="16"/>
          <w:szCs w:val="16"/>
          <w:lang w:val="en-US"/>
        </w:rPr>
        <w:t>Cf.</w:t>
      </w:r>
      <w:r w:rsidRPr="007D3F3C">
        <w:rPr>
          <w:rFonts w:ascii="Verdana" w:hAnsi="Verdana"/>
          <w:spacing w:val="-6"/>
          <w:sz w:val="16"/>
          <w:szCs w:val="16"/>
          <w:lang w:val="en-US"/>
        </w:rPr>
        <w:t xml:space="preserve"> </w:t>
      </w:r>
      <w:r w:rsidRPr="007D3F3C">
        <w:rPr>
          <w:rFonts w:ascii="Verdana" w:hAnsi="Verdana"/>
          <w:i/>
          <w:spacing w:val="-6"/>
          <w:sz w:val="16"/>
          <w:szCs w:val="16"/>
          <w:lang w:val="en-US"/>
        </w:rPr>
        <w:t xml:space="preserve">Case of Chaparro Álvarez and Lapo Íñiguez. v. Ecuador. </w:t>
      </w:r>
      <w:r w:rsidRPr="007D3F3C">
        <w:rPr>
          <w:rStyle w:val="Textoennegrita"/>
          <w:rFonts w:ascii="Verdana" w:hAnsi="Verdana"/>
          <w:b w:val="0"/>
          <w:i/>
          <w:iCs/>
          <w:color w:val="000000"/>
          <w:sz w:val="16"/>
          <w:szCs w:val="16"/>
          <w:shd w:val="clear" w:color="auto" w:fill="FFFFFF"/>
          <w:lang w:val="en-US"/>
        </w:rPr>
        <w:t>Preliminary objections, merits, reparations and costs.</w:t>
      </w:r>
      <w:r w:rsidRPr="007D3F3C">
        <w:rPr>
          <w:rStyle w:val="Textoennegrita"/>
          <w:rFonts w:ascii="Verdana" w:hAnsi="Verdana"/>
          <w:b w:val="0"/>
          <w:color w:val="000000"/>
          <w:sz w:val="16"/>
          <w:szCs w:val="16"/>
          <w:shd w:val="clear" w:color="auto" w:fill="FFFFFF"/>
          <w:lang w:val="en-US"/>
        </w:rPr>
        <w:t xml:space="preserve"> Judgment of November 21, 2007. Series C No. 170,</w:t>
      </w:r>
      <w:r w:rsidRPr="007D3F3C">
        <w:rPr>
          <w:rFonts w:ascii="Verdana" w:hAnsi="Verdana"/>
          <w:spacing w:val="-6"/>
          <w:sz w:val="16"/>
          <w:szCs w:val="16"/>
          <w:lang w:val="en-US"/>
        </w:rPr>
        <w:t xml:space="preserve"> para. 275, and </w:t>
      </w:r>
      <w:r w:rsidRPr="007D3F3C">
        <w:rPr>
          <w:rFonts w:ascii="Verdana" w:hAnsi="Verdana"/>
          <w:bCs/>
          <w:i/>
          <w:spacing w:val="-6"/>
          <w:sz w:val="16"/>
          <w:szCs w:val="16"/>
          <w:lang w:val="en-US"/>
        </w:rPr>
        <w:t xml:space="preserve">Case of </w:t>
      </w:r>
      <w:r w:rsidRPr="007D3F3C">
        <w:rPr>
          <w:rStyle w:val="Textoennegrita"/>
          <w:rFonts w:ascii="Verdana" w:hAnsi="Verdana"/>
          <w:b w:val="0"/>
          <w:i/>
          <w:iCs/>
          <w:color w:val="000000"/>
          <w:sz w:val="16"/>
          <w:szCs w:val="16"/>
          <w:shd w:val="clear" w:color="auto" w:fill="FFFFFF"/>
          <w:lang w:val="en-US"/>
        </w:rPr>
        <w:t>the Santa Bárbara Campesino Community v. Peru. Preliminary objections, merits, reparations and costs</w:t>
      </w:r>
      <w:r w:rsidRPr="007D3F3C">
        <w:rPr>
          <w:rStyle w:val="Textoennegrita"/>
          <w:rFonts w:ascii="Verdana" w:hAnsi="Verdana"/>
          <w:b w:val="0"/>
          <w:color w:val="000000"/>
          <w:sz w:val="16"/>
          <w:szCs w:val="16"/>
          <w:shd w:val="clear" w:color="auto" w:fill="FFFFFF"/>
          <w:lang w:val="en-US"/>
        </w:rPr>
        <w:t>. Judgment of September 1, 2015. Series C No. 299</w:t>
      </w:r>
      <w:r w:rsidRPr="007D3F3C">
        <w:rPr>
          <w:rFonts w:ascii="Verdana" w:hAnsi="Verdana"/>
          <w:bCs/>
          <w:i/>
          <w:spacing w:val="-6"/>
          <w:sz w:val="16"/>
          <w:szCs w:val="16"/>
          <w:lang w:val="en-US"/>
        </w:rPr>
        <w:t xml:space="preserve">, </w:t>
      </w:r>
      <w:r w:rsidRPr="007D3F3C">
        <w:rPr>
          <w:rFonts w:ascii="Verdana" w:hAnsi="Verdana"/>
          <w:bCs/>
          <w:spacing w:val="-6"/>
          <w:sz w:val="16"/>
          <w:szCs w:val="16"/>
          <w:lang w:val="en-US"/>
        </w:rPr>
        <w:t>para. 347.</w:t>
      </w:r>
    </w:p>
  </w:footnote>
  <w:footnote w:id="364">
    <w:p w14:paraId="5660071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http://www.theguardian.com/fashion/fashion-blog/2014/feb/28/uganda-miniskirt-ban-attacks-women</w:t>
      </w:r>
    </w:p>
  </w:footnote>
  <w:footnote w:id="365">
    <w:p w14:paraId="3CFD370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http://www.ipea.gov.br/portal/images/stories/PDFs/SIPS/140327_sips_violencia_mulheres_novo.pdf</w:t>
      </w:r>
    </w:p>
  </w:footnote>
  <w:footnote w:id="366">
    <w:p w14:paraId="5934E56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http://www.unwomen.org/en/news/stories/2013/2/un-women-supported-survey-in-delhi</w:t>
      </w:r>
    </w:p>
  </w:footnote>
  <w:footnote w:id="367">
    <w:p w14:paraId="5D52774A" w14:textId="77777777" w:rsidR="00576E40" w:rsidRPr="007D3F3C" w:rsidRDefault="00576E40" w:rsidP="00551CA7">
      <w:pPr>
        <w:pStyle w:val="Textonotapie"/>
        <w:tabs>
          <w:tab w:val="left" w:pos="720"/>
          <w:tab w:val="left" w:pos="8280"/>
        </w:tabs>
        <w:jc w:val="both"/>
        <w:rPr>
          <w:rFonts w:ascii="Verdana" w:hAnsi="Verdana"/>
          <w:bCs/>
          <w:color w:val="000000"/>
          <w:sz w:val="16"/>
          <w:szCs w:val="16"/>
          <w:shd w:val="clear" w:color="auto" w:fill="FFFFFF"/>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 xml:space="preserve"> </w:t>
      </w:r>
      <w:r w:rsidRPr="007D3F3C">
        <w:rPr>
          <w:rFonts w:ascii="Verdana" w:hAnsi="Verdana"/>
          <w:i/>
          <w:spacing w:val="-4"/>
          <w:sz w:val="16"/>
          <w:szCs w:val="16"/>
          <w:lang w:val="es-CR"/>
        </w:rPr>
        <w:t>Cf.</w:t>
      </w:r>
      <w:r w:rsidRPr="007D3F3C">
        <w:rPr>
          <w:rFonts w:ascii="Verdana" w:hAnsi="Verdana"/>
          <w:sz w:val="16"/>
          <w:szCs w:val="16"/>
          <w:lang w:val="es-CR"/>
        </w:rPr>
        <w:t xml:space="preserve"> </w:t>
      </w:r>
      <w:r w:rsidRPr="007D3F3C">
        <w:rPr>
          <w:rStyle w:val="Textoennegrita"/>
          <w:rFonts w:ascii="Verdana" w:hAnsi="Verdana"/>
          <w:b w:val="0"/>
          <w:i/>
          <w:color w:val="000000"/>
          <w:sz w:val="16"/>
          <w:szCs w:val="16"/>
          <w:shd w:val="clear" w:color="auto" w:fill="FFFFFF"/>
          <w:lang w:val="es-CR"/>
        </w:rPr>
        <w:t>Case of Veliz Franco et al. v. Guatemala</w:t>
      </w:r>
      <w:r w:rsidRPr="007D3F3C">
        <w:rPr>
          <w:rStyle w:val="Textoennegrita"/>
          <w:rFonts w:ascii="Verdana" w:hAnsi="Verdana"/>
          <w:b w:val="0"/>
          <w:color w:val="000000"/>
          <w:sz w:val="16"/>
          <w:szCs w:val="16"/>
          <w:shd w:val="clear" w:color="auto" w:fill="FFFFFF"/>
          <w:lang w:val="es-CR"/>
        </w:rPr>
        <w:t xml:space="preserve">, para. </w:t>
      </w:r>
      <w:r w:rsidRPr="007D3F3C">
        <w:rPr>
          <w:rStyle w:val="Textoennegrita"/>
          <w:rFonts w:ascii="Verdana" w:hAnsi="Verdana"/>
          <w:b w:val="0"/>
          <w:color w:val="000000"/>
          <w:sz w:val="16"/>
          <w:szCs w:val="16"/>
          <w:shd w:val="clear" w:color="auto" w:fill="FFFFFF"/>
          <w:lang w:val="en-US"/>
        </w:rPr>
        <w:t>68. Citing  the Commission for Historical Clarification</w:t>
      </w:r>
      <w:r w:rsidRPr="007D3F3C">
        <w:rPr>
          <w:rFonts w:ascii="Verdana" w:hAnsi="Verdana"/>
          <w:sz w:val="16"/>
          <w:szCs w:val="16"/>
          <w:lang w:val="en-US" w:eastAsia="es-CR"/>
        </w:rPr>
        <w:t>, “</w:t>
      </w:r>
      <w:r w:rsidRPr="007D3F3C">
        <w:rPr>
          <w:rFonts w:ascii="Verdana" w:hAnsi="Verdana"/>
          <w:i/>
          <w:iCs/>
          <w:sz w:val="16"/>
          <w:szCs w:val="16"/>
          <w:lang w:val="en-US" w:eastAsia="es-CR"/>
        </w:rPr>
        <w:t>Guatemala: Memoria del Silencio</w:t>
      </w:r>
      <w:r w:rsidRPr="007D3F3C">
        <w:rPr>
          <w:rFonts w:ascii="Verdana" w:hAnsi="Verdana"/>
          <w:sz w:val="16"/>
          <w:szCs w:val="16"/>
          <w:lang w:val="en-US" w:eastAsia="es-CR"/>
        </w:rPr>
        <w:t>”, volume III, June 1999,</w:t>
      </w:r>
      <w:r w:rsidRPr="007D3F3C">
        <w:rPr>
          <w:rFonts w:ascii="Verdana" w:hAnsi="Verdana"/>
          <w:sz w:val="16"/>
          <w:szCs w:val="16"/>
          <w:lang w:val="en-US"/>
        </w:rPr>
        <w:t xml:space="preserve"> pp. 13 and 27.</w:t>
      </w:r>
      <w:r w:rsidRPr="007D3F3C">
        <w:rPr>
          <w:rFonts w:ascii="Verdana" w:hAnsi="Verdana"/>
          <w:sz w:val="16"/>
          <w:szCs w:val="16"/>
          <w:lang w:val="en-US" w:eastAsia="es-CR"/>
        </w:rPr>
        <w:t xml:space="preserve"> Available at: http://www.iom.int/seguridad-fronteriza/lit/land/cap2_2.pdf</w:t>
      </w:r>
    </w:p>
  </w:footnote>
  <w:footnote w:id="368">
    <w:p w14:paraId="3FB732E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http://www.unwomen.org/en/digital-library/multimedia/2015/11/infographic-violence-against-women</w:t>
      </w:r>
    </w:p>
  </w:footnote>
  <w:footnote w:id="369">
    <w:p w14:paraId="72291D76" w14:textId="77777777" w:rsidR="00576E40" w:rsidRPr="007D3F3C" w:rsidRDefault="00576E40" w:rsidP="00551CA7">
      <w:pPr>
        <w:spacing w:after="0" w:line="240" w:lineRule="auto"/>
        <w:jc w:val="both"/>
        <w:rPr>
          <w:rFonts w:ascii="Verdana" w:hAnsi="Verdana"/>
          <w:b/>
          <w:spacing w:val="-2"/>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Dissenting opinion of </w:t>
      </w:r>
      <w:r w:rsidRPr="007D3F3C">
        <w:rPr>
          <w:rFonts w:ascii="Verdana" w:hAnsi="Verdana"/>
          <w:i/>
          <w:iCs/>
          <w:sz w:val="16"/>
          <w:szCs w:val="16"/>
          <w:lang w:val="en-US"/>
        </w:rPr>
        <w:t>Judge Eduardo Vio Grossi, Case of the</w:t>
      </w:r>
      <w:r w:rsidRPr="007D3F3C">
        <w:rPr>
          <w:rFonts w:ascii="Verdana" w:hAnsi="Verdana"/>
          <w:i/>
          <w:sz w:val="16"/>
          <w:szCs w:val="16"/>
          <w:lang w:val="en-US"/>
        </w:rPr>
        <w:t xml:space="preserve"> Santa Bárbara Campesino Community v. Peru</w:t>
      </w:r>
      <w:r w:rsidRPr="007D3F3C">
        <w:rPr>
          <w:rFonts w:ascii="Verdana" w:hAnsi="Verdana"/>
          <w:sz w:val="16"/>
          <w:szCs w:val="16"/>
          <w:lang w:val="en-US"/>
        </w:rPr>
        <w:t>, Judgment of September 1, 2015</w:t>
      </w:r>
      <w:r w:rsidRPr="007D3F3C">
        <w:rPr>
          <w:rFonts w:ascii="Verdana" w:hAnsi="Verdana"/>
          <w:b/>
          <w:sz w:val="16"/>
          <w:szCs w:val="16"/>
          <w:lang w:val="en-US"/>
        </w:rPr>
        <w:t xml:space="preserve"> </w:t>
      </w:r>
      <w:r w:rsidRPr="007D3F3C">
        <w:rPr>
          <w:rFonts w:ascii="Verdana" w:hAnsi="Verdana"/>
          <w:sz w:val="16"/>
          <w:szCs w:val="16"/>
          <w:lang w:val="en-US"/>
        </w:rPr>
        <w:t>(preliminary objections, merits, reparations and costs);</w:t>
      </w:r>
      <w:r w:rsidRPr="007D3F3C">
        <w:rPr>
          <w:rFonts w:ascii="Verdana" w:hAnsi="Verdana"/>
          <w:b/>
          <w:sz w:val="16"/>
          <w:szCs w:val="16"/>
          <w:lang w:val="en-US"/>
        </w:rPr>
        <w:t xml:space="preserve"> </w:t>
      </w:r>
      <w:r w:rsidRPr="007D3F3C">
        <w:rPr>
          <w:rFonts w:ascii="Verdana" w:hAnsi="Verdana" w:cs="Calibri"/>
          <w:sz w:val="16"/>
          <w:szCs w:val="16"/>
          <w:lang w:val="en-US"/>
        </w:rPr>
        <w:t>Dissenting opinion</w:t>
      </w:r>
      <w:r w:rsidRPr="007D3F3C">
        <w:rPr>
          <w:rStyle w:val="SubttuloCar"/>
          <w:rFonts w:ascii="Verdana" w:hAnsi="Verdana"/>
          <w:i w:val="0"/>
          <w:color w:val="auto"/>
          <w:spacing w:val="0"/>
          <w:sz w:val="16"/>
          <w:szCs w:val="16"/>
          <w:lang w:val="en-US"/>
        </w:rPr>
        <w:t xml:space="preserve"> of Judge Eduardo Vio Grossi</w:t>
      </w:r>
      <w:r w:rsidRPr="007D3F3C">
        <w:rPr>
          <w:rStyle w:val="SubttuloCar"/>
          <w:rFonts w:ascii="Verdana" w:hAnsi="Verdana"/>
          <w:color w:val="auto"/>
          <w:spacing w:val="0"/>
          <w:sz w:val="16"/>
          <w:szCs w:val="16"/>
          <w:lang w:val="en-US"/>
        </w:rPr>
        <w:t xml:space="preserve">, Case of </w:t>
      </w:r>
      <w:r w:rsidRPr="007D3F3C">
        <w:rPr>
          <w:rFonts w:ascii="Verdana" w:hAnsi="Verdana"/>
          <w:i/>
          <w:iCs/>
          <w:sz w:val="16"/>
          <w:szCs w:val="16"/>
          <w:lang w:val="en-US"/>
        </w:rPr>
        <w:t>Wong Ho Wing v. Peru</w:t>
      </w:r>
      <w:r w:rsidRPr="007D3F3C">
        <w:rPr>
          <w:rStyle w:val="SubttuloCar"/>
          <w:rFonts w:ascii="Verdana" w:hAnsi="Verdana"/>
          <w:color w:val="auto"/>
          <w:spacing w:val="0"/>
          <w:sz w:val="16"/>
          <w:szCs w:val="16"/>
          <w:lang w:val="en-US"/>
        </w:rPr>
        <w:t xml:space="preserve">, </w:t>
      </w:r>
      <w:r w:rsidRPr="007D3F3C">
        <w:rPr>
          <w:rStyle w:val="SubttuloCar"/>
          <w:rFonts w:ascii="Verdana" w:hAnsi="Verdana"/>
          <w:i w:val="0"/>
          <w:color w:val="auto"/>
          <w:spacing w:val="0"/>
          <w:sz w:val="16"/>
          <w:szCs w:val="16"/>
          <w:lang w:val="en-US"/>
        </w:rPr>
        <w:t>Judgment of June 30, 2015 (preliminary objection, merits, reparations and costs</w:t>
      </w:r>
      <w:r w:rsidRPr="007D3F3C">
        <w:rPr>
          <w:rFonts w:ascii="Verdana" w:hAnsi="Verdana" w:cs="Calibri"/>
          <w:snapToGrid w:val="0"/>
          <w:sz w:val="16"/>
          <w:szCs w:val="16"/>
          <w:lang w:val="en-US"/>
        </w:rPr>
        <w:t xml:space="preserve">); </w:t>
      </w:r>
      <w:r w:rsidRPr="007D3F3C">
        <w:rPr>
          <w:rFonts w:ascii="Verdana" w:hAnsi="Verdana" w:cs="Calibri"/>
          <w:sz w:val="16"/>
          <w:szCs w:val="16"/>
          <w:lang w:val="en-US"/>
        </w:rPr>
        <w:t xml:space="preserve">Dissenting opinion of Judge Eduardo Vio Grossi, </w:t>
      </w:r>
      <w:r w:rsidRPr="007D3F3C">
        <w:rPr>
          <w:rFonts w:ascii="Verdana" w:hAnsi="Verdana" w:cs="Calibri"/>
          <w:i/>
          <w:sz w:val="16"/>
          <w:szCs w:val="16"/>
          <w:lang w:val="en-US"/>
        </w:rPr>
        <w:t>Case of Cruz Sánchez et al. v. Peru</w:t>
      </w:r>
      <w:r w:rsidRPr="007D3F3C">
        <w:rPr>
          <w:rFonts w:ascii="Verdana" w:hAnsi="Verdana" w:cs="Calibri"/>
          <w:sz w:val="16"/>
          <w:szCs w:val="16"/>
          <w:lang w:val="en-US"/>
        </w:rPr>
        <w:t xml:space="preserve">, Judgment of April 17, 2015 </w:t>
      </w:r>
      <w:r w:rsidRPr="007D3F3C">
        <w:rPr>
          <w:rFonts w:ascii="Verdana" w:hAnsi="Verdana" w:cs="Calibri"/>
          <w:snapToGrid w:val="0"/>
          <w:sz w:val="16"/>
          <w:szCs w:val="16"/>
          <w:lang w:val="en-US"/>
        </w:rPr>
        <w:t xml:space="preserve">(preliminary objections, merits, reparations and costs); Dissenting opinion of Judge Eduardo Vio Grossi, </w:t>
      </w:r>
      <w:r w:rsidRPr="007D3F3C">
        <w:rPr>
          <w:rFonts w:ascii="Verdana" w:hAnsi="Verdana" w:cs="Calibri"/>
          <w:i/>
          <w:snapToGrid w:val="0"/>
          <w:sz w:val="16"/>
          <w:szCs w:val="16"/>
          <w:lang w:val="en-US"/>
        </w:rPr>
        <w:t>Case of Liakat Ali Alibux v. Suriname</w:t>
      </w:r>
      <w:r w:rsidRPr="007D3F3C">
        <w:rPr>
          <w:rFonts w:ascii="Verdana" w:hAnsi="Verdana" w:cs="Calibri"/>
          <w:snapToGrid w:val="0"/>
          <w:sz w:val="16"/>
          <w:szCs w:val="16"/>
          <w:lang w:val="en-US"/>
        </w:rPr>
        <w:t xml:space="preserve">, Judgment of January 30, 2014 (preliminary objections, merits, reparations and costs), and </w:t>
      </w:r>
      <w:r w:rsidRPr="007D3F3C">
        <w:rPr>
          <w:rFonts w:ascii="Verdana" w:hAnsi="Verdana" w:cs="Calibri"/>
          <w:sz w:val="16"/>
          <w:szCs w:val="16"/>
          <w:lang w:val="en-US"/>
        </w:rPr>
        <w:t xml:space="preserve">Dissenting opinion of Judge Eduardo Vio Grossi, </w:t>
      </w:r>
      <w:r w:rsidRPr="007D3F3C">
        <w:rPr>
          <w:rFonts w:ascii="Verdana" w:hAnsi="Verdana" w:cs="Calibri"/>
          <w:i/>
          <w:sz w:val="16"/>
          <w:szCs w:val="16"/>
          <w:lang w:val="en-US"/>
        </w:rPr>
        <w:t>Case of Díaz Peña v. Venezuela,</w:t>
      </w:r>
      <w:r w:rsidRPr="007D3F3C">
        <w:rPr>
          <w:rFonts w:ascii="Verdana" w:hAnsi="Verdana" w:cs="Calibri"/>
          <w:sz w:val="16"/>
          <w:szCs w:val="16"/>
          <w:lang w:val="en-US"/>
        </w:rPr>
        <w:t xml:space="preserve"> Judgment of June 26, 2012 (preliminary objection, merits, reparations and costs). </w:t>
      </w:r>
    </w:p>
    <w:p w14:paraId="2E5C2BA2" w14:textId="77777777" w:rsidR="00576E40" w:rsidRPr="007D3F3C" w:rsidRDefault="00576E40" w:rsidP="00551CA7">
      <w:pPr>
        <w:pStyle w:val="Textonotapie"/>
        <w:rPr>
          <w:rFonts w:ascii="Verdana" w:hAnsi="Verdana"/>
          <w:sz w:val="16"/>
          <w:szCs w:val="16"/>
          <w:lang w:val="en-US"/>
        </w:rPr>
      </w:pPr>
    </w:p>
  </w:footnote>
  <w:footnote w:id="370">
    <w:p w14:paraId="2102B1C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Preamble of the </w:t>
      </w:r>
      <w:r w:rsidRPr="007D3F3C">
        <w:rPr>
          <w:rFonts w:ascii="Verdana" w:eastAsia="Calibri" w:hAnsi="Verdana"/>
          <w:sz w:val="16"/>
          <w:szCs w:val="16"/>
          <w:lang w:val="en-US" w:eastAsia="es-PA"/>
        </w:rPr>
        <w:t>Inter-American Convention on the Prevention, Punishment and Eradication of Violence against Women</w:t>
      </w:r>
      <w:r w:rsidRPr="007D3F3C">
        <w:rPr>
          <w:rFonts w:ascii="Verdana" w:eastAsia="Calibri" w:hAnsi="Verdana"/>
          <w:sz w:val="16"/>
          <w:szCs w:val="16"/>
          <w:lang w:val="en-US"/>
        </w:rPr>
        <w:t xml:space="preserve"> </w:t>
      </w:r>
      <w:r w:rsidRPr="007D3F3C">
        <w:rPr>
          <w:rFonts w:ascii="Verdana" w:hAnsi="Verdana"/>
          <w:sz w:val="16"/>
          <w:szCs w:val="16"/>
          <w:lang w:val="en-US"/>
        </w:rPr>
        <w:t>(“Convention of Belém do Pará”), adopted on June 9 1994, during the twenty-fourth General Assembly of the OAS, entered into force on May 5, 1995.</w:t>
      </w:r>
    </w:p>
  </w:footnote>
  <w:footnote w:id="371">
    <w:p w14:paraId="7F6A130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hAnsi="Verdana" w:cs="Arial"/>
          <w:sz w:val="16"/>
          <w:szCs w:val="16"/>
          <w:lang w:val="en-US"/>
        </w:rPr>
        <w:t>Understood as “any act or conduct, based on gender, which causes death or physical, sexual or psychological harm or suffering to women, whether in the public or the private sphere</w:t>
      </w:r>
      <w:r w:rsidRPr="007D3F3C">
        <w:rPr>
          <w:rFonts w:ascii="Verdana" w:hAnsi="Verdana"/>
          <w:sz w:val="16"/>
          <w:szCs w:val="16"/>
          <w:lang w:val="en-US"/>
        </w:rPr>
        <w:t>.” Article 1 of the “Convention of Belém do Pará.”</w:t>
      </w:r>
    </w:p>
  </w:footnote>
  <w:footnote w:id="372">
    <w:p w14:paraId="2368CC2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Judgment of November 16, 2009. Series C No. 205, para. 143.</w:t>
      </w:r>
    </w:p>
  </w:footnote>
  <w:footnote w:id="373">
    <w:p w14:paraId="066DFC6C" w14:textId="77777777" w:rsidR="00576E40" w:rsidRPr="007D3F3C" w:rsidRDefault="00576E40" w:rsidP="00551CA7">
      <w:pPr>
        <w:pStyle w:val="Textonotapie"/>
        <w:jc w:val="both"/>
        <w:rPr>
          <w:rFonts w:ascii="Verdana" w:hAnsi="Verdana"/>
          <w:sz w:val="16"/>
          <w:szCs w:val="16"/>
          <w:lang w:val="es-CR"/>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In the judgments in both cases, the terms “feminicide” and “femicide” were used interchangeably to refer to the “gender-based murder of women.” Also, the two judgments underlined that, in May 2008, Guatemala had enacted the Law against Femicide and other forms of violence against women (Decree No. 22-2008), which criminalized “femicide,” defining this as the “violent death of a woman, occurring in the context of the unequal power relations between women and men, in exercise of gender-based power against women.” See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71, footnote 68; and </w:t>
      </w:r>
      <w:r w:rsidRPr="007D3F3C">
        <w:rPr>
          <w:rStyle w:val="Textoennegrita"/>
          <w:rFonts w:ascii="Verdana" w:hAnsi="Verdana" w:cs="Tahoma"/>
          <w:b w:val="0"/>
          <w:i/>
          <w:sz w:val="16"/>
          <w:szCs w:val="16"/>
          <w:shd w:val="clear" w:color="auto" w:fill="FFFFFF"/>
          <w:lang w:val="en-US"/>
        </w:rPr>
        <w:t xml:space="preserve">Case of Velásquez Paiz et al. v. Guatemala. Preliminary objections, Merits, reparations and costs. </w:t>
      </w:r>
      <w:r w:rsidRPr="007D3F3C">
        <w:rPr>
          <w:rStyle w:val="Textoennegrita"/>
          <w:rFonts w:ascii="Verdana" w:hAnsi="Verdana" w:cs="Tahoma"/>
          <w:b w:val="0"/>
          <w:sz w:val="16"/>
          <w:szCs w:val="16"/>
          <w:shd w:val="clear" w:color="auto" w:fill="FFFFFF"/>
          <w:lang w:val="en-US"/>
        </w:rPr>
        <w:t xml:space="preserve">Judgment of November 19, 2015, Series C No. 307, para. </w:t>
      </w:r>
      <w:r w:rsidRPr="007D3F3C">
        <w:rPr>
          <w:rStyle w:val="Textoennegrita"/>
          <w:rFonts w:ascii="Verdana" w:hAnsi="Verdana" w:cs="Tahoma"/>
          <w:b w:val="0"/>
          <w:sz w:val="16"/>
          <w:szCs w:val="16"/>
          <w:shd w:val="clear" w:color="auto" w:fill="FFFFFF"/>
          <w:lang w:val="es-CR"/>
        </w:rPr>
        <w:t xml:space="preserve">45, </w:t>
      </w:r>
      <w:r w:rsidRPr="007D3F3C">
        <w:rPr>
          <w:rStyle w:val="Textoennegrita"/>
          <w:rFonts w:ascii="Verdana" w:hAnsi="Verdana" w:cs="Tahoma"/>
          <w:b w:val="0"/>
          <w:sz w:val="16"/>
          <w:szCs w:val="16"/>
          <w:shd w:val="clear" w:color="auto" w:fill="FFFFFF"/>
          <w:lang w:val="es-CR"/>
        </w:rPr>
        <w:t>footnote 26.</w:t>
      </w:r>
    </w:p>
  </w:footnote>
  <w:footnote w:id="374">
    <w:p w14:paraId="44796A70" w14:textId="77777777" w:rsidR="00576E40" w:rsidRPr="007D3F3C" w:rsidRDefault="00576E40" w:rsidP="00551CA7">
      <w:pPr>
        <w:pStyle w:val="Textonotapie"/>
        <w:tabs>
          <w:tab w:val="left" w:pos="709"/>
        </w:tabs>
        <w:rPr>
          <w:rFonts w:ascii="Verdana" w:eastAsia="Arial Unicode MS" w:hAnsi="Verdana" w:cs="Arial Unicode MS"/>
          <w:b/>
          <w:bCs/>
          <w:color w:val="000000"/>
          <w:spacing w:val="4"/>
          <w:sz w:val="16"/>
          <w:szCs w:val="16"/>
          <w:bdr w:val="none" w:sz="0" w:space="0" w:color="auto" w:frame="1"/>
          <w:shd w:val="clear" w:color="auto" w:fill="FFFFFF"/>
          <w:lang w:val="en-US"/>
        </w:rPr>
      </w:pPr>
      <w:r w:rsidRPr="007D3F3C">
        <w:rPr>
          <w:rStyle w:val="Refdenotaalpie"/>
          <w:rFonts w:ascii="Verdana" w:hAnsi="Verdana"/>
          <w:sz w:val="16"/>
          <w:szCs w:val="16"/>
          <w:lang w:val="en-US"/>
        </w:rPr>
        <w:footnoteRef/>
      </w:r>
      <w:r w:rsidRPr="007D3F3C">
        <w:rPr>
          <w:rFonts w:ascii="Verdana" w:hAnsi="Verdana"/>
          <w:sz w:val="16"/>
          <w:szCs w:val="16"/>
          <w:lang w:val="es-CR"/>
        </w:rPr>
        <w:tab/>
        <w:t>“</w:t>
      </w:r>
      <w:r w:rsidRPr="007D3F3C">
        <w:rPr>
          <w:rFonts w:ascii="Verdana" w:hAnsi="Verdana"/>
          <w:sz w:val="16"/>
          <w:szCs w:val="16"/>
          <w:lang w:val="es-CR"/>
        </w:rPr>
        <w:t xml:space="preserve">Femicide”: from the </w:t>
      </w:r>
      <w:r w:rsidRPr="007D3F3C">
        <w:rPr>
          <w:rFonts w:ascii="Verdana" w:hAnsi="Verdana"/>
          <w:sz w:val="16"/>
          <w:szCs w:val="16"/>
          <w:lang w:val="es-CR" w:eastAsia="es-PA"/>
        </w:rPr>
        <w:t>lat. </w:t>
      </w:r>
      <w:r w:rsidRPr="007D3F3C">
        <w:rPr>
          <w:rFonts w:ascii="Verdana" w:hAnsi="Verdana"/>
          <w:i/>
          <w:iCs/>
          <w:sz w:val="16"/>
          <w:szCs w:val="16"/>
          <w:bdr w:val="none" w:sz="0" w:space="0" w:color="auto" w:frame="1"/>
          <w:lang w:val="es-CR" w:eastAsia="es-PA"/>
        </w:rPr>
        <w:t>femĭna</w:t>
      </w:r>
      <w:r w:rsidRPr="007D3F3C">
        <w:rPr>
          <w:rFonts w:ascii="Verdana" w:hAnsi="Verdana"/>
          <w:sz w:val="16"/>
          <w:szCs w:val="16"/>
          <w:lang w:val="es-CR" w:eastAsia="es-PA"/>
        </w:rPr>
        <w:t xml:space="preserve"> 'woman' and </w:t>
      </w:r>
      <w:r w:rsidRPr="007D3F3C">
        <w:rPr>
          <w:rFonts w:ascii="Verdana" w:hAnsi="Verdana"/>
          <w:i/>
          <w:iCs/>
          <w:sz w:val="16"/>
          <w:szCs w:val="16"/>
          <w:bdr w:val="none" w:sz="0" w:space="0" w:color="auto" w:frame="1"/>
          <w:lang w:val="es-CR" w:eastAsia="es-PA"/>
        </w:rPr>
        <w:t>-cidio.</w:t>
      </w:r>
      <w:r w:rsidRPr="007D3F3C">
        <w:rPr>
          <w:rFonts w:ascii="Verdana" w:eastAsia="Arial Unicode MS" w:hAnsi="Verdana" w:cs="Arial Unicode MS"/>
          <w:b/>
          <w:bCs/>
          <w:color w:val="000000"/>
          <w:spacing w:val="4"/>
          <w:sz w:val="16"/>
          <w:szCs w:val="16"/>
          <w:bdr w:val="none" w:sz="0" w:space="0" w:color="auto" w:frame="1"/>
          <w:shd w:val="clear" w:color="auto" w:fill="FFFFFF"/>
          <w:lang w:val="es-CR"/>
        </w:rPr>
        <w:t xml:space="preserve"> </w:t>
      </w:r>
      <w:r w:rsidRPr="007D3F3C">
        <w:rPr>
          <w:rFonts w:ascii="Verdana" w:hAnsi="Verdana"/>
          <w:sz w:val="16"/>
          <w:szCs w:val="16"/>
          <w:lang w:val="es-CR"/>
        </w:rPr>
        <w:t>1.m.</w:t>
      </w:r>
      <w:r w:rsidRPr="007D3F3C">
        <w:rPr>
          <w:rStyle w:val="apple-converted-space"/>
          <w:rFonts w:ascii="Verdana" w:eastAsia="Arial Unicode MS" w:hAnsi="Verdana" w:cs="Arial Unicode MS"/>
          <w:color w:val="000000"/>
          <w:spacing w:val="4"/>
          <w:sz w:val="16"/>
          <w:szCs w:val="16"/>
          <w:shd w:val="clear" w:color="auto" w:fill="FFFFFF"/>
          <w:lang w:val="es-CR"/>
        </w:rPr>
        <w:t> </w:t>
      </w:r>
      <w:r w:rsidRPr="007D3F3C">
        <w:rPr>
          <w:rFonts w:ascii="Verdana" w:hAnsi="Verdana"/>
          <w:i/>
          <w:iCs/>
          <w:sz w:val="16"/>
          <w:szCs w:val="16"/>
          <w:lang w:val="es-CR"/>
        </w:rPr>
        <w:t>Asesinato</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de</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una</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mujer</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por</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razón</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de</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su</w:t>
      </w:r>
      <w:r w:rsidRPr="007D3F3C">
        <w:rPr>
          <w:rStyle w:val="apple-converted-space"/>
          <w:rFonts w:ascii="Verdana" w:eastAsia="Arial Unicode MS" w:hAnsi="Verdana" w:cs="Arial Unicode MS"/>
          <w:i/>
          <w:iCs/>
          <w:color w:val="000000"/>
          <w:spacing w:val="4"/>
          <w:sz w:val="16"/>
          <w:szCs w:val="16"/>
          <w:shd w:val="clear" w:color="auto" w:fill="FFFFFF"/>
          <w:lang w:val="es-CR"/>
        </w:rPr>
        <w:t> </w:t>
      </w:r>
      <w:r w:rsidRPr="007D3F3C">
        <w:rPr>
          <w:rFonts w:ascii="Verdana" w:hAnsi="Verdana"/>
          <w:i/>
          <w:iCs/>
          <w:sz w:val="16"/>
          <w:szCs w:val="16"/>
          <w:lang w:val="es-CR"/>
        </w:rPr>
        <w:t>sexo</w:t>
      </w:r>
      <w:r w:rsidRPr="007D3F3C">
        <w:rPr>
          <w:rFonts w:ascii="Verdana" w:eastAsia="Arial Unicode MS" w:hAnsi="Verdana" w:cs="Arial Unicode MS"/>
          <w:i/>
          <w:iCs/>
          <w:color w:val="000000"/>
          <w:spacing w:val="4"/>
          <w:sz w:val="16"/>
          <w:szCs w:val="16"/>
          <w:shd w:val="clear" w:color="auto" w:fill="FFFFFF"/>
          <w:lang w:val="es-CR"/>
        </w:rPr>
        <w:t>.</w:t>
      </w:r>
      <w:r w:rsidRPr="007D3F3C">
        <w:rPr>
          <w:rFonts w:ascii="Verdana" w:eastAsia="Arial Unicode MS" w:hAnsi="Verdana" w:cs="Arial Unicode MS"/>
          <w:color w:val="000000"/>
          <w:spacing w:val="4"/>
          <w:sz w:val="16"/>
          <w:szCs w:val="16"/>
          <w:shd w:val="clear" w:color="auto" w:fill="FFFFFF"/>
          <w:lang w:val="es-CR"/>
        </w:rPr>
        <w:t xml:space="preserve"> </w:t>
      </w:r>
      <w:r w:rsidRPr="007D3F3C">
        <w:rPr>
          <w:rFonts w:ascii="Verdana" w:eastAsia="Arial Unicode MS" w:hAnsi="Verdana" w:cs="Arial Unicode MS"/>
          <w:color w:val="000000"/>
          <w:spacing w:val="4"/>
          <w:sz w:val="16"/>
          <w:szCs w:val="16"/>
          <w:shd w:val="clear" w:color="auto" w:fill="FFFFFF"/>
          <w:lang w:val="en-US"/>
        </w:rPr>
        <w:t xml:space="preserve">Available at: </w:t>
      </w:r>
      <w:r w:rsidRPr="007D3F3C">
        <w:rPr>
          <w:rFonts w:ascii="Verdana" w:eastAsia="Arial Unicode MS" w:hAnsi="Verdana" w:cs="Arial Unicode MS"/>
          <w:i/>
          <w:color w:val="000000"/>
          <w:spacing w:val="4"/>
          <w:sz w:val="16"/>
          <w:szCs w:val="16"/>
          <w:shd w:val="clear" w:color="auto" w:fill="FFFFFF"/>
          <w:lang w:val="en-US"/>
        </w:rPr>
        <w:t>http://dle.rae.es/</w:t>
      </w:r>
    </w:p>
  </w:footnote>
  <w:footnote w:id="375">
    <w:p w14:paraId="00F5352A" w14:textId="77777777" w:rsidR="00576E40" w:rsidRPr="007D3F3C" w:rsidRDefault="00576E40" w:rsidP="00551CA7">
      <w:pPr>
        <w:spacing w:after="0" w:line="240" w:lineRule="auto"/>
        <w:jc w:val="both"/>
        <w:rPr>
          <w:rFonts w:ascii="Verdana" w:hAnsi="Verdana" w:cs="Arial"/>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cs="Tahoma"/>
          <w:sz w:val="16"/>
          <w:szCs w:val="16"/>
          <w:lang w:val="en-US"/>
        </w:rPr>
        <w:tab/>
        <w:t>“Article 7:</w:t>
      </w:r>
      <w:r w:rsidRPr="007D3F3C">
        <w:rPr>
          <w:rFonts w:ascii="Verdana" w:hAnsi="Verdana" w:cs="Tahoma"/>
          <w:color w:val="000000"/>
          <w:sz w:val="16"/>
          <w:szCs w:val="16"/>
          <w:shd w:val="clear" w:color="auto" w:fill="FFFFFF"/>
          <w:lang w:val="en-US"/>
        </w:rPr>
        <w:t xml:space="preserve"> </w:t>
      </w:r>
      <w:r w:rsidRPr="007D3F3C">
        <w:rPr>
          <w:rFonts w:ascii="Verdana" w:hAnsi="Verdana"/>
          <w:sz w:val="16"/>
          <w:szCs w:val="16"/>
          <w:lang w:val="en-US"/>
        </w:rPr>
        <w:t>“</w:t>
      </w:r>
      <w:r w:rsidRPr="007D3F3C">
        <w:rPr>
          <w:rFonts w:ascii="Verdana" w:hAnsi="Verdana" w:cs="Arial"/>
          <w:sz w:val="16"/>
          <w:szCs w:val="16"/>
          <w:lang w:val="en-US"/>
        </w:rPr>
        <w:t xml:space="preserve">The States Parties condemn all forms of violence against women and agree to pursue, by all appropriate means and without delay, policies to prevent, punish and eradicate such violence and undertake to: </w:t>
      </w:r>
    </w:p>
    <w:p w14:paraId="5A054401"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(a) refrain from engaging in any act or practice of violence against women and to ensure that their authorities, officials, personnel, agents, and institutions act in conformity with this obligation; </w:t>
      </w:r>
    </w:p>
    <w:p w14:paraId="170EB99A"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(b) apply due diligence to prevent, investigate and impose penalties for violence against women; </w:t>
      </w:r>
    </w:p>
    <w:p w14:paraId="2AF302B7"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(c) include in their domestic legislation penal, civil, administrative and any other type of provisions that may be needed to prevent, punish and eradicate violence against women and to adopt appropriate administrative measures where necessary; </w:t>
      </w:r>
    </w:p>
    <w:p w14:paraId="47BC020B"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(d) adopt legal measures to require the perpetrator to refrain from harassing, intimidating or threatening the woman or using any method that harms or endangers her life or integrity, or damages her property; </w:t>
      </w:r>
    </w:p>
    <w:p w14:paraId="12A7387D"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(e) take all appropriate measures, including legislative measures, to amend or repeal existing laws and regulations or to modify legal or customary practices which sustain the persistence and tolerance of violence against women; (f) establish fair and effective legal procedures for women who have been subjected to violence which include, among others, protective measures, a timely hearing and effective access to such procedures; </w:t>
      </w:r>
    </w:p>
    <w:p w14:paraId="342EDABE" w14:textId="77777777" w:rsidR="00576E40" w:rsidRPr="007D3F3C" w:rsidRDefault="00576E40" w:rsidP="00551CA7">
      <w:pPr>
        <w:spacing w:after="0" w:line="240" w:lineRule="auto"/>
        <w:jc w:val="both"/>
        <w:rPr>
          <w:rFonts w:ascii="Verdana" w:hAnsi="Verdana" w:cs="Arial"/>
          <w:sz w:val="16"/>
          <w:szCs w:val="16"/>
          <w:lang w:val="en-US"/>
        </w:rPr>
      </w:pPr>
      <w:r w:rsidRPr="007D3F3C">
        <w:rPr>
          <w:rFonts w:ascii="Verdana" w:hAnsi="Verdana" w:cs="Arial"/>
          <w:sz w:val="16"/>
          <w:szCs w:val="16"/>
          <w:lang w:val="en-US"/>
        </w:rPr>
        <w:t xml:space="preserve">(g) establish the necessary legal and administrative mechanisms to ensure that women subjected to violence have effective access to restitution, reparations or other just and effective remedies; and </w:t>
      </w:r>
    </w:p>
    <w:p w14:paraId="048A81DF" w14:textId="77777777" w:rsidR="00576E40" w:rsidRPr="007D3F3C" w:rsidRDefault="00576E40" w:rsidP="00551CA7">
      <w:pPr>
        <w:pStyle w:val="NormalWeb"/>
        <w:shd w:val="clear" w:color="auto" w:fill="FFFFFF"/>
        <w:spacing w:after="0"/>
        <w:ind w:right="74"/>
        <w:jc w:val="both"/>
        <w:rPr>
          <w:rFonts w:ascii="Verdana" w:hAnsi="Verdana" w:cs="Arial"/>
          <w:sz w:val="16"/>
          <w:szCs w:val="16"/>
        </w:rPr>
      </w:pPr>
      <w:r w:rsidRPr="007D3F3C">
        <w:rPr>
          <w:rFonts w:ascii="Verdana" w:hAnsi="Verdana" w:cs="Arial"/>
          <w:sz w:val="16"/>
          <w:szCs w:val="16"/>
        </w:rPr>
        <w:t>(h) adopt such legislative or other measures as may be necessary to give effect to this Convention.”</w:t>
      </w:r>
    </w:p>
  </w:footnote>
  <w:footnote w:id="376">
    <w:p w14:paraId="50A4E92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 and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Judgment of May 19, 2014. Series C No. 277.</w:t>
      </w:r>
    </w:p>
  </w:footnote>
  <w:footnote w:id="377">
    <w:p w14:paraId="61907BC4" w14:textId="77777777" w:rsidR="00576E40" w:rsidRPr="007D3F3C" w:rsidRDefault="00576E40" w:rsidP="00551CA7">
      <w:pPr>
        <w:pStyle w:val="Textonotapie"/>
        <w:jc w:val="both"/>
        <w:rPr>
          <w:rFonts w:ascii="Verdana" w:hAnsi="Verdana" w:cs="Tahoma"/>
          <w:bCs/>
          <w:color w:val="000000"/>
          <w:sz w:val="16"/>
          <w:szCs w:val="16"/>
          <w:shd w:val="clear" w:color="auto" w:fill="FFFFFF"/>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In the instant case, the State questioned the Court’s competence </w:t>
      </w:r>
      <w:r w:rsidRPr="007D3F3C">
        <w:rPr>
          <w:rFonts w:ascii="Verdana" w:hAnsi="Verdana" w:cs="Tahoma"/>
          <w:i/>
          <w:sz w:val="16"/>
          <w:szCs w:val="16"/>
          <w:lang w:val="en-US"/>
        </w:rPr>
        <w:t>ratione materiae</w:t>
      </w:r>
      <w:r w:rsidRPr="007D3F3C">
        <w:rPr>
          <w:rFonts w:ascii="Verdana" w:hAnsi="Verdana" w:cs="Tahoma"/>
          <w:sz w:val="16"/>
          <w:szCs w:val="16"/>
          <w:lang w:val="en-US"/>
        </w:rPr>
        <w:t>. Based on its precedents, the Inter-American Court rejected this preliminary objection in the understanding that “</w:t>
      </w:r>
      <w:r w:rsidRPr="007D3F3C">
        <w:rPr>
          <w:rFonts w:ascii="Verdana" w:eastAsia="Calibri" w:hAnsi="Verdana" w:cs="Arial"/>
          <w:sz w:val="16"/>
          <w:szCs w:val="16"/>
          <w:lang w:val="en-US"/>
        </w:rPr>
        <w:t>it seems clear that the literal meaning of Article 12 of the Belém do Pará Convention grants competence to the Court, by not excluding from its application any of the norms and procedural requirements for individual communications</w:t>
      </w:r>
      <w:r w:rsidRPr="007D3F3C">
        <w:rPr>
          <w:rFonts w:ascii="Verdana" w:hAnsi="Verdana" w:cs="Tahoma"/>
          <w:sz w:val="16"/>
          <w:szCs w:val="16"/>
          <w:lang w:val="en-US"/>
        </w:rPr>
        <w:t>”, and also, that in other contentious cases against Guatemala, the Court had declared that the State was responsible for the violation of Article 7 of the Convention of Belém do Pará and found no evidence to change its case law. See paras. 16 to 19 of the judgment.</w:t>
      </w:r>
    </w:p>
  </w:footnote>
  <w:footnote w:id="378">
    <w:p w14:paraId="7EE8F3C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Style w:val="Textoennegrita"/>
          <w:rFonts w:ascii="Verdana" w:hAnsi="Verdana" w:cs="Tahoma"/>
          <w:b w:val="0"/>
          <w:color w:val="000000"/>
          <w:sz w:val="16"/>
          <w:szCs w:val="16"/>
          <w:shd w:val="clear" w:color="auto" w:fill="FFFFFF"/>
          <w:lang w:val="en-US"/>
        </w:rPr>
        <w:t xml:space="preserve">I/A Court HR, </w:t>
      </w:r>
      <w:r w:rsidRPr="007D3F3C">
        <w:rPr>
          <w:rStyle w:val="Textoennegrita"/>
          <w:rFonts w:ascii="Verdana" w:hAnsi="Verdana" w:cs="Tahoma"/>
          <w:b w:val="0"/>
          <w:i/>
          <w:color w:val="000000"/>
          <w:sz w:val="16"/>
          <w:szCs w:val="16"/>
          <w:shd w:val="clear" w:color="auto" w:fill="FFFFFF"/>
          <w:lang w:val="en-US"/>
        </w:rPr>
        <w:t>Case of the Miguel Castro Castro Prison v. Peru.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25, 2006. Series C No. 160;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 </w:t>
      </w:r>
      <w:r w:rsidRPr="007D3F3C">
        <w:rPr>
          <w:rStyle w:val="Textoennegrita"/>
          <w:rFonts w:ascii="Verdana" w:hAnsi="Verdana" w:cs="Tahoma"/>
          <w:b w:val="0"/>
          <w:i/>
          <w:color w:val="000000"/>
          <w:sz w:val="16"/>
          <w:szCs w:val="16"/>
          <w:shd w:val="clear" w:color="auto" w:fill="FFFFFF"/>
          <w:lang w:val="en-US"/>
        </w:rPr>
        <w:t xml:space="preserve">Case of the Las Dos Erres Massacre v. Guatemala. Preliminary objection, merits, reparations and costs. </w:t>
      </w:r>
      <w:r w:rsidRPr="007D3F3C">
        <w:rPr>
          <w:rStyle w:val="Textoennegrita"/>
          <w:rFonts w:ascii="Verdana" w:hAnsi="Verdana" w:cs="Tahoma"/>
          <w:b w:val="0"/>
          <w:color w:val="000000"/>
          <w:sz w:val="16"/>
          <w:szCs w:val="16"/>
          <w:shd w:val="clear" w:color="auto" w:fill="FFFFFF"/>
          <w:lang w:val="en-US"/>
        </w:rPr>
        <w:t xml:space="preserve">Judgment of November 24, 2009. Series C No. 211; </w:t>
      </w:r>
      <w:r w:rsidRPr="007D3F3C">
        <w:rPr>
          <w:rStyle w:val="Textoennegrita"/>
          <w:rFonts w:ascii="Verdana" w:hAnsi="Verdana" w:cs="Tahoma"/>
          <w:b w:val="0"/>
          <w:i/>
          <w:color w:val="000000"/>
          <w:sz w:val="16"/>
          <w:szCs w:val="16"/>
          <w:shd w:val="clear" w:color="auto" w:fill="FFFFFF"/>
          <w:lang w:val="en-US"/>
        </w:rPr>
        <w:t>Case of Fernández Ortega et al.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August 30, 2010 Series C No. 215; </w:t>
      </w:r>
      <w:r w:rsidRPr="007D3F3C">
        <w:rPr>
          <w:rStyle w:val="Textoennegrita"/>
          <w:rFonts w:ascii="Verdana" w:hAnsi="Verdana" w:cs="Tahoma"/>
          <w:b w:val="0"/>
          <w:i/>
          <w:color w:val="000000"/>
          <w:sz w:val="16"/>
          <w:szCs w:val="16"/>
          <w:shd w:val="clear" w:color="auto" w:fill="FFFFFF"/>
          <w:lang w:val="en-US"/>
        </w:rPr>
        <w:t xml:space="preserve">Case of Rosendo Cantú et al. v. Mexico. Preliminary objection, merits, reparations and costs. </w:t>
      </w:r>
      <w:r w:rsidRPr="007D3F3C">
        <w:rPr>
          <w:rStyle w:val="Textoennegrita"/>
          <w:rFonts w:ascii="Verdana" w:hAnsi="Verdana" w:cs="Tahoma"/>
          <w:b w:val="0"/>
          <w:color w:val="000000"/>
          <w:sz w:val="16"/>
          <w:szCs w:val="16"/>
          <w:shd w:val="clear" w:color="auto" w:fill="FFFFFF"/>
          <w:lang w:val="en-US"/>
        </w:rPr>
        <w:t xml:space="preserve">Judgment of August 31, 2010 Series C No. 216; </w:t>
      </w:r>
      <w:r w:rsidRPr="007D3F3C">
        <w:rPr>
          <w:rStyle w:val="Textoennegrita"/>
          <w:rFonts w:ascii="Verdana" w:hAnsi="Verdana" w:cs="Tahoma"/>
          <w:b w:val="0"/>
          <w:i/>
          <w:color w:val="000000"/>
          <w:sz w:val="16"/>
          <w:szCs w:val="16"/>
          <w:shd w:val="clear" w:color="auto" w:fill="FFFFFF"/>
          <w:lang w:val="en-US"/>
        </w:rPr>
        <w:t>Case of the Río Negro Massacres v. Guatemala.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September 4, 2012 Series C No. 250; </w:t>
      </w:r>
      <w:r w:rsidRPr="007D3F3C">
        <w:rPr>
          <w:rStyle w:val="Textoennegrita"/>
          <w:rFonts w:ascii="Verdana" w:hAnsi="Verdana" w:cs="Tahoma"/>
          <w:b w:val="0"/>
          <w:i/>
          <w:color w:val="000000"/>
          <w:sz w:val="16"/>
          <w:szCs w:val="16"/>
          <w:shd w:val="clear" w:color="auto" w:fill="FFFFFF"/>
          <w:lang w:val="en-US"/>
        </w:rPr>
        <w:t xml:space="preserve">Case of the Massacres of El Mozote and neighboring places v. El Salvador. Merits, reparations and costs. </w:t>
      </w:r>
      <w:r w:rsidRPr="007D3F3C">
        <w:rPr>
          <w:rStyle w:val="Textoennegrita"/>
          <w:rFonts w:ascii="Verdana" w:hAnsi="Verdana" w:cs="Tahoma"/>
          <w:b w:val="0"/>
          <w:color w:val="000000"/>
          <w:sz w:val="16"/>
          <w:szCs w:val="16"/>
          <w:shd w:val="clear" w:color="auto" w:fill="FFFFFF"/>
          <w:lang w:val="en-US"/>
        </w:rPr>
        <w:t xml:space="preserve">Judgment of October 25, 2012 Series C No. 252; </w:t>
      </w:r>
      <w:r w:rsidRPr="007D3F3C">
        <w:rPr>
          <w:rStyle w:val="Textoennegrita"/>
          <w:rFonts w:ascii="Verdana" w:hAnsi="Verdana" w:cs="Tahoma"/>
          <w:b w:val="0"/>
          <w:i/>
          <w:color w:val="000000"/>
          <w:sz w:val="16"/>
          <w:szCs w:val="16"/>
          <w:shd w:val="clear" w:color="auto" w:fill="FFFFFF"/>
          <w:lang w:val="en-US"/>
        </w:rPr>
        <w:t xml:space="preserve">Case of Gudiel Álvarez et al. ("Diario Militar") v. Guatemala. Merits, reparations and costs. </w:t>
      </w:r>
      <w:r w:rsidRPr="007D3F3C">
        <w:rPr>
          <w:rStyle w:val="Textoennegrita"/>
          <w:rFonts w:ascii="Verdana" w:hAnsi="Verdana" w:cs="Tahoma"/>
          <w:b w:val="0"/>
          <w:color w:val="000000"/>
          <w:sz w:val="16"/>
          <w:szCs w:val="16"/>
          <w:shd w:val="clear" w:color="auto" w:fill="FFFFFF"/>
          <w:lang w:val="en-US"/>
        </w:rPr>
        <w:t xml:space="preserve">Judgment of November 20, 2012 Series C No. 253; </w:t>
      </w:r>
      <w:r w:rsidRPr="007D3F3C">
        <w:rPr>
          <w:rStyle w:val="Textoennegrita"/>
          <w:rFonts w:ascii="Verdana" w:hAnsi="Verdana" w:cs="Tahoma"/>
          <w:b w:val="0"/>
          <w:i/>
          <w:color w:val="000000"/>
          <w:sz w:val="16"/>
          <w:szCs w:val="16"/>
          <w:shd w:val="clear" w:color="auto" w:fill="FFFFFF"/>
          <w:lang w:val="en-US"/>
        </w:rPr>
        <w:t>Case of J. v. Peru.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27, 2013. Series C No. 275;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and </w:t>
      </w:r>
      <w:r w:rsidRPr="007D3F3C">
        <w:rPr>
          <w:rStyle w:val="Textoennegrita"/>
          <w:rFonts w:ascii="Verdana" w:hAnsi="Verdana" w:cs="Tahom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2014. Series C No. 289.</w:t>
      </w:r>
    </w:p>
  </w:footnote>
  <w:footnote w:id="379">
    <w:p w14:paraId="49DE0B5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Article 7 of the “Convention of Belém do Pará,” see </w:t>
      </w:r>
      <w:r w:rsidRPr="007D3F3C">
        <w:rPr>
          <w:rFonts w:ascii="Verdana" w:hAnsi="Verdana"/>
          <w:i/>
          <w:sz w:val="16"/>
          <w:szCs w:val="16"/>
          <w:lang w:val="en-US"/>
        </w:rPr>
        <w:t>supra</w:t>
      </w:r>
      <w:r w:rsidRPr="007D3F3C">
        <w:rPr>
          <w:rFonts w:ascii="Verdana" w:hAnsi="Verdana"/>
          <w:sz w:val="16"/>
          <w:szCs w:val="16"/>
          <w:lang w:val="en-US"/>
        </w:rPr>
        <w:t xml:space="preserve"> nota 6.</w:t>
      </w:r>
    </w:p>
  </w:footnote>
  <w:footnote w:id="380">
    <w:p w14:paraId="6666CD6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r>
      <w:r w:rsidRPr="007D3F3C">
        <w:rPr>
          <w:rStyle w:val="Textoennegrita"/>
          <w:rFonts w:ascii="Verdana" w:hAnsi="Verdana" w:cs="Tahoma"/>
          <w:b w:val="0"/>
          <w:color w:val="000000"/>
          <w:sz w:val="16"/>
          <w:szCs w:val="16"/>
          <w:shd w:val="clear" w:color="auto" w:fill="FFFFFF"/>
          <w:lang w:val="en-US"/>
        </w:rPr>
        <w:t xml:space="preserve">I/A Court HR, </w:t>
      </w:r>
      <w:r w:rsidRPr="007D3F3C">
        <w:rPr>
          <w:rStyle w:val="Textoennegrita"/>
          <w:rFonts w:ascii="Verdana" w:hAnsi="Verdana" w:cs="Tahoma"/>
          <w:b w:val="0"/>
          <w:i/>
          <w:color w:val="000000"/>
          <w:sz w:val="16"/>
          <w:szCs w:val="16"/>
          <w:shd w:val="clear" w:color="auto" w:fill="FFFFFF"/>
          <w:lang w:val="en-US"/>
        </w:rPr>
        <w:t>Case of the Miguel Castro Castro Prison v. Peru. Merits, reparations and costs</w:t>
      </w:r>
      <w:r w:rsidRPr="007D3F3C">
        <w:rPr>
          <w:rStyle w:val="Textoennegrita"/>
          <w:rFonts w:ascii="Verdana" w:hAnsi="Verdana" w:cs="Tahoma"/>
          <w:b w:val="0"/>
          <w:color w:val="000000"/>
          <w:sz w:val="16"/>
          <w:szCs w:val="16"/>
          <w:shd w:val="clear" w:color="auto" w:fill="FFFFFF"/>
          <w:lang w:val="en-US"/>
        </w:rPr>
        <w:t>. Judgment of November 25, 2006. Series C No. 160.</w:t>
      </w:r>
    </w:p>
  </w:footnote>
  <w:footnote w:id="381">
    <w:p w14:paraId="10E36B86"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r>
      <w:r w:rsidRPr="007D3F3C">
        <w:rPr>
          <w:rStyle w:val="Textoennegrita"/>
          <w:rFonts w:ascii="Verdana" w:hAnsi="Verdana" w:cs="Tahoma"/>
          <w:b w:val="0"/>
          <w:color w:val="000000"/>
          <w:sz w:val="16"/>
          <w:szCs w:val="16"/>
          <w:shd w:val="clear" w:color="auto" w:fill="FFFFFF"/>
          <w:lang w:val="en-US"/>
        </w:rPr>
        <w:t xml:space="preserve">I/A Court HR, </w:t>
      </w:r>
      <w:r w:rsidRPr="007D3F3C">
        <w:rPr>
          <w:rStyle w:val="Textoennegrita"/>
          <w:rFonts w:ascii="Verdana" w:hAnsi="Verdana" w:cs="Tahoma"/>
          <w:b w:val="0"/>
          <w:i/>
          <w:color w:val="000000"/>
          <w:sz w:val="16"/>
          <w:szCs w:val="16"/>
          <w:shd w:val="clear" w:color="auto" w:fill="FFFFFF"/>
          <w:lang w:val="en-US"/>
        </w:rPr>
        <w:t>Case of the Miguel Castro Castro Prison v. Peru.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25, 2006. Series C No. 160, para. 394.</w:t>
      </w:r>
    </w:p>
  </w:footnote>
  <w:footnote w:id="382">
    <w:p w14:paraId="7FA0AB7F"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r>
      <w:r w:rsidRPr="007D3F3C">
        <w:rPr>
          <w:rStyle w:val="Textoennegrita"/>
          <w:rFonts w:ascii="Verdana" w:hAnsi="Verdana" w:cs="Tahoma"/>
          <w:b w:val="0"/>
          <w:color w:val="000000"/>
          <w:sz w:val="16"/>
          <w:szCs w:val="16"/>
          <w:shd w:val="clear" w:color="auto" w:fill="FFFFFF"/>
          <w:lang w:val="en-US"/>
        </w:rPr>
        <w:t xml:space="preserve">I/A Court HR, </w:t>
      </w:r>
      <w:r w:rsidRPr="007D3F3C">
        <w:rPr>
          <w:rStyle w:val="Textoennegrita"/>
          <w:rFonts w:ascii="Verdana" w:hAnsi="Verdana" w:cs="Tahoma"/>
          <w:b w:val="0"/>
          <w:i/>
          <w:color w:val="000000"/>
          <w:sz w:val="16"/>
          <w:szCs w:val="16"/>
          <w:shd w:val="clear" w:color="auto" w:fill="FFFFFF"/>
          <w:lang w:val="en-US"/>
        </w:rPr>
        <w:t>Case of the Miguel Castro Castro Prison v. Peru.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25, 2006. Series C No. 160, para. 408.</w:t>
      </w:r>
    </w:p>
  </w:footnote>
  <w:footnote w:id="383">
    <w:p w14:paraId="51E033B4"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 xml:space="preserve">Case of González et al. (“Cotton Field”)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16, 2009. Series C No.205, para. 284.</w:t>
      </w:r>
    </w:p>
  </w:footnote>
  <w:footnote w:id="384">
    <w:p w14:paraId="212C50F1"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 xml:space="preserve">Case of González et al. (“Cotton Field”)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16, 2009. Series C No.205, para. 285.</w:t>
      </w:r>
    </w:p>
  </w:footnote>
  <w:footnote w:id="385">
    <w:p w14:paraId="3C29EB24"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 xml:space="preserve">Case of the Las Dos Erres Massacre v. Guatemala.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24, 2009. Series C No. 211.</w:t>
      </w:r>
    </w:p>
  </w:footnote>
  <w:footnote w:id="386">
    <w:p w14:paraId="2F2EA9C2"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 xml:space="preserve">Case of the Las Dos Erres Massacre v. Guatemala.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24, 2009. Series C No. 211, para. 139 a 141.</w:t>
      </w:r>
    </w:p>
  </w:footnote>
  <w:footnote w:id="387">
    <w:p w14:paraId="2C333D9C"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 xml:space="preserve">Case of the Las Dos Erres Massacre v. Guatemala.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24, 2009. Series C No. 211, para. 153.</w:t>
      </w:r>
    </w:p>
  </w:footnote>
  <w:footnote w:id="388">
    <w:p w14:paraId="44CF641C"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 xml:space="preserve">Case of Fernández Ortega et al.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August 30, 2010 Series C No. 215.</w:t>
      </w:r>
    </w:p>
  </w:footnote>
  <w:footnote w:id="389">
    <w:p w14:paraId="6340693A"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 xml:space="preserve">Case of Rosendo Cantú et al.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August 31, 2010 Series C No. 216.</w:t>
      </w:r>
    </w:p>
  </w:footnote>
  <w:footnote w:id="390">
    <w:p w14:paraId="3911B4DB"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Case of Fernández Ortega et al.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August 30, 2010 Series C No. 215, para. 131, and </w:t>
      </w:r>
      <w:r w:rsidRPr="007D3F3C">
        <w:rPr>
          <w:rStyle w:val="Textoennegrita"/>
          <w:rFonts w:ascii="Verdana" w:hAnsi="Verdana" w:cs="Tahoma"/>
          <w:b w:val="0"/>
          <w:i/>
          <w:color w:val="000000"/>
          <w:sz w:val="16"/>
          <w:szCs w:val="16"/>
          <w:shd w:val="clear" w:color="auto" w:fill="FFFFFF"/>
          <w:lang w:val="en-US"/>
        </w:rPr>
        <w:t>Case of Rosendo Cantú et al.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August 31, 2010 Series C No. 216, para. 121.</w:t>
      </w:r>
    </w:p>
  </w:footnote>
  <w:footnote w:id="391">
    <w:p w14:paraId="775406C7"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Case of Fernández Ortega et al.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August 30, 2010 Series C No. 215, paras. 197 and 198, and </w:t>
      </w:r>
      <w:r w:rsidRPr="007D3F3C">
        <w:rPr>
          <w:rStyle w:val="Textoennegrita"/>
          <w:rFonts w:ascii="Verdana" w:hAnsi="Verdana" w:cs="Tahoma"/>
          <w:b w:val="0"/>
          <w:i/>
          <w:color w:val="000000"/>
          <w:sz w:val="16"/>
          <w:szCs w:val="16"/>
          <w:shd w:val="clear" w:color="auto" w:fill="FFFFFF"/>
          <w:lang w:val="en-US"/>
        </w:rPr>
        <w:t>Case of Rosendo Cantú et al.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August 31, 2010 Series C No. 216, paras. 181 and 182.</w:t>
      </w:r>
    </w:p>
  </w:footnote>
  <w:footnote w:id="392">
    <w:p w14:paraId="6D94FC99"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b/>
          <w:sz w:val="16"/>
          <w:szCs w:val="16"/>
          <w:lang w:val="en-US"/>
        </w:rPr>
        <w:footnoteRef/>
      </w:r>
      <w:r w:rsidRPr="007D3F3C">
        <w:rPr>
          <w:rFonts w:ascii="Verdana" w:hAnsi="Verdana" w:cs="Tahoma"/>
          <w:b/>
          <w:sz w:val="16"/>
          <w:szCs w:val="16"/>
          <w:lang w:val="en-US"/>
        </w:rPr>
        <w:t xml:space="preserve"> </w:t>
      </w:r>
      <w:r w:rsidRPr="007D3F3C">
        <w:rPr>
          <w:rFonts w:ascii="Verdana" w:hAnsi="Verdana" w:cs="Tahoma"/>
          <w:b/>
          <w:sz w:val="16"/>
          <w:szCs w:val="16"/>
          <w:lang w:val="en-US"/>
        </w:rPr>
        <w:tab/>
      </w:r>
      <w:r w:rsidRPr="007D3F3C">
        <w:rPr>
          <w:rFonts w:ascii="Verdana" w:hAnsi="Verdana" w:cs="Tahoma"/>
          <w:sz w:val="16"/>
          <w:szCs w:val="16"/>
          <w:lang w:val="en-US"/>
        </w:rPr>
        <w:t>I/A Court HR,</w:t>
      </w:r>
      <w:r w:rsidRPr="007D3F3C">
        <w:rPr>
          <w:rFonts w:ascii="Verdana" w:hAnsi="Verdana" w:cs="Tahoma"/>
          <w:b/>
          <w:sz w:val="16"/>
          <w:szCs w:val="16"/>
          <w:lang w:val="en-US"/>
        </w:rPr>
        <w:t xml:space="preserve"> </w:t>
      </w:r>
      <w:r w:rsidRPr="007D3F3C">
        <w:rPr>
          <w:rStyle w:val="Textoennegrita"/>
          <w:rFonts w:ascii="Verdana" w:hAnsi="Verdana" w:cs="Tahoma"/>
          <w:b w:val="0"/>
          <w:i/>
          <w:color w:val="000000"/>
          <w:sz w:val="16"/>
          <w:szCs w:val="16"/>
          <w:shd w:val="clear" w:color="auto" w:fill="FFFFFF"/>
          <w:lang w:val="en-US"/>
        </w:rPr>
        <w:t>Case of the Río Negro Massacres v. Guatemala.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September 4, 2012 Series C No. 250.</w:t>
      </w:r>
    </w:p>
  </w:footnote>
  <w:footnote w:id="393">
    <w:p w14:paraId="07AB609D"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the Massacres of El Mozote and neighboring places v. El Salvador. Merits, reparations and costs.</w:t>
      </w:r>
      <w:r w:rsidRPr="007D3F3C">
        <w:rPr>
          <w:rStyle w:val="Textoennegrita"/>
          <w:rFonts w:ascii="Verdana" w:hAnsi="Verdana" w:cs="Tahoma"/>
          <w:b w:val="0"/>
          <w:color w:val="000000"/>
          <w:sz w:val="16"/>
          <w:szCs w:val="16"/>
          <w:shd w:val="clear" w:color="auto" w:fill="FFFFFF"/>
          <w:lang w:val="en-US"/>
        </w:rPr>
        <w:t xml:space="preserve"> Judgment of October 25, 2012 Series C No. 252.</w:t>
      </w:r>
    </w:p>
  </w:footnote>
  <w:footnote w:id="394">
    <w:p w14:paraId="54A61138"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Gudiel Álvarez et al. ("Diario Militar") v. Guatemala.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2012 Series C No. 253.</w:t>
      </w:r>
    </w:p>
  </w:footnote>
  <w:footnote w:id="395">
    <w:p w14:paraId="01EF754D"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the Río Negro Massacres v. Guatemala.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September 4, 2012 Series C No. 250, para. 227 and 236; </w:t>
      </w:r>
      <w:r w:rsidRPr="007D3F3C">
        <w:rPr>
          <w:rStyle w:val="Textoennegrita"/>
          <w:rFonts w:ascii="Verdana" w:hAnsi="Verdana" w:cs="Tahoma"/>
          <w:b w:val="0"/>
          <w:i/>
          <w:color w:val="000000"/>
          <w:sz w:val="16"/>
          <w:szCs w:val="16"/>
          <w:shd w:val="clear" w:color="auto" w:fill="FFFFFF"/>
          <w:lang w:val="en-US"/>
        </w:rPr>
        <w:t>Case of the Massacres of El Mozote and neighboring places v. El Salvador. Merits, reparations and costs.</w:t>
      </w:r>
      <w:r w:rsidRPr="007D3F3C">
        <w:rPr>
          <w:rStyle w:val="Textoennegrita"/>
          <w:rFonts w:ascii="Verdana" w:hAnsi="Verdana" w:cs="Tahoma"/>
          <w:b w:val="0"/>
          <w:color w:val="000000"/>
          <w:sz w:val="16"/>
          <w:szCs w:val="16"/>
          <w:shd w:val="clear" w:color="auto" w:fill="FFFFFF"/>
          <w:lang w:val="en-US"/>
        </w:rPr>
        <w:t xml:space="preserve"> Judgment of October 25, 2012 Series C No. 252, paras. 2 and 252, and </w:t>
      </w:r>
      <w:r w:rsidRPr="007D3F3C">
        <w:rPr>
          <w:rStyle w:val="Textoennegrita"/>
          <w:rFonts w:ascii="Verdana" w:hAnsi="Verdana" w:cs="Tahoma"/>
          <w:b w:val="0"/>
          <w:i/>
          <w:color w:val="000000"/>
          <w:sz w:val="16"/>
          <w:szCs w:val="16"/>
          <w:shd w:val="clear" w:color="auto" w:fill="FFFFFF"/>
          <w:lang w:val="en-US"/>
        </w:rPr>
        <w:t>Case of Gudiel Álvarez et al. ("Diario Militar") v. Guatemala.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2012 Series C No. 253, paras. 2 and  281.</w:t>
      </w:r>
    </w:p>
  </w:footnote>
  <w:footnote w:id="396">
    <w:p w14:paraId="5A73CA49" w14:textId="77777777" w:rsidR="00576E40" w:rsidRPr="007D3F3C" w:rsidRDefault="00576E40" w:rsidP="00551CA7">
      <w:pPr>
        <w:autoSpaceDE w:val="0"/>
        <w:autoSpaceDN w:val="0"/>
        <w:adjustRightInd w:val="0"/>
        <w:spacing w:after="0" w:line="240" w:lineRule="auto"/>
        <w:jc w:val="both"/>
        <w:rPr>
          <w:rFonts w:ascii="Verdana" w:hAnsi="Verdana" w:cs="Tahoma"/>
          <w:b/>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The case related to the unlawful and arbitrary detention of J., and the home searches conducted on April 13, 1992, by State agents who had presumably perpetrated acts of torture and cruel, inhuman and degrading treatment, including sexual violence. I/A Court HR, </w:t>
      </w:r>
      <w:r w:rsidRPr="007D3F3C">
        <w:rPr>
          <w:rStyle w:val="Textoennegrita"/>
          <w:rFonts w:ascii="Verdana" w:hAnsi="Verdana" w:cs="Tahoma"/>
          <w:b w:val="0"/>
          <w:i/>
          <w:color w:val="000000"/>
          <w:sz w:val="16"/>
          <w:szCs w:val="16"/>
          <w:shd w:val="clear" w:color="auto" w:fill="FFFFFF"/>
          <w:lang w:val="en-US"/>
        </w:rPr>
        <w:t>Case of J. v. Peru.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27, 2013. Series C No. 275.</w:t>
      </w:r>
    </w:p>
  </w:footnote>
  <w:footnote w:id="397">
    <w:p w14:paraId="27243F05" w14:textId="77777777" w:rsidR="00576E40" w:rsidRPr="007D3F3C" w:rsidRDefault="00576E40" w:rsidP="00551CA7">
      <w:pPr>
        <w:pStyle w:val="Textonotapie"/>
        <w:jc w:val="both"/>
        <w:rPr>
          <w:rFonts w:ascii="Verdana" w:hAnsi="Verdana" w:cs="Tahoma"/>
          <w:b/>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J. v. Peru.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2November 7, 2013. Series C No. 275, paras. 365 to 368.</w:t>
      </w:r>
    </w:p>
  </w:footnote>
  <w:footnote w:id="398">
    <w:p w14:paraId="34926DE5"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p>
  </w:footnote>
  <w:footnote w:id="399">
    <w:p w14:paraId="708EC42D"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In that case, the Court declared the violation of Articles 7(b) and 7(c) of the “Convention of Belém do Pará.” It also declared the violation of Articles 4(1) and 5(1) of the American Convention, in relation to Articles 19  and 1(1), as well as 7(b) of the “Convention of Belém do Pará” based on “the lack of due diligence in the investigation, from the outset, which resulted in the impunity of the facts” in reference to the initial hours after the report that María Isabel Veliz was missing. I/A Court HR,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157.</w:t>
      </w:r>
    </w:p>
  </w:footnote>
  <w:footnote w:id="400">
    <w:p w14:paraId="3008F852"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225.</w:t>
      </w:r>
    </w:p>
  </w:footnote>
  <w:footnote w:id="401">
    <w:p w14:paraId="632B32EF"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That case relates to the alleged unlawful and arbitrary detention of Gladys Carol Espinoza Gonzáles, as well as the alleged rape and other acts that constituted torture that she was a victim of while in the custody of State agents. I/A Court HR, </w:t>
      </w:r>
      <w:r w:rsidRPr="007D3F3C">
        <w:rPr>
          <w:rStyle w:val="Textoennegrita"/>
          <w:rFonts w:ascii="Verdana" w:hAnsi="Verdana" w:cs="Tahom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2014. Series C No. 289, para. 1.</w:t>
      </w:r>
    </w:p>
  </w:footnote>
  <w:footnote w:id="402">
    <w:p w14:paraId="0B4DF02A"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2014. Series C No. 289, para. 287.</w:t>
      </w:r>
    </w:p>
  </w:footnote>
  <w:footnote w:id="403">
    <w:p w14:paraId="48033FF8"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2014. Series C No. 289, para. 288.</w:t>
      </w:r>
    </w:p>
  </w:footnote>
  <w:footnote w:id="404">
    <w:p w14:paraId="3FB9D639" w14:textId="77777777" w:rsidR="00576E40" w:rsidRPr="007D3F3C" w:rsidRDefault="00576E40" w:rsidP="00551CA7">
      <w:pPr>
        <w:pStyle w:val="Textonotapie"/>
        <w:jc w:val="both"/>
        <w:rPr>
          <w:rFonts w:ascii="Verdana" w:hAnsi="Verdana" w:cs="Tahoma"/>
          <w:sz w:val="16"/>
          <w:szCs w:val="16"/>
          <w:lang w:val="en-US"/>
        </w:rPr>
      </w:pPr>
      <w:r w:rsidRPr="007D3F3C">
        <w:rPr>
          <w:rStyle w:val="Refdenotaalpie"/>
          <w:rFonts w:ascii="Verdana" w:hAnsi="Verdana" w:cs="Tahoma"/>
          <w:sz w:val="16"/>
          <w:szCs w:val="16"/>
          <w:lang w:val="en-US"/>
        </w:rPr>
        <w:footnoteRef/>
      </w:r>
      <w:r w:rsidRPr="007D3F3C">
        <w:rPr>
          <w:rFonts w:ascii="Verdana" w:hAnsi="Verdana" w:cs="Tahoma"/>
          <w:sz w:val="16"/>
          <w:szCs w:val="16"/>
          <w:lang w:val="en-US"/>
        </w:rPr>
        <w:t xml:space="preserve"> </w:t>
      </w:r>
      <w:r w:rsidRPr="007D3F3C">
        <w:rPr>
          <w:rFonts w:ascii="Verdana" w:hAnsi="Verdana" w:cs="Tahom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Espinoza Gonzáles v. Peru.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20, 2014. Series C No. 289, para. 229.</w:t>
      </w:r>
    </w:p>
  </w:footnote>
  <w:footnote w:id="405">
    <w:p w14:paraId="575C2D5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and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p>
  </w:footnote>
  <w:footnote w:id="406">
    <w:p w14:paraId="064413E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paras. 249</w:t>
      </w:r>
      <w:r w:rsidRPr="007D3F3C">
        <w:rPr>
          <w:rStyle w:val="Textoennegrita"/>
          <w:rFonts w:ascii="Verdana" w:hAnsi="Verdana" w:cs="Tahoma"/>
          <w:color w:val="000000"/>
          <w:sz w:val="16"/>
          <w:szCs w:val="16"/>
          <w:shd w:val="clear" w:color="auto" w:fill="FFFFFF"/>
          <w:lang w:val="en-US"/>
        </w:rPr>
        <w:t xml:space="preserve"> </w:t>
      </w:r>
      <w:r w:rsidRPr="007D3F3C">
        <w:rPr>
          <w:rStyle w:val="Textoennegrita"/>
          <w:rFonts w:ascii="Verdana" w:hAnsi="Verdana" w:cs="Tahoma"/>
          <w:b w:val="0"/>
          <w:color w:val="000000"/>
          <w:sz w:val="16"/>
          <w:szCs w:val="16"/>
          <w:shd w:val="clear" w:color="auto" w:fill="FFFFFF"/>
          <w:lang w:val="en-US"/>
        </w:rPr>
        <w:t xml:space="preserve">to 286, and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 133 to 158.</w:t>
      </w:r>
    </w:p>
  </w:footnote>
  <w:footnote w:id="407">
    <w:p w14:paraId="7CBC990C" w14:textId="77777777" w:rsidR="00576E40" w:rsidRPr="007D3F3C" w:rsidRDefault="00576E40" w:rsidP="00551CA7">
      <w:pPr>
        <w:autoSpaceDE w:val="0"/>
        <w:autoSpaceDN w:val="0"/>
        <w:adjustRightInd w:val="0"/>
        <w:spacing w:after="0" w:line="240" w:lineRule="auto"/>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This case related to the disappearance and subsequent death of the adolescents, </w:t>
      </w:r>
      <w:r w:rsidRPr="007D3F3C">
        <w:rPr>
          <w:rFonts w:ascii="Verdana" w:hAnsi="Verdana" w:cs="Verdana"/>
          <w:sz w:val="16"/>
          <w:szCs w:val="16"/>
          <w:lang w:val="en-US"/>
        </w:rPr>
        <w:t xml:space="preserve">Claudia Ivette González, Esmeralda Herrera Monreal and Laura Berenice Ramos Monárrez, whose bodies were found in a field of cotton in Ciudad Juárez on November 6, 2001, as well as the lack of due diligence on the part of the authorities. </w:t>
      </w:r>
      <w:r w:rsidRPr="007D3F3C">
        <w:rPr>
          <w:rFonts w:ascii="Verdana" w:hAnsi="Verdana"/>
          <w:sz w:val="16"/>
          <w:szCs w:val="16"/>
          <w:lang w:val="en-US"/>
        </w:rPr>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w:t>
      </w:r>
    </w:p>
  </w:footnote>
  <w:footnote w:id="408">
    <w:p w14:paraId="6A48658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paras. 258 and, 108.</w:t>
      </w:r>
    </w:p>
  </w:footnote>
  <w:footnote w:id="409">
    <w:p w14:paraId="766BFC2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 258;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 136 and 108.</w:t>
      </w:r>
    </w:p>
  </w:footnote>
  <w:footnote w:id="410">
    <w:p w14:paraId="27B4632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 281 and </w:t>
      </w:r>
      <w:r w:rsidRPr="007D3F3C">
        <w:rPr>
          <w:rStyle w:val="Textoennegrita"/>
          <w:rFonts w:ascii="Verdana" w:hAnsi="Verdana" w:cs="Tahoma"/>
          <w:b w:val="0"/>
          <w:i/>
          <w:iCs/>
          <w:color w:val="000000"/>
          <w:sz w:val="16"/>
          <w:szCs w:val="16"/>
          <w:shd w:val="clear" w:color="auto" w:fill="FFFFFF"/>
          <w:lang w:val="en-US"/>
        </w:rPr>
        <w:t>ff</w:t>
      </w:r>
      <w:r w:rsidRPr="007D3F3C">
        <w:rPr>
          <w:rStyle w:val="Textoennegrita"/>
          <w:rFonts w:ascii="Verdana" w:hAnsi="Verdana" w:cs="Tahoma"/>
          <w:b w:val="0"/>
          <w:color w:val="000000"/>
          <w:sz w:val="16"/>
          <w:szCs w:val="16"/>
          <w:shd w:val="clear" w:color="auto" w:fill="FFFFFF"/>
          <w:lang w:val="en-US"/>
        </w:rPr>
        <w:t xml:space="preserve">;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 138 and 110 of the judgment.</w:t>
      </w:r>
    </w:p>
  </w:footnote>
  <w:footnote w:id="411">
    <w:p w14:paraId="4E4C3E4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 282.</w:t>
      </w:r>
    </w:p>
  </w:footnote>
  <w:footnote w:id="412">
    <w:p w14:paraId="5DFF3B8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 283.</w:t>
      </w:r>
    </w:p>
  </w:footnote>
  <w:footnote w:id="413">
    <w:p w14:paraId="239CB52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 xml:space="preserve">Case of González et al. (“Cotton Field”)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16, 2009. Series C No.205, paras. 284 and 285.</w:t>
      </w:r>
    </w:p>
  </w:footnote>
  <w:footnote w:id="414">
    <w:p w14:paraId="4DDDF7E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paras. 284 and 286.</w:t>
      </w:r>
    </w:p>
  </w:footnote>
  <w:footnote w:id="415">
    <w:p w14:paraId="577C19E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This case relates to the disappearance of subsequent death of María Isabel Veliz, as well as the absence of an effective response by the State when she was reported missing, and the subsequent deficiencies in the investigation of the facts. I/A Court HR,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p>
  </w:footnote>
  <w:footnote w:id="416">
    <w:p w14:paraId="4EF9B916" w14:textId="77777777" w:rsidR="00576E40" w:rsidRPr="007D3F3C" w:rsidRDefault="00576E40" w:rsidP="00551CA7">
      <w:pPr>
        <w:pStyle w:val="Textonotapie"/>
        <w:jc w:val="both"/>
        <w:rPr>
          <w:rFonts w:ascii="Verdana" w:hAnsi="Verdana" w:cs="Tahoma"/>
          <w:bCs/>
          <w:color w:val="000000"/>
          <w:sz w:val="16"/>
          <w:szCs w:val="16"/>
          <w:shd w:val="clear" w:color="auto" w:fill="FFFFFF"/>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 </w:t>
      </w:r>
      <w:r w:rsidRPr="007D3F3C">
        <w:rPr>
          <w:rStyle w:val="Textoennegrita"/>
          <w:rFonts w:ascii="Verdana" w:hAnsi="Verdana" w:cs="Tahoma"/>
          <w:b w:val="0"/>
          <w:color w:val="000000"/>
          <w:sz w:val="16"/>
          <w:szCs w:val="16"/>
          <w:shd w:val="clear" w:color="auto" w:fill="FFFFFF"/>
          <w:lang w:val="en-US"/>
        </w:rPr>
        <w:t xml:space="preserve">Judgment of May 19, 2014. Series C No. 277, para. 135. See, similarly: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No.205, paras. 252 and 107.</w:t>
      </w:r>
    </w:p>
  </w:footnote>
  <w:footnote w:id="417">
    <w:p w14:paraId="5D3E4D7E" w14:textId="77777777" w:rsidR="00576E40" w:rsidRPr="007D3F3C" w:rsidRDefault="00576E40" w:rsidP="00551CA7">
      <w:pPr>
        <w:pStyle w:val="Textonotapie"/>
        <w:jc w:val="both"/>
        <w:rPr>
          <w:rFonts w:ascii="Verdana" w:hAnsi="Verdana"/>
          <w:b/>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136, and </w:t>
      </w:r>
      <w:r w:rsidRPr="007D3F3C">
        <w:rPr>
          <w:rStyle w:val="Textoennegrita"/>
          <w:rFonts w:ascii="Verdana" w:hAnsi="Verdana" w:cs="Tahoma"/>
          <w:b w:val="0"/>
          <w:i/>
          <w:color w:val="000000"/>
          <w:sz w:val="16"/>
          <w:szCs w:val="16"/>
          <w:shd w:val="clear" w:color="auto" w:fill="FFFFFF"/>
          <w:lang w:val="en-US"/>
        </w:rPr>
        <w:t>Case of</w:t>
      </w:r>
      <w:r w:rsidRPr="007D3F3C">
        <w:rPr>
          <w:rStyle w:val="Textoennegrita"/>
          <w:rFonts w:ascii="Verdana" w:hAnsi="Verdana" w:cs="Tahoma"/>
          <w:i/>
          <w:color w:val="000000"/>
          <w:sz w:val="16"/>
          <w:szCs w:val="16"/>
          <w:shd w:val="clear" w:color="auto" w:fill="FFFFFF"/>
          <w:lang w:val="en-US"/>
        </w:rPr>
        <w:t xml:space="preserve"> </w:t>
      </w:r>
      <w:r w:rsidRPr="007D3F3C">
        <w:rPr>
          <w:rStyle w:val="Textoennegrita"/>
          <w:rFonts w:ascii="Verdana" w:hAnsi="Verdana" w:cs="Tahoma"/>
          <w:b w:val="0"/>
          <w:i/>
          <w:color w:val="000000"/>
          <w:sz w:val="16"/>
          <w:szCs w:val="16"/>
          <w:shd w:val="clear" w:color="auto" w:fill="FFFFFF"/>
          <w:lang w:val="en-US"/>
        </w:rPr>
        <w:t>González et al.</w:t>
      </w:r>
      <w:r w:rsidRPr="007D3F3C">
        <w:rPr>
          <w:rStyle w:val="Textoennegrita"/>
          <w:rFonts w:ascii="Verdana" w:hAnsi="Verdana" w:cs="Tahoma"/>
          <w:i/>
          <w:color w:val="000000"/>
          <w:sz w:val="16"/>
          <w:szCs w:val="16"/>
          <w:shd w:val="clear" w:color="auto" w:fill="FFFFFF"/>
          <w:lang w:val="en-US"/>
        </w:rPr>
        <w:t xml:space="preserve"> </w:t>
      </w:r>
      <w:r w:rsidRPr="007D3F3C">
        <w:rPr>
          <w:rStyle w:val="Textoennegrita"/>
          <w:rFonts w:ascii="Verdana" w:hAnsi="Verdana" w:cs="Tahoma"/>
          <w:b w:val="0"/>
          <w:i/>
          <w:color w:val="000000"/>
          <w:sz w:val="16"/>
          <w:szCs w:val="16"/>
          <w:shd w:val="clear" w:color="auto" w:fill="FFFFFF"/>
          <w:lang w:val="en-US"/>
        </w:rPr>
        <w:t xml:space="preserve">(“Cotton Field”)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16, 2009. Series C No. 205, para. 258.</w:t>
      </w:r>
    </w:p>
  </w:footnote>
  <w:footnote w:id="418">
    <w:p w14:paraId="3A2FC612"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138, and </w:t>
      </w:r>
      <w:r w:rsidRPr="007D3F3C">
        <w:rPr>
          <w:rStyle w:val="Textoennegrita"/>
          <w:rFonts w:ascii="Verdana" w:hAnsi="Verdana" w:cs="Tahoma"/>
          <w:b w:val="0"/>
          <w:i/>
          <w:color w:val="000000"/>
          <w:sz w:val="16"/>
          <w:szCs w:val="16"/>
          <w:shd w:val="clear" w:color="auto" w:fill="FFFFFF"/>
          <w:lang w:val="en-US"/>
        </w:rPr>
        <w:t xml:space="preserve">Case of González et al. (“Cotton Field”) v. Mexico. Preliminary objection, merits, reparations and costs. </w:t>
      </w:r>
      <w:r w:rsidRPr="007D3F3C">
        <w:rPr>
          <w:rStyle w:val="Textoennegrita"/>
          <w:rFonts w:ascii="Verdana" w:hAnsi="Verdana" w:cs="Tahoma"/>
          <w:b w:val="0"/>
          <w:color w:val="000000"/>
          <w:sz w:val="16"/>
          <w:szCs w:val="16"/>
          <w:shd w:val="clear" w:color="auto" w:fill="FFFFFF"/>
          <w:lang w:val="en-US"/>
        </w:rPr>
        <w:t>Judgment of November 16, 2009. Series C No. 205, para. 281.</w:t>
      </w:r>
    </w:p>
  </w:footnote>
  <w:footnote w:id="419">
    <w:p w14:paraId="55CE7E9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139.</w:t>
      </w:r>
    </w:p>
  </w:footnote>
  <w:footnote w:id="420">
    <w:p w14:paraId="6DDAA5A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Judgment of May 19, 2014. Series C No. 277, para. 142.</w:t>
      </w:r>
    </w:p>
  </w:footnote>
  <w:footnote w:id="421">
    <w:p w14:paraId="781269E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 </w:t>
      </w:r>
      <w:r w:rsidRPr="007D3F3C">
        <w:rPr>
          <w:rStyle w:val="Textoennegrita"/>
          <w:rFonts w:ascii="Verdana" w:hAnsi="Verdana" w:cs="Tahoma"/>
          <w:b w:val="0"/>
          <w:color w:val="000000"/>
          <w:sz w:val="16"/>
          <w:szCs w:val="16"/>
          <w:shd w:val="clear" w:color="auto" w:fill="FFFFFF"/>
          <w:lang w:val="en-US"/>
        </w:rPr>
        <w:t>Judgment of May 19, 2014. Series C No. 277, para. 155.</w:t>
      </w:r>
    </w:p>
  </w:footnote>
  <w:footnote w:id="422">
    <w:p w14:paraId="7575F2E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 </w:t>
      </w:r>
      <w:r w:rsidRPr="007D3F3C">
        <w:rPr>
          <w:rStyle w:val="Textoennegrita"/>
          <w:rFonts w:ascii="Verdana" w:hAnsi="Verdana" w:cs="Tahoma"/>
          <w:b w:val="0"/>
          <w:color w:val="000000"/>
          <w:sz w:val="16"/>
          <w:szCs w:val="16"/>
          <w:shd w:val="clear" w:color="auto" w:fill="FFFFFF"/>
          <w:lang w:val="en-US"/>
        </w:rPr>
        <w:t>Judgment of May 19, 2014. Series C No. 277, para. 144.</w:t>
      </w:r>
    </w:p>
  </w:footnote>
  <w:footnote w:id="423">
    <w:p w14:paraId="48F53B8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 </w:t>
      </w:r>
      <w:r w:rsidRPr="007D3F3C">
        <w:rPr>
          <w:rStyle w:val="Textoennegrita"/>
          <w:rFonts w:ascii="Verdana" w:hAnsi="Verdana" w:cs="Tahoma"/>
          <w:b w:val="0"/>
          <w:color w:val="000000"/>
          <w:sz w:val="16"/>
          <w:szCs w:val="16"/>
          <w:shd w:val="clear" w:color="auto" w:fill="FFFFFF"/>
          <w:lang w:val="en-US"/>
        </w:rPr>
        <w:t>Judgment of May 19, 2014. Series C No. 277, para. 154.</w:t>
      </w:r>
    </w:p>
  </w:footnote>
  <w:footnote w:id="424">
    <w:p w14:paraId="02F8696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 </w:t>
      </w:r>
      <w:r w:rsidRPr="007D3F3C">
        <w:rPr>
          <w:rStyle w:val="Textoennegrita"/>
          <w:rFonts w:ascii="Verdana" w:hAnsi="Verdana" w:cs="Tahoma"/>
          <w:b w:val="0"/>
          <w:color w:val="000000"/>
          <w:sz w:val="16"/>
          <w:szCs w:val="16"/>
          <w:shd w:val="clear" w:color="auto" w:fill="FFFFFF"/>
          <w:lang w:val="en-US"/>
        </w:rPr>
        <w:t>Judgment of May 19, 2014. Series C No. 277, para. 155.</w:t>
      </w:r>
    </w:p>
  </w:footnote>
  <w:footnote w:id="425">
    <w:p w14:paraId="0EF06E5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 </w:t>
      </w:r>
      <w:r w:rsidRPr="007D3F3C">
        <w:rPr>
          <w:rStyle w:val="Textoennegrita"/>
          <w:rFonts w:ascii="Verdana" w:hAnsi="Verdana" w:cs="Tahoma"/>
          <w:b w:val="0"/>
          <w:color w:val="000000"/>
          <w:sz w:val="16"/>
          <w:szCs w:val="16"/>
          <w:shd w:val="clear" w:color="auto" w:fill="FFFFFF"/>
          <w:lang w:val="en-US"/>
        </w:rPr>
        <w:t>Judgment of May 19, 2014. Series C No. 277, para. 158.</w:t>
      </w:r>
    </w:p>
  </w:footnote>
  <w:footnote w:id="426">
    <w:p w14:paraId="38C58B8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 xml:space="preserve">Case of González et al. (“Cotton Field”) v. Mexico. Preliminary objection, merits, reparations and costs. </w:t>
      </w:r>
      <w:r w:rsidRPr="007D3F3C">
        <w:rPr>
          <w:rStyle w:val="Textoennegrita"/>
          <w:rFonts w:ascii="Verdana" w:hAnsi="Verdana" w:cs="Tahoma"/>
          <w:b w:val="0"/>
          <w:color w:val="000000"/>
          <w:sz w:val="16"/>
          <w:szCs w:val="16"/>
          <w:shd w:val="clear" w:color="auto" w:fill="FFFFFF"/>
          <w:lang w:val="en-US"/>
        </w:rPr>
        <w:t xml:space="preserve">Judgment of November 16, 2009. Series C No. 205, para. 282, and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 139.</w:t>
      </w:r>
    </w:p>
  </w:footnote>
  <w:footnote w:id="427">
    <w:p w14:paraId="0D86599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 para. 282.</w:t>
      </w:r>
    </w:p>
  </w:footnote>
  <w:footnote w:id="428">
    <w:p w14:paraId="7627BB6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w:t>
      </w:r>
      <w:r w:rsidRPr="007D3F3C">
        <w:rPr>
          <w:rFonts w:ascii="Verdana" w:hAnsi="Verdana"/>
          <w:sz w:val="16"/>
          <w:szCs w:val="16"/>
          <w:lang w:val="en-US"/>
        </w:rPr>
        <w:t xml:space="preserve"> 139.</w:t>
      </w:r>
    </w:p>
  </w:footnote>
  <w:footnote w:id="429">
    <w:p w14:paraId="6D4CB46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Paras. 45 to 48 of the judgment.</w:t>
      </w:r>
    </w:p>
  </w:footnote>
  <w:footnote w:id="430">
    <w:p w14:paraId="32B0F15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Paras. 45 and </w:t>
      </w:r>
      <w:r w:rsidRPr="007D3F3C">
        <w:rPr>
          <w:rFonts w:ascii="Verdana" w:hAnsi="Verdana"/>
          <w:i/>
          <w:iCs/>
          <w:sz w:val="16"/>
          <w:szCs w:val="16"/>
          <w:lang w:val="en-US"/>
        </w:rPr>
        <w:t>ff.</w:t>
      </w:r>
    </w:p>
  </w:footnote>
  <w:footnote w:id="431">
    <w:p w14:paraId="4927531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Paras. 45 of the judgment. Citing: 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w:t>
      </w:r>
      <w:r w:rsidRPr="007D3F3C">
        <w:rPr>
          <w:rFonts w:ascii="Verdana" w:hAnsi="Verdana"/>
          <w:sz w:val="16"/>
          <w:szCs w:val="16"/>
          <w:lang w:val="en-US"/>
        </w:rPr>
        <w:t xml:space="preserve"> 73, 81 and 152.</w:t>
      </w:r>
    </w:p>
  </w:footnote>
  <w:footnote w:id="432">
    <w:p w14:paraId="04AAC9C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Paras. 46 of the judgment. Citing: 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w:t>
      </w:r>
      <w:r w:rsidRPr="007D3F3C">
        <w:rPr>
          <w:rFonts w:ascii="Verdana" w:hAnsi="Verdana"/>
          <w:sz w:val="16"/>
          <w:szCs w:val="16"/>
          <w:lang w:val="en-US"/>
        </w:rPr>
        <w:t xml:space="preserve"> 76.</w:t>
      </w:r>
    </w:p>
  </w:footnote>
  <w:footnote w:id="433">
    <w:p w14:paraId="270BDB3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Paras. 46 of the judgment.</w:t>
      </w:r>
    </w:p>
  </w:footnote>
  <w:footnote w:id="434">
    <w:p w14:paraId="0CE6AE5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Paras. 45, 46 and 47 of the judgment.</w:t>
      </w:r>
    </w:p>
  </w:footnote>
  <w:footnote w:id="435">
    <w:p w14:paraId="08BB312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w:t>
      </w:r>
      <w:r w:rsidRPr="007D3F3C">
        <w:rPr>
          <w:rFonts w:ascii="Verdana" w:hAnsi="Verdana"/>
          <w:sz w:val="16"/>
          <w:szCs w:val="16"/>
          <w:lang w:val="en-US"/>
        </w:rPr>
        <w:t xml:space="preserve"> 78 and 48. </w:t>
      </w:r>
    </w:p>
  </w:footnote>
  <w:footnote w:id="436">
    <w:p w14:paraId="10585339"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w:t>
      </w:r>
      <w:r w:rsidRPr="007D3F3C">
        <w:rPr>
          <w:rFonts w:ascii="Verdana" w:hAnsi="Verdana"/>
          <w:sz w:val="16"/>
          <w:szCs w:val="16"/>
          <w:lang w:val="en-US"/>
        </w:rPr>
        <w:t xml:space="preserve"> 89 and 49.</w:t>
      </w:r>
    </w:p>
  </w:footnote>
  <w:footnote w:id="437">
    <w:p w14:paraId="277D66D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paras.</w:t>
      </w:r>
      <w:r w:rsidRPr="007D3F3C">
        <w:rPr>
          <w:rFonts w:ascii="Verdana" w:hAnsi="Verdana"/>
          <w:sz w:val="16"/>
          <w:szCs w:val="16"/>
          <w:lang w:val="en-US"/>
        </w:rPr>
        <w:t xml:space="preserve"> 90, 212 and 49.</w:t>
      </w:r>
    </w:p>
  </w:footnote>
  <w:footnote w:id="438">
    <w:p w14:paraId="10DECAE7"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 para.</w:t>
      </w:r>
      <w:r w:rsidRPr="007D3F3C">
        <w:rPr>
          <w:rFonts w:ascii="Verdana" w:hAnsi="Verdana"/>
          <w:sz w:val="16"/>
          <w:szCs w:val="16"/>
          <w:lang w:val="en-US"/>
        </w:rPr>
        <w:t xml:space="preserve"> 82.</w:t>
      </w:r>
    </w:p>
  </w:footnote>
  <w:footnote w:id="439">
    <w:p w14:paraId="4E1ACB5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109 of the judgment.</w:t>
      </w:r>
    </w:p>
  </w:footnote>
  <w:footnote w:id="440">
    <w:p w14:paraId="74F8D1F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110 of the judgment.</w:t>
      </w:r>
    </w:p>
  </w:footnote>
  <w:footnote w:id="441">
    <w:p w14:paraId="089C553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111 of the judgment.</w:t>
      </w:r>
    </w:p>
  </w:footnote>
  <w:footnote w:id="442">
    <w:p w14:paraId="707CE58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Paras. 112 and </w:t>
      </w:r>
      <w:r w:rsidRPr="007D3F3C">
        <w:rPr>
          <w:rFonts w:ascii="Verdana" w:hAnsi="Verdana"/>
          <w:i/>
          <w:iCs/>
          <w:sz w:val="16"/>
          <w:szCs w:val="16"/>
          <w:lang w:val="en-US"/>
        </w:rPr>
        <w:t>ff.</w:t>
      </w:r>
      <w:r w:rsidRPr="007D3F3C">
        <w:rPr>
          <w:rFonts w:ascii="Verdana" w:hAnsi="Verdana"/>
          <w:sz w:val="16"/>
          <w:szCs w:val="16"/>
          <w:lang w:val="en-US"/>
        </w:rPr>
        <w:t xml:space="preserve"> of the judgment.</w:t>
      </w:r>
    </w:p>
  </w:footnote>
  <w:footnote w:id="443">
    <w:p w14:paraId="027E7D1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118 a 120 of the judgment.</w:t>
      </w:r>
    </w:p>
  </w:footnote>
  <w:footnote w:id="444">
    <w:p w14:paraId="49924176"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120 of the judgment.</w:t>
      </w:r>
    </w:p>
  </w:footnote>
  <w:footnote w:id="445">
    <w:p w14:paraId="0AE61EB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121 of the judgment.</w:t>
      </w:r>
    </w:p>
  </w:footnote>
  <w:footnote w:id="446">
    <w:p w14:paraId="3936257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123 of the judgment.</w:t>
      </w:r>
    </w:p>
  </w:footnote>
  <w:footnote w:id="447">
    <w:p w14:paraId="6D47C97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126 of the judgment.</w:t>
      </w:r>
    </w:p>
  </w:footnote>
  <w:footnote w:id="448">
    <w:p w14:paraId="760839B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In this regard, it its worth mentioning, first, that the Court noted the lack of clarity as to the moment </w:t>
      </w:r>
      <w:r w:rsidR="008E3357" w:rsidRPr="007D3F3C">
        <w:rPr>
          <w:rFonts w:ascii="Verdana" w:hAnsi="Verdana"/>
          <w:sz w:val="16"/>
          <w:szCs w:val="16"/>
          <w:lang w:val="en-US"/>
        </w:rPr>
        <w:t>as of which</w:t>
      </w:r>
      <w:r w:rsidRPr="007D3F3C">
        <w:rPr>
          <w:rFonts w:ascii="Verdana" w:hAnsi="Verdana"/>
          <w:sz w:val="16"/>
          <w:szCs w:val="16"/>
          <w:lang w:val="en-US"/>
        </w:rPr>
        <w:t xml:space="preserve"> the 24-hour period before presentation of the report </w:t>
      </w:r>
      <w:r w:rsidR="008E3357" w:rsidRPr="007D3F3C">
        <w:rPr>
          <w:rFonts w:ascii="Verdana" w:hAnsi="Verdana"/>
          <w:sz w:val="16"/>
          <w:szCs w:val="16"/>
          <w:lang w:val="en-US"/>
        </w:rPr>
        <w:t>that</w:t>
      </w:r>
      <w:r w:rsidRPr="007D3F3C">
        <w:rPr>
          <w:rFonts w:ascii="Verdana" w:hAnsi="Verdana"/>
          <w:sz w:val="16"/>
          <w:szCs w:val="16"/>
          <w:lang w:val="en-US"/>
        </w:rPr>
        <w:t xml:space="preserve"> Claudina Velásquez </w:t>
      </w:r>
      <w:r w:rsidR="008E3357" w:rsidRPr="007D3F3C">
        <w:rPr>
          <w:rFonts w:ascii="Verdana" w:hAnsi="Verdana"/>
          <w:sz w:val="16"/>
          <w:szCs w:val="16"/>
          <w:lang w:val="en-US"/>
        </w:rPr>
        <w:t>was missing</w:t>
      </w:r>
      <w:r w:rsidRPr="007D3F3C">
        <w:rPr>
          <w:rFonts w:ascii="Verdana" w:hAnsi="Verdana"/>
          <w:sz w:val="16"/>
          <w:szCs w:val="16"/>
          <w:lang w:val="en-US"/>
        </w:rPr>
        <w:t xml:space="preserve"> should have been calculated. Second, in response to </w:t>
      </w:r>
      <w:r w:rsidR="008E3357" w:rsidRPr="007D3F3C">
        <w:rPr>
          <w:rFonts w:ascii="Verdana" w:hAnsi="Verdana"/>
          <w:sz w:val="16"/>
          <w:szCs w:val="16"/>
          <w:lang w:val="en-US"/>
        </w:rPr>
        <w:t>its</w:t>
      </w:r>
      <w:r w:rsidRPr="007D3F3C">
        <w:rPr>
          <w:rFonts w:ascii="Verdana" w:hAnsi="Verdana"/>
          <w:sz w:val="16"/>
          <w:szCs w:val="16"/>
          <w:lang w:val="en-US"/>
        </w:rPr>
        <w:t xml:space="preserve"> request to the State for information concerning the existence of any law or practice according to which it was necessary to wait 24 hours to receive missing person report</w:t>
      </w:r>
      <w:r w:rsidR="008E3357" w:rsidRPr="007D3F3C">
        <w:rPr>
          <w:rFonts w:ascii="Verdana" w:hAnsi="Verdana"/>
          <w:sz w:val="16"/>
          <w:szCs w:val="16"/>
          <w:lang w:val="en-US"/>
        </w:rPr>
        <w:t>s</w:t>
      </w:r>
      <w:r w:rsidRPr="007D3F3C">
        <w:rPr>
          <w:rFonts w:ascii="Verdana" w:hAnsi="Verdana"/>
          <w:sz w:val="16"/>
          <w:szCs w:val="16"/>
          <w:lang w:val="en-US"/>
        </w:rPr>
        <w:t xml:space="preserve">, the State indicated that “there is no provision in domestic law” relating to this lapse and, third, the law on which the State argued that the agents had based their actions (article 51 of Decree No. 40-90 of the Organic Law of the Public Prosecution Service) did not </w:t>
      </w:r>
      <w:r w:rsidR="008E3357" w:rsidRPr="007D3F3C">
        <w:rPr>
          <w:rFonts w:ascii="Verdana" w:hAnsi="Verdana"/>
          <w:sz w:val="16"/>
          <w:szCs w:val="16"/>
          <w:lang w:val="en-US"/>
        </w:rPr>
        <w:t>indicate</w:t>
      </w:r>
      <w:r w:rsidRPr="007D3F3C">
        <w:rPr>
          <w:rFonts w:ascii="Verdana" w:hAnsi="Verdana"/>
          <w:sz w:val="16"/>
          <w:szCs w:val="16"/>
          <w:lang w:val="en-US"/>
        </w:rPr>
        <w:t xml:space="preserve"> the actions that the authorities should have taken in that case and made no reference to receiving the report, reflecting confusion </w:t>
      </w:r>
      <w:r w:rsidR="008E3357" w:rsidRPr="007D3F3C">
        <w:rPr>
          <w:rFonts w:ascii="Verdana" w:hAnsi="Verdana"/>
          <w:sz w:val="16"/>
          <w:szCs w:val="16"/>
          <w:lang w:val="en-US"/>
        </w:rPr>
        <w:t>“</w:t>
      </w:r>
      <w:r w:rsidRPr="007D3F3C">
        <w:rPr>
          <w:rFonts w:ascii="Verdana" w:hAnsi="Verdana"/>
          <w:sz w:val="16"/>
          <w:szCs w:val="16"/>
          <w:lang w:val="en-US"/>
        </w:rPr>
        <w:t xml:space="preserve">as </w:t>
      </w:r>
      <w:r w:rsidR="008E3357" w:rsidRPr="007D3F3C">
        <w:rPr>
          <w:rFonts w:ascii="Verdana" w:hAnsi="Verdana"/>
          <w:sz w:val="16"/>
          <w:szCs w:val="16"/>
          <w:lang w:val="en-US"/>
        </w:rPr>
        <w:t>to the rules that</w:t>
      </w:r>
      <w:r w:rsidRPr="007D3F3C">
        <w:rPr>
          <w:rFonts w:ascii="Verdana" w:hAnsi="Verdana"/>
          <w:sz w:val="16"/>
          <w:szCs w:val="16"/>
          <w:lang w:val="en-US"/>
        </w:rPr>
        <w:t xml:space="preserve"> the police should follow.” Paras. 128 to 131 of the judgment.</w:t>
      </w:r>
    </w:p>
  </w:footnote>
  <w:footnote w:id="449">
    <w:p w14:paraId="349ADB8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132 of the judgment.</w:t>
      </w:r>
    </w:p>
  </w:footnote>
  <w:footnote w:id="450">
    <w:p w14:paraId="33E5815F"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133 of the judgment.</w:t>
      </w:r>
    </w:p>
  </w:footnote>
  <w:footnote w:id="451">
    <w:p w14:paraId="06A0E87D"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133 of the judgment.</w:t>
      </w:r>
    </w:p>
  </w:footnote>
  <w:footnote w:id="452">
    <w:p w14:paraId="6603C81E"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120 of the judgment.</w:t>
      </w:r>
    </w:p>
  </w:footnote>
  <w:footnote w:id="453">
    <w:p w14:paraId="3A21166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111 of the judgment.</w:t>
      </w:r>
    </w:p>
  </w:footnote>
  <w:footnote w:id="454">
    <w:p w14:paraId="2264DEF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112 of the judgment.</w:t>
      </w:r>
    </w:p>
  </w:footnote>
  <w:footnote w:id="455">
    <w:p w14:paraId="12CA34AC"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Para. 259 and </w:t>
      </w:r>
      <w:r w:rsidRPr="007D3F3C">
        <w:rPr>
          <w:rFonts w:ascii="Verdana" w:hAnsi="Verdana"/>
          <w:i/>
          <w:iCs/>
          <w:sz w:val="16"/>
          <w:szCs w:val="16"/>
          <w:lang w:val="en-US"/>
        </w:rPr>
        <w:t xml:space="preserve">ff </w:t>
      </w:r>
      <w:r w:rsidRPr="007D3F3C">
        <w:rPr>
          <w:rFonts w:ascii="Verdana" w:hAnsi="Verdana"/>
          <w:sz w:val="16"/>
          <w:szCs w:val="16"/>
          <w:lang w:val="en-US"/>
        </w:rPr>
        <w:t>of the judgment.</w:t>
      </w:r>
    </w:p>
  </w:footnote>
  <w:footnote w:id="456">
    <w:p w14:paraId="725371E3"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The insufficiency stems from the failure to allocate resources, </w:t>
      </w:r>
      <w:r w:rsidR="00400CCA" w:rsidRPr="007D3F3C">
        <w:rPr>
          <w:rFonts w:ascii="Verdana" w:hAnsi="Verdana"/>
          <w:sz w:val="16"/>
          <w:szCs w:val="16"/>
          <w:lang w:val="en-US"/>
        </w:rPr>
        <w:t>“</w:t>
      </w:r>
      <w:r w:rsidRPr="007D3F3C">
        <w:rPr>
          <w:rFonts w:ascii="Verdana" w:hAnsi="Verdana"/>
          <w:sz w:val="16"/>
          <w:szCs w:val="16"/>
          <w:lang w:val="en-US"/>
        </w:rPr>
        <w:t>the lack of coordination between the different institutions and a comprehensive protection</w:t>
      </w:r>
      <w:r w:rsidR="004E7CD9" w:rsidRPr="007D3F3C">
        <w:rPr>
          <w:rFonts w:ascii="Verdana" w:hAnsi="Verdana"/>
          <w:sz w:val="16"/>
          <w:szCs w:val="16"/>
          <w:lang w:val="en-US"/>
        </w:rPr>
        <w:t xml:space="preserve"> strategy</w:t>
      </w:r>
      <w:r w:rsidRPr="007D3F3C">
        <w:rPr>
          <w:rFonts w:ascii="Verdana" w:hAnsi="Verdana"/>
          <w:sz w:val="16"/>
          <w:szCs w:val="16"/>
          <w:lang w:val="en-US"/>
        </w:rPr>
        <w:t xml:space="preserve">,” as well as the fact that the State </w:t>
      </w:r>
      <w:r w:rsidR="00400CCA" w:rsidRPr="007D3F3C">
        <w:rPr>
          <w:rFonts w:ascii="Verdana" w:hAnsi="Verdana"/>
          <w:sz w:val="16"/>
          <w:szCs w:val="16"/>
          <w:lang w:val="en-US"/>
        </w:rPr>
        <w:t>“</w:t>
      </w:r>
      <w:r w:rsidRPr="007D3F3C">
        <w:rPr>
          <w:rFonts w:ascii="Verdana" w:hAnsi="Verdana"/>
          <w:sz w:val="16"/>
          <w:szCs w:val="16"/>
          <w:lang w:val="en-US"/>
        </w:rPr>
        <w:t xml:space="preserve">had not </w:t>
      </w:r>
      <w:r w:rsidR="00400CCA" w:rsidRPr="007D3F3C">
        <w:rPr>
          <w:rFonts w:ascii="Verdana" w:hAnsi="Verdana"/>
          <w:sz w:val="16"/>
          <w:szCs w:val="16"/>
          <w:lang w:val="en-US"/>
        </w:rPr>
        <w:t>proved</w:t>
      </w:r>
      <w:r w:rsidRPr="007D3F3C">
        <w:rPr>
          <w:rFonts w:ascii="Verdana" w:hAnsi="Verdana"/>
          <w:sz w:val="16"/>
          <w:szCs w:val="16"/>
          <w:lang w:val="en-US"/>
        </w:rPr>
        <w:t xml:space="preserve"> that it had implemented the</w:t>
      </w:r>
      <w:r w:rsidR="00400CCA" w:rsidRPr="007D3F3C">
        <w:rPr>
          <w:rFonts w:ascii="Verdana" w:hAnsi="Verdana"/>
          <w:sz w:val="16"/>
          <w:szCs w:val="16"/>
          <w:lang w:val="en-US"/>
        </w:rPr>
        <w:t xml:space="preserve"> necessary</w:t>
      </w:r>
      <w:r w:rsidRPr="007D3F3C">
        <w:rPr>
          <w:rFonts w:ascii="Verdana" w:hAnsi="Verdana"/>
          <w:sz w:val="16"/>
          <w:szCs w:val="16"/>
          <w:lang w:val="en-US"/>
        </w:rPr>
        <w:t xml:space="preserve"> measures </w:t>
      </w:r>
      <w:r w:rsidR="00400CCA" w:rsidRPr="007D3F3C">
        <w:rPr>
          <w:rFonts w:ascii="Verdana" w:hAnsi="Verdana"/>
          <w:sz w:val="16"/>
          <w:szCs w:val="16"/>
          <w:lang w:val="en-US"/>
        </w:rPr>
        <w:t xml:space="preserve">to ensure </w:t>
      </w:r>
      <w:r w:rsidRPr="007D3F3C">
        <w:rPr>
          <w:rFonts w:ascii="Verdana" w:hAnsi="Verdana"/>
          <w:sz w:val="16"/>
          <w:szCs w:val="16"/>
          <w:lang w:val="en-US"/>
        </w:rPr>
        <w:t xml:space="preserve">that the officials responsible for receiving missing person reports had the capacity and the sensitivity to understand the </w:t>
      </w:r>
      <w:r w:rsidR="00400CCA" w:rsidRPr="007D3F3C">
        <w:rPr>
          <w:rFonts w:ascii="Verdana" w:hAnsi="Verdana"/>
          <w:sz w:val="16"/>
          <w:szCs w:val="16"/>
          <w:lang w:val="en-US"/>
        </w:rPr>
        <w:t xml:space="preserve">gravity of such reports </w:t>
      </w:r>
      <w:r w:rsidRPr="007D3F3C">
        <w:rPr>
          <w:rFonts w:ascii="Verdana" w:hAnsi="Verdana"/>
          <w:sz w:val="16"/>
          <w:szCs w:val="16"/>
          <w:lang w:val="en-US"/>
        </w:rPr>
        <w:t xml:space="preserve">in the context of violence against women, </w:t>
      </w:r>
      <w:r w:rsidR="00400CCA" w:rsidRPr="007D3F3C">
        <w:rPr>
          <w:rFonts w:ascii="Verdana" w:hAnsi="Verdana"/>
          <w:sz w:val="16"/>
          <w:szCs w:val="16"/>
          <w:lang w:val="en-US"/>
        </w:rPr>
        <w:t>and</w:t>
      </w:r>
      <w:r w:rsidRPr="007D3F3C">
        <w:rPr>
          <w:rFonts w:ascii="Verdana" w:hAnsi="Verdana"/>
          <w:sz w:val="16"/>
          <w:szCs w:val="16"/>
          <w:lang w:val="en-US"/>
        </w:rPr>
        <w:t xml:space="preserve"> the willingness and training to act immediately and effectively.” Para. 264 of the judgment.</w:t>
      </w:r>
    </w:p>
  </w:footnote>
  <w:footnote w:id="457">
    <w:p w14:paraId="064515A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265 of the judgment.</w:t>
      </w:r>
    </w:p>
  </w:footnote>
  <w:footnote w:id="458">
    <w:p w14:paraId="235BF7F1"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266 of the judgment.</w:t>
      </w:r>
    </w:p>
  </w:footnote>
  <w:footnote w:id="459">
    <w:p w14:paraId="1A439758"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107 of the judgment.</w:t>
      </w:r>
    </w:p>
  </w:footnote>
  <w:footnote w:id="460">
    <w:p w14:paraId="2E11C6B0"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r>
      <w:r w:rsidRPr="007D3F3C">
        <w:rPr>
          <w:rFonts w:ascii="Verdana" w:eastAsia="MS Mincho" w:hAnsi="Verdana" w:cs="Verdana"/>
          <w:spacing w:val="-4"/>
          <w:sz w:val="16"/>
          <w:szCs w:val="16"/>
          <w:lang w:val="en-US"/>
        </w:rPr>
        <w:t>Para. 107 of the judgment</w:t>
      </w:r>
      <w:r w:rsidRPr="007D3F3C">
        <w:rPr>
          <w:rFonts w:ascii="Verdana" w:hAnsi="Verdana"/>
          <w:sz w:val="16"/>
          <w:szCs w:val="16"/>
          <w:lang w:val="en-US"/>
        </w:rPr>
        <w:t xml:space="preserve">. Citing: I/A Court HR, </w:t>
      </w:r>
      <w:r w:rsidRPr="007D3F3C">
        <w:rPr>
          <w:rFonts w:ascii="Verdana" w:hAnsi="Verdana"/>
          <w:i/>
          <w:spacing w:val="-4"/>
          <w:sz w:val="16"/>
          <w:szCs w:val="16"/>
          <w:lang w:val="en-US"/>
        </w:rPr>
        <w:t xml:space="preserve">Cf. Case of Velásquez Rodríguez v. Honduras. </w:t>
      </w:r>
      <w:r w:rsidRPr="007D3F3C">
        <w:rPr>
          <w:rStyle w:val="Textoennegrita"/>
          <w:rFonts w:ascii="Verdana" w:hAnsi="Verdana"/>
          <w:b w:val="0"/>
          <w:i/>
          <w:color w:val="000000"/>
          <w:sz w:val="16"/>
          <w:szCs w:val="16"/>
          <w:shd w:val="clear" w:color="auto" w:fill="FFFFFF"/>
          <w:lang w:val="en-US"/>
        </w:rPr>
        <w:t>Merits.</w:t>
      </w:r>
      <w:r w:rsidRPr="007D3F3C">
        <w:rPr>
          <w:rStyle w:val="Textoennegrita"/>
          <w:rFonts w:ascii="Verdana" w:hAnsi="Verdana"/>
          <w:b w:val="0"/>
          <w:color w:val="000000"/>
          <w:sz w:val="16"/>
          <w:szCs w:val="16"/>
          <w:shd w:val="clear" w:color="auto" w:fill="FFFFFF"/>
          <w:lang w:val="en-US"/>
        </w:rPr>
        <w:t xml:space="preserve"> Judgment of July 29, 1988. Series C No. 4,</w:t>
      </w:r>
      <w:r w:rsidRPr="007D3F3C">
        <w:rPr>
          <w:rFonts w:ascii="Verdana" w:hAnsi="Verdana"/>
          <w:spacing w:val="-4"/>
          <w:sz w:val="16"/>
          <w:szCs w:val="16"/>
          <w:lang w:val="en-US"/>
        </w:rPr>
        <w:t xml:space="preserve"> para. 166, and </w:t>
      </w:r>
      <w:r w:rsidRPr="007D3F3C">
        <w:rPr>
          <w:rFonts w:ascii="Verdana" w:hAnsi="Verdana"/>
          <w:i/>
          <w:spacing w:val="-4"/>
          <w:sz w:val="16"/>
          <w:szCs w:val="16"/>
          <w:lang w:val="en-US"/>
        </w:rPr>
        <w:t xml:space="preserve">Case of Rodríguez Vera et al. (Disappeared of the Palace of Justice)v. Colombia. Preliminary objections, merits, reparations and costs. </w:t>
      </w:r>
      <w:r w:rsidRPr="007D3F3C">
        <w:rPr>
          <w:rFonts w:ascii="Verdana" w:hAnsi="Verdana"/>
          <w:spacing w:val="-4"/>
          <w:sz w:val="16"/>
          <w:szCs w:val="16"/>
          <w:lang w:val="en-US"/>
        </w:rPr>
        <w:t>Judgment of November 14, 2014. Series C No. 287, para. 519.</w:t>
      </w:r>
    </w:p>
  </w:footnote>
  <w:footnote w:id="461">
    <w:p w14:paraId="7B001ED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108 of the judgment.</w:t>
      </w:r>
    </w:p>
  </w:footnote>
  <w:footnote w:id="462">
    <w:p w14:paraId="4EACBE5B"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Para. 108 of the judgment</w:t>
      </w:r>
      <w:r w:rsidRPr="007D3F3C">
        <w:rPr>
          <w:rFonts w:ascii="Verdana" w:hAnsi="Verdana"/>
          <w:i/>
          <w:sz w:val="16"/>
          <w:szCs w:val="16"/>
          <w:lang w:val="en-US"/>
        </w:rPr>
        <w:t xml:space="preserve">. </w:t>
      </w:r>
      <w:r w:rsidRPr="007D3F3C">
        <w:rPr>
          <w:rFonts w:ascii="Verdana" w:hAnsi="Verdana"/>
          <w:sz w:val="16"/>
          <w:szCs w:val="16"/>
          <w:lang w:val="en-US"/>
        </w:rPr>
        <w:t>Citing:</w:t>
      </w:r>
      <w:r w:rsidRPr="007D3F3C">
        <w:rPr>
          <w:rFonts w:ascii="Verdana" w:hAnsi="Verdana"/>
          <w:i/>
          <w:sz w:val="16"/>
          <w:szCs w:val="16"/>
          <w:lang w:val="en-US"/>
        </w:rPr>
        <w:t xml:space="preserve"> I/A Court HR, Case of the Miguel Castro Castro Prison v. Peru. Merits, reparations and costs. </w:t>
      </w:r>
      <w:r w:rsidRPr="007D3F3C">
        <w:rPr>
          <w:rFonts w:ascii="Verdana" w:hAnsi="Verdana"/>
          <w:sz w:val="16"/>
          <w:szCs w:val="16"/>
          <w:lang w:val="en-US"/>
        </w:rPr>
        <w:t xml:space="preserve">Judgment of November 25, 2006. Series C No. 160, para. 346, and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r w:rsidRPr="007D3F3C">
        <w:rPr>
          <w:rFonts w:ascii="Verdana" w:hAnsi="Verdana"/>
          <w:i/>
          <w:sz w:val="16"/>
          <w:szCs w:val="16"/>
          <w:lang w:val="en-US"/>
        </w:rPr>
        <w:t xml:space="preserve">, </w:t>
      </w:r>
      <w:r w:rsidRPr="007D3F3C">
        <w:rPr>
          <w:rFonts w:ascii="Verdana" w:hAnsi="Verdana"/>
          <w:sz w:val="16"/>
          <w:szCs w:val="16"/>
          <w:lang w:val="en-US"/>
        </w:rPr>
        <w:t>para. 133</w:t>
      </w:r>
      <w:r w:rsidRPr="007D3F3C">
        <w:rPr>
          <w:rStyle w:val="Textoennegrita"/>
          <w:rFonts w:ascii="Verdana" w:hAnsi="Verdana"/>
          <w:color w:val="000000"/>
          <w:sz w:val="16"/>
          <w:szCs w:val="16"/>
          <w:shd w:val="clear" w:color="auto" w:fill="FFFFFF"/>
          <w:lang w:val="en-US"/>
        </w:rPr>
        <w:t>.</w:t>
      </w:r>
    </w:p>
  </w:footnote>
  <w:footnote w:id="463">
    <w:p w14:paraId="540F7A3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Para. 108 of the judgment. Citing: 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w:t>
      </w:r>
      <w:r w:rsidRPr="007D3F3C">
        <w:rPr>
          <w:rFonts w:ascii="Verdana" w:hAnsi="Verdana"/>
          <w:sz w:val="16"/>
          <w:szCs w:val="16"/>
          <w:lang w:val="en-US"/>
        </w:rPr>
        <w:t xml:space="preserve">, para. 258, and </w:t>
      </w:r>
      <w:r w:rsidRPr="007D3F3C">
        <w:rPr>
          <w:rFonts w:ascii="Verdana" w:hAnsi="Verdana" w:cs="Tahoma"/>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r w:rsidRPr="007D3F3C">
        <w:rPr>
          <w:rFonts w:ascii="Verdana" w:hAnsi="Verdana"/>
          <w:i/>
          <w:sz w:val="16"/>
          <w:szCs w:val="16"/>
          <w:lang w:val="en-US"/>
        </w:rPr>
        <w:t xml:space="preserve">, </w:t>
      </w:r>
      <w:r w:rsidRPr="007D3F3C">
        <w:rPr>
          <w:rFonts w:ascii="Verdana" w:hAnsi="Verdana"/>
          <w:sz w:val="16"/>
          <w:szCs w:val="16"/>
          <w:lang w:val="en-US"/>
        </w:rPr>
        <w:t>para. 136.</w:t>
      </w:r>
    </w:p>
  </w:footnote>
  <w:footnote w:id="464">
    <w:p w14:paraId="70D0123A"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 para. 282, and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r w:rsidRPr="007D3F3C">
        <w:rPr>
          <w:rFonts w:ascii="Verdana" w:hAnsi="Verdana"/>
          <w:i/>
          <w:sz w:val="16"/>
          <w:szCs w:val="16"/>
          <w:lang w:val="en-US"/>
        </w:rPr>
        <w:t xml:space="preserve">, </w:t>
      </w:r>
      <w:r w:rsidRPr="007D3F3C">
        <w:rPr>
          <w:rFonts w:ascii="Verdana" w:hAnsi="Verdana"/>
          <w:sz w:val="16"/>
          <w:szCs w:val="16"/>
          <w:lang w:val="en-US"/>
        </w:rPr>
        <w:t>para. 139.</w:t>
      </w:r>
    </w:p>
  </w:footnote>
  <w:footnote w:id="465">
    <w:p w14:paraId="79582624"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 para. 258, and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xml:space="preserve"> Judgment of May 19, 2014. Series C No. 277</w:t>
      </w:r>
      <w:r w:rsidRPr="007D3F3C">
        <w:rPr>
          <w:rFonts w:ascii="Verdana" w:hAnsi="Verdana"/>
          <w:i/>
          <w:sz w:val="16"/>
          <w:szCs w:val="16"/>
          <w:lang w:val="en-US"/>
        </w:rPr>
        <w:t xml:space="preserve">, </w:t>
      </w:r>
      <w:r w:rsidRPr="007D3F3C">
        <w:rPr>
          <w:rFonts w:ascii="Verdana" w:hAnsi="Verdana"/>
          <w:sz w:val="16"/>
          <w:szCs w:val="16"/>
          <w:lang w:val="en-US"/>
        </w:rPr>
        <w:t>para. 136.</w:t>
      </w:r>
    </w:p>
  </w:footnote>
  <w:footnote w:id="466">
    <w:p w14:paraId="45BC22A5" w14:textId="77777777" w:rsidR="00576E40" w:rsidRPr="007D3F3C" w:rsidRDefault="00576E40" w:rsidP="00551CA7">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As described in paras. 112 to 120 of the judgment.</w:t>
      </w:r>
    </w:p>
  </w:footnote>
  <w:footnote w:id="467">
    <w:p w14:paraId="5D89FF9D" w14:textId="77777777" w:rsidR="00576E40" w:rsidRPr="007D3F3C" w:rsidRDefault="00576E40" w:rsidP="009502DD">
      <w:pPr>
        <w:pStyle w:val="Textonotapie"/>
        <w:jc w:val="both"/>
        <w:rPr>
          <w:rFonts w:ascii="Verdana" w:hAnsi="Verdana"/>
          <w:sz w:val="16"/>
          <w:szCs w:val="16"/>
          <w:lang w:val="en-US"/>
        </w:rPr>
      </w:pPr>
      <w:r w:rsidRPr="007D3F3C">
        <w:rPr>
          <w:rStyle w:val="Refdenotaalpie"/>
          <w:rFonts w:ascii="Verdana" w:hAnsi="Verdana"/>
          <w:sz w:val="16"/>
          <w:szCs w:val="16"/>
          <w:lang w:val="en-US"/>
        </w:rPr>
        <w:footnoteRef/>
      </w:r>
      <w:r w:rsidRPr="007D3F3C">
        <w:rPr>
          <w:rFonts w:ascii="Verdana" w:hAnsi="Verdana"/>
          <w:sz w:val="16"/>
          <w:szCs w:val="16"/>
          <w:lang w:val="en-US"/>
        </w:rPr>
        <w:t xml:space="preserve"> </w:t>
      </w:r>
      <w:r w:rsidRPr="007D3F3C">
        <w:rPr>
          <w:rFonts w:ascii="Verdana" w:hAnsi="Verdana"/>
          <w:sz w:val="16"/>
          <w:szCs w:val="16"/>
          <w:lang w:val="en-US"/>
        </w:rPr>
        <w:tab/>
        <w:t xml:space="preserve">I/A Court HR, </w:t>
      </w:r>
      <w:r w:rsidRPr="007D3F3C">
        <w:rPr>
          <w:rStyle w:val="Textoennegrita"/>
          <w:rFonts w:ascii="Verdana" w:hAnsi="Verdana" w:cs="Tahoma"/>
          <w:b w:val="0"/>
          <w:i/>
          <w:color w:val="000000"/>
          <w:sz w:val="16"/>
          <w:szCs w:val="16"/>
          <w:shd w:val="clear" w:color="auto" w:fill="FFFFFF"/>
          <w:lang w:val="en-US"/>
        </w:rPr>
        <w:t>Case of González et al. (“Cotton Field”) v. Mexico. Preliminary objection, merits, reparations and costs</w:t>
      </w:r>
      <w:r w:rsidRPr="007D3F3C">
        <w:rPr>
          <w:rStyle w:val="Textoennegrita"/>
          <w:rFonts w:ascii="Verdana" w:hAnsi="Verdana" w:cs="Tahoma"/>
          <w:b w:val="0"/>
          <w:color w:val="000000"/>
          <w:sz w:val="16"/>
          <w:szCs w:val="16"/>
          <w:shd w:val="clear" w:color="auto" w:fill="FFFFFF"/>
          <w:lang w:val="en-US"/>
        </w:rPr>
        <w:t xml:space="preserve">. Judgment of November 16, 2009. Series C No. 205, and </w:t>
      </w:r>
      <w:r w:rsidRPr="007D3F3C">
        <w:rPr>
          <w:rFonts w:ascii="Verdana" w:hAnsi="Verdana" w:cs="Tahoma"/>
          <w:bCs/>
          <w:i/>
          <w:sz w:val="16"/>
          <w:szCs w:val="16"/>
          <w:lang w:val="en-US"/>
        </w:rPr>
        <w:t>Case of</w:t>
      </w:r>
      <w:r w:rsidRPr="007D3F3C">
        <w:rPr>
          <w:rStyle w:val="Textoennegrita"/>
          <w:rFonts w:ascii="Verdana" w:hAnsi="Verdana" w:cs="Tahoma"/>
          <w:b w:val="0"/>
          <w:i/>
          <w:color w:val="000000"/>
          <w:sz w:val="16"/>
          <w:szCs w:val="16"/>
          <w:shd w:val="clear" w:color="auto" w:fill="FFFFFF"/>
          <w:lang w:val="en-US"/>
        </w:rPr>
        <w:t xml:space="preserve"> Veliz Franco et al. v. Guatemala. Preliminary objections, merits, reparations and costs</w:t>
      </w:r>
      <w:r w:rsidRPr="007D3F3C">
        <w:rPr>
          <w:rStyle w:val="Textoennegrita"/>
          <w:rFonts w:ascii="Verdana" w:hAnsi="Verdana" w:cs="Tahoma"/>
          <w:b w:val="0"/>
          <w:color w:val="000000"/>
          <w:sz w:val="16"/>
          <w:szCs w:val="16"/>
          <w:shd w:val="clear" w:color="auto" w:fill="FFFFFF"/>
          <w:lang w:val="en-US"/>
        </w:rPr>
        <w:t>. Judgment of May 19, 2014.</w:t>
      </w:r>
      <w:r w:rsidRPr="007D3F3C">
        <w:rPr>
          <w:rStyle w:val="Textoennegrita"/>
          <w:rFonts w:ascii="Verdana" w:hAnsi="Verdana" w:cs="Tahoma"/>
          <w:color w:val="000000"/>
          <w:sz w:val="16"/>
          <w:szCs w:val="16"/>
          <w:shd w:val="clear" w:color="auto" w:fill="FFFFFF"/>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D6211" w14:textId="77777777" w:rsidR="00576E40" w:rsidRPr="00953DD6" w:rsidRDefault="00576E40" w:rsidP="006701FF">
    <w:pPr>
      <w:pStyle w:val="Encabezado"/>
      <w:rPr>
        <w:rFonts w:ascii="Verdana" w:hAnsi="Verdana"/>
        <w:sz w:val="16"/>
        <w:szCs w:val="16"/>
        <w:lang w:val="es-VE"/>
      </w:rPr>
    </w:pPr>
    <w:r w:rsidRPr="00953DD6">
      <w:rPr>
        <w:rFonts w:ascii="Verdana" w:hAnsi="Verdana"/>
        <w:sz w:val="16"/>
        <w:szCs w:val="16"/>
        <w:lang w:val="es-VE"/>
      </w:rPr>
      <w:t xml:space="preserve">                                                          </w:t>
    </w:r>
    <w:r w:rsidRPr="00953DD6">
      <w:rPr>
        <w:rFonts w:ascii="Verdana" w:hAnsi="Verdana"/>
        <w:sz w:val="16"/>
        <w:szCs w:val="16"/>
        <w:lang w:val="es-VE"/>
      </w:rPr>
      <w:tab/>
      <w:t xml:space="preserve">                        </w:t>
    </w:r>
    <w:r>
      <w:rPr>
        <w:rFonts w:ascii="Verdana" w:hAnsi="Verdana"/>
        <w:sz w:val="16"/>
        <w:szCs w:val="16"/>
        <w:lang w:val="es-VE"/>
      </w:rPr>
      <w:t xml:space="preserve">     </w:t>
    </w:r>
  </w:p>
  <w:p w14:paraId="3F27F3BA" w14:textId="77777777" w:rsidR="00576E40" w:rsidRPr="007C0577" w:rsidRDefault="00576E40">
    <w:pPr>
      <w:pStyle w:val="Encabezado"/>
      <w:rPr>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CC1B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E7427"/>
    <w:multiLevelType w:val="hybridMultilevel"/>
    <w:tmpl w:val="B8A4F9EC"/>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515E9E"/>
    <w:multiLevelType w:val="hybridMultilevel"/>
    <w:tmpl w:val="B5341A8C"/>
    <w:lvl w:ilvl="0" w:tplc="AD4CDA2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067B87"/>
    <w:multiLevelType w:val="hybridMultilevel"/>
    <w:tmpl w:val="0E28763A"/>
    <w:lvl w:ilvl="0" w:tplc="F88E27AE">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404869"/>
    <w:multiLevelType w:val="hybridMultilevel"/>
    <w:tmpl w:val="DD14FFF4"/>
    <w:lvl w:ilvl="0" w:tplc="D92E5164">
      <w:start w:val="1"/>
      <w:numFmt w:val="lowerRoman"/>
      <w:lvlText w:val="%1."/>
      <w:lvlJc w:val="left"/>
      <w:pPr>
        <w:tabs>
          <w:tab w:val="num" w:pos="1080"/>
        </w:tabs>
        <w:ind w:left="1080" w:hanging="360"/>
      </w:pPr>
      <w:rPr>
        <w:rFonts w:ascii="Verdana" w:eastAsia="Times New Roman" w:hAnsi="Verdana" w:cs="Times New Roman"/>
      </w:rPr>
    </w:lvl>
    <w:lvl w:ilvl="1" w:tplc="8D125AA8">
      <w:start w:val="1"/>
      <w:numFmt w:val="bullet"/>
      <w:lvlText w:val=""/>
      <w:lvlJc w:val="left"/>
      <w:pPr>
        <w:tabs>
          <w:tab w:val="num" w:pos="1800"/>
        </w:tabs>
        <w:ind w:left="1800" w:hanging="360"/>
      </w:pPr>
      <w:rPr>
        <w:rFonts w:ascii="Symbol" w:hAnsi="Symbol" w:hint="default"/>
        <w:sz w:val="16"/>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4BC0193"/>
    <w:multiLevelType w:val="hybridMultilevel"/>
    <w:tmpl w:val="19FC52A2"/>
    <w:lvl w:ilvl="0" w:tplc="93D493C4">
      <w:start w:val="1"/>
      <w:numFmt w:val="decimal"/>
      <w:lvlText w:val="%1."/>
      <w:lvlJc w:val="left"/>
      <w:pPr>
        <w:ind w:left="502" w:hanging="360"/>
      </w:pPr>
      <w:rPr>
        <w:rFonts w:hint="default"/>
        <w:b w:val="0"/>
        <w:color w:val="auto"/>
      </w:r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6" w15:restartNumberingAfterBreak="0">
    <w:nsid w:val="2D2231E0"/>
    <w:multiLevelType w:val="hybridMultilevel"/>
    <w:tmpl w:val="356CDC3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767F3"/>
    <w:multiLevelType w:val="hybridMultilevel"/>
    <w:tmpl w:val="BA04CB36"/>
    <w:lvl w:ilvl="0" w:tplc="EE1A0456">
      <w:start w:val="1"/>
      <w:numFmt w:val="decimal"/>
      <w:pStyle w:val="Estilo5"/>
      <w:lvlText w:val="%1."/>
      <w:lvlJc w:val="left"/>
      <w:pPr>
        <w:ind w:left="450" w:hanging="360"/>
      </w:pPr>
      <w:rPr>
        <w:rFonts w:ascii="Verdana" w:hAnsi="Verdana" w:hint="default"/>
        <w:b w:val="0"/>
        <w:i w:val="0"/>
        <w:strike w:val="0"/>
        <w:color w:val="auto"/>
        <w:sz w:val="20"/>
        <w:szCs w:val="20"/>
        <w:lang w:val="es-MX"/>
      </w:rPr>
    </w:lvl>
    <w:lvl w:ilvl="1" w:tplc="3CA86E32">
      <w:start w:val="1"/>
      <w:numFmt w:val="lowerLetter"/>
      <w:lvlText w:val="%2)"/>
      <w:lvlJc w:val="left"/>
      <w:pPr>
        <w:ind w:left="900" w:hanging="360"/>
      </w:pPr>
      <w:rPr>
        <w:rFonts w:ascii="Verdana" w:hAnsi="Verdana" w:cs="Times New Roman" w:hint="default"/>
        <w:b w:val="0"/>
        <w:i w:val="0"/>
        <w:caps w:val="0"/>
        <w:strike w:val="0"/>
        <w:dstrike w:val="0"/>
        <w:vanish w:val="0"/>
        <w:color w:val="auto"/>
        <w:sz w:val="20"/>
        <w:vertAlign w:val="baseline"/>
      </w:rPr>
    </w:lvl>
    <w:lvl w:ilvl="2" w:tplc="AC3E3A68">
      <w:start w:val="1"/>
      <w:numFmt w:val="lowerRoman"/>
      <w:lvlText w:val="%3."/>
      <w:lvlJc w:val="right"/>
      <w:pPr>
        <w:ind w:left="2160" w:hanging="180"/>
      </w:pPr>
      <w:rPr>
        <w:rFonts w:ascii="Verdana" w:eastAsia="Times New Roman" w:hAnsi="Verdana" w:cs="Times New Roman"/>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rFonts w:hint="default"/>
        <w:b w:val="0"/>
        <w:i w:val="0"/>
      </w:rPr>
    </w:lvl>
    <w:lvl w:ilvl="5" w:tplc="726C26BC">
      <w:start w:val="1"/>
      <w:numFmt w:val="lowerRoman"/>
      <w:pStyle w:val="Estilo8"/>
      <w:lvlText w:val="%6."/>
      <w:lvlJc w:val="right"/>
      <w:pPr>
        <w:ind w:left="4320" w:hanging="180"/>
      </w:pPr>
    </w:lvl>
    <w:lvl w:ilvl="6" w:tplc="46C8F0C2">
      <w:start w:val="1"/>
      <w:numFmt w:val="upperLetter"/>
      <w:lvlText w:val="%7)"/>
      <w:lvlJc w:val="left"/>
      <w:pPr>
        <w:ind w:left="5040" w:hanging="360"/>
      </w:pPr>
      <w:rPr>
        <w:rFonts w:hint="default"/>
      </w:rPr>
    </w:lvl>
    <w:lvl w:ilvl="7" w:tplc="63D0A284">
      <w:start w:val="1"/>
      <w:numFmt w:val="upperLetter"/>
      <w:lvlText w:val="%8."/>
      <w:lvlJc w:val="left"/>
      <w:pPr>
        <w:ind w:left="5760" w:hanging="360"/>
      </w:pPr>
      <w:rPr>
        <w:rFonts w:hint="default"/>
        <w:b/>
      </w:rPr>
    </w:lvl>
    <w:lvl w:ilvl="8" w:tplc="140A001B" w:tentative="1">
      <w:start w:val="1"/>
      <w:numFmt w:val="lowerRoman"/>
      <w:lvlText w:val="%9."/>
      <w:lvlJc w:val="right"/>
      <w:pPr>
        <w:ind w:left="6480" w:hanging="180"/>
      </w:pPr>
    </w:lvl>
  </w:abstractNum>
  <w:abstractNum w:abstractNumId="8" w15:restartNumberingAfterBreak="0">
    <w:nsid w:val="3A936564"/>
    <w:multiLevelType w:val="hybridMultilevel"/>
    <w:tmpl w:val="162E493C"/>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9" w15:restartNumberingAfterBreak="0">
    <w:nsid w:val="3DCA2AEB"/>
    <w:multiLevelType w:val="hybridMultilevel"/>
    <w:tmpl w:val="3064BBD6"/>
    <w:lvl w:ilvl="0" w:tplc="A3A0B252">
      <w:start w:val="1"/>
      <w:numFmt w:val="lowerLetter"/>
      <w:lvlText w:val="%1)"/>
      <w:lvlJc w:val="left"/>
      <w:pPr>
        <w:ind w:left="1080" w:hanging="360"/>
      </w:pPr>
      <w:rPr>
        <w:rFonts w:ascii="Verdana" w:hAnsi="Verdana"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5469CD"/>
    <w:multiLevelType w:val="hybridMultilevel"/>
    <w:tmpl w:val="67208BC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145092A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E0D86"/>
    <w:multiLevelType w:val="hybridMultilevel"/>
    <w:tmpl w:val="0E9CC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27599"/>
    <w:multiLevelType w:val="hybridMultilevel"/>
    <w:tmpl w:val="30F447EE"/>
    <w:lvl w:ilvl="0" w:tplc="C9042214">
      <w:start w:val="1"/>
      <w:numFmt w:val="decimal"/>
      <w:pStyle w:val="PrrafodeSentencia"/>
      <w:lvlText w:val="%1."/>
      <w:lvlJc w:val="left"/>
      <w:pPr>
        <w:ind w:left="360" w:hanging="360"/>
      </w:pPr>
      <w:rPr>
        <w:rFonts w:ascii="Verdana" w:eastAsia="Times New Roman" w:hAnsi="Verdana" w:cs="Times New Roman" w:hint="default"/>
        <w:b w:val="0"/>
        <w:i w:val="0"/>
        <w:color w:val="auto"/>
        <w:w w:val="100"/>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33537D1"/>
    <w:multiLevelType w:val="hybridMultilevel"/>
    <w:tmpl w:val="05A4BFF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10"/>
  </w:num>
  <w:num w:numId="5">
    <w:abstractNumId w:val="9"/>
  </w:num>
  <w:num w:numId="6">
    <w:abstractNumId w:val="6"/>
  </w:num>
  <w:num w:numId="7">
    <w:abstractNumId w:val="11"/>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
  </w:num>
  <w:num w:numId="13">
    <w:abstractNumId w:val="12"/>
    <w:lvlOverride w:ilvl="0">
      <w:startOverride w:val="1"/>
    </w:lvlOverride>
  </w:num>
  <w:num w:numId="14">
    <w:abstractNumId w:val="5"/>
  </w:num>
  <w:num w:numId="15">
    <w:abstractNumId w:val="12"/>
    <w:lvlOverride w:ilvl="0">
      <w:startOverride w:val="1"/>
    </w:lvlOverride>
  </w:num>
  <w:num w:numId="16">
    <w:abstractNumId w:val="4"/>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577"/>
    <w:rsid w:val="00000070"/>
    <w:rsid w:val="000012D6"/>
    <w:rsid w:val="00001469"/>
    <w:rsid w:val="00001A52"/>
    <w:rsid w:val="00001DAD"/>
    <w:rsid w:val="00001F17"/>
    <w:rsid w:val="00001FF6"/>
    <w:rsid w:val="000025BB"/>
    <w:rsid w:val="000044BF"/>
    <w:rsid w:val="0001012D"/>
    <w:rsid w:val="00010AEE"/>
    <w:rsid w:val="00010F4A"/>
    <w:rsid w:val="00011491"/>
    <w:rsid w:val="00011841"/>
    <w:rsid w:val="00011E3C"/>
    <w:rsid w:val="00012077"/>
    <w:rsid w:val="00012B3C"/>
    <w:rsid w:val="0001374B"/>
    <w:rsid w:val="000153E5"/>
    <w:rsid w:val="000154C2"/>
    <w:rsid w:val="00015D59"/>
    <w:rsid w:val="00015E7D"/>
    <w:rsid w:val="000168D6"/>
    <w:rsid w:val="0001699C"/>
    <w:rsid w:val="00016A6A"/>
    <w:rsid w:val="00016E5A"/>
    <w:rsid w:val="0001764A"/>
    <w:rsid w:val="00017AC5"/>
    <w:rsid w:val="000200E4"/>
    <w:rsid w:val="00020322"/>
    <w:rsid w:val="000204F2"/>
    <w:rsid w:val="00020704"/>
    <w:rsid w:val="00021847"/>
    <w:rsid w:val="00022A62"/>
    <w:rsid w:val="000237AB"/>
    <w:rsid w:val="00024443"/>
    <w:rsid w:val="00024C89"/>
    <w:rsid w:val="000254D2"/>
    <w:rsid w:val="000254FE"/>
    <w:rsid w:val="000256CC"/>
    <w:rsid w:val="00026495"/>
    <w:rsid w:val="00026CB6"/>
    <w:rsid w:val="000272B7"/>
    <w:rsid w:val="0002755B"/>
    <w:rsid w:val="00027D5C"/>
    <w:rsid w:val="00030137"/>
    <w:rsid w:val="0003123C"/>
    <w:rsid w:val="000315E1"/>
    <w:rsid w:val="00031ABE"/>
    <w:rsid w:val="00031FDF"/>
    <w:rsid w:val="000321CA"/>
    <w:rsid w:val="00033FB7"/>
    <w:rsid w:val="00034485"/>
    <w:rsid w:val="00034BAC"/>
    <w:rsid w:val="00035604"/>
    <w:rsid w:val="0003561F"/>
    <w:rsid w:val="00035BC1"/>
    <w:rsid w:val="00036147"/>
    <w:rsid w:val="00036757"/>
    <w:rsid w:val="00036D05"/>
    <w:rsid w:val="00037322"/>
    <w:rsid w:val="000374F0"/>
    <w:rsid w:val="000375CE"/>
    <w:rsid w:val="00037EEF"/>
    <w:rsid w:val="00040591"/>
    <w:rsid w:val="00040BA1"/>
    <w:rsid w:val="00041862"/>
    <w:rsid w:val="00042CC2"/>
    <w:rsid w:val="00042F21"/>
    <w:rsid w:val="00043FBD"/>
    <w:rsid w:val="000441D6"/>
    <w:rsid w:val="00044C14"/>
    <w:rsid w:val="00045018"/>
    <w:rsid w:val="00045E5B"/>
    <w:rsid w:val="00046DEF"/>
    <w:rsid w:val="00047869"/>
    <w:rsid w:val="0005039A"/>
    <w:rsid w:val="00050467"/>
    <w:rsid w:val="000506DD"/>
    <w:rsid w:val="00050D41"/>
    <w:rsid w:val="00050ECF"/>
    <w:rsid w:val="00052281"/>
    <w:rsid w:val="00052B5C"/>
    <w:rsid w:val="00052DC7"/>
    <w:rsid w:val="00052F18"/>
    <w:rsid w:val="0005326C"/>
    <w:rsid w:val="0005349C"/>
    <w:rsid w:val="00053B2C"/>
    <w:rsid w:val="00053C57"/>
    <w:rsid w:val="00053FC5"/>
    <w:rsid w:val="00054259"/>
    <w:rsid w:val="00054350"/>
    <w:rsid w:val="00055578"/>
    <w:rsid w:val="00055C66"/>
    <w:rsid w:val="0005639C"/>
    <w:rsid w:val="000569F4"/>
    <w:rsid w:val="000572AC"/>
    <w:rsid w:val="00060147"/>
    <w:rsid w:val="00061079"/>
    <w:rsid w:val="00061AE2"/>
    <w:rsid w:val="00061B34"/>
    <w:rsid w:val="000626AA"/>
    <w:rsid w:val="0006287C"/>
    <w:rsid w:val="00062CC4"/>
    <w:rsid w:val="00063267"/>
    <w:rsid w:val="00063EDE"/>
    <w:rsid w:val="0006490A"/>
    <w:rsid w:val="000657E8"/>
    <w:rsid w:val="00065CD0"/>
    <w:rsid w:val="00065DEC"/>
    <w:rsid w:val="00065EC9"/>
    <w:rsid w:val="0006605D"/>
    <w:rsid w:val="000667B9"/>
    <w:rsid w:val="0006799E"/>
    <w:rsid w:val="00070701"/>
    <w:rsid w:val="00070D63"/>
    <w:rsid w:val="000715B8"/>
    <w:rsid w:val="00071690"/>
    <w:rsid w:val="00076E57"/>
    <w:rsid w:val="00077D21"/>
    <w:rsid w:val="0008006A"/>
    <w:rsid w:val="00080190"/>
    <w:rsid w:val="0008067A"/>
    <w:rsid w:val="00080782"/>
    <w:rsid w:val="000808CC"/>
    <w:rsid w:val="00081E19"/>
    <w:rsid w:val="0008215B"/>
    <w:rsid w:val="000821BA"/>
    <w:rsid w:val="000825DF"/>
    <w:rsid w:val="00083888"/>
    <w:rsid w:val="00083C97"/>
    <w:rsid w:val="00084D3D"/>
    <w:rsid w:val="00085ABE"/>
    <w:rsid w:val="000878B7"/>
    <w:rsid w:val="000905BC"/>
    <w:rsid w:val="00090C6C"/>
    <w:rsid w:val="000911D3"/>
    <w:rsid w:val="000914B5"/>
    <w:rsid w:val="00091C3B"/>
    <w:rsid w:val="00091F20"/>
    <w:rsid w:val="0009285A"/>
    <w:rsid w:val="0009392F"/>
    <w:rsid w:val="00096053"/>
    <w:rsid w:val="000973C5"/>
    <w:rsid w:val="00097EB2"/>
    <w:rsid w:val="000A11AE"/>
    <w:rsid w:val="000A1224"/>
    <w:rsid w:val="000A124C"/>
    <w:rsid w:val="000A17CA"/>
    <w:rsid w:val="000A230E"/>
    <w:rsid w:val="000A2931"/>
    <w:rsid w:val="000A2AC8"/>
    <w:rsid w:val="000A3AE5"/>
    <w:rsid w:val="000A41AB"/>
    <w:rsid w:val="000A4804"/>
    <w:rsid w:val="000A6840"/>
    <w:rsid w:val="000A737C"/>
    <w:rsid w:val="000A7476"/>
    <w:rsid w:val="000B02F1"/>
    <w:rsid w:val="000B0BDE"/>
    <w:rsid w:val="000B1A31"/>
    <w:rsid w:val="000B1B9F"/>
    <w:rsid w:val="000B20F2"/>
    <w:rsid w:val="000B24A4"/>
    <w:rsid w:val="000B33A4"/>
    <w:rsid w:val="000B3E6E"/>
    <w:rsid w:val="000B435A"/>
    <w:rsid w:val="000B4434"/>
    <w:rsid w:val="000B5027"/>
    <w:rsid w:val="000B5788"/>
    <w:rsid w:val="000B58F4"/>
    <w:rsid w:val="000B6175"/>
    <w:rsid w:val="000B64A4"/>
    <w:rsid w:val="000B697C"/>
    <w:rsid w:val="000B6AEE"/>
    <w:rsid w:val="000B6E8C"/>
    <w:rsid w:val="000B71A0"/>
    <w:rsid w:val="000B77DD"/>
    <w:rsid w:val="000B7CE6"/>
    <w:rsid w:val="000C2B86"/>
    <w:rsid w:val="000C3672"/>
    <w:rsid w:val="000C3A69"/>
    <w:rsid w:val="000C4475"/>
    <w:rsid w:val="000C4581"/>
    <w:rsid w:val="000C4A18"/>
    <w:rsid w:val="000C4BEF"/>
    <w:rsid w:val="000C508E"/>
    <w:rsid w:val="000C5372"/>
    <w:rsid w:val="000C54AF"/>
    <w:rsid w:val="000C56E5"/>
    <w:rsid w:val="000C5930"/>
    <w:rsid w:val="000C5DB8"/>
    <w:rsid w:val="000C67BA"/>
    <w:rsid w:val="000C6F5B"/>
    <w:rsid w:val="000C79D8"/>
    <w:rsid w:val="000C7AFD"/>
    <w:rsid w:val="000D1688"/>
    <w:rsid w:val="000D2506"/>
    <w:rsid w:val="000D30CA"/>
    <w:rsid w:val="000D3DB1"/>
    <w:rsid w:val="000D45EB"/>
    <w:rsid w:val="000D49AD"/>
    <w:rsid w:val="000D4E26"/>
    <w:rsid w:val="000D5341"/>
    <w:rsid w:val="000D5BC3"/>
    <w:rsid w:val="000D6536"/>
    <w:rsid w:val="000E0AE4"/>
    <w:rsid w:val="000E214E"/>
    <w:rsid w:val="000E2198"/>
    <w:rsid w:val="000E2A5A"/>
    <w:rsid w:val="000E2BE8"/>
    <w:rsid w:val="000E2C47"/>
    <w:rsid w:val="000E2D3B"/>
    <w:rsid w:val="000E3924"/>
    <w:rsid w:val="000E3965"/>
    <w:rsid w:val="000E3A08"/>
    <w:rsid w:val="000E3A81"/>
    <w:rsid w:val="000E5B91"/>
    <w:rsid w:val="000E638F"/>
    <w:rsid w:val="000E7419"/>
    <w:rsid w:val="000E7C14"/>
    <w:rsid w:val="000E7CEF"/>
    <w:rsid w:val="000F1215"/>
    <w:rsid w:val="000F1462"/>
    <w:rsid w:val="000F1527"/>
    <w:rsid w:val="000F200E"/>
    <w:rsid w:val="000F20BD"/>
    <w:rsid w:val="000F2E02"/>
    <w:rsid w:val="000F3CA6"/>
    <w:rsid w:val="000F6231"/>
    <w:rsid w:val="000F72CD"/>
    <w:rsid w:val="000F781C"/>
    <w:rsid w:val="000F7B9B"/>
    <w:rsid w:val="001004B1"/>
    <w:rsid w:val="001006A8"/>
    <w:rsid w:val="00100E3D"/>
    <w:rsid w:val="00100FD6"/>
    <w:rsid w:val="00102ACB"/>
    <w:rsid w:val="00103C9F"/>
    <w:rsid w:val="00103E07"/>
    <w:rsid w:val="00103E77"/>
    <w:rsid w:val="00104ABE"/>
    <w:rsid w:val="00104D93"/>
    <w:rsid w:val="001054C7"/>
    <w:rsid w:val="0011183C"/>
    <w:rsid w:val="001121A9"/>
    <w:rsid w:val="00114B12"/>
    <w:rsid w:val="00116404"/>
    <w:rsid w:val="001201D8"/>
    <w:rsid w:val="00120D23"/>
    <w:rsid w:val="00121515"/>
    <w:rsid w:val="00121856"/>
    <w:rsid w:val="00121FC7"/>
    <w:rsid w:val="0012296B"/>
    <w:rsid w:val="00122DC9"/>
    <w:rsid w:val="0012374B"/>
    <w:rsid w:val="001238A7"/>
    <w:rsid w:val="0012397E"/>
    <w:rsid w:val="00123BD3"/>
    <w:rsid w:val="00124137"/>
    <w:rsid w:val="0012450D"/>
    <w:rsid w:val="00124B29"/>
    <w:rsid w:val="001257BB"/>
    <w:rsid w:val="0012643E"/>
    <w:rsid w:val="0012652D"/>
    <w:rsid w:val="00126BF3"/>
    <w:rsid w:val="001270BD"/>
    <w:rsid w:val="001301FA"/>
    <w:rsid w:val="00130253"/>
    <w:rsid w:val="00130557"/>
    <w:rsid w:val="00130955"/>
    <w:rsid w:val="00130F00"/>
    <w:rsid w:val="00131079"/>
    <w:rsid w:val="001313E6"/>
    <w:rsid w:val="00131C44"/>
    <w:rsid w:val="001324DD"/>
    <w:rsid w:val="00132F21"/>
    <w:rsid w:val="00133462"/>
    <w:rsid w:val="001336B1"/>
    <w:rsid w:val="00134620"/>
    <w:rsid w:val="00134BFE"/>
    <w:rsid w:val="00135AC2"/>
    <w:rsid w:val="00135B93"/>
    <w:rsid w:val="0013662B"/>
    <w:rsid w:val="001366FE"/>
    <w:rsid w:val="00140C58"/>
    <w:rsid w:val="0014106A"/>
    <w:rsid w:val="001413C4"/>
    <w:rsid w:val="0014165F"/>
    <w:rsid w:val="00143325"/>
    <w:rsid w:val="00143CD6"/>
    <w:rsid w:val="00144107"/>
    <w:rsid w:val="00144F2F"/>
    <w:rsid w:val="001459BB"/>
    <w:rsid w:val="00145D6A"/>
    <w:rsid w:val="00146296"/>
    <w:rsid w:val="0014655A"/>
    <w:rsid w:val="00146996"/>
    <w:rsid w:val="0014766F"/>
    <w:rsid w:val="001478AD"/>
    <w:rsid w:val="00150F32"/>
    <w:rsid w:val="0015186A"/>
    <w:rsid w:val="0015189A"/>
    <w:rsid w:val="0015276E"/>
    <w:rsid w:val="00152C54"/>
    <w:rsid w:val="00154223"/>
    <w:rsid w:val="001543ED"/>
    <w:rsid w:val="00154C05"/>
    <w:rsid w:val="00154DE5"/>
    <w:rsid w:val="00155609"/>
    <w:rsid w:val="00155FEA"/>
    <w:rsid w:val="00157C80"/>
    <w:rsid w:val="001603F0"/>
    <w:rsid w:val="00160741"/>
    <w:rsid w:val="00160BF2"/>
    <w:rsid w:val="00161931"/>
    <w:rsid w:val="00161F11"/>
    <w:rsid w:val="00162364"/>
    <w:rsid w:val="00162904"/>
    <w:rsid w:val="001629FF"/>
    <w:rsid w:val="00163A12"/>
    <w:rsid w:val="00163A85"/>
    <w:rsid w:val="00164343"/>
    <w:rsid w:val="001654C5"/>
    <w:rsid w:val="00165633"/>
    <w:rsid w:val="001658C4"/>
    <w:rsid w:val="00166448"/>
    <w:rsid w:val="00166C69"/>
    <w:rsid w:val="00167311"/>
    <w:rsid w:val="001703D6"/>
    <w:rsid w:val="0017063C"/>
    <w:rsid w:val="0017103E"/>
    <w:rsid w:val="001715B3"/>
    <w:rsid w:val="00171B5A"/>
    <w:rsid w:val="00172523"/>
    <w:rsid w:val="001729ED"/>
    <w:rsid w:val="001732D1"/>
    <w:rsid w:val="00173418"/>
    <w:rsid w:val="00173858"/>
    <w:rsid w:val="001758D5"/>
    <w:rsid w:val="00175ABB"/>
    <w:rsid w:val="00175BCC"/>
    <w:rsid w:val="00175BFB"/>
    <w:rsid w:val="00175CE2"/>
    <w:rsid w:val="00176053"/>
    <w:rsid w:val="00176142"/>
    <w:rsid w:val="00177710"/>
    <w:rsid w:val="0018037B"/>
    <w:rsid w:val="00180F61"/>
    <w:rsid w:val="00181AB4"/>
    <w:rsid w:val="00181BE6"/>
    <w:rsid w:val="001821EB"/>
    <w:rsid w:val="0018347B"/>
    <w:rsid w:val="001836AA"/>
    <w:rsid w:val="0018456A"/>
    <w:rsid w:val="0018462E"/>
    <w:rsid w:val="0018469D"/>
    <w:rsid w:val="00185690"/>
    <w:rsid w:val="00186919"/>
    <w:rsid w:val="00187AD0"/>
    <w:rsid w:val="001903F2"/>
    <w:rsid w:val="0019043E"/>
    <w:rsid w:val="00190719"/>
    <w:rsid w:val="001914FC"/>
    <w:rsid w:val="00191C19"/>
    <w:rsid w:val="00192B59"/>
    <w:rsid w:val="0019362C"/>
    <w:rsid w:val="001941E3"/>
    <w:rsid w:val="00194C93"/>
    <w:rsid w:val="00194C9E"/>
    <w:rsid w:val="001951AC"/>
    <w:rsid w:val="0019554E"/>
    <w:rsid w:val="00195F19"/>
    <w:rsid w:val="00196227"/>
    <w:rsid w:val="0019641E"/>
    <w:rsid w:val="001978BC"/>
    <w:rsid w:val="00197A60"/>
    <w:rsid w:val="00197C1E"/>
    <w:rsid w:val="001A02E8"/>
    <w:rsid w:val="001A0CC7"/>
    <w:rsid w:val="001A1118"/>
    <w:rsid w:val="001A1486"/>
    <w:rsid w:val="001A1AD3"/>
    <w:rsid w:val="001A20AC"/>
    <w:rsid w:val="001A20D8"/>
    <w:rsid w:val="001A22B7"/>
    <w:rsid w:val="001A28A4"/>
    <w:rsid w:val="001A3465"/>
    <w:rsid w:val="001A36C3"/>
    <w:rsid w:val="001A5164"/>
    <w:rsid w:val="001A53A7"/>
    <w:rsid w:val="001A5490"/>
    <w:rsid w:val="001A5ED0"/>
    <w:rsid w:val="001A6017"/>
    <w:rsid w:val="001A644D"/>
    <w:rsid w:val="001A65EE"/>
    <w:rsid w:val="001A7A00"/>
    <w:rsid w:val="001A7C73"/>
    <w:rsid w:val="001A7C76"/>
    <w:rsid w:val="001B066E"/>
    <w:rsid w:val="001B11F2"/>
    <w:rsid w:val="001B3072"/>
    <w:rsid w:val="001B353B"/>
    <w:rsid w:val="001B3828"/>
    <w:rsid w:val="001B45F2"/>
    <w:rsid w:val="001B49CF"/>
    <w:rsid w:val="001B530B"/>
    <w:rsid w:val="001B5B34"/>
    <w:rsid w:val="001B5BF3"/>
    <w:rsid w:val="001B5C0B"/>
    <w:rsid w:val="001B5D73"/>
    <w:rsid w:val="001B6E81"/>
    <w:rsid w:val="001B7093"/>
    <w:rsid w:val="001C1BEC"/>
    <w:rsid w:val="001C209C"/>
    <w:rsid w:val="001C2B25"/>
    <w:rsid w:val="001C3E82"/>
    <w:rsid w:val="001C54C3"/>
    <w:rsid w:val="001C6CF6"/>
    <w:rsid w:val="001D078E"/>
    <w:rsid w:val="001D0808"/>
    <w:rsid w:val="001D086E"/>
    <w:rsid w:val="001D0B86"/>
    <w:rsid w:val="001D17DB"/>
    <w:rsid w:val="001D1864"/>
    <w:rsid w:val="001D1DD4"/>
    <w:rsid w:val="001D2041"/>
    <w:rsid w:val="001D2476"/>
    <w:rsid w:val="001D2AB1"/>
    <w:rsid w:val="001D3F03"/>
    <w:rsid w:val="001D4B1E"/>
    <w:rsid w:val="001D4BA8"/>
    <w:rsid w:val="001D500F"/>
    <w:rsid w:val="001D54E5"/>
    <w:rsid w:val="001D59C3"/>
    <w:rsid w:val="001D5AFA"/>
    <w:rsid w:val="001D6B6F"/>
    <w:rsid w:val="001D73C5"/>
    <w:rsid w:val="001E02E0"/>
    <w:rsid w:val="001E0BBC"/>
    <w:rsid w:val="001E0BF3"/>
    <w:rsid w:val="001E0FB6"/>
    <w:rsid w:val="001E12AA"/>
    <w:rsid w:val="001E1386"/>
    <w:rsid w:val="001E20D7"/>
    <w:rsid w:val="001E2B53"/>
    <w:rsid w:val="001E2D9B"/>
    <w:rsid w:val="001E3D51"/>
    <w:rsid w:val="001E3E1E"/>
    <w:rsid w:val="001E53A8"/>
    <w:rsid w:val="001E585A"/>
    <w:rsid w:val="001E5E38"/>
    <w:rsid w:val="001E659E"/>
    <w:rsid w:val="001E6C64"/>
    <w:rsid w:val="001E6DBE"/>
    <w:rsid w:val="001E70A3"/>
    <w:rsid w:val="001E7171"/>
    <w:rsid w:val="001E7391"/>
    <w:rsid w:val="001E7BC3"/>
    <w:rsid w:val="001F105C"/>
    <w:rsid w:val="001F124A"/>
    <w:rsid w:val="001F1BF8"/>
    <w:rsid w:val="001F1DC4"/>
    <w:rsid w:val="001F1DFA"/>
    <w:rsid w:val="001F1F28"/>
    <w:rsid w:val="001F22AF"/>
    <w:rsid w:val="001F271B"/>
    <w:rsid w:val="001F328E"/>
    <w:rsid w:val="001F38C3"/>
    <w:rsid w:val="001F43CC"/>
    <w:rsid w:val="001F46B3"/>
    <w:rsid w:val="001F50ED"/>
    <w:rsid w:val="001F5139"/>
    <w:rsid w:val="001F5253"/>
    <w:rsid w:val="001F62D2"/>
    <w:rsid w:val="001F6403"/>
    <w:rsid w:val="001F65E7"/>
    <w:rsid w:val="001F67FC"/>
    <w:rsid w:val="001F6B8D"/>
    <w:rsid w:val="001F72EA"/>
    <w:rsid w:val="001F7715"/>
    <w:rsid w:val="002005D8"/>
    <w:rsid w:val="00200F80"/>
    <w:rsid w:val="002010EE"/>
    <w:rsid w:val="0020127B"/>
    <w:rsid w:val="0020212D"/>
    <w:rsid w:val="00202938"/>
    <w:rsid w:val="00203650"/>
    <w:rsid w:val="00203B2B"/>
    <w:rsid w:val="00203EAF"/>
    <w:rsid w:val="00205273"/>
    <w:rsid w:val="00205C8F"/>
    <w:rsid w:val="002062C4"/>
    <w:rsid w:val="00206CBE"/>
    <w:rsid w:val="00210BB3"/>
    <w:rsid w:val="002111E4"/>
    <w:rsid w:val="0021136D"/>
    <w:rsid w:val="0021226A"/>
    <w:rsid w:val="00214332"/>
    <w:rsid w:val="002148E2"/>
    <w:rsid w:val="00215714"/>
    <w:rsid w:val="0021602B"/>
    <w:rsid w:val="0021604D"/>
    <w:rsid w:val="00216560"/>
    <w:rsid w:val="002169E3"/>
    <w:rsid w:val="00216A8A"/>
    <w:rsid w:val="0021794B"/>
    <w:rsid w:val="002207A3"/>
    <w:rsid w:val="00221A40"/>
    <w:rsid w:val="00222072"/>
    <w:rsid w:val="00222089"/>
    <w:rsid w:val="00222419"/>
    <w:rsid w:val="00222D81"/>
    <w:rsid w:val="0022407A"/>
    <w:rsid w:val="00224AFE"/>
    <w:rsid w:val="00225050"/>
    <w:rsid w:val="00225328"/>
    <w:rsid w:val="002253E8"/>
    <w:rsid w:val="0022623F"/>
    <w:rsid w:val="00226964"/>
    <w:rsid w:val="002306DE"/>
    <w:rsid w:val="00231661"/>
    <w:rsid w:val="0023184B"/>
    <w:rsid w:val="002327A1"/>
    <w:rsid w:val="00232840"/>
    <w:rsid w:val="00234316"/>
    <w:rsid w:val="00234E6A"/>
    <w:rsid w:val="00234E90"/>
    <w:rsid w:val="00235851"/>
    <w:rsid w:val="002360E4"/>
    <w:rsid w:val="00236F1B"/>
    <w:rsid w:val="00237873"/>
    <w:rsid w:val="00240642"/>
    <w:rsid w:val="00240B6C"/>
    <w:rsid w:val="002414E4"/>
    <w:rsid w:val="00241D0B"/>
    <w:rsid w:val="00241D7E"/>
    <w:rsid w:val="00242019"/>
    <w:rsid w:val="002428DD"/>
    <w:rsid w:val="002437E6"/>
    <w:rsid w:val="00244910"/>
    <w:rsid w:val="00244B46"/>
    <w:rsid w:val="00244BF6"/>
    <w:rsid w:val="002463B5"/>
    <w:rsid w:val="002465B3"/>
    <w:rsid w:val="002466C9"/>
    <w:rsid w:val="00247736"/>
    <w:rsid w:val="0025015F"/>
    <w:rsid w:val="0025055D"/>
    <w:rsid w:val="002506BD"/>
    <w:rsid w:val="00250AE9"/>
    <w:rsid w:val="002516AC"/>
    <w:rsid w:val="002520C4"/>
    <w:rsid w:val="002530E5"/>
    <w:rsid w:val="00253358"/>
    <w:rsid w:val="00254635"/>
    <w:rsid w:val="00254D2D"/>
    <w:rsid w:val="0025512E"/>
    <w:rsid w:val="002554D2"/>
    <w:rsid w:val="00255CA5"/>
    <w:rsid w:val="002565AF"/>
    <w:rsid w:val="00256BE4"/>
    <w:rsid w:val="00256DC8"/>
    <w:rsid w:val="00260A26"/>
    <w:rsid w:val="00260A6E"/>
    <w:rsid w:val="00260E68"/>
    <w:rsid w:val="0026254B"/>
    <w:rsid w:val="00262936"/>
    <w:rsid w:val="00262E64"/>
    <w:rsid w:val="00262EC1"/>
    <w:rsid w:val="00263212"/>
    <w:rsid w:val="00264859"/>
    <w:rsid w:val="00264EC6"/>
    <w:rsid w:val="0026573C"/>
    <w:rsid w:val="002669E6"/>
    <w:rsid w:val="00266F35"/>
    <w:rsid w:val="0026772C"/>
    <w:rsid w:val="00267E46"/>
    <w:rsid w:val="00270EEA"/>
    <w:rsid w:val="002713BD"/>
    <w:rsid w:val="00271D7A"/>
    <w:rsid w:val="00272165"/>
    <w:rsid w:val="0027289F"/>
    <w:rsid w:val="00272F2F"/>
    <w:rsid w:val="00272F38"/>
    <w:rsid w:val="00272FF0"/>
    <w:rsid w:val="00273247"/>
    <w:rsid w:val="0027338C"/>
    <w:rsid w:val="00274226"/>
    <w:rsid w:val="00274B18"/>
    <w:rsid w:val="00274C7F"/>
    <w:rsid w:val="00275705"/>
    <w:rsid w:val="002759B3"/>
    <w:rsid w:val="00275F01"/>
    <w:rsid w:val="002763D4"/>
    <w:rsid w:val="00277244"/>
    <w:rsid w:val="00277E55"/>
    <w:rsid w:val="0028062F"/>
    <w:rsid w:val="00281199"/>
    <w:rsid w:val="00281A5C"/>
    <w:rsid w:val="00282321"/>
    <w:rsid w:val="0028244E"/>
    <w:rsid w:val="002828E7"/>
    <w:rsid w:val="00282B4E"/>
    <w:rsid w:val="002845EE"/>
    <w:rsid w:val="00284CB5"/>
    <w:rsid w:val="00284D46"/>
    <w:rsid w:val="00285531"/>
    <w:rsid w:val="00285720"/>
    <w:rsid w:val="00285F6F"/>
    <w:rsid w:val="00286035"/>
    <w:rsid w:val="0028655E"/>
    <w:rsid w:val="00287B02"/>
    <w:rsid w:val="00287CB7"/>
    <w:rsid w:val="002901C2"/>
    <w:rsid w:val="00290503"/>
    <w:rsid w:val="002907A5"/>
    <w:rsid w:val="002921A5"/>
    <w:rsid w:val="00292D42"/>
    <w:rsid w:val="00293766"/>
    <w:rsid w:val="00293BF7"/>
    <w:rsid w:val="00293C0E"/>
    <w:rsid w:val="00293CC3"/>
    <w:rsid w:val="00294D53"/>
    <w:rsid w:val="00296343"/>
    <w:rsid w:val="00296423"/>
    <w:rsid w:val="00296F4D"/>
    <w:rsid w:val="0029747A"/>
    <w:rsid w:val="002A02E6"/>
    <w:rsid w:val="002A058F"/>
    <w:rsid w:val="002A11C5"/>
    <w:rsid w:val="002A1506"/>
    <w:rsid w:val="002A1997"/>
    <w:rsid w:val="002A1A41"/>
    <w:rsid w:val="002A2307"/>
    <w:rsid w:val="002A28CA"/>
    <w:rsid w:val="002A454C"/>
    <w:rsid w:val="002A489D"/>
    <w:rsid w:val="002A4C85"/>
    <w:rsid w:val="002A4EC9"/>
    <w:rsid w:val="002A550F"/>
    <w:rsid w:val="002A5679"/>
    <w:rsid w:val="002A632F"/>
    <w:rsid w:val="002A6914"/>
    <w:rsid w:val="002A74D2"/>
    <w:rsid w:val="002A76EA"/>
    <w:rsid w:val="002A7B7B"/>
    <w:rsid w:val="002A7D3A"/>
    <w:rsid w:val="002B0327"/>
    <w:rsid w:val="002B0566"/>
    <w:rsid w:val="002B0777"/>
    <w:rsid w:val="002B0FE2"/>
    <w:rsid w:val="002B1105"/>
    <w:rsid w:val="002B1691"/>
    <w:rsid w:val="002B174A"/>
    <w:rsid w:val="002B2A5A"/>
    <w:rsid w:val="002B2FCA"/>
    <w:rsid w:val="002B325A"/>
    <w:rsid w:val="002B3885"/>
    <w:rsid w:val="002B3EEB"/>
    <w:rsid w:val="002B41C4"/>
    <w:rsid w:val="002B4407"/>
    <w:rsid w:val="002B46A0"/>
    <w:rsid w:val="002B483F"/>
    <w:rsid w:val="002B51B5"/>
    <w:rsid w:val="002B61FA"/>
    <w:rsid w:val="002B7257"/>
    <w:rsid w:val="002B7467"/>
    <w:rsid w:val="002C0709"/>
    <w:rsid w:val="002C0BCA"/>
    <w:rsid w:val="002C132E"/>
    <w:rsid w:val="002C263C"/>
    <w:rsid w:val="002C294F"/>
    <w:rsid w:val="002C2964"/>
    <w:rsid w:val="002C36F2"/>
    <w:rsid w:val="002C5308"/>
    <w:rsid w:val="002C533E"/>
    <w:rsid w:val="002C5D40"/>
    <w:rsid w:val="002C6EEE"/>
    <w:rsid w:val="002D07AB"/>
    <w:rsid w:val="002D0AFA"/>
    <w:rsid w:val="002D17A8"/>
    <w:rsid w:val="002D218C"/>
    <w:rsid w:val="002D31A1"/>
    <w:rsid w:val="002D3363"/>
    <w:rsid w:val="002D33C0"/>
    <w:rsid w:val="002D43FE"/>
    <w:rsid w:val="002D46A2"/>
    <w:rsid w:val="002D50CE"/>
    <w:rsid w:val="002D5F2F"/>
    <w:rsid w:val="002D6398"/>
    <w:rsid w:val="002D75FA"/>
    <w:rsid w:val="002E077B"/>
    <w:rsid w:val="002E0A04"/>
    <w:rsid w:val="002E1C81"/>
    <w:rsid w:val="002E1CF7"/>
    <w:rsid w:val="002E1EA8"/>
    <w:rsid w:val="002E24FC"/>
    <w:rsid w:val="002E474F"/>
    <w:rsid w:val="002E4B54"/>
    <w:rsid w:val="002E4F20"/>
    <w:rsid w:val="002E7122"/>
    <w:rsid w:val="002E7B6E"/>
    <w:rsid w:val="002F1F43"/>
    <w:rsid w:val="002F325B"/>
    <w:rsid w:val="002F3465"/>
    <w:rsid w:val="002F3848"/>
    <w:rsid w:val="002F38F9"/>
    <w:rsid w:val="002F3AEA"/>
    <w:rsid w:val="002F3D84"/>
    <w:rsid w:val="002F5125"/>
    <w:rsid w:val="002F58F1"/>
    <w:rsid w:val="002F6FA8"/>
    <w:rsid w:val="002F7A37"/>
    <w:rsid w:val="002F7F78"/>
    <w:rsid w:val="00300DAE"/>
    <w:rsid w:val="00300F6A"/>
    <w:rsid w:val="00302C02"/>
    <w:rsid w:val="0030386E"/>
    <w:rsid w:val="00305F2C"/>
    <w:rsid w:val="003060C0"/>
    <w:rsid w:val="00306937"/>
    <w:rsid w:val="00306E9A"/>
    <w:rsid w:val="00307A94"/>
    <w:rsid w:val="00310540"/>
    <w:rsid w:val="00310837"/>
    <w:rsid w:val="003109C5"/>
    <w:rsid w:val="003112C6"/>
    <w:rsid w:val="0031149E"/>
    <w:rsid w:val="00311CED"/>
    <w:rsid w:val="00312339"/>
    <w:rsid w:val="003130DB"/>
    <w:rsid w:val="00313460"/>
    <w:rsid w:val="00313ADC"/>
    <w:rsid w:val="003141EF"/>
    <w:rsid w:val="00314EC4"/>
    <w:rsid w:val="003157B6"/>
    <w:rsid w:val="00316202"/>
    <w:rsid w:val="00316AD7"/>
    <w:rsid w:val="0032003B"/>
    <w:rsid w:val="00320239"/>
    <w:rsid w:val="00320800"/>
    <w:rsid w:val="00321658"/>
    <w:rsid w:val="0032237C"/>
    <w:rsid w:val="00322462"/>
    <w:rsid w:val="0032276B"/>
    <w:rsid w:val="00322FEB"/>
    <w:rsid w:val="00323056"/>
    <w:rsid w:val="0032306D"/>
    <w:rsid w:val="003233C0"/>
    <w:rsid w:val="003239D6"/>
    <w:rsid w:val="00324140"/>
    <w:rsid w:val="00325778"/>
    <w:rsid w:val="003260F8"/>
    <w:rsid w:val="003264CF"/>
    <w:rsid w:val="003279F2"/>
    <w:rsid w:val="00327F51"/>
    <w:rsid w:val="00330D2B"/>
    <w:rsid w:val="00330F74"/>
    <w:rsid w:val="00331134"/>
    <w:rsid w:val="0033115D"/>
    <w:rsid w:val="00331E6B"/>
    <w:rsid w:val="003325D5"/>
    <w:rsid w:val="003326F9"/>
    <w:rsid w:val="00332B80"/>
    <w:rsid w:val="003344EE"/>
    <w:rsid w:val="00334F0D"/>
    <w:rsid w:val="00334FDA"/>
    <w:rsid w:val="00335109"/>
    <w:rsid w:val="00335EA4"/>
    <w:rsid w:val="00337F0C"/>
    <w:rsid w:val="0034007D"/>
    <w:rsid w:val="00340D10"/>
    <w:rsid w:val="00342466"/>
    <w:rsid w:val="00343C5F"/>
    <w:rsid w:val="00343CF1"/>
    <w:rsid w:val="00343D25"/>
    <w:rsid w:val="003441B5"/>
    <w:rsid w:val="0034518E"/>
    <w:rsid w:val="003457EF"/>
    <w:rsid w:val="00345842"/>
    <w:rsid w:val="00345B0C"/>
    <w:rsid w:val="003477E9"/>
    <w:rsid w:val="00347B00"/>
    <w:rsid w:val="00350115"/>
    <w:rsid w:val="00350807"/>
    <w:rsid w:val="003509D7"/>
    <w:rsid w:val="00350A3C"/>
    <w:rsid w:val="0035120B"/>
    <w:rsid w:val="003512D0"/>
    <w:rsid w:val="00351863"/>
    <w:rsid w:val="00352045"/>
    <w:rsid w:val="0035271F"/>
    <w:rsid w:val="00352C7F"/>
    <w:rsid w:val="0035365B"/>
    <w:rsid w:val="00353660"/>
    <w:rsid w:val="00353A5B"/>
    <w:rsid w:val="00353E85"/>
    <w:rsid w:val="00354EE7"/>
    <w:rsid w:val="00355A30"/>
    <w:rsid w:val="003560B5"/>
    <w:rsid w:val="003561EE"/>
    <w:rsid w:val="00356EDE"/>
    <w:rsid w:val="003575FB"/>
    <w:rsid w:val="003579FE"/>
    <w:rsid w:val="00357AE4"/>
    <w:rsid w:val="00360561"/>
    <w:rsid w:val="003606EA"/>
    <w:rsid w:val="00360E77"/>
    <w:rsid w:val="00362111"/>
    <w:rsid w:val="00363E37"/>
    <w:rsid w:val="00365111"/>
    <w:rsid w:val="003657C9"/>
    <w:rsid w:val="00365C18"/>
    <w:rsid w:val="003718D4"/>
    <w:rsid w:val="003718F3"/>
    <w:rsid w:val="00372F6A"/>
    <w:rsid w:val="003732A2"/>
    <w:rsid w:val="00373687"/>
    <w:rsid w:val="0037515E"/>
    <w:rsid w:val="00377858"/>
    <w:rsid w:val="00377EB5"/>
    <w:rsid w:val="00380B55"/>
    <w:rsid w:val="00380C5B"/>
    <w:rsid w:val="003815CE"/>
    <w:rsid w:val="00381A8F"/>
    <w:rsid w:val="00381B38"/>
    <w:rsid w:val="003821AA"/>
    <w:rsid w:val="0038276C"/>
    <w:rsid w:val="00383494"/>
    <w:rsid w:val="003834FF"/>
    <w:rsid w:val="00384575"/>
    <w:rsid w:val="003854C0"/>
    <w:rsid w:val="003861D2"/>
    <w:rsid w:val="00387859"/>
    <w:rsid w:val="00387991"/>
    <w:rsid w:val="003879D6"/>
    <w:rsid w:val="00390722"/>
    <w:rsid w:val="00390F18"/>
    <w:rsid w:val="00391716"/>
    <w:rsid w:val="00391BA4"/>
    <w:rsid w:val="00391D11"/>
    <w:rsid w:val="00392247"/>
    <w:rsid w:val="00392DFC"/>
    <w:rsid w:val="00392F61"/>
    <w:rsid w:val="0039425B"/>
    <w:rsid w:val="00394B39"/>
    <w:rsid w:val="003951C4"/>
    <w:rsid w:val="0039589C"/>
    <w:rsid w:val="00395A49"/>
    <w:rsid w:val="00397C02"/>
    <w:rsid w:val="003A036E"/>
    <w:rsid w:val="003A06A4"/>
    <w:rsid w:val="003A0AD9"/>
    <w:rsid w:val="003A205C"/>
    <w:rsid w:val="003A212F"/>
    <w:rsid w:val="003A4241"/>
    <w:rsid w:val="003A4735"/>
    <w:rsid w:val="003A4D19"/>
    <w:rsid w:val="003A4E23"/>
    <w:rsid w:val="003A541C"/>
    <w:rsid w:val="003A6091"/>
    <w:rsid w:val="003A6B85"/>
    <w:rsid w:val="003A7214"/>
    <w:rsid w:val="003B0404"/>
    <w:rsid w:val="003B0AD9"/>
    <w:rsid w:val="003B0C0C"/>
    <w:rsid w:val="003B2485"/>
    <w:rsid w:val="003B2A40"/>
    <w:rsid w:val="003B2BB8"/>
    <w:rsid w:val="003B4387"/>
    <w:rsid w:val="003B5762"/>
    <w:rsid w:val="003B57C4"/>
    <w:rsid w:val="003B5C41"/>
    <w:rsid w:val="003B5C9C"/>
    <w:rsid w:val="003B5D2D"/>
    <w:rsid w:val="003B5E5F"/>
    <w:rsid w:val="003B60C1"/>
    <w:rsid w:val="003B6D5B"/>
    <w:rsid w:val="003B7AB8"/>
    <w:rsid w:val="003C14C1"/>
    <w:rsid w:val="003C3331"/>
    <w:rsid w:val="003C386B"/>
    <w:rsid w:val="003C39CC"/>
    <w:rsid w:val="003C47D9"/>
    <w:rsid w:val="003C4BE5"/>
    <w:rsid w:val="003C4D1A"/>
    <w:rsid w:val="003C589A"/>
    <w:rsid w:val="003C5A17"/>
    <w:rsid w:val="003C5C90"/>
    <w:rsid w:val="003C6242"/>
    <w:rsid w:val="003C635C"/>
    <w:rsid w:val="003C6693"/>
    <w:rsid w:val="003C6A51"/>
    <w:rsid w:val="003C7A47"/>
    <w:rsid w:val="003D01D1"/>
    <w:rsid w:val="003D049F"/>
    <w:rsid w:val="003D129D"/>
    <w:rsid w:val="003D16FF"/>
    <w:rsid w:val="003D1C61"/>
    <w:rsid w:val="003D2D9C"/>
    <w:rsid w:val="003D2EF9"/>
    <w:rsid w:val="003D3373"/>
    <w:rsid w:val="003D36D3"/>
    <w:rsid w:val="003D3C9F"/>
    <w:rsid w:val="003D4A13"/>
    <w:rsid w:val="003D6995"/>
    <w:rsid w:val="003D6A63"/>
    <w:rsid w:val="003D7B61"/>
    <w:rsid w:val="003E0296"/>
    <w:rsid w:val="003E0B77"/>
    <w:rsid w:val="003E0E90"/>
    <w:rsid w:val="003E2012"/>
    <w:rsid w:val="003E2B61"/>
    <w:rsid w:val="003E34A6"/>
    <w:rsid w:val="003E44B9"/>
    <w:rsid w:val="003E4C92"/>
    <w:rsid w:val="003E505E"/>
    <w:rsid w:val="003E6572"/>
    <w:rsid w:val="003E6AF0"/>
    <w:rsid w:val="003E6D7E"/>
    <w:rsid w:val="003E728C"/>
    <w:rsid w:val="003E7387"/>
    <w:rsid w:val="003E7F8E"/>
    <w:rsid w:val="003F0B46"/>
    <w:rsid w:val="003F174E"/>
    <w:rsid w:val="003F1D17"/>
    <w:rsid w:val="003F31B4"/>
    <w:rsid w:val="003F3FC4"/>
    <w:rsid w:val="003F4566"/>
    <w:rsid w:val="003F456B"/>
    <w:rsid w:val="003F4623"/>
    <w:rsid w:val="003F4E0F"/>
    <w:rsid w:val="003F510E"/>
    <w:rsid w:val="003F528E"/>
    <w:rsid w:val="003F5574"/>
    <w:rsid w:val="003F5EBB"/>
    <w:rsid w:val="003F6438"/>
    <w:rsid w:val="003F7447"/>
    <w:rsid w:val="003F7CD6"/>
    <w:rsid w:val="003F7E6D"/>
    <w:rsid w:val="00400170"/>
    <w:rsid w:val="0040039B"/>
    <w:rsid w:val="00400837"/>
    <w:rsid w:val="00400CCA"/>
    <w:rsid w:val="00402247"/>
    <w:rsid w:val="00402AAA"/>
    <w:rsid w:val="00402ABF"/>
    <w:rsid w:val="00402FB6"/>
    <w:rsid w:val="00403414"/>
    <w:rsid w:val="00403B9D"/>
    <w:rsid w:val="00404BDC"/>
    <w:rsid w:val="0040520D"/>
    <w:rsid w:val="00405DCC"/>
    <w:rsid w:val="00406289"/>
    <w:rsid w:val="0040722A"/>
    <w:rsid w:val="004074AB"/>
    <w:rsid w:val="00410E3A"/>
    <w:rsid w:val="00411288"/>
    <w:rsid w:val="0041165F"/>
    <w:rsid w:val="0041253B"/>
    <w:rsid w:val="0041254F"/>
    <w:rsid w:val="004134DF"/>
    <w:rsid w:val="00413BE9"/>
    <w:rsid w:val="00413F65"/>
    <w:rsid w:val="004140A7"/>
    <w:rsid w:val="00415490"/>
    <w:rsid w:val="004165B6"/>
    <w:rsid w:val="00416EE3"/>
    <w:rsid w:val="00417A1C"/>
    <w:rsid w:val="00420189"/>
    <w:rsid w:val="0042115D"/>
    <w:rsid w:val="00421758"/>
    <w:rsid w:val="00423880"/>
    <w:rsid w:val="00425D19"/>
    <w:rsid w:val="00425F9B"/>
    <w:rsid w:val="00426218"/>
    <w:rsid w:val="004264FE"/>
    <w:rsid w:val="004266CC"/>
    <w:rsid w:val="00426736"/>
    <w:rsid w:val="004268C6"/>
    <w:rsid w:val="00426C7F"/>
    <w:rsid w:val="004272DC"/>
    <w:rsid w:val="00427C42"/>
    <w:rsid w:val="00432075"/>
    <w:rsid w:val="0043207A"/>
    <w:rsid w:val="00433130"/>
    <w:rsid w:val="00433D50"/>
    <w:rsid w:val="00434C3B"/>
    <w:rsid w:val="0043541D"/>
    <w:rsid w:val="00435615"/>
    <w:rsid w:val="00435695"/>
    <w:rsid w:val="00437292"/>
    <w:rsid w:val="00437AAC"/>
    <w:rsid w:val="00437FCF"/>
    <w:rsid w:val="00440527"/>
    <w:rsid w:val="00440698"/>
    <w:rsid w:val="00440F3D"/>
    <w:rsid w:val="00441280"/>
    <w:rsid w:val="00441439"/>
    <w:rsid w:val="004420C8"/>
    <w:rsid w:val="00442BA9"/>
    <w:rsid w:val="00442F18"/>
    <w:rsid w:val="00443745"/>
    <w:rsid w:val="0044407C"/>
    <w:rsid w:val="0044498D"/>
    <w:rsid w:val="00444A4F"/>
    <w:rsid w:val="00445092"/>
    <w:rsid w:val="00445C37"/>
    <w:rsid w:val="00445DB6"/>
    <w:rsid w:val="00446E1C"/>
    <w:rsid w:val="00450529"/>
    <w:rsid w:val="004506C3"/>
    <w:rsid w:val="004509FB"/>
    <w:rsid w:val="00450A90"/>
    <w:rsid w:val="00450D2D"/>
    <w:rsid w:val="00452278"/>
    <w:rsid w:val="0045305E"/>
    <w:rsid w:val="004537AB"/>
    <w:rsid w:val="0045491C"/>
    <w:rsid w:val="004554C7"/>
    <w:rsid w:val="0045554E"/>
    <w:rsid w:val="00455D0E"/>
    <w:rsid w:val="004562CA"/>
    <w:rsid w:val="00456A1F"/>
    <w:rsid w:val="00457100"/>
    <w:rsid w:val="00457D79"/>
    <w:rsid w:val="004603EF"/>
    <w:rsid w:val="00460552"/>
    <w:rsid w:val="00460A38"/>
    <w:rsid w:val="0046106D"/>
    <w:rsid w:val="00461CBD"/>
    <w:rsid w:val="00461D2B"/>
    <w:rsid w:val="00463E47"/>
    <w:rsid w:val="00463EE9"/>
    <w:rsid w:val="00464D32"/>
    <w:rsid w:val="0046506E"/>
    <w:rsid w:val="004650CF"/>
    <w:rsid w:val="004653C0"/>
    <w:rsid w:val="0046584A"/>
    <w:rsid w:val="00465CFA"/>
    <w:rsid w:val="0046697F"/>
    <w:rsid w:val="004669B0"/>
    <w:rsid w:val="00466D03"/>
    <w:rsid w:val="00467056"/>
    <w:rsid w:val="0046723B"/>
    <w:rsid w:val="00467999"/>
    <w:rsid w:val="00467BB3"/>
    <w:rsid w:val="00467E5F"/>
    <w:rsid w:val="00470298"/>
    <w:rsid w:val="0047031D"/>
    <w:rsid w:val="00470EB5"/>
    <w:rsid w:val="004718C1"/>
    <w:rsid w:val="00471AEF"/>
    <w:rsid w:val="00471B0C"/>
    <w:rsid w:val="0047256E"/>
    <w:rsid w:val="004743F7"/>
    <w:rsid w:val="00474633"/>
    <w:rsid w:val="00474D72"/>
    <w:rsid w:val="00475C5A"/>
    <w:rsid w:val="0047681A"/>
    <w:rsid w:val="004776A2"/>
    <w:rsid w:val="0047799E"/>
    <w:rsid w:val="0048042C"/>
    <w:rsid w:val="0048074D"/>
    <w:rsid w:val="00481ACF"/>
    <w:rsid w:val="004831B4"/>
    <w:rsid w:val="004836DA"/>
    <w:rsid w:val="00483BDC"/>
    <w:rsid w:val="00484012"/>
    <w:rsid w:val="00484E24"/>
    <w:rsid w:val="00485B8C"/>
    <w:rsid w:val="00486229"/>
    <w:rsid w:val="004876C6"/>
    <w:rsid w:val="0048784D"/>
    <w:rsid w:val="004879CD"/>
    <w:rsid w:val="0049017F"/>
    <w:rsid w:val="00490F2A"/>
    <w:rsid w:val="004912B8"/>
    <w:rsid w:val="00492982"/>
    <w:rsid w:val="004930A3"/>
    <w:rsid w:val="00493BB7"/>
    <w:rsid w:val="00493BFC"/>
    <w:rsid w:val="00494470"/>
    <w:rsid w:val="004944C7"/>
    <w:rsid w:val="004944EA"/>
    <w:rsid w:val="00494AE0"/>
    <w:rsid w:val="00495309"/>
    <w:rsid w:val="00496143"/>
    <w:rsid w:val="00496C1B"/>
    <w:rsid w:val="00496D81"/>
    <w:rsid w:val="00496DBE"/>
    <w:rsid w:val="00497139"/>
    <w:rsid w:val="004973CC"/>
    <w:rsid w:val="00497DE3"/>
    <w:rsid w:val="004A1E45"/>
    <w:rsid w:val="004A22A7"/>
    <w:rsid w:val="004A2741"/>
    <w:rsid w:val="004A33E6"/>
    <w:rsid w:val="004A3921"/>
    <w:rsid w:val="004A614C"/>
    <w:rsid w:val="004B1481"/>
    <w:rsid w:val="004B192D"/>
    <w:rsid w:val="004B1C16"/>
    <w:rsid w:val="004B2140"/>
    <w:rsid w:val="004B2DDB"/>
    <w:rsid w:val="004B2F88"/>
    <w:rsid w:val="004B3146"/>
    <w:rsid w:val="004B3497"/>
    <w:rsid w:val="004B34A6"/>
    <w:rsid w:val="004B3A80"/>
    <w:rsid w:val="004B3D14"/>
    <w:rsid w:val="004B531B"/>
    <w:rsid w:val="004B56E1"/>
    <w:rsid w:val="004B5B22"/>
    <w:rsid w:val="004B5C1E"/>
    <w:rsid w:val="004B60DF"/>
    <w:rsid w:val="004B68AE"/>
    <w:rsid w:val="004B7818"/>
    <w:rsid w:val="004B7928"/>
    <w:rsid w:val="004B7AF7"/>
    <w:rsid w:val="004B7CAD"/>
    <w:rsid w:val="004B7E34"/>
    <w:rsid w:val="004C01BA"/>
    <w:rsid w:val="004C052E"/>
    <w:rsid w:val="004C0A98"/>
    <w:rsid w:val="004C0B46"/>
    <w:rsid w:val="004C1E19"/>
    <w:rsid w:val="004C1E1C"/>
    <w:rsid w:val="004C1F1B"/>
    <w:rsid w:val="004C2344"/>
    <w:rsid w:val="004C2623"/>
    <w:rsid w:val="004C2C8B"/>
    <w:rsid w:val="004C4CCD"/>
    <w:rsid w:val="004C4E35"/>
    <w:rsid w:val="004C527B"/>
    <w:rsid w:val="004C5F1E"/>
    <w:rsid w:val="004C7460"/>
    <w:rsid w:val="004D03B9"/>
    <w:rsid w:val="004D0541"/>
    <w:rsid w:val="004D0B0A"/>
    <w:rsid w:val="004D0D40"/>
    <w:rsid w:val="004D0F94"/>
    <w:rsid w:val="004D1C36"/>
    <w:rsid w:val="004D1D71"/>
    <w:rsid w:val="004D21ED"/>
    <w:rsid w:val="004D2394"/>
    <w:rsid w:val="004D249F"/>
    <w:rsid w:val="004D31DC"/>
    <w:rsid w:val="004D325E"/>
    <w:rsid w:val="004D4A20"/>
    <w:rsid w:val="004D4B91"/>
    <w:rsid w:val="004D61BC"/>
    <w:rsid w:val="004D641F"/>
    <w:rsid w:val="004D6739"/>
    <w:rsid w:val="004D714A"/>
    <w:rsid w:val="004D7A07"/>
    <w:rsid w:val="004E0DAF"/>
    <w:rsid w:val="004E204F"/>
    <w:rsid w:val="004E2561"/>
    <w:rsid w:val="004E3A14"/>
    <w:rsid w:val="004E3F57"/>
    <w:rsid w:val="004E4238"/>
    <w:rsid w:val="004E44D6"/>
    <w:rsid w:val="004E48D5"/>
    <w:rsid w:val="004E4FF9"/>
    <w:rsid w:val="004E54C6"/>
    <w:rsid w:val="004E60A7"/>
    <w:rsid w:val="004E630C"/>
    <w:rsid w:val="004E6437"/>
    <w:rsid w:val="004E741B"/>
    <w:rsid w:val="004E7CD9"/>
    <w:rsid w:val="004F05E0"/>
    <w:rsid w:val="004F0AA5"/>
    <w:rsid w:val="004F10DD"/>
    <w:rsid w:val="004F164C"/>
    <w:rsid w:val="004F17C0"/>
    <w:rsid w:val="004F1B37"/>
    <w:rsid w:val="004F25C1"/>
    <w:rsid w:val="004F278F"/>
    <w:rsid w:val="004F2C74"/>
    <w:rsid w:val="004F3A5D"/>
    <w:rsid w:val="004F3BDE"/>
    <w:rsid w:val="004F3FFD"/>
    <w:rsid w:val="004F4604"/>
    <w:rsid w:val="004F5322"/>
    <w:rsid w:val="004F6BE6"/>
    <w:rsid w:val="004F75C7"/>
    <w:rsid w:val="004F7917"/>
    <w:rsid w:val="00500138"/>
    <w:rsid w:val="00500236"/>
    <w:rsid w:val="0050033C"/>
    <w:rsid w:val="00500D3B"/>
    <w:rsid w:val="005010D4"/>
    <w:rsid w:val="005011A9"/>
    <w:rsid w:val="00501EA8"/>
    <w:rsid w:val="005020B7"/>
    <w:rsid w:val="00502650"/>
    <w:rsid w:val="00502AD5"/>
    <w:rsid w:val="00503B1B"/>
    <w:rsid w:val="005047B8"/>
    <w:rsid w:val="005049C0"/>
    <w:rsid w:val="00504A32"/>
    <w:rsid w:val="00505396"/>
    <w:rsid w:val="00505550"/>
    <w:rsid w:val="00505861"/>
    <w:rsid w:val="005059B4"/>
    <w:rsid w:val="00505D46"/>
    <w:rsid w:val="005069A0"/>
    <w:rsid w:val="00507268"/>
    <w:rsid w:val="00510AEC"/>
    <w:rsid w:val="00510F89"/>
    <w:rsid w:val="00511BBB"/>
    <w:rsid w:val="00512790"/>
    <w:rsid w:val="005127B9"/>
    <w:rsid w:val="005136B1"/>
    <w:rsid w:val="00515C34"/>
    <w:rsid w:val="00515CC6"/>
    <w:rsid w:val="00515CCC"/>
    <w:rsid w:val="005161D7"/>
    <w:rsid w:val="005166E3"/>
    <w:rsid w:val="00517488"/>
    <w:rsid w:val="005175C9"/>
    <w:rsid w:val="00520D8C"/>
    <w:rsid w:val="0052153B"/>
    <w:rsid w:val="005221DC"/>
    <w:rsid w:val="005229B1"/>
    <w:rsid w:val="00523C8C"/>
    <w:rsid w:val="005248C1"/>
    <w:rsid w:val="00524A87"/>
    <w:rsid w:val="00525FC4"/>
    <w:rsid w:val="005263A3"/>
    <w:rsid w:val="00526A21"/>
    <w:rsid w:val="00527333"/>
    <w:rsid w:val="00527499"/>
    <w:rsid w:val="00530020"/>
    <w:rsid w:val="00530488"/>
    <w:rsid w:val="00530F3D"/>
    <w:rsid w:val="005313F2"/>
    <w:rsid w:val="0053140E"/>
    <w:rsid w:val="005319CD"/>
    <w:rsid w:val="00531BDB"/>
    <w:rsid w:val="00531C27"/>
    <w:rsid w:val="00532D1C"/>
    <w:rsid w:val="005344F8"/>
    <w:rsid w:val="00534C42"/>
    <w:rsid w:val="0053542D"/>
    <w:rsid w:val="00535851"/>
    <w:rsid w:val="00536017"/>
    <w:rsid w:val="00536E42"/>
    <w:rsid w:val="0053761A"/>
    <w:rsid w:val="00540794"/>
    <w:rsid w:val="005428C2"/>
    <w:rsid w:val="00543077"/>
    <w:rsid w:val="00543BB1"/>
    <w:rsid w:val="00544298"/>
    <w:rsid w:val="00544329"/>
    <w:rsid w:val="00545A10"/>
    <w:rsid w:val="00546401"/>
    <w:rsid w:val="00546464"/>
    <w:rsid w:val="0054671F"/>
    <w:rsid w:val="00547574"/>
    <w:rsid w:val="0054765E"/>
    <w:rsid w:val="005514A4"/>
    <w:rsid w:val="0055198A"/>
    <w:rsid w:val="00551CA7"/>
    <w:rsid w:val="00552559"/>
    <w:rsid w:val="00552571"/>
    <w:rsid w:val="0055269A"/>
    <w:rsid w:val="00552AFF"/>
    <w:rsid w:val="00552B4C"/>
    <w:rsid w:val="0055381B"/>
    <w:rsid w:val="00553B49"/>
    <w:rsid w:val="005559F5"/>
    <w:rsid w:val="00556941"/>
    <w:rsid w:val="00556BD4"/>
    <w:rsid w:val="00556E9C"/>
    <w:rsid w:val="0055721B"/>
    <w:rsid w:val="00557341"/>
    <w:rsid w:val="005577C2"/>
    <w:rsid w:val="00557B17"/>
    <w:rsid w:val="00557D3B"/>
    <w:rsid w:val="00560D3F"/>
    <w:rsid w:val="00560DB3"/>
    <w:rsid w:val="00561F2D"/>
    <w:rsid w:val="00562302"/>
    <w:rsid w:val="00562907"/>
    <w:rsid w:val="00562FE7"/>
    <w:rsid w:val="00563CBD"/>
    <w:rsid w:val="005640CE"/>
    <w:rsid w:val="00565307"/>
    <w:rsid w:val="00565C71"/>
    <w:rsid w:val="00566DA9"/>
    <w:rsid w:val="00567152"/>
    <w:rsid w:val="00567268"/>
    <w:rsid w:val="005702DF"/>
    <w:rsid w:val="00570CD4"/>
    <w:rsid w:val="0057101C"/>
    <w:rsid w:val="00571B0A"/>
    <w:rsid w:val="00571DE2"/>
    <w:rsid w:val="00573ABB"/>
    <w:rsid w:val="00575982"/>
    <w:rsid w:val="00576E40"/>
    <w:rsid w:val="00577C32"/>
    <w:rsid w:val="00577D56"/>
    <w:rsid w:val="00577E01"/>
    <w:rsid w:val="00577FF3"/>
    <w:rsid w:val="00580B43"/>
    <w:rsid w:val="00580C17"/>
    <w:rsid w:val="0058254B"/>
    <w:rsid w:val="0058282D"/>
    <w:rsid w:val="005837F3"/>
    <w:rsid w:val="00584490"/>
    <w:rsid w:val="00584E09"/>
    <w:rsid w:val="0058552A"/>
    <w:rsid w:val="00585974"/>
    <w:rsid w:val="005860B2"/>
    <w:rsid w:val="0058627B"/>
    <w:rsid w:val="00586DC6"/>
    <w:rsid w:val="005870E5"/>
    <w:rsid w:val="0058769A"/>
    <w:rsid w:val="005909D2"/>
    <w:rsid w:val="00590D4F"/>
    <w:rsid w:val="00591011"/>
    <w:rsid w:val="005917A5"/>
    <w:rsid w:val="00592AFF"/>
    <w:rsid w:val="00593303"/>
    <w:rsid w:val="00593B14"/>
    <w:rsid w:val="00593D40"/>
    <w:rsid w:val="00593E86"/>
    <w:rsid w:val="005943EF"/>
    <w:rsid w:val="00595A1D"/>
    <w:rsid w:val="00595CA3"/>
    <w:rsid w:val="00595CCA"/>
    <w:rsid w:val="00595FC1"/>
    <w:rsid w:val="005960B1"/>
    <w:rsid w:val="00596C85"/>
    <w:rsid w:val="00597013"/>
    <w:rsid w:val="00597962"/>
    <w:rsid w:val="00597CF5"/>
    <w:rsid w:val="005A0210"/>
    <w:rsid w:val="005A0576"/>
    <w:rsid w:val="005A0B83"/>
    <w:rsid w:val="005A120C"/>
    <w:rsid w:val="005A16EF"/>
    <w:rsid w:val="005A19FA"/>
    <w:rsid w:val="005A1DF0"/>
    <w:rsid w:val="005A3DAF"/>
    <w:rsid w:val="005A46EF"/>
    <w:rsid w:val="005A48F2"/>
    <w:rsid w:val="005A4AAE"/>
    <w:rsid w:val="005A6E83"/>
    <w:rsid w:val="005A71FB"/>
    <w:rsid w:val="005A7715"/>
    <w:rsid w:val="005B0207"/>
    <w:rsid w:val="005B0E69"/>
    <w:rsid w:val="005B1BAD"/>
    <w:rsid w:val="005B24C1"/>
    <w:rsid w:val="005B25E9"/>
    <w:rsid w:val="005B5003"/>
    <w:rsid w:val="005B5A15"/>
    <w:rsid w:val="005B642F"/>
    <w:rsid w:val="005B652A"/>
    <w:rsid w:val="005B714D"/>
    <w:rsid w:val="005B72FA"/>
    <w:rsid w:val="005B7D2E"/>
    <w:rsid w:val="005C0BFA"/>
    <w:rsid w:val="005C1282"/>
    <w:rsid w:val="005C12CF"/>
    <w:rsid w:val="005C13A6"/>
    <w:rsid w:val="005C2113"/>
    <w:rsid w:val="005C2115"/>
    <w:rsid w:val="005C224D"/>
    <w:rsid w:val="005C225D"/>
    <w:rsid w:val="005C2A56"/>
    <w:rsid w:val="005C2BEB"/>
    <w:rsid w:val="005C3073"/>
    <w:rsid w:val="005C3512"/>
    <w:rsid w:val="005C3DD7"/>
    <w:rsid w:val="005C4A69"/>
    <w:rsid w:val="005C4F6F"/>
    <w:rsid w:val="005C5F01"/>
    <w:rsid w:val="005C6294"/>
    <w:rsid w:val="005C64D5"/>
    <w:rsid w:val="005C6A12"/>
    <w:rsid w:val="005C7D53"/>
    <w:rsid w:val="005D2050"/>
    <w:rsid w:val="005D225D"/>
    <w:rsid w:val="005D24A5"/>
    <w:rsid w:val="005D2A05"/>
    <w:rsid w:val="005D2C91"/>
    <w:rsid w:val="005D346F"/>
    <w:rsid w:val="005D4707"/>
    <w:rsid w:val="005D4A4B"/>
    <w:rsid w:val="005D547D"/>
    <w:rsid w:val="005D5603"/>
    <w:rsid w:val="005D659C"/>
    <w:rsid w:val="005D6898"/>
    <w:rsid w:val="005D7877"/>
    <w:rsid w:val="005E0B08"/>
    <w:rsid w:val="005E1569"/>
    <w:rsid w:val="005E196A"/>
    <w:rsid w:val="005E2DFE"/>
    <w:rsid w:val="005E3AB5"/>
    <w:rsid w:val="005E4AA4"/>
    <w:rsid w:val="005E4E52"/>
    <w:rsid w:val="005E504C"/>
    <w:rsid w:val="005E582F"/>
    <w:rsid w:val="005E5E17"/>
    <w:rsid w:val="005E627D"/>
    <w:rsid w:val="005E62D4"/>
    <w:rsid w:val="005E6EC8"/>
    <w:rsid w:val="005E7234"/>
    <w:rsid w:val="005E73CD"/>
    <w:rsid w:val="005E74BB"/>
    <w:rsid w:val="005F0032"/>
    <w:rsid w:val="005F03F8"/>
    <w:rsid w:val="005F1575"/>
    <w:rsid w:val="005F15B4"/>
    <w:rsid w:val="005F2A0B"/>
    <w:rsid w:val="005F2B23"/>
    <w:rsid w:val="005F2D0A"/>
    <w:rsid w:val="005F31D3"/>
    <w:rsid w:val="005F4394"/>
    <w:rsid w:val="005F44D5"/>
    <w:rsid w:val="005F4579"/>
    <w:rsid w:val="005F5338"/>
    <w:rsid w:val="005F5B74"/>
    <w:rsid w:val="005F5F57"/>
    <w:rsid w:val="005F6B7F"/>
    <w:rsid w:val="00600072"/>
    <w:rsid w:val="00601ADC"/>
    <w:rsid w:val="006021E8"/>
    <w:rsid w:val="006022FC"/>
    <w:rsid w:val="00602A5A"/>
    <w:rsid w:val="00603260"/>
    <w:rsid w:val="006038E9"/>
    <w:rsid w:val="00603EE7"/>
    <w:rsid w:val="006054D8"/>
    <w:rsid w:val="00605C1A"/>
    <w:rsid w:val="00606B4D"/>
    <w:rsid w:val="00607287"/>
    <w:rsid w:val="00610541"/>
    <w:rsid w:val="0061124A"/>
    <w:rsid w:val="00612240"/>
    <w:rsid w:val="00612426"/>
    <w:rsid w:val="00612AB3"/>
    <w:rsid w:val="00613816"/>
    <w:rsid w:val="00613D3E"/>
    <w:rsid w:val="00613E79"/>
    <w:rsid w:val="00614575"/>
    <w:rsid w:val="006149A5"/>
    <w:rsid w:val="00614E86"/>
    <w:rsid w:val="00614F6F"/>
    <w:rsid w:val="00617046"/>
    <w:rsid w:val="0061713D"/>
    <w:rsid w:val="00617327"/>
    <w:rsid w:val="006174CD"/>
    <w:rsid w:val="00617799"/>
    <w:rsid w:val="006203AA"/>
    <w:rsid w:val="006208DE"/>
    <w:rsid w:val="00620A2C"/>
    <w:rsid w:val="00621256"/>
    <w:rsid w:val="006212EA"/>
    <w:rsid w:val="00621AB7"/>
    <w:rsid w:val="00622B9C"/>
    <w:rsid w:val="00622E09"/>
    <w:rsid w:val="0062384A"/>
    <w:rsid w:val="00624FD7"/>
    <w:rsid w:val="00625BA5"/>
    <w:rsid w:val="006268ED"/>
    <w:rsid w:val="0062696E"/>
    <w:rsid w:val="00627F43"/>
    <w:rsid w:val="00630F08"/>
    <w:rsid w:val="0063101D"/>
    <w:rsid w:val="006324E7"/>
    <w:rsid w:val="0063280C"/>
    <w:rsid w:val="00632B8C"/>
    <w:rsid w:val="00634A0D"/>
    <w:rsid w:val="00634D60"/>
    <w:rsid w:val="00634E16"/>
    <w:rsid w:val="00635318"/>
    <w:rsid w:val="006358DB"/>
    <w:rsid w:val="00635E71"/>
    <w:rsid w:val="006363DC"/>
    <w:rsid w:val="00636DCE"/>
    <w:rsid w:val="0063702A"/>
    <w:rsid w:val="006378C6"/>
    <w:rsid w:val="00637BA6"/>
    <w:rsid w:val="0064010E"/>
    <w:rsid w:val="006405CA"/>
    <w:rsid w:val="00641D3A"/>
    <w:rsid w:val="0064225C"/>
    <w:rsid w:val="00642DE1"/>
    <w:rsid w:val="00642F53"/>
    <w:rsid w:val="00644036"/>
    <w:rsid w:val="006457CA"/>
    <w:rsid w:val="00647017"/>
    <w:rsid w:val="00647242"/>
    <w:rsid w:val="006474C9"/>
    <w:rsid w:val="00650926"/>
    <w:rsid w:val="00650A0B"/>
    <w:rsid w:val="0065147B"/>
    <w:rsid w:val="00651AFA"/>
    <w:rsid w:val="00653330"/>
    <w:rsid w:val="006536A4"/>
    <w:rsid w:val="00654C92"/>
    <w:rsid w:val="00655308"/>
    <w:rsid w:val="0065677A"/>
    <w:rsid w:val="00657127"/>
    <w:rsid w:val="006578E6"/>
    <w:rsid w:val="00657BFF"/>
    <w:rsid w:val="00657F30"/>
    <w:rsid w:val="00660807"/>
    <w:rsid w:val="0066100C"/>
    <w:rsid w:val="00661C79"/>
    <w:rsid w:val="0066282D"/>
    <w:rsid w:val="0066291B"/>
    <w:rsid w:val="0066477C"/>
    <w:rsid w:val="0066511E"/>
    <w:rsid w:val="0066539E"/>
    <w:rsid w:val="00665DF1"/>
    <w:rsid w:val="00666BBF"/>
    <w:rsid w:val="00667D5D"/>
    <w:rsid w:val="006701FF"/>
    <w:rsid w:val="00670445"/>
    <w:rsid w:val="0067119B"/>
    <w:rsid w:val="006711CA"/>
    <w:rsid w:val="00671262"/>
    <w:rsid w:val="0067171F"/>
    <w:rsid w:val="0067189A"/>
    <w:rsid w:val="006719FB"/>
    <w:rsid w:val="00671A06"/>
    <w:rsid w:val="0067264C"/>
    <w:rsid w:val="00672D4F"/>
    <w:rsid w:val="00673302"/>
    <w:rsid w:val="006735C8"/>
    <w:rsid w:val="00674D93"/>
    <w:rsid w:val="006753EF"/>
    <w:rsid w:val="006755D2"/>
    <w:rsid w:val="006763B5"/>
    <w:rsid w:val="00676AE8"/>
    <w:rsid w:val="00676EC0"/>
    <w:rsid w:val="00676EF9"/>
    <w:rsid w:val="006773D3"/>
    <w:rsid w:val="00677716"/>
    <w:rsid w:val="00680D54"/>
    <w:rsid w:val="00680E95"/>
    <w:rsid w:val="00682F6F"/>
    <w:rsid w:val="0068459C"/>
    <w:rsid w:val="00684829"/>
    <w:rsid w:val="00684BCB"/>
    <w:rsid w:val="006853D0"/>
    <w:rsid w:val="006853FD"/>
    <w:rsid w:val="00685890"/>
    <w:rsid w:val="00685EC6"/>
    <w:rsid w:val="00686263"/>
    <w:rsid w:val="00686DC6"/>
    <w:rsid w:val="00687F59"/>
    <w:rsid w:val="006905B4"/>
    <w:rsid w:val="0069075E"/>
    <w:rsid w:val="00691F2D"/>
    <w:rsid w:val="00692131"/>
    <w:rsid w:val="006926B6"/>
    <w:rsid w:val="006928F3"/>
    <w:rsid w:val="00695933"/>
    <w:rsid w:val="00695C69"/>
    <w:rsid w:val="00696018"/>
    <w:rsid w:val="00696CD1"/>
    <w:rsid w:val="0069755F"/>
    <w:rsid w:val="00697F06"/>
    <w:rsid w:val="006A0693"/>
    <w:rsid w:val="006A0BDC"/>
    <w:rsid w:val="006A0CFC"/>
    <w:rsid w:val="006A0D23"/>
    <w:rsid w:val="006A1382"/>
    <w:rsid w:val="006A2147"/>
    <w:rsid w:val="006A2447"/>
    <w:rsid w:val="006A34E2"/>
    <w:rsid w:val="006A3680"/>
    <w:rsid w:val="006A3A1D"/>
    <w:rsid w:val="006A3E01"/>
    <w:rsid w:val="006A47BE"/>
    <w:rsid w:val="006A51FD"/>
    <w:rsid w:val="006A559E"/>
    <w:rsid w:val="006A5A53"/>
    <w:rsid w:val="006A5B9D"/>
    <w:rsid w:val="006A5C73"/>
    <w:rsid w:val="006A77C1"/>
    <w:rsid w:val="006B043D"/>
    <w:rsid w:val="006B045D"/>
    <w:rsid w:val="006B0D1E"/>
    <w:rsid w:val="006B0F53"/>
    <w:rsid w:val="006B0FF9"/>
    <w:rsid w:val="006B1447"/>
    <w:rsid w:val="006B2845"/>
    <w:rsid w:val="006B2848"/>
    <w:rsid w:val="006B2B48"/>
    <w:rsid w:val="006B3440"/>
    <w:rsid w:val="006B3557"/>
    <w:rsid w:val="006B38D7"/>
    <w:rsid w:val="006B3B62"/>
    <w:rsid w:val="006B3F61"/>
    <w:rsid w:val="006B6B8C"/>
    <w:rsid w:val="006B79E9"/>
    <w:rsid w:val="006C0281"/>
    <w:rsid w:val="006C0BBB"/>
    <w:rsid w:val="006C0D87"/>
    <w:rsid w:val="006C11F4"/>
    <w:rsid w:val="006C13C8"/>
    <w:rsid w:val="006C1D0B"/>
    <w:rsid w:val="006C1E11"/>
    <w:rsid w:val="006C2773"/>
    <w:rsid w:val="006C3FE3"/>
    <w:rsid w:val="006C403D"/>
    <w:rsid w:val="006C423C"/>
    <w:rsid w:val="006C580C"/>
    <w:rsid w:val="006C594B"/>
    <w:rsid w:val="006C6ADA"/>
    <w:rsid w:val="006C7084"/>
    <w:rsid w:val="006C71B3"/>
    <w:rsid w:val="006C7C8E"/>
    <w:rsid w:val="006D07D2"/>
    <w:rsid w:val="006D18AA"/>
    <w:rsid w:val="006D1AF2"/>
    <w:rsid w:val="006D228A"/>
    <w:rsid w:val="006D2795"/>
    <w:rsid w:val="006D2F6D"/>
    <w:rsid w:val="006D3D74"/>
    <w:rsid w:val="006D4800"/>
    <w:rsid w:val="006D515E"/>
    <w:rsid w:val="006D52C2"/>
    <w:rsid w:val="006D54A6"/>
    <w:rsid w:val="006D5C0A"/>
    <w:rsid w:val="006D5D3C"/>
    <w:rsid w:val="006D60A0"/>
    <w:rsid w:val="006D67F8"/>
    <w:rsid w:val="006D6D44"/>
    <w:rsid w:val="006D704E"/>
    <w:rsid w:val="006D7789"/>
    <w:rsid w:val="006D78B1"/>
    <w:rsid w:val="006E0D30"/>
    <w:rsid w:val="006E16D2"/>
    <w:rsid w:val="006E3505"/>
    <w:rsid w:val="006E3CD4"/>
    <w:rsid w:val="006E43DF"/>
    <w:rsid w:val="006E43F9"/>
    <w:rsid w:val="006E4BC6"/>
    <w:rsid w:val="006E4DAC"/>
    <w:rsid w:val="006E503C"/>
    <w:rsid w:val="006E6042"/>
    <w:rsid w:val="006E6FE9"/>
    <w:rsid w:val="006F1D99"/>
    <w:rsid w:val="006F1ED0"/>
    <w:rsid w:val="006F1FBA"/>
    <w:rsid w:val="006F2899"/>
    <w:rsid w:val="006F2D86"/>
    <w:rsid w:val="006F3A88"/>
    <w:rsid w:val="006F47A1"/>
    <w:rsid w:val="006F5BB2"/>
    <w:rsid w:val="006F6755"/>
    <w:rsid w:val="006F6A29"/>
    <w:rsid w:val="006F7500"/>
    <w:rsid w:val="006F783F"/>
    <w:rsid w:val="00700DF8"/>
    <w:rsid w:val="00700DFC"/>
    <w:rsid w:val="00700F0F"/>
    <w:rsid w:val="007015C0"/>
    <w:rsid w:val="00701BD2"/>
    <w:rsid w:val="00701D0E"/>
    <w:rsid w:val="00701D68"/>
    <w:rsid w:val="00702035"/>
    <w:rsid w:val="00702B62"/>
    <w:rsid w:val="00704B2C"/>
    <w:rsid w:val="007051FC"/>
    <w:rsid w:val="007057C5"/>
    <w:rsid w:val="007071F1"/>
    <w:rsid w:val="00707622"/>
    <w:rsid w:val="007101E9"/>
    <w:rsid w:val="007106D8"/>
    <w:rsid w:val="00711077"/>
    <w:rsid w:val="007131A8"/>
    <w:rsid w:val="00713B99"/>
    <w:rsid w:val="00713DB0"/>
    <w:rsid w:val="00713DD3"/>
    <w:rsid w:val="00713F15"/>
    <w:rsid w:val="00715B6F"/>
    <w:rsid w:val="007174E1"/>
    <w:rsid w:val="007177DD"/>
    <w:rsid w:val="00717F74"/>
    <w:rsid w:val="00720934"/>
    <w:rsid w:val="007213FA"/>
    <w:rsid w:val="00721B91"/>
    <w:rsid w:val="00721F8D"/>
    <w:rsid w:val="007229B5"/>
    <w:rsid w:val="007230FA"/>
    <w:rsid w:val="0072398A"/>
    <w:rsid w:val="00723B1C"/>
    <w:rsid w:val="00724E96"/>
    <w:rsid w:val="00725AC5"/>
    <w:rsid w:val="00726A2F"/>
    <w:rsid w:val="00726AC8"/>
    <w:rsid w:val="00727583"/>
    <w:rsid w:val="007275A4"/>
    <w:rsid w:val="00727BE8"/>
    <w:rsid w:val="0073014F"/>
    <w:rsid w:val="007318AF"/>
    <w:rsid w:val="00731A7F"/>
    <w:rsid w:val="00731C1D"/>
    <w:rsid w:val="007333BA"/>
    <w:rsid w:val="00734F82"/>
    <w:rsid w:val="00735391"/>
    <w:rsid w:val="00735796"/>
    <w:rsid w:val="00735D52"/>
    <w:rsid w:val="00736338"/>
    <w:rsid w:val="00736990"/>
    <w:rsid w:val="00736B5F"/>
    <w:rsid w:val="0073722C"/>
    <w:rsid w:val="007374CF"/>
    <w:rsid w:val="007374F8"/>
    <w:rsid w:val="00741349"/>
    <w:rsid w:val="0074173C"/>
    <w:rsid w:val="0074223E"/>
    <w:rsid w:val="007427DC"/>
    <w:rsid w:val="007428EB"/>
    <w:rsid w:val="007442E0"/>
    <w:rsid w:val="00745494"/>
    <w:rsid w:val="0074682E"/>
    <w:rsid w:val="0074687E"/>
    <w:rsid w:val="00747042"/>
    <w:rsid w:val="007476C5"/>
    <w:rsid w:val="00747C77"/>
    <w:rsid w:val="00747FCA"/>
    <w:rsid w:val="0075031D"/>
    <w:rsid w:val="007522F6"/>
    <w:rsid w:val="00752BDF"/>
    <w:rsid w:val="007537C9"/>
    <w:rsid w:val="00753C56"/>
    <w:rsid w:val="0075436B"/>
    <w:rsid w:val="0075560B"/>
    <w:rsid w:val="00756A9D"/>
    <w:rsid w:val="00756C97"/>
    <w:rsid w:val="00756E67"/>
    <w:rsid w:val="007572DB"/>
    <w:rsid w:val="0075750C"/>
    <w:rsid w:val="00760192"/>
    <w:rsid w:val="007608A4"/>
    <w:rsid w:val="00761396"/>
    <w:rsid w:val="007616FC"/>
    <w:rsid w:val="00762F2D"/>
    <w:rsid w:val="00764E20"/>
    <w:rsid w:val="007651B1"/>
    <w:rsid w:val="00765852"/>
    <w:rsid w:val="0076619B"/>
    <w:rsid w:val="007671D7"/>
    <w:rsid w:val="007700CE"/>
    <w:rsid w:val="007702B2"/>
    <w:rsid w:val="007723D2"/>
    <w:rsid w:val="00773A97"/>
    <w:rsid w:val="00773FC0"/>
    <w:rsid w:val="00774AED"/>
    <w:rsid w:val="00774C4C"/>
    <w:rsid w:val="007751AC"/>
    <w:rsid w:val="00775EAB"/>
    <w:rsid w:val="007760C6"/>
    <w:rsid w:val="0077650D"/>
    <w:rsid w:val="007768C5"/>
    <w:rsid w:val="007768D3"/>
    <w:rsid w:val="00776EE9"/>
    <w:rsid w:val="0077719C"/>
    <w:rsid w:val="00780045"/>
    <w:rsid w:val="00780332"/>
    <w:rsid w:val="00780CA2"/>
    <w:rsid w:val="0078122E"/>
    <w:rsid w:val="00781B66"/>
    <w:rsid w:val="00781EBE"/>
    <w:rsid w:val="00783A14"/>
    <w:rsid w:val="00783BA4"/>
    <w:rsid w:val="00784A76"/>
    <w:rsid w:val="00784CDF"/>
    <w:rsid w:val="0078580E"/>
    <w:rsid w:val="007859B4"/>
    <w:rsid w:val="00785F37"/>
    <w:rsid w:val="00786484"/>
    <w:rsid w:val="00786A30"/>
    <w:rsid w:val="007900BF"/>
    <w:rsid w:val="007904CD"/>
    <w:rsid w:val="00791963"/>
    <w:rsid w:val="00791B59"/>
    <w:rsid w:val="00793567"/>
    <w:rsid w:val="00793F8B"/>
    <w:rsid w:val="00794128"/>
    <w:rsid w:val="007944A2"/>
    <w:rsid w:val="00794627"/>
    <w:rsid w:val="007949C7"/>
    <w:rsid w:val="00794A81"/>
    <w:rsid w:val="00794BCC"/>
    <w:rsid w:val="007954C8"/>
    <w:rsid w:val="00796659"/>
    <w:rsid w:val="0079729C"/>
    <w:rsid w:val="007A0059"/>
    <w:rsid w:val="007A03BA"/>
    <w:rsid w:val="007A092C"/>
    <w:rsid w:val="007A0E98"/>
    <w:rsid w:val="007A1927"/>
    <w:rsid w:val="007A30CA"/>
    <w:rsid w:val="007A3856"/>
    <w:rsid w:val="007A3951"/>
    <w:rsid w:val="007A46CA"/>
    <w:rsid w:val="007A49E0"/>
    <w:rsid w:val="007A4FA6"/>
    <w:rsid w:val="007A5830"/>
    <w:rsid w:val="007A6657"/>
    <w:rsid w:val="007A6B72"/>
    <w:rsid w:val="007B0A3F"/>
    <w:rsid w:val="007B0CBF"/>
    <w:rsid w:val="007B0DA7"/>
    <w:rsid w:val="007B1AF7"/>
    <w:rsid w:val="007B3F15"/>
    <w:rsid w:val="007B42C5"/>
    <w:rsid w:val="007B4420"/>
    <w:rsid w:val="007B4CFA"/>
    <w:rsid w:val="007B5217"/>
    <w:rsid w:val="007B566E"/>
    <w:rsid w:val="007B5785"/>
    <w:rsid w:val="007B6B7A"/>
    <w:rsid w:val="007B7FCE"/>
    <w:rsid w:val="007C04EC"/>
    <w:rsid w:val="007C0577"/>
    <w:rsid w:val="007C0B6F"/>
    <w:rsid w:val="007C1111"/>
    <w:rsid w:val="007C1955"/>
    <w:rsid w:val="007C2292"/>
    <w:rsid w:val="007C280B"/>
    <w:rsid w:val="007C2859"/>
    <w:rsid w:val="007C39CA"/>
    <w:rsid w:val="007C5EB9"/>
    <w:rsid w:val="007C728F"/>
    <w:rsid w:val="007D1245"/>
    <w:rsid w:val="007D22A8"/>
    <w:rsid w:val="007D248C"/>
    <w:rsid w:val="007D3F3C"/>
    <w:rsid w:val="007D424F"/>
    <w:rsid w:val="007D4A03"/>
    <w:rsid w:val="007D4AA8"/>
    <w:rsid w:val="007D73B3"/>
    <w:rsid w:val="007E081F"/>
    <w:rsid w:val="007E291A"/>
    <w:rsid w:val="007E34D2"/>
    <w:rsid w:val="007E552F"/>
    <w:rsid w:val="007E6D96"/>
    <w:rsid w:val="007E6E93"/>
    <w:rsid w:val="007F1592"/>
    <w:rsid w:val="007F2485"/>
    <w:rsid w:val="007F25B2"/>
    <w:rsid w:val="007F2B95"/>
    <w:rsid w:val="007F2EF9"/>
    <w:rsid w:val="007F325E"/>
    <w:rsid w:val="007F3A7D"/>
    <w:rsid w:val="007F3CEB"/>
    <w:rsid w:val="007F437D"/>
    <w:rsid w:val="007F4671"/>
    <w:rsid w:val="007F5192"/>
    <w:rsid w:val="007F601E"/>
    <w:rsid w:val="007F61AC"/>
    <w:rsid w:val="007F6855"/>
    <w:rsid w:val="007F7930"/>
    <w:rsid w:val="0080013D"/>
    <w:rsid w:val="008009E5"/>
    <w:rsid w:val="00800BBF"/>
    <w:rsid w:val="00800D2B"/>
    <w:rsid w:val="00800DF6"/>
    <w:rsid w:val="0080145E"/>
    <w:rsid w:val="008017B7"/>
    <w:rsid w:val="00801DD5"/>
    <w:rsid w:val="00802B64"/>
    <w:rsid w:val="0080348F"/>
    <w:rsid w:val="0080361B"/>
    <w:rsid w:val="00803DD4"/>
    <w:rsid w:val="00803F0D"/>
    <w:rsid w:val="00805DE2"/>
    <w:rsid w:val="00805E15"/>
    <w:rsid w:val="00805E17"/>
    <w:rsid w:val="008066C6"/>
    <w:rsid w:val="00806839"/>
    <w:rsid w:val="00806927"/>
    <w:rsid w:val="00806F39"/>
    <w:rsid w:val="008073BE"/>
    <w:rsid w:val="00807C28"/>
    <w:rsid w:val="00807D40"/>
    <w:rsid w:val="008104EE"/>
    <w:rsid w:val="00810A6C"/>
    <w:rsid w:val="00810A76"/>
    <w:rsid w:val="00810D5A"/>
    <w:rsid w:val="008118E6"/>
    <w:rsid w:val="00812408"/>
    <w:rsid w:val="008129CA"/>
    <w:rsid w:val="0081371D"/>
    <w:rsid w:val="00814D2E"/>
    <w:rsid w:val="00815B60"/>
    <w:rsid w:val="0081611B"/>
    <w:rsid w:val="00816820"/>
    <w:rsid w:val="0081682A"/>
    <w:rsid w:val="00816A33"/>
    <w:rsid w:val="00816B41"/>
    <w:rsid w:val="00817727"/>
    <w:rsid w:val="00817FC4"/>
    <w:rsid w:val="00820F4E"/>
    <w:rsid w:val="0082135C"/>
    <w:rsid w:val="008214D5"/>
    <w:rsid w:val="0082172F"/>
    <w:rsid w:val="00821986"/>
    <w:rsid w:val="00821FA8"/>
    <w:rsid w:val="008225A8"/>
    <w:rsid w:val="0082287E"/>
    <w:rsid w:val="00822A0D"/>
    <w:rsid w:val="00824471"/>
    <w:rsid w:val="00824B0E"/>
    <w:rsid w:val="008253F4"/>
    <w:rsid w:val="00825806"/>
    <w:rsid w:val="00825B22"/>
    <w:rsid w:val="00826201"/>
    <w:rsid w:val="008264D2"/>
    <w:rsid w:val="00826E21"/>
    <w:rsid w:val="008272C2"/>
    <w:rsid w:val="00827720"/>
    <w:rsid w:val="00830F88"/>
    <w:rsid w:val="00831A08"/>
    <w:rsid w:val="00831C0F"/>
    <w:rsid w:val="00831D2E"/>
    <w:rsid w:val="008320BB"/>
    <w:rsid w:val="0083210F"/>
    <w:rsid w:val="00832660"/>
    <w:rsid w:val="00832CC6"/>
    <w:rsid w:val="008334A7"/>
    <w:rsid w:val="00833642"/>
    <w:rsid w:val="00833736"/>
    <w:rsid w:val="00833A36"/>
    <w:rsid w:val="008350D7"/>
    <w:rsid w:val="00836055"/>
    <w:rsid w:val="008363DD"/>
    <w:rsid w:val="008366CA"/>
    <w:rsid w:val="00836CEB"/>
    <w:rsid w:val="00837063"/>
    <w:rsid w:val="00837174"/>
    <w:rsid w:val="008376C4"/>
    <w:rsid w:val="0083780E"/>
    <w:rsid w:val="008403DD"/>
    <w:rsid w:val="0084143C"/>
    <w:rsid w:val="00841561"/>
    <w:rsid w:val="0084242A"/>
    <w:rsid w:val="0084286E"/>
    <w:rsid w:val="008431F2"/>
    <w:rsid w:val="00843511"/>
    <w:rsid w:val="00844267"/>
    <w:rsid w:val="00844635"/>
    <w:rsid w:val="00844BFB"/>
    <w:rsid w:val="00845C02"/>
    <w:rsid w:val="00845D2F"/>
    <w:rsid w:val="00846547"/>
    <w:rsid w:val="00847151"/>
    <w:rsid w:val="008475A5"/>
    <w:rsid w:val="008500EE"/>
    <w:rsid w:val="0085066A"/>
    <w:rsid w:val="00850F80"/>
    <w:rsid w:val="00851090"/>
    <w:rsid w:val="00851AAF"/>
    <w:rsid w:val="008521A8"/>
    <w:rsid w:val="008524CB"/>
    <w:rsid w:val="00852ACB"/>
    <w:rsid w:val="00852C09"/>
    <w:rsid w:val="008534FC"/>
    <w:rsid w:val="00853EDE"/>
    <w:rsid w:val="00854532"/>
    <w:rsid w:val="00854671"/>
    <w:rsid w:val="0085471C"/>
    <w:rsid w:val="00854E32"/>
    <w:rsid w:val="00855012"/>
    <w:rsid w:val="00855C10"/>
    <w:rsid w:val="00855F3D"/>
    <w:rsid w:val="008562AC"/>
    <w:rsid w:val="00857263"/>
    <w:rsid w:val="008604D2"/>
    <w:rsid w:val="0086087D"/>
    <w:rsid w:val="00860D09"/>
    <w:rsid w:val="008612AC"/>
    <w:rsid w:val="00862250"/>
    <w:rsid w:val="008623F5"/>
    <w:rsid w:val="00862B8E"/>
    <w:rsid w:val="00862E56"/>
    <w:rsid w:val="00865509"/>
    <w:rsid w:val="008707E8"/>
    <w:rsid w:val="00870C88"/>
    <w:rsid w:val="00873597"/>
    <w:rsid w:val="008735F1"/>
    <w:rsid w:val="0087364F"/>
    <w:rsid w:val="00873846"/>
    <w:rsid w:val="00874EEB"/>
    <w:rsid w:val="0087501A"/>
    <w:rsid w:val="00875427"/>
    <w:rsid w:val="00876BEA"/>
    <w:rsid w:val="00876F43"/>
    <w:rsid w:val="008776E9"/>
    <w:rsid w:val="00877888"/>
    <w:rsid w:val="00877FE2"/>
    <w:rsid w:val="0088097F"/>
    <w:rsid w:val="00880AE1"/>
    <w:rsid w:val="00880C2C"/>
    <w:rsid w:val="00880CD6"/>
    <w:rsid w:val="00881396"/>
    <w:rsid w:val="00881F57"/>
    <w:rsid w:val="0088213B"/>
    <w:rsid w:val="0088214F"/>
    <w:rsid w:val="0088289C"/>
    <w:rsid w:val="00882937"/>
    <w:rsid w:val="00882F91"/>
    <w:rsid w:val="00883931"/>
    <w:rsid w:val="008844BE"/>
    <w:rsid w:val="008847F5"/>
    <w:rsid w:val="00884FA1"/>
    <w:rsid w:val="00885E4B"/>
    <w:rsid w:val="00887616"/>
    <w:rsid w:val="008917D0"/>
    <w:rsid w:val="00891B5D"/>
    <w:rsid w:val="00891E89"/>
    <w:rsid w:val="008921EE"/>
    <w:rsid w:val="0089348B"/>
    <w:rsid w:val="008934E7"/>
    <w:rsid w:val="00893BAF"/>
    <w:rsid w:val="00894739"/>
    <w:rsid w:val="0089500B"/>
    <w:rsid w:val="00895612"/>
    <w:rsid w:val="00895E34"/>
    <w:rsid w:val="00895E35"/>
    <w:rsid w:val="00895F90"/>
    <w:rsid w:val="00896EFD"/>
    <w:rsid w:val="00897934"/>
    <w:rsid w:val="00897B37"/>
    <w:rsid w:val="008A0082"/>
    <w:rsid w:val="008A04F5"/>
    <w:rsid w:val="008A1494"/>
    <w:rsid w:val="008A14F0"/>
    <w:rsid w:val="008A1E82"/>
    <w:rsid w:val="008A2159"/>
    <w:rsid w:val="008A2F4B"/>
    <w:rsid w:val="008A37BB"/>
    <w:rsid w:val="008A383A"/>
    <w:rsid w:val="008A4013"/>
    <w:rsid w:val="008A4195"/>
    <w:rsid w:val="008A4B39"/>
    <w:rsid w:val="008A50EE"/>
    <w:rsid w:val="008A59B0"/>
    <w:rsid w:val="008A607E"/>
    <w:rsid w:val="008A6499"/>
    <w:rsid w:val="008A69B0"/>
    <w:rsid w:val="008A6EAB"/>
    <w:rsid w:val="008A6EEA"/>
    <w:rsid w:val="008A711F"/>
    <w:rsid w:val="008B04E7"/>
    <w:rsid w:val="008B2669"/>
    <w:rsid w:val="008B30BA"/>
    <w:rsid w:val="008B31C4"/>
    <w:rsid w:val="008B3DCB"/>
    <w:rsid w:val="008B3EF4"/>
    <w:rsid w:val="008B402D"/>
    <w:rsid w:val="008B42FD"/>
    <w:rsid w:val="008B6632"/>
    <w:rsid w:val="008B72C5"/>
    <w:rsid w:val="008B75D4"/>
    <w:rsid w:val="008C140E"/>
    <w:rsid w:val="008C1BD0"/>
    <w:rsid w:val="008C2FAD"/>
    <w:rsid w:val="008C39A1"/>
    <w:rsid w:val="008C3A50"/>
    <w:rsid w:val="008C3C41"/>
    <w:rsid w:val="008C3CF6"/>
    <w:rsid w:val="008C4440"/>
    <w:rsid w:val="008C4DAB"/>
    <w:rsid w:val="008C4FF3"/>
    <w:rsid w:val="008C53A6"/>
    <w:rsid w:val="008C5758"/>
    <w:rsid w:val="008C57E8"/>
    <w:rsid w:val="008C6953"/>
    <w:rsid w:val="008C69B3"/>
    <w:rsid w:val="008C6A1A"/>
    <w:rsid w:val="008C7823"/>
    <w:rsid w:val="008C7AAF"/>
    <w:rsid w:val="008D013F"/>
    <w:rsid w:val="008D0A53"/>
    <w:rsid w:val="008D131D"/>
    <w:rsid w:val="008D1A09"/>
    <w:rsid w:val="008D321F"/>
    <w:rsid w:val="008D3D43"/>
    <w:rsid w:val="008D424F"/>
    <w:rsid w:val="008D443C"/>
    <w:rsid w:val="008D4C0F"/>
    <w:rsid w:val="008D53B4"/>
    <w:rsid w:val="008D5402"/>
    <w:rsid w:val="008D5DEE"/>
    <w:rsid w:val="008D6FD7"/>
    <w:rsid w:val="008D7001"/>
    <w:rsid w:val="008D7104"/>
    <w:rsid w:val="008D71CB"/>
    <w:rsid w:val="008E072E"/>
    <w:rsid w:val="008E0C4B"/>
    <w:rsid w:val="008E0EDA"/>
    <w:rsid w:val="008E1D05"/>
    <w:rsid w:val="008E2940"/>
    <w:rsid w:val="008E3357"/>
    <w:rsid w:val="008E47E5"/>
    <w:rsid w:val="008E4A86"/>
    <w:rsid w:val="008E4D8C"/>
    <w:rsid w:val="008E50BB"/>
    <w:rsid w:val="008F0DF8"/>
    <w:rsid w:val="008F10AF"/>
    <w:rsid w:val="008F3119"/>
    <w:rsid w:val="008F43A1"/>
    <w:rsid w:val="008F5458"/>
    <w:rsid w:val="008F5E1D"/>
    <w:rsid w:val="008F6EA1"/>
    <w:rsid w:val="008F76F8"/>
    <w:rsid w:val="00900246"/>
    <w:rsid w:val="009004D2"/>
    <w:rsid w:val="0090066B"/>
    <w:rsid w:val="0090080A"/>
    <w:rsid w:val="009014A9"/>
    <w:rsid w:val="00901AC8"/>
    <w:rsid w:val="009029AC"/>
    <w:rsid w:val="00903631"/>
    <w:rsid w:val="009046B1"/>
    <w:rsid w:val="009057D0"/>
    <w:rsid w:val="00905A4A"/>
    <w:rsid w:val="00906533"/>
    <w:rsid w:val="00906940"/>
    <w:rsid w:val="00907682"/>
    <w:rsid w:val="00910A7E"/>
    <w:rsid w:val="00911A6B"/>
    <w:rsid w:val="00912D79"/>
    <w:rsid w:val="009137E5"/>
    <w:rsid w:val="00913C83"/>
    <w:rsid w:val="00913ECF"/>
    <w:rsid w:val="0091497A"/>
    <w:rsid w:val="0091610E"/>
    <w:rsid w:val="009163B0"/>
    <w:rsid w:val="00916457"/>
    <w:rsid w:val="00916CD8"/>
    <w:rsid w:val="00917CDE"/>
    <w:rsid w:val="009208DD"/>
    <w:rsid w:val="0092090F"/>
    <w:rsid w:val="0092118F"/>
    <w:rsid w:val="009214ED"/>
    <w:rsid w:val="00921A83"/>
    <w:rsid w:val="00923EA7"/>
    <w:rsid w:val="00924579"/>
    <w:rsid w:val="00924F29"/>
    <w:rsid w:val="0092568A"/>
    <w:rsid w:val="009263AD"/>
    <w:rsid w:val="00927F86"/>
    <w:rsid w:val="0093059A"/>
    <w:rsid w:val="00931145"/>
    <w:rsid w:val="00931CB5"/>
    <w:rsid w:val="00931D8C"/>
    <w:rsid w:val="0093242B"/>
    <w:rsid w:val="00933478"/>
    <w:rsid w:val="0093362D"/>
    <w:rsid w:val="00933C46"/>
    <w:rsid w:val="00933ECD"/>
    <w:rsid w:val="00933FF0"/>
    <w:rsid w:val="009341FE"/>
    <w:rsid w:val="009345F5"/>
    <w:rsid w:val="00934725"/>
    <w:rsid w:val="009351B5"/>
    <w:rsid w:val="0093542D"/>
    <w:rsid w:val="00935D8F"/>
    <w:rsid w:val="009373C2"/>
    <w:rsid w:val="00937ABD"/>
    <w:rsid w:val="00937D02"/>
    <w:rsid w:val="00940342"/>
    <w:rsid w:val="00940DF0"/>
    <w:rsid w:val="009412CC"/>
    <w:rsid w:val="0094155C"/>
    <w:rsid w:val="009430E7"/>
    <w:rsid w:val="00943883"/>
    <w:rsid w:val="009439B5"/>
    <w:rsid w:val="0094404D"/>
    <w:rsid w:val="00944308"/>
    <w:rsid w:val="0094487C"/>
    <w:rsid w:val="00944BCE"/>
    <w:rsid w:val="009458D0"/>
    <w:rsid w:val="00946B3E"/>
    <w:rsid w:val="00946DD0"/>
    <w:rsid w:val="00947E83"/>
    <w:rsid w:val="00947FC9"/>
    <w:rsid w:val="00950280"/>
    <w:rsid w:val="009502DD"/>
    <w:rsid w:val="00950373"/>
    <w:rsid w:val="009504AF"/>
    <w:rsid w:val="0095069C"/>
    <w:rsid w:val="00951B49"/>
    <w:rsid w:val="0095323E"/>
    <w:rsid w:val="009532CF"/>
    <w:rsid w:val="0095336D"/>
    <w:rsid w:val="00953A23"/>
    <w:rsid w:val="00953DD6"/>
    <w:rsid w:val="00953EB3"/>
    <w:rsid w:val="009542B3"/>
    <w:rsid w:val="00954596"/>
    <w:rsid w:val="009546F4"/>
    <w:rsid w:val="00954F84"/>
    <w:rsid w:val="009551BF"/>
    <w:rsid w:val="0095557E"/>
    <w:rsid w:val="009557EE"/>
    <w:rsid w:val="00956094"/>
    <w:rsid w:val="009565E0"/>
    <w:rsid w:val="00960425"/>
    <w:rsid w:val="00961762"/>
    <w:rsid w:val="00961D76"/>
    <w:rsid w:val="00961F23"/>
    <w:rsid w:val="00962846"/>
    <w:rsid w:val="00962D68"/>
    <w:rsid w:val="00963B59"/>
    <w:rsid w:val="00963DF2"/>
    <w:rsid w:val="0096418F"/>
    <w:rsid w:val="0096502F"/>
    <w:rsid w:val="00966521"/>
    <w:rsid w:val="00966541"/>
    <w:rsid w:val="009665FE"/>
    <w:rsid w:val="009707CD"/>
    <w:rsid w:val="00971D51"/>
    <w:rsid w:val="009736F6"/>
    <w:rsid w:val="00974108"/>
    <w:rsid w:val="0097429D"/>
    <w:rsid w:val="00974749"/>
    <w:rsid w:val="00974B67"/>
    <w:rsid w:val="00974EFB"/>
    <w:rsid w:val="00975DEC"/>
    <w:rsid w:val="00975FE4"/>
    <w:rsid w:val="00976159"/>
    <w:rsid w:val="00976C10"/>
    <w:rsid w:val="00977E55"/>
    <w:rsid w:val="00981160"/>
    <w:rsid w:val="00981641"/>
    <w:rsid w:val="0098189F"/>
    <w:rsid w:val="00981DDB"/>
    <w:rsid w:val="0098362F"/>
    <w:rsid w:val="00983D72"/>
    <w:rsid w:val="00983DA2"/>
    <w:rsid w:val="00983E70"/>
    <w:rsid w:val="009849B4"/>
    <w:rsid w:val="00985FF2"/>
    <w:rsid w:val="00986CFC"/>
    <w:rsid w:val="00990173"/>
    <w:rsid w:val="00990D9D"/>
    <w:rsid w:val="009919A3"/>
    <w:rsid w:val="00991A2A"/>
    <w:rsid w:val="0099213F"/>
    <w:rsid w:val="00992B6B"/>
    <w:rsid w:val="00992D6B"/>
    <w:rsid w:val="009939AC"/>
    <w:rsid w:val="00993DDE"/>
    <w:rsid w:val="00994DD9"/>
    <w:rsid w:val="00996887"/>
    <w:rsid w:val="00996CB1"/>
    <w:rsid w:val="0099741E"/>
    <w:rsid w:val="00997B2F"/>
    <w:rsid w:val="009A0422"/>
    <w:rsid w:val="009A082B"/>
    <w:rsid w:val="009A0FAC"/>
    <w:rsid w:val="009A2559"/>
    <w:rsid w:val="009A2FC6"/>
    <w:rsid w:val="009A3047"/>
    <w:rsid w:val="009A3202"/>
    <w:rsid w:val="009A41F9"/>
    <w:rsid w:val="009A4205"/>
    <w:rsid w:val="009A4AE8"/>
    <w:rsid w:val="009A4C0E"/>
    <w:rsid w:val="009A5011"/>
    <w:rsid w:val="009A51DA"/>
    <w:rsid w:val="009A79E6"/>
    <w:rsid w:val="009B1446"/>
    <w:rsid w:val="009B1764"/>
    <w:rsid w:val="009B17AA"/>
    <w:rsid w:val="009B17E8"/>
    <w:rsid w:val="009B26A0"/>
    <w:rsid w:val="009B2A11"/>
    <w:rsid w:val="009B2CFE"/>
    <w:rsid w:val="009B2D72"/>
    <w:rsid w:val="009B382F"/>
    <w:rsid w:val="009B416A"/>
    <w:rsid w:val="009B494A"/>
    <w:rsid w:val="009B4B56"/>
    <w:rsid w:val="009B51FA"/>
    <w:rsid w:val="009B5E20"/>
    <w:rsid w:val="009B6BE7"/>
    <w:rsid w:val="009C0255"/>
    <w:rsid w:val="009C0895"/>
    <w:rsid w:val="009C0B8D"/>
    <w:rsid w:val="009C17E2"/>
    <w:rsid w:val="009C1822"/>
    <w:rsid w:val="009C46DE"/>
    <w:rsid w:val="009C5D41"/>
    <w:rsid w:val="009C65BE"/>
    <w:rsid w:val="009C7781"/>
    <w:rsid w:val="009C7EFE"/>
    <w:rsid w:val="009D0DAB"/>
    <w:rsid w:val="009D1A9D"/>
    <w:rsid w:val="009D23DA"/>
    <w:rsid w:val="009D25CF"/>
    <w:rsid w:val="009D39CD"/>
    <w:rsid w:val="009D3C4F"/>
    <w:rsid w:val="009D4407"/>
    <w:rsid w:val="009D6592"/>
    <w:rsid w:val="009D73C3"/>
    <w:rsid w:val="009D7999"/>
    <w:rsid w:val="009E0067"/>
    <w:rsid w:val="009E00FE"/>
    <w:rsid w:val="009E049E"/>
    <w:rsid w:val="009E0D1D"/>
    <w:rsid w:val="009E1B98"/>
    <w:rsid w:val="009E2B34"/>
    <w:rsid w:val="009E31DC"/>
    <w:rsid w:val="009E4274"/>
    <w:rsid w:val="009E4929"/>
    <w:rsid w:val="009E63B8"/>
    <w:rsid w:val="009E69FA"/>
    <w:rsid w:val="009F04C7"/>
    <w:rsid w:val="009F16FA"/>
    <w:rsid w:val="009F209A"/>
    <w:rsid w:val="009F2547"/>
    <w:rsid w:val="009F42F8"/>
    <w:rsid w:val="009F64FF"/>
    <w:rsid w:val="009F6990"/>
    <w:rsid w:val="00A0003B"/>
    <w:rsid w:val="00A00BC9"/>
    <w:rsid w:val="00A01330"/>
    <w:rsid w:val="00A018D0"/>
    <w:rsid w:val="00A026EF"/>
    <w:rsid w:val="00A0277B"/>
    <w:rsid w:val="00A03B86"/>
    <w:rsid w:val="00A05897"/>
    <w:rsid w:val="00A05A7B"/>
    <w:rsid w:val="00A06578"/>
    <w:rsid w:val="00A06ED9"/>
    <w:rsid w:val="00A07683"/>
    <w:rsid w:val="00A07761"/>
    <w:rsid w:val="00A07F1F"/>
    <w:rsid w:val="00A10209"/>
    <w:rsid w:val="00A10473"/>
    <w:rsid w:val="00A109AA"/>
    <w:rsid w:val="00A11E1F"/>
    <w:rsid w:val="00A12DF5"/>
    <w:rsid w:val="00A132DA"/>
    <w:rsid w:val="00A139B2"/>
    <w:rsid w:val="00A13C76"/>
    <w:rsid w:val="00A14770"/>
    <w:rsid w:val="00A1527B"/>
    <w:rsid w:val="00A16609"/>
    <w:rsid w:val="00A171E9"/>
    <w:rsid w:val="00A20163"/>
    <w:rsid w:val="00A2048C"/>
    <w:rsid w:val="00A204AD"/>
    <w:rsid w:val="00A211BA"/>
    <w:rsid w:val="00A227C1"/>
    <w:rsid w:val="00A2374B"/>
    <w:rsid w:val="00A238F6"/>
    <w:rsid w:val="00A23BBA"/>
    <w:rsid w:val="00A23CCE"/>
    <w:rsid w:val="00A24131"/>
    <w:rsid w:val="00A24BED"/>
    <w:rsid w:val="00A25C59"/>
    <w:rsid w:val="00A25C8E"/>
    <w:rsid w:val="00A2674B"/>
    <w:rsid w:val="00A31E3A"/>
    <w:rsid w:val="00A32010"/>
    <w:rsid w:val="00A323D1"/>
    <w:rsid w:val="00A3345D"/>
    <w:rsid w:val="00A3435A"/>
    <w:rsid w:val="00A34C57"/>
    <w:rsid w:val="00A35318"/>
    <w:rsid w:val="00A358AC"/>
    <w:rsid w:val="00A37E86"/>
    <w:rsid w:val="00A37EC0"/>
    <w:rsid w:val="00A40583"/>
    <w:rsid w:val="00A40AF7"/>
    <w:rsid w:val="00A41E5A"/>
    <w:rsid w:val="00A426B8"/>
    <w:rsid w:val="00A42F98"/>
    <w:rsid w:val="00A44487"/>
    <w:rsid w:val="00A44550"/>
    <w:rsid w:val="00A44638"/>
    <w:rsid w:val="00A44D38"/>
    <w:rsid w:val="00A457F3"/>
    <w:rsid w:val="00A45970"/>
    <w:rsid w:val="00A47119"/>
    <w:rsid w:val="00A47394"/>
    <w:rsid w:val="00A47955"/>
    <w:rsid w:val="00A51851"/>
    <w:rsid w:val="00A51AD2"/>
    <w:rsid w:val="00A51DF6"/>
    <w:rsid w:val="00A534EF"/>
    <w:rsid w:val="00A53EC1"/>
    <w:rsid w:val="00A5446B"/>
    <w:rsid w:val="00A5452E"/>
    <w:rsid w:val="00A54AA9"/>
    <w:rsid w:val="00A5556F"/>
    <w:rsid w:val="00A55CD6"/>
    <w:rsid w:val="00A565DE"/>
    <w:rsid w:val="00A57295"/>
    <w:rsid w:val="00A57505"/>
    <w:rsid w:val="00A5759F"/>
    <w:rsid w:val="00A57D15"/>
    <w:rsid w:val="00A6104A"/>
    <w:rsid w:val="00A61434"/>
    <w:rsid w:val="00A61ADF"/>
    <w:rsid w:val="00A629D7"/>
    <w:rsid w:val="00A62D08"/>
    <w:rsid w:val="00A6540B"/>
    <w:rsid w:val="00A65E76"/>
    <w:rsid w:val="00A666B8"/>
    <w:rsid w:val="00A66C75"/>
    <w:rsid w:val="00A67528"/>
    <w:rsid w:val="00A70685"/>
    <w:rsid w:val="00A70D0E"/>
    <w:rsid w:val="00A71948"/>
    <w:rsid w:val="00A72430"/>
    <w:rsid w:val="00A7263B"/>
    <w:rsid w:val="00A7282A"/>
    <w:rsid w:val="00A72E15"/>
    <w:rsid w:val="00A737B4"/>
    <w:rsid w:val="00A7474C"/>
    <w:rsid w:val="00A74821"/>
    <w:rsid w:val="00A74D78"/>
    <w:rsid w:val="00A75AE0"/>
    <w:rsid w:val="00A75C61"/>
    <w:rsid w:val="00A75E49"/>
    <w:rsid w:val="00A77183"/>
    <w:rsid w:val="00A8065F"/>
    <w:rsid w:val="00A80976"/>
    <w:rsid w:val="00A841C0"/>
    <w:rsid w:val="00A848E2"/>
    <w:rsid w:val="00A86439"/>
    <w:rsid w:val="00A87387"/>
    <w:rsid w:val="00A87CF5"/>
    <w:rsid w:val="00A87D7A"/>
    <w:rsid w:val="00A90FA3"/>
    <w:rsid w:val="00A917BD"/>
    <w:rsid w:val="00A918AB"/>
    <w:rsid w:val="00A919C1"/>
    <w:rsid w:val="00A91F0A"/>
    <w:rsid w:val="00A92401"/>
    <w:rsid w:val="00A9376A"/>
    <w:rsid w:val="00A93A8F"/>
    <w:rsid w:val="00A943EE"/>
    <w:rsid w:val="00A9462F"/>
    <w:rsid w:val="00A94B27"/>
    <w:rsid w:val="00A950A4"/>
    <w:rsid w:val="00AA042B"/>
    <w:rsid w:val="00AA0953"/>
    <w:rsid w:val="00AA0B81"/>
    <w:rsid w:val="00AA0BE1"/>
    <w:rsid w:val="00AA0FB2"/>
    <w:rsid w:val="00AA1405"/>
    <w:rsid w:val="00AA1A08"/>
    <w:rsid w:val="00AA36B8"/>
    <w:rsid w:val="00AA37BB"/>
    <w:rsid w:val="00AA5AE0"/>
    <w:rsid w:val="00AA65AB"/>
    <w:rsid w:val="00AA7591"/>
    <w:rsid w:val="00AB039C"/>
    <w:rsid w:val="00AB0669"/>
    <w:rsid w:val="00AB08D6"/>
    <w:rsid w:val="00AB0981"/>
    <w:rsid w:val="00AB12F5"/>
    <w:rsid w:val="00AB13A3"/>
    <w:rsid w:val="00AB3F3F"/>
    <w:rsid w:val="00AB4D34"/>
    <w:rsid w:val="00AB5100"/>
    <w:rsid w:val="00AB5260"/>
    <w:rsid w:val="00AB5754"/>
    <w:rsid w:val="00AB5D76"/>
    <w:rsid w:val="00AB5E52"/>
    <w:rsid w:val="00AB6C29"/>
    <w:rsid w:val="00AB6EF4"/>
    <w:rsid w:val="00AB76BB"/>
    <w:rsid w:val="00AB7A82"/>
    <w:rsid w:val="00AC0178"/>
    <w:rsid w:val="00AC1168"/>
    <w:rsid w:val="00AC15A7"/>
    <w:rsid w:val="00AC38EC"/>
    <w:rsid w:val="00AC44D2"/>
    <w:rsid w:val="00AC46BB"/>
    <w:rsid w:val="00AC51BB"/>
    <w:rsid w:val="00AC5C1A"/>
    <w:rsid w:val="00AC6362"/>
    <w:rsid w:val="00AC7297"/>
    <w:rsid w:val="00AC7874"/>
    <w:rsid w:val="00AD1213"/>
    <w:rsid w:val="00AD138C"/>
    <w:rsid w:val="00AD14A2"/>
    <w:rsid w:val="00AD1A45"/>
    <w:rsid w:val="00AD1D9E"/>
    <w:rsid w:val="00AD3BCF"/>
    <w:rsid w:val="00AD3F7E"/>
    <w:rsid w:val="00AD489C"/>
    <w:rsid w:val="00AD58F8"/>
    <w:rsid w:val="00AD6E89"/>
    <w:rsid w:val="00AD7DD3"/>
    <w:rsid w:val="00AE048D"/>
    <w:rsid w:val="00AE13DA"/>
    <w:rsid w:val="00AE17DE"/>
    <w:rsid w:val="00AE1947"/>
    <w:rsid w:val="00AE1DC3"/>
    <w:rsid w:val="00AE2C58"/>
    <w:rsid w:val="00AE2E5C"/>
    <w:rsid w:val="00AE2E97"/>
    <w:rsid w:val="00AE3FC1"/>
    <w:rsid w:val="00AE4A08"/>
    <w:rsid w:val="00AE5656"/>
    <w:rsid w:val="00AE6554"/>
    <w:rsid w:val="00AE7A83"/>
    <w:rsid w:val="00AF1409"/>
    <w:rsid w:val="00AF17F5"/>
    <w:rsid w:val="00AF1AF9"/>
    <w:rsid w:val="00AF1BAD"/>
    <w:rsid w:val="00AF20ED"/>
    <w:rsid w:val="00AF23D1"/>
    <w:rsid w:val="00AF25B7"/>
    <w:rsid w:val="00AF260D"/>
    <w:rsid w:val="00AF34C7"/>
    <w:rsid w:val="00AF4348"/>
    <w:rsid w:val="00AF4421"/>
    <w:rsid w:val="00AF4678"/>
    <w:rsid w:val="00AF4737"/>
    <w:rsid w:val="00AF499B"/>
    <w:rsid w:val="00AF49B0"/>
    <w:rsid w:val="00AF4C9D"/>
    <w:rsid w:val="00AF4D84"/>
    <w:rsid w:val="00AF5223"/>
    <w:rsid w:val="00AF6300"/>
    <w:rsid w:val="00AF6511"/>
    <w:rsid w:val="00AF66C2"/>
    <w:rsid w:val="00AF6868"/>
    <w:rsid w:val="00AF76C8"/>
    <w:rsid w:val="00AF7E34"/>
    <w:rsid w:val="00B003D7"/>
    <w:rsid w:val="00B0041B"/>
    <w:rsid w:val="00B00454"/>
    <w:rsid w:val="00B00D9E"/>
    <w:rsid w:val="00B026AD"/>
    <w:rsid w:val="00B02715"/>
    <w:rsid w:val="00B03519"/>
    <w:rsid w:val="00B03C62"/>
    <w:rsid w:val="00B03DF0"/>
    <w:rsid w:val="00B044B7"/>
    <w:rsid w:val="00B04DD0"/>
    <w:rsid w:val="00B05773"/>
    <w:rsid w:val="00B05AAA"/>
    <w:rsid w:val="00B05C8B"/>
    <w:rsid w:val="00B0610E"/>
    <w:rsid w:val="00B06377"/>
    <w:rsid w:val="00B070A2"/>
    <w:rsid w:val="00B104C6"/>
    <w:rsid w:val="00B109AB"/>
    <w:rsid w:val="00B10DEE"/>
    <w:rsid w:val="00B10FFB"/>
    <w:rsid w:val="00B11505"/>
    <w:rsid w:val="00B11899"/>
    <w:rsid w:val="00B12D93"/>
    <w:rsid w:val="00B131D0"/>
    <w:rsid w:val="00B134BB"/>
    <w:rsid w:val="00B1388E"/>
    <w:rsid w:val="00B13AA6"/>
    <w:rsid w:val="00B149D1"/>
    <w:rsid w:val="00B14DCF"/>
    <w:rsid w:val="00B15877"/>
    <w:rsid w:val="00B15B38"/>
    <w:rsid w:val="00B15F8A"/>
    <w:rsid w:val="00B167E3"/>
    <w:rsid w:val="00B17806"/>
    <w:rsid w:val="00B17909"/>
    <w:rsid w:val="00B20264"/>
    <w:rsid w:val="00B20D2E"/>
    <w:rsid w:val="00B20DBB"/>
    <w:rsid w:val="00B22B87"/>
    <w:rsid w:val="00B22BE8"/>
    <w:rsid w:val="00B22F6F"/>
    <w:rsid w:val="00B23002"/>
    <w:rsid w:val="00B2320C"/>
    <w:rsid w:val="00B250A9"/>
    <w:rsid w:val="00B25DEB"/>
    <w:rsid w:val="00B2617D"/>
    <w:rsid w:val="00B26A9B"/>
    <w:rsid w:val="00B26BF3"/>
    <w:rsid w:val="00B30510"/>
    <w:rsid w:val="00B307CB"/>
    <w:rsid w:val="00B31EDD"/>
    <w:rsid w:val="00B3240F"/>
    <w:rsid w:val="00B3248B"/>
    <w:rsid w:val="00B337B2"/>
    <w:rsid w:val="00B33A6E"/>
    <w:rsid w:val="00B33A8E"/>
    <w:rsid w:val="00B34F0C"/>
    <w:rsid w:val="00B356A9"/>
    <w:rsid w:val="00B36548"/>
    <w:rsid w:val="00B36743"/>
    <w:rsid w:val="00B36AD6"/>
    <w:rsid w:val="00B40264"/>
    <w:rsid w:val="00B40391"/>
    <w:rsid w:val="00B408CF"/>
    <w:rsid w:val="00B409D1"/>
    <w:rsid w:val="00B413DD"/>
    <w:rsid w:val="00B41898"/>
    <w:rsid w:val="00B422C8"/>
    <w:rsid w:val="00B425A5"/>
    <w:rsid w:val="00B42CA4"/>
    <w:rsid w:val="00B43C82"/>
    <w:rsid w:val="00B43E92"/>
    <w:rsid w:val="00B44CE2"/>
    <w:rsid w:val="00B44DED"/>
    <w:rsid w:val="00B453D4"/>
    <w:rsid w:val="00B457BC"/>
    <w:rsid w:val="00B45D5D"/>
    <w:rsid w:val="00B46830"/>
    <w:rsid w:val="00B468D9"/>
    <w:rsid w:val="00B4694E"/>
    <w:rsid w:val="00B46CD6"/>
    <w:rsid w:val="00B47545"/>
    <w:rsid w:val="00B50C6F"/>
    <w:rsid w:val="00B512DD"/>
    <w:rsid w:val="00B513C6"/>
    <w:rsid w:val="00B522F9"/>
    <w:rsid w:val="00B52ADB"/>
    <w:rsid w:val="00B53CF3"/>
    <w:rsid w:val="00B53D53"/>
    <w:rsid w:val="00B54AE0"/>
    <w:rsid w:val="00B579C1"/>
    <w:rsid w:val="00B57A35"/>
    <w:rsid w:val="00B608CF"/>
    <w:rsid w:val="00B61C25"/>
    <w:rsid w:val="00B637A6"/>
    <w:rsid w:val="00B63A31"/>
    <w:rsid w:val="00B64E04"/>
    <w:rsid w:val="00B64FA0"/>
    <w:rsid w:val="00B65664"/>
    <w:rsid w:val="00B66711"/>
    <w:rsid w:val="00B66C03"/>
    <w:rsid w:val="00B66F0F"/>
    <w:rsid w:val="00B67A05"/>
    <w:rsid w:val="00B710C6"/>
    <w:rsid w:val="00B7127D"/>
    <w:rsid w:val="00B71EB2"/>
    <w:rsid w:val="00B72BC2"/>
    <w:rsid w:val="00B73211"/>
    <w:rsid w:val="00B738B9"/>
    <w:rsid w:val="00B738BF"/>
    <w:rsid w:val="00B74B44"/>
    <w:rsid w:val="00B7533B"/>
    <w:rsid w:val="00B7538E"/>
    <w:rsid w:val="00B753A3"/>
    <w:rsid w:val="00B775BF"/>
    <w:rsid w:val="00B80046"/>
    <w:rsid w:val="00B80295"/>
    <w:rsid w:val="00B805C2"/>
    <w:rsid w:val="00B80CE9"/>
    <w:rsid w:val="00B811C1"/>
    <w:rsid w:val="00B814AD"/>
    <w:rsid w:val="00B81915"/>
    <w:rsid w:val="00B82276"/>
    <w:rsid w:val="00B829F1"/>
    <w:rsid w:val="00B8301E"/>
    <w:rsid w:val="00B839BE"/>
    <w:rsid w:val="00B841D7"/>
    <w:rsid w:val="00B847E6"/>
    <w:rsid w:val="00B84975"/>
    <w:rsid w:val="00B84B3B"/>
    <w:rsid w:val="00B84B46"/>
    <w:rsid w:val="00B855ED"/>
    <w:rsid w:val="00B8568F"/>
    <w:rsid w:val="00B86D63"/>
    <w:rsid w:val="00B87F9C"/>
    <w:rsid w:val="00B902F4"/>
    <w:rsid w:val="00B90316"/>
    <w:rsid w:val="00B90FCD"/>
    <w:rsid w:val="00B917B8"/>
    <w:rsid w:val="00B91DC1"/>
    <w:rsid w:val="00B921FD"/>
    <w:rsid w:val="00B92A04"/>
    <w:rsid w:val="00B92CF2"/>
    <w:rsid w:val="00B953B3"/>
    <w:rsid w:val="00B95404"/>
    <w:rsid w:val="00B95BA2"/>
    <w:rsid w:val="00B97818"/>
    <w:rsid w:val="00B97CFF"/>
    <w:rsid w:val="00BA00A2"/>
    <w:rsid w:val="00BA09FB"/>
    <w:rsid w:val="00BA0A1D"/>
    <w:rsid w:val="00BA1F30"/>
    <w:rsid w:val="00BA3221"/>
    <w:rsid w:val="00BA4EA7"/>
    <w:rsid w:val="00BA5534"/>
    <w:rsid w:val="00BA75DA"/>
    <w:rsid w:val="00BB028E"/>
    <w:rsid w:val="00BB09AA"/>
    <w:rsid w:val="00BB1259"/>
    <w:rsid w:val="00BB1868"/>
    <w:rsid w:val="00BB2F89"/>
    <w:rsid w:val="00BB2FBA"/>
    <w:rsid w:val="00BB445E"/>
    <w:rsid w:val="00BB5015"/>
    <w:rsid w:val="00BB57B2"/>
    <w:rsid w:val="00BB6A4F"/>
    <w:rsid w:val="00BB7347"/>
    <w:rsid w:val="00BB764E"/>
    <w:rsid w:val="00BC1A08"/>
    <w:rsid w:val="00BC23C0"/>
    <w:rsid w:val="00BC2CF9"/>
    <w:rsid w:val="00BC3569"/>
    <w:rsid w:val="00BC3BF8"/>
    <w:rsid w:val="00BC49C8"/>
    <w:rsid w:val="00BC4DAF"/>
    <w:rsid w:val="00BC543C"/>
    <w:rsid w:val="00BC5F89"/>
    <w:rsid w:val="00BC6966"/>
    <w:rsid w:val="00BC6F2E"/>
    <w:rsid w:val="00BC7BDE"/>
    <w:rsid w:val="00BC7D6F"/>
    <w:rsid w:val="00BC7E1F"/>
    <w:rsid w:val="00BD02BB"/>
    <w:rsid w:val="00BD02D0"/>
    <w:rsid w:val="00BD03B9"/>
    <w:rsid w:val="00BD1475"/>
    <w:rsid w:val="00BD14DF"/>
    <w:rsid w:val="00BD2180"/>
    <w:rsid w:val="00BD2AD6"/>
    <w:rsid w:val="00BD4C69"/>
    <w:rsid w:val="00BD5070"/>
    <w:rsid w:val="00BD5BC0"/>
    <w:rsid w:val="00BD5FE7"/>
    <w:rsid w:val="00BD7A52"/>
    <w:rsid w:val="00BE0BE4"/>
    <w:rsid w:val="00BE133E"/>
    <w:rsid w:val="00BE1E44"/>
    <w:rsid w:val="00BE2711"/>
    <w:rsid w:val="00BE27CE"/>
    <w:rsid w:val="00BE3544"/>
    <w:rsid w:val="00BE36F1"/>
    <w:rsid w:val="00BE4169"/>
    <w:rsid w:val="00BE4D17"/>
    <w:rsid w:val="00BE4FE9"/>
    <w:rsid w:val="00BE52AB"/>
    <w:rsid w:val="00BE569C"/>
    <w:rsid w:val="00BE5B52"/>
    <w:rsid w:val="00BE5D6F"/>
    <w:rsid w:val="00BE6203"/>
    <w:rsid w:val="00BE6E0B"/>
    <w:rsid w:val="00BE76C9"/>
    <w:rsid w:val="00BF085B"/>
    <w:rsid w:val="00BF0BE1"/>
    <w:rsid w:val="00BF12B5"/>
    <w:rsid w:val="00BF183E"/>
    <w:rsid w:val="00BF1D40"/>
    <w:rsid w:val="00BF1D8D"/>
    <w:rsid w:val="00BF224C"/>
    <w:rsid w:val="00BF2B12"/>
    <w:rsid w:val="00BF3999"/>
    <w:rsid w:val="00BF3E95"/>
    <w:rsid w:val="00BF3EF4"/>
    <w:rsid w:val="00BF44A8"/>
    <w:rsid w:val="00BF472D"/>
    <w:rsid w:val="00BF53CC"/>
    <w:rsid w:val="00BF5B34"/>
    <w:rsid w:val="00BF6814"/>
    <w:rsid w:val="00BF6AD3"/>
    <w:rsid w:val="00BF6B79"/>
    <w:rsid w:val="00BF77B3"/>
    <w:rsid w:val="00BF7C32"/>
    <w:rsid w:val="00C0036A"/>
    <w:rsid w:val="00C006CA"/>
    <w:rsid w:val="00C016A8"/>
    <w:rsid w:val="00C01800"/>
    <w:rsid w:val="00C0246C"/>
    <w:rsid w:val="00C02575"/>
    <w:rsid w:val="00C02DA8"/>
    <w:rsid w:val="00C02E3C"/>
    <w:rsid w:val="00C02E4F"/>
    <w:rsid w:val="00C0342F"/>
    <w:rsid w:val="00C03B4A"/>
    <w:rsid w:val="00C03E09"/>
    <w:rsid w:val="00C042AB"/>
    <w:rsid w:val="00C04709"/>
    <w:rsid w:val="00C0533B"/>
    <w:rsid w:val="00C05B0F"/>
    <w:rsid w:val="00C05F1F"/>
    <w:rsid w:val="00C06B09"/>
    <w:rsid w:val="00C07DDA"/>
    <w:rsid w:val="00C10A7B"/>
    <w:rsid w:val="00C10D9D"/>
    <w:rsid w:val="00C11478"/>
    <w:rsid w:val="00C11662"/>
    <w:rsid w:val="00C124DE"/>
    <w:rsid w:val="00C12C08"/>
    <w:rsid w:val="00C15070"/>
    <w:rsid w:val="00C15567"/>
    <w:rsid w:val="00C167D0"/>
    <w:rsid w:val="00C169AC"/>
    <w:rsid w:val="00C16D15"/>
    <w:rsid w:val="00C16EC2"/>
    <w:rsid w:val="00C17164"/>
    <w:rsid w:val="00C1737C"/>
    <w:rsid w:val="00C20BAA"/>
    <w:rsid w:val="00C20BDF"/>
    <w:rsid w:val="00C225DB"/>
    <w:rsid w:val="00C22B27"/>
    <w:rsid w:val="00C23201"/>
    <w:rsid w:val="00C232E9"/>
    <w:rsid w:val="00C23845"/>
    <w:rsid w:val="00C247DA"/>
    <w:rsid w:val="00C24908"/>
    <w:rsid w:val="00C24BA1"/>
    <w:rsid w:val="00C257C4"/>
    <w:rsid w:val="00C260FC"/>
    <w:rsid w:val="00C2616C"/>
    <w:rsid w:val="00C261A6"/>
    <w:rsid w:val="00C2786C"/>
    <w:rsid w:val="00C303A3"/>
    <w:rsid w:val="00C30506"/>
    <w:rsid w:val="00C33081"/>
    <w:rsid w:val="00C330F7"/>
    <w:rsid w:val="00C33DD2"/>
    <w:rsid w:val="00C342E7"/>
    <w:rsid w:val="00C34A73"/>
    <w:rsid w:val="00C357F1"/>
    <w:rsid w:val="00C36687"/>
    <w:rsid w:val="00C36F3E"/>
    <w:rsid w:val="00C37142"/>
    <w:rsid w:val="00C37B5E"/>
    <w:rsid w:val="00C404AB"/>
    <w:rsid w:val="00C40885"/>
    <w:rsid w:val="00C40B41"/>
    <w:rsid w:val="00C41038"/>
    <w:rsid w:val="00C41EB5"/>
    <w:rsid w:val="00C41EEF"/>
    <w:rsid w:val="00C420CC"/>
    <w:rsid w:val="00C4257B"/>
    <w:rsid w:val="00C42C9E"/>
    <w:rsid w:val="00C4306A"/>
    <w:rsid w:val="00C43187"/>
    <w:rsid w:val="00C431B4"/>
    <w:rsid w:val="00C43E0B"/>
    <w:rsid w:val="00C44B5C"/>
    <w:rsid w:val="00C46B39"/>
    <w:rsid w:val="00C46F37"/>
    <w:rsid w:val="00C502D7"/>
    <w:rsid w:val="00C51180"/>
    <w:rsid w:val="00C521FE"/>
    <w:rsid w:val="00C527A3"/>
    <w:rsid w:val="00C529B8"/>
    <w:rsid w:val="00C532EB"/>
    <w:rsid w:val="00C533CE"/>
    <w:rsid w:val="00C53C18"/>
    <w:rsid w:val="00C53E54"/>
    <w:rsid w:val="00C540BD"/>
    <w:rsid w:val="00C5460A"/>
    <w:rsid w:val="00C54D73"/>
    <w:rsid w:val="00C55173"/>
    <w:rsid w:val="00C559DD"/>
    <w:rsid w:val="00C562F2"/>
    <w:rsid w:val="00C57220"/>
    <w:rsid w:val="00C60315"/>
    <w:rsid w:val="00C60684"/>
    <w:rsid w:val="00C608F1"/>
    <w:rsid w:val="00C60C0F"/>
    <w:rsid w:val="00C60CAB"/>
    <w:rsid w:val="00C610E8"/>
    <w:rsid w:val="00C61722"/>
    <w:rsid w:val="00C61C98"/>
    <w:rsid w:val="00C6263F"/>
    <w:rsid w:val="00C628AA"/>
    <w:rsid w:val="00C6307D"/>
    <w:rsid w:val="00C66427"/>
    <w:rsid w:val="00C66727"/>
    <w:rsid w:val="00C67ACD"/>
    <w:rsid w:val="00C71162"/>
    <w:rsid w:val="00C72EAC"/>
    <w:rsid w:val="00C73215"/>
    <w:rsid w:val="00C74E52"/>
    <w:rsid w:val="00C74F75"/>
    <w:rsid w:val="00C751C6"/>
    <w:rsid w:val="00C756F6"/>
    <w:rsid w:val="00C75771"/>
    <w:rsid w:val="00C75BB6"/>
    <w:rsid w:val="00C75DC5"/>
    <w:rsid w:val="00C76151"/>
    <w:rsid w:val="00C7703D"/>
    <w:rsid w:val="00C770EB"/>
    <w:rsid w:val="00C775CC"/>
    <w:rsid w:val="00C77A56"/>
    <w:rsid w:val="00C80A47"/>
    <w:rsid w:val="00C80BE8"/>
    <w:rsid w:val="00C824C1"/>
    <w:rsid w:val="00C825A9"/>
    <w:rsid w:val="00C83DB7"/>
    <w:rsid w:val="00C8525D"/>
    <w:rsid w:val="00C86A69"/>
    <w:rsid w:val="00C86B38"/>
    <w:rsid w:val="00C875B9"/>
    <w:rsid w:val="00C879BA"/>
    <w:rsid w:val="00C87A3B"/>
    <w:rsid w:val="00C87F26"/>
    <w:rsid w:val="00C90138"/>
    <w:rsid w:val="00C90E25"/>
    <w:rsid w:val="00C91952"/>
    <w:rsid w:val="00C91C95"/>
    <w:rsid w:val="00C92376"/>
    <w:rsid w:val="00C9302C"/>
    <w:rsid w:val="00C93375"/>
    <w:rsid w:val="00C94283"/>
    <w:rsid w:val="00C953C8"/>
    <w:rsid w:val="00C96731"/>
    <w:rsid w:val="00C968B5"/>
    <w:rsid w:val="00C96C13"/>
    <w:rsid w:val="00C96CCA"/>
    <w:rsid w:val="00C97128"/>
    <w:rsid w:val="00C971AD"/>
    <w:rsid w:val="00C9786D"/>
    <w:rsid w:val="00CA2411"/>
    <w:rsid w:val="00CA2716"/>
    <w:rsid w:val="00CA28D2"/>
    <w:rsid w:val="00CA3FC4"/>
    <w:rsid w:val="00CA4197"/>
    <w:rsid w:val="00CA479C"/>
    <w:rsid w:val="00CA4C51"/>
    <w:rsid w:val="00CA5F67"/>
    <w:rsid w:val="00CA6CA3"/>
    <w:rsid w:val="00CA6EF1"/>
    <w:rsid w:val="00CA7CF4"/>
    <w:rsid w:val="00CB1C61"/>
    <w:rsid w:val="00CB24D1"/>
    <w:rsid w:val="00CB26A2"/>
    <w:rsid w:val="00CB2CE7"/>
    <w:rsid w:val="00CB3849"/>
    <w:rsid w:val="00CB3B66"/>
    <w:rsid w:val="00CB3B91"/>
    <w:rsid w:val="00CB3CCC"/>
    <w:rsid w:val="00CB3F0D"/>
    <w:rsid w:val="00CB43AF"/>
    <w:rsid w:val="00CB4488"/>
    <w:rsid w:val="00CB4AC6"/>
    <w:rsid w:val="00CB6216"/>
    <w:rsid w:val="00CB6ABD"/>
    <w:rsid w:val="00CB6AFD"/>
    <w:rsid w:val="00CB6ED0"/>
    <w:rsid w:val="00CB731C"/>
    <w:rsid w:val="00CC05BE"/>
    <w:rsid w:val="00CC1933"/>
    <w:rsid w:val="00CC1CD4"/>
    <w:rsid w:val="00CC3EDA"/>
    <w:rsid w:val="00CC4EA4"/>
    <w:rsid w:val="00CC5198"/>
    <w:rsid w:val="00CC5AEA"/>
    <w:rsid w:val="00CC6324"/>
    <w:rsid w:val="00CC65C8"/>
    <w:rsid w:val="00CC672F"/>
    <w:rsid w:val="00CC6F67"/>
    <w:rsid w:val="00CC7D09"/>
    <w:rsid w:val="00CD09AF"/>
    <w:rsid w:val="00CD0A9E"/>
    <w:rsid w:val="00CD0B6E"/>
    <w:rsid w:val="00CD1422"/>
    <w:rsid w:val="00CD1676"/>
    <w:rsid w:val="00CD19AB"/>
    <w:rsid w:val="00CD1B4E"/>
    <w:rsid w:val="00CD37A4"/>
    <w:rsid w:val="00CD3922"/>
    <w:rsid w:val="00CD51A8"/>
    <w:rsid w:val="00CD5831"/>
    <w:rsid w:val="00CD5C5F"/>
    <w:rsid w:val="00CD6AB6"/>
    <w:rsid w:val="00CD712B"/>
    <w:rsid w:val="00CD7779"/>
    <w:rsid w:val="00CD7D17"/>
    <w:rsid w:val="00CD7FFC"/>
    <w:rsid w:val="00CE02D9"/>
    <w:rsid w:val="00CE02F2"/>
    <w:rsid w:val="00CE039B"/>
    <w:rsid w:val="00CE16EC"/>
    <w:rsid w:val="00CE2365"/>
    <w:rsid w:val="00CE2519"/>
    <w:rsid w:val="00CE2CF4"/>
    <w:rsid w:val="00CE33C5"/>
    <w:rsid w:val="00CE4108"/>
    <w:rsid w:val="00CE4FB2"/>
    <w:rsid w:val="00CE51DA"/>
    <w:rsid w:val="00CE567C"/>
    <w:rsid w:val="00CE657E"/>
    <w:rsid w:val="00CE69C6"/>
    <w:rsid w:val="00CE6C82"/>
    <w:rsid w:val="00CF048D"/>
    <w:rsid w:val="00CF0579"/>
    <w:rsid w:val="00CF086F"/>
    <w:rsid w:val="00CF08AC"/>
    <w:rsid w:val="00CF1514"/>
    <w:rsid w:val="00CF167A"/>
    <w:rsid w:val="00CF16AB"/>
    <w:rsid w:val="00CF1821"/>
    <w:rsid w:val="00CF183D"/>
    <w:rsid w:val="00CF1882"/>
    <w:rsid w:val="00CF1999"/>
    <w:rsid w:val="00CF21E4"/>
    <w:rsid w:val="00CF3210"/>
    <w:rsid w:val="00CF36C3"/>
    <w:rsid w:val="00CF3CA5"/>
    <w:rsid w:val="00CF409C"/>
    <w:rsid w:val="00CF41E6"/>
    <w:rsid w:val="00CF48CD"/>
    <w:rsid w:val="00CF5DD5"/>
    <w:rsid w:val="00CF6D56"/>
    <w:rsid w:val="00D002B9"/>
    <w:rsid w:val="00D01052"/>
    <w:rsid w:val="00D01C9C"/>
    <w:rsid w:val="00D0216C"/>
    <w:rsid w:val="00D034A8"/>
    <w:rsid w:val="00D03E43"/>
    <w:rsid w:val="00D042BF"/>
    <w:rsid w:val="00D056EA"/>
    <w:rsid w:val="00D06081"/>
    <w:rsid w:val="00D06FD1"/>
    <w:rsid w:val="00D07566"/>
    <w:rsid w:val="00D075CA"/>
    <w:rsid w:val="00D0765D"/>
    <w:rsid w:val="00D10025"/>
    <w:rsid w:val="00D100BB"/>
    <w:rsid w:val="00D10759"/>
    <w:rsid w:val="00D109E1"/>
    <w:rsid w:val="00D10A91"/>
    <w:rsid w:val="00D10EE7"/>
    <w:rsid w:val="00D115BF"/>
    <w:rsid w:val="00D11940"/>
    <w:rsid w:val="00D1222E"/>
    <w:rsid w:val="00D122F3"/>
    <w:rsid w:val="00D12CE9"/>
    <w:rsid w:val="00D13E62"/>
    <w:rsid w:val="00D14BAB"/>
    <w:rsid w:val="00D14EA1"/>
    <w:rsid w:val="00D14F32"/>
    <w:rsid w:val="00D14FC3"/>
    <w:rsid w:val="00D154D9"/>
    <w:rsid w:val="00D16683"/>
    <w:rsid w:val="00D16D64"/>
    <w:rsid w:val="00D17020"/>
    <w:rsid w:val="00D17B1C"/>
    <w:rsid w:val="00D17E03"/>
    <w:rsid w:val="00D17F53"/>
    <w:rsid w:val="00D20302"/>
    <w:rsid w:val="00D204DE"/>
    <w:rsid w:val="00D207B8"/>
    <w:rsid w:val="00D20910"/>
    <w:rsid w:val="00D20C77"/>
    <w:rsid w:val="00D217E1"/>
    <w:rsid w:val="00D21A87"/>
    <w:rsid w:val="00D21AC8"/>
    <w:rsid w:val="00D21CB3"/>
    <w:rsid w:val="00D2245B"/>
    <w:rsid w:val="00D22693"/>
    <w:rsid w:val="00D22D72"/>
    <w:rsid w:val="00D236D4"/>
    <w:rsid w:val="00D2392E"/>
    <w:rsid w:val="00D23EF1"/>
    <w:rsid w:val="00D24AF5"/>
    <w:rsid w:val="00D25583"/>
    <w:rsid w:val="00D26021"/>
    <w:rsid w:val="00D26083"/>
    <w:rsid w:val="00D26558"/>
    <w:rsid w:val="00D27CF2"/>
    <w:rsid w:val="00D3007D"/>
    <w:rsid w:val="00D3068A"/>
    <w:rsid w:val="00D30D9E"/>
    <w:rsid w:val="00D323D7"/>
    <w:rsid w:val="00D32E70"/>
    <w:rsid w:val="00D33AAF"/>
    <w:rsid w:val="00D34321"/>
    <w:rsid w:val="00D3471D"/>
    <w:rsid w:val="00D347B7"/>
    <w:rsid w:val="00D34B00"/>
    <w:rsid w:val="00D34EFA"/>
    <w:rsid w:val="00D352A2"/>
    <w:rsid w:val="00D3565A"/>
    <w:rsid w:val="00D368FD"/>
    <w:rsid w:val="00D36FBA"/>
    <w:rsid w:val="00D37AC0"/>
    <w:rsid w:val="00D40367"/>
    <w:rsid w:val="00D419EA"/>
    <w:rsid w:val="00D420E6"/>
    <w:rsid w:val="00D42A99"/>
    <w:rsid w:val="00D42BA8"/>
    <w:rsid w:val="00D42FE7"/>
    <w:rsid w:val="00D439ED"/>
    <w:rsid w:val="00D44468"/>
    <w:rsid w:val="00D45645"/>
    <w:rsid w:val="00D45829"/>
    <w:rsid w:val="00D467F4"/>
    <w:rsid w:val="00D46F3F"/>
    <w:rsid w:val="00D472B9"/>
    <w:rsid w:val="00D47776"/>
    <w:rsid w:val="00D508C7"/>
    <w:rsid w:val="00D50DC9"/>
    <w:rsid w:val="00D50E42"/>
    <w:rsid w:val="00D518C6"/>
    <w:rsid w:val="00D529DF"/>
    <w:rsid w:val="00D52BB5"/>
    <w:rsid w:val="00D5307F"/>
    <w:rsid w:val="00D53A32"/>
    <w:rsid w:val="00D54D37"/>
    <w:rsid w:val="00D5615F"/>
    <w:rsid w:val="00D572F9"/>
    <w:rsid w:val="00D57F72"/>
    <w:rsid w:val="00D602A8"/>
    <w:rsid w:val="00D626E3"/>
    <w:rsid w:val="00D634AE"/>
    <w:rsid w:val="00D6416A"/>
    <w:rsid w:val="00D66E30"/>
    <w:rsid w:val="00D67068"/>
    <w:rsid w:val="00D67416"/>
    <w:rsid w:val="00D674CF"/>
    <w:rsid w:val="00D70069"/>
    <w:rsid w:val="00D700EE"/>
    <w:rsid w:val="00D70806"/>
    <w:rsid w:val="00D70B2C"/>
    <w:rsid w:val="00D70DF0"/>
    <w:rsid w:val="00D716B2"/>
    <w:rsid w:val="00D72DF0"/>
    <w:rsid w:val="00D739ED"/>
    <w:rsid w:val="00D73B56"/>
    <w:rsid w:val="00D74622"/>
    <w:rsid w:val="00D747A8"/>
    <w:rsid w:val="00D7523E"/>
    <w:rsid w:val="00D756A0"/>
    <w:rsid w:val="00D75E80"/>
    <w:rsid w:val="00D774E5"/>
    <w:rsid w:val="00D77BA2"/>
    <w:rsid w:val="00D77E5A"/>
    <w:rsid w:val="00D802B5"/>
    <w:rsid w:val="00D80E4B"/>
    <w:rsid w:val="00D8104A"/>
    <w:rsid w:val="00D813B5"/>
    <w:rsid w:val="00D82124"/>
    <w:rsid w:val="00D82BCD"/>
    <w:rsid w:val="00D8329A"/>
    <w:rsid w:val="00D841AE"/>
    <w:rsid w:val="00D841E6"/>
    <w:rsid w:val="00D84709"/>
    <w:rsid w:val="00D84908"/>
    <w:rsid w:val="00D84C65"/>
    <w:rsid w:val="00D863BF"/>
    <w:rsid w:val="00D87046"/>
    <w:rsid w:val="00D876D3"/>
    <w:rsid w:val="00D90CE9"/>
    <w:rsid w:val="00D92606"/>
    <w:rsid w:val="00D92970"/>
    <w:rsid w:val="00D92D0A"/>
    <w:rsid w:val="00D9354B"/>
    <w:rsid w:val="00D93D7B"/>
    <w:rsid w:val="00D93FA5"/>
    <w:rsid w:val="00D948A1"/>
    <w:rsid w:val="00D95F7D"/>
    <w:rsid w:val="00D97B84"/>
    <w:rsid w:val="00D97DFA"/>
    <w:rsid w:val="00DA1C71"/>
    <w:rsid w:val="00DA2FD7"/>
    <w:rsid w:val="00DA30C1"/>
    <w:rsid w:val="00DA35B6"/>
    <w:rsid w:val="00DA37B2"/>
    <w:rsid w:val="00DA4F6C"/>
    <w:rsid w:val="00DA5E62"/>
    <w:rsid w:val="00DA6B15"/>
    <w:rsid w:val="00DA7092"/>
    <w:rsid w:val="00DA76CD"/>
    <w:rsid w:val="00DA7AF1"/>
    <w:rsid w:val="00DA7EFF"/>
    <w:rsid w:val="00DA7F6C"/>
    <w:rsid w:val="00DA7FC1"/>
    <w:rsid w:val="00DB0579"/>
    <w:rsid w:val="00DB0969"/>
    <w:rsid w:val="00DB0A6B"/>
    <w:rsid w:val="00DB183F"/>
    <w:rsid w:val="00DB2256"/>
    <w:rsid w:val="00DB2345"/>
    <w:rsid w:val="00DB25B4"/>
    <w:rsid w:val="00DB274A"/>
    <w:rsid w:val="00DB3901"/>
    <w:rsid w:val="00DB42FB"/>
    <w:rsid w:val="00DB4BFC"/>
    <w:rsid w:val="00DB4F9F"/>
    <w:rsid w:val="00DB5105"/>
    <w:rsid w:val="00DB54C7"/>
    <w:rsid w:val="00DB5978"/>
    <w:rsid w:val="00DB5AC5"/>
    <w:rsid w:val="00DB5C39"/>
    <w:rsid w:val="00DB6626"/>
    <w:rsid w:val="00DB7189"/>
    <w:rsid w:val="00DB7DA5"/>
    <w:rsid w:val="00DC043B"/>
    <w:rsid w:val="00DC1204"/>
    <w:rsid w:val="00DC1669"/>
    <w:rsid w:val="00DC16B1"/>
    <w:rsid w:val="00DC1ACE"/>
    <w:rsid w:val="00DC2039"/>
    <w:rsid w:val="00DC227A"/>
    <w:rsid w:val="00DC2FB4"/>
    <w:rsid w:val="00DC3627"/>
    <w:rsid w:val="00DC4075"/>
    <w:rsid w:val="00DC53BF"/>
    <w:rsid w:val="00DC596D"/>
    <w:rsid w:val="00DD000A"/>
    <w:rsid w:val="00DD048F"/>
    <w:rsid w:val="00DD06BC"/>
    <w:rsid w:val="00DD20A9"/>
    <w:rsid w:val="00DD21BA"/>
    <w:rsid w:val="00DD28C1"/>
    <w:rsid w:val="00DD2D0C"/>
    <w:rsid w:val="00DD30D1"/>
    <w:rsid w:val="00DD4053"/>
    <w:rsid w:val="00DD463C"/>
    <w:rsid w:val="00DD46ED"/>
    <w:rsid w:val="00DD4FD8"/>
    <w:rsid w:val="00DD5AE1"/>
    <w:rsid w:val="00DD5D58"/>
    <w:rsid w:val="00DD6115"/>
    <w:rsid w:val="00DD7D89"/>
    <w:rsid w:val="00DD7E6B"/>
    <w:rsid w:val="00DE004B"/>
    <w:rsid w:val="00DE07FE"/>
    <w:rsid w:val="00DE0836"/>
    <w:rsid w:val="00DE1DAF"/>
    <w:rsid w:val="00DE21A4"/>
    <w:rsid w:val="00DE2297"/>
    <w:rsid w:val="00DE2C73"/>
    <w:rsid w:val="00DE42A0"/>
    <w:rsid w:val="00DE53F7"/>
    <w:rsid w:val="00DE59EF"/>
    <w:rsid w:val="00DE63D1"/>
    <w:rsid w:val="00DE7071"/>
    <w:rsid w:val="00DE71F5"/>
    <w:rsid w:val="00DF066C"/>
    <w:rsid w:val="00DF1BB7"/>
    <w:rsid w:val="00DF1E9F"/>
    <w:rsid w:val="00DF2B17"/>
    <w:rsid w:val="00DF3492"/>
    <w:rsid w:val="00DF391B"/>
    <w:rsid w:val="00DF3970"/>
    <w:rsid w:val="00DF5143"/>
    <w:rsid w:val="00DF5506"/>
    <w:rsid w:val="00DF5626"/>
    <w:rsid w:val="00DF5FB6"/>
    <w:rsid w:val="00DF635D"/>
    <w:rsid w:val="00DF63AD"/>
    <w:rsid w:val="00DF69EB"/>
    <w:rsid w:val="00DF6B6E"/>
    <w:rsid w:val="00DF6E64"/>
    <w:rsid w:val="00DF6EC9"/>
    <w:rsid w:val="00DF7390"/>
    <w:rsid w:val="00DF7460"/>
    <w:rsid w:val="00E00205"/>
    <w:rsid w:val="00E0023E"/>
    <w:rsid w:val="00E003A1"/>
    <w:rsid w:val="00E00E9C"/>
    <w:rsid w:val="00E011E2"/>
    <w:rsid w:val="00E01E96"/>
    <w:rsid w:val="00E02B5F"/>
    <w:rsid w:val="00E02C9C"/>
    <w:rsid w:val="00E02DA7"/>
    <w:rsid w:val="00E02DBD"/>
    <w:rsid w:val="00E0326C"/>
    <w:rsid w:val="00E0415A"/>
    <w:rsid w:val="00E045CE"/>
    <w:rsid w:val="00E053D7"/>
    <w:rsid w:val="00E05B45"/>
    <w:rsid w:val="00E05E6E"/>
    <w:rsid w:val="00E063A9"/>
    <w:rsid w:val="00E07FE7"/>
    <w:rsid w:val="00E101F5"/>
    <w:rsid w:val="00E103F9"/>
    <w:rsid w:val="00E109C0"/>
    <w:rsid w:val="00E1134E"/>
    <w:rsid w:val="00E11A7C"/>
    <w:rsid w:val="00E14478"/>
    <w:rsid w:val="00E1462F"/>
    <w:rsid w:val="00E1521A"/>
    <w:rsid w:val="00E152CF"/>
    <w:rsid w:val="00E15499"/>
    <w:rsid w:val="00E15865"/>
    <w:rsid w:val="00E1604E"/>
    <w:rsid w:val="00E1607F"/>
    <w:rsid w:val="00E168D5"/>
    <w:rsid w:val="00E16FBA"/>
    <w:rsid w:val="00E17F5C"/>
    <w:rsid w:val="00E202C9"/>
    <w:rsid w:val="00E213FA"/>
    <w:rsid w:val="00E21461"/>
    <w:rsid w:val="00E21639"/>
    <w:rsid w:val="00E225B4"/>
    <w:rsid w:val="00E22D07"/>
    <w:rsid w:val="00E23EC7"/>
    <w:rsid w:val="00E247AA"/>
    <w:rsid w:val="00E251C7"/>
    <w:rsid w:val="00E269D3"/>
    <w:rsid w:val="00E2772C"/>
    <w:rsid w:val="00E27EE6"/>
    <w:rsid w:val="00E3042D"/>
    <w:rsid w:val="00E3072E"/>
    <w:rsid w:val="00E31026"/>
    <w:rsid w:val="00E327A2"/>
    <w:rsid w:val="00E33100"/>
    <w:rsid w:val="00E3570C"/>
    <w:rsid w:val="00E364CB"/>
    <w:rsid w:val="00E366DF"/>
    <w:rsid w:val="00E3682E"/>
    <w:rsid w:val="00E36AB4"/>
    <w:rsid w:val="00E37634"/>
    <w:rsid w:val="00E40214"/>
    <w:rsid w:val="00E41206"/>
    <w:rsid w:val="00E42143"/>
    <w:rsid w:val="00E42640"/>
    <w:rsid w:val="00E431DA"/>
    <w:rsid w:val="00E43A75"/>
    <w:rsid w:val="00E44214"/>
    <w:rsid w:val="00E4441A"/>
    <w:rsid w:val="00E44641"/>
    <w:rsid w:val="00E4578F"/>
    <w:rsid w:val="00E4613F"/>
    <w:rsid w:val="00E47CD9"/>
    <w:rsid w:val="00E5134C"/>
    <w:rsid w:val="00E513F2"/>
    <w:rsid w:val="00E51C6B"/>
    <w:rsid w:val="00E51ECB"/>
    <w:rsid w:val="00E520ED"/>
    <w:rsid w:val="00E531E9"/>
    <w:rsid w:val="00E531EC"/>
    <w:rsid w:val="00E5367A"/>
    <w:rsid w:val="00E537BE"/>
    <w:rsid w:val="00E53C52"/>
    <w:rsid w:val="00E53FB0"/>
    <w:rsid w:val="00E55E96"/>
    <w:rsid w:val="00E55FA5"/>
    <w:rsid w:val="00E56CEE"/>
    <w:rsid w:val="00E5739B"/>
    <w:rsid w:val="00E605F3"/>
    <w:rsid w:val="00E61232"/>
    <w:rsid w:val="00E627DE"/>
    <w:rsid w:val="00E62AC4"/>
    <w:rsid w:val="00E635D5"/>
    <w:rsid w:val="00E63FF1"/>
    <w:rsid w:val="00E640C4"/>
    <w:rsid w:val="00E65214"/>
    <w:rsid w:val="00E6611D"/>
    <w:rsid w:val="00E66699"/>
    <w:rsid w:val="00E66D6F"/>
    <w:rsid w:val="00E67953"/>
    <w:rsid w:val="00E70276"/>
    <w:rsid w:val="00E717BA"/>
    <w:rsid w:val="00E718D7"/>
    <w:rsid w:val="00E71D3A"/>
    <w:rsid w:val="00E72ECF"/>
    <w:rsid w:val="00E73B5D"/>
    <w:rsid w:val="00E73BEB"/>
    <w:rsid w:val="00E744D4"/>
    <w:rsid w:val="00E74663"/>
    <w:rsid w:val="00E74ED4"/>
    <w:rsid w:val="00E75177"/>
    <w:rsid w:val="00E75557"/>
    <w:rsid w:val="00E75960"/>
    <w:rsid w:val="00E75FC0"/>
    <w:rsid w:val="00E7662E"/>
    <w:rsid w:val="00E76C03"/>
    <w:rsid w:val="00E76DFF"/>
    <w:rsid w:val="00E77715"/>
    <w:rsid w:val="00E77E60"/>
    <w:rsid w:val="00E8022F"/>
    <w:rsid w:val="00E818A9"/>
    <w:rsid w:val="00E81C81"/>
    <w:rsid w:val="00E81EA7"/>
    <w:rsid w:val="00E81EA9"/>
    <w:rsid w:val="00E83A93"/>
    <w:rsid w:val="00E83B6D"/>
    <w:rsid w:val="00E85B2E"/>
    <w:rsid w:val="00E86488"/>
    <w:rsid w:val="00E86C91"/>
    <w:rsid w:val="00E8740D"/>
    <w:rsid w:val="00E87815"/>
    <w:rsid w:val="00E911C8"/>
    <w:rsid w:val="00E91453"/>
    <w:rsid w:val="00E91A0C"/>
    <w:rsid w:val="00E926C7"/>
    <w:rsid w:val="00E9272E"/>
    <w:rsid w:val="00E92ADD"/>
    <w:rsid w:val="00E93378"/>
    <w:rsid w:val="00E93537"/>
    <w:rsid w:val="00E93E77"/>
    <w:rsid w:val="00E93FBB"/>
    <w:rsid w:val="00E94703"/>
    <w:rsid w:val="00E94AB4"/>
    <w:rsid w:val="00E94E51"/>
    <w:rsid w:val="00E94F32"/>
    <w:rsid w:val="00E9655F"/>
    <w:rsid w:val="00E96B0C"/>
    <w:rsid w:val="00E9746D"/>
    <w:rsid w:val="00E97764"/>
    <w:rsid w:val="00EA05B0"/>
    <w:rsid w:val="00EA1402"/>
    <w:rsid w:val="00EA14D7"/>
    <w:rsid w:val="00EA14E7"/>
    <w:rsid w:val="00EA1682"/>
    <w:rsid w:val="00EA1849"/>
    <w:rsid w:val="00EA1C6D"/>
    <w:rsid w:val="00EA229D"/>
    <w:rsid w:val="00EA26C1"/>
    <w:rsid w:val="00EA3004"/>
    <w:rsid w:val="00EA38DB"/>
    <w:rsid w:val="00EA414E"/>
    <w:rsid w:val="00EA4B34"/>
    <w:rsid w:val="00EA618B"/>
    <w:rsid w:val="00EA6440"/>
    <w:rsid w:val="00EA6C7A"/>
    <w:rsid w:val="00EA77F1"/>
    <w:rsid w:val="00EA7B17"/>
    <w:rsid w:val="00EB0113"/>
    <w:rsid w:val="00EB04DD"/>
    <w:rsid w:val="00EB06DF"/>
    <w:rsid w:val="00EB0896"/>
    <w:rsid w:val="00EB102B"/>
    <w:rsid w:val="00EB1059"/>
    <w:rsid w:val="00EB1365"/>
    <w:rsid w:val="00EB1A5A"/>
    <w:rsid w:val="00EB2D07"/>
    <w:rsid w:val="00EB3E60"/>
    <w:rsid w:val="00EB40E7"/>
    <w:rsid w:val="00EB5D86"/>
    <w:rsid w:val="00EB5E56"/>
    <w:rsid w:val="00EB5F6C"/>
    <w:rsid w:val="00EB6AC8"/>
    <w:rsid w:val="00EB6E56"/>
    <w:rsid w:val="00EB71FA"/>
    <w:rsid w:val="00EB7F4B"/>
    <w:rsid w:val="00EC057A"/>
    <w:rsid w:val="00EC079D"/>
    <w:rsid w:val="00EC1530"/>
    <w:rsid w:val="00EC1D6B"/>
    <w:rsid w:val="00EC226C"/>
    <w:rsid w:val="00EC33CB"/>
    <w:rsid w:val="00EC3D79"/>
    <w:rsid w:val="00EC4A6F"/>
    <w:rsid w:val="00EC5332"/>
    <w:rsid w:val="00EC6085"/>
    <w:rsid w:val="00EC6658"/>
    <w:rsid w:val="00EC716C"/>
    <w:rsid w:val="00EC744A"/>
    <w:rsid w:val="00EC7F25"/>
    <w:rsid w:val="00EC7F67"/>
    <w:rsid w:val="00ED07AC"/>
    <w:rsid w:val="00ED2337"/>
    <w:rsid w:val="00ED2349"/>
    <w:rsid w:val="00ED24CA"/>
    <w:rsid w:val="00ED27D8"/>
    <w:rsid w:val="00ED2CAE"/>
    <w:rsid w:val="00ED3174"/>
    <w:rsid w:val="00ED36DB"/>
    <w:rsid w:val="00ED47F6"/>
    <w:rsid w:val="00ED52F5"/>
    <w:rsid w:val="00ED716F"/>
    <w:rsid w:val="00EE18AE"/>
    <w:rsid w:val="00EE251D"/>
    <w:rsid w:val="00EE3262"/>
    <w:rsid w:val="00EE32F1"/>
    <w:rsid w:val="00EE38A1"/>
    <w:rsid w:val="00EE40FB"/>
    <w:rsid w:val="00EE481B"/>
    <w:rsid w:val="00EE5DAE"/>
    <w:rsid w:val="00EE7442"/>
    <w:rsid w:val="00EE7B07"/>
    <w:rsid w:val="00EE7E13"/>
    <w:rsid w:val="00EF01E2"/>
    <w:rsid w:val="00EF033E"/>
    <w:rsid w:val="00EF095D"/>
    <w:rsid w:val="00EF0A8A"/>
    <w:rsid w:val="00EF1095"/>
    <w:rsid w:val="00EF1950"/>
    <w:rsid w:val="00EF1D78"/>
    <w:rsid w:val="00EF201C"/>
    <w:rsid w:val="00EF234D"/>
    <w:rsid w:val="00EF34A0"/>
    <w:rsid w:val="00EF3579"/>
    <w:rsid w:val="00EF3597"/>
    <w:rsid w:val="00EF3B19"/>
    <w:rsid w:val="00EF49CF"/>
    <w:rsid w:val="00EF51EB"/>
    <w:rsid w:val="00EF57B8"/>
    <w:rsid w:val="00EF7E5C"/>
    <w:rsid w:val="00EF7F46"/>
    <w:rsid w:val="00F00AD8"/>
    <w:rsid w:val="00F00B4D"/>
    <w:rsid w:val="00F0250D"/>
    <w:rsid w:val="00F032DB"/>
    <w:rsid w:val="00F0331C"/>
    <w:rsid w:val="00F0391B"/>
    <w:rsid w:val="00F0422C"/>
    <w:rsid w:val="00F04B3A"/>
    <w:rsid w:val="00F04CF8"/>
    <w:rsid w:val="00F054DC"/>
    <w:rsid w:val="00F06137"/>
    <w:rsid w:val="00F063A4"/>
    <w:rsid w:val="00F06871"/>
    <w:rsid w:val="00F07F3D"/>
    <w:rsid w:val="00F10252"/>
    <w:rsid w:val="00F1029B"/>
    <w:rsid w:val="00F11445"/>
    <w:rsid w:val="00F12653"/>
    <w:rsid w:val="00F1267B"/>
    <w:rsid w:val="00F13A77"/>
    <w:rsid w:val="00F14C6E"/>
    <w:rsid w:val="00F15019"/>
    <w:rsid w:val="00F1580A"/>
    <w:rsid w:val="00F159BD"/>
    <w:rsid w:val="00F16105"/>
    <w:rsid w:val="00F16275"/>
    <w:rsid w:val="00F162BE"/>
    <w:rsid w:val="00F1792D"/>
    <w:rsid w:val="00F17EB0"/>
    <w:rsid w:val="00F17F33"/>
    <w:rsid w:val="00F20267"/>
    <w:rsid w:val="00F202F9"/>
    <w:rsid w:val="00F2043D"/>
    <w:rsid w:val="00F21D39"/>
    <w:rsid w:val="00F2285F"/>
    <w:rsid w:val="00F23E84"/>
    <w:rsid w:val="00F24471"/>
    <w:rsid w:val="00F26685"/>
    <w:rsid w:val="00F26A9E"/>
    <w:rsid w:val="00F275C3"/>
    <w:rsid w:val="00F27A43"/>
    <w:rsid w:val="00F27C9C"/>
    <w:rsid w:val="00F3004D"/>
    <w:rsid w:val="00F300A9"/>
    <w:rsid w:val="00F3035D"/>
    <w:rsid w:val="00F305ED"/>
    <w:rsid w:val="00F310B9"/>
    <w:rsid w:val="00F31209"/>
    <w:rsid w:val="00F318CF"/>
    <w:rsid w:val="00F31A3C"/>
    <w:rsid w:val="00F31FC8"/>
    <w:rsid w:val="00F327BB"/>
    <w:rsid w:val="00F3295B"/>
    <w:rsid w:val="00F33043"/>
    <w:rsid w:val="00F332B4"/>
    <w:rsid w:val="00F33A70"/>
    <w:rsid w:val="00F34382"/>
    <w:rsid w:val="00F3513E"/>
    <w:rsid w:val="00F3541C"/>
    <w:rsid w:val="00F4033C"/>
    <w:rsid w:val="00F40F45"/>
    <w:rsid w:val="00F418B1"/>
    <w:rsid w:val="00F422E2"/>
    <w:rsid w:val="00F43093"/>
    <w:rsid w:val="00F44276"/>
    <w:rsid w:val="00F445E2"/>
    <w:rsid w:val="00F446D3"/>
    <w:rsid w:val="00F44873"/>
    <w:rsid w:val="00F45072"/>
    <w:rsid w:val="00F45DC8"/>
    <w:rsid w:val="00F460A3"/>
    <w:rsid w:val="00F46178"/>
    <w:rsid w:val="00F4629D"/>
    <w:rsid w:val="00F464A5"/>
    <w:rsid w:val="00F46937"/>
    <w:rsid w:val="00F46B22"/>
    <w:rsid w:val="00F46BDA"/>
    <w:rsid w:val="00F46E48"/>
    <w:rsid w:val="00F502A6"/>
    <w:rsid w:val="00F51780"/>
    <w:rsid w:val="00F51CA9"/>
    <w:rsid w:val="00F52DDA"/>
    <w:rsid w:val="00F52E66"/>
    <w:rsid w:val="00F53A2E"/>
    <w:rsid w:val="00F53A64"/>
    <w:rsid w:val="00F53DB6"/>
    <w:rsid w:val="00F53F3B"/>
    <w:rsid w:val="00F541CA"/>
    <w:rsid w:val="00F54733"/>
    <w:rsid w:val="00F55157"/>
    <w:rsid w:val="00F56575"/>
    <w:rsid w:val="00F56CAC"/>
    <w:rsid w:val="00F605E8"/>
    <w:rsid w:val="00F60C69"/>
    <w:rsid w:val="00F610AC"/>
    <w:rsid w:val="00F61AE0"/>
    <w:rsid w:val="00F62A14"/>
    <w:rsid w:val="00F64885"/>
    <w:rsid w:val="00F64C24"/>
    <w:rsid w:val="00F6594D"/>
    <w:rsid w:val="00F66D4C"/>
    <w:rsid w:val="00F67563"/>
    <w:rsid w:val="00F67D5F"/>
    <w:rsid w:val="00F70138"/>
    <w:rsid w:val="00F7033B"/>
    <w:rsid w:val="00F7035A"/>
    <w:rsid w:val="00F70444"/>
    <w:rsid w:val="00F70887"/>
    <w:rsid w:val="00F72310"/>
    <w:rsid w:val="00F73E9C"/>
    <w:rsid w:val="00F7543D"/>
    <w:rsid w:val="00F75E34"/>
    <w:rsid w:val="00F76704"/>
    <w:rsid w:val="00F80B0F"/>
    <w:rsid w:val="00F80D7D"/>
    <w:rsid w:val="00F80F26"/>
    <w:rsid w:val="00F80F54"/>
    <w:rsid w:val="00F81942"/>
    <w:rsid w:val="00F81A60"/>
    <w:rsid w:val="00F81AFD"/>
    <w:rsid w:val="00F81E9A"/>
    <w:rsid w:val="00F82760"/>
    <w:rsid w:val="00F83959"/>
    <w:rsid w:val="00F8464E"/>
    <w:rsid w:val="00F85333"/>
    <w:rsid w:val="00F856FC"/>
    <w:rsid w:val="00F85703"/>
    <w:rsid w:val="00F868C0"/>
    <w:rsid w:val="00F87948"/>
    <w:rsid w:val="00F9048D"/>
    <w:rsid w:val="00F909D4"/>
    <w:rsid w:val="00F912BD"/>
    <w:rsid w:val="00F91389"/>
    <w:rsid w:val="00F927A5"/>
    <w:rsid w:val="00F93AB8"/>
    <w:rsid w:val="00F9460E"/>
    <w:rsid w:val="00F94BD6"/>
    <w:rsid w:val="00F95535"/>
    <w:rsid w:val="00F96F02"/>
    <w:rsid w:val="00F973FD"/>
    <w:rsid w:val="00F97E5F"/>
    <w:rsid w:val="00FA0021"/>
    <w:rsid w:val="00FA0730"/>
    <w:rsid w:val="00FA1139"/>
    <w:rsid w:val="00FA2285"/>
    <w:rsid w:val="00FA29F9"/>
    <w:rsid w:val="00FA2F83"/>
    <w:rsid w:val="00FA3150"/>
    <w:rsid w:val="00FA3447"/>
    <w:rsid w:val="00FA4750"/>
    <w:rsid w:val="00FA4C15"/>
    <w:rsid w:val="00FA58BC"/>
    <w:rsid w:val="00FA5FB5"/>
    <w:rsid w:val="00FA6D8F"/>
    <w:rsid w:val="00FA755C"/>
    <w:rsid w:val="00FA7AE9"/>
    <w:rsid w:val="00FA7CF1"/>
    <w:rsid w:val="00FA7E0C"/>
    <w:rsid w:val="00FA7EA8"/>
    <w:rsid w:val="00FB1337"/>
    <w:rsid w:val="00FB25F8"/>
    <w:rsid w:val="00FB2BC7"/>
    <w:rsid w:val="00FB3682"/>
    <w:rsid w:val="00FC0493"/>
    <w:rsid w:val="00FC060D"/>
    <w:rsid w:val="00FC08EC"/>
    <w:rsid w:val="00FC09E8"/>
    <w:rsid w:val="00FC2BDA"/>
    <w:rsid w:val="00FC374A"/>
    <w:rsid w:val="00FC3902"/>
    <w:rsid w:val="00FC3CBE"/>
    <w:rsid w:val="00FC41E6"/>
    <w:rsid w:val="00FC48CB"/>
    <w:rsid w:val="00FC4964"/>
    <w:rsid w:val="00FC4D51"/>
    <w:rsid w:val="00FC4DF2"/>
    <w:rsid w:val="00FC5EE8"/>
    <w:rsid w:val="00FC6706"/>
    <w:rsid w:val="00FC679A"/>
    <w:rsid w:val="00FC6EFC"/>
    <w:rsid w:val="00FC74BD"/>
    <w:rsid w:val="00FC78D6"/>
    <w:rsid w:val="00FC7D3B"/>
    <w:rsid w:val="00FC7EDB"/>
    <w:rsid w:val="00FC7FA9"/>
    <w:rsid w:val="00FD0A5B"/>
    <w:rsid w:val="00FD0FB2"/>
    <w:rsid w:val="00FD1964"/>
    <w:rsid w:val="00FD1D42"/>
    <w:rsid w:val="00FD2827"/>
    <w:rsid w:val="00FD2AA5"/>
    <w:rsid w:val="00FD2E28"/>
    <w:rsid w:val="00FD2EFE"/>
    <w:rsid w:val="00FD3072"/>
    <w:rsid w:val="00FD3FAF"/>
    <w:rsid w:val="00FD3FDE"/>
    <w:rsid w:val="00FD4772"/>
    <w:rsid w:val="00FD4877"/>
    <w:rsid w:val="00FD4DBE"/>
    <w:rsid w:val="00FD4E64"/>
    <w:rsid w:val="00FD4E6B"/>
    <w:rsid w:val="00FD647D"/>
    <w:rsid w:val="00FD729E"/>
    <w:rsid w:val="00FD7C5F"/>
    <w:rsid w:val="00FE02A2"/>
    <w:rsid w:val="00FE04A5"/>
    <w:rsid w:val="00FE11C6"/>
    <w:rsid w:val="00FE124F"/>
    <w:rsid w:val="00FE2AE8"/>
    <w:rsid w:val="00FE2D51"/>
    <w:rsid w:val="00FE33F4"/>
    <w:rsid w:val="00FE48F5"/>
    <w:rsid w:val="00FE4A76"/>
    <w:rsid w:val="00FE4E96"/>
    <w:rsid w:val="00FE5252"/>
    <w:rsid w:val="00FE55F3"/>
    <w:rsid w:val="00FE5649"/>
    <w:rsid w:val="00FE574E"/>
    <w:rsid w:val="00FE5941"/>
    <w:rsid w:val="00FE6104"/>
    <w:rsid w:val="00FE7534"/>
    <w:rsid w:val="00FE7B59"/>
    <w:rsid w:val="00FF03CE"/>
    <w:rsid w:val="00FF1134"/>
    <w:rsid w:val="00FF16C4"/>
    <w:rsid w:val="00FF1FB0"/>
    <w:rsid w:val="00FF2310"/>
    <w:rsid w:val="00FF2F07"/>
    <w:rsid w:val="00FF2FC6"/>
    <w:rsid w:val="00FF3550"/>
    <w:rsid w:val="00FF3CA9"/>
    <w:rsid w:val="00FF3D17"/>
    <w:rsid w:val="00FF416B"/>
    <w:rsid w:val="00FF45E3"/>
    <w:rsid w:val="00FF4B62"/>
    <w:rsid w:val="00FF6F71"/>
    <w:rsid w:val="00FF7591"/>
    <w:rsid w:val="00FF78C4"/>
    <w:rsid w:val="00FF7E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6DB0C3"/>
  <w15:docId w15:val="{33B24BEF-9667-466B-BCB3-C92DA4F3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B6"/>
    <w:pPr>
      <w:spacing w:after="200" w:line="276" w:lineRule="auto"/>
    </w:pPr>
    <w:rPr>
      <w:sz w:val="22"/>
      <w:szCs w:val="22"/>
      <w:lang w:val="es-CR"/>
    </w:rPr>
  </w:style>
  <w:style w:type="paragraph" w:styleId="Ttulo1">
    <w:name w:val="heading 1"/>
    <w:basedOn w:val="Normal"/>
    <w:next w:val="Normal"/>
    <w:link w:val="Ttulo1Car"/>
    <w:uiPriority w:val="9"/>
    <w:qFormat/>
    <w:rsid w:val="00026CB6"/>
    <w:pPr>
      <w:keepNext/>
      <w:keepLines/>
      <w:spacing w:before="480" w:after="0"/>
      <w:outlineLvl w:val="0"/>
    </w:pPr>
    <w:rPr>
      <w:rFonts w:ascii="Cambria" w:hAnsi="Cambria"/>
      <w:b/>
      <w:bCs/>
      <w:color w:val="21798E"/>
      <w:sz w:val="28"/>
      <w:szCs w:val="28"/>
      <w:lang w:val="x-none" w:eastAsia="x-none"/>
    </w:rPr>
  </w:style>
  <w:style w:type="paragraph" w:styleId="Ttulo2">
    <w:name w:val="heading 2"/>
    <w:basedOn w:val="Normal"/>
    <w:next w:val="Normal"/>
    <w:link w:val="Ttulo2Car"/>
    <w:uiPriority w:val="9"/>
    <w:unhideWhenUsed/>
    <w:qFormat/>
    <w:rsid w:val="00026CB6"/>
    <w:pPr>
      <w:keepNext/>
      <w:keepLines/>
      <w:spacing w:before="200" w:after="0"/>
      <w:outlineLvl w:val="1"/>
    </w:pPr>
    <w:rPr>
      <w:rFonts w:ascii="Cambria" w:hAnsi="Cambria"/>
      <w:b/>
      <w:bCs/>
      <w:color w:val="2DA2BF"/>
      <w:sz w:val="26"/>
      <w:szCs w:val="26"/>
      <w:lang w:eastAsia="x-none"/>
    </w:rPr>
  </w:style>
  <w:style w:type="paragraph" w:styleId="Ttulo3">
    <w:name w:val="heading 3"/>
    <w:basedOn w:val="Normal"/>
    <w:next w:val="Normal"/>
    <w:link w:val="Ttulo3Car"/>
    <w:uiPriority w:val="9"/>
    <w:semiHidden/>
    <w:unhideWhenUsed/>
    <w:qFormat/>
    <w:rsid w:val="00026CB6"/>
    <w:pPr>
      <w:keepNext/>
      <w:keepLines/>
      <w:spacing w:before="200" w:after="0"/>
      <w:outlineLvl w:val="2"/>
    </w:pPr>
    <w:rPr>
      <w:rFonts w:ascii="Cambria" w:hAnsi="Cambria"/>
      <w:b/>
      <w:bCs/>
      <w:color w:val="2DA2BF"/>
      <w:sz w:val="20"/>
      <w:szCs w:val="20"/>
      <w:lang w:val="x-none" w:eastAsia="x-none"/>
    </w:rPr>
  </w:style>
  <w:style w:type="paragraph" w:styleId="Ttulo4">
    <w:name w:val="heading 4"/>
    <w:basedOn w:val="Normal"/>
    <w:next w:val="Normal"/>
    <w:link w:val="Ttulo4Car"/>
    <w:uiPriority w:val="9"/>
    <w:semiHidden/>
    <w:unhideWhenUsed/>
    <w:qFormat/>
    <w:rsid w:val="00026CB6"/>
    <w:pPr>
      <w:keepNext/>
      <w:keepLines/>
      <w:spacing w:before="200" w:after="0"/>
      <w:outlineLvl w:val="3"/>
    </w:pPr>
    <w:rPr>
      <w:rFonts w:ascii="Cambria" w:hAnsi="Cambria"/>
      <w:b/>
      <w:bCs/>
      <w:i/>
      <w:iCs/>
      <w:color w:val="2DA2BF"/>
      <w:sz w:val="20"/>
      <w:szCs w:val="20"/>
      <w:lang w:val="x-none" w:eastAsia="x-none"/>
    </w:rPr>
  </w:style>
  <w:style w:type="paragraph" w:styleId="Ttulo5">
    <w:name w:val="heading 5"/>
    <w:basedOn w:val="Normal"/>
    <w:next w:val="Normal"/>
    <w:link w:val="Ttulo5Car"/>
    <w:uiPriority w:val="9"/>
    <w:unhideWhenUsed/>
    <w:qFormat/>
    <w:rsid w:val="00026CB6"/>
    <w:pPr>
      <w:keepNext/>
      <w:keepLines/>
      <w:spacing w:before="200" w:after="0"/>
      <w:outlineLvl w:val="4"/>
    </w:pPr>
    <w:rPr>
      <w:rFonts w:ascii="Cambria" w:hAnsi="Cambria"/>
      <w:color w:val="16505E"/>
      <w:sz w:val="20"/>
      <w:szCs w:val="20"/>
      <w:lang w:val="x-none" w:eastAsia="x-none"/>
    </w:rPr>
  </w:style>
  <w:style w:type="paragraph" w:styleId="Ttulo6">
    <w:name w:val="heading 6"/>
    <w:basedOn w:val="Normal"/>
    <w:next w:val="Normal"/>
    <w:link w:val="Ttulo6Car"/>
    <w:uiPriority w:val="9"/>
    <w:semiHidden/>
    <w:unhideWhenUsed/>
    <w:qFormat/>
    <w:rsid w:val="00026CB6"/>
    <w:pPr>
      <w:keepNext/>
      <w:keepLines/>
      <w:spacing w:before="200" w:after="0"/>
      <w:outlineLvl w:val="5"/>
    </w:pPr>
    <w:rPr>
      <w:rFonts w:ascii="Cambria" w:hAnsi="Cambria"/>
      <w:i/>
      <w:iCs/>
      <w:color w:val="16505E"/>
      <w:sz w:val="20"/>
      <w:szCs w:val="20"/>
      <w:lang w:val="x-none" w:eastAsia="x-none"/>
    </w:rPr>
  </w:style>
  <w:style w:type="paragraph" w:styleId="Ttulo7">
    <w:name w:val="heading 7"/>
    <w:basedOn w:val="Normal"/>
    <w:next w:val="Normal"/>
    <w:link w:val="Ttulo7Car"/>
    <w:uiPriority w:val="9"/>
    <w:semiHidden/>
    <w:unhideWhenUsed/>
    <w:qFormat/>
    <w:rsid w:val="00026CB6"/>
    <w:pPr>
      <w:keepNext/>
      <w:keepLines/>
      <w:spacing w:before="200" w:after="0"/>
      <w:outlineLvl w:val="6"/>
    </w:pPr>
    <w:rPr>
      <w:rFonts w:ascii="Cambria" w:hAnsi="Cambria"/>
      <w:i/>
      <w:iCs/>
      <w:color w:val="404040"/>
      <w:sz w:val="20"/>
      <w:szCs w:val="20"/>
      <w:lang w:val="x-none" w:eastAsia="x-none"/>
    </w:rPr>
  </w:style>
  <w:style w:type="paragraph" w:styleId="Ttulo8">
    <w:name w:val="heading 8"/>
    <w:basedOn w:val="Normal"/>
    <w:next w:val="Normal"/>
    <w:link w:val="Ttulo8Car"/>
    <w:uiPriority w:val="9"/>
    <w:semiHidden/>
    <w:unhideWhenUsed/>
    <w:qFormat/>
    <w:rsid w:val="00026CB6"/>
    <w:pPr>
      <w:keepNext/>
      <w:keepLines/>
      <w:spacing w:before="200" w:after="0"/>
      <w:outlineLvl w:val="7"/>
    </w:pPr>
    <w:rPr>
      <w:rFonts w:ascii="Cambria" w:hAnsi="Cambria"/>
      <w:color w:val="2DA2BF"/>
      <w:sz w:val="20"/>
      <w:szCs w:val="20"/>
      <w:lang w:val="x-none" w:eastAsia="x-none"/>
    </w:rPr>
  </w:style>
  <w:style w:type="paragraph" w:styleId="Ttulo9">
    <w:name w:val="heading 9"/>
    <w:basedOn w:val="Normal"/>
    <w:next w:val="Normal"/>
    <w:link w:val="Ttulo9Car"/>
    <w:uiPriority w:val="9"/>
    <w:semiHidden/>
    <w:unhideWhenUsed/>
    <w:qFormat/>
    <w:rsid w:val="00026CB6"/>
    <w:pPr>
      <w:keepNext/>
      <w:keepLines/>
      <w:spacing w:before="200" w:after="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F7586E"/>
    <w:pPr>
      <w:spacing w:after="0" w:line="240" w:lineRule="auto"/>
    </w:pPr>
    <w:rPr>
      <w:rFonts w:ascii="Tahoma" w:hAnsi="Tahoma"/>
      <w:sz w:val="16"/>
      <w:szCs w:val="16"/>
      <w:lang w:eastAsia="es-CR"/>
    </w:rPr>
  </w:style>
  <w:style w:type="character" w:customStyle="1" w:styleId="TextodegloboCar">
    <w:name w:val="Texto de globo Car"/>
    <w:uiPriority w:val="99"/>
    <w:semiHidden/>
    <w:rsid w:val="00A22CCE"/>
    <w:rPr>
      <w:rFonts w:ascii="Lucida Grande" w:hAnsi="Lucida Grande"/>
      <w:sz w:val="18"/>
      <w:szCs w:val="18"/>
    </w:rPr>
  </w:style>
  <w:style w:type="character" w:customStyle="1" w:styleId="TextodegloboCar0">
    <w:name w:val="Texto de globo Car"/>
    <w:uiPriority w:val="99"/>
    <w:semiHidden/>
    <w:rsid w:val="00A22CCE"/>
    <w:rPr>
      <w:rFonts w:ascii="Lucida Grande" w:hAnsi="Lucida Grande"/>
      <w:sz w:val="18"/>
      <w:szCs w:val="18"/>
    </w:rPr>
  </w:style>
  <w:style w:type="paragraph" w:styleId="Encabezado">
    <w:name w:val="header"/>
    <w:basedOn w:val="Normal"/>
    <w:link w:val="EncabezadoCar"/>
    <w:uiPriority w:val="99"/>
    <w:unhideWhenUsed/>
    <w:rsid w:val="007C057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C0577"/>
  </w:style>
  <w:style w:type="paragraph" w:styleId="Piedepgina">
    <w:name w:val="footer"/>
    <w:basedOn w:val="Normal"/>
    <w:link w:val="PiedepginaCar1"/>
    <w:uiPriority w:val="99"/>
    <w:unhideWhenUsed/>
    <w:rsid w:val="007C0577"/>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7C0577"/>
  </w:style>
  <w:style w:type="paragraph" w:customStyle="1" w:styleId="ColorfulList-Accent11">
    <w:name w:val="Colorful List - Accent 11"/>
    <w:aliases w:val="Párrafo de lista1,List Paragraph1,List Paragraph2"/>
    <w:basedOn w:val="Normal"/>
    <w:link w:val="ColorfulList-Accent1Char"/>
    <w:uiPriority w:val="99"/>
    <w:qFormat/>
    <w:rsid w:val="007C0577"/>
    <w:pPr>
      <w:ind w:left="720"/>
      <w:contextualSpacing/>
    </w:pPr>
    <w:rPr>
      <w:sz w:val="20"/>
      <w:szCs w:val="20"/>
      <w:lang w:eastAsia="es-CR"/>
    </w:rPr>
  </w:style>
  <w:style w:type="paragraph" w:styleId="Textonotapie">
    <w:name w:val="footnote text"/>
    <w:aliases w:val="Footnote Text Char Char Char Char Char,Footnote Text Char Char Char Char,Footnote reference,FA Fu,Footnote Text Char Char Char,footnote text,Footnote Text Cha,FA Fußnotentext,FA Fuﬂnotentext,Texto nota pie Car,Footnote Text Char Char,Car"/>
    <w:basedOn w:val="Normal"/>
    <w:link w:val="TextonotapieCar2"/>
    <w:qFormat/>
    <w:rsid w:val="00755F35"/>
    <w:pPr>
      <w:spacing w:after="0" w:line="240" w:lineRule="auto"/>
    </w:pPr>
    <w:rPr>
      <w:rFonts w:ascii="Times New Roman" w:hAnsi="Times New Roman"/>
      <w:sz w:val="20"/>
      <w:szCs w:val="20"/>
      <w:lang w:val="es-MX" w:eastAsia="x-none"/>
    </w:rPr>
  </w:style>
  <w:style w:type="character" w:customStyle="1" w:styleId="TextonotapieCar2">
    <w:name w:val="Texto nota pie Car2"/>
    <w:aliases w:val="Footnote Text Char Char Char Char Char Car2,Footnote Text Char Char Char Char Car2,Footnote reference Car2,FA Fu Car2,Footnote Text Char Char Char Car2,footnote text Car2,Footnote Text Cha Car2,FA Fußnotentext Car2,Car Car1"/>
    <w:link w:val="Textonotapie"/>
    <w:rsid w:val="00755F35"/>
    <w:rPr>
      <w:rFonts w:ascii="Times New Roman" w:eastAsia="Times New Roman" w:hAnsi="Times New Roman" w:cs="Times New Roman"/>
      <w:sz w:val="20"/>
      <w:szCs w:val="20"/>
      <w:lang w:val="es-MX"/>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Footnote Reference Char3"/>
    <w:uiPriority w:val="99"/>
    <w:qFormat/>
    <w:rsid w:val="00755F35"/>
    <w:rPr>
      <w:vertAlign w:val="superscript"/>
    </w:rPr>
  </w:style>
  <w:style w:type="character" w:customStyle="1" w:styleId="ColorfulList-Accent1Char">
    <w:name w:val="Colorful List - Accent 1 Char"/>
    <w:aliases w:val="Párrafo de lista1 Char,List Paragraph1 Char,List Paragraph2 Char"/>
    <w:link w:val="ColorfulList-Accent11"/>
    <w:uiPriority w:val="99"/>
    <w:rsid w:val="00F7586E"/>
    <w:rPr>
      <w:rFonts w:eastAsia="Times New Roman"/>
      <w:lang w:val="es-CR" w:eastAsia="es-CR"/>
    </w:rPr>
  </w:style>
  <w:style w:type="character" w:customStyle="1" w:styleId="TextodegloboCar1">
    <w:name w:val="Texto de globo Car1"/>
    <w:link w:val="Textodeglobo"/>
    <w:uiPriority w:val="99"/>
    <w:semiHidden/>
    <w:rsid w:val="00F7586E"/>
    <w:rPr>
      <w:rFonts w:ascii="Tahoma" w:eastAsia="Times New Roman" w:hAnsi="Tahoma" w:cs="Tahoma"/>
      <w:sz w:val="16"/>
      <w:szCs w:val="16"/>
      <w:lang w:val="es-CR" w:eastAsia="es-CR"/>
    </w:rPr>
  </w:style>
  <w:style w:type="character" w:customStyle="1" w:styleId="Ttulo5Car">
    <w:name w:val="Título 5 Car"/>
    <w:link w:val="Ttulo5"/>
    <w:uiPriority w:val="9"/>
    <w:rsid w:val="00026CB6"/>
    <w:rPr>
      <w:rFonts w:ascii="Cambria" w:eastAsia="Times New Roman" w:hAnsi="Cambria" w:cs="Times New Roman"/>
      <w:color w:val="16505E"/>
    </w:rPr>
  </w:style>
  <w:style w:type="character" w:styleId="Refdecomentario">
    <w:name w:val="annotation reference"/>
    <w:unhideWhenUsed/>
    <w:rsid w:val="00D654EB"/>
    <w:rPr>
      <w:sz w:val="16"/>
      <w:szCs w:val="16"/>
    </w:rPr>
  </w:style>
  <w:style w:type="paragraph" w:styleId="Textocomentario">
    <w:name w:val="annotation text"/>
    <w:basedOn w:val="Normal"/>
    <w:link w:val="TextocomentarioCar1"/>
    <w:unhideWhenUsed/>
    <w:rsid w:val="00D654EB"/>
    <w:pPr>
      <w:spacing w:line="240" w:lineRule="auto"/>
    </w:pPr>
    <w:rPr>
      <w:sz w:val="20"/>
      <w:szCs w:val="20"/>
      <w:lang w:eastAsia="es-CR"/>
    </w:rPr>
  </w:style>
  <w:style w:type="character" w:customStyle="1" w:styleId="TextocomentarioCar1">
    <w:name w:val="Texto comentario Car1"/>
    <w:link w:val="Textocomentario"/>
    <w:rsid w:val="00D654EB"/>
    <w:rPr>
      <w:rFonts w:eastAsia="Times New Roman"/>
      <w:sz w:val="20"/>
      <w:szCs w:val="20"/>
      <w:lang w:val="es-CR" w:eastAsia="es-CR"/>
    </w:rPr>
  </w:style>
  <w:style w:type="paragraph" w:styleId="Asuntodelcomentario">
    <w:name w:val="annotation subject"/>
    <w:basedOn w:val="Textocomentario"/>
    <w:next w:val="Textocomentario"/>
    <w:link w:val="AsuntodelcomentarioCar1"/>
    <w:uiPriority w:val="99"/>
    <w:semiHidden/>
    <w:unhideWhenUsed/>
    <w:rsid w:val="00D654EB"/>
    <w:rPr>
      <w:b/>
      <w:bCs/>
    </w:rPr>
  </w:style>
  <w:style w:type="character" w:customStyle="1" w:styleId="AsuntodelcomentarioCar1">
    <w:name w:val="Asunto del comentario Car1"/>
    <w:link w:val="Asuntodelcomentario"/>
    <w:uiPriority w:val="99"/>
    <w:semiHidden/>
    <w:rsid w:val="00D654EB"/>
    <w:rPr>
      <w:rFonts w:eastAsia="Times New Roman"/>
      <w:b/>
      <w:bCs/>
      <w:sz w:val="20"/>
      <w:szCs w:val="20"/>
      <w:lang w:val="es-CR" w:eastAsia="es-CR"/>
    </w:rPr>
  </w:style>
  <w:style w:type="character" w:customStyle="1" w:styleId="apple-style-span">
    <w:name w:val="apple-style-span"/>
    <w:basedOn w:val="Fuentedeprrafopredeter"/>
    <w:rsid w:val="00B76DF0"/>
  </w:style>
  <w:style w:type="paragraph" w:styleId="Sangradetextonormal">
    <w:name w:val="Body Text Indent"/>
    <w:basedOn w:val="Normal"/>
    <w:link w:val="SangradetextonormalCar"/>
    <w:rsid w:val="00C46A73"/>
    <w:pPr>
      <w:spacing w:after="0" w:line="240" w:lineRule="auto"/>
      <w:ind w:left="720"/>
      <w:jc w:val="both"/>
    </w:pPr>
    <w:rPr>
      <w:rFonts w:ascii="Univers" w:hAnsi="Univers"/>
      <w:sz w:val="20"/>
      <w:szCs w:val="20"/>
      <w:lang w:val="es-CL" w:eastAsia="x-none"/>
    </w:rPr>
  </w:style>
  <w:style w:type="character" w:customStyle="1" w:styleId="SangradetextonormalCar">
    <w:name w:val="Sangría de texto normal Car"/>
    <w:link w:val="Sangradetextonormal"/>
    <w:rsid w:val="00C46A73"/>
    <w:rPr>
      <w:rFonts w:ascii="Univers" w:eastAsia="Times New Roman" w:hAnsi="Univers" w:cs="Times New Roman"/>
      <w:sz w:val="20"/>
      <w:szCs w:val="20"/>
      <w:lang w:val="es-CL"/>
    </w:rPr>
  </w:style>
  <w:style w:type="paragraph" w:customStyle="1" w:styleId="ColorfulShading-Accent11">
    <w:name w:val="Colorful Shading - Accent 11"/>
    <w:hidden/>
    <w:uiPriority w:val="99"/>
    <w:semiHidden/>
    <w:rsid w:val="000A1202"/>
    <w:pPr>
      <w:spacing w:after="200" w:line="276" w:lineRule="auto"/>
    </w:pPr>
    <w:rPr>
      <w:sz w:val="22"/>
      <w:szCs w:val="22"/>
      <w:lang w:val="es-CR" w:eastAsia="es-CR"/>
    </w:rPr>
  </w:style>
  <w:style w:type="character" w:customStyle="1" w:styleId="Ttulodelibro1">
    <w:name w:val="Título de libro1"/>
    <w:uiPriority w:val="33"/>
    <w:rsid w:val="007C1F21"/>
    <w:rPr>
      <w:b/>
      <w:bCs/>
      <w:smallCaps/>
      <w:spacing w:val="5"/>
    </w:rPr>
  </w:style>
  <w:style w:type="character" w:customStyle="1" w:styleId="FootnoteTextChar2">
    <w:name w:val="Footnote Text Char2"/>
    <w:aliases w:val="FA Fu Char1,Footnote Text Char Char Char Char Char Char1,Footnote Text Char Char Char Char Char2,Footnote reference Char1,Footnote Text Char Char Char Char2,Texto nota pie Car Char1,FA Fu Car Char1,FA Fu Car Car Char1,Ca Char,C Char"/>
    <w:uiPriority w:val="99"/>
    <w:locked/>
    <w:rsid w:val="00426061"/>
    <w:rPr>
      <w:rFonts w:ascii="Calibri" w:eastAsia="Calibri" w:hAnsi="Calibri" w:cs="Calibri"/>
      <w:sz w:val="20"/>
      <w:szCs w:val="20"/>
      <w:lang w:val="es-GT"/>
    </w:rPr>
  </w:style>
  <w:style w:type="paragraph" w:customStyle="1" w:styleId="ColorfulList-Accent12">
    <w:name w:val="Colorful List - Accent 12"/>
    <w:basedOn w:val="Normal"/>
    <w:link w:val="ColorfulList-Accent1Char1"/>
    <w:uiPriority w:val="99"/>
    <w:rsid w:val="002D6B4D"/>
    <w:pPr>
      <w:ind w:left="720"/>
      <w:contextualSpacing/>
    </w:pPr>
    <w:rPr>
      <w:lang w:eastAsia="es-CR"/>
    </w:rPr>
  </w:style>
  <w:style w:type="paragraph" w:styleId="Listaconvietas">
    <w:name w:val="List Bullet"/>
    <w:basedOn w:val="Normal"/>
    <w:uiPriority w:val="99"/>
    <w:unhideWhenUsed/>
    <w:rsid w:val="009B799F"/>
    <w:pPr>
      <w:numPr>
        <w:numId w:val="1"/>
      </w:numPr>
      <w:contextualSpacing/>
    </w:pPr>
  </w:style>
  <w:style w:type="character" w:customStyle="1" w:styleId="ColorfulList-Accent1Char1">
    <w:name w:val="Colorful List - Accent 1 Char1"/>
    <w:link w:val="ColorfulList-Accent12"/>
    <w:uiPriority w:val="99"/>
    <w:locked/>
    <w:rsid w:val="00B97DC8"/>
    <w:rPr>
      <w:rFonts w:eastAsia="Times New Roman"/>
      <w:sz w:val="22"/>
      <w:szCs w:val="22"/>
      <w:lang w:val="es-CR" w:eastAsia="es-CR"/>
    </w:rPr>
  </w:style>
  <w:style w:type="paragraph" w:customStyle="1" w:styleId="ColorfulShading-Accent12">
    <w:name w:val="Colorful Shading - Accent 12"/>
    <w:hidden/>
    <w:uiPriority w:val="71"/>
    <w:rsid w:val="001956A2"/>
    <w:pPr>
      <w:spacing w:after="200" w:line="276" w:lineRule="auto"/>
    </w:pPr>
    <w:rPr>
      <w:sz w:val="22"/>
      <w:szCs w:val="22"/>
      <w:lang w:val="es-CR" w:eastAsia="es-CR"/>
    </w:rPr>
  </w:style>
  <w:style w:type="character" w:styleId="Textoennegrita">
    <w:name w:val="Strong"/>
    <w:uiPriority w:val="22"/>
    <w:qFormat/>
    <w:rsid w:val="00026CB6"/>
    <w:rPr>
      <w:b/>
      <w:bCs/>
    </w:rPr>
  </w:style>
  <w:style w:type="character" w:customStyle="1" w:styleId="Ttulo3Car">
    <w:name w:val="Título 3 Car"/>
    <w:link w:val="Ttulo3"/>
    <w:uiPriority w:val="9"/>
    <w:semiHidden/>
    <w:rsid w:val="00026CB6"/>
    <w:rPr>
      <w:rFonts w:ascii="Cambria" w:eastAsia="Times New Roman" w:hAnsi="Cambria" w:cs="Times New Roman"/>
      <w:b/>
      <w:bCs/>
      <w:color w:val="2DA2BF"/>
    </w:rPr>
  </w:style>
  <w:style w:type="paragraph" w:styleId="Prrafodelista">
    <w:name w:val="List Paragraph"/>
    <w:basedOn w:val="Normal"/>
    <w:link w:val="PrrafodelistaCar1"/>
    <w:uiPriority w:val="34"/>
    <w:qFormat/>
    <w:rsid w:val="00026CB6"/>
    <w:pPr>
      <w:ind w:left="720"/>
      <w:contextualSpacing/>
    </w:pPr>
  </w:style>
  <w:style w:type="character" w:customStyle="1" w:styleId="PrrafodelistaCar1">
    <w:name w:val="Párrafo de lista Car1"/>
    <w:link w:val="Prrafodelista"/>
    <w:uiPriority w:val="34"/>
    <w:locked/>
    <w:rsid w:val="009263AD"/>
  </w:style>
  <w:style w:type="character" w:customStyle="1" w:styleId="Ttulo1Car">
    <w:name w:val="Título 1 Car"/>
    <w:link w:val="Ttulo1"/>
    <w:uiPriority w:val="9"/>
    <w:rsid w:val="00026CB6"/>
    <w:rPr>
      <w:rFonts w:ascii="Cambria" w:eastAsia="Times New Roman" w:hAnsi="Cambria" w:cs="Times New Roman"/>
      <w:b/>
      <w:bCs/>
      <w:color w:val="21798E"/>
      <w:sz w:val="28"/>
      <w:szCs w:val="28"/>
    </w:rPr>
  </w:style>
  <w:style w:type="paragraph" w:customStyle="1" w:styleId="Estilo3">
    <w:name w:val="Estilo3"/>
    <w:basedOn w:val="Prrafodelista"/>
    <w:rsid w:val="00F87948"/>
    <w:pPr>
      <w:numPr>
        <w:ilvl w:val="4"/>
        <w:numId w:val="2"/>
      </w:numPr>
      <w:spacing w:after="120" w:line="216" w:lineRule="auto"/>
      <w:ind w:right="17"/>
      <w:contextualSpacing w:val="0"/>
      <w:jc w:val="both"/>
    </w:pPr>
    <w:rPr>
      <w:rFonts w:ascii="Verdana" w:eastAsia="Calibri" w:hAnsi="Verdana"/>
      <w:spacing w:val="-2"/>
      <w:sz w:val="20"/>
      <w:szCs w:val="20"/>
    </w:rPr>
  </w:style>
  <w:style w:type="paragraph" w:customStyle="1" w:styleId="Estilo5">
    <w:name w:val="Estilo5"/>
    <w:basedOn w:val="Prrafodelista"/>
    <w:link w:val="Estilo5Car"/>
    <w:rsid w:val="00F87948"/>
    <w:pPr>
      <w:numPr>
        <w:numId w:val="2"/>
      </w:numPr>
      <w:spacing w:after="120" w:line="216" w:lineRule="auto"/>
      <w:ind w:right="18"/>
      <w:contextualSpacing w:val="0"/>
      <w:jc w:val="both"/>
    </w:pPr>
    <w:rPr>
      <w:rFonts w:ascii="Verdana" w:hAnsi="Verdana"/>
      <w:spacing w:val="-2"/>
      <w:sz w:val="20"/>
      <w:szCs w:val="20"/>
      <w:lang w:val="es-MX" w:eastAsia="x-none"/>
    </w:rPr>
  </w:style>
  <w:style w:type="character" w:customStyle="1" w:styleId="Estilo5Car">
    <w:name w:val="Estilo5 Car"/>
    <w:link w:val="Estilo5"/>
    <w:rsid w:val="00F87948"/>
    <w:rPr>
      <w:rFonts w:ascii="Verdana" w:hAnsi="Verdana"/>
      <w:spacing w:val="-2"/>
      <w:lang w:val="es-MX" w:eastAsia="x-none"/>
    </w:rPr>
  </w:style>
  <w:style w:type="paragraph" w:customStyle="1" w:styleId="Estilo8">
    <w:name w:val="Estilo8"/>
    <w:basedOn w:val="Estilo3"/>
    <w:qFormat/>
    <w:rsid w:val="00F87948"/>
    <w:pPr>
      <w:numPr>
        <w:ilvl w:val="5"/>
      </w:numPr>
      <w:ind w:left="1080" w:hanging="358"/>
    </w:pPr>
  </w:style>
  <w:style w:type="paragraph" w:customStyle="1" w:styleId="citaindirecta">
    <w:name w:val="cita indirecta"/>
    <w:basedOn w:val="Normal"/>
    <w:rsid w:val="008D6FD7"/>
    <w:pPr>
      <w:spacing w:after="0" w:line="240" w:lineRule="auto"/>
      <w:ind w:left="708"/>
      <w:jc w:val="both"/>
    </w:pPr>
    <w:rPr>
      <w:rFonts w:ascii="Verdana" w:hAnsi="Verdana"/>
      <w:sz w:val="20"/>
      <w:szCs w:val="20"/>
      <w:lang w:val="es-ES_tradnl" w:eastAsia="es-MX"/>
    </w:rPr>
  </w:style>
  <w:style w:type="paragraph" w:customStyle="1" w:styleId="Estilo4">
    <w:name w:val="Estilo4"/>
    <w:basedOn w:val="Prrafodelista"/>
    <w:qFormat/>
    <w:rsid w:val="003B5E5F"/>
    <w:pPr>
      <w:numPr>
        <w:ilvl w:val="1"/>
        <w:numId w:val="4"/>
      </w:numPr>
      <w:spacing w:after="120" w:line="240" w:lineRule="auto"/>
      <w:ind w:left="0" w:firstLine="357"/>
      <w:contextualSpacing w:val="0"/>
      <w:jc w:val="both"/>
    </w:pPr>
    <w:rPr>
      <w:rFonts w:ascii="Verdana" w:hAnsi="Verdana"/>
      <w:spacing w:val="-2"/>
      <w:sz w:val="20"/>
      <w:szCs w:val="20"/>
    </w:rPr>
  </w:style>
  <w:style w:type="character" w:styleId="Hipervnculo">
    <w:name w:val="Hyperlink"/>
    <w:uiPriority w:val="99"/>
    <w:unhideWhenUsed/>
    <w:rsid w:val="0062696E"/>
    <w:rPr>
      <w:color w:val="0000FF"/>
      <w:u w:val="single"/>
    </w:rPr>
  </w:style>
  <w:style w:type="table" w:styleId="Tablaconcuadrcula">
    <w:name w:val="Table Grid"/>
    <w:basedOn w:val="Tablanormal"/>
    <w:uiPriority w:val="59"/>
    <w:rsid w:val="00C0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D76"/>
    <w:pPr>
      <w:autoSpaceDE w:val="0"/>
      <w:autoSpaceDN w:val="0"/>
      <w:adjustRightInd w:val="0"/>
      <w:spacing w:after="200" w:line="276" w:lineRule="auto"/>
    </w:pPr>
    <w:rPr>
      <w:rFonts w:ascii="Verdana" w:hAnsi="Verdana" w:cs="Verdana"/>
      <w:color w:val="000000"/>
      <w:sz w:val="24"/>
      <w:szCs w:val="24"/>
      <w:lang w:val="es-MX" w:eastAsia="es-MX"/>
    </w:rPr>
  </w:style>
  <w:style w:type="character" w:customStyle="1" w:styleId="apple-converted-space">
    <w:name w:val="apple-converted-space"/>
    <w:rsid w:val="00860D09"/>
  </w:style>
  <w:style w:type="paragraph" w:styleId="Subttulo">
    <w:name w:val="Subtitle"/>
    <w:basedOn w:val="Normal"/>
    <w:next w:val="Normal"/>
    <w:link w:val="SubttuloCar"/>
    <w:uiPriority w:val="11"/>
    <w:qFormat/>
    <w:rsid w:val="00026CB6"/>
    <w:pPr>
      <w:numPr>
        <w:ilvl w:val="1"/>
      </w:numPr>
    </w:pPr>
    <w:rPr>
      <w:rFonts w:ascii="Cambria" w:hAnsi="Cambria"/>
      <w:i/>
      <w:iCs/>
      <w:color w:val="2DA2BF"/>
      <w:spacing w:val="15"/>
      <w:sz w:val="24"/>
      <w:szCs w:val="24"/>
      <w:lang w:val="x-none" w:eastAsia="x-none"/>
    </w:rPr>
  </w:style>
  <w:style w:type="character" w:customStyle="1" w:styleId="SubttuloCar">
    <w:name w:val="Subtítulo Car"/>
    <w:link w:val="Subttulo"/>
    <w:uiPriority w:val="11"/>
    <w:rsid w:val="00026CB6"/>
    <w:rPr>
      <w:rFonts w:ascii="Cambria" w:eastAsia="Times New Roman" w:hAnsi="Cambria" w:cs="Times New Roman"/>
      <w:i/>
      <w:iCs/>
      <w:color w:val="2DA2BF"/>
      <w:spacing w:val="15"/>
      <w:sz w:val="24"/>
      <w:szCs w:val="24"/>
    </w:rPr>
  </w:style>
  <w:style w:type="character" w:styleId="nfasis">
    <w:name w:val="Emphasis"/>
    <w:uiPriority w:val="20"/>
    <w:qFormat/>
    <w:rsid w:val="00026CB6"/>
    <w:rPr>
      <w:i/>
      <w:iCs/>
    </w:rPr>
  </w:style>
  <w:style w:type="paragraph" w:styleId="TDC1">
    <w:name w:val="toc 1"/>
    <w:basedOn w:val="Sentencia1"/>
    <w:next w:val="Normal"/>
    <w:autoRedefine/>
    <w:uiPriority w:val="39"/>
    <w:unhideWhenUsed/>
    <w:qFormat/>
    <w:rsid w:val="00177710"/>
    <w:pPr>
      <w:keepNext w:val="0"/>
      <w:keepLines w:val="0"/>
      <w:tabs>
        <w:tab w:val="right" w:leader="dot" w:pos="9782"/>
      </w:tabs>
      <w:spacing w:line="276" w:lineRule="auto"/>
      <w:jc w:val="left"/>
      <w:outlineLvl w:val="9"/>
    </w:pPr>
    <w:rPr>
      <w:iCs/>
      <w:noProof/>
      <w:szCs w:val="24"/>
    </w:rPr>
  </w:style>
  <w:style w:type="paragraph" w:styleId="TDC2">
    <w:name w:val="toc 2"/>
    <w:basedOn w:val="Sentencia2"/>
    <w:next w:val="Normal"/>
    <w:autoRedefine/>
    <w:uiPriority w:val="39"/>
    <w:unhideWhenUsed/>
    <w:qFormat/>
    <w:rsid w:val="00993DDE"/>
    <w:pPr>
      <w:keepNext w:val="0"/>
      <w:keepLines w:val="0"/>
      <w:tabs>
        <w:tab w:val="left" w:pos="660"/>
        <w:tab w:val="right" w:leader="dot" w:pos="9782"/>
      </w:tabs>
      <w:spacing w:line="240" w:lineRule="auto"/>
      <w:outlineLvl w:val="9"/>
    </w:pPr>
    <w:rPr>
      <w:noProof/>
      <w:szCs w:val="22"/>
    </w:rPr>
  </w:style>
  <w:style w:type="paragraph" w:styleId="TDC3">
    <w:name w:val="toc 3"/>
    <w:basedOn w:val="Sentencia3"/>
    <w:next w:val="Normal"/>
    <w:autoRedefine/>
    <w:uiPriority w:val="39"/>
    <w:unhideWhenUsed/>
    <w:qFormat/>
    <w:rsid w:val="00177710"/>
    <w:pPr>
      <w:keepNext w:val="0"/>
      <w:keepLines w:val="0"/>
      <w:tabs>
        <w:tab w:val="right" w:leader="dot" w:pos="9782"/>
      </w:tabs>
      <w:spacing w:line="240" w:lineRule="auto"/>
      <w:ind w:left="0"/>
      <w:jc w:val="both"/>
      <w:outlineLvl w:val="9"/>
    </w:pPr>
    <w:rPr>
      <w:bCs w:val="0"/>
      <w:i w:val="0"/>
      <w:color w:val="auto"/>
    </w:rPr>
  </w:style>
  <w:style w:type="character" w:customStyle="1" w:styleId="Ttulo2Car">
    <w:name w:val="Título 2 Car"/>
    <w:link w:val="Ttulo2"/>
    <w:uiPriority w:val="9"/>
    <w:rsid w:val="00026CB6"/>
    <w:rPr>
      <w:rFonts w:ascii="Cambria" w:hAnsi="Cambria"/>
      <w:b/>
      <w:bCs/>
      <w:color w:val="2DA2BF"/>
      <w:sz w:val="26"/>
      <w:szCs w:val="26"/>
      <w:lang w:val="es-CR"/>
    </w:rPr>
  </w:style>
  <w:style w:type="paragraph" w:styleId="NormalWeb">
    <w:name w:val="Normal (Web)"/>
    <w:aliases w:val="Normal (Web) Char1,Normal (Web) Char Char,Normal (Web) Char1 Char,Normal (Web) Char Char Char"/>
    <w:basedOn w:val="Normal"/>
    <w:uiPriority w:val="99"/>
    <w:unhideWhenUsed/>
    <w:qFormat/>
    <w:rsid w:val="0075560B"/>
    <w:pPr>
      <w:widowControl w:val="0"/>
    </w:pPr>
    <w:rPr>
      <w:rFonts w:ascii="Times New Roman" w:eastAsia="Calibri" w:hAnsi="Times New Roman"/>
      <w:sz w:val="24"/>
      <w:szCs w:val="24"/>
      <w:lang w:val="en-US"/>
    </w:rPr>
  </w:style>
  <w:style w:type="paragraph" w:styleId="Textonotaalfinal">
    <w:name w:val="endnote text"/>
    <w:basedOn w:val="Normal"/>
    <w:link w:val="TextonotaalfinalCar"/>
    <w:uiPriority w:val="99"/>
    <w:semiHidden/>
    <w:unhideWhenUsed/>
    <w:rsid w:val="0075560B"/>
    <w:pPr>
      <w:widowControl w:val="0"/>
      <w:spacing w:after="0" w:line="240" w:lineRule="auto"/>
    </w:pPr>
    <w:rPr>
      <w:sz w:val="20"/>
      <w:szCs w:val="20"/>
      <w:lang w:val="en-US"/>
    </w:rPr>
  </w:style>
  <w:style w:type="character" w:customStyle="1" w:styleId="TextonotaalfinalCar">
    <w:name w:val="Texto nota al final Car"/>
    <w:link w:val="Textonotaalfinal"/>
    <w:uiPriority w:val="99"/>
    <w:semiHidden/>
    <w:rsid w:val="0075560B"/>
    <w:rPr>
      <w:lang w:val="en-US" w:eastAsia="en-US"/>
    </w:rPr>
  </w:style>
  <w:style w:type="paragraph" w:styleId="Revisin">
    <w:name w:val="Revision"/>
    <w:hidden/>
    <w:uiPriority w:val="99"/>
    <w:rsid w:val="005069A0"/>
    <w:pPr>
      <w:spacing w:after="200" w:line="276" w:lineRule="auto"/>
    </w:pPr>
    <w:rPr>
      <w:sz w:val="22"/>
      <w:szCs w:val="22"/>
      <w:lang w:val="es-CR" w:eastAsia="es-CR"/>
    </w:rPr>
  </w:style>
  <w:style w:type="paragraph" w:customStyle="1" w:styleId="PrrafodeSentencia">
    <w:name w:val="*. Párrafo de Sentencia"/>
    <w:basedOn w:val="ColorfulList-Accent12"/>
    <w:link w:val="PrrafodeSentenciaChar"/>
    <w:autoRedefine/>
    <w:qFormat/>
    <w:rsid w:val="00077D21"/>
    <w:pPr>
      <w:numPr>
        <w:numId w:val="3"/>
      </w:numPr>
      <w:spacing w:after="0" w:line="240" w:lineRule="auto"/>
      <w:ind w:left="0" w:firstLine="0"/>
      <w:contextualSpacing w:val="0"/>
      <w:jc w:val="both"/>
    </w:pPr>
    <w:rPr>
      <w:rFonts w:ascii="Verdana" w:eastAsia="Batang" w:hAnsi="Verdana"/>
      <w:sz w:val="20"/>
      <w:szCs w:val="20"/>
      <w:lang w:val="es-ES_tradnl" w:eastAsia="es-MX"/>
    </w:rPr>
  </w:style>
  <w:style w:type="character" w:customStyle="1" w:styleId="PrrafodeSentenciaChar">
    <w:name w:val="*. Párrafo de Sentencia Char"/>
    <w:link w:val="PrrafodeSentencia"/>
    <w:locked/>
    <w:rsid w:val="00077D21"/>
    <w:rPr>
      <w:rFonts w:ascii="Verdana" w:eastAsia="Batang" w:hAnsi="Verdana"/>
      <w:lang w:val="es-ES_tradnl" w:eastAsia="es-MX"/>
    </w:rPr>
  </w:style>
  <w:style w:type="character" w:customStyle="1" w:styleId="FootnotesChar">
    <w:name w:val="**. Footnotes Char"/>
    <w:link w:val="Footnotes"/>
    <w:locked/>
    <w:rsid w:val="00165633"/>
    <w:rPr>
      <w:rFonts w:ascii="Verdana" w:eastAsia="Times New Roman" w:hAnsi="Verdana" w:cs="Palatino-Italic"/>
      <w:iCs/>
      <w:spacing w:val="-4"/>
      <w:sz w:val="16"/>
      <w:szCs w:val="16"/>
      <w:lang w:val="es-ES" w:bidi="en-US"/>
    </w:rPr>
  </w:style>
  <w:style w:type="paragraph" w:customStyle="1" w:styleId="Footnotes">
    <w:name w:val="**. Footnotes"/>
    <w:basedOn w:val="Textonotapie"/>
    <w:link w:val="FootnotesChar"/>
    <w:qFormat/>
    <w:rsid w:val="00165633"/>
    <w:pPr>
      <w:tabs>
        <w:tab w:val="left" w:pos="567"/>
      </w:tabs>
      <w:jc w:val="both"/>
    </w:pPr>
    <w:rPr>
      <w:rFonts w:ascii="Verdana" w:hAnsi="Verdana" w:cs="Palatino-Italic"/>
      <w:iCs/>
      <w:spacing w:val="-4"/>
      <w:sz w:val="16"/>
      <w:szCs w:val="16"/>
      <w:lang w:val="es-ES" w:bidi="en-US"/>
    </w:rPr>
  </w:style>
  <w:style w:type="paragraph" w:customStyle="1" w:styleId="Textonotapie1">
    <w:name w:val="Texto nota pie1"/>
    <w:basedOn w:val="Normal"/>
    <w:semiHidden/>
    <w:rsid w:val="003C5C90"/>
    <w:pPr>
      <w:spacing w:after="0" w:line="240" w:lineRule="auto"/>
    </w:pPr>
    <w:rPr>
      <w:rFonts w:ascii="Times New Roman" w:hAnsi="Times New Roman"/>
      <w:sz w:val="20"/>
      <w:szCs w:val="20"/>
      <w:lang w:val="es-ES_tradnl" w:eastAsia="es-ES"/>
    </w:rPr>
  </w:style>
  <w:style w:type="character" w:customStyle="1" w:styleId="sb8d990e2">
    <w:name w:val="sb8d990e2"/>
    <w:rsid w:val="000C5372"/>
  </w:style>
  <w:style w:type="paragraph" w:customStyle="1" w:styleId="Estilo2">
    <w:name w:val="Estilo2"/>
    <w:basedOn w:val="Normal"/>
    <w:link w:val="Estilo2Car"/>
    <w:qFormat/>
    <w:rsid w:val="00F24471"/>
    <w:pPr>
      <w:tabs>
        <w:tab w:val="left" w:pos="567"/>
        <w:tab w:val="left" w:pos="1134"/>
      </w:tabs>
      <w:spacing w:after="120" w:line="240" w:lineRule="auto"/>
      <w:ind w:firstLine="357"/>
      <w:jc w:val="both"/>
    </w:pPr>
    <w:rPr>
      <w:rFonts w:ascii="Verdana" w:hAnsi="Verdana"/>
      <w:sz w:val="20"/>
      <w:szCs w:val="20"/>
      <w:lang w:val="es-ES_tradnl" w:eastAsia="es-MX"/>
    </w:rPr>
  </w:style>
  <w:style w:type="character" w:customStyle="1" w:styleId="Estilo2Car">
    <w:name w:val="Estilo2 Car"/>
    <w:link w:val="Estilo2"/>
    <w:locked/>
    <w:rsid w:val="00F24471"/>
    <w:rPr>
      <w:rFonts w:ascii="Verdana" w:hAnsi="Verdana"/>
      <w:lang w:val="es-ES_tradnl" w:eastAsia="es-MX"/>
    </w:rPr>
  </w:style>
  <w:style w:type="character" w:styleId="nfasissutil">
    <w:name w:val="Subtle Emphasis"/>
    <w:uiPriority w:val="19"/>
    <w:qFormat/>
    <w:rsid w:val="00026CB6"/>
    <w:rPr>
      <w:i/>
      <w:iCs/>
      <w:color w:val="808080"/>
    </w:rPr>
  </w:style>
  <w:style w:type="character" w:styleId="Hipervnculovisitado">
    <w:name w:val="FollowedHyperlink"/>
    <w:uiPriority w:val="99"/>
    <w:semiHidden/>
    <w:unhideWhenUsed/>
    <w:rsid w:val="005D5603"/>
    <w:rPr>
      <w:color w:val="800080"/>
      <w:u w:val="single"/>
    </w:rPr>
  </w:style>
  <w:style w:type="character" w:customStyle="1" w:styleId="Ttulo4Car">
    <w:name w:val="Título 4 Car"/>
    <w:link w:val="Ttulo4"/>
    <w:uiPriority w:val="9"/>
    <w:semiHidden/>
    <w:rsid w:val="00026CB6"/>
    <w:rPr>
      <w:rFonts w:ascii="Cambria" w:eastAsia="Times New Roman" w:hAnsi="Cambria" w:cs="Times New Roman"/>
      <w:b/>
      <w:bCs/>
      <w:i/>
      <w:iCs/>
      <w:color w:val="2DA2BF"/>
    </w:rPr>
  </w:style>
  <w:style w:type="character" w:customStyle="1" w:styleId="Ttulo6Car">
    <w:name w:val="Título 6 Car"/>
    <w:link w:val="Ttulo6"/>
    <w:uiPriority w:val="9"/>
    <w:semiHidden/>
    <w:rsid w:val="00026CB6"/>
    <w:rPr>
      <w:rFonts w:ascii="Cambria" w:eastAsia="Times New Roman" w:hAnsi="Cambria" w:cs="Times New Roman"/>
      <w:i/>
      <w:iCs/>
      <w:color w:val="16505E"/>
    </w:rPr>
  </w:style>
  <w:style w:type="character" w:customStyle="1" w:styleId="Ttulo7Car">
    <w:name w:val="Título 7 Car"/>
    <w:link w:val="Ttulo7"/>
    <w:uiPriority w:val="9"/>
    <w:semiHidden/>
    <w:rsid w:val="00026CB6"/>
    <w:rPr>
      <w:rFonts w:ascii="Cambria" w:eastAsia="Times New Roman" w:hAnsi="Cambria" w:cs="Times New Roman"/>
      <w:i/>
      <w:iCs/>
      <w:color w:val="404040"/>
    </w:rPr>
  </w:style>
  <w:style w:type="character" w:customStyle="1" w:styleId="Ttulo8Car">
    <w:name w:val="Título 8 Car"/>
    <w:link w:val="Ttulo8"/>
    <w:uiPriority w:val="9"/>
    <w:semiHidden/>
    <w:rsid w:val="00026CB6"/>
    <w:rPr>
      <w:rFonts w:ascii="Cambria" w:eastAsia="Times New Roman" w:hAnsi="Cambria" w:cs="Times New Roman"/>
      <w:color w:val="2DA2BF"/>
      <w:sz w:val="20"/>
      <w:szCs w:val="20"/>
    </w:rPr>
  </w:style>
  <w:style w:type="character" w:customStyle="1" w:styleId="Ttulo9Car">
    <w:name w:val="Título 9 Car"/>
    <w:link w:val="Ttulo9"/>
    <w:uiPriority w:val="9"/>
    <w:semiHidden/>
    <w:rsid w:val="00026CB6"/>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026CB6"/>
    <w:pPr>
      <w:spacing w:line="240" w:lineRule="auto"/>
    </w:pPr>
    <w:rPr>
      <w:b/>
      <w:bCs/>
      <w:color w:val="2DA2BF"/>
      <w:sz w:val="18"/>
      <w:szCs w:val="18"/>
    </w:rPr>
  </w:style>
  <w:style w:type="paragraph" w:styleId="Ttulo">
    <w:name w:val="Title"/>
    <w:basedOn w:val="Normal"/>
    <w:next w:val="Normal"/>
    <w:link w:val="TtuloCar"/>
    <w:uiPriority w:val="10"/>
    <w:qFormat/>
    <w:rsid w:val="00026CB6"/>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TtuloCar">
    <w:name w:val="Título Car"/>
    <w:link w:val="Ttulo"/>
    <w:uiPriority w:val="10"/>
    <w:rsid w:val="00026CB6"/>
    <w:rPr>
      <w:rFonts w:ascii="Cambria" w:eastAsia="Times New Roman" w:hAnsi="Cambria" w:cs="Times New Roman"/>
      <w:color w:val="343434"/>
      <w:spacing w:val="5"/>
      <w:kern w:val="28"/>
      <w:sz w:val="52"/>
      <w:szCs w:val="52"/>
    </w:rPr>
  </w:style>
  <w:style w:type="paragraph" w:styleId="Sinespaciado">
    <w:name w:val="No Spacing"/>
    <w:link w:val="SinespaciadoCar"/>
    <w:uiPriority w:val="1"/>
    <w:qFormat/>
    <w:rsid w:val="00026CB6"/>
    <w:rPr>
      <w:sz w:val="22"/>
      <w:szCs w:val="22"/>
      <w:lang w:val="es-CR"/>
    </w:rPr>
  </w:style>
  <w:style w:type="paragraph" w:styleId="Cita">
    <w:name w:val="Quote"/>
    <w:basedOn w:val="Normal"/>
    <w:next w:val="Normal"/>
    <w:link w:val="CitaCar"/>
    <w:uiPriority w:val="29"/>
    <w:qFormat/>
    <w:rsid w:val="00026CB6"/>
    <w:rPr>
      <w:i/>
      <w:iCs/>
      <w:color w:val="000000"/>
      <w:sz w:val="20"/>
      <w:szCs w:val="20"/>
      <w:lang w:val="x-none" w:eastAsia="x-none"/>
    </w:rPr>
  </w:style>
  <w:style w:type="character" w:customStyle="1" w:styleId="CitaCar">
    <w:name w:val="Cita Car"/>
    <w:link w:val="Cita"/>
    <w:uiPriority w:val="29"/>
    <w:rsid w:val="00026CB6"/>
    <w:rPr>
      <w:i/>
      <w:iCs/>
      <w:color w:val="000000"/>
    </w:rPr>
  </w:style>
  <w:style w:type="paragraph" w:styleId="Citadestacada">
    <w:name w:val="Intense Quote"/>
    <w:basedOn w:val="Normal"/>
    <w:next w:val="Normal"/>
    <w:link w:val="CitadestacadaCar"/>
    <w:uiPriority w:val="30"/>
    <w:qFormat/>
    <w:rsid w:val="00026CB6"/>
    <w:pPr>
      <w:pBdr>
        <w:bottom w:val="single" w:sz="4" w:space="4" w:color="2DA2BF"/>
      </w:pBdr>
      <w:spacing w:before="200" w:after="280"/>
      <w:ind w:left="936" w:right="936"/>
    </w:pPr>
    <w:rPr>
      <w:b/>
      <w:bCs/>
      <w:i/>
      <w:iCs/>
      <w:color w:val="2DA2BF"/>
      <w:sz w:val="20"/>
      <w:szCs w:val="20"/>
      <w:lang w:val="x-none" w:eastAsia="x-none"/>
    </w:rPr>
  </w:style>
  <w:style w:type="character" w:customStyle="1" w:styleId="CitadestacadaCar">
    <w:name w:val="Cita destacada Car"/>
    <w:link w:val="Citadestacada"/>
    <w:uiPriority w:val="30"/>
    <w:rsid w:val="00026CB6"/>
    <w:rPr>
      <w:b/>
      <w:bCs/>
      <w:i/>
      <w:iCs/>
      <w:color w:val="2DA2BF"/>
    </w:rPr>
  </w:style>
  <w:style w:type="character" w:styleId="nfasisintenso">
    <w:name w:val="Intense Emphasis"/>
    <w:uiPriority w:val="21"/>
    <w:qFormat/>
    <w:rsid w:val="00026CB6"/>
    <w:rPr>
      <w:b/>
      <w:bCs/>
      <w:i/>
      <w:iCs/>
      <w:color w:val="2DA2BF"/>
    </w:rPr>
  </w:style>
  <w:style w:type="character" w:styleId="Referenciasutil">
    <w:name w:val="Subtle Reference"/>
    <w:uiPriority w:val="31"/>
    <w:qFormat/>
    <w:rsid w:val="00026CB6"/>
    <w:rPr>
      <w:smallCaps/>
      <w:color w:val="DA1F28"/>
      <w:u w:val="single"/>
    </w:rPr>
  </w:style>
  <w:style w:type="character" w:styleId="Referenciaintensa">
    <w:name w:val="Intense Reference"/>
    <w:uiPriority w:val="32"/>
    <w:qFormat/>
    <w:rsid w:val="00026CB6"/>
    <w:rPr>
      <w:b/>
      <w:bCs/>
      <w:smallCaps/>
      <w:color w:val="DA1F28"/>
      <w:spacing w:val="5"/>
      <w:u w:val="single"/>
    </w:rPr>
  </w:style>
  <w:style w:type="character" w:styleId="Ttulodellibro">
    <w:name w:val="Book Title"/>
    <w:uiPriority w:val="33"/>
    <w:qFormat/>
    <w:rsid w:val="00026CB6"/>
    <w:rPr>
      <w:b/>
      <w:bCs/>
      <w:smallCaps/>
      <w:spacing w:val="5"/>
    </w:rPr>
  </w:style>
  <w:style w:type="paragraph" w:styleId="TtuloTDC">
    <w:name w:val="TOC Heading"/>
    <w:basedOn w:val="Ttulo1"/>
    <w:next w:val="Normal"/>
    <w:uiPriority w:val="39"/>
    <w:semiHidden/>
    <w:unhideWhenUsed/>
    <w:qFormat/>
    <w:rsid w:val="00026CB6"/>
    <w:pPr>
      <w:outlineLvl w:val="9"/>
    </w:pPr>
  </w:style>
  <w:style w:type="character" w:customStyle="1" w:styleId="SinespaciadoCar">
    <w:name w:val="Sin espaciado Car"/>
    <w:link w:val="Sinespaciado"/>
    <w:uiPriority w:val="1"/>
    <w:rsid w:val="00026CB6"/>
    <w:rPr>
      <w:sz w:val="22"/>
      <w:szCs w:val="22"/>
      <w:lang w:val="es-CR" w:eastAsia="en-US" w:bidi="ar-SA"/>
    </w:rPr>
  </w:style>
  <w:style w:type="paragraph" w:customStyle="1" w:styleId="Sentencia1">
    <w:name w:val="Sentencia 1"/>
    <w:basedOn w:val="Ttulo1"/>
    <w:qFormat/>
    <w:rsid w:val="00026CB6"/>
    <w:pPr>
      <w:spacing w:before="0" w:line="240" w:lineRule="auto"/>
      <w:jc w:val="center"/>
    </w:pPr>
    <w:rPr>
      <w:rFonts w:ascii="Verdana" w:hAnsi="Verdana"/>
      <w:color w:val="auto"/>
      <w:sz w:val="20"/>
      <w:szCs w:val="20"/>
    </w:rPr>
  </w:style>
  <w:style w:type="paragraph" w:customStyle="1" w:styleId="Sentencia2">
    <w:name w:val="Sentencia 2"/>
    <w:basedOn w:val="Ttulo2"/>
    <w:qFormat/>
    <w:rsid w:val="00026CB6"/>
    <w:pPr>
      <w:spacing w:before="0"/>
    </w:pPr>
    <w:rPr>
      <w:rFonts w:ascii="Verdana" w:hAnsi="Verdana"/>
      <w:color w:val="auto"/>
      <w:sz w:val="20"/>
    </w:rPr>
  </w:style>
  <w:style w:type="paragraph" w:customStyle="1" w:styleId="Sentencia3">
    <w:name w:val="Sentencia 3"/>
    <w:basedOn w:val="Ttulo3"/>
    <w:qFormat/>
    <w:rsid w:val="00026CB6"/>
    <w:pPr>
      <w:spacing w:before="0"/>
      <w:ind w:left="720"/>
    </w:pPr>
    <w:rPr>
      <w:rFonts w:ascii="Verdana" w:hAnsi="Verdana"/>
      <w:b w:val="0"/>
      <w:i/>
      <w:color w:val="000000"/>
    </w:rPr>
  </w:style>
  <w:style w:type="paragraph" w:styleId="TDC4">
    <w:name w:val="toc 4"/>
    <w:basedOn w:val="Normal"/>
    <w:next w:val="Normal"/>
    <w:autoRedefine/>
    <w:uiPriority w:val="39"/>
    <w:unhideWhenUsed/>
    <w:rsid w:val="00026CB6"/>
    <w:pPr>
      <w:spacing w:after="0"/>
      <w:ind w:left="660"/>
    </w:pPr>
    <w:rPr>
      <w:sz w:val="20"/>
      <w:szCs w:val="20"/>
    </w:rPr>
  </w:style>
  <w:style w:type="paragraph" w:styleId="TDC5">
    <w:name w:val="toc 5"/>
    <w:basedOn w:val="Normal"/>
    <w:next w:val="Normal"/>
    <w:autoRedefine/>
    <w:uiPriority w:val="39"/>
    <w:unhideWhenUsed/>
    <w:rsid w:val="00026CB6"/>
    <w:pPr>
      <w:spacing w:after="0"/>
      <w:ind w:left="880"/>
    </w:pPr>
    <w:rPr>
      <w:sz w:val="20"/>
      <w:szCs w:val="20"/>
    </w:rPr>
  </w:style>
  <w:style w:type="paragraph" w:styleId="TDC6">
    <w:name w:val="toc 6"/>
    <w:basedOn w:val="Normal"/>
    <w:next w:val="Normal"/>
    <w:autoRedefine/>
    <w:uiPriority w:val="39"/>
    <w:unhideWhenUsed/>
    <w:rsid w:val="00026CB6"/>
    <w:pPr>
      <w:spacing w:after="0"/>
      <w:ind w:left="1100"/>
    </w:pPr>
    <w:rPr>
      <w:sz w:val="20"/>
      <w:szCs w:val="20"/>
    </w:rPr>
  </w:style>
  <w:style w:type="paragraph" w:styleId="TDC7">
    <w:name w:val="toc 7"/>
    <w:basedOn w:val="Normal"/>
    <w:next w:val="Normal"/>
    <w:autoRedefine/>
    <w:uiPriority w:val="39"/>
    <w:unhideWhenUsed/>
    <w:rsid w:val="00026CB6"/>
    <w:pPr>
      <w:spacing w:after="0"/>
      <w:ind w:left="1320"/>
    </w:pPr>
    <w:rPr>
      <w:sz w:val="20"/>
      <w:szCs w:val="20"/>
    </w:rPr>
  </w:style>
  <w:style w:type="paragraph" w:styleId="TDC8">
    <w:name w:val="toc 8"/>
    <w:basedOn w:val="Normal"/>
    <w:next w:val="Normal"/>
    <w:autoRedefine/>
    <w:uiPriority w:val="39"/>
    <w:unhideWhenUsed/>
    <w:rsid w:val="00026CB6"/>
    <w:pPr>
      <w:spacing w:after="0"/>
      <w:ind w:left="1540"/>
    </w:pPr>
    <w:rPr>
      <w:sz w:val="20"/>
      <w:szCs w:val="20"/>
    </w:rPr>
  </w:style>
  <w:style w:type="paragraph" w:styleId="TDC9">
    <w:name w:val="toc 9"/>
    <w:basedOn w:val="Normal"/>
    <w:next w:val="Normal"/>
    <w:autoRedefine/>
    <w:uiPriority w:val="39"/>
    <w:unhideWhenUsed/>
    <w:rsid w:val="00026CB6"/>
    <w:pPr>
      <w:spacing w:after="0"/>
      <w:ind w:left="1760"/>
    </w:pPr>
    <w:rPr>
      <w:sz w:val="20"/>
      <w:szCs w:val="20"/>
    </w:rPr>
  </w:style>
  <w:style w:type="character" w:styleId="Nmerodelnea">
    <w:name w:val="line number"/>
    <w:basedOn w:val="Fuentedeprrafopredeter"/>
    <w:uiPriority w:val="99"/>
    <w:semiHidden/>
    <w:unhideWhenUsed/>
    <w:rsid w:val="00B82276"/>
  </w:style>
  <w:style w:type="paragraph" w:customStyle="1" w:styleId="ColorfulList-Accent120">
    <w:name w:val="Colorful List - Accent 12"/>
    <w:basedOn w:val="Normal"/>
    <w:uiPriority w:val="99"/>
    <w:rsid w:val="00CD09AF"/>
    <w:pPr>
      <w:ind w:left="720"/>
      <w:contextualSpacing/>
    </w:pPr>
    <w:rPr>
      <w:lang w:eastAsia="es-CR"/>
    </w:rPr>
  </w:style>
  <w:style w:type="paragraph" w:customStyle="1" w:styleId="ColorfulShading-Accent120">
    <w:name w:val="Colorful Shading - Accent 12"/>
    <w:hidden/>
    <w:uiPriority w:val="71"/>
    <w:rsid w:val="00CD09AF"/>
    <w:pPr>
      <w:spacing w:after="200" w:line="276" w:lineRule="auto"/>
    </w:pPr>
    <w:rPr>
      <w:sz w:val="22"/>
      <w:szCs w:val="22"/>
      <w:lang w:val="es-CR" w:eastAsia="es-CR"/>
    </w:rPr>
  </w:style>
  <w:style w:type="numbering" w:customStyle="1" w:styleId="NoList1">
    <w:name w:val="No List1"/>
    <w:next w:val="Sinlista"/>
    <w:uiPriority w:val="99"/>
    <w:semiHidden/>
    <w:unhideWhenUsed/>
    <w:rsid w:val="00175ABB"/>
  </w:style>
  <w:style w:type="character" w:customStyle="1" w:styleId="FootnoteTextCharCharCharCharCharCar1">
    <w:name w:val="Footnote Text Char Char Char Char Char Car1"/>
    <w:aliases w:val="Footnote Text Char Char Char Char Car1,Footnote reference Car1,FA Fu Car1,Footnote Text Char Char Char Car1,footnote text Car1,Footnote Text Cha Car1,FA Fußnotentext Car1,Car Car"/>
    <w:rsid w:val="00175ABB"/>
    <w:rPr>
      <w:sz w:val="20"/>
      <w:szCs w:val="20"/>
    </w:rPr>
  </w:style>
  <w:style w:type="paragraph" w:styleId="HTMLconformatoprevio">
    <w:name w:val="HTML Preformatted"/>
    <w:basedOn w:val="Normal"/>
    <w:link w:val="HTMLconformatoprevioCar"/>
    <w:uiPriority w:val="99"/>
    <w:semiHidden/>
    <w:unhideWhenUsed/>
    <w:rsid w:val="00175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PA" w:eastAsia="es-PA"/>
    </w:rPr>
  </w:style>
  <w:style w:type="character" w:customStyle="1" w:styleId="HTMLPreformattedChar">
    <w:name w:val="HTML Preformatted Char"/>
    <w:uiPriority w:val="99"/>
    <w:semiHidden/>
    <w:rsid w:val="00175ABB"/>
    <w:rPr>
      <w:rFonts w:ascii="Courier New" w:hAnsi="Courier New" w:cs="Courier New"/>
      <w:lang w:val="es-CR" w:eastAsia="en-US"/>
    </w:rPr>
  </w:style>
  <w:style w:type="character" w:customStyle="1" w:styleId="HTMLconformatoprevioCar">
    <w:name w:val="HTML con formato previo Car"/>
    <w:link w:val="HTMLconformatoprevio"/>
    <w:uiPriority w:val="99"/>
    <w:semiHidden/>
    <w:rsid w:val="00175ABB"/>
    <w:rPr>
      <w:rFonts w:ascii="Courier New" w:hAnsi="Courier New" w:cs="Courier New"/>
      <w:lang w:val="es-PA" w:eastAsia="es-PA"/>
    </w:rPr>
  </w:style>
  <w:style w:type="character" w:customStyle="1" w:styleId="TextonotapieCar1">
    <w:name w:val="Texto nota pie Car1"/>
    <w:aliases w:val="Footnote Text Char Char Char Char Char Car,Footnote Text Char Char Char Char Car,Footnote reference Car,FA Fu Car,Footnote Text Char Char Char Car,footnote text Car,Footnote Text Cha Car,FA Fußnotentext Car,FA Fuﬂnotentext Car"/>
    <w:rsid w:val="00175ABB"/>
    <w:rPr>
      <w:rFonts w:ascii="Times New Roman" w:eastAsia="Times New Roman" w:hAnsi="Times New Roman" w:cs="Times New Roman"/>
      <w:sz w:val="20"/>
      <w:szCs w:val="20"/>
      <w:lang w:val="es-MX"/>
    </w:rPr>
  </w:style>
  <w:style w:type="character" w:customStyle="1" w:styleId="TextocomentarioCar">
    <w:name w:val="Texto comentario Car"/>
    <w:uiPriority w:val="99"/>
    <w:semiHidden/>
    <w:rsid w:val="00175ABB"/>
    <w:rPr>
      <w:sz w:val="20"/>
      <w:szCs w:val="20"/>
    </w:rPr>
  </w:style>
  <w:style w:type="character" w:customStyle="1" w:styleId="AsuntodelcomentarioCar">
    <w:name w:val="Asunto del comentario Car"/>
    <w:uiPriority w:val="99"/>
    <w:semiHidden/>
    <w:rsid w:val="00175ABB"/>
    <w:rPr>
      <w:b/>
      <w:bCs/>
      <w:sz w:val="20"/>
      <w:szCs w:val="20"/>
    </w:rPr>
  </w:style>
  <w:style w:type="paragraph" w:customStyle="1" w:styleId="n2">
    <w:name w:val="n2"/>
    <w:basedOn w:val="Normal"/>
    <w:rsid w:val="00175ABB"/>
    <w:pPr>
      <w:spacing w:before="100" w:beforeAutospacing="1" w:after="100" w:afterAutospacing="1" w:line="240" w:lineRule="auto"/>
    </w:pPr>
    <w:rPr>
      <w:rFonts w:ascii="Times New Roman" w:hAnsi="Times New Roman"/>
      <w:sz w:val="24"/>
      <w:szCs w:val="24"/>
      <w:lang w:val="es-PA" w:eastAsia="es-PA"/>
    </w:rPr>
  </w:style>
  <w:style w:type="paragraph" w:customStyle="1" w:styleId="j">
    <w:name w:val="j"/>
    <w:basedOn w:val="Normal"/>
    <w:rsid w:val="00175ABB"/>
    <w:pPr>
      <w:spacing w:before="100" w:beforeAutospacing="1" w:after="100" w:afterAutospacing="1" w:line="240" w:lineRule="auto"/>
    </w:pPr>
    <w:rPr>
      <w:rFonts w:ascii="Times New Roman" w:hAnsi="Times New Roman"/>
      <w:sz w:val="24"/>
      <w:szCs w:val="24"/>
      <w:lang w:val="es-PA" w:eastAsia="es-PA"/>
    </w:rPr>
  </w:style>
  <w:style w:type="character" w:customStyle="1" w:styleId="nacep">
    <w:name w:val="n_acep"/>
    <w:rsid w:val="00175ABB"/>
  </w:style>
  <w:style w:type="character" w:customStyle="1" w:styleId="PiedepginaCar">
    <w:name w:val="Pie de página Car"/>
    <w:uiPriority w:val="99"/>
    <w:rsid w:val="00175ABB"/>
  </w:style>
  <w:style w:type="character" w:styleId="Nmerodepgina">
    <w:name w:val="page number"/>
    <w:uiPriority w:val="99"/>
    <w:semiHidden/>
    <w:unhideWhenUsed/>
    <w:rsid w:val="00175ABB"/>
  </w:style>
  <w:style w:type="character" w:customStyle="1" w:styleId="PrrafodelistaCar">
    <w:name w:val="Párrafo de lista Car"/>
    <w:uiPriority w:val="34"/>
    <w:locked/>
    <w:rsid w:val="00175ABB"/>
  </w:style>
  <w:style w:type="table" w:customStyle="1" w:styleId="ColorfulList-Accent13">
    <w:name w:val="Colorful List - Accent 13"/>
    <w:basedOn w:val="Tablanormal"/>
    <w:uiPriority w:val="72"/>
    <w:rsid w:val="00175ABB"/>
    <w:rPr>
      <w:rFonts w:eastAsia="Calibri"/>
      <w:color w:val="000000"/>
      <w:sz w:val="22"/>
      <w:szCs w:val="22"/>
      <w:lang w:val="es-P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dfootnote-western">
    <w:name w:val="sdfootnote-western"/>
    <w:basedOn w:val="Normal"/>
    <w:rsid w:val="00E247AA"/>
    <w:pPr>
      <w:spacing w:before="100" w:beforeAutospacing="1" w:after="0" w:line="240" w:lineRule="auto"/>
      <w:ind w:left="284" w:hanging="284"/>
    </w:pPr>
    <w:rPr>
      <w:rFonts w:ascii="Times New Roman" w:hAnsi="Times New Roman"/>
      <w:sz w:val="20"/>
      <w:szCs w:val="20"/>
      <w:lang w:val="pt-BR" w:eastAsia="pt-BR"/>
    </w:rPr>
  </w:style>
  <w:style w:type="character" w:styleId="Mencinsinresolver">
    <w:name w:val="Unresolved Mention"/>
    <w:basedOn w:val="Fuentedeprrafopredeter"/>
    <w:uiPriority w:val="99"/>
    <w:semiHidden/>
    <w:unhideWhenUsed/>
    <w:rsid w:val="00E8740D"/>
    <w:rPr>
      <w:color w:val="605E5C"/>
      <w:shd w:val="clear" w:color="auto" w:fill="E1DFDD"/>
    </w:rPr>
  </w:style>
  <w:style w:type="character" w:customStyle="1" w:styleId="highlight">
    <w:name w:val="highlight"/>
    <w:basedOn w:val="Fuentedeprrafopredeter"/>
    <w:rsid w:val="004D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9883">
      <w:bodyDiv w:val="1"/>
      <w:marLeft w:val="0"/>
      <w:marRight w:val="0"/>
      <w:marTop w:val="0"/>
      <w:marBottom w:val="0"/>
      <w:divBdr>
        <w:top w:val="none" w:sz="0" w:space="0" w:color="auto"/>
        <w:left w:val="none" w:sz="0" w:space="0" w:color="auto"/>
        <w:bottom w:val="none" w:sz="0" w:space="0" w:color="auto"/>
        <w:right w:val="none" w:sz="0" w:space="0" w:color="auto"/>
      </w:divBdr>
    </w:div>
    <w:div w:id="122575907">
      <w:bodyDiv w:val="1"/>
      <w:marLeft w:val="0"/>
      <w:marRight w:val="0"/>
      <w:marTop w:val="0"/>
      <w:marBottom w:val="0"/>
      <w:divBdr>
        <w:top w:val="none" w:sz="0" w:space="0" w:color="auto"/>
        <w:left w:val="none" w:sz="0" w:space="0" w:color="auto"/>
        <w:bottom w:val="none" w:sz="0" w:space="0" w:color="auto"/>
        <w:right w:val="none" w:sz="0" w:space="0" w:color="auto"/>
      </w:divBdr>
    </w:div>
    <w:div w:id="138957286">
      <w:bodyDiv w:val="1"/>
      <w:marLeft w:val="0"/>
      <w:marRight w:val="0"/>
      <w:marTop w:val="0"/>
      <w:marBottom w:val="0"/>
      <w:divBdr>
        <w:top w:val="none" w:sz="0" w:space="0" w:color="auto"/>
        <w:left w:val="none" w:sz="0" w:space="0" w:color="auto"/>
        <w:bottom w:val="none" w:sz="0" w:space="0" w:color="auto"/>
        <w:right w:val="none" w:sz="0" w:space="0" w:color="auto"/>
      </w:divBdr>
    </w:div>
    <w:div w:id="182135703">
      <w:bodyDiv w:val="1"/>
      <w:marLeft w:val="0"/>
      <w:marRight w:val="0"/>
      <w:marTop w:val="0"/>
      <w:marBottom w:val="0"/>
      <w:divBdr>
        <w:top w:val="none" w:sz="0" w:space="0" w:color="auto"/>
        <w:left w:val="none" w:sz="0" w:space="0" w:color="auto"/>
        <w:bottom w:val="none" w:sz="0" w:space="0" w:color="auto"/>
        <w:right w:val="none" w:sz="0" w:space="0" w:color="auto"/>
      </w:divBdr>
    </w:div>
    <w:div w:id="380134105">
      <w:bodyDiv w:val="1"/>
      <w:marLeft w:val="0"/>
      <w:marRight w:val="0"/>
      <w:marTop w:val="0"/>
      <w:marBottom w:val="0"/>
      <w:divBdr>
        <w:top w:val="none" w:sz="0" w:space="0" w:color="auto"/>
        <w:left w:val="none" w:sz="0" w:space="0" w:color="auto"/>
        <w:bottom w:val="none" w:sz="0" w:space="0" w:color="auto"/>
        <w:right w:val="none" w:sz="0" w:space="0" w:color="auto"/>
      </w:divBdr>
    </w:div>
    <w:div w:id="560556894">
      <w:bodyDiv w:val="1"/>
      <w:marLeft w:val="0"/>
      <w:marRight w:val="0"/>
      <w:marTop w:val="0"/>
      <w:marBottom w:val="0"/>
      <w:divBdr>
        <w:top w:val="none" w:sz="0" w:space="0" w:color="auto"/>
        <w:left w:val="none" w:sz="0" w:space="0" w:color="auto"/>
        <w:bottom w:val="none" w:sz="0" w:space="0" w:color="auto"/>
        <w:right w:val="none" w:sz="0" w:space="0" w:color="auto"/>
      </w:divBdr>
    </w:div>
    <w:div w:id="626858087">
      <w:bodyDiv w:val="1"/>
      <w:marLeft w:val="0"/>
      <w:marRight w:val="0"/>
      <w:marTop w:val="0"/>
      <w:marBottom w:val="0"/>
      <w:divBdr>
        <w:top w:val="none" w:sz="0" w:space="0" w:color="auto"/>
        <w:left w:val="none" w:sz="0" w:space="0" w:color="auto"/>
        <w:bottom w:val="none" w:sz="0" w:space="0" w:color="auto"/>
        <w:right w:val="none" w:sz="0" w:space="0" w:color="auto"/>
      </w:divBdr>
    </w:div>
    <w:div w:id="700741316">
      <w:bodyDiv w:val="1"/>
      <w:marLeft w:val="0"/>
      <w:marRight w:val="0"/>
      <w:marTop w:val="0"/>
      <w:marBottom w:val="0"/>
      <w:divBdr>
        <w:top w:val="none" w:sz="0" w:space="0" w:color="auto"/>
        <w:left w:val="none" w:sz="0" w:space="0" w:color="auto"/>
        <w:bottom w:val="none" w:sz="0" w:space="0" w:color="auto"/>
        <w:right w:val="none" w:sz="0" w:space="0" w:color="auto"/>
      </w:divBdr>
    </w:div>
    <w:div w:id="803043386">
      <w:bodyDiv w:val="1"/>
      <w:marLeft w:val="0"/>
      <w:marRight w:val="0"/>
      <w:marTop w:val="0"/>
      <w:marBottom w:val="0"/>
      <w:divBdr>
        <w:top w:val="none" w:sz="0" w:space="0" w:color="auto"/>
        <w:left w:val="none" w:sz="0" w:space="0" w:color="auto"/>
        <w:bottom w:val="none" w:sz="0" w:space="0" w:color="auto"/>
        <w:right w:val="none" w:sz="0" w:space="0" w:color="auto"/>
      </w:divBdr>
    </w:div>
    <w:div w:id="808085184">
      <w:bodyDiv w:val="1"/>
      <w:marLeft w:val="0"/>
      <w:marRight w:val="0"/>
      <w:marTop w:val="0"/>
      <w:marBottom w:val="0"/>
      <w:divBdr>
        <w:top w:val="none" w:sz="0" w:space="0" w:color="auto"/>
        <w:left w:val="none" w:sz="0" w:space="0" w:color="auto"/>
        <w:bottom w:val="none" w:sz="0" w:space="0" w:color="auto"/>
        <w:right w:val="none" w:sz="0" w:space="0" w:color="auto"/>
      </w:divBdr>
    </w:div>
    <w:div w:id="878475545">
      <w:bodyDiv w:val="1"/>
      <w:marLeft w:val="0"/>
      <w:marRight w:val="0"/>
      <w:marTop w:val="0"/>
      <w:marBottom w:val="0"/>
      <w:divBdr>
        <w:top w:val="none" w:sz="0" w:space="0" w:color="auto"/>
        <w:left w:val="none" w:sz="0" w:space="0" w:color="auto"/>
        <w:bottom w:val="none" w:sz="0" w:space="0" w:color="auto"/>
        <w:right w:val="none" w:sz="0" w:space="0" w:color="auto"/>
      </w:divBdr>
    </w:div>
    <w:div w:id="886138716">
      <w:bodyDiv w:val="1"/>
      <w:marLeft w:val="0"/>
      <w:marRight w:val="0"/>
      <w:marTop w:val="0"/>
      <w:marBottom w:val="0"/>
      <w:divBdr>
        <w:top w:val="none" w:sz="0" w:space="0" w:color="auto"/>
        <w:left w:val="none" w:sz="0" w:space="0" w:color="auto"/>
        <w:bottom w:val="none" w:sz="0" w:space="0" w:color="auto"/>
        <w:right w:val="none" w:sz="0" w:space="0" w:color="auto"/>
      </w:divBdr>
    </w:div>
    <w:div w:id="962228023">
      <w:bodyDiv w:val="1"/>
      <w:marLeft w:val="0"/>
      <w:marRight w:val="0"/>
      <w:marTop w:val="0"/>
      <w:marBottom w:val="0"/>
      <w:divBdr>
        <w:top w:val="none" w:sz="0" w:space="0" w:color="auto"/>
        <w:left w:val="none" w:sz="0" w:space="0" w:color="auto"/>
        <w:bottom w:val="none" w:sz="0" w:space="0" w:color="auto"/>
        <w:right w:val="none" w:sz="0" w:space="0" w:color="auto"/>
      </w:divBdr>
    </w:div>
    <w:div w:id="1123160704">
      <w:bodyDiv w:val="1"/>
      <w:marLeft w:val="0"/>
      <w:marRight w:val="0"/>
      <w:marTop w:val="0"/>
      <w:marBottom w:val="0"/>
      <w:divBdr>
        <w:top w:val="none" w:sz="0" w:space="0" w:color="auto"/>
        <w:left w:val="none" w:sz="0" w:space="0" w:color="auto"/>
        <w:bottom w:val="none" w:sz="0" w:space="0" w:color="auto"/>
        <w:right w:val="none" w:sz="0" w:space="0" w:color="auto"/>
      </w:divBdr>
    </w:div>
    <w:div w:id="1177883830">
      <w:bodyDiv w:val="1"/>
      <w:marLeft w:val="0"/>
      <w:marRight w:val="0"/>
      <w:marTop w:val="0"/>
      <w:marBottom w:val="0"/>
      <w:divBdr>
        <w:top w:val="none" w:sz="0" w:space="0" w:color="auto"/>
        <w:left w:val="none" w:sz="0" w:space="0" w:color="auto"/>
        <w:bottom w:val="none" w:sz="0" w:space="0" w:color="auto"/>
        <w:right w:val="none" w:sz="0" w:space="0" w:color="auto"/>
      </w:divBdr>
    </w:div>
    <w:div w:id="1328942738">
      <w:bodyDiv w:val="1"/>
      <w:marLeft w:val="0"/>
      <w:marRight w:val="0"/>
      <w:marTop w:val="0"/>
      <w:marBottom w:val="0"/>
      <w:divBdr>
        <w:top w:val="none" w:sz="0" w:space="0" w:color="auto"/>
        <w:left w:val="none" w:sz="0" w:space="0" w:color="auto"/>
        <w:bottom w:val="none" w:sz="0" w:space="0" w:color="auto"/>
        <w:right w:val="none" w:sz="0" w:space="0" w:color="auto"/>
      </w:divBdr>
    </w:div>
    <w:div w:id="1408380148">
      <w:bodyDiv w:val="1"/>
      <w:marLeft w:val="0"/>
      <w:marRight w:val="0"/>
      <w:marTop w:val="0"/>
      <w:marBottom w:val="0"/>
      <w:divBdr>
        <w:top w:val="none" w:sz="0" w:space="0" w:color="auto"/>
        <w:left w:val="none" w:sz="0" w:space="0" w:color="auto"/>
        <w:bottom w:val="none" w:sz="0" w:space="0" w:color="auto"/>
        <w:right w:val="none" w:sz="0" w:space="0" w:color="auto"/>
      </w:divBdr>
    </w:div>
    <w:div w:id="1449884723">
      <w:bodyDiv w:val="1"/>
      <w:marLeft w:val="0"/>
      <w:marRight w:val="0"/>
      <w:marTop w:val="0"/>
      <w:marBottom w:val="0"/>
      <w:divBdr>
        <w:top w:val="none" w:sz="0" w:space="0" w:color="auto"/>
        <w:left w:val="none" w:sz="0" w:space="0" w:color="auto"/>
        <w:bottom w:val="none" w:sz="0" w:space="0" w:color="auto"/>
        <w:right w:val="none" w:sz="0" w:space="0" w:color="auto"/>
      </w:divBdr>
    </w:div>
    <w:div w:id="1509951351">
      <w:bodyDiv w:val="1"/>
      <w:marLeft w:val="0"/>
      <w:marRight w:val="0"/>
      <w:marTop w:val="0"/>
      <w:marBottom w:val="0"/>
      <w:divBdr>
        <w:top w:val="none" w:sz="0" w:space="0" w:color="auto"/>
        <w:left w:val="none" w:sz="0" w:space="0" w:color="auto"/>
        <w:bottom w:val="none" w:sz="0" w:space="0" w:color="auto"/>
        <w:right w:val="none" w:sz="0" w:space="0" w:color="auto"/>
      </w:divBdr>
    </w:div>
    <w:div w:id="1537693344">
      <w:bodyDiv w:val="1"/>
      <w:marLeft w:val="0"/>
      <w:marRight w:val="0"/>
      <w:marTop w:val="0"/>
      <w:marBottom w:val="0"/>
      <w:divBdr>
        <w:top w:val="none" w:sz="0" w:space="0" w:color="auto"/>
        <w:left w:val="none" w:sz="0" w:space="0" w:color="auto"/>
        <w:bottom w:val="none" w:sz="0" w:space="0" w:color="auto"/>
        <w:right w:val="none" w:sz="0" w:space="0" w:color="auto"/>
      </w:divBdr>
    </w:div>
    <w:div w:id="1546332324">
      <w:bodyDiv w:val="1"/>
      <w:marLeft w:val="0"/>
      <w:marRight w:val="0"/>
      <w:marTop w:val="0"/>
      <w:marBottom w:val="0"/>
      <w:divBdr>
        <w:top w:val="none" w:sz="0" w:space="0" w:color="auto"/>
        <w:left w:val="none" w:sz="0" w:space="0" w:color="auto"/>
        <w:bottom w:val="none" w:sz="0" w:space="0" w:color="auto"/>
        <w:right w:val="none" w:sz="0" w:space="0" w:color="auto"/>
      </w:divBdr>
    </w:div>
    <w:div w:id="1600018620">
      <w:bodyDiv w:val="1"/>
      <w:marLeft w:val="0"/>
      <w:marRight w:val="0"/>
      <w:marTop w:val="0"/>
      <w:marBottom w:val="0"/>
      <w:divBdr>
        <w:top w:val="none" w:sz="0" w:space="0" w:color="auto"/>
        <w:left w:val="none" w:sz="0" w:space="0" w:color="auto"/>
        <w:bottom w:val="none" w:sz="0" w:space="0" w:color="auto"/>
        <w:right w:val="none" w:sz="0" w:space="0" w:color="auto"/>
      </w:divBdr>
    </w:div>
    <w:div w:id="1623685089">
      <w:bodyDiv w:val="1"/>
      <w:marLeft w:val="0"/>
      <w:marRight w:val="0"/>
      <w:marTop w:val="0"/>
      <w:marBottom w:val="0"/>
      <w:divBdr>
        <w:top w:val="none" w:sz="0" w:space="0" w:color="auto"/>
        <w:left w:val="none" w:sz="0" w:space="0" w:color="auto"/>
        <w:bottom w:val="none" w:sz="0" w:space="0" w:color="auto"/>
        <w:right w:val="none" w:sz="0" w:space="0" w:color="auto"/>
      </w:divBdr>
    </w:div>
    <w:div w:id="1751661293">
      <w:bodyDiv w:val="1"/>
      <w:marLeft w:val="0"/>
      <w:marRight w:val="0"/>
      <w:marTop w:val="0"/>
      <w:marBottom w:val="0"/>
      <w:divBdr>
        <w:top w:val="none" w:sz="0" w:space="0" w:color="auto"/>
        <w:left w:val="none" w:sz="0" w:space="0" w:color="auto"/>
        <w:bottom w:val="none" w:sz="0" w:space="0" w:color="auto"/>
        <w:right w:val="none" w:sz="0" w:space="0" w:color="auto"/>
      </w:divBdr>
    </w:div>
    <w:div w:id="1822622096">
      <w:bodyDiv w:val="1"/>
      <w:marLeft w:val="0"/>
      <w:marRight w:val="0"/>
      <w:marTop w:val="0"/>
      <w:marBottom w:val="0"/>
      <w:divBdr>
        <w:top w:val="none" w:sz="0" w:space="0" w:color="auto"/>
        <w:left w:val="none" w:sz="0" w:space="0" w:color="auto"/>
        <w:bottom w:val="none" w:sz="0" w:space="0" w:color="auto"/>
        <w:right w:val="none" w:sz="0" w:space="0" w:color="auto"/>
      </w:divBdr>
    </w:div>
    <w:div w:id="1884243875">
      <w:bodyDiv w:val="1"/>
      <w:marLeft w:val="0"/>
      <w:marRight w:val="0"/>
      <w:marTop w:val="0"/>
      <w:marBottom w:val="0"/>
      <w:divBdr>
        <w:top w:val="none" w:sz="0" w:space="0" w:color="auto"/>
        <w:left w:val="none" w:sz="0" w:space="0" w:color="auto"/>
        <w:bottom w:val="none" w:sz="0" w:space="0" w:color="auto"/>
        <w:right w:val="none" w:sz="0" w:space="0" w:color="auto"/>
      </w:divBdr>
    </w:div>
    <w:div w:id="1885170102">
      <w:bodyDiv w:val="1"/>
      <w:marLeft w:val="0"/>
      <w:marRight w:val="0"/>
      <w:marTop w:val="0"/>
      <w:marBottom w:val="0"/>
      <w:divBdr>
        <w:top w:val="none" w:sz="0" w:space="0" w:color="auto"/>
        <w:left w:val="none" w:sz="0" w:space="0" w:color="auto"/>
        <w:bottom w:val="none" w:sz="0" w:space="0" w:color="auto"/>
        <w:right w:val="none" w:sz="0" w:space="0" w:color="auto"/>
      </w:divBdr>
    </w:div>
    <w:div w:id="1950699473">
      <w:bodyDiv w:val="1"/>
      <w:marLeft w:val="0"/>
      <w:marRight w:val="0"/>
      <w:marTop w:val="0"/>
      <w:marBottom w:val="0"/>
      <w:divBdr>
        <w:top w:val="none" w:sz="0" w:space="0" w:color="auto"/>
        <w:left w:val="none" w:sz="0" w:space="0" w:color="auto"/>
        <w:bottom w:val="none" w:sz="0" w:space="0" w:color="auto"/>
        <w:right w:val="none" w:sz="0" w:space="0" w:color="auto"/>
      </w:divBdr>
    </w:div>
    <w:div w:id="1972783356">
      <w:bodyDiv w:val="1"/>
      <w:marLeft w:val="0"/>
      <w:marRight w:val="0"/>
      <w:marTop w:val="0"/>
      <w:marBottom w:val="0"/>
      <w:divBdr>
        <w:top w:val="none" w:sz="0" w:space="0" w:color="auto"/>
        <w:left w:val="none" w:sz="0" w:space="0" w:color="auto"/>
        <w:bottom w:val="none" w:sz="0" w:space="0" w:color="auto"/>
        <w:right w:val="none" w:sz="0" w:space="0" w:color="auto"/>
      </w:divBdr>
    </w:div>
    <w:div w:id="1976107661">
      <w:bodyDiv w:val="1"/>
      <w:marLeft w:val="0"/>
      <w:marRight w:val="0"/>
      <w:marTop w:val="0"/>
      <w:marBottom w:val="0"/>
      <w:divBdr>
        <w:top w:val="none" w:sz="0" w:space="0" w:color="auto"/>
        <w:left w:val="none" w:sz="0" w:space="0" w:color="auto"/>
        <w:bottom w:val="none" w:sz="0" w:space="0" w:color="auto"/>
        <w:right w:val="none" w:sz="0" w:space="0" w:color="auto"/>
      </w:divBdr>
    </w:div>
    <w:div w:id="1990673668">
      <w:bodyDiv w:val="1"/>
      <w:marLeft w:val="0"/>
      <w:marRight w:val="0"/>
      <w:marTop w:val="0"/>
      <w:marBottom w:val="0"/>
      <w:divBdr>
        <w:top w:val="none" w:sz="0" w:space="0" w:color="auto"/>
        <w:left w:val="none" w:sz="0" w:space="0" w:color="auto"/>
        <w:bottom w:val="none" w:sz="0" w:space="0" w:color="auto"/>
        <w:right w:val="none" w:sz="0" w:space="0" w:color="auto"/>
      </w:divBdr>
    </w:div>
    <w:div w:id="2016766253">
      <w:bodyDiv w:val="1"/>
      <w:marLeft w:val="0"/>
      <w:marRight w:val="0"/>
      <w:marTop w:val="0"/>
      <w:marBottom w:val="0"/>
      <w:divBdr>
        <w:top w:val="none" w:sz="0" w:space="0" w:color="auto"/>
        <w:left w:val="none" w:sz="0" w:space="0" w:color="auto"/>
        <w:bottom w:val="none" w:sz="0" w:space="0" w:color="auto"/>
        <w:right w:val="none" w:sz="0" w:space="0" w:color="auto"/>
      </w:divBdr>
    </w:div>
    <w:div w:id="2092700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Comunicados/English/2004/20.04.htm" TargetMode="External"/><Relationship Id="rId13" Type="http://schemas.openxmlformats.org/officeDocument/2006/relationships/hyperlink" Target="https://documents-dds-ny.un.org/doc/UNDOC/GEN/G05/108/17/PDF/G0510817.pdf?OpenElement" TargetMode="External"/><Relationship Id="rId18" Type="http://schemas.openxmlformats.org/officeDocument/2006/relationships/hyperlink" Target="http://www.congreso.gob.gt/manager/%20images/91E9DEF7-5D94-7146-29A0-8AB105E3FC92.PDF" TargetMode="External"/><Relationship Id="rId3" Type="http://schemas.openxmlformats.org/officeDocument/2006/relationships/hyperlink" Target="http://www.iom.int/seguridad-fronteriza/lit/land/cap2_2.pdf" TargetMode="External"/><Relationship Id="rId7" Type="http://schemas.openxmlformats.org/officeDocument/2006/relationships/hyperlink" Target="https://undocs.org/CAT/C/GTM/CO/4" TargetMode="External"/><Relationship Id="rId12" Type="http://schemas.openxmlformats.org/officeDocument/2006/relationships/hyperlink" Target="https://documents-dds-ny.un.org/doc/UNDOC/GEN/G12/157/60/PDF/G1215760.pdf?OpenElement" TargetMode="External"/><Relationship Id="rId17" Type="http://schemas.openxmlformats.org/officeDocument/2006/relationships/hyperlink" Target="http://www.congreso.gob.gt/manager/%20images/4097B3FD-E522-0547-3042-D05791A99602.pdf" TargetMode="External"/><Relationship Id="rId2" Type="http://schemas.openxmlformats.org/officeDocument/2006/relationships/hyperlink" Target="http://www.congreso.gob.gt/manager/images/91E9DEF7-5D94-7146-29A0-8AB105E3FC92.PDF" TargetMode="External"/><Relationship Id="rId16" Type="http://schemas.openxmlformats.org/officeDocument/2006/relationships/hyperlink" Target="https://documents-dds-ny.un.org/doc/UNDOC/GEN/G12/157/60/PDF/G1215760.pdf?OpenElement" TargetMode="External"/><Relationship Id="rId1" Type="http://schemas.openxmlformats.org/officeDocument/2006/relationships/hyperlink" Target="http://www.corteidh.or.cr/docs/asuntos/velasquez_19_03_15.pdf" TargetMode="External"/><Relationship Id="rId6" Type="http://schemas.openxmlformats.org/officeDocument/2006/relationships/hyperlink" Target="http://docstore.ohchr.org/SelfServices/Files" TargetMode="External"/><Relationship Id="rId11" Type="http://schemas.openxmlformats.org/officeDocument/2006/relationships/hyperlink" Target="http://www.cidh.org/countryrep/Guate01eng/chap.13.htm" TargetMode="External"/><Relationship Id="rId5" Type="http://schemas.openxmlformats.org/officeDocument/2006/relationships/hyperlink" Target="http://www.unhchr.ch/huricane/huricane.nsf/view01/C7F2A41A172BC438C125717D0056605A?opendocument" TargetMode="External"/><Relationship Id="rId15" Type="http://schemas.openxmlformats.org/officeDocument/2006/relationships/hyperlink" Target="http://www.cidh.oas.org/Comunicados/English/2004/20.04.htm" TargetMode="External"/><Relationship Id="rId10" Type="http://schemas.openxmlformats.org/officeDocument/2006/relationships/hyperlink" Target="http://www.cidh.org/women/Access07/tocaccess.htm" TargetMode="External"/><Relationship Id="rId19" Type="http://schemas.openxmlformats.org/officeDocument/2006/relationships/hyperlink" Target="http://www.ine.gob.gt/np/snvcm/index" TargetMode="External"/><Relationship Id="rId4" Type="http://schemas.openxmlformats.org/officeDocument/2006/relationships/hyperlink" Target="https://documents-dds-ny.un.org/doc/UNDOC/GEN/G05/108/17/PDF/G0510817.pdf?OpenElement" TargetMode="External"/><Relationship Id="rId9" Type="http://schemas.openxmlformats.org/officeDocument/2006/relationships/hyperlink" Target="http://www.cidh.org/women/Access07/tocaccess.htm" TargetMode="External"/><Relationship Id="rId14" Type="http://schemas.openxmlformats.org/officeDocument/2006/relationships/hyperlink" Target="https://documents-dds-ny.un.org/doc/UNDOC/GEN/G06/105/38/PDF/G0610538.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35DF-2A97-43F3-95F2-D635B38DD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A4E8D9-CDF4-40B7-9787-6082D5122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F67C8-DDD7-476D-819A-574E63E73108}">
  <ds:schemaRefs>
    <ds:schemaRef ds:uri="http://schemas.microsoft.com/office/2006/metadata/longProperties"/>
  </ds:schemaRefs>
</ds:datastoreItem>
</file>

<file path=customXml/itemProps4.xml><?xml version="1.0" encoding="utf-8"?>
<ds:datastoreItem xmlns:ds="http://schemas.openxmlformats.org/officeDocument/2006/customXml" ds:itemID="{EE00A6D5-617A-42C4-A411-5108082D4BC1}">
  <ds:schemaRefs>
    <ds:schemaRef ds:uri="http://schemas.microsoft.com/sharepoint/v3/contenttype/forms"/>
  </ds:schemaRefs>
</ds:datastoreItem>
</file>

<file path=customXml/itemProps5.xml><?xml version="1.0" encoding="utf-8"?>
<ds:datastoreItem xmlns:ds="http://schemas.openxmlformats.org/officeDocument/2006/customXml" ds:itemID="{6510ED1A-E04E-47C5-923C-D7FAD482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55121</Words>
  <Characters>303169</Characters>
  <Application>Microsoft Office Word</Application>
  <DocSecurity>0</DocSecurity>
  <Lines>2526</Lines>
  <Paragraphs>715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357575</CharactersWithSpaces>
  <SharedDoc>false</SharedDoc>
  <HLinks>
    <vt:vector size="438" baseType="variant">
      <vt:variant>
        <vt:i4>1376310</vt:i4>
      </vt:variant>
      <vt:variant>
        <vt:i4>368</vt:i4>
      </vt:variant>
      <vt:variant>
        <vt:i4>0</vt:i4>
      </vt:variant>
      <vt:variant>
        <vt:i4>5</vt:i4>
      </vt:variant>
      <vt:variant>
        <vt:lpwstr/>
      </vt:variant>
      <vt:variant>
        <vt:lpwstr>_Toc437425706</vt:lpwstr>
      </vt:variant>
      <vt:variant>
        <vt:i4>1376310</vt:i4>
      </vt:variant>
      <vt:variant>
        <vt:i4>362</vt:i4>
      </vt:variant>
      <vt:variant>
        <vt:i4>0</vt:i4>
      </vt:variant>
      <vt:variant>
        <vt:i4>5</vt:i4>
      </vt:variant>
      <vt:variant>
        <vt:lpwstr/>
      </vt:variant>
      <vt:variant>
        <vt:lpwstr>_Toc437425704</vt:lpwstr>
      </vt:variant>
      <vt:variant>
        <vt:i4>1376310</vt:i4>
      </vt:variant>
      <vt:variant>
        <vt:i4>356</vt:i4>
      </vt:variant>
      <vt:variant>
        <vt:i4>0</vt:i4>
      </vt:variant>
      <vt:variant>
        <vt:i4>5</vt:i4>
      </vt:variant>
      <vt:variant>
        <vt:lpwstr/>
      </vt:variant>
      <vt:variant>
        <vt:lpwstr>_Toc437425703</vt:lpwstr>
      </vt:variant>
      <vt:variant>
        <vt:i4>1376310</vt:i4>
      </vt:variant>
      <vt:variant>
        <vt:i4>350</vt:i4>
      </vt:variant>
      <vt:variant>
        <vt:i4>0</vt:i4>
      </vt:variant>
      <vt:variant>
        <vt:i4>5</vt:i4>
      </vt:variant>
      <vt:variant>
        <vt:lpwstr/>
      </vt:variant>
      <vt:variant>
        <vt:lpwstr>_Toc437425702</vt:lpwstr>
      </vt:variant>
      <vt:variant>
        <vt:i4>1376310</vt:i4>
      </vt:variant>
      <vt:variant>
        <vt:i4>344</vt:i4>
      </vt:variant>
      <vt:variant>
        <vt:i4>0</vt:i4>
      </vt:variant>
      <vt:variant>
        <vt:i4>5</vt:i4>
      </vt:variant>
      <vt:variant>
        <vt:lpwstr/>
      </vt:variant>
      <vt:variant>
        <vt:lpwstr>_Toc437425701</vt:lpwstr>
      </vt:variant>
      <vt:variant>
        <vt:i4>1376310</vt:i4>
      </vt:variant>
      <vt:variant>
        <vt:i4>338</vt:i4>
      </vt:variant>
      <vt:variant>
        <vt:i4>0</vt:i4>
      </vt:variant>
      <vt:variant>
        <vt:i4>5</vt:i4>
      </vt:variant>
      <vt:variant>
        <vt:lpwstr/>
      </vt:variant>
      <vt:variant>
        <vt:lpwstr>_Toc437425700</vt:lpwstr>
      </vt:variant>
      <vt:variant>
        <vt:i4>1835063</vt:i4>
      </vt:variant>
      <vt:variant>
        <vt:i4>332</vt:i4>
      </vt:variant>
      <vt:variant>
        <vt:i4>0</vt:i4>
      </vt:variant>
      <vt:variant>
        <vt:i4>5</vt:i4>
      </vt:variant>
      <vt:variant>
        <vt:lpwstr/>
      </vt:variant>
      <vt:variant>
        <vt:lpwstr>_Toc437425699</vt:lpwstr>
      </vt:variant>
      <vt:variant>
        <vt:i4>1835063</vt:i4>
      </vt:variant>
      <vt:variant>
        <vt:i4>326</vt:i4>
      </vt:variant>
      <vt:variant>
        <vt:i4>0</vt:i4>
      </vt:variant>
      <vt:variant>
        <vt:i4>5</vt:i4>
      </vt:variant>
      <vt:variant>
        <vt:lpwstr/>
      </vt:variant>
      <vt:variant>
        <vt:lpwstr>_Toc437425698</vt:lpwstr>
      </vt:variant>
      <vt:variant>
        <vt:i4>1835063</vt:i4>
      </vt:variant>
      <vt:variant>
        <vt:i4>320</vt:i4>
      </vt:variant>
      <vt:variant>
        <vt:i4>0</vt:i4>
      </vt:variant>
      <vt:variant>
        <vt:i4>5</vt:i4>
      </vt:variant>
      <vt:variant>
        <vt:lpwstr/>
      </vt:variant>
      <vt:variant>
        <vt:lpwstr>_Toc437425697</vt:lpwstr>
      </vt:variant>
      <vt:variant>
        <vt:i4>1835063</vt:i4>
      </vt:variant>
      <vt:variant>
        <vt:i4>314</vt:i4>
      </vt:variant>
      <vt:variant>
        <vt:i4>0</vt:i4>
      </vt:variant>
      <vt:variant>
        <vt:i4>5</vt:i4>
      </vt:variant>
      <vt:variant>
        <vt:lpwstr/>
      </vt:variant>
      <vt:variant>
        <vt:lpwstr>_Toc437425696</vt:lpwstr>
      </vt:variant>
      <vt:variant>
        <vt:i4>1835063</vt:i4>
      </vt:variant>
      <vt:variant>
        <vt:i4>308</vt:i4>
      </vt:variant>
      <vt:variant>
        <vt:i4>0</vt:i4>
      </vt:variant>
      <vt:variant>
        <vt:i4>5</vt:i4>
      </vt:variant>
      <vt:variant>
        <vt:lpwstr/>
      </vt:variant>
      <vt:variant>
        <vt:lpwstr>_Toc437425695</vt:lpwstr>
      </vt:variant>
      <vt:variant>
        <vt:i4>1835063</vt:i4>
      </vt:variant>
      <vt:variant>
        <vt:i4>302</vt:i4>
      </vt:variant>
      <vt:variant>
        <vt:i4>0</vt:i4>
      </vt:variant>
      <vt:variant>
        <vt:i4>5</vt:i4>
      </vt:variant>
      <vt:variant>
        <vt:lpwstr/>
      </vt:variant>
      <vt:variant>
        <vt:lpwstr>_Toc437425694</vt:lpwstr>
      </vt:variant>
      <vt:variant>
        <vt:i4>1835063</vt:i4>
      </vt:variant>
      <vt:variant>
        <vt:i4>296</vt:i4>
      </vt:variant>
      <vt:variant>
        <vt:i4>0</vt:i4>
      </vt:variant>
      <vt:variant>
        <vt:i4>5</vt:i4>
      </vt:variant>
      <vt:variant>
        <vt:lpwstr/>
      </vt:variant>
      <vt:variant>
        <vt:lpwstr>_Toc437425693</vt:lpwstr>
      </vt:variant>
      <vt:variant>
        <vt:i4>1835063</vt:i4>
      </vt:variant>
      <vt:variant>
        <vt:i4>290</vt:i4>
      </vt:variant>
      <vt:variant>
        <vt:i4>0</vt:i4>
      </vt:variant>
      <vt:variant>
        <vt:i4>5</vt:i4>
      </vt:variant>
      <vt:variant>
        <vt:lpwstr/>
      </vt:variant>
      <vt:variant>
        <vt:lpwstr>_Toc437425692</vt:lpwstr>
      </vt:variant>
      <vt:variant>
        <vt:i4>1835063</vt:i4>
      </vt:variant>
      <vt:variant>
        <vt:i4>284</vt:i4>
      </vt:variant>
      <vt:variant>
        <vt:i4>0</vt:i4>
      </vt:variant>
      <vt:variant>
        <vt:i4>5</vt:i4>
      </vt:variant>
      <vt:variant>
        <vt:lpwstr/>
      </vt:variant>
      <vt:variant>
        <vt:lpwstr>_Toc437425691</vt:lpwstr>
      </vt:variant>
      <vt:variant>
        <vt:i4>1835063</vt:i4>
      </vt:variant>
      <vt:variant>
        <vt:i4>278</vt:i4>
      </vt:variant>
      <vt:variant>
        <vt:i4>0</vt:i4>
      </vt:variant>
      <vt:variant>
        <vt:i4>5</vt:i4>
      </vt:variant>
      <vt:variant>
        <vt:lpwstr/>
      </vt:variant>
      <vt:variant>
        <vt:lpwstr>_Toc437425690</vt:lpwstr>
      </vt:variant>
      <vt:variant>
        <vt:i4>1900599</vt:i4>
      </vt:variant>
      <vt:variant>
        <vt:i4>272</vt:i4>
      </vt:variant>
      <vt:variant>
        <vt:i4>0</vt:i4>
      </vt:variant>
      <vt:variant>
        <vt:i4>5</vt:i4>
      </vt:variant>
      <vt:variant>
        <vt:lpwstr/>
      </vt:variant>
      <vt:variant>
        <vt:lpwstr>_Toc437425689</vt:lpwstr>
      </vt:variant>
      <vt:variant>
        <vt:i4>1900599</vt:i4>
      </vt:variant>
      <vt:variant>
        <vt:i4>266</vt:i4>
      </vt:variant>
      <vt:variant>
        <vt:i4>0</vt:i4>
      </vt:variant>
      <vt:variant>
        <vt:i4>5</vt:i4>
      </vt:variant>
      <vt:variant>
        <vt:lpwstr/>
      </vt:variant>
      <vt:variant>
        <vt:lpwstr>_Toc437425688</vt:lpwstr>
      </vt:variant>
      <vt:variant>
        <vt:i4>1900599</vt:i4>
      </vt:variant>
      <vt:variant>
        <vt:i4>260</vt:i4>
      </vt:variant>
      <vt:variant>
        <vt:i4>0</vt:i4>
      </vt:variant>
      <vt:variant>
        <vt:i4>5</vt:i4>
      </vt:variant>
      <vt:variant>
        <vt:lpwstr/>
      </vt:variant>
      <vt:variant>
        <vt:lpwstr>_Toc437425687</vt:lpwstr>
      </vt:variant>
      <vt:variant>
        <vt:i4>1900599</vt:i4>
      </vt:variant>
      <vt:variant>
        <vt:i4>254</vt:i4>
      </vt:variant>
      <vt:variant>
        <vt:i4>0</vt:i4>
      </vt:variant>
      <vt:variant>
        <vt:i4>5</vt:i4>
      </vt:variant>
      <vt:variant>
        <vt:lpwstr/>
      </vt:variant>
      <vt:variant>
        <vt:lpwstr>_Toc437425686</vt:lpwstr>
      </vt:variant>
      <vt:variant>
        <vt:i4>1900599</vt:i4>
      </vt:variant>
      <vt:variant>
        <vt:i4>248</vt:i4>
      </vt:variant>
      <vt:variant>
        <vt:i4>0</vt:i4>
      </vt:variant>
      <vt:variant>
        <vt:i4>5</vt:i4>
      </vt:variant>
      <vt:variant>
        <vt:lpwstr/>
      </vt:variant>
      <vt:variant>
        <vt:lpwstr>_Toc437425685</vt:lpwstr>
      </vt:variant>
      <vt:variant>
        <vt:i4>1900599</vt:i4>
      </vt:variant>
      <vt:variant>
        <vt:i4>242</vt:i4>
      </vt:variant>
      <vt:variant>
        <vt:i4>0</vt:i4>
      </vt:variant>
      <vt:variant>
        <vt:i4>5</vt:i4>
      </vt:variant>
      <vt:variant>
        <vt:lpwstr/>
      </vt:variant>
      <vt:variant>
        <vt:lpwstr>_Toc437425684</vt:lpwstr>
      </vt:variant>
      <vt:variant>
        <vt:i4>1900599</vt:i4>
      </vt:variant>
      <vt:variant>
        <vt:i4>236</vt:i4>
      </vt:variant>
      <vt:variant>
        <vt:i4>0</vt:i4>
      </vt:variant>
      <vt:variant>
        <vt:i4>5</vt:i4>
      </vt:variant>
      <vt:variant>
        <vt:lpwstr/>
      </vt:variant>
      <vt:variant>
        <vt:lpwstr>_Toc437425683</vt:lpwstr>
      </vt:variant>
      <vt:variant>
        <vt:i4>1900599</vt:i4>
      </vt:variant>
      <vt:variant>
        <vt:i4>230</vt:i4>
      </vt:variant>
      <vt:variant>
        <vt:i4>0</vt:i4>
      </vt:variant>
      <vt:variant>
        <vt:i4>5</vt:i4>
      </vt:variant>
      <vt:variant>
        <vt:lpwstr/>
      </vt:variant>
      <vt:variant>
        <vt:lpwstr>_Toc437425681</vt:lpwstr>
      </vt:variant>
      <vt:variant>
        <vt:i4>1900599</vt:i4>
      </vt:variant>
      <vt:variant>
        <vt:i4>224</vt:i4>
      </vt:variant>
      <vt:variant>
        <vt:i4>0</vt:i4>
      </vt:variant>
      <vt:variant>
        <vt:i4>5</vt:i4>
      </vt:variant>
      <vt:variant>
        <vt:lpwstr/>
      </vt:variant>
      <vt:variant>
        <vt:lpwstr>_Toc437425680</vt:lpwstr>
      </vt:variant>
      <vt:variant>
        <vt:i4>1179703</vt:i4>
      </vt:variant>
      <vt:variant>
        <vt:i4>218</vt:i4>
      </vt:variant>
      <vt:variant>
        <vt:i4>0</vt:i4>
      </vt:variant>
      <vt:variant>
        <vt:i4>5</vt:i4>
      </vt:variant>
      <vt:variant>
        <vt:lpwstr/>
      </vt:variant>
      <vt:variant>
        <vt:lpwstr>_Toc437425679</vt:lpwstr>
      </vt:variant>
      <vt:variant>
        <vt:i4>1179703</vt:i4>
      </vt:variant>
      <vt:variant>
        <vt:i4>212</vt:i4>
      </vt:variant>
      <vt:variant>
        <vt:i4>0</vt:i4>
      </vt:variant>
      <vt:variant>
        <vt:i4>5</vt:i4>
      </vt:variant>
      <vt:variant>
        <vt:lpwstr/>
      </vt:variant>
      <vt:variant>
        <vt:lpwstr>_Toc437425678</vt:lpwstr>
      </vt:variant>
      <vt:variant>
        <vt:i4>1179703</vt:i4>
      </vt:variant>
      <vt:variant>
        <vt:i4>206</vt:i4>
      </vt:variant>
      <vt:variant>
        <vt:i4>0</vt:i4>
      </vt:variant>
      <vt:variant>
        <vt:i4>5</vt:i4>
      </vt:variant>
      <vt:variant>
        <vt:lpwstr/>
      </vt:variant>
      <vt:variant>
        <vt:lpwstr>_Toc437425677</vt:lpwstr>
      </vt:variant>
      <vt:variant>
        <vt:i4>1179703</vt:i4>
      </vt:variant>
      <vt:variant>
        <vt:i4>200</vt:i4>
      </vt:variant>
      <vt:variant>
        <vt:i4>0</vt:i4>
      </vt:variant>
      <vt:variant>
        <vt:i4>5</vt:i4>
      </vt:variant>
      <vt:variant>
        <vt:lpwstr/>
      </vt:variant>
      <vt:variant>
        <vt:lpwstr>_Toc437425676</vt:lpwstr>
      </vt:variant>
      <vt:variant>
        <vt:i4>1179703</vt:i4>
      </vt:variant>
      <vt:variant>
        <vt:i4>194</vt:i4>
      </vt:variant>
      <vt:variant>
        <vt:i4>0</vt:i4>
      </vt:variant>
      <vt:variant>
        <vt:i4>5</vt:i4>
      </vt:variant>
      <vt:variant>
        <vt:lpwstr/>
      </vt:variant>
      <vt:variant>
        <vt:lpwstr>_Toc437425675</vt:lpwstr>
      </vt:variant>
      <vt:variant>
        <vt:i4>1179703</vt:i4>
      </vt:variant>
      <vt:variant>
        <vt:i4>188</vt:i4>
      </vt:variant>
      <vt:variant>
        <vt:i4>0</vt:i4>
      </vt:variant>
      <vt:variant>
        <vt:i4>5</vt:i4>
      </vt:variant>
      <vt:variant>
        <vt:lpwstr/>
      </vt:variant>
      <vt:variant>
        <vt:lpwstr>_Toc437425674</vt:lpwstr>
      </vt:variant>
      <vt:variant>
        <vt:i4>1179703</vt:i4>
      </vt:variant>
      <vt:variant>
        <vt:i4>182</vt:i4>
      </vt:variant>
      <vt:variant>
        <vt:i4>0</vt:i4>
      </vt:variant>
      <vt:variant>
        <vt:i4>5</vt:i4>
      </vt:variant>
      <vt:variant>
        <vt:lpwstr/>
      </vt:variant>
      <vt:variant>
        <vt:lpwstr>_Toc437425673</vt:lpwstr>
      </vt:variant>
      <vt:variant>
        <vt:i4>1179703</vt:i4>
      </vt:variant>
      <vt:variant>
        <vt:i4>176</vt:i4>
      </vt:variant>
      <vt:variant>
        <vt:i4>0</vt:i4>
      </vt:variant>
      <vt:variant>
        <vt:i4>5</vt:i4>
      </vt:variant>
      <vt:variant>
        <vt:lpwstr/>
      </vt:variant>
      <vt:variant>
        <vt:lpwstr>_Toc437425672</vt:lpwstr>
      </vt:variant>
      <vt:variant>
        <vt:i4>1179703</vt:i4>
      </vt:variant>
      <vt:variant>
        <vt:i4>170</vt:i4>
      </vt:variant>
      <vt:variant>
        <vt:i4>0</vt:i4>
      </vt:variant>
      <vt:variant>
        <vt:i4>5</vt:i4>
      </vt:variant>
      <vt:variant>
        <vt:lpwstr/>
      </vt:variant>
      <vt:variant>
        <vt:lpwstr>_Toc437425671</vt:lpwstr>
      </vt:variant>
      <vt:variant>
        <vt:i4>1179703</vt:i4>
      </vt:variant>
      <vt:variant>
        <vt:i4>164</vt:i4>
      </vt:variant>
      <vt:variant>
        <vt:i4>0</vt:i4>
      </vt:variant>
      <vt:variant>
        <vt:i4>5</vt:i4>
      </vt:variant>
      <vt:variant>
        <vt:lpwstr/>
      </vt:variant>
      <vt:variant>
        <vt:lpwstr>_Toc437425670</vt:lpwstr>
      </vt:variant>
      <vt:variant>
        <vt:i4>1245239</vt:i4>
      </vt:variant>
      <vt:variant>
        <vt:i4>158</vt:i4>
      </vt:variant>
      <vt:variant>
        <vt:i4>0</vt:i4>
      </vt:variant>
      <vt:variant>
        <vt:i4>5</vt:i4>
      </vt:variant>
      <vt:variant>
        <vt:lpwstr/>
      </vt:variant>
      <vt:variant>
        <vt:lpwstr>_Toc437425669</vt:lpwstr>
      </vt:variant>
      <vt:variant>
        <vt:i4>1245239</vt:i4>
      </vt:variant>
      <vt:variant>
        <vt:i4>152</vt:i4>
      </vt:variant>
      <vt:variant>
        <vt:i4>0</vt:i4>
      </vt:variant>
      <vt:variant>
        <vt:i4>5</vt:i4>
      </vt:variant>
      <vt:variant>
        <vt:lpwstr/>
      </vt:variant>
      <vt:variant>
        <vt:lpwstr>_Toc437425668</vt:lpwstr>
      </vt:variant>
      <vt:variant>
        <vt:i4>1245239</vt:i4>
      </vt:variant>
      <vt:variant>
        <vt:i4>146</vt:i4>
      </vt:variant>
      <vt:variant>
        <vt:i4>0</vt:i4>
      </vt:variant>
      <vt:variant>
        <vt:i4>5</vt:i4>
      </vt:variant>
      <vt:variant>
        <vt:lpwstr/>
      </vt:variant>
      <vt:variant>
        <vt:lpwstr>_Toc437425667</vt:lpwstr>
      </vt:variant>
      <vt:variant>
        <vt:i4>1245239</vt:i4>
      </vt:variant>
      <vt:variant>
        <vt:i4>140</vt:i4>
      </vt:variant>
      <vt:variant>
        <vt:i4>0</vt:i4>
      </vt:variant>
      <vt:variant>
        <vt:i4>5</vt:i4>
      </vt:variant>
      <vt:variant>
        <vt:lpwstr/>
      </vt:variant>
      <vt:variant>
        <vt:lpwstr>_Toc437425666</vt:lpwstr>
      </vt:variant>
      <vt:variant>
        <vt:i4>1245239</vt:i4>
      </vt:variant>
      <vt:variant>
        <vt:i4>134</vt:i4>
      </vt:variant>
      <vt:variant>
        <vt:i4>0</vt:i4>
      </vt:variant>
      <vt:variant>
        <vt:i4>5</vt:i4>
      </vt:variant>
      <vt:variant>
        <vt:lpwstr/>
      </vt:variant>
      <vt:variant>
        <vt:lpwstr>_Toc437425665</vt:lpwstr>
      </vt:variant>
      <vt:variant>
        <vt:i4>1245239</vt:i4>
      </vt:variant>
      <vt:variant>
        <vt:i4>128</vt:i4>
      </vt:variant>
      <vt:variant>
        <vt:i4>0</vt:i4>
      </vt:variant>
      <vt:variant>
        <vt:i4>5</vt:i4>
      </vt:variant>
      <vt:variant>
        <vt:lpwstr/>
      </vt:variant>
      <vt:variant>
        <vt:lpwstr>_Toc437425664</vt:lpwstr>
      </vt:variant>
      <vt:variant>
        <vt:i4>1245239</vt:i4>
      </vt:variant>
      <vt:variant>
        <vt:i4>122</vt:i4>
      </vt:variant>
      <vt:variant>
        <vt:i4>0</vt:i4>
      </vt:variant>
      <vt:variant>
        <vt:i4>5</vt:i4>
      </vt:variant>
      <vt:variant>
        <vt:lpwstr/>
      </vt:variant>
      <vt:variant>
        <vt:lpwstr>_Toc437425663</vt:lpwstr>
      </vt:variant>
      <vt:variant>
        <vt:i4>1245239</vt:i4>
      </vt:variant>
      <vt:variant>
        <vt:i4>116</vt:i4>
      </vt:variant>
      <vt:variant>
        <vt:i4>0</vt:i4>
      </vt:variant>
      <vt:variant>
        <vt:i4>5</vt:i4>
      </vt:variant>
      <vt:variant>
        <vt:lpwstr/>
      </vt:variant>
      <vt:variant>
        <vt:lpwstr>_Toc437425662</vt:lpwstr>
      </vt:variant>
      <vt:variant>
        <vt:i4>1245239</vt:i4>
      </vt:variant>
      <vt:variant>
        <vt:i4>110</vt:i4>
      </vt:variant>
      <vt:variant>
        <vt:i4>0</vt:i4>
      </vt:variant>
      <vt:variant>
        <vt:i4>5</vt:i4>
      </vt:variant>
      <vt:variant>
        <vt:lpwstr/>
      </vt:variant>
      <vt:variant>
        <vt:lpwstr>_Toc437425661</vt:lpwstr>
      </vt:variant>
      <vt:variant>
        <vt:i4>1245239</vt:i4>
      </vt:variant>
      <vt:variant>
        <vt:i4>104</vt:i4>
      </vt:variant>
      <vt:variant>
        <vt:i4>0</vt:i4>
      </vt:variant>
      <vt:variant>
        <vt:i4>5</vt:i4>
      </vt:variant>
      <vt:variant>
        <vt:lpwstr/>
      </vt:variant>
      <vt:variant>
        <vt:lpwstr>_Toc437425660</vt:lpwstr>
      </vt:variant>
      <vt:variant>
        <vt:i4>1048631</vt:i4>
      </vt:variant>
      <vt:variant>
        <vt:i4>98</vt:i4>
      </vt:variant>
      <vt:variant>
        <vt:i4>0</vt:i4>
      </vt:variant>
      <vt:variant>
        <vt:i4>5</vt:i4>
      </vt:variant>
      <vt:variant>
        <vt:lpwstr/>
      </vt:variant>
      <vt:variant>
        <vt:lpwstr>_Toc437425659</vt:lpwstr>
      </vt:variant>
      <vt:variant>
        <vt:i4>1048631</vt:i4>
      </vt:variant>
      <vt:variant>
        <vt:i4>92</vt:i4>
      </vt:variant>
      <vt:variant>
        <vt:i4>0</vt:i4>
      </vt:variant>
      <vt:variant>
        <vt:i4>5</vt:i4>
      </vt:variant>
      <vt:variant>
        <vt:lpwstr/>
      </vt:variant>
      <vt:variant>
        <vt:lpwstr>_Toc437425657</vt:lpwstr>
      </vt:variant>
      <vt:variant>
        <vt:i4>1048631</vt:i4>
      </vt:variant>
      <vt:variant>
        <vt:i4>86</vt:i4>
      </vt:variant>
      <vt:variant>
        <vt:i4>0</vt:i4>
      </vt:variant>
      <vt:variant>
        <vt:i4>5</vt:i4>
      </vt:variant>
      <vt:variant>
        <vt:lpwstr/>
      </vt:variant>
      <vt:variant>
        <vt:lpwstr>_Toc437425656</vt:lpwstr>
      </vt:variant>
      <vt:variant>
        <vt:i4>1048631</vt:i4>
      </vt:variant>
      <vt:variant>
        <vt:i4>80</vt:i4>
      </vt:variant>
      <vt:variant>
        <vt:i4>0</vt:i4>
      </vt:variant>
      <vt:variant>
        <vt:i4>5</vt:i4>
      </vt:variant>
      <vt:variant>
        <vt:lpwstr/>
      </vt:variant>
      <vt:variant>
        <vt:lpwstr>_Toc437425655</vt:lpwstr>
      </vt:variant>
      <vt:variant>
        <vt:i4>1048631</vt:i4>
      </vt:variant>
      <vt:variant>
        <vt:i4>74</vt:i4>
      </vt:variant>
      <vt:variant>
        <vt:i4>0</vt:i4>
      </vt:variant>
      <vt:variant>
        <vt:i4>5</vt:i4>
      </vt:variant>
      <vt:variant>
        <vt:lpwstr/>
      </vt:variant>
      <vt:variant>
        <vt:lpwstr>_Toc437425654</vt:lpwstr>
      </vt:variant>
      <vt:variant>
        <vt:i4>1048631</vt:i4>
      </vt:variant>
      <vt:variant>
        <vt:i4>68</vt:i4>
      </vt:variant>
      <vt:variant>
        <vt:i4>0</vt:i4>
      </vt:variant>
      <vt:variant>
        <vt:i4>5</vt:i4>
      </vt:variant>
      <vt:variant>
        <vt:lpwstr/>
      </vt:variant>
      <vt:variant>
        <vt:lpwstr>_Toc437425653</vt:lpwstr>
      </vt:variant>
      <vt:variant>
        <vt:i4>1048631</vt:i4>
      </vt:variant>
      <vt:variant>
        <vt:i4>62</vt:i4>
      </vt:variant>
      <vt:variant>
        <vt:i4>0</vt:i4>
      </vt:variant>
      <vt:variant>
        <vt:i4>5</vt:i4>
      </vt:variant>
      <vt:variant>
        <vt:lpwstr/>
      </vt:variant>
      <vt:variant>
        <vt:lpwstr>_Toc437425652</vt:lpwstr>
      </vt:variant>
      <vt:variant>
        <vt:i4>1048631</vt:i4>
      </vt:variant>
      <vt:variant>
        <vt:i4>56</vt:i4>
      </vt:variant>
      <vt:variant>
        <vt:i4>0</vt:i4>
      </vt:variant>
      <vt:variant>
        <vt:i4>5</vt:i4>
      </vt:variant>
      <vt:variant>
        <vt:lpwstr/>
      </vt:variant>
      <vt:variant>
        <vt:lpwstr>_Toc437425650</vt:lpwstr>
      </vt:variant>
      <vt:variant>
        <vt:i4>1114167</vt:i4>
      </vt:variant>
      <vt:variant>
        <vt:i4>50</vt:i4>
      </vt:variant>
      <vt:variant>
        <vt:i4>0</vt:i4>
      </vt:variant>
      <vt:variant>
        <vt:i4>5</vt:i4>
      </vt:variant>
      <vt:variant>
        <vt:lpwstr/>
      </vt:variant>
      <vt:variant>
        <vt:lpwstr>_Toc437425649</vt:lpwstr>
      </vt:variant>
      <vt:variant>
        <vt:i4>1114167</vt:i4>
      </vt:variant>
      <vt:variant>
        <vt:i4>44</vt:i4>
      </vt:variant>
      <vt:variant>
        <vt:i4>0</vt:i4>
      </vt:variant>
      <vt:variant>
        <vt:i4>5</vt:i4>
      </vt:variant>
      <vt:variant>
        <vt:lpwstr/>
      </vt:variant>
      <vt:variant>
        <vt:lpwstr>_Toc437425648</vt:lpwstr>
      </vt:variant>
      <vt:variant>
        <vt:i4>1114167</vt:i4>
      </vt:variant>
      <vt:variant>
        <vt:i4>38</vt:i4>
      </vt:variant>
      <vt:variant>
        <vt:i4>0</vt:i4>
      </vt:variant>
      <vt:variant>
        <vt:i4>5</vt:i4>
      </vt:variant>
      <vt:variant>
        <vt:lpwstr/>
      </vt:variant>
      <vt:variant>
        <vt:lpwstr>_Toc437425647</vt:lpwstr>
      </vt:variant>
      <vt:variant>
        <vt:i4>1114167</vt:i4>
      </vt:variant>
      <vt:variant>
        <vt:i4>32</vt:i4>
      </vt:variant>
      <vt:variant>
        <vt:i4>0</vt:i4>
      </vt:variant>
      <vt:variant>
        <vt:i4>5</vt:i4>
      </vt:variant>
      <vt:variant>
        <vt:lpwstr/>
      </vt:variant>
      <vt:variant>
        <vt:lpwstr>_Toc437425646</vt:lpwstr>
      </vt:variant>
      <vt:variant>
        <vt:i4>1114167</vt:i4>
      </vt:variant>
      <vt:variant>
        <vt:i4>26</vt:i4>
      </vt:variant>
      <vt:variant>
        <vt:i4>0</vt:i4>
      </vt:variant>
      <vt:variant>
        <vt:i4>5</vt:i4>
      </vt:variant>
      <vt:variant>
        <vt:lpwstr/>
      </vt:variant>
      <vt:variant>
        <vt:lpwstr>_Toc437425645</vt:lpwstr>
      </vt:variant>
      <vt:variant>
        <vt:i4>1114167</vt:i4>
      </vt:variant>
      <vt:variant>
        <vt:i4>20</vt:i4>
      </vt:variant>
      <vt:variant>
        <vt:i4>0</vt:i4>
      </vt:variant>
      <vt:variant>
        <vt:i4>5</vt:i4>
      </vt:variant>
      <vt:variant>
        <vt:lpwstr/>
      </vt:variant>
      <vt:variant>
        <vt:lpwstr>_Toc437425644</vt:lpwstr>
      </vt:variant>
      <vt:variant>
        <vt:i4>1114167</vt:i4>
      </vt:variant>
      <vt:variant>
        <vt:i4>14</vt:i4>
      </vt:variant>
      <vt:variant>
        <vt:i4>0</vt:i4>
      </vt:variant>
      <vt:variant>
        <vt:i4>5</vt:i4>
      </vt:variant>
      <vt:variant>
        <vt:lpwstr/>
      </vt:variant>
      <vt:variant>
        <vt:lpwstr>_Toc437425643</vt:lpwstr>
      </vt:variant>
      <vt:variant>
        <vt:i4>1114167</vt:i4>
      </vt:variant>
      <vt:variant>
        <vt:i4>8</vt:i4>
      </vt:variant>
      <vt:variant>
        <vt:i4>0</vt:i4>
      </vt:variant>
      <vt:variant>
        <vt:i4>5</vt:i4>
      </vt:variant>
      <vt:variant>
        <vt:lpwstr/>
      </vt:variant>
      <vt:variant>
        <vt:lpwstr>_Toc437425642</vt:lpwstr>
      </vt:variant>
      <vt:variant>
        <vt:i4>1114167</vt:i4>
      </vt:variant>
      <vt:variant>
        <vt:i4>2</vt:i4>
      </vt:variant>
      <vt:variant>
        <vt:i4>0</vt:i4>
      </vt:variant>
      <vt:variant>
        <vt:i4>5</vt:i4>
      </vt:variant>
      <vt:variant>
        <vt:lpwstr/>
      </vt:variant>
      <vt:variant>
        <vt:lpwstr>_Toc437425641</vt:lpwstr>
      </vt:variant>
      <vt:variant>
        <vt:i4>458829</vt:i4>
      </vt:variant>
      <vt:variant>
        <vt:i4>33</vt:i4>
      </vt:variant>
      <vt:variant>
        <vt:i4>0</vt:i4>
      </vt:variant>
      <vt:variant>
        <vt:i4>5</vt:i4>
      </vt:variant>
      <vt:variant>
        <vt:lpwstr>http://www.ine.gob.gt/np/snvcm/index</vt:lpwstr>
      </vt:variant>
      <vt:variant>
        <vt:lpwstr/>
      </vt:variant>
      <vt:variant>
        <vt:i4>8060978</vt:i4>
      </vt:variant>
      <vt:variant>
        <vt:i4>30</vt:i4>
      </vt:variant>
      <vt:variant>
        <vt:i4>0</vt:i4>
      </vt:variant>
      <vt:variant>
        <vt:i4>5</vt:i4>
      </vt:variant>
      <vt:variant>
        <vt:lpwstr>http://www.congreso.gob.gt/manager/images/91E9DEF7-5D94-7146-29A0-8AB105E3FC92.PDF</vt:lpwstr>
      </vt:variant>
      <vt:variant>
        <vt:lpwstr/>
      </vt:variant>
      <vt:variant>
        <vt:i4>2687029</vt:i4>
      </vt:variant>
      <vt:variant>
        <vt:i4>27</vt:i4>
      </vt:variant>
      <vt:variant>
        <vt:i4>0</vt:i4>
      </vt:variant>
      <vt:variant>
        <vt:i4>5</vt:i4>
      </vt:variant>
      <vt:variant>
        <vt:lpwstr>http://www.cidh.oas.org/Comunicados/Spanish/2004/20.04.htm</vt:lpwstr>
      </vt:variant>
      <vt:variant>
        <vt:lpwstr/>
      </vt:variant>
      <vt:variant>
        <vt:i4>3670126</vt:i4>
      </vt:variant>
      <vt:variant>
        <vt:i4>24</vt:i4>
      </vt:variant>
      <vt:variant>
        <vt:i4>0</vt:i4>
      </vt:variant>
      <vt:variant>
        <vt:i4>5</vt:i4>
      </vt:variant>
      <vt:variant>
        <vt:lpwstr>http://www.cidh.org/countryrep/guatemala01sp/indice.htm</vt:lpwstr>
      </vt:variant>
      <vt:variant>
        <vt:lpwstr/>
      </vt:variant>
      <vt:variant>
        <vt:i4>2687029</vt:i4>
      </vt:variant>
      <vt:variant>
        <vt:i4>21</vt:i4>
      </vt:variant>
      <vt:variant>
        <vt:i4>0</vt:i4>
      </vt:variant>
      <vt:variant>
        <vt:i4>5</vt:i4>
      </vt:variant>
      <vt:variant>
        <vt:lpwstr>http://www.cidh.oas.org/Comunicados/Spanish/2004/20.04.htm</vt:lpwstr>
      </vt:variant>
      <vt:variant>
        <vt:lpwstr/>
      </vt:variant>
      <vt:variant>
        <vt:i4>6160410</vt:i4>
      </vt:variant>
      <vt:variant>
        <vt:i4>18</vt:i4>
      </vt:variant>
      <vt:variant>
        <vt:i4>0</vt:i4>
      </vt:variant>
      <vt:variant>
        <vt:i4>5</vt:i4>
      </vt:variant>
      <vt:variant>
        <vt:lpwstr>http://www.cidh.org/pdf files/Informe Acceso a la Justicia Espanol 020507.pdf</vt:lpwstr>
      </vt:variant>
      <vt:variant>
        <vt:lpwstr/>
      </vt:variant>
      <vt:variant>
        <vt:i4>6160410</vt:i4>
      </vt:variant>
      <vt:variant>
        <vt:i4>15</vt:i4>
      </vt:variant>
      <vt:variant>
        <vt:i4>0</vt:i4>
      </vt:variant>
      <vt:variant>
        <vt:i4>5</vt:i4>
      </vt:variant>
      <vt:variant>
        <vt:lpwstr>http://www.cidh.org/pdf files/Informe Acceso a la Justicia Espanol 020507.pdf</vt:lpwstr>
      </vt:variant>
      <vt:variant>
        <vt:lpwstr/>
      </vt:variant>
      <vt:variant>
        <vt:i4>7536719</vt:i4>
      </vt:variant>
      <vt:variant>
        <vt:i4>12</vt:i4>
      </vt:variant>
      <vt:variant>
        <vt:i4>0</vt:i4>
      </vt:variant>
      <vt:variant>
        <vt:i4>5</vt:i4>
      </vt:variant>
      <vt:variant>
        <vt:lpwstr>http://www.ohchr.org.gt/cd_instrumentos/documentos/Vimu.pdf</vt:lpwstr>
      </vt:variant>
      <vt:variant>
        <vt:lpwstr/>
      </vt:variant>
      <vt:variant>
        <vt:i4>4915248</vt:i4>
      </vt:variant>
      <vt:variant>
        <vt:i4>6</vt:i4>
      </vt:variant>
      <vt:variant>
        <vt:i4>0</vt:i4>
      </vt:variant>
      <vt:variant>
        <vt:i4>5</vt:i4>
      </vt:variant>
      <vt:variant>
        <vt:lpwstr>http://www.iom.int/seguridad-fronteriza/lit/land/cap2_2.pdf</vt:lpwstr>
      </vt:variant>
      <vt:variant>
        <vt:lpwstr/>
      </vt:variant>
      <vt:variant>
        <vt:i4>8060978</vt:i4>
      </vt:variant>
      <vt:variant>
        <vt:i4>3</vt:i4>
      </vt:variant>
      <vt:variant>
        <vt:i4>0</vt:i4>
      </vt:variant>
      <vt:variant>
        <vt:i4>5</vt:i4>
      </vt:variant>
      <vt:variant>
        <vt:lpwstr>http://www.congreso.gob.gt/manager/images/91E9DEF7-5D94-7146-29A0-8AB105E3FC92.PDF</vt:lpwstr>
      </vt:variant>
      <vt:variant>
        <vt:lpwstr/>
      </vt:variant>
      <vt:variant>
        <vt:i4>6553680</vt:i4>
      </vt:variant>
      <vt:variant>
        <vt:i4>0</vt:i4>
      </vt:variant>
      <vt:variant>
        <vt:i4>0</vt:i4>
      </vt:variant>
      <vt:variant>
        <vt:i4>5</vt:i4>
      </vt:variant>
      <vt:variant>
        <vt:lpwstr>http://www.corteidh.or.cr/docs/asuntos/velasquez_19_03_15.pdf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3</cp:revision>
  <cp:lastPrinted>2020-06-04T21:49:00Z</cp:lastPrinted>
  <dcterms:created xsi:type="dcterms:W3CDTF">2020-06-04T21:48:00Z</dcterms:created>
  <dcterms:modified xsi:type="dcterms:W3CDTF">2020-06-04T21:49:00Z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0x0101009C65DE0E31EAF2439D287EEF21B08142</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Niall Coghlan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